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782" w:type="dxa"/>
        <w:tblLayout w:type="fixed"/>
        <w:tblLook w:val="0000" w:firstRow="0" w:lastRow="0" w:firstColumn="0" w:lastColumn="0" w:noHBand="0" w:noVBand="0"/>
      </w:tblPr>
      <w:tblGrid>
        <w:gridCol w:w="6379"/>
        <w:gridCol w:w="3403"/>
      </w:tblGrid>
      <w:tr w:rsidR="002A2188" w:rsidRPr="00813E5E" w14:paraId="6D6A4771" w14:textId="77777777" w:rsidTr="00920C7E">
        <w:trPr>
          <w:cantSplit/>
          <w:trHeight w:val="1276"/>
        </w:trPr>
        <w:tc>
          <w:tcPr>
            <w:tcW w:w="6379" w:type="dxa"/>
          </w:tcPr>
          <w:p w14:paraId="7BC30B78" w14:textId="722CEEAF" w:rsidR="002A2188" w:rsidRPr="00813E5E" w:rsidRDefault="002A2188" w:rsidP="009F66A3">
            <w:pPr>
              <w:spacing w:before="360" w:after="48" w:line="240" w:lineRule="atLeast"/>
              <w:rPr>
                <w:position w:val="6"/>
              </w:rPr>
            </w:pPr>
            <w:bookmarkStart w:id="0" w:name="dc06"/>
            <w:bookmarkEnd w:id="0"/>
            <w:r w:rsidRPr="00E11475">
              <w:rPr>
                <w:b/>
                <w:bCs/>
                <w:position w:val="6"/>
                <w:sz w:val="30"/>
                <w:szCs w:val="30"/>
              </w:rPr>
              <w:t>C</w:t>
            </w:r>
            <w:r w:rsidR="009F66A3" w:rsidRPr="00E11475">
              <w:rPr>
                <w:b/>
                <w:bCs/>
                <w:position w:val="6"/>
                <w:sz w:val="30"/>
                <w:szCs w:val="30"/>
              </w:rPr>
              <w:t>ouncil 202</w:t>
            </w:r>
            <w:r w:rsidR="00F56668" w:rsidRPr="00E11475">
              <w:rPr>
                <w:b/>
                <w:bCs/>
                <w:position w:val="6"/>
                <w:sz w:val="30"/>
                <w:szCs w:val="30"/>
              </w:rPr>
              <w:t>1</w:t>
            </w:r>
            <w:r w:rsidR="00F56668" w:rsidRPr="00E11475">
              <w:rPr>
                <w:b/>
                <w:bCs/>
                <w:position w:val="6"/>
                <w:sz w:val="30"/>
                <w:szCs w:val="30"/>
              </w:rPr>
              <w:br/>
            </w:r>
            <w:r w:rsidR="00EA2120" w:rsidRPr="00E11475">
              <w:rPr>
                <w:b/>
                <w:bCs/>
                <w:position w:val="6"/>
                <w:sz w:val="28"/>
                <w:szCs w:val="28"/>
              </w:rPr>
              <w:t>Virtual consultation of councillors</w:t>
            </w:r>
            <w:r w:rsidR="00F56668" w:rsidRPr="00E11475">
              <w:rPr>
                <w:b/>
                <w:bCs/>
                <w:position w:val="6"/>
                <w:sz w:val="28"/>
                <w:szCs w:val="28"/>
              </w:rPr>
              <w:t>, 8-18 June 2021</w:t>
            </w:r>
          </w:p>
        </w:tc>
        <w:tc>
          <w:tcPr>
            <w:tcW w:w="3403" w:type="dxa"/>
            <w:vAlign w:val="center"/>
          </w:tcPr>
          <w:p w14:paraId="049BF09C" w14:textId="77777777" w:rsidR="002A2188" w:rsidRPr="00813E5E" w:rsidRDefault="009F66A3" w:rsidP="009F66A3">
            <w:pPr>
              <w:spacing w:before="0" w:line="240" w:lineRule="atLeast"/>
            </w:pPr>
            <w:bookmarkStart w:id="1" w:name="ditulogo"/>
            <w:bookmarkEnd w:id="1"/>
            <w:r>
              <w:rPr>
                <w:noProof/>
              </w:rPr>
              <w:drawing>
                <wp:inline distT="0" distB="0" distL="0" distR="0" wp14:anchorId="10F84D5C" wp14:editId="35199C9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920C7E">
        <w:trPr>
          <w:cantSplit/>
        </w:trPr>
        <w:tc>
          <w:tcPr>
            <w:tcW w:w="6379" w:type="dxa"/>
            <w:tcBorders>
              <w:bottom w:val="single" w:sz="12" w:space="0" w:color="auto"/>
            </w:tcBorders>
          </w:tcPr>
          <w:p w14:paraId="2143B1CA" w14:textId="77777777" w:rsidR="002A2188" w:rsidRPr="00813E5E" w:rsidRDefault="002A2188" w:rsidP="00E11475">
            <w:pPr>
              <w:spacing w:before="0" w:line="240" w:lineRule="atLeast"/>
              <w:rPr>
                <w:b/>
                <w:smallCaps/>
                <w:szCs w:val="24"/>
              </w:rPr>
            </w:pPr>
          </w:p>
        </w:tc>
        <w:tc>
          <w:tcPr>
            <w:tcW w:w="3403" w:type="dxa"/>
            <w:tcBorders>
              <w:bottom w:val="single" w:sz="12" w:space="0" w:color="auto"/>
            </w:tcBorders>
          </w:tcPr>
          <w:p w14:paraId="3D08500D" w14:textId="77777777" w:rsidR="002A2188" w:rsidRPr="00813E5E" w:rsidRDefault="002A2188" w:rsidP="00E11475">
            <w:pPr>
              <w:spacing w:before="0" w:line="240" w:lineRule="atLeast"/>
              <w:rPr>
                <w:szCs w:val="24"/>
              </w:rPr>
            </w:pPr>
          </w:p>
        </w:tc>
      </w:tr>
      <w:tr w:rsidR="002A2188" w:rsidRPr="00813E5E" w14:paraId="17235C7F" w14:textId="77777777" w:rsidTr="00920C7E">
        <w:trPr>
          <w:cantSplit/>
        </w:trPr>
        <w:tc>
          <w:tcPr>
            <w:tcW w:w="6379" w:type="dxa"/>
            <w:tcBorders>
              <w:top w:val="single" w:sz="12" w:space="0" w:color="auto"/>
            </w:tcBorders>
          </w:tcPr>
          <w:p w14:paraId="5D7313BD" w14:textId="77777777" w:rsidR="002A2188" w:rsidRPr="00813E5E" w:rsidRDefault="002A2188" w:rsidP="00E11475">
            <w:pPr>
              <w:spacing w:before="0" w:line="240" w:lineRule="atLeast"/>
              <w:rPr>
                <w:b/>
                <w:smallCaps/>
                <w:szCs w:val="24"/>
              </w:rPr>
            </w:pPr>
          </w:p>
        </w:tc>
        <w:tc>
          <w:tcPr>
            <w:tcW w:w="3403" w:type="dxa"/>
            <w:tcBorders>
              <w:top w:val="single" w:sz="12" w:space="0" w:color="auto"/>
            </w:tcBorders>
          </w:tcPr>
          <w:p w14:paraId="22C9147A" w14:textId="77777777" w:rsidR="002A2188" w:rsidRPr="00813E5E" w:rsidRDefault="002A2188" w:rsidP="00E11475">
            <w:pPr>
              <w:spacing w:before="0" w:line="240" w:lineRule="atLeast"/>
              <w:rPr>
                <w:szCs w:val="24"/>
              </w:rPr>
            </w:pPr>
          </w:p>
        </w:tc>
      </w:tr>
      <w:tr w:rsidR="002A2188" w:rsidRPr="00774343" w14:paraId="6804D83E" w14:textId="77777777" w:rsidTr="00920C7E">
        <w:trPr>
          <w:cantSplit/>
          <w:trHeight w:val="23"/>
        </w:trPr>
        <w:tc>
          <w:tcPr>
            <w:tcW w:w="6379" w:type="dxa"/>
            <w:vMerge w:val="restart"/>
          </w:tcPr>
          <w:p w14:paraId="42A03540" w14:textId="59F88C06" w:rsidR="002A2188" w:rsidRPr="00E85629" w:rsidRDefault="00223104" w:rsidP="00E11475">
            <w:pPr>
              <w:tabs>
                <w:tab w:val="left" w:pos="851"/>
              </w:tabs>
              <w:spacing w:before="0" w:line="240" w:lineRule="atLeast"/>
              <w:rPr>
                <w:b/>
              </w:rPr>
            </w:pPr>
            <w:bookmarkStart w:id="2" w:name="dmeeting" w:colFirst="0" w:colLast="0"/>
            <w:bookmarkStart w:id="3" w:name="dnum" w:colFirst="1" w:colLast="1"/>
            <w:r>
              <w:rPr>
                <w:b/>
              </w:rPr>
              <w:t>Agenda item: ADM 31</w:t>
            </w:r>
          </w:p>
        </w:tc>
        <w:tc>
          <w:tcPr>
            <w:tcW w:w="3403" w:type="dxa"/>
          </w:tcPr>
          <w:p w14:paraId="1727AC2C" w14:textId="597CE716" w:rsidR="002A2188" w:rsidRPr="00774343" w:rsidRDefault="00920C7E" w:rsidP="00E11475">
            <w:pPr>
              <w:tabs>
                <w:tab w:val="left" w:pos="851"/>
              </w:tabs>
              <w:spacing w:before="0" w:line="240" w:lineRule="atLeast"/>
              <w:rPr>
                <w:b/>
                <w:lang w:val="fr-CH"/>
              </w:rPr>
            </w:pPr>
            <w:proofErr w:type="spellStart"/>
            <w:r w:rsidRPr="00774343">
              <w:rPr>
                <w:b/>
                <w:lang w:val="fr-CH"/>
              </w:rPr>
              <w:t>Corrigendum</w:t>
            </w:r>
            <w:proofErr w:type="spellEnd"/>
            <w:r w:rsidRPr="00774343">
              <w:rPr>
                <w:b/>
                <w:lang w:val="fr-CH"/>
              </w:rPr>
              <w:t xml:space="preserve"> 1 t</w:t>
            </w:r>
            <w:r>
              <w:rPr>
                <w:b/>
                <w:lang w:val="fr-CH"/>
              </w:rPr>
              <w:t>o</w:t>
            </w:r>
            <w:r w:rsidRPr="00774343">
              <w:rPr>
                <w:b/>
                <w:lang w:val="fr-CH"/>
              </w:rPr>
              <w:br/>
            </w:r>
            <w:r w:rsidR="009F66A3" w:rsidRPr="00774343">
              <w:rPr>
                <w:b/>
                <w:spacing w:val="-4"/>
                <w:lang w:val="fr-CH"/>
              </w:rPr>
              <w:t>Document C2</w:t>
            </w:r>
            <w:r w:rsidR="00F56668" w:rsidRPr="00774343">
              <w:rPr>
                <w:b/>
                <w:spacing w:val="-4"/>
                <w:lang w:val="fr-CH"/>
              </w:rPr>
              <w:t>1</w:t>
            </w:r>
            <w:r w:rsidR="002A2188" w:rsidRPr="00774343">
              <w:rPr>
                <w:b/>
                <w:spacing w:val="-4"/>
                <w:lang w:val="fr-CH"/>
              </w:rPr>
              <w:t>/</w:t>
            </w:r>
            <w:r w:rsidR="00417984" w:rsidRPr="00774343">
              <w:rPr>
                <w:b/>
                <w:spacing w:val="-4"/>
                <w:lang w:val="fr-CH"/>
              </w:rPr>
              <w:t>61</w:t>
            </w:r>
            <w:r w:rsidR="002A2188" w:rsidRPr="00774343">
              <w:rPr>
                <w:b/>
                <w:spacing w:val="-4"/>
                <w:lang w:val="fr-CH"/>
              </w:rPr>
              <w:t>-</w:t>
            </w:r>
            <w:r w:rsidRPr="00920C7E">
              <w:rPr>
                <w:b/>
                <w:spacing w:val="-4"/>
                <w:lang w:val="es-ES_tradnl"/>
              </w:rPr>
              <w:t xml:space="preserve"> E/F/S/A/C/R</w:t>
            </w:r>
          </w:p>
        </w:tc>
      </w:tr>
      <w:tr w:rsidR="002A2188" w:rsidRPr="00813E5E" w14:paraId="6B217E52" w14:textId="77777777" w:rsidTr="00920C7E">
        <w:trPr>
          <w:cantSplit/>
          <w:trHeight w:val="23"/>
        </w:trPr>
        <w:tc>
          <w:tcPr>
            <w:tcW w:w="6379" w:type="dxa"/>
            <w:vMerge/>
          </w:tcPr>
          <w:p w14:paraId="1CE8AE93" w14:textId="77777777" w:rsidR="002A2188" w:rsidRPr="00774343" w:rsidRDefault="002A2188" w:rsidP="00E11475">
            <w:pPr>
              <w:tabs>
                <w:tab w:val="left" w:pos="851"/>
              </w:tabs>
              <w:spacing w:before="0" w:line="240" w:lineRule="atLeast"/>
              <w:rPr>
                <w:b/>
                <w:lang w:val="fr-CH"/>
              </w:rPr>
            </w:pPr>
            <w:bookmarkStart w:id="4" w:name="ddate" w:colFirst="1" w:colLast="1"/>
            <w:bookmarkEnd w:id="2"/>
            <w:bookmarkEnd w:id="3"/>
          </w:p>
        </w:tc>
        <w:tc>
          <w:tcPr>
            <w:tcW w:w="3403" w:type="dxa"/>
          </w:tcPr>
          <w:p w14:paraId="257DEE08" w14:textId="3F14BDD2" w:rsidR="002A2188" w:rsidRPr="00E85629" w:rsidRDefault="00920C7E" w:rsidP="00E11475">
            <w:pPr>
              <w:tabs>
                <w:tab w:val="left" w:pos="993"/>
              </w:tabs>
              <w:spacing w:before="0"/>
              <w:rPr>
                <w:b/>
              </w:rPr>
            </w:pPr>
            <w:r>
              <w:rPr>
                <w:b/>
              </w:rPr>
              <w:t>2</w:t>
            </w:r>
            <w:r w:rsidR="00755825">
              <w:rPr>
                <w:b/>
              </w:rPr>
              <w:t>5</w:t>
            </w:r>
            <w:r>
              <w:rPr>
                <w:b/>
              </w:rPr>
              <w:t xml:space="preserve"> May</w:t>
            </w:r>
            <w:r w:rsidR="002A2188">
              <w:rPr>
                <w:b/>
              </w:rPr>
              <w:t xml:space="preserve"> 20</w:t>
            </w:r>
            <w:r w:rsidR="009F66A3">
              <w:rPr>
                <w:b/>
              </w:rPr>
              <w:t>2</w:t>
            </w:r>
            <w:r w:rsidR="00F56668">
              <w:rPr>
                <w:b/>
              </w:rPr>
              <w:t>1</w:t>
            </w:r>
          </w:p>
        </w:tc>
      </w:tr>
      <w:tr w:rsidR="002A2188" w:rsidRPr="00813E5E" w14:paraId="10D36551" w14:textId="77777777" w:rsidTr="00920C7E">
        <w:trPr>
          <w:cantSplit/>
          <w:trHeight w:val="23"/>
        </w:trPr>
        <w:tc>
          <w:tcPr>
            <w:tcW w:w="6379" w:type="dxa"/>
            <w:vMerge/>
          </w:tcPr>
          <w:p w14:paraId="7EF812AF" w14:textId="77777777" w:rsidR="002A2188" w:rsidRPr="00813E5E" w:rsidRDefault="002A2188" w:rsidP="00E11475">
            <w:pPr>
              <w:tabs>
                <w:tab w:val="left" w:pos="851"/>
              </w:tabs>
              <w:spacing w:before="0" w:line="240" w:lineRule="atLeast"/>
              <w:rPr>
                <w:b/>
              </w:rPr>
            </w:pPr>
            <w:bookmarkStart w:id="5" w:name="dorlang" w:colFirst="1" w:colLast="1"/>
            <w:bookmarkEnd w:id="4"/>
          </w:p>
        </w:tc>
        <w:tc>
          <w:tcPr>
            <w:tcW w:w="3403" w:type="dxa"/>
          </w:tcPr>
          <w:p w14:paraId="0DF1D05E" w14:textId="67063931" w:rsidR="002A2188" w:rsidRPr="00E85629" w:rsidRDefault="002A2188" w:rsidP="00E11475">
            <w:pPr>
              <w:tabs>
                <w:tab w:val="left" w:pos="993"/>
              </w:tabs>
              <w:spacing w:before="0"/>
              <w:rPr>
                <w:b/>
              </w:rPr>
            </w:pPr>
            <w:r>
              <w:rPr>
                <w:b/>
              </w:rPr>
              <w:t xml:space="preserve">Original: </w:t>
            </w:r>
            <w:r w:rsidR="00C52964">
              <w:rPr>
                <w:b/>
              </w:rPr>
              <w:t>English</w:t>
            </w:r>
          </w:p>
        </w:tc>
      </w:tr>
      <w:tr w:rsidR="002A2188" w:rsidRPr="00813E5E" w14:paraId="46399271" w14:textId="77777777" w:rsidTr="00CC3AE1">
        <w:trPr>
          <w:cantSplit/>
          <w:trHeight w:val="772"/>
        </w:trPr>
        <w:tc>
          <w:tcPr>
            <w:tcW w:w="9779" w:type="dxa"/>
            <w:gridSpan w:val="2"/>
          </w:tcPr>
          <w:p w14:paraId="18E28CA0" w14:textId="594AB025" w:rsidR="00EA2120" w:rsidRPr="00EA2120" w:rsidRDefault="00223104" w:rsidP="00755825">
            <w:pPr>
              <w:pStyle w:val="Source"/>
              <w:framePr w:hSpace="0" w:wrap="auto" w:hAnchor="text" w:yAlign="inline"/>
            </w:pPr>
            <w:bookmarkStart w:id="6" w:name="dsource" w:colFirst="0" w:colLast="0"/>
            <w:bookmarkEnd w:id="5"/>
            <w:r>
              <w:t>Report by the Secretary-General</w:t>
            </w:r>
          </w:p>
        </w:tc>
      </w:tr>
      <w:tr w:rsidR="002A2188" w:rsidRPr="00813E5E" w14:paraId="73F317E2" w14:textId="77777777" w:rsidTr="00CC3AE1">
        <w:trPr>
          <w:cantSplit/>
          <w:trHeight w:val="68"/>
        </w:trPr>
        <w:tc>
          <w:tcPr>
            <w:tcW w:w="9779" w:type="dxa"/>
            <w:gridSpan w:val="2"/>
          </w:tcPr>
          <w:p w14:paraId="29B3DB5C" w14:textId="2AD0F759" w:rsidR="002A2188" w:rsidRPr="00813E5E" w:rsidRDefault="00FF0049" w:rsidP="00755825">
            <w:pPr>
              <w:pStyle w:val="Title1"/>
              <w:framePr w:hSpace="0" w:wrap="auto" w:hAnchor="text" w:yAlign="inline"/>
            </w:pPr>
            <w:bookmarkStart w:id="7" w:name="_Hlk65861882"/>
            <w:bookmarkStart w:id="8" w:name="dtitle1" w:colFirst="0" w:colLast="0"/>
            <w:bookmarkEnd w:id="6"/>
            <w:r w:rsidRPr="00FF0049">
              <w:t>REPORT ON THE IMPLEMENTATION OF THE RISK MANAGEMENT ACTION PLAN</w:t>
            </w:r>
            <w:bookmarkEnd w:id="7"/>
          </w:p>
        </w:tc>
      </w:tr>
    </w:tbl>
    <w:p w14:paraId="1017C889" w14:textId="39B0DA47" w:rsidR="00920C7E" w:rsidRPr="00920C7E" w:rsidRDefault="00920C7E" w:rsidP="00CC3AE1">
      <w:pPr>
        <w:pStyle w:val="Heading2"/>
        <w:keepNext w:val="0"/>
        <w:keepLines w:val="0"/>
        <w:tabs>
          <w:tab w:val="clear" w:pos="567"/>
          <w:tab w:val="clear" w:pos="1134"/>
          <w:tab w:val="clear" w:pos="1701"/>
          <w:tab w:val="clear" w:pos="2268"/>
          <w:tab w:val="clear" w:pos="2835"/>
        </w:tabs>
        <w:snapToGrid w:val="0"/>
        <w:spacing w:before="360" w:after="240"/>
        <w:ind w:left="709" w:hanging="709"/>
        <w:rPr>
          <w:b w:val="0"/>
          <w:bCs/>
        </w:rPr>
      </w:pPr>
      <w:bookmarkStart w:id="9" w:name="dstart"/>
      <w:bookmarkStart w:id="10" w:name="dbreak"/>
      <w:bookmarkEnd w:id="9"/>
      <w:bookmarkEnd w:id="10"/>
      <w:bookmarkEnd w:id="8"/>
      <w:r w:rsidRPr="00920C7E">
        <w:rPr>
          <w:b w:val="0"/>
          <w:bCs/>
        </w:rPr>
        <w:t xml:space="preserve">Please replace </w:t>
      </w:r>
      <w:r>
        <w:rPr>
          <w:b w:val="0"/>
          <w:bCs/>
        </w:rPr>
        <w:t xml:space="preserve">part </w:t>
      </w:r>
      <w:r w:rsidRPr="00920C7E">
        <w:rPr>
          <w:b w:val="0"/>
          <w:bCs/>
        </w:rPr>
        <w:t xml:space="preserve">3 </w:t>
      </w:r>
      <w:r>
        <w:rPr>
          <w:b w:val="0"/>
          <w:bCs/>
        </w:rPr>
        <w:t xml:space="preserve">of the English version </w:t>
      </w:r>
      <w:r w:rsidRPr="00920C7E">
        <w:rPr>
          <w:b w:val="0"/>
          <w:bCs/>
        </w:rPr>
        <w:t>with the following text:</w:t>
      </w:r>
    </w:p>
    <w:tbl>
      <w:tblPr>
        <w:tblStyle w:val="ListTable1Light-Accent1"/>
        <w:tblW w:w="0" w:type="auto"/>
        <w:tblLook w:val="0480" w:firstRow="0" w:lastRow="0" w:firstColumn="1" w:lastColumn="0" w:noHBand="0" w:noVBand="1"/>
      </w:tblPr>
      <w:tblGrid>
        <w:gridCol w:w="9498"/>
      </w:tblGrid>
      <w:tr w:rsidR="00401F99" w:rsidRPr="00ED71D2" w14:paraId="5138C888" w14:textId="77777777" w:rsidTr="00E07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3F614B81" w14:textId="77777777" w:rsidR="00401F99" w:rsidRPr="00CF4E25" w:rsidRDefault="00401F99" w:rsidP="00CC3AE1">
            <w:pPr>
              <w:numPr>
                <w:ilvl w:val="0"/>
                <w:numId w:val="13"/>
              </w:numPr>
              <w:tabs>
                <w:tab w:val="clear" w:pos="567"/>
                <w:tab w:val="clear" w:pos="720"/>
                <w:tab w:val="clear" w:pos="1134"/>
                <w:tab w:val="clear" w:pos="1701"/>
                <w:tab w:val="clear" w:pos="2268"/>
                <w:tab w:val="clear" w:pos="2835"/>
              </w:tabs>
              <w:overflowPunct/>
              <w:autoSpaceDE/>
              <w:autoSpaceDN/>
              <w:adjustRightInd/>
              <w:spacing w:after="120"/>
              <w:ind w:left="316" w:hanging="316"/>
              <w:jc w:val="both"/>
              <w:textAlignment w:val="center"/>
              <w:rPr>
                <w:rFonts w:cs="Calibri"/>
                <w:color w:val="000000"/>
                <w:sz w:val="22"/>
                <w:szCs w:val="22"/>
              </w:rPr>
            </w:pPr>
            <w:r w:rsidRPr="00CF4E25">
              <w:rPr>
                <w:rFonts w:cs="Calibri"/>
                <w:color w:val="000000"/>
                <w:sz w:val="22"/>
                <w:szCs w:val="22"/>
              </w:rPr>
              <w:t xml:space="preserve">Set up an internal risk governance </w:t>
            </w:r>
            <w:proofErr w:type="gramStart"/>
            <w:r w:rsidRPr="00CF4E25">
              <w:rPr>
                <w:rFonts w:cs="Calibri"/>
                <w:color w:val="000000"/>
                <w:sz w:val="22"/>
                <w:szCs w:val="22"/>
              </w:rPr>
              <w:t>structure</w:t>
            </w:r>
            <w:proofErr w:type="gramEnd"/>
          </w:p>
          <w:p w14:paraId="129A6C0F" w14:textId="77777777" w:rsidR="00401F99" w:rsidRPr="005F27C6" w:rsidRDefault="00401F99" w:rsidP="00CC3AE1">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contextualSpacing w:val="0"/>
              <w:jc w:val="both"/>
              <w:textAlignment w:val="center"/>
              <w:rPr>
                <w:rFonts w:cs="Calibri"/>
                <w:b w:val="0"/>
                <w:bCs w:val="0"/>
                <w:sz w:val="22"/>
                <w:szCs w:val="22"/>
              </w:rPr>
            </w:pPr>
            <w:r w:rsidRPr="007D79C5">
              <w:rPr>
                <w:rFonts w:cs="Calibri"/>
                <w:b w:val="0"/>
                <w:bCs w:val="0"/>
                <w:sz w:val="22"/>
                <w:szCs w:val="22"/>
              </w:rPr>
              <w:t xml:space="preserve">Risk management governance structure was strengthened based on the best </w:t>
            </w:r>
            <w:r w:rsidRPr="005F27C6">
              <w:rPr>
                <w:rFonts w:cs="Calibri"/>
                <w:b w:val="0"/>
                <w:bCs w:val="0"/>
                <w:sz w:val="22"/>
                <w:szCs w:val="22"/>
              </w:rPr>
              <w:t>practices in 25 UN Organisations (HLCM Risk Mgmt. Task Force survey / Mar 2019)</w:t>
            </w:r>
          </w:p>
          <w:p w14:paraId="493026E8" w14:textId="77777777" w:rsidR="00401F99" w:rsidRPr="005F27C6" w:rsidRDefault="00401F99" w:rsidP="00CC3AE1">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contextualSpacing w:val="0"/>
              <w:jc w:val="both"/>
              <w:textAlignment w:val="center"/>
              <w:rPr>
                <w:rFonts w:cstheme="minorHAnsi"/>
                <w:sz w:val="22"/>
                <w:szCs w:val="22"/>
              </w:rPr>
            </w:pPr>
            <w:r w:rsidRPr="005F27C6">
              <w:rPr>
                <w:rFonts w:cs="Calibri"/>
                <w:b w:val="0"/>
                <w:bCs w:val="0"/>
                <w:sz w:val="22"/>
                <w:szCs w:val="22"/>
              </w:rPr>
              <w:t>Roles and responsibilities in overseeing the implementation of risk management were defined, along with the process to review high level risks on a regular basis and take decisions related to risk management, ensuring a clear tone at the top to promote a culture of responsible and effective risk management.</w:t>
            </w:r>
          </w:p>
          <w:p w14:paraId="5751799B" w14:textId="77777777" w:rsidR="00401F99" w:rsidRPr="00A96EA2" w:rsidRDefault="00401F99" w:rsidP="00CC3AE1">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contextualSpacing w:val="0"/>
              <w:jc w:val="both"/>
              <w:textAlignment w:val="center"/>
              <w:rPr>
                <w:rFonts w:cstheme="minorHAnsi"/>
                <w:b w:val="0"/>
                <w:bCs w:val="0"/>
                <w:sz w:val="22"/>
                <w:szCs w:val="22"/>
              </w:rPr>
            </w:pPr>
            <w:proofErr w:type="gramStart"/>
            <w:r w:rsidRPr="00A96EA2">
              <w:rPr>
                <w:rFonts w:cs="Calibri"/>
                <w:b w:val="0"/>
                <w:bCs w:val="0"/>
                <w:sz w:val="22"/>
                <w:szCs w:val="22"/>
              </w:rPr>
              <w:t>All of</w:t>
            </w:r>
            <w:proofErr w:type="gramEnd"/>
            <w:r w:rsidRPr="00A96EA2">
              <w:rPr>
                <w:rFonts w:cs="Calibri"/>
                <w:b w:val="0"/>
                <w:bCs w:val="0"/>
                <w:sz w:val="22"/>
                <w:szCs w:val="22"/>
              </w:rPr>
              <w:t xml:space="preserve"> these competencies and monitoring activities are described in the risk management policy and further detailed in the risk management manual.</w:t>
            </w:r>
          </w:p>
          <w:p w14:paraId="6BB31BA7" w14:textId="725BD63E" w:rsidR="00401F99" w:rsidRPr="00ED71D2" w:rsidRDefault="00401F99" w:rsidP="00CC3AE1">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contextualSpacing w:val="0"/>
              <w:jc w:val="both"/>
              <w:textAlignment w:val="center"/>
              <w:rPr>
                <w:rFonts w:cstheme="minorHAnsi"/>
                <w:b w:val="0"/>
                <w:bCs w:val="0"/>
                <w:sz w:val="22"/>
                <w:szCs w:val="22"/>
              </w:rPr>
            </w:pPr>
            <w:r>
              <w:rPr>
                <w:rFonts w:cstheme="minorHAnsi"/>
                <w:sz w:val="22"/>
                <w:szCs w:val="22"/>
              </w:rPr>
              <w:t xml:space="preserve">Action #3 completed as of December 2020: </w:t>
            </w:r>
            <w:r w:rsidR="00A94293">
              <w:rPr>
                <w:rFonts w:cstheme="minorHAnsi"/>
                <w:sz w:val="22"/>
                <w:szCs w:val="22"/>
              </w:rPr>
              <w:t xml:space="preserve">the internal risk management structure has been </w:t>
            </w:r>
            <w:r w:rsidR="0023534A">
              <w:rPr>
                <w:rFonts w:cstheme="minorHAnsi"/>
                <w:sz w:val="22"/>
                <w:szCs w:val="22"/>
              </w:rPr>
              <w:t xml:space="preserve">put </w:t>
            </w:r>
            <w:r w:rsidR="00A94293">
              <w:rPr>
                <w:rFonts w:cstheme="minorHAnsi"/>
                <w:sz w:val="22"/>
                <w:szCs w:val="22"/>
              </w:rPr>
              <w:t xml:space="preserve">in place, while </w:t>
            </w:r>
            <w:r>
              <w:rPr>
                <w:rFonts w:cstheme="minorHAnsi"/>
                <w:sz w:val="22"/>
                <w:szCs w:val="22"/>
              </w:rPr>
              <w:t>the establishment of the Risk Management and Internal Controls function</w:t>
            </w:r>
            <w:r w:rsidR="00A94293">
              <w:rPr>
                <w:rFonts w:cstheme="minorHAnsi"/>
                <w:sz w:val="22"/>
                <w:szCs w:val="22"/>
              </w:rPr>
              <w:t xml:space="preserve"> </w:t>
            </w:r>
            <w:r w:rsidRPr="008C4CB5">
              <w:rPr>
                <w:rFonts w:cstheme="minorHAnsi"/>
                <w:sz w:val="22"/>
                <w:szCs w:val="22"/>
              </w:rPr>
              <w:t xml:space="preserve">has been included as a post </w:t>
            </w:r>
            <w:r w:rsidRPr="00BD36BD">
              <w:rPr>
                <w:rFonts w:cstheme="minorHAnsi"/>
                <w:sz w:val="22"/>
                <w:szCs w:val="22"/>
              </w:rPr>
              <w:t xml:space="preserve">to </w:t>
            </w:r>
            <w:r w:rsidR="003546E4">
              <w:rPr>
                <w:rFonts w:cstheme="minorHAnsi"/>
                <w:sz w:val="22"/>
                <w:szCs w:val="22"/>
              </w:rPr>
              <w:t>the</w:t>
            </w:r>
            <w:r w:rsidR="003546E4" w:rsidRPr="00BD36BD">
              <w:rPr>
                <w:rFonts w:cstheme="minorHAnsi"/>
                <w:sz w:val="22"/>
                <w:szCs w:val="22"/>
              </w:rPr>
              <w:t xml:space="preserve"> </w:t>
            </w:r>
            <w:r w:rsidR="003546E4">
              <w:rPr>
                <w:rFonts w:cstheme="minorHAnsi"/>
                <w:sz w:val="22"/>
                <w:szCs w:val="22"/>
              </w:rPr>
              <w:t>un</w:t>
            </w:r>
            <w:r w:rsidRPr="00BD36BD">
              <w:rPr>
                <w:rFonts w:cstheme="minorHAnsi"/>
                <w:sz w:val="22"/>
                <w:szCs w:val="22"/>
              </w:rPr>
              <w:t xml:space="preserve">funded </w:t>
            </w:r>
            <w:r w:rsidR="003546E4">
              <w:rPr>
                <w:rFonts w:cstheme="minorHAnsi"/>
                <w:sz w:val="22"/>
                <w:szCs w:val="22"/>
              </w:rPr>
              <w:t>mandatory activities</w:t>
            </w:r>
            <w:r w:rsidRPr="00BD36BD">
              <w:rPr>
                <w:rFonts w:cstheme="minorHAnsi"/>
                <w:sz w:val="22"/>
                <w:szCs w:val="22"/>
              </w:rPr>
              <w:t xml:space="preserve"> (see Doc</w:t>
            </w:r>
            <w:r w:rsidR="008C4CB5" w:rsidRPr="00BD36BD">
              <w:rPr>
                <w:rFonts w:cstheme="minorHAnsi"/>
                <w:sz w:val="22"/>
                <w:szCs w:val="22"/>
              </w:rPr>
              <w:t xml:space="preserve">ument </w:t>
            </w:r>
            <w:hyperlink r:id="rId12" w:history="1">
              <w:r w:rsidRPr="00BD36BD">
                <w:rPr>
                  <w:rStyle w:val="Hyperlink"/>
                  <w:rFonts w:cstheme="minorHAnsi"/>
                  <w:color w:val="auto"/>
                  <w:sz w:val="22"/>
                  <w:szCs w:val="22"/>
                </w:rPr>
                <w:t>C21/</w:t>
              </w:r>
              <w:r w:rsidR="003546E4">
                <w:rPr>
                  <w:rStyle w:val="Hyperlink"/>
                  <w:rFonts w:cstheme="minorHAnsi"/>
                  <w:color w:val="auto"/>
                  <w:sz w:val="22"/>
                  <w:szCs w:val="22"/>
                </w:rPr>
                <w:t>49</w:t>
              </w:r>
            </w:hyperlink>
            <w:r w:rsidRPr="00BD36BD">
              <w:rPr>
                <w:rFonts w:cstheme="minorHAnsi"/>
                <w:sz w:val="22"/>
                <w:szCs w:val="22"/>
              </w:rPr>
              <w:t>).</w:t>
            </w:r>
          </w:p>
        </w:tc>
      </w:tr>
    </w:tbl>
    <w:p w14:paraId="27FCADF3" w14:textId="77777777" w:rsidR="002A2999" w:rsidRPr="007727DE" w:rsidRDefault="002A2999" w:rsidP="00CC3AE1">
      <w:pPr>
        <w:spacing w:before="480" w:after="120"/>
        <w:jc w:val="center"/>
        <w:rPr>
          <w:rFonts w:asciiTheme="minorHAnsi" w:hAnsiTheme="minorHAnsi" w:cstheme="minorHAnsi"/>
          <w:b/>
          <w:bCs/>
          <w:sz w:val="28"/>
          <w:lang w:val="fr-CH"/>
        </w:rPr>
      </w:pPr>
      <w:r w:rsidRPr="007727DE">
        <w:rPr>
          <w:rFonts w:asciiTheme="minorHAnsi" w:hAnsiTheme="minorHAnsi" w:cstheme="minorHAnsi"/>
          <w:b/>
          <w:bCs/>
          <w:sz w:val="28"/>
          <w:lang w:val="fr-CH"/>
        </w:rPr>
        <w:t>******</w:t>
      </w:r>
    </w:p>
    <w:p w14:paraId="23A9FAA7" w14:textId="77777777" w:rsidR="002A2999" w:rsidRPr="007E405E" w:rsidRDefault="002A2999" w:rsidP="00CC3AE1">
      <w:pPr>
        <w:pStyle w:val="Heading2"/>
        <w:keepNext w:val="0"/>
        <w:keepLines w:val="0"/>
        <w:tabs>
          <w:tab w:val="clear" w:pos="567"/>
          <w:tab w:val="clear" w:pos="1134"/>
          <w:tab w:val="clear" w:pos="1701"/>
          <w:tab w:val="clear" w:pos="2268"/>
          <w:tab w:val="clear" w:pos="2835"/>
        </w:tabs>
        <w:snapToGrid w:val="0"/>
        <w:spacing w:before="360" w:after="120"/>
        <w:ind w:left="709" w:hanging="709"/>
        <w:rPr>
          <w:b w:val="0"/>
          <w:bCs/>
          <w:lang w:val="fr-CH"/>
        </w:rPr>
      </w:pPr>
      <w:r w:rsidRPr="007E405E">
        <w:rPr>
          <w:b w:val="0"/>
          <w:bCs/>
          <w:lang w:val="fr-CH"/>
        </w:rPr>
        <w:t xml:space="preserve">Veuillez remplacer le paragraphe 3 de la version française par le texte </w:t>
      </w:r>
      <w:proofErr w:type="gramStart"/>
      <w:r w:rsidRPr="007E405E">
        <w:rPr>
          <w:b w:val="0"/>
          <w:bCs/>
          <w:lang w:val="fr-CH"/>
        </w:rPr>
        <w:t>suivant:</w:t>
      </w:r>
      <w:proofErr w:type="gramEnd"/>
    </w:p>
    <w:tbl>
      <w:tblPr>
        <w:tblStyle w:val="ListTable1Light-Accent1"/>
        <w:tblW w:w="0" w:type="auto"/>
        <w:tblLook w:val="0480" w:firstRow="0" w:lastRow="0" w:firstColumn="1" w:lastColumn="0" w:noHBand="0" w:noVBand="1"/>
      </w:tblPr>
      <w:tblGrid>
        <w:gridCol w:w="9498"/>
      </w:tblGrid>
      <w:tr w:rsidR="002A2999" w:rsidRPr="00CC3AE1" w14:paraId="3E64F920" w14:textId="77777777" w:rsidTr="0036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B01950F" w14:textId="77777777" w:rsidR="002A2999" w:rsidRPr="00755825" w:rsidRDefault="002A2999" w:rsidP="00CC3AE1">
            <w:pPr>
              <w:pStyle w:val="Heading1"/>
              <w:keepNext w:val="0"/>
              <w:keepLines w:val="0"/>
              <w:tabs>
                <w:tab w:val="clear" w:pos="567"/>
              </w:tabs>
              <w:spacing w:before="120" w:after="120"/>
              <w:ind w:left="321" w:hanging="321"/>
              <w:outlineLvl w:val="0"/>
              <w:rPr>
                <w:b/>
                <w:sz w:val="22"/>
                <w:lang w:val="fr-CH"/>
              </w:rPr>
            </w:pPr>
            <w:r w:rsidRPr="00755825">
              <w:rPr>
                <w:b/>
                <w:sz w:val="22"/>
                <w:lang w:val="fr-CH"/>
              </w:rPr>
              <w:t>3</w:t>
            </w:r>
            <w:r w:rsidRPr="00755825">
              <w:rPr>
                <w:b/>
                <w:sz w:val="22"/>
                <w:lang w:val="fr-CH"/>
              </w:rPr>
              <w:tab/>
              <w:t>Mettre en place une structure de gouvernance des risques en interne</w:t>
            </w:r>
          </w:p>
          <w:p w14:paraId="16C049BA" w14:textId="77777777" w:rsidR="002A2999" w:rsidRPr="00755825" w:rsidRDefault="002A2999" w:rsidP="00CC3AE1">
            <w:pPr>
              <w:pStyle w:val="enumlev1"/>
              <w:tabs>
                <w:tab w:val="clear" w:pos="567"/>
              </w:tabs>
              <w:spacing w:before="120" w:after="120"/>
              <w:ind w:left="746" w:hanging="425"/>
              <w:rPr>
                <w:b w:val="0"/>
                <w:sz w:val="22"/>
                <w:szCs w:val="22"/>
                <w:lang w:val="fr-CH"/>
              </w:rPr>
            </w:pPr>
            <w:r w:rsidRPr="00755825">
              <w:rPr>
                <w:b w:val="0"/>
                <w:sz w:val="22"/>
                <w:szCs w:val="22"/>
                <w:lang w:val="fr-CH"/>
              </w:rPr>
              <w:t>–</w:t>
            </w:r>
            <w:r w:rsidRPr="00755825">
              <w:rPr>
                <w:b w:val="0"/>
                <w:sz w:val="22"/>
                <w:szCs w:val="22"/>
                <w:lang w:val="fr-CH"/>
              </w:rPr>
              <w:tab/>
              <w:t>La structure de gouvernance de la gestion des risques a été renforcée sur la base des bonnes pratiques au sein de 25 organismes des Nations Unies (enquête du Groupe d'action sur la gestion des risques du Comité de haut niveau sur la gestion, mars 2019).</w:t>
            </w:r>
          </w:p>
          <w:p w14:paraId="69D91FE9" w14:textId="77777777" w:rsidR="002A2999" w:rsidRPr="00755825" w:rsidRDefault="002A2999" w:rsidP="00CC3AE1">
            <w:pPr>
              <w:pStyle w:val="enumlev1"/>
              <w:tabs>
                <w:tab w:val="clear" w:pos="567"/>
              </w:tabs>
              <w:spacing w:before="120" w:after="120"/>
              <w:ind w:left="746" w:hanging="425"/>
              <w:rPr>
                <w:b w:val="0"/>
                <w:sz w:val="22"/>
                <w:szCs w:val="22"/>
                <w:lang w:val="fr-CH"/>
              </w:rPr>
            </w:pPr>
            <w:r w:rsidRPr="00755825">
              <w:rPr>
                <w:b w:val="0"/>
                <w:sz w:val="22"/>
                <w:szCs w:val="22"/>
                <w:lang w:val="fr-CH"/>
              </w:rPr>
              <w:t>–</w:t>
            </w:r>
            <w:r w:rsidRPr="00755825">
              <w:rPr>
                <w:b w:val="0"/>
                <w:sz w:val="22"/>
                <w:szCs w:val="22"/>
                <w:lang w:val="fr-CH"/>
              </w:rPr>
              <w:tab/>
              <w:t>Les rôles et les responsabilités liés à la supervision de la mise en œuvre de la gestion des risques ont été définis, ainsi que le processus consistant à examiner régulièrement les risques de haut niveau et à prendre des décisions relatives à la gestion des risques, en veillant à donner l'exemple au plus haut niveau pour promouvoir une culture de gestion des risques responsable et efficace.</w:t>
            </w:r>
          </w:p>
          <w:p w14:paraId="49AA2874" w14:textId="77777777" w:rsidR="002A2999" w:rsidRPr="00755825" w:rsidRDefault="002A2999" w:rsidP="00CC3AE1">
            <w:pPr>
              <w:pStyle w:val="enumlev1"/>
              <w:tabs>
                <w:tab w:val="clear" w:pos="567"/>
              </w:tabs>
              <w:spacing w:before="120" w:after="120"/>
              <w:ind w:left="746" w:hanging="425"/>
              <w:rPr>
                <w:b w:val="0"/>
                <w:sz w:val="22"/>
                <w:szCs w:val="22"/>
                <w:lang w:val="fr-CH"/>
              </w:rPr>
            </w:pPr>
            <w:r w:rsidRPr="00755825">
              <w:rPr>
                <w:b w:val="0"/>
                <w:sz w:val="22"/>
                <w:szCs w:val="22"/>
                <w:lang w:val="fr-CH"/>
              </w:rPr>
              <w:t>–</w:t>
            </w:r>
            <w:r w:rsidRPr="00755825">
              <w:rPr>
                <w:b w:val="0"/>
                <w:sz w:val="22"/>
                <w:szCs w:val="22"/>
                <w:lang w:val="fr-CH"/>
              </w:rPr>
              <w:tab/>
              <w:t>L'ensemble de ces compétences et des activités de suivi sont décrites dans la politique en matière de gestion des risques et présentées de façon plus détaillée dans le Manuel de gestion des risques.</w:t>
            </w:r>
          </w:p>
          <w:p w14:paraId="1FDEB8D1" w14:textId="77777777" w:rsidR="002A2999" w:rsidRPr="001B1151" w:rsidRDefault="002A2999" w:rsidP="00CC3AE1">
            <w:pPr>
              <w:pStyle w:val="enumlev1"/>
              <w:keepNext/>
              <w:keepLines/>
              <w:tabs>
                <w:tab w:val="clear" w:pos="567"/>
              </w:tabs>
              <w:spacing w:before="120" w:after="120"/>
              <w:ind w:left="746" w:hanging="425"/>
              <w:rPr>
                <w:b w:val="0"/>
                <w:bCs w:val="0"/>
                <w:sz w:val="22"/>
                <w:szCs w:val="22"/>
                <w:lang w:val="fr-CH"/>
              </w:rPr>
            </w:pPr>
            <w:r w:rsidRPr="001B1151">
              <w:rPr>
                <w:b w:val="0"/>
                <w:sz w:val="22"/>
                <w:szCs w:val="22"/>
                <w:lang w:val="fr-CH"/>
              </w:rPr>
              <w:lastRenderedPageBreak/>
              <w:t>–</w:t>
            </w:r>
            <w:r w:rsidRPr="001B1151">
              <w:rPr>
                <w:b w:val="0"/>
                <w:sz w:val="22"/>
                <w:szCs w:val="22"/>
                <w:lang w:val="fr-CH"/>
              </w:rPr>
              <w:tab/>
            </w:r>
            <w:r w:rsidRPr="001B1151">
              <w:rPr>
                <w:sz w:val="22"/>
                <w:szCs w:val="22"/>
                <w:lang w:val="fr-CH"/>
              </w:rPr>
              <w:t xml:space="preserve">En décembre 2020, la mesure N° 3 avait été mise en </w:t>
            </w:r>
            <w:proofErr w:type="gramStart"/>
            <w:r w:rsidRPr="001B1151">
              <w:rPr>
                <w:sz w:val="22"/>
                <w:szCs w:val="22"/>
                <w:lang w:val="fr-CH"/>
              </w:rPr>
              <w:t>œuvre:</w:t>
            </w:r>
            <w:proofErr w:type="gramEnd"/>
            <w:r w:rsidRPr="001B1151">
              <w:rPr>
                <w:sz w:val="22"/>
                <w:szCs w:val="22"/>
                <w:lang w:val="fr-CH"/>
              </w:rPr>
              <w:t xml:space="preserve"> la structure de gestion des risques en interne a été mise en place, tandis que la création de la fonction de gestion des risques et de contrôle interne figure en tant que poste dans le cadre des activités demandées mais non budgétées (voir le Document </w:t>
            </w:r>
            <w:hyperlink r:id="rId13" w:history="1">
              <w:r w:rsidRPr="00683C45">
                <w:rPr>
                  <w:sz w:val="22"/>
                  <w:szCs w:val="22"/>
                  <w:u w:val="single"/>
                  <w:lang w:val="fr-CH"/>
                </w:rPr>
                <w:t>C21/49</w:t>
              </w:r>
            </w:hyperlink>
            <w:r w:rsidRPr="001B1151">
              <w:rPr>
                <w:sz w:val="22"/>
                <w:szCs w:val="22"/>
                <w:lang w:val="fr-CH"/>
              </w:rPr>
              <w:t>)</w:t>
            </w:r>
            <w:r w:rsidRPr="001B1151">
              <w:rPr>
                <w:b w:val="0"/>
                <w:sz w:val="22"/>
                <w:szCs w:val="22"/>
                <w:lang w:val="fr-CH"/>
              </w:rPr>
              <w:t>.</w:t>
            </w:r>
          </w:p>
        </w:tc>
      </w:tr>
    </w:tbl>
    <w:p w14:paraId="4C21A99F" w14:textId="77777777" w:rsidR="00920C7E" w:rsidRPr="00793177" w:rsidRDefault="00920C7E" w:rsidP="00755825">
      <w:pPr>
        <w:spacing w:before="480" w:after="120"/>
        <w:jc w:val="center"/>
        <w:rPr>
          <w:rFonts w:asciiTheme="minorHAnsi" w:hAnsiTheme="minorHAnsi" w:cstheme="minorHAnsi"/>
          <w:b/>
          <w:bCs/>
          <w:lang w:val="es-ES_tradnl"/>
        </w:rPr>
      </w:pPr>
      <w:r w:rsidRPr="00793177">
        <w:rPr>
          <w:rFonts w:asciiTheme="minorHAnsi" w:hAnsiTheme="minorHAnsi" w:cstheme="minorHAnsi"/>
          <w:b/>
          <w:bCs/>
          <w:lang w:val="es-ES_tradnl"/>
        </w:rPr>
        <w:lastRenderedPageBreak/>
        <w:t>******</w:t>
      </w:r>
    </w:p>
    <w:p w14:paraId="2051AFE1" w14:textId="77777777" w:rsidR="00920C7E" w:rsidRPr="00793177" w:rsidRDefault="00920C7E" w:rsidP="00755825">
      <w:pPr>
        <w:spacing w:before="360" w:after="120"/>
        <w:jc w:val="center"/>
        <w:rPr>
          <w:rFonts w:asciiTheme="minorHAnsi" w:hAnsiTheme="minorHAnsi" w:cstheme="minorHAnsi"/>
          <w:lang w:val="es-ES_tradnl"/>
        </w:rPr>
      </w:pPr>
      <w:r w:rsidRPr="00793177">
        <w:rPr>
          <w:rFonts w:asciiTheme="minorHAnsi" w:hAnsiTheme="minorHAnsi" w:cstheme="minorHAnsi"/>
          <w:lang w:val="es-ES_tradnl"/>
        </w:rPr>
        <w:t>No concierne al texto español.</w:t>
      </w:r>
    </w:p>
    <w:p w14:paraId="1F544834" w14:textId="77777777" w:rsidR="00920C7E" w:rsidRPr="00920C7E" w:rsidRDefault="00920C7E" w:rsidP="00755825">
      <w:pPr>
        <w:spacing w:before="480" w:after="120"/>
        <w:jc w:val="center"/>
        <w:rPr>
          <w:rFonts w:asciiTheme="minorHAnsi" w:hAnsiTheme="minorHAnsi" w:cstheme="minorHAnsi"/>
          <w:b/>
          <w:bCs/>
          <w:sz w:val="28"/>
          <w:lang w:val="es-ES_tradnl"/>
        </w:rPr>
      </w:pPr>
      <w:r w:rsidRPr="00920C7E">
        <w:rPr>
          <w:rFonts w:asciiTheme="minorHAnsi" w:hAnsiTheme="minorHAnsi" w:cstheme="minorHAnsi"/>
          <w:b/>
          <w:bCs/>
          <w:sz w:val="28"/>
          <w:lang w:val="es-ES_tradnl"/>
        </w:rPr>
        <w:t>******</w:t>
      </w:r>
    </w:p>
    <w:p w14:paraId="0B4C7F82" w14:textId="77777777" w:rsidR="00920C7E" w:rsidRPr="002E484B" w:rsidRDefault="00920C7E" w:rsidP="00755825">
      <w:pPr>
        <w:spacing w:before="360" w:after="120"/>
        <w:jc w:val="center"/>
        <w:rPr>
          <w:rFonts w:asciiTheme="minorHAnsi" w:hAnsiTheme="minorHAnsi" w:cs="Traditional Arabic"/>
          <w:i/>
          <w:iCs/>
          <w:sz w:val="32"/>
          <w:szCs w:val="28"/>
          <w:rtl/>
          <w:lang w:val="en-US" w:bidi="ar-EG"/>
        </w:rPr>
      </w:pPr>
      <w:r w:rsidRPr="002E484B">
        <w:rPr>
          <w:rFonts w:ascii="Tahoma" w:hAnsi="Tahoma" w:cs="Traditional Arabic" w:hint="cs"/>
          <w:i/>
          <w:iCs/>
          <w:sz w:val="32"/>
          <w:szCs w:val="28"/>
          <w:rtl/>
          <w:lang w:val="en-US" w:bidi="ar-EG"/>
        </w:rPr>
        <w:t>لا</w:t>
      </w:r>
      <w:r w:rsidRPr="002E484B">
        <w:rPr>
          <w:rFonts w:asciiTheme="minorHAnsi" w:hAnsiTheme="minorHAnsi" w:cs="Traditional Arabic"/>
          <w:i/>
          <w:iCs/>
          <w:sz w:val="32"/>
          <w:szCs w:val="28"/>
          <w:rtl/>
          <w:lang w:val="en-US" w:bidi="ar-EG"/>
        </w:rPr>
        <w:t xml:space="preserve"> </w:t>
      </w:r>
      <w:r w:rsidRPr="002E484B">
        <w:rPr>
          <w:rFonts w:ascii="Tahoma" w:hAnsi="Tahoma" w:cs="Traditional Arabic" w:hint="cs"/>
          <w:i/>
          <w:iCs/>
          <w:sz w:val="32"/>
          <w:szCs w:val="28"/>
          <w:rtl/>
          <w:lang w:val="en-US" w:bidi="ar-EG"/>
        </w:rPr>
        <w:t>ينطبق</w:t>
      </w:r>
      <w:r w:rsidRPr="002E484B">
        <w:rPr>
          <w:rFonts w:asciiTheme="minorHAnsi" w:hAnsiTheme="minorHAnsi" w:cs="Traditional Arabic"/>
          <w:i/>
          <w:iCs/>
          <w:sz w:val="32"/>
          <w:szCs w:val="28"/>
          <w:rtl/>
          <w:lang w:val="en-US" w:bidi="ar-EG"/>
        </w:rPr>
        <w:t xml:space="preserve"> </w:t>
      </w:r>
      <w:r w:rsidRPr="002E484B">
        <w:rPr>
          <w:rFonts w:ascii="Tahoma" w:hAnsi="Tahoma" w:cs="Traditional Arabic" w:hint="cs"/>
          <w:i/>
          <w:iCs/>
          <w:sz w:val="32"/>
          <w:szCs w:val="28"/>
          <w:rtl/>
          <w:lang w:val="en-US" w:bidi="ar-EG"/>
        </w:rPr>
        <w:t>على</w:t>
      </w:r>
      <w:r w:rsidRPr="002E484B">
        <w:rPr>
          <w:rFonts w:asciiTheme="minorHAnsi" w:hAnsiTheme="minorHAnsi" w:cs="Traditional Arabic"/>
          <w:i/>
          <w:iCs/>
          <w:sz w:val="32"/>
          <w:szCs w:val="28"/>
          <w:rtl/>
          <w:lang w:val="en-US" w:bidi="ar-EG"/>
        </w:rPr>
        <w:t xml:space="preserve"> </w:t>
      </w:r>
      <w:r w:rsidRPr="002E484B">
        <w:rPr>
          <w:rFonts w:ascii="Tahoma" w:hAnsi="Tahoma" w:cs="Traditional Arabic" w:hint="cs"/>
          <w:i/>
          <w:iCs/>
          <w:sz w:val="32"/>
          <w:szCs w:val="28"/>
          <w:rtl/>
          <w:lang w:val="en-US" w:bidi="ar-EG"/>
        </w:rPr>
        <w:t>النص</w:t>
      </w:r>
      <w:r w:rsidRPr="002E484B">
        <w:rPr>
          <w:rFonts w:asciiTheme="minorHAnsi" w:hAnsiTheme="minorHAnsi" w:cs="Traditional Arabic"/>
          <w:i/>
          <w:iCs/>
          <w:sz w:val="32"/>
          <w:szCs w:val="28"/>
          <w:rtl/>
          <w:lang w:val="en-US" w:bidi="ar-EG"/>
        </w:rPr>
        <w:t xml:space="preserve"> </w:t>
      </w:r>
      <w:r w:rsidRPr="002E484B">
        <w:rPr>
          <w:rFonts w:ascii="Tahoma" w:hAnsi="Tahoma" w:cs="Traditional Arabic" w:hint="cs"/>
          <w:i/>
          <w:iCs/>
          <w:sz w:val="32"/>
          <w:szCs w:val="28"/>
          <w:rtl/>
          <w:lang w:val="en-US" w:bidi="ar-EG"/>
        </w:rPr>
        <w:t>العربي</w:t>
      </w:r>
    </w:p>
    <w:p w14:paraId="55C74057" w14:textId="77777777" w:rsidR="00920C7E" w:rsidRPr="00920C7E" w:rsidRDefault="00920C7E" w:rsidP="00755825">
      <w:pPr>
        <w:spacing w:before="480" w:after="120"/>
        <w:jc w:val="center"/>
        <w:rPr>
          <w:rFonts w:asciiTheme="minorHAnsi" w:hAnsiTheme="minorHAnsi" w:cstheme="minorHAnsi"/>
          <w:b/>
          <w:bCs/>
          <w:sz w:val="28"/>
          <w:lang w:val="es-ES_tradnl" w:bidi="ar-EG"/>
        </w:rPr>
      </w:pPr>
      <w:r w:rsidRPr="00920C7E">
        <w:rPr>
          <w:rFonts w:asciiTheme="minorHAnsi" w:hAnsiTheme="minorHAnsi" w:cstheme="minorHAnsi"/>
          <w:b/>
          <w:bCs/>
          <w:sz w:val="28"/>
          <w:lang w:val="es-ES_tradnl" w:bidi="ar-EG"/>
        </w:rPr>
        <w:t>******</w:t>
      </w:r>
    </w:p>
    <w:p w14:paraId="25FFB191" w14:textId="416B52BC" w:rsidR="00920C7E" w:rsidRPr="00227318" w:rsidRDefault="002A2999" w:rsidP="00CC3AE1">
      <w:pPr>
        <w:pStyle w:val="Heading2"/>
        <w:keepNext w:val="0"/>
        <w:keepLines w:val="0"/>
        <w:tabs>
          <w:tab w:val="clear" w:pos="567"/>
          <w:tab w:val="clear" w:pos="1134"/>
          <w:tab w:val="clear" w:pos="1701"/>
          <w:tab w:val="clear" w:pos="2268"/>
          <w:tab w:val="clear" w:pos="2835"/>
        </w:tabs>
        <w:snapToGrid w:val="0"/>
        <w:spacing w:before="120" w:after="120"/>
        <w:ind w:left="709" w:hanging="709"/>
        <w:rPr>
          <w:rFonts w:asciiTheme="minorEastAsia" w:hAnsiTheme="minorEastAsia"/>
          <w:b w:val="0"/>
          <w:bCs/>
          <w:highlight w:val="yellow"/>
          <w:lang w:eastAsia="zh-CN"/>
        </w:rPr>
      </w:pPr>
      <w:r w:rsidRPr="00227318">
        <w:rPr>
          <w:rFonts w:asciiTheme="minorEastAsia" w:hAnsiTheme="minorEastAsia" w:cs="Microsoft YaHei" w:hint="eastAsia"/>
          <w:b w:val="0"/>
          <w:szCs w:val="24"/>
          <w:lang w:val="es-ES_tradnl" w:eastAsia="zh-CN"/>
        </w:rPr>
        <w:t>请用以下文本替换中文版的第</w:t>
      </w:r>
      <w:r w:rsidRPr="00227318">
        <w:rPr>
          <w:rFonts w:asciiTheme="minorEastAsia" w:hAnsiTheme="minorEastAsia" w:hint="eastAsia"/>
          <w:b w:val="0"/>
          <w:szCs w:val="24"/>
          <w:lang w:val="es-ES_tradnl" w:eastAsia="zh-CN"/>
        </w:rPr>
        <w:t>3</w:t>
      </w:r>
      <w:r w:rsidRPr="00227318">
        <w:rPr>
          <w:rFonts w:asciiTheme="minorEastAsia" w:hAnsiTheme="minorEastAsia" w:cs="Microsoft YaHei" w:hint="eastAsia"/>
          <w:b w:val="0"/>
          <w:szCs w:val="24"/>
          <w:lang w:val="es-ES_tradnl" w:eastAsia="zh-CN"/>
        </w:rPr>
        <w:t>部分：</w:t>
      </w:r>
    </w:p>
    <w:tbl>
      <w:tblPr>
        <w:tblStyle w:val="ListTable1Light-Accent1"/>
        <w:tblW w:w="0" w:type="auto"/>
        <w:tblLook w:val="0480" w:firstRow="0" w:lastRow="0" w:firstColumn="1" w:lastColumn="0" w:noHBand="0" w:noVBand="1"/>
      </w:tblPr>
      <w:tblGrid>
        <w:gridCol w:w="9498"/>
      </w:tblGrid>
      <w:tr w:rsidR="00920C7E" w:rsidRPr="00ED71D2" w14:paraId="1C7FD5B7" w14:textId="77777777" w:rsidTr="00735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100D8373" w14:textId="77777777" w:rsidR="00755825" w:rsidRPr="00E2173D" w:rsidRDefault="00755825" w:rsidP="00CC3AE1">
            <w:pPr>
              <w:pStyle w:val="Tabletext"/>
              <w:tabs>
                <w:tab w:val="left" w:pos="321"/>
              </w:tabs>
              <w:spacing w:before="120" w:after="120"/>
              <w:rPr>
                <w:lang w:eastAsia="zh-CN"/>
              </w:rPr>
            </w:pPr>
            <w:r w:rsidRPr="00E2173D">
              <w:rPr>
                <w:lang w:eastAsia="zh-CN"/>
              </w:rPr>
              <w:t>3</w:t>
            </w:r>
            <w:r w:rsidRPr="00E2173D">
              <w:rPr>
                <w:lang w:eastAsia="zh-CN"/>
              </w:rPr>
              <w:tab/>
            </w:r>
            <w:r w:rsidRPr="00E2173D">
              <w:rPr>
                <w:rFonts w:hint="eastAsia"/>
                <w:lang w:eastAsia="zh-CN"/>
              </w:rPr>
              <w:t>建立内部风险治理结构</w:t>
            </w:r>
          </w:p>
          <w:p w14:paraId="62FD2882" w14:textId="77777777" w:rsidR="002A2999" w:rsidRPr="002A2999" w:rsidRDefault="002A2999" w:rsidP="00CC3AE1">
            <w:pPr>
              <w:pStyle w:val="Tabletext"/>
              <w:spacing w:before="120" w:after="120"/>
              <w:ind w:left="746" w:hanging="425"/>
              <w:rPr>
                <w:rFonts w:cs="Calibri"/>
                <w:b w:val="0"/>
                <w:bCs w:val="0"/>
                <w:lang w:eastAsia="zh-CN"/>
              </w:rPr>
            </w:pPr>
            <w:r w:rsidRPr="002A2999">
              <w:rPr>
                <w:rFonts w:cs="Calibri" w:hint="eastAsia"/>
                <w:b w:val="0"/>
                <w:bCs w:val="0"/>
                <w:lang w:eastAsia="zh-CN"/>
              </w:rPr>
              <w:t>–</w:t>
            </w:r>
            <w:r w:rsidRPr="002A2999">
              <w:rPr>
                <w:rFonts w:cs="Calibri" w:hint="eastAsia"/>
                <w:b w:val="0"/>
                <w:bCs w:val="0"/>
                <w:lang w:eastAsia="zh-CN"/>
              </w:rPr>
              <w:tab/>
            </w:r>
            <w:r w:rsidRPr="002A2999">
              <w:rPr>
                <w:rFonts w:cs="Calibri" w:hint="eastAsia"/>
                <w:b w:val="0"/>
                <w:bCs w:val="0"/>
                <w:lang w:eastAsia="zh-CN"/>
              </w:rPr>
              <w:t>基于</w:t>
            </w:r>
            <w:r w:rsidRPr="002A2999">
              <w:rPr>
                <w:rFonts w:cs="Calibri" w:hint="eastAsia"/>
                <w:b w:val="0"/>
                <w:bCs w:val="0"/>
                <w:lang w:eastAsia="zh-CN"/>
              </w:rPr>
              <w:t>25</w:t>
            </w:r>
            <w:r w:rsidRPr="002A2999">
              <w:rPr>
                <w:rFonts w:cs="Calibri" w:hint="eastAsia"/>
                <w:b w:val="0"/>
                <w:bCs w:val="0"/>
                <w:lang w:eastAsia="zh-CN"/>
              </w:rPr>
              <w:t>个联合国组织的最佳实践（</w:t>
            </w:r>
            <w:r w:rsidRPr="002A2999">
              <w:rPr>
                <w:rFonts w:cs="Calibri" w:hint="eastAsia"/>
                <w:b w:val="0"/>
                <w:bCs w:val="0"/>
                <w:lang w:eastAsia="zh-CN"/>
              </w:rPr>
              <w:t>HLCM</w:t>
            </w:r>
            <w:r w:rsidRPr="002A2999">
              <w:rPr>
                <w:rFonts w:cs="Calibri" w:hint="eastAsia"/>
                <w:b w:val="0"/>
                <w:bCs w:val="0"/>
                <w:lang w:eastAsia="zh-CN"/>
              </w:rPr>
              <w:t>风险管理。任务组调查</w:t>
            </w:r>
            <w:r w:rsidRPr="002A2999">
              <w:rPr>
                <w:rFonts w:cs="Calibri" w:hint="eastAsia"/>
                <w:b w:val="0"/>
                <w:bCs w:val="0"/>
                <w:lang w:eastAsia="zh-CN"/>
              </w:rPr>
              <w:t>/2019</w:t>
            </w:r>
            <w:r w:rsidRPr="002A2999">
              <w:rPr>
                <w:rFonts w:cs="Calibri" w:hint="eastAsia"/>
                <w:b w:val="0"/>
                <w:bCs w:val="0"/>
                <w:lang w:eastAsia="zh-CN"/>
              </w:rPr>
              <w:t>年</w:t>
            </w:r>
            <w:r w:rsidRPr="002A2999">
              <w:rPr>
                <w:rFonts w:cs="Calibri" w:hint="eastAsia"/>
                <w:b w:val="0"/>
                <w:bCs w:val="0"/>
                <w:lang w:eastAsia="zh-CN"/>
              </w:rPr>
              <w:t>3</w:t>
            </w:r>
            <w:r w:rsidRPr="002A2999">
              <w:rPr>
                <w:rFonts w:cs="Calibri" w:hint="eastAsia"/>
                <w:b w:val="0"/>
                <w:bCs w:val="0"/>
                <w:lang w:eastAsia="zh-CN"/>
              </w:rPr>
              <w:t>月），风险管理治理结构得到加强。</w:t>
            </w:r>
          </w:p>
          <w:p w14:paraId="2507F57F" w14:textId="77777777" w:rsidR="002A2999" w:rsidRPr="002A2999" w:rsidRDefault="002A2999" w:rsidP="00CC3AE1">
            <w:pPr>
              <w:pStyle w:val="Tabletext"/>
              <w:spacing w:before="120" w:after="120"/>
              <w:ind w:left="746" w:hanging="425"/>
              <w:rPr>
                <w:rFonts w:cs="Calibri"/>
                <w:b w:val="0"/>
                <w:bCs w:val="0"/>
                <w:lang w:eastAsia="zh-CN"/>
              </w:rPr>
            </w:pPr>
            <w:r w:rsidRPr="002A2999">
              <w:rPr>
                <w:rFonts w:cs="Calibri" w:hint="eastAsia"/>
                <w:b w:val="0"/>
                <w:bCs w:val="0"/>
                <w:lang w:eastAsia="zh-CN"/>
              </w:rPr>
              <w:t>–</w:t>
            </w:r>
            <w:r w:rsidRPr="002A2999">
              <w:rPr>
                <w:rFonts w:cs="Calibri" w:hint="eastAsia"/>
                <w:b w:val="0"/>
                <w:bCs w:val="0"/>
                <w:lang w:eastAsia="zh-CN"/>
              </w:rPr>
              <w:tab/>
            </w:r>
            <w:r w:rsidRPr="002A2999">
              <w:rPr>
                <w:rFonts w:cs="Calibri" w:hint="eastAsia"/>
                <w:b w:val="0"/>
                <w:bCs w:val="0"/>
                <w:lang w:eastAsia="zh-CN"/>
              </w:rPr>
              <w:t>定义了监督风险管理实施的角色和职责，以及以下将定期</w:t>
            </w:r>
            <w:proofErr w:type="gramStart"/>
            <w:r w:rsidRPr="002A2999">
              <w:rPr>
                <w:rFonts w:cs="Calibri" w:hint="eastAsia"/>
                <w:b w:val="0"/>
                <w:bCs w:val="0"/>
                <w:lang w:eastAsia="zh-CN"/>
              </w:rPr>
              <w:t>审议高</w:t>
            </w:r>
            <w:proofErr w:type="gramEnd"/>
            <w:r w:rsidRPr="002A2999">
              <w:rPr>
                <w:rFonts w:cs="Calibri" w:hint="eastAsia"/>
                <w:b w:val="0"/>
                <w:bCs w:val="0"/>
                <w:lang w:eastAsia="zh-CN"/>
              </w:rPr>
              <w:t>风险，并做出与风险管理有关决策的流程，确保高层有一个明确的立场，促进负责任和有效的风险管理文化。</w:t>
            </w:r>
            <w:r w:rsidRPr="002A2999">
              <w:rPr>
                <w:rFonts w:cs="Calibri" w:hint="eastAsia"/>
                <w:b w:val="0"/>
                <w:bCs w:val="0"/>
                <w:lang w:eastAsia="zh-CN"/>
              </w:rPr>
              <w:t xml:space="preserve"> </w:t>
            </w:r>
          </w:p>
          <w:p w14:paraId="3D61BCB0" w14:textId="77777777" w:rsidR="002A2999" w:rsidRPr="002A2999" w:rsidRDefault="002A2999" w:rsidP="00CC3AE1">
            <w:pPr>
              <w:pStyle w:val="Tabletext"/>
              <w:spacing w:before="120" w:after="120"/>
              <w:ind w:left="746" w:hanging="425"/>
              <w:rPr>
                <w:rFonts w:cs="Calibri"/>
                <w:b w:val="0"/>
                <w:bCs w:val="0"/>
                <w:lang w:eastAsia="zh-CN"/>
              </w:rPr>
            </w:pPr>
            <w:r w:rsidRPr="002A2999">
              <w:rPr>
                <w:rFonts w:cs="Calibri" w:hint="eastAsia"/>
                <w:b w:val="0"/>
                <w:bCs w:val="0"/>
                <w:lang w:eastAsia="zh-CN"/>
              </w:rPr>
              <w:t>–</w:t>
            </w:r>
            <w:r w:rsidRPr="002A2999">
              <w:rPr>
                <w:rFonts w:cs="Calibri" w:hint="eastAsia"/>
                <w:b w:val="0"/>
                <w:bCs w:val="0"/>
                <w:lang w:eastAsia="zh-CN"/>
              </w:rPr>
              <w:tab/>
            </w:r>
            <w:r w:rsidRPr="002A2999">
              <w:rPr>
                <w:rFonts w:cs="Calibri" w:hint="eastAsia"/>
                <w:b w:val="0"/>
                <w:bCs w:val="0"/>
                <w:lang w:eastAsia="zh-CN"/>
              </w:rPr>
              <w:t>所有这些能力和监控活动都在风险管理政策中有所描述，并在风险管理手册中有进一步的详细说明。</w:t>
            </w:r>
            <w:r w:rsidRPr="002A2999">
              <w:rPr>
                <w:rFonts w:cs="Calibri" w:hint="eastAsia"/>
                <w:b w:val="0"/>
                <w:bCs w:val="0"/>
                <w:lang w:eastAsia="zh-CN"/>
              </w:rPr>
              <w:t xml:space="preserve"> </w:t>
            </w:r>
          </w:p>
          <w:p w14:paraId="08CC30FB" w14:textId="69908493" w:rsidR="002A2999" w:rsidRPr="002A2999" w:rsidRDefault="002A2999" w:rsidP="00CC3AE1">
            <w:pPr>
              <w:pStyle w:val="Tabletext"/>
              <w:spacing w:before="120" w:after="120"/>
              <w:ind w:left="746" w:hanging="425"/>
              <w:rPr>
                <w:rFonts w:cs="Calibri"/>
                <w:lang w:eastAsia="zh-CN"/>
              </w:rPr>
            </w:pPr>
            <w:r w:rsidRPr="002A2999">
              <w:rPr>
                <w:rFonts w:cs="Calibri" w:hint="eastAsia"/>
                <w:lang w:eastAsia="zh-CN"/>
              </w:rPr>
              <w:t>–</w:t>
            </w:r>
            <w:r w:rsidRPr="002A2999">
              <w:rPr>
                <w:rFonts w:cs="Calibri" w:hint="eastAsia"/>
                <w:lang w:eastAsia="zh-CN"/>
              </w:rPr>
              <w:tab/>
            </w:r>
            <w:r w:rsidRPr="002A2999">
              <w:rPr>
                <w:rFonts w:cs="Calibri" w:hint="eastAsia"/>
                <w:lang w:eastAsia="zh-CN"/>
              </w:rPr>
              <w:t>行动</w:t>
            </w:r>
            <w:r w:rsidRPr="002A2999">
              <w:rPr>
                <w:rFonts w:cs="Calibri" w:hint="eastAsia"/>
                <w:lang w:eastAsia="zh-CN"/>
              </w:rPr>
              <w:t>3</w:t>
            </w:r>
            <w:r w:rsidRPr="002A2999">
              <w:rPr>
                <w:rFonts w:cs="Calibri" w:hint="eastAsia"/>
                <w:lang w:eastAsia="zh-CN"/>
              </w:rPr>
              <w:t>于</w:t>
            </w:r>
            <w:r w:rsidRPr="002A2999">
              <w:rPr>
                <w:rFonts w:cs="Calibri" w:hint="eastAsia"/>
                <w:lang w:eastAsia="zh-CN"/>
              </w:rPr>
              <w:t>2020</w:t>
            </w:r>
            <w:r w:rsidRPr="002A2999">
              <w:rPr>
                <w:rFonts w:cs="Calibri" w:hint="eastAsia"/>
                <w:lang w:eastAsia="zh-CN"/>
              </w:rPr>
              <w:t>年</w:t>
            </w:r>
            <w:r w:rsidRPr="002A2999">
              <w:rPr>
                <w:rFonts w:cs="Calibri" w:hint="eastAsia"/>
                <w:lang w:eastAsia="zh-CN"/>
              </w:rPr>
              <w:t>12</w:t>
            </w:r>
            <w:r w:rsidRPr="002A2999">
              <w:rPr>
                <w:rFonts w:cs="Calibri" w:hint="eastAsia"/>
                <w:lang w:eastAsia="zh-CN"/>
              </w:rPr>
              <w:t>月完成：内部风险管理结构已经到位，而风险管理和内部控制职能的设立也已作为一个职位包括在已获授权但无资金的强制性活动中（见</w:t>
            </w:r>
            <w:r w:rsidRPr="002A2999">
              <w:rPr>
                <w:rFonts w:cs="Calibri" w:hint="eastAsia"/>
                <w:lang w:eastAsia="zh-CN"/>
              </w:rPr>
              <w:t>C21/49</w:t>
            </w:r>
            <w:r w:rsidRPr="002A2999">
              <w:rPr>
                <w:rFonts w:cs="Calibri" w:hint="eastAsia"/>
                <w:lang w:eastAsia="zh-CN"/>
              </w:rPr>
              <w:t>号文件）。</w:t>
            </w:r>
          </w:p>
        </w:tc>
      </w:tr>
    </w:tbl>
    <w:p w14:paraId="31E30EB6" w14:textId="77777777" w:rsidR="00920C7E" w:rsidRPr="007727DE" w:rsidRDefault="00920C7E" w:rsidP="00755825">
      <w:pPr>
        <w:spacing w:before="480" w:after="120"/>
        <w:jc w:val="center"/>
        <w:rPr>
          <w:rFonts w:asciiTheme="minorHAnsi" w:hAnsiTheme="minorHAnsi" w:cstheme="minorHAnsi"/>
          <w:b/>
          <w:bCs/>
          <w:sz w:val="28"/>
          <w:lang w:val="ru-RU"/>
        </w:rPr>
      </w:pPr>
      <w:r w:rsidRPr="007727DE">
        <w:rPr>
          <w:rFonts w:asciiTheme="minorHAnsi" w:hAnsiTheme="minorHAnsi" w:cstheme="minorHAnsi"/>
          <w:b/>
          <w:bCs/>
          <w:sz w:val="28"/>
          <w:lang w:val="ru-RU"/>
        </w:rPr>
        <w:t>******</w:t>
      </w:r>
    </w:p>
    <w:p w14:paraId="279C9BFC" w14:textId="77777777" w:rsidR="00920C7E" w:rsidRPr="007727DE" w:rsidRDefault="00920C7E" w:rsidP="00755825">
      <w:pPr>
        <w:spacing w:before="360" w:after="120"/>
        <w:jc w:val="center"/>
        <w:rPr>
          <w:rFonts w:asciiTheme="minorHAnsi" w:hAnsiTheme="minorHAnsi" w:cstheme="minorHAnsi"/>
          <w:sz w:val="28"/>
          <w:lang w:val="ru-RU" w:bidi="ar-EG"/>
        </w:rPr>
      </w:pPr>
      <w:r w:rsidRPr="00C1224D">
        <w:rPr>
          <w:rFonts w:asciiTheme="minorHAnsi" w:hAnsiTheme="minorHAnsi" w:cstheme="minorHAnsi"/>
          <w:sz w:val="28"/>
          <w:lang w:val="ru-RU"/>
        </w:rPr>
        <w:t>Не относится к тексту на русском языке</w:t>
      </w:r>
    </w:p>
    <w:p w14:paraId="40975FDC" w14:textId="3086C2F2" w:rsidR="00CF134B" w:rsidRPr="00755825" w:rsidRDefault="00755825" w:rsidP="00755825">
      <w:pPr>
        <w:spacing w:before="840"/>
        <w:jc w:val="center"/>
        <w:rPr>
          <w:rFonts w:cstheme="minorHAnsi"/>
        </w:rPr>
      </w:pPr>
      <w:r w:rsidRPr="00755825">
        <w:rPr>
          <w:rFonts w:asciiTheme="minorHAnsi" w:hAnsiTheme="minorHAnsi" w:cstheme="minorHAnsi"/>
          <w:sz w:val="28"/>
          <w:lang w:val="es-ES"/>
        </w:rPr>
        <w:t>______________</w:t>
      </w:r>
    </w:p>
    <w:sectPr w:rsidR="00CF134B" w:rsidRPr="00755825" w:rsidSect="00920C7E">
      <w:headerReference w:type="default" r:id="rId14"/>
      <w:footerReference w:type="first" r:id="rId15"/>
      <w:pgSz w:w="11907" w:h="16834"/>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4D4D" w14:textId="77777777" w:rsidR="00307AFF" w:rsidRDefault="00307AFF">
      <w:r>
        <w:separator/>
      </w:r>
    </w:p>
  </w:endnote>
  <w:endnote w:type="continuationSeparator" w:id="0">
    <w:p w14:paraId="32AACEDA" w14:textId="77777777" w:rsidR="00307AFF" w:rsidRDefault="0030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7AA9" w14:textId="77777777" w:rsidR="00307AFF" w:rsidRDefault="00307AFF">
      <w:r>
        <w:t>____________________</w:t>
      </w:r>
    </w:p>
  </w:footnote>
  <w:footnote w:type="continuationSeparator" w:id="0">
    <w:p w14:paraId="0C80D055" w14:textId="77777777" w:rsidR="00307AFF" w:rsidRDefault="0030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D2C" w14:textId="77777777" w:rsidR="00920C7E" w:rsidRDefault="00920C7E" w:rsidP="00920C7E">
    <w:pPr>
      <w:pStyle w:val="Header"/>
    </w:pPr>
    <w:r>
      <w:fldChar w:fldCharType="begin"/>
    </w:r>
    <w:r>
      <w:instrText>PAGE</w:instrText>
    </w:r>
    <w:r>
      <w:fldChar w:fldCharType="separate"/>
    </w:r>
    <w:r>
      <w:t>2</w:t>
    </w:r>
    <w:r>
      <w:rPr>
        <w:noProof/>
      </w:rPr>
      <w:fldChar w:fldCharType="end"/>
    </w:r>
  </w:p>
  <w:p w14:paraId="5692B9AA" w14:textId="71EEFE1C" w:rsidR="00920C7E" w:rsidRPr="00623AE3" w:rsidRDefault="00920C7E" w:rsidP="00920C7E">
    <w:pPr>
      <w:pStyle w:val="Header"/>
      <w:rPr>
        <w:bCs/>
      </w:rPr>
    </w:pPr>
    <w:r w:rsidRPr="00F56668">
      <w:rPr>
        <w:bCs/>
      </w:rPr>
      <w:t>C21/</w:t>
    </w:r>
    <w:r>
      <w:rPr>
        <w:bCs/>
      </w:rPr>
      <w:t>61</w:t>
    </w:r>
    <w:r w:rsidR="00964855">
      <w:rPr>
        <w:bCs/>
      </w:rPr>
      <w:t>(Corr.1)</w:t>
    </w:r>
    <w:r w:rsidRPr="00F56668">
      <w:rPr>
        <w:bCs/>
      </w:rPr>
      <w:t>-E</w:t>
    </w:r>
    <w:r w:rsidR="00964855">
      <w:rPr>
        <w:bCs/>
      </w:rPr>
      <w:t>/F/S/A/C/R</w:t>
    </w:r>
  </w:p>
  <w:p w14:paraId="34EC98F4" w14:textId="58143153" w:rsidR="00322D0D" w:rsidRPr="00920C7E" w:rsidRDefault="00322D0D" w:rsidP="00920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CD9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0B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CA9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DAC0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AB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305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D614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CF2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D28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EE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004E0"/>
    <w:multiLevelType w:val="hybridMultilevel"/>
    <w:tmpl w:val="185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EC374A"/>
    <w:multiLevelType w:val="multilevel"/>
    <w:tmpl w:val="35B491A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54007"/>
    <w:rsid w:val="00063016"/>
    <w:rsid w:val="00066795"/>
    <w:rsid w:val="00076AF6"/>
    <w:rsid w:val="00085CF2"/>
    <w:rsid w:val="000B1705"/>
    <w:rsid w:val="000B5FA9"/>
    <w:rsid w:val="000D036C"/>
    <w:rsid w:val="000D75B2"/>
    <w:rsid w:val="000E7FA9"/>
    <w:rsid w:val="00102490"/>
    <w:rsid w:val="001121F5"/>
    <w:rsid w:val="00113C1A"/>
    <w:rsid w:val="001270F2"/>
    <w:rsid w:val="001273A5"/>
    <w:rsid w:val="001400DC"/>
    <w:rsid w:val="00140CE1"/>
    <w:rsid w:val="00154550"/>
    <w:rsid w:val="0017539C"/>
    <w:rsid w:val="00175AC2"/>
    <w:rsid w:val="0017609F"/>
    <w:rsid w:val="001907EA"/>
    <w:rsid w:val="001A3952"/>
    <w:rsid w:val="001C628E"/>
    <w:rsid w:val="001D0657"/>
    <w:rsid w:val="001E0F7B"/>
    <w:rsid w:val="001E647A"/>
    <w:rsid w:val="001F7644"/>
    <w:rsid w:val="00203E54"/>
    <w:rsid w:val="002119FD"/>
    <w:rsid w:val="002130E0"/>
    <w:rsid w:val="00223104"/>
    <w:rsid w:val="00224F4D"/>
    <w:rsid w:val="00227318"/>
    <w:rsid w:val="0023534A"/>
    <w:rsid w:val="00236780"/>
    <w:rsid w:val="00264425"/>
    <w:rsid w:val="00265875"/>
    <w:rsid w:val="00272648"/>
    <w:rsid w:val="0027303B"/>
    <w:rsid w:val="0028109B"/>
    <w:rsid w:val="00297D13"/>
    <w:rsid w:val="002A2188"/>
    <w:rsid w:val="002A2999"/>
    <w:rsid w:val="002B1F58"/>
    <w:rsid w:val="002C1C7A"/>
    <w:rsid w:val="002E01C7"/>
    <w:rsid w:val="002E4104"/>
    <w:rsid w:val="002E56A7"/>
    <w:rsid w:val="0030147F"/>
    <w:rsid w:val="0030160F"/>
    <w:rsid w:val="0030700F"/>
    <w:rsid w:val="00307AFF"/>
    <w:rsid w:val="00322D0D"/>
    <w:rsid w:val="00341945"/>
    <w:rsid w:val="003546E4"/>
    <w:rsid w:val="003942D4"/>
    <w:rsid w:val="003958A8"/>
    <w:rsid w:val="003C2533"/>
    <w:rsid w:val="003D449C"/>
    <w:rsid w:val="00401F99"/>
    <w:rsid w:val="0040435A"/>
    <w:rsid w:val="00412BD8"/>
    <w:rsid w:val="00415FFF"/>
    <w:rsid w:val="00416A24"/>
    <w:rsid w:val="00417984"/>
    <w:rsid w:val="00431D9E"/>
    <w:rsid w:val="00433CE8"/>
    <w:rsid w:val="00434A5C"/>
    <w:rsid w:val="004544D9"/>
    <w:rsid w:val="00455931"/>
    <w:rsid w:val="004806E6"/>
    <w:rsid w:val="0048133F"/>
    <w:rsid w:val="00490E72"/>
    <w:rsid w:val="00491157"/>
    <w:rsid w:val="00491973"/>
    <w:rsid w:val="004921C8"/>
    <w:rsid w:val="004A7924"/>
    <w:rsid w:val="004B2FEA"/>
    <w:rsid w:val="004B370F"/>
    <w:rsid w:val="004B5A3C"/>
    <w:rsid w:val="004D0C10"/>
    <w:rsid w:val="004D1851"/>
    <w:rsid w:val="004D599D"/>
    <w:rsid w:val="004E2EA5"/>
    <w:rsid w:val="004E3AEB"/>
    <w:rsid w:val="0050223C"/>
    <w:rsid w:val="005243FF"/>
    <w:rsid w:val="0055121A"/>
    <w:rsid w:val="00564FBC"/>
    <w:rsid w:val="00581E3E"/>
    <w:rsid w:val="00582442"/>
    <w:rsid w:val="005B539A"/>
    <w:rsid w:val="005E7A3B"/>
    <w:rsid w:val="005F27C6"/>
    <w:rsid w:val="005F3269"/>
    <w:rsid w:val="00623AE3"/>
    <w:rsid w:val="0064721E"/>
    <w:rsid w:val="0064737F"/>
    <w:rsid w:val="006535F1"/>
    <w:rsid w:val="0065557D"/>
    <w:rsid w:val="00662984"/>
    <w:rsid w:val="006716BB"/>
    <w:rsid w:val="006848DD"/>
    <w:rsid w:val="00696C19"/>
    <w:rsid w:val="006A650B"/>
    <w:rsid w:val="006B41C7"/>
    <w:rsid w:val="006B6680"/>
    <w:rsid w:val="006B6DCC"/>
    <w:rsid w:val="006D7C41"/>
    <w:rsid w:val="006F39C9"/>
    <w:rsid w:val="006F6548"/>
    <w:rsid w:val="006F7A9B"/>
    <w:rsid w:val="00702DEF"/>
    <w:rsid w:val="00706861"/>
    <w:rsid w:val="00740FE3"/>
    <w:rsid w:val="007416BE"/>
    <w:rsid w:val="0075051B"/>
    <w:rsid w:val="00755825"/>
    <w:rsid w:val="00774343"/>
    <w:rsid w:val="00793188"/>
    <w:rsid w:val="00794D34"/>
    <w:rsid w:val="00796805"/>
    <w:rsid w:val="007D79C5"/>
    <w:rsid w:val="007E04F2"/>
    <w:rsid w:val="007E405E"/>
    <w:rsid w:val="00813E5E"/>
    <w:rsid w:val="00835065"/>
    <w:rsid w:val="0083581B"/>
    <w:rsid w:val="00841B86"/>
    <w:rsid w:val="00845A27"/>
    <w:rsid w:val="00864AFF"/>
    <w:rsid w:val="008B3190"/>
    <w:rsid w:val="008B4A6A"/>
    <w:rsid w:val="008C4CB5"/>
    <w:rsid w:val="008C7E27"/>
    <w:rsid w:val="008D4244"/>
    <w:rsid w:val="009173EF"/>
    <w:rsid w:val="00920C7E"/>
    <w:rsid w:val="00923B95"/>
    <w:rsid w:val="0092477B"/>
    <w:rsid w:val="00932906"/>
    <w:rsid w:val="00961B0B"/>
    <w:rsid w:val="00964855"/>
    <w:rsid w:val="0098631D"/>
    <w:rsid w:val="009B38C3"/>
    <w:rsid w:val="009D2199"/>
    <w:rsid w:val="009E17BD"/>
    <w:rsid w:val="009E485A"/>
    <w:rsid w:val="009E7141"/>
    <w:rsid w:val="009F1EF0"/>
    <w:rsid w:val="009F66A3"/>
    <w:rsid w:val="00A04CEC"/>
    <w:rsid w:val="00A256A9"/>
    <w:rsid w:val="00A27F92"/>
    <w:rsid w:val="00A32257"/>
    <w:rsid w:val="00A36D20"/>
    <w:rsid w:val="00A55622"/>
    <w:rsid w:val="00A808E0"/>
    <w:rsid w:val="00A83502"/>
    <w:rsid w:val="00A8382F"/>
    <w:rsid w:val="00A93619"/>
    <w:rsid w:val="00A94293"/>
    <w:rsid w:val="00A95D40"/>
    <w:rsid w:val="00AA4B0D"/>
    <w:rsid w:val="00AC47C8"/>
    <w:rsid w:val="00AD15B3"/>
    <w:rsid w:val="00AD39A0"/>
    <w:rsid w:val="00AF6E49"/>
    <w:rsid w:val="00B04A67"/>
    <w:rsid w:val="00B0583C"/>
    <w:rsid w:val="00B24B26"/>
    <w:rsid w:val="00B35DEA"/>
    <w:rsid w:val="00B40A81"/>
    <w:rsid w:val="00B44910"/>
    <w:rsid w:val="00B72267"/>
    <w:rsid w:val="00B76EB6"/>
    <w:rsid w:val="00B7737B"/>
    <w:rsid w:val="00B824C8"/>
    <w:rsid w:val="00B97976"/>
    <w:rsid w:val="00BC0F74"/>
    <w:rsid w:val="00BC1F04"/>
    <w:rsid w:val="00BC251A"/>
    <w:rsid w:val="00BC404A"/>
    <w:rsid w:val="00BD032B"/>
    <w:rsid w:val="00BD2CAB"/>
    <w:rsid w:val="00BD36BD"/>
    <w:rsid w:val="00BE2640"/>
    <w:rsid w:val="00C01189"/>
    <w:rsid w:val="00C0426A"/>
    <w:rsid w:val="00C374DE"/>
    <w:rsid w:val="00C47AD4"/>
    <w:rsid w:val="00C52964"/>
    <w:rsid w:val="00C52D81"/>
    <w:rsid w:val="00C55198"/>
    <w:rsid w:val="00CA4662"/>
    <w:rsid w:val="00CA6393"/>
    <w:rsid w:val="00CB18FF"/>
    <w:rsid w:val="00CB247F"/>
    <w:rsid w:val="00CB6E27"/>
    <w:rsid w:val="00CC3AE1"/>
    <w:rsid w:val="00CD0C08"/>
    <w:rsid w:val="00CD0D41"/>
    <w:rsid w:val="00CD6515"/>
    <w:rsid w:val="00CE03FB"/>
    <w:rsid w:val="00CE433C"/>
    <w:rsid w:val="00CF134B"/>
    <w:rsid w:val="00CF33F3"/>
    <w:rsid w:val="00CF5A9F"/>
    <w:rsid w:val="00D06183"/>
    <w:rsid w:val="00D143D0"/>
    <w:rsid w:val="00D22C42"/>
    <w:rsid w:val="00D338E0"/>
    <w:rsid w:val="00D4582A"/>
    <w:rsid w:val="00D65041"/>
    <w:rsid w:val="00D74679"/>
    <w:rsid w:val="00D77176"/>
    <w:rsid w:val="00D8774A"/>
    <w:rsid w:val="00DB384B"/>
    <w:rsid w:val="00DB77C7"/>
    <w:rsid w:val="00E07605"/>
    <w:rsid w:val="00E10E80"/>
    <w:rsid w:val="00E11475"/>
    <w:rsid w:val="00E124F0"/>
    <w:rsid w:val="00E2165E"/>
    <w:rsid w:val="00E52E8A"/>
    <w:rsid w:val="00E60F04"/>
    <w:rsid w:val="00E66415"/>
    <w:rsid w:val="00E70B6D"/>
    <w:rsid w:val="00E854E4"/>
    <w:rsid w:val="00EA2120"/>
    <w:rsid w:val="00EB0D6F"/>
    <w:rsid w:val="00EB2232"/>
    <w:rsid w:val="00EB3E45"/>
    <w:rsid w:val="00EC5337"/>
    <w:rsid w:val="00ED6C3F"/>
    <w:rsid w:val="00ED71D2"/>
    <w:rsid w:val="00EE3ABA"/>
    <w:rsid w:val="00EF0BC6"/>
    <w:rsid w:val="00F2150A"/>
    <w:rsid w:val="00F231D8"/>
    <w:rsid w:val="00F2445E"/>
    <w:rsid w:val="00F46C5F"/>
    <w:rsid w:val="00F56668"/>
    <w:rsid w:val="00F60E4C"/>
    <w:rsid w:val="00F75156"/>
    <w:rsid w:val="00F867A5"/>
    <w:rsid w:val="00F94A63"/>
    <w:rsid w:val="00FA1C28"/>
    <w:rsid w:val="00FA5E3B"/>
    <w:rsid w:val="00FB1279"/>
    <w:rsid w:val="00FB7596"/>
    <w:rsid w:val="00FD427E"/>
    <w:rsid w:val="00FE4077"/>
    <w:rsid w:val="00FE77D2"/>
    <w:rsid w:val="00FF0049"/>
    <w:rsid w:val="072C49E6"/>
    <w:rsid w:val="7BBD1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5582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4A7924"/>
    <w:pPr>
      <w:ind w:left="720"/>
      <w:contextualSpacing/>
    </w:pPr>
  </w:style>
  <w:style w:type="character" w:customStyle="1" w:styleId="ListParagraphChar">
    <w:name w:val="List Paragraph Char"/>
    <w:basedOn w:val="DefaultParagraphFont"/>
    <w:link w:val="ListParagraph"/>
    <w:uiPriority w:val="34"/>
    <w:rsid w:val="004A7924"/>
    <w:rPr>
      <w:rFonts w:ascii="Calibri" w:hAnsi="Calibri"/>
      <w:sz w:val="24"/>
      <w:lang w:val="en-GB" w:eastAsia="en-US"/>
    </w:rPr>
  </w:style>
  <w:style w:type="table" w:styleId="ListTable1Light-Accent1">
    <w:name w:val="List Table 1 Light Accent 1"/>
    <w:basedOn w:val="TableNormal"/>
    <w:uiPriority w:val="46"/>
    <w:rsid w:val="004A7924"/>
    <w:rPr>
      <w:rFonts w:ascii="Times New Roman" w:eastAsia="SimSu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F2445E"/>
    <w:rPr>
      <w:sz w:val="16"/>
      <w:szCs w:val="16"/>
    </w:rPr>
  </w:style>
  <w:style w:type="paragraph" w:styleId="CommentText">
    <w:name w:val="annotation text"/>
    <w:basedOn w:val="Normal"/>
    <w:link w:val="CommentTextChar"/>
    <w:semiHidden/>
    <w:unhideWhenUsed/>
    <w:rsid w:val="00F2445E"/>
    <w:rPr>
      <w:sz w:val="20"/>
    </w:rPr>
  </w:style>
  <w:style w:type="character" w:customStyle="1" w:styleId="CommentTextChar">
    <w:name w:val="Comment Text Char"/>
    <w:basedOn w:val="DefaultParagraphFont"/>
    <w:link w:val="CommentText"/>
    <w:semiHidden/>
    <w:rsid w:val="00F2445E"/>
    <w:rPr>
      <w:rFonts w:ascii="Calibri" w:hAnsi="Calibri"/>
      <w:lang w:val="en-GB" w:eastAsia="en-US"/>
    </w:rPr>
  </w:style>
  <w:style w:type="paragraph" w:styleId="CommentSubject">
    <w:name w:val="annotation subject"/>
    <w:basedOn w:val="CommentText"/>
    <w:next w:val="CommentText"/>
    <w:link w:val="CommentSubjectChar"/>
    <w:semiHidden/>
    <w:unhideWhenUsed/>
    <w:rsid w:val="00F2445E"/>
    <w:rPr>
      <w:b/>
      <w:bCs/>
    </w:rPr>
  </w:style>
  <w:style w:type="character" w:customStyle="1" w:styleId="CommentSubjectChar">
    <w:name w:val="Comment Subject Char"/>
    <w:basedOn w:val="CommentTextChar"/>
    <w:link w:val="CommentSubject"/>
    <w:semiHidden/>
    <w:rsid w:val="00F2445E"/>
    <w:rPr>
      <w:rFonts w:ascii="Calibri" w:hAnsi="Calibri"/>
      <w:b/>
      <w:bCs/>
      <w:lang w:val="en-GB" w:eastAsia="en-US"/>
    </w:rPr>
  </w:style>
  <w:style w:type="character" w:customStyle="1" w:styleId="Heading2Char">
    <w:name w:val="Heading 2 Char"/>
    <w:basedOn w:val="DefaultParagraphFont"/>
    <w:link w:val="Heading2"/>
    <w:rsid w:val="00755825"/>
    <w:rPr>
      <w:rFonts w:ascii="Calibri" w:hAnsi="Calibri"/>
      <w:b/>
      <w:sz w:val="24"/>
      <w:lang w:val="en-GB" w:eastAsia="en-US"/>
    </w:rPr>
  </w:style>
  <w:style w:type="character" w:customStyle="1" w:styleId="Heading1Char">
    <w:name w:val="Heading 1 Char"/>
    <w:basedOn w:val="DefaultParagraphFont"/>
    <w:link w:val="Heading1"/>
    <w:rsid w:val="002A2999"/>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L-C-0049/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1-CL-C-0049/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4" ma:contentTypeDescription="Create a new document." ma:contentTypeScope="" ma:versionID="ab0278a19d79d79aba07f0fc42ad4ff1">
  <xsd:schema xmlns:xsd="http://www.w3.org/2001/XMLSchema" xmlns:xs="http://www.w3.org/2001/XMLSchema" xmlns:p="http://schemas.microsoft.com/office/2006/metadata/properties" xmlns:ns2="4c272582-4164-40b3-8c4b-3c1a04c8dc1b" targetNamespace="http://schemas.microsoft.com/office/2006/metadata/properties" ma:root="true" ma:fieldsID="350f63e12ddd2528da1f5e323684cf9d" ns2:_="">
    <xsd:import namespace="4c272582-4164-40b3-8c4b-3c1a04c8d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EB29-FD37-43DA-8F28-769973CE7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45A81-0774-40CC-AB61-3B5C85A569C0}">
  <ds:schemaRefs>
    <ds:schemaRef ds:uri="http://schemas.microsoft.com/sharepoint/v3/contenttype/forms"/>
  </ds:schemaRefs>
</ds:datastoreItem>
</file>

<file path=customXml/itemProps3.xml><?xml version="1.0" encoding="utf-8"?>
<ds:datastoreItem xmlns:ds="http://schemas.openxmlformats.org/officeDocument/2006/customXml" ds:itemID="{0785BD4A-9A0C-4FC5-B834-4700A753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2436</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Report on the implementation of the risk management action plan</vt:lpstr>
    </vt:vector>
  </TitlesOfParts>
  <Manager>General Secretariat - Pool</Manager>
  <Company>International Telecommunication Union (ITU)</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risk management action plan</dc:title>
  <dc:subject>Council 2021, Virtual consultation of councillors</dc:subject>
  <dc:creator>Brouard, Ricarda</dc:creator>
  <cp:keywords>C2021, C21, VCC</cp:keywords>
  <dc:description/>
  <cp:lastModifiedBy>Xue, Kun</cp:lastModifiedBy>
  <cp:revision>4</cp:revision>
  <cp:lastPrinted>2000-07-18T13:30:00Z</cp:lastPrinted>
  <dcterms:created xsi:type="dcterms:W3CDTF">2021-05-27T12:28:00Z</dcterms:created>
  <dcterms:modified xsi:type="dcterms:W3CDTF">2021-05-27T16:43:00Z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0x0101003A20BCD90392CE4983D33C8AE8606CB9</vt:lpwstr>
  </property>
</Properties>
</file>