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9CCE6B" w14:textId="77777777" w:rsidTr="006C7CC0">
        <w:trPr>
          <w:cantSplit/>
          <w:trHeight w:val="20"/>
        </w:trPr>
        <w:tc>
          <w:tcPr>
            <w:tcW w:w="6620" w:type="dxa"/>
          </w:tcPr>
          <w:p w14:paraId="693A75CA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2C5C17F" w14:textId="77777777" w:rsidR="00290728" w:rsidRPr="00290728" w:rsidRDefault="006A793B" w:rsidP="00F14B7B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C46A4CC" wp14:editId="5D2CDC9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DC9DB4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5A7E24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4A15F1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631C83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3ED4E0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1D6BD8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62528F" w:rsidRPr="00290728" w14:paraId="31E7BCFF" w14:textId="77777777" w:rsidTr="009F66A8">
        <w:trPr>
          <w:cantSplit/>
        </w:trPr>
        <w:tc>
          <w:tcPr>
            <w:tcW w:w="6620" w:type="dxa"/>
            <w:vMerge w:val="restart"/>
          </w:tcPr>
          <w:p w14:paraId="3EDB06ED" w14:textId="4F0A282A" w:rsidR="0062528F" w:rsidRPr="00785C31" w:rsidRDefault="0062528F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785C3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85C31">
              <w:rPr>
                <w:b/>
                <w:bCs/>
                <w:lang w:bidi="ar-EG"/>
              </w:rPr>
              <w:t>ADM 25 </w:t>
            </w:r>
          </w:p>
        </w:tc>
        <w:tc>
          <w:tcPr>
            <w:tcW w:w="3052" w:type="dxa"/>
            <w:vAlign w:val="center"/>
          </w:tcPr>
          <w:p w14:paraId="73A5923A" w14:textId="11DE01B4" w:rsidR="0062528F" w:rsidRPr="002F71D8" w:rsidRDefault="0062528F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62528F" w:rsidRPr="00290728" w14:paraId="251C9C6A" w14:textId="77777777" w:rsidTr="009F66A8">
        <w:trPr>
          <w:cantSplit/>
        </w:trPr>
        <w:tc>
          <w:tcPr>
            <w:tcW w:w="6620" w:type="dxa"/>
            <w:vMerge/>
          </w:tcPr>
          <w:p w14:paraId="224A5B47" w14:textId="77777777" w:rsidR="0062528F" w:rsidRPr="002F71D8" w:rsidRDefault="0062528F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99C8810" w14:textId="15075082" w:rsidR="0062528F" w:rsidRPr="002F71D8" w:rsidRDefault="0062528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1</w:t>
            </w:r>
          </w:p>
        </w:tc>
      </w:tr>
      <w:tr w:rsidR="0062528F" w:rsidRPr="00290728" w14:paraId="06A4FB73" w14:textId="77777777" w:rsidTr="009F66A8">
        <w:trPr>
          <w:cantSplit/>
        </w:trPr>
        <w:tc>
          <w:tcPr>
            <w:tcW w:w="6620" w:type="dxa"/>
            <w:vMerge/>
          </w:tcPr>
          <w:p w14:paraId="55A956BD" w14:textId="77777777" w:rsidR="0062528F" w:rsidRPr="002F71D8" w:rsidRDefault="0062528F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C716E65" w14:textId="77777777" w:rsidR="0062528F" w:rsidRPr="002F71D8" w:rsidRDefault="0062528F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785C3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2989AA5" w14:textId="77777777" w:rsidTr="009F66A8">
        <w:trPr>
          <w:cantSplit/>
        </w:trPr>
        <w:tc>
          <w:tcPr>
            <w:tcW w:w="9672" w:type="dxa"/>
            <w:gridSpan w:val="2"/>
          </w:tcPr>
          <w:p w14:paraId="024F2DB1" w14:textId="3B426336" w:rsidR="00290728" w:rsidRPr="00290728" w:rsidRDefault="00785C31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54573BA4" w14:textId="77777777" w:rsidTr="009F66A8">
        <w:trPr>
          <w:cantSplit/>
        </w:trPr>
        <w:tc>
          <w:tcPr>
            <w:tcW w:w="9672" w:type="dxa"/>
            <w:gridSpan w:val="2"/>
          </w:tcPr>
          <w:p w14:paraId="23718064" w14:textId="79A4FCF1" w:rsidR="00290728" w:rsidRPr="00383829" w:rsidRDefault="008D2FE7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وظيفة وعملية التحقيق الجديدة</w:t>
            </w:r>
          </w:p>
        </w:tc>
      </w:tr>
      <w:tr w:rsidR="00DC5FB0" w:rsidRPr="00290728" w14:paraId="2CBB8658" w14:textId="77777777" w:rsidTr="009F66A8">
        <w:trPr>
          <w:cantSplit/>
        </w:trPr>
        <w:tc>
          <w:tcPr>
            <w:tcW w:w="9672" w:type="dxa"/>
            <w:gridSpan w:val="2"/>
          </w:tcPr>
          <w:p w14:paraId="3197EF13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11D9AA9" w14:textId="77777777" w:rsidR="00706D7A" w:rsidRDefault="00706D7A" w:rsidP="00F43B8E">
      <w:pPr>
        <w:spacing w:before="0"/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E40AD9F" w14:textId="77777777" w:rsidTr="00952F86">
        <w:trPr>
          <w:jc w:val="center"/>
        </w:trPr>
        <w:tc>
          <w:tcPr>
            <w:tcW w:w="8080" w:type="dxa"/>
          </w:tcPr>
          <w:p w14:paraId="744FC9EE" w14:textId="119C7E4C" w:rsidR="00290728" w:rsidRPr="00C649B5" w:rsidRDefault="00290728" w:rsidP="00C649B5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857F157" w14:textId="326C671E" w:rsidR="00EB13C1" w:rsidRPr="00780574" w:rsidRDefault="00C649B5" w:rsidP="00706D7A">
            <w:pPr>
              <w:rPr>
                <w:spacing w:val="2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بناءً على نتائج المناقشات التي جرت في إطار المشاورة الافتراضية الثانية لأعضاء المجلس في عام 2020 </w:t>
            </w:r>
            <w:r w:rsidRPr="00780574">
              <w:rPr>
                <w:rFonts w:hint="cs"/>
                <w:spacing w:val="2"/>
                <w:rtl/>
                <w:lang w:bidi="ar-SY"/>
              </w:rPr>
              <w:t xml:space="preserve">بشأن وظيفة وعملية التحقيق الجديدة، وافق المجلس عن طريق المراسلة على تعزيز وظيفة التحقيق في الاتحاد، وذلك بإنشاء وظيفة محددة ومستقلة برتبة </w:t>
            </w:r>
            <w:r w:rsidRPr="00780574">
              <w:rPr>
                <w:rFonts w:asciiTheme="minorHAnsi" w:hAnsiTheme="minorHAnsi"/>
                <w:spacing w:val="2"/>
              </w:rPr>
              <w:t>P.5</w:t>
            </w:r>
            <w:r w:rsidRPr="00780574">
              <w:rPr>
                <w:rFonts w:hint="cs"/>
                <w:spacing w:val="2"/>
                <w:rtl/>
                <w:lang w:bidi="ar-SY"/>
              </w:rPr>
              <w:t>. وأعلنت وظيفة رئيس وحدة التحقيق في</w:t>
            </w:r>
            <w:r w:rsidR="00780574">
              <w:rPr>
                <w:rFonts w:hint="eastAsia"/>
                <w:spacing w:val="2"/>
                <w:rtl/>
                <w:lang w:bidi="ar-SY"/>
              </w:rPr>
              <w:t> </w:t>
            </w:r>
            <w:r w:rsidRPr="00780574">
              <w:rPr>
                <w:rFonts w:hint="cs"/>
                <w:spacing w:val="2"/>
                <w:rtl/>
                <w:lang w:bidi="ar-SY"/>
              </w:rPr>
              <w:t>26</w:t>
            </w:r>
            <w:r w:rsidR="00780574">
              <w:rPr>
                <w:rFonts w:hint="eastAsia"/>
                <w:spacing w:val="2"/>
                <w:rtl/>
                <w:lang w:bidi="ar-SY"/>
              </w:rPr>
              <w:t> </w:t>
            </w:r>
            <w:r w:rsidRPr="00780574">
              <w:rPr>
                <w:rFonts w:hint="cs"/>
                <w:spacing w:val="2"/>
                <w:rtl/>
                <w:lang w:bidi="ar-SY"/>
              </w:rPr>
              <w:t>فبراير 2021.</w:t>
            </w:r>
          </w:p>
          <w:p w14:paraId="3402ABC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584653A" w14:textId="2B8ECCFC" w:rsidR="00290728" w:rsidRDefault="00EB13C1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يُرجى من المجلس </w:t>
            </w:r>
            <w:r w:rsidRPr="007B121B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بهذه التطورات. </w:t>
            </w:r>
          </w:p>
          <w:p w14:paraId="232C58E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75B9944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013AF81" w14:textId="06AD6C18" w:rsidR="00290728" w:rsidRPr="008D2FE7" w:rsidRDefault="008D2FE7" w:rsidP="008D2FE7">
            <w:pPr>
              <w:spacing w:after="120"/>
              <w:jc w:val="left"/>
              <w:rPr>
                <w:rtl/>
                <w:lang w:bidi="ar-EG"/>
              </w:rPr>
            </w:pPr>
            <w:r w:rsidRPr="008D2FE7">
              <w:rPr>
                <w:rFonts w:hint="cs"/>
                <w:rtl/>
                <w:lang w:bidi="ar-EG"/>
              </w:rPr>
              <w:t xml:space="preserve">الوثائق </w:t>
            </w:r>
            <w:hyperlink r:id="rId9" w:history="1">
              <w:r w:rsidRPr="008D2FE7">
                <w:rPr>
                  <w:rStyle w:val="Hyperlink"/>
                </w:rPr>
                <w:t>VC/8</w:t>
              </w:r>
            </w:hyperlink>
            <w:r w:rsidRPr="008D2FE7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،</w:t>
            </w:r>
            <w:r w:rsidRPr="008D2FE7">
              <w:rPr>
                <w:rStyle w:val="Hyperlink"/>
                <w:rFonts w:hint="cs"/>
                <w:u w:val="none"/>
                <w:rtl/>
              </w:rPr>
              <w:t xml:space="preserve"> </w:t>
            </w:r>
            <w:r w:rsidRPr="008D2FE7">
              <w:rPr>
                <w:rStyle w:val="Hyperlink"/>
                <w:rFonts w:hint="cs"/>
                <w:color w:val="auto"/>
                <w:u w:val="none"/>
                <w:rtl/>
              </w:rPr>
              <w:t>و</w:t>
            </w:r>
            <w:hyperlink r:id="rId10" w:history="1">
              <w:r w:rsidRPr="008D2FE7">
                <w:rPr>
                  <w:rStyle w:val="Hyperlink"/>
                </w:rPr>
                <w:t>VC/17</w:t>
              </w:r>
            </w:hyperlink>
            <w:r w:rsidRPr="008D2FE7">
              <w:rPr>
                <w:rFonts w:hint="cs"/>
                <w:rtl/>
                <w:lang w:bidi="ar-EG"/>
              </w:rPr>
              <w:t xml:space="preserve">، </w:t>
            </w:r>
            <w:r>
              <w:rPr>
                <w:rFonts w:hint="cs"/>
                <w:rtl/>
                <w:lang w:bidi="ar-EG"/>
              </w:rPr>
              <w:t>و</w:t>
            </w:r>
            <w:hyperlink r:id="rId11" w:history="1">
              <w:r w:rsidRPr="008D2FE7">
                <w:rPr>
                  <w:rStyle w:val="Hyperlink"/>
                </w:rPr>
                <w:t>C20/50</w:t>
              </w:r>
            </w:hyperlink>
            <w:r w:rsidRPr="008D2FE7">
              <w:rPr>
                <w:rFonts w:hint="cs"/>
                <w:rtl/>
                <w:lang w:bidi="ar-EG"/>
              </w:rPr>
              <w:t xml:space="preserve">، </w:t>
            </w:r>
            <w:r>
              <w:rPr>
                <w:rFonts w:hint="cs"/>
                <w:rtl/>
                <w:lang w:bidi="ar-EG"/>
              </w:rPr>
              <w:t>و</w:t>
            </w:r>
            <w:hyperlink r:id="rId12" w:history="1">
              <w:r w:rsidRPr="008D2FE7">
                <w:rPr>
                  <w:rStyle w:val="Hyperlink"/>
                </w:rPr>
                <w:t>CWG-FHR-11/15</w:t>
              </w:r>
            </w:hyperlink>
            <w:r w:rsidRPr="008D2FE7">
              <w:rPr>
                <w:rFonts w:hint="cs"/>
                <w:rtl/>
                <w:lang w:bidi="ar-EG"/>
              </w:rPr>
              <w:t>، و</w:t>
            </w:r>
            <w:hyperlink r:id="rId13" w:history="1">
              <w:r w:rsidRPr="008D2FE7">
                <w:rPr>
                  <w:rStyle w:val="Hyperlink"/>
                  <w:rFonts w:hint="cs"/>
                  <w:rtl/>
                  <w:lang w:bidi="ar-EG"/>
                </w:rPr>
                <w:t xml:space="preserve">الرسالة المعممة </w:t>
              </w:r>
              <w:r w:rsidRPr="008D2FE7">
                <w:rPr>
                  <w:rStyle w:val="Hyperlink"/>
                  <w:lang w:bidi="ar-EG"/>
                </w:rPr>
                <w:t>DM-20/1022</w:t>
              </w:r>
            </w:hyperlink>
          </w:p>
        </w:tc>
      </w:tr>
    </w:tbl>
    <w:p w14:paraId="72518AB8" w14:textId="77777777" w:rsidR="004E11DC" w:rsidRPr="00F974C5" w:rsidRDefault="004E11DC" w:rsidP="0026373E">
      <w:pPr>
        <w:rPr>
          <w:rtl/>
        </w:rPr>
      </w:pPr>
    </w:p>
    <w:p w14:paraId="1AC4DC59" w14:textId="15129475" w:rsidR="005C419E" w:rsidRDefault="005C419E" w:rsidP="005C419E">
      <w:pPr>
        <w:pStyle w:val="Headingb"/>
        <w:rPr>
          <w:rtl/>
        </w:rPr>
      </w:pPr>
      <w:r>
        <w:rPr>
          <w:rFonts w:hint="cs"/>
          <w:rtl/>
        </w:rPr>
        <w:t>وحدة التحقيق</w:t>
      </w:r>
    </w:p>
    <w:p w14:paraId="60CDBFFB" w14:textId="53FA331B" w:rsidR="005C419E" w:rsidRDefault="005C419E" w:rsidP="005C419E">
      <w:pPr>
        <w:rPr>
          <w:rtl/>
          <w:lang w:bidi="ar-EG"/>
        </w:rPr>
      </w:pPr>
      <w:r w:rsidRPr="004C3C73">
        <w:rPr>
          <w:lang w:bidi="ar-EG"/>
        </w:rPr>
        <w:t>1</w:t>
      </w:r>
      <w:r w:rsidRPr="004C3C73">
        <w:rPr>
          <w:rtl/>
          <w:lang w:bidi="ar-EG"/>
        </w:rPr>
        <w:tab/>
      </w:r>
      <w:r w:rsidR="00C649B5" w:rsidRPr="004C3C73">
        <w:rPr>
          <w:rFonts w:hint="cs"/>
          <w:rtl/>
          <w:lang w:bidi="ar-EG"/>
        </w:rPr>
        <w:t xml:space="preserve">تتسم </w:t>
      </w:r>
      <w:r w:rsidRPr="004C3C73">
        <w:rPr>
          <w:rFonts w:hint="cs"/>
          <w:rtl/>
          <w:lang w:bidi="ar-EG"/>
        </w:rPr>
        <w:t>الجوانب التشغيلية لمسؤوليات رئيس وحدة التحقيق</w:t>
      </w:r>
      <w:r w:rsidR="00EB13C1" w:rsidRPr="004C3C73">
        <w:rPr>
          <w:rFonts w:hint="cs"/>
          <w:rtl/>
          <w:lang w:bidi="ar-EG"/>
        </w:rPr>
        <w:t xml:space="preserve"> </w:t>
      </w:r>
      <w:r w:rsidR="00C649B5" w:rsidRPr="004C3C73">
        <w:rPr>
          <w:rFonts w:hint="cs"/>
          <w:rtl/>
          <w:lang w:bidi="ar-EG"/>
        </w:rPr>
        <w:t>بأهمية</w:t>
      </w:r>
      <w:r w:rsidR="00D3189B">
        <w:rPr>
          <w:rFonts w:hint="cs"/>
          <w:rtl/>
          <w:lang w:bidi="ar-EG"/>
        </w:rPr>
        <w:t xml:space="preserve"> بالغة</w:t>
      </w:r>
      <w:r w:rsidR="007B121B" w:rsidRPr="004C3C73">
        <w:rPr>
          <w:rFonts w:hint="cs"/>
          <w:rtl/>
          <w:lang w:bidi="ar-EG"/>
        </w:rPr>
        <w:t xml:space="preserve">، وسيكون دور </w:t>
      </w:r>
      <w:r w:rsidR="00C649B5" w:rsidRPr="004C3C73">
        <w:rPr>
          <w:rFonts w:hint="cs"/>
          <w:rtl/>
          <w:lang w:bidi="ar-EG"/>
        </w:rPr>
        <w:t>شاغل</w:t>
      </w:r>
      <w:r w:rsidR="007B121B" w:rsidRPr="004C3C73">
        <w:rPr>
          <w:rFonts w:hint="cs"/>
          <w:rtl/>
          <w:lang w:bidi="ar-EG"/>
        </w:rPr>
        <w:t xml:space="preserve"> الوظيفة إجراء التحقيقات </w:t>
      </w:r>
      <w:r w:rsidR="004C3C73" w:rsidRPr="004C3C73">
        <w:rPr>
          <w:rFonts w:hint="cs"/>
          <w:rtl/>
          <w:lang w:bidi="ar-EG"/>
        </w:rPr>
        <w:t>على سبيل الأولوية فور</w:t>
      </w:r>
      <w:r w:rsidR="007B121B" w:rsidRPr="004C3C73">
        <w:rPr>
          <w:rFonts w:hint="cs"/>
          <w:rtl/>
          <w:lang w:bidi="ar-EG"/>
        </w:rPr>
        <w:t xml:space="preserve"> تعيينه.</w:t>
      </w:r>
    </w:p>
    <w:p w14:paraId="5260BBF0" w14:textId="4E609498" w:rsidR="005C419E" w:rsidRDefault="005C419E" w:rsidP="007C5F72">
      <w:pPr>
        <w:rPr>
          <w:rtl/>
        </w:rPr>
      </w:pPr>
      <w:r>
        <w:rPr>
          <w:lang w:bidi="ar-EG"/>
        </w:rPr>
        <w:t>2</w:t>
      </w:r>
      <w:r w:rsidRPr="006B3E47">
        <w:rPr>
          <w:rtl/>
          <w:lang w:bidi="ar-EG"/>
        </w:rPr>
        <w:t xml:space="preserve"> </w:t>
      </w:r>
      <w:r>
        <w:rPr>
          <w:rtl/>
          <w:lang w:bidi="ar-EG"/>
        </w:rPr>
        <w:tab/>
      </w:r>
      <w:r w:rsidR="00EB13C1">
        <w:rPr>
          <w:rFonts w:hint="cs"/>
          <w:rtl/>
          <w:lang w:bidi="ar-EG"/>
        </w:rPr>
        <w:t>والغرض هو أن</w:t>
      </w:r>
      <w:r w:rsidR="004C3C73">
        <w:rPr>
          <w:rFonts w:hint="cs"/>
          <w:rtl/>
          <w:lang w:bidi="ar-EG"/>
        </w:rPr>
        <w:t xml:space="preserve"> تكون</w:t>
      </w:r>
      <w:r w:rsidR="00EB13C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وحدة التحقيق في الاتحاد مسؤولة عن إجراء تحقيقات مستقلة لضمان إدارة</w:t>
      </w:r>
      <w:r w:rsidR="00A31805">
        <w:rPr>
          <w:rFonts w:hint="cs"/>
          <w:rtl/>
          <w:lang w:bidi="ar-EG"/>
        </w:rPr>
        <w:t xml:space="preserve"> واستخدام</w:t>
      </w:r>
      <w:r>
        <w:rPr>
          <w:rFonts w:hint="cs"/>
          <w:rtl/>
          <w:lang w:bidi="ar-EG"/>
        </w:rPr>
        <w:t xml:space="preserve"> موارد </w:t>
      </w:r>
      <w:r w:rsidR="00A31805">
        <w:rPr>
          <w:rFonts w:hint="cs"/>
          <w:rtl/>
          <w:lang w:bidi="ar-EG"/>
        </w:rPr>
        <w:t xml:space="preserve">الاتحاد </w:t>
      </w:r>
      <w:r>
        <w:rPr>
          <w:rFonts w:hint="cs"/>
          <w:rtl/>
          <w:lang w:bidi="ar-EG"/>
        </w:rPr>
        <w:t xml:space="preserve">المالية والبشرية والتكنولوجية وغير </w:t>
      </w:r>
      <w:r w:rsidR="00A31805">
        <w:rPr>
          <w:rFonts w:hint="cs"/>
          <w:rtl/>
          <w:lang w:bidi="ar-EG"/>
        </w:rPr>
        <w:t>المادية</w:t>
      </w:r>
      <w:r>
        <w:rPr>
          <w:rFonts w:hint="cs"/>
          <w:rtl/>
          <w:lang w:bidi="ar-EG"/>
        </w:rPr>
        <w:t xml:space="preserve"> </w:t>
      </w:r>
      <w:r w:rsidR="00BA0455">
        <w:rPr>
          <w:rFonts w:hint="cs"/>
          <w:rtl/>
          <w:lang w:bidi="ar-EG"/>
        </w:rPr>
        <w:t>بفعالية وكفاءة وبطريقة اقتصادية</w:t>
      </w:r>
      <w:r w:rsidR="007C5F72">
        <w:rPr>
          <w:rFonts w:hint="cs"/>
          <w:rtl/>
        </w:rPr>
        <w:t xml:space="preserve">. وعلى الوحدة أن </w:t>
      </w:r>
      <w:r>
        <w:rPr>
          <w:rFonts w:hint="cs"/>
          <w:rtl/>
          <w:lang w:bidi="ar-EG"/>
        </w:rPr>
        <w:t xml:space="preserve">تقوم بتخطيط وتنظيم وتنفيذ برنامج شامل للتحقيقات، بما في ذلك وضع وتنفيذ سياسات وإجراءات التحقيق وفقاً </w:t>
      </w:r>
      <w:r w:rsidRPr="004927A2">
        <w:rPr>
          <w:rFonts w:hint="cs"/>
          <w:rtl/>
          <w:lang w:bidi="ar-EG"/>
        </w:rPr>
        <w:t>للمبادئ التوجيهية الموحدة للتحقيقات</w:t>
      </w:r>
      <w:r>
        <w:rPr>
          <w:rFonts w:hint="cs"/>
          <w:rtl/>
          <w:lang w:bidi="ar-EG"/>
        </w:rPr>
        <w:t xml:space="preserve">. وتحدد وحدة التحقيق </w:t>
      </w:r>
      <w:r w:rsidR="007C5F72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 w:rsidR="007C5F72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لاتحاد النطاق العام لهذا البرنامج بالتشاور مع الأمين العام.</w:t>
      </w:r>
    </w:p>
    <w:p w14:paraId="6416B7C8" w14:textId="24D28FC6" w:rsidR="005C419E" w:rsidRDefault="00EB13C1" w:rsidP="005C419E">
      <w:pPr>
        <w:rPr>
          <w:rtl/>
        </w:rPr>
      </w:pPr>
      <w:r>
        <w:rPr>
          <w:rFonts w:hint="cs"/>
          <w:rtl/>
          <w:lang w:bidi="ar-EG"/>
        </w:rPr>
        <w:t>3</w:t>
      </w:r>
      <w:r w:rsidR="005C419E" w:rsidRPr="006B3E47">
        <w:rPr>
          <w:rtl/>
          <w:lang w:bidi="ar-EG"/>
        </w:rPr>
        <w:t xml:space="preserve"> </w:t>
      </w:r>
      <w:r w:rsidR="005C419E">
        <w:rPr>
          <w:rtl/>
          <w:lang w:bidi="ar-EG"/>
        </w:rPr>
        <w:tab/>
      </w:r>
      <w:r w:rsidR="005C419E">
        <w:rPr>
          <w:rFonts w:hint="cs"/>
          <w:rtl/>
          <w:lang w:bidi="ar-EG"/>
        </w:rPr>
        <w:t xml:space="preserve">وتقوم </w:t>
      </w:r>
      <w:r>
        <w:rPr>
          <w:rFonts w:hint="cs"/>
          <w:rtl/>
          <w:lang w:bidi="ar-EG"/>
        </w:rPr>
        <w:t>الوحدة</w:t>
      </w:r>
      <w:r w:rsidR="005C419E">
        <w:rPr>
          <w:rFonts w:hint="cs"/>
          <w:rtl/>
          <w:lang w:bidi="ar-EG"/>
        </w:rPr>
        <w:t>، كجزء من برنامج عملها، بالتحقيق في الادعاءات أو الافتراضات المتعلقة بسوء السلوك والممارسات المحظورة، وفقاً لسياسات الاتحاد وإجراءاته. ويجوز للاتحاد أن يضع إجراءات لوحدة التحقيق بالاتحاد للتحقيق في</w:t>
      </w:r>
      <w:r w:rsidR="005C419E">
        <w:rPr>
          <w:rFonts w:hint="eastAsia"/>
          <w:rtl/>
          <w:lang w:bidi="ar-EG"/>
        </w:rPr>
        <w:t> </w:t>
      </w:r>
      <w:r w:rsidR="005C419E">
        <w:rPr>
          <w:rFonts w:hint="cs"/>
          <w:rtl/>
          <w:lang w:bidi="ar-EG"/>
        </w:rPr>
        <w:t>ادعاءات مثل الاحتيال والفساد، فيما يتعلق بشركاء</w:t>
      </w:r>
      <w:r w:rsidR="00D3189B">
        <w:rPr>
          <w:rFonts w:hint="cs"/>
          <w:rtl/>
          <w:lang w:bidi="ar-EG"/>
        </w:rPr>
        <w:t xml:space="preserve"> الاتحاد المنفذين</w:t>
      </w:r>
      <w:r w:rsidR="005C419E">
        <w:rPr>
          <w:rFonts w:hint="cs"/>
          <w:rtl/>
          <w:lang w:bidi="ar-EG"/>
        </w:rPr>
        <w:t xml:space="preserve"> </w:t>
      </w:r>
      <w:r w:rsidR="007C5F72">
        <w:rPr>
          <w:rFonts w:hint="cs"/>
          <w:rtl/>
          <w:lang w:bidi="ar-EG"/>
        </w:rPr>
        <w:t>والمورّدين</w:t>
      </w:r>
      <w:r w:rsidR="005C419E">
        <w:rPr>
          <w:rFonts w:hint="cs"/>
          <w:rtl/>
          <w:lang w:bidi="ar-EG"/>
        </w:rPr>
        <w:t>.</w:t>
      </w:r>
    </w:p>
    <w:p w14:paraId="04611A9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A0121" w14:textId="77777777" w:rsidR="00960073" w:rsidRDefault="00960073" w:rsidP="006C3242">
      <w:pPr>
        <w:spacing w:before="0" w:line="240" w:lineRule="auto"/>
      </w:pPr>
      <w:r>
        <w:separator/>
      </w:r>
    </w:p>
  </w:endnote>
  <w:endnote w:type="continuationSeparator" w:id="0">
    <w:p w14:paraId="613655A2" w14:textId="77777777" w:rsidR="00960073" w:rsidRDefault="009600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7C77" w14:textId="1EA796C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43B8E">
      <w:rPr>
        <w:noProof/>
        <w:sz w:val="16"/>
        <w:szCs w:val="16"/>
        <w:lang w:val="fr-FR"/>
      </w:rPr>
      <w:t>P:\ARA\SG\CONSEIL\C21\000\060A.docx</w:t>
    </w:r>
    <w:r w:rsidRPr="0026373E">
      <w:rPr>
        <w:sz w:val="16"/>
        <w:szCs w:val="16"/>
      </w:rPr>
      <w:fldChar w:fldCharType="end"/>
    </w:r>
    <w:proofErr w:type="gramStart"/>
    <w:r w:rsidRPr="00785C31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85C31">
      <w:rPr>
        <w:sz w:val="16"/>
        <w:szCs w:val="16"/>
        <w:lang w:val="fr-FR"/>
      </w:rPr>
      <w:t>483265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DBD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71BFE" w14:textId="77777777" w:rsidR="00960073" w:rsidRDefault="00960073" w:rsidP="006C3242">
      <w:pPr>
        <w:spacing w:before="0" w:line="240" w:lineRule="auto"/>
      </w:pPr>
      <w:r>
        <w:separator/>
      </w:r>
    </w:p>
  </w:footnote>
  <w:footnote w:type="continuationSeparator" w:id="0">
    <w:p w14:paraId="149933A5" w14:textId="77777777" w:rsidR="00960073" w:rsidRDefault="009600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F95EF" w14:textId="4884FD8E" w:rsidR="00447F32" w:rsidRPr="00447F32" w:rsidRDefault="00C736C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85C31">
          <w:rPr>
            <w:rFonts w:cs="Calibri"/>
            <w:noProof/>
            <w:sz w:val="20"/>
            <w:szCs w:val="20"/>
          </w:rPr>
          <w:t>60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3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27A2"/>
    <w:rsid w:val="004C3C73"/>
    <w:rsid w:val="004E11DC"/>
    <w:rsid w:val="004E6312"/>
    <w:rsid w:val="005409AC"/>
    <w:rsid w:val="0055516A"/>
    <w:rsid w:val="0058491B"/>
    <w:rsid w:val="00592EA5"/>
    <w:rsid w:val="005A3170"/>
    <w:rsid w:val="005B1652"/>
    <w:rsid w:val="005C419E"/>
    <w:rsid w:val="00614855"/>
    <w:rsid w:val="0062528F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0574"/>
    <w:rsid w:val="00783E26"/>
    <w:rsid w:val="00785C31"/>
    <w:rsid w:val="007B121B"/>
    <w:rsid w:val="007C3BC7"/>
    <w:rsid w:val="007C3BCD"/>
    <w:rsid w:val="007C5F72"/>
    <w:rsid w:val="007D4ACF"/>
    <w:rsid w:val="007F0787"/>
    <w:rsid w:val="00810B7B"/>
    <w:rsid w:val="0082358A"/>
    <w:rsid w:val="008235CD"/>
    <w:rsid w:val="008247DE"/>
    <w:rsid w:val="00840B10"/>
    <w:rsid w:val="008513CB"/>
    <w:rsid w:val="00873439"/>
    <w:rsid w:val="008A7F84"/>
    <w:rsid w:val="008D2FE7"/>
    <w:rsid w:val="0091702E"/>
    <w:rsid w:val="00923B0C"/>
    <w:rsid w:val="0094021C"/>
    <w:rsid w:val="00952F86"/>
    <w:rsid w:val="00960073"/>
    <w:rsid w:val="00982B28"/>
    <w:rsid w:val="009D313F"/>
    <w:rsid w:val="00A31805"/>
    <w:rsid w:val="00A40B44"/>
    <w:rsid w:val="00A47A5A"/>
    <w:rsid w:val="00A6683B"/>
    <w:rsid w:val="00A763D7"/>
    <w:rsid w:val="00A97F94"/>
    <w:rsid w:val="00B03099"/>
    <w:rsid w:val="00B05BC8"/>
    <w:rsid w:val="00B64B47"/>
    <w:rsid w:val="00BA0455"/>
    <w:rsid w:val="00BB7213"/>
    <w:rsid w:val="00C002DE"/>
    <w:rsid w:val="00C53BF8"/>
    <w:rsid w:val="00C566BA"/>
    <w:rsid w:val="00C649B5"/>
    <w:rsid w:val="00C66157"/>
    <w:rsid w:val="00C674FE"/>
    <w:rsid w:val="00C67501"/>
    <w:rsid w:val="00C67A87"/>
    <w:rsid w:val="00C736C7"/>
    <w:rsid w:val="00C75633"/>
    <w:rsid w:val="00CE2EE1"/>
    <w:rsid w:val="00CE3349"/>
    <w:rsid w:val="00CE36E5"/>
    <w:rsid w:val="00CF27F5"/>
    <w:rsid w:val="00CF3FFD"/>
    <w:rsid w:val="00D10CCF"/>
    <w:rsid w:val="00D3189B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13C1"/>
    <w:rsid w:val="00EB796D"/>
    <w:rsid w:val="00F058DC"/>
    <w:rsid w:val="00F14B7B"/>
    <w:rsid w:val="00F24FC4"/>
    <w:rsid w:val="00F2676C"/>
    <w:rsid w:val="00F43B8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A4C0B"/>
  <w15:chartTrackingRefBased/>
  <w15:docId w15:val="{419AEBCE-A9B5-44FA-9D0C-82E85FA4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DM-CIR-0102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WGFHR11-C-001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5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0-CLVC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C-0008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investigation function and process</dc:title>
  <dc:subject>Council 2021, Virtual consultation of councillors</dc:subject>
  <dc:creator>Arabic</dc:creator>
  <cp:keywords>C2021, C21, VCC, C21-VCC-1</cp:keywords>
  <dc:description/>
  <cp:lastModifiedBy>Brouard, Ricarda</cp:lastModifiedBy>
  <cp:revision>2</cp:revision>
  <dcterms:created xsi:type="dcterms:W3CDTF">2021-04-06T12:18:00Z</dcterms:created>
  <dcterms:modified xsi:type="dcterms:W3CDTF">2021-04-06T12:18:00Z</dcterms:modified>
  <cp:category>Conference document</cp:category>
</cp:coreProperties>
</file>