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551749" w14:paraId="6D6A4771" w14:textId="77777777" w:rsidTr="009F66A3">
        <w:trPr>
          <w:cantSplit/>
          <w:trHeight w:val="1276"/>
        </w:trPr>
        <w:tc>
          <w:tcPr>
            <w:tcW w:w="6911" w:type="dxa"/>
          </w:tcPr>
          <w:p w14:paraId="7BC30B78" w14:textId="722CEEAF" w:rsidR="002A2188" w:rsidRPr="00551749" w:rsidRDefault="002A2188" w:rsidP="009F66A3">
            <w:pPr>
              <w:spacing w:before="360" w:after="48" w:line="240" w:lineRule="atLeast"/>
              <w:rPr>
                <w:position w:val="6"/>
              </w:rPr>
            </w:pPr>
            <w:bookmarkStart w:id="0" w:name="dc06"/>
            <w:bookmarkEnd w:id="0"/>
            <w:r w:rsidRPr="005D4FA2">
              <w:rPr>
                <w:b/>
                <w:bCs/>
                <w:position w:val="6"/>
                <w:sz w:val="30"/>
                <w:szCs w:val="30"/>
                <w:lang w:val="en-US"/>
              </w:rPr>
              <w:t>C</w:t>
            </w:r>
            <w:r w:rsidR="009F66A3" w:rsidRPr="005D4FA2">
              <w:rPr>
                <w:b/>
                <w:bCs/>
                <w:position w:val="6"/>
                <w:sz w:val="30"/>
                <w:szCs w:val="30"/>
                <w:lang w:val="en-US"/>
              </w:rPr>
              <w:t>ouncil 202</w:t>
            </w:r>
            <w:r w:rsidR="00F56668" w:rsidRPr="005D4FA2">
              <w:rPr>
                <w:b/>
                <w:bCs/>
                <w:position w:val="6"/>
                <w:sz w:val="30"/>
                <w:szCs w:val="30"/>
                <w:lang w:val="en-US"/>
              </w:rPr>
              <w:t>1</w:t>
            </w:r>
            <w:r w:rsidR="00F56668" w:rsidRPr="005D4FA2">
              <w:rPr>
                <w:b/>
                <w:bCs/>
                <w:position w:val="6"/>
                <w:sz w:val="30"/>
                <w:szCs w:val="30"/>
                <w:lang w:val="en-US"/>
              </w:rPr>
              <w:br/>
            </w:r>
            <w:r w:rsidR="00EA2120" w:rsidRPr="005D4FA2">
              <w:rPr>
                <w:b/>
                <w:bCs/>
                <w:position w:val="6"/>
                <w:sz w:val="28"/>
                <w:szCs w:val="28"/>
                <w:lang w:val="en-US"/>
              </w:rPr>
              <w:t>Virtual consultation of councillors</w:t>
            </w:r>
            <w:r w:rsidR="00F56668" w:rsidRPr="005D4FA2">
              <w:rPr>
                <w:b/>
                <w:bCs/>
                <w:position w:val="6"/>
                <w:sz w:val="28"/>
                <w:szCs w:val="28"/>
                <w:lang w:val="en-US"/>
              </w:rPr>
              <w:t>, 8-18 June 2021</w:t>
            </w:r>
          </w:p>
        </w:tc>
        <w:tc>
          <w:tcPr>
            <w:tcW w:w="3120" w:type="dxa"/>
            <w:vAlign w:val="center"/>
          </w:tcPr>
          <w:p w14:paraId="049BF09C" w14:textId="77777777" w:rsidR="002A2188" w:rsidRPr="00551749" w:rsidRDefault="009F66A3" w:rsidP="009F66A3">
            <w:pPr>
              <w:spacing w:before="0" w:line="240" w:lineRule="atLeast"/>
            </w:pPr>
            <w:bookmarkStart w:id="1" w:name="ditulogo"/>
            <w:bookmarkEnd w:id="1"/>
            <w:r w:rsidRPr="00551749">
              <w:rPr>
                <w:noProof/>
                <w:lang w:val="en-US"/>
              </w:rPr>
              <w:drawing>
                <wp:inline distT="0" distB="0" distL="0" distR="0" wp14:anchorId="10F84D5C" wp14:editId="20BC88C8">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551749" w14:paraId="02F3C902" w14:textId="77777777" w:rsidTr="00464B6C">
        <w:trPr>
          <w:cantSplit/>
        </w:trPr>
        <w:tc>
          <w:tcPr>
            <w:tcW w:w="6911" w:type="dxa"/>
            <w:tcBorders>
              <w:bottom w:val="single" w:sz="12" w:space="0" w:color="auto"/>
            </w:tcBorders>
          </w:tcPr>
          <w:p w14:paraId="2143B1CA" w14:textId="77777777" w:rsidR="002A2188" w:rsidRPr="00551749" w:rsidRDefault="002A2188" w:rsidP="00EF519E">
            <w:pPr>
              <w:spacing w:before="0" w:line="240" w:lineRule="atLeast"/>
              <w:rPr>
                <w:b/>
                <w:smallCaps/>
                <w:szCs w:val="24"/>
              </w:rPr>
            </w:pPr>
          </w:p>
        </w:tc>
        <w:tc>
          <w:tcPr>
            <w:tcW w:w="3120" w:type="dxa"/>
            <w:tcBorders>
              <w:bottom w:val="single" w:sz="12" w:space="0" w:color="auto"/>
            </w:tcBorders>
          </w:tcPr>
          <w:p w14:paraId="3D08500D" w14:textId="77777777" w:rsidR="002A2188" w:rsidRPr="00551749" w:rsidRDefault="002A2188" w:rsidP="00EF519E">
            <w:pPr>
              <w:spacing w:before="0" w:line="240" w:lineRule="atLeast"/>
              <w:rPr>
                <w:szCs w:val="24"/>
              </w:rPr>
            </w:pPr>
          </w:p>
        </w:tc>
      </w:tr>
      <w:tr w:rsidR="002A2188" w:rsidRPr="00551749" w14:paraId="17235C7F" w14:textId="77777777" w:rsidTr="00464B6C">
        <w:trPr>
          <w:cantSplit/>
        </w:trPr>
        <w:tc>
          <w:tcPr>
            <w:tcW w:w="6911" w:type="dxa"/>
            <w:tcBorders>
              <w:top w:val="single" w:sz="12" w:space="0" w:color="auto"/>
            </w:tcBorders>
          </w:tcPr>
          <w:p w14:paraId="5D7313BD" w14:textId="77777777" w:rsidR="002A2188" w:rsidRPr="00551749" w:rsidRDefault="002A2188" w:rsidP="00EF519E">
            <w:pPr>
              <w:spacing w:before="0" w:line="240" w:lineRule="atLeast"/>
              <w:rPr>
                <w:b/>
                <w:smallCaps/>
                <w:szCs w:val="24"/>
              </w:rPr>
            </w:pPr>
          </w:p>
        </w:tc>
        <w:tc>
          <w:tcPr>
            <w:tcW w:w="3120" w:type="dxa"/>
            <w:tcBorders>
              <w:top w:val="single" w:sz="12" w:space="0" w:color="auto"/>
            </w:tcBorders>
          </w:tcPr>
          <w:p w14:paraId="22C9147A" w14:textId="77777777" w:rsidR="002A2188" w:rsidRPr="00551749" w:rsidRDefault="002A2188" w:rsidP="00EF519E">
            <w:pPr>
              <w:spacing w:before="0" w:line="240" w:lineRule="atLeast"/>
              <w:rPr>
                <w:szCs w:val="24"/>
              </w:rPr>
            </w:pPr>
          </w:p>
        </w:tc>
      </w:tr>
      <w:tr w:rsidR="002A2188" w:rsidRPr="00551749" w14:paraId="6804D83E" w14:textId="77777777" w:rsidTr="00464B6C">
        <w:trPr>
          <w:cantSplit/>
          <w:trHeight w:val="23"/>
        </w:trPr>
        <w:tc>
          <w:tcPr>
            <w:tcW w:w="6911" w:type="dxa"/>
            <w:vMerge w:val="restart"/>
          </w:tcPr>
          <w:p w14:paraId="42A03540" w14:textId="0E275FF6" w:rsidR="002A2188" w:rsidRPr="00551749" w:rsidRDefault="00DE0819" w:rsidP="00EF519E">
            <w:pPr>
              <w:tabs>
                <w:tab w:val="left" w:pos="851"/>
              </w:tabs>
              <w:spacing w:before="0"/>
              <w:rPr>
                <w:b/>
              </w:rPr>
            </w:pPr>
            <w:bookmarkStart w:id="2" w:name="dmeeting" w:colFirst="0" w:colLast="0"/>
            <w:bookmarkStart w:id="3" w:name="dnum" w:colFirst="1" w:colLast="1"/>
            <w:r>
              <w:rPr>
                <w:b/>
              </w:rPr>
              <w:t>Agenda item: ADM 30</w:t>
            </w:r>
          </w:p>
        </w:tc>
        <w:tc>
          <w:tcPr>
            <w:tcW w:w="3120" w:type="dxa"/>
          </w:tcPr>
          <w:p w14:paraId="1727AC2C" w14:textId="76D2E0BC" w:rsidR="002A2188" w:rsidRPr="00551749" w:rsidRDefault="009F66A3" w:rsidP="00EF519E">
            <w:pPr>
              <w:tabs>
                <w:tab w:val="left" w:pos="851"/>
              </w:tabs>
              <w:spacing w:before="0" w:line="240" w:lineRule="atLeast"/>
              <w:rPr>
                <w:b/>
              </w:rPr>
            </w:pPr>
            <w:r w:rsidRPr="00551749">
              <w:rPr>
                <w:b/>
              </w:rPr>
              <w:t>Document C2</w:t>
            </w:r>
            <w:r w:rsidR="00F56668" w:rsidRPr="00551749">
              <w:rPr>
                <w:b/>
              </w:rPr>
              <w:t>1</w:t>
            </w:r>
            <w:r w:rsidR="002A2188" w:rsidRPr="00551749">
              <w:rPr>
                <w:b/>
              </w:rPr>
              <w:t>/</w:t>
            </w:r>
            <w:r w:rsidR="00DE0819">
              <w:rPr>
                <w:b/>
              </w:rPr>
              <w:t>59</w:t>
            </w:r>
            <w:r w:rsidR="002A2188" w:rsidRPr="00551749">
              <w:rPr>
                <w:b/>
              </w:rPr>
              <w:t>-E</w:t>
            </w:r>
          </w:p>
        </w:tc>
      </w:tr>
      <w:tr w:rsidR="002A2188" w:rsidRPr="00551749" w14:paraId="6B217E52" w14:textId="77777777" w:rsidTr="00464B6C">
        <w:trPr>
          <w:cantSplit/>
          <w:trHeight w:val="23"/>
        </w:trPr>
        <w:tc>
          <w:tcPr>
            <w:tcW w:w="6911" w:type="dxa"/>
            <w:vMerge/>
          </w:tcPr>
          <w:p w14:paraId="1CE8AE93" w14:textId="77777777" w:rsidR="002A2188" w:rsidRPr="00551749" w:rsidRDefault="002A2188" w:rsidP="00EF519E">
            <w:pPr>
              <w:tabs>
                <w:tab w:val="left" w:pos="851"/>
              </w:tabs>
              <w:spacing w:before="0" w:line="240" w:lineRule="atLeast"/>
              <w:rPr>
                <w:b/>
              </w:rPr>
            </w:pPr>
            <w:bookmarkStart w:id="4" w:name="ddate" w:colFirst="1" w:colLast="1"/>
            <w:bookmarkEnd w:id="2"/>
            <w:bookmarkEnd w:id="3"/>
          </w:p>
        </w:tc>
        <w:tc>
          <w:tcPr>
            <w:tcW w:w="3120" w:type="dxa"/>
          </w:tcPr>
          <w:p w14:paraId="257DEE08" w14:textId="63479FE8" w:rsidR="002A2188" w:rsidRPr="00551749" w:rsidRDefault="00DE0819" w:rsidP="00EF519E">
            <w:pPr>
              <w:tabs>
                <w:tab w:val="left" w:pos="993"/>
              </w:tabs>
              <w:spacing w:before="0"/>
              <w:rPr>
                <w:b/>
              </w:rPr>
            </w:pPr>
            <w:r>
              <w:rPr>
                <w:b/>
              </w:rPr>
              <w:t>9 March</w:t>
            </w:r>
            <w:r w:rsidR="002A2188" w:rsidRPr="00551749">
              <w:rPr>
                <w:b/>
              </w:rPr>
              <w:t xml:space="preserve"> 20</w:t>
            </w:r>
            <w:r w:rsidR="009F66A3" w:rsidRPr="00551749">
              <w:rPr>
                <w:b/>
              </w:rPr>
              <w:t>2</w:t>
            </w:r>
            <w:r w:rsidR="00F56668" w:rsidRPr="00551749">
              <w:rPr>
                <w:b/>
              </w:rPr>
              <w:t>1</w:t>
            </w:r>
          </w:p>
        </w:tc>
      </w:tr>
      <w:tr w:rsidR="002A2188" w:rsidRPr="00551749" w14:paraId="10D36551" w14:textId="77777777" w:rsidTr="00464B6C">
        <w:trPr>
          <w:cantSplit/>
          <w:trHeight w:val="23"/>
        </w:trPr>
        <w:tc>
          <w:tcPr>
            <w:tcW w:w="6911" w:type="dxa"/>
            <w:vMerge/>
          </w:tcPr>
          <w:p w14:paraId="7EF812AF" w14:textId="77777777" w:rsidR="002A2188" w:rsidRPr="00551749" w:rsidRDefault="002A2188" w:rsidP="00EF519E">
            <w:pPr>
              <w:tabs>
                <w:tab w:val="left" w:pos="851"/>
              </w:tabs>
              <w:spacing w:before="0" w:line="240" w:lineRule="atLeast"/>
              <w:rPr>
                <w:b/>
              </w:rPr>
            </w:pPr>
            <w:bookmarkStart w:id="5" w:name="dorlang" w:colFirst="1" w:colLast="1"/>
            <w:bookmarkEnd w:id="4"/>
          </w:p>
        </w:tc>
        <w:tc>
          <w:tcPr>
            <w:tcW w:w="3120" w:type="dxa"/>
          </w:tcPr>
          <w:p w14:paraId="0DF1D05E" w14:textId="6A24F65E" w:rsidR="002A2188" w:rsidRPr="00551749" w:rsidRDefault="002A2188" w:rsidP="00EF519E">
            <w:pPr>
              <w:tabs>
                <w:tab w:val="left" w:pos="993"/>
              </w:tabs>
              <w:spacing w:before="0"/>
              <w:rPr>
                <w:b/>
              </w:rPr>
            </w:pPr>
            <w:r w:rsidRPr="00551749">
              <w:rPr>
                <w:b/>
              </w:rPr>
              <w:t>Original:</w:t>
            </w:r>
            <w:r w:rsidR="00DE0819">
              <w:rPr>
                <w:b/>
              </w:rPr>
              <w:t xml:space="preserve"> English</w:t>
            </w:r>
          </w:p>
        </w:tc>
      </w:tr>
      <w:tr w:rsidR="00245D90" w:rsidRPr="00551749" w14:paraId="46399271" w14:textId="77777777" w:rsidTr="00464B6C">
        <w:trPr>
          <w:cantSplit/>
        </w:trPr>
        <w:tc>
          <w:tcPr>
            <w:tcW w:w="10031" w:type="dxa"/>
            <w:gridSpan w:val="2"/>
          </w:tcPr>
          <w:p w14:paraId="18E28CA0" w14:textId="43293B30" w:rsidR="00245D90" w:rsidRPr="00551749" w:rsidRDefault="00245D90" w:rsidP="00DE0819">
            <w:pPr>
              <w:pStyle w:val="Source"/>
            </w:pPr>
            <w:bookmarkStart w:id="6" w:name="dsource" w:colFirst="0" w:colLast="0"/>
            <w:bookmarkEnd w:id="5"/>
            <w:r w:rsidRPr="00551749">
              <w:t>Report by the Secretary-General</w:t>
            </w:r>
          </w:p>
        </w:tc>
      </w:tr>
      <w:tr w:rsidR="00245D90" w:rsidRPr="00551749" w14:paraId="73F317E2" w14:textId="77777777" w:rsidTr="00464B6C">
        <w:trPr>
          <w:cantSplit/>
        </w:trPr>
        <w:tc>
          <w:tcPr>
            <w:tcW w:w="10031" w:type="dxa"/>
            <w:gridSpan w:val="2"/>
          </w:tcPr>
          <w:p w14:paraId="29B3DB5C" w14:textId="1D73D602" w:rsidR="00245D90" w:rsidRPr="00551749" w:rsidRDefault="00245D90" w:rsidP="00245D90">
            <w:pPr>
              <w:pStyle w:val="Title1"/>
            </w:pPr>
            <w:bookmarkStart w:id="7" w:name="dtitle1" w:colFirst="0" w:colLast="0"/>
            <w:bookmarkEnd w:id="6"/>
            <w:r w:rsidRPr="00551749">
              <w:t>Report from the ethics Office</w:t>
            </w:r>
          </w:p>
        </w:tc>
      </w:tr>
      <w:bookmarkEnd w:id="7"/>
    </w:tbl>
    <w:p w14:paraId="4FE83389" w14:textId="77777777" w:rsidR="002A2188" w:rsidRPr="00551749"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551749" w14:paraId="4E4C3AF4"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14:paraId="1A0DE11E" w14:textId="77777777" w:rsidR="002A2188" w:rsidRPr="00551749" w:rsidRDefault="002A2188" w:rsidP="00464B6C">
            <w:pPr>
              <w:pStyle w:val="Headingb"/>
              <w:rPr>
                <w:szCs w:val="24"/>
              </w:rPr>
            </w:pPr>
            <w:r w:rsidRPr="00551749">
              <w:rPr>
                <w:szCs w:val="24"/>
              </w:rPr>
              <w:t>Summary</w:t>
            </w:r>
          </w:p>
          <w:p w14:paraId="7CF2A611" w14:textId="712910D8" w:rsidR="009464A7" w:rsidRPr="00551749" w:rsidRDefault="009464A7" w:rsidP="009464A7">
            <w:pPr>
              <w:pStyle w:val="ListParagraph"/>
              <w:adjustRightInd w:val="0"/>
              <w:snapToGrid w:val="0"/>
              <w:spacing w:before="120" w:after="120" w:line="240" w:lineRule="auto"/>
              <w:ind w:left="0"/>
              <w:contextualSpacing w:val="0"/>
              <w:jc w:val="both"/>
              <w:rPr>
                <w:rFonts w:cs="Arial"/>
                <w:sz w:val="24"/>
                <w:szCs w:val="24"/>
              </w:rPr>
            </w:pPr>
            <w:r w:rsidRPr="00551749">
              <w:rPr>
                <w:sz w:val="24"/>
                <w:szCs w:val="24"/>
              </w:rPr>
              <w:t xml:space="preserve">At the 2017 Session, the Council requested that the Ethics Office </w:t>
            </w:r>
            <w:r w:rsidRPr="00551749">
              <w:rPr>
                <w:rFonts w:cs="Arial"/>
                <w:sz w:val="24"/>
                <w:szCs w:val="24"/>
              </w:rPr>
              <w:t xml:space="preserve">report yearly on its activities, as is consistent with many UN organizations. </w:t>
            </w:r>
          </w:p>
          <w:p w14:paraId="0553D058" w14:textId="77777777" w:rsidR="005D4FA2" w:rsidRPr="00EF519E" w:rsidRDefault="00662C0B" w:rsidP="005D4FA2">
            <w:pPr>
              <w:spacing w:after="120"/>
              <w:jc w:val="both"/>
              <w:rPr>
                <w:rFonts w:asciiTheme="minorHAnsi" w:hAnsiTheme="minorHAnsi" w:cstheme="minorHAnsi"/>
                <w:szCs w:val="24"/>
              </w:rPr>
            </w:pPr>
            <w:r w:rsidRPr="00551749">
              <w:rPr>
                <w:szCs w:val="24"/>
              </w:rPr>
              <w:t>This report covers the Ethics Office’s activities for the period January to December 2020</w:t>
            </w:r>
            <w:r w:rsidRPr="00551749">
              <w:rPr>
                <w:rFonts w:cs="Calibri"/>
                <w:color w:val="000000"/>
                <w:szCs w:val="24"/>
              </w:rPr>
              <w:t>.</w:t>
            </w:r>
            <w:r w:rsidR="005D4FA2">
              <w:rPr>
                <w:rFonts w:cs="Calibri"/>
                <w:color w:val="000000"/>
                <w:szCs w:val="24"/>
              </w:rPr>
              <w:t xml:space="preserve"> </w:t>
            </w:r>
            <w:r w:rsidR="005D4FA2" w:rsidRPr="00EF519E">
              <w:rPr>
                <w:rFonts w:asciiTheme="minorHAnsi" w:hAnsiTheme="minorHAnsi" w:cstheme="minorHAnsi"/>
                <w:szCs w:val="24"/>
              </w:rPr>
              <w:t>The 2020 version of this report (C20/59) was prepared for submission to 2020 session of the Council but was not reviewed.</w:t>
            </w:r>
          </w:p>
          <w:p w14:paraId="145DFE4B" w14:textId="7A3C7E16" w:rsidR="002A2188" w:rsidRPr="00551749" w:rsidRDefault="002A2188" w:rsidP="00CF134B">
            <w:pPr>
              <w:pStyle w:val="Headingb"/>
              <w:spacing w:before="120" w:after="120"/>
              <w:rPr>
                <w:szCs w:val="24"/>
              </w:rPr>
            </w:pPr>
            <w:r w:rsidRPr="00551749">
              <w:rPr>
                <w:szCs w:val="24"/>
              </w:rPr>
              <w:t xml:space="preserve">Action </w:t>
            </w:r>
            <w:proofErr w:type="gramStart"/>
            <w:r w:rsidRPr="00551749">
              <w:rPr>
                <w:szCs w:val="24"/>
              </w:rPr>
              <w:t>required</w:t>
            </w:r>
            <w:proofErr w:type="gramEnd"/>
          </w:p>
          <w:p w14:paraId="2E8A625D" w14:textId="65B71A65" w:rsidR="00245D90" w:rsidRPr="00551749" w:rsidRDefault="00245D90" w:rsidP="00245D90">
            <w:pPr>
              <w:snapToGrid w:val="0"/>
              <w:spacing w:after="120"/>
              <w:jc w:val="both"/>
              <w:rPr>
                <w:szCs w:val="24"/>
              </w:rPr>
            </w:pPr>
            <w:r w:rsidRPr="00551749">
              <w:rPr>
                <w:szCs w:val="24"/>
              </w:rPr>
              <w:t xml:space="preserve">The Council is requested to </w:t>
            </w:r>
            <w:r w:rsidRPr="00551749">
              <w:rPr>
                <w:b/>
                <w:bCs/>
                <w:szCs w:val="24"/>
              </w:rPr>
              <w:t xml:space="preserve">take note </w:t>
            </w:r>
            <w:r w:rsidRPr="00551749">
              <w:rPr>
                <w:szCs w:val="24"/>
              </w:rPr>
              <w:t>of th</w:t>
            </w:r>
            <w:r w:rsidR="005D4FA2">
              <w:rPr>
                <w:szCs w:val="24"/>
              </w:rPr>
              <w:t>is report, as well as document C20/59.</w:t>
            </w:r>
          </w:p>
          <w:p w14:paraId="68F1D928" w14:textId="77777777" w:rsidR="002A2188" w:rsidRPr="00551749" w:rsidRDefault="002A2188" w:rsidP="00CF134B">
            <w:pPr>
              <w:pStyle w:val="Table"/>
              <w:keepNext w:val="0"/>
              <w:spacing w:before="120"/>
              <w:rPr>
                <w:rFonts w:ascii="Calibri" w:hAnsi="Calibri"/>
                <w:caps w:val="0"/>
                <w:szCs w:val="24"/>
              </w:rPr>
            </w:pPr>
            <w:r w:rsidRPr="00551749">
              <w:rPr>
                <w:rFonts w:ascii="Calibri" w:hAnsi="Calibri"/>
                <w:caps w:val="0"/>
                <w:szCs w:val="24"/>
              </w:rPr>
              <w:t>____________</w:t>
            </w:r>
          </w:p>
          <w:p w14:paraId="2124BADC" w14:textId="77777777" w:rsidR="002A2188" w:rsidRPr="00551749" w:rsidRDefault="002A2188" w:rsidP="00CF134B">
            <w:pPr>
              <w:pStyle w:val="Headingb"/>
              <w:spacing w:before="120" w:after="120"/>
              <w:rPr>
                <w:szCs w:val="24"/>
              </w:rPr>
            </w:pPr>
            <w:r w:rsidRPr="00551749">
              <w:rPr>
                <w:szCs w:val="24"/>
              </w:rPr>
              <w:t>References</w:t>
            </w:r>
          </w:p>
          <w:p w14:paraId="2E0343C9" w14:textId="719270D1" w:rsidR="002A2188" w:rsidRPr="00551749" w:rsidRDefault="00A971B5" w:rsidP="00CF134B">
            <w:pPr>
              <w:pStyle w:val="NoSpacing"/>
              <w:spacing w:before="120" w:after="120"/>
              <w:rPr>
                <w:sz w:val="24"/>
                <w:szCs w:val="24"/>
              </w:rPr>
            </w:pPr>
            <w:hyperlink r:id="rId9" w:history="1">
              <w:r w:rsidR="009464A7" w:rsidRPr="00551749">
                <w:rPr>
                  <w:rStyle w:val="Hyperlink"/>
                  <w:szCs w:val="24"/>
                </w:rPr>
                <w:t>C17/120(Rev. 1)</w:t>
              </w:r>
            </w:hyperlink>
            <w:r w:rsidR="009464A7" w:rsidRPr="00551749">
              <w:rPr>
                <w:szCs w:val="24"/>
              </w:rPr>
              <w:t xml:space="preserve">; </w:t>
            </w:r>
            <w:hyperlink r:id="rId10" w:history="1">
              <w:r w:rsidR="009464A7" w:rsidRPr="00551749">
                <w:rPr>
                  <w:rStyle w:val="Hyperlink"/>
                  <w:szCs w:val="24"/>
                </w:rPr>
                <w:t>C17/50</w:t>
              </w:r>
            </w:hyperlink>
            <w:r w:rsidR="009464A7" w:rsidRPr="00551749">
              <w:rPr>
                <w:i/>
                <w:iCs/>
              </w:rPr>
              <w:t xml:space="preserve">; </w:t>
            </w:r>
            <w:hyperlink r:id="rId11" w:history="1">
              <w:r w:rsidR="009464A7" w:rsidRPr="00551749">
                <w:rPr>
                  <w:rStyle w:val="Hyperlink"/>
                </w:rPr>
                <w:t>C18/52</w:t>
              </w:r>
            </w:hyperlink>
            <w:r w:rsidR="009464A7" w:rsidRPr="00551749">
              <w:rPr>
                <w:rStyle w:val="Hyperlink"/>
                <w:u w:val="none"/>
              </w:rPr>
              <w:t xml:space="preserve">; </w:t>
            </w:r>
            <w:hyperlink r:id="rId12" w:history="1">
              <w:r w:rsidR="009464A7" w:rsidRPr="00DE0819">
                <w:rPr>
                  <w:rStyle w:val="Hyperlink"/>
                </w:rPr>
                <w:t>C20/59</w:t>
              </w:r>
            </w:hyperlink>
          </w:p>
        </w:tc>
      </w:tr>
    </w:tbl>
    <w:p w14:paraId="17F830F6" w14:textId="77777777" w:rsidR="00A45A2B" w:rsidRPr="00551749" w:rsidRDefault="00A45A2B" w:rsidP="00C654D2">
      <w:pPr>
        <w:pStyle w:val="ListParagraph"/>
        <w:numPr>
          <w:ilvl w:val="0"/>
          <w:numId w:val="4"/>
        </w:numPr>
        <w:adjustRightInd w:val="0"/>
        <w:snapToGrid w:val="0"/>
        <w:spacing w:before="720" w:after="120" w:line="240" w:lineRule="auto"/>
        <w:ind w:left="709" w:hanging="709"/>
        <w:contextualSpacing w:val="0"/>
        <w:jc w:val="both"/>
        <w:rPr>
          <w:b/>
          <w:bCs/>
          <w:sz w:val="24"/>
          <w:szCs w:val="24"/>
        </w:rPr>
      </w:pPr>
      <w:bookmarkStart w:id="8" w:name="dstart"/>
      <w:bookmarkStart w:id="9" w:name="dbreak"/>
      <w:bookmarkEnd w:id="8"/>
      <w:bookmarkEnd w:id="9"/>
      <w:r w:rsidRPr="00551749">
        <w:rPr>
          <w:b/>
          <w:bCs/>
          <w:sz w:val="24"/>
          <w:szCs w:val="24"/>
        </w:rPr>
        <w:t>Report on Activities</w:t>
      </w:r>
    </w:p>
    <w:p w14:paraId="277B0963" w14:textId="110F6332" w:rsidR="00A45A2B" w:rsidRPr="00551749" w:rsidRDefault="00A45A2B" w:rsidP="00DE0819">
      <w:pPr>
        <w:pStyle w:val="ListParagraph"/>
        <w:numPr>
          <w:ilvl w:val="0"/>
          <w:numId w:val="3"/>
        </w:numPr>
        <w:snapToGrid w:val="0"/>
        <w:spacing w:before="120" w:after="120" w:line="240" w:lineRule="auto"/>
        <w:ind w:left="0" w:firstLine="0"/>
        <w:contextualSpacing w:val="0"/>
        <w:jc w:val="both"/>
        <w:rPr>
          <w:sz w:val="24"/>
          <w:szCs w:val="24"/>
        </w:rPr>
      </w:pPr>
      <w:r w:rsidRPr="00551749">
        <w:rPr>
          <w:sz w:val="24"/>
          <w:szCs w:val="24"/>
        </w:rPr>
        <w:t>This report details the activities of the Ethics Office for 20</w:t>
      </w:r>
      <w:r w:rsidR="001D02B4" w:rsidRPr="00551749">
        <w:rPr>
          <w:sz w:val="24"/>
          <w:szCs w:val="24"/>
        </w:rPr>
        <w:t>20</w:t>
      </w:r>
      <w:r w:rsidRPr="00551749">
        <w:rPr>
          <w:sz w:val="24"/>
          <w:szCs w:val="24"/>
        </w:rPr>
        <w:t>.</w:t>
      </w:r>
    </w:p>
    <w:p w14:paraId="3623E166" w14:textId="0EAE91CE" w:rsidR="00A45A2B" w:rsidRPr="00551749" w:rsidRDefault="001D02B4" w:rsidP="00DE0819">
      <w:pPr>
        <w:pStyle w:val="ListParagraph"/>
        <w:numPr>
          <w:ilvl w:val="0"/>
          <w:numId w:val="3"/>
        </w:numPr>
        <w:snapToGrid w:val="0"/>
        <w:spacing w:before="120" w:after="120" w:line="240" w:lineRule="auto"/>
        <w:ind w:left="0" w:firstLine="0"/>
        <w:contextualSpacing w:val="0"/>
        <w:jc w:val="both"/>
        <w:rPr>
          <w:sz w:val="24"/>
          <w:szCs w:val="24"/>
        </w:rPr>
      </w:pPr>
      <w:r w:rsidRPr="00551749">
        <w:rPr>
          <w:rStyle w:val="Strong"/>
          <w:rFonts w:cs="Arial"/>
          <w:b w:val="0"/>
          <w:bCs w:val="0"/>
          <w:sz w:val="24"/>
          <w:szCs w:val="24"/>
          <w:bdr w:val="none" w:sz="0" w:space="0" w:color="auto" w:frame="1"/>
          <w:shd w:val="clear" w:color="auto" w:fill="FFFFFF"/>
        </w:rPr>
        <w:t>A</w:t>
      </w:r>
      <w:r w:rsidR="00543612">
        <w:rPr>
          <w:rStyle w:val="Strong"/>
          <w:rFonts w:cs="Arial"/>
          <w:b w:val="0"/>
          <w:bCs w:val="0"/>
          <w:sz w:val="24"/>
          <w:szCs w:val="24"/>
          <w:bdr w:val="none" w:sz="0" w:space="0" w:color="auto" w:frame="1"/>
          <w:shd w:val="clear" w:color="auto" w:fill="FFFFFF"/>
        </w:rPr>
        <w:t xml:space="preserve"> 2019 report (C20/59) was prepared for submission to the 2020 session of the </w:t>
      </w:r>
      <w:r w:rsidR="00143911">
        <w:rPr>
          <w:rStyle w:val="Strong"/>
          <w:rFonts w:cs="Arial"/>
          <w:b w:val="0"/>
          <w:bCs w:val="0"/>
          <w:sz w:val="24"/>
          <w:szCs w:val="24"/>
          <w:bdr w:val="none" w:sz="0" w:space="0" w:color="auto" w:frame="1"/>
          <w:shd w:val="clear" w:color="auto" w:fill="FFFFFF"/>
        </w:rPr>
        <w:t>Council but</w:t>
      </w:r>
      <w:r w:rsidR="00543612">
        <w:rPr>
          <w:rStyle w:val="Strong"/>
          <w:rFonts w:cs="Arial"/>
          <w:b w:val="0"/>
          <w:bCs w:val="0"/>
          <w:sz w:val="24"/>
          <w:szCs w:val="24"/>
          <w:bdr w:val="none" w:sz="0" w:space="0" w:color="auto" w:frame="1"/>
          <w:shd w:val="clear" w:color="auto" w:fill="FFFFFF"/>
        </w:rPr>
        <w:t xml:space="preserve"> was not reviewed. </w:t>
      </w:r>
      <w:r w:rsidR="00A45A2B" w:rsidRPr="00551749">
        <w:rPr>
          <w:sz w:val="24"/>
          <w:szCs w:val="24"/>
        </w:rPr>
        <w:t>At Council 2019, the Ethics Office provided an oral report on the Ethics Office’s activities in 2018 and outlined its key areas of work for 2019. Prior to that, the Ethics Office published a 2017 report following Council’s request, at the 2017 Session, that the Ethics Office provide an annual report on its activities.</w:t>
      </w:r>
    </w:p>
    <w:p w14:paraId="198AD601" w14:textId="54482910" w:rsidR="00A45A2B" w:rsidRPr="00551749" w:rsidRDefault="00A45A2B" w:rsidP="00DE0819">
      <w:pPr>
        <w:pStyle w:val="ListParagraph"/>
        <w:numPr>
          <w:ilvl w:val="0"/>
          <w:numId w:val="3"/>
        </w:numPr>
        <w:snapToGrid w:val="0"/>
        <w:spacing w:before="120" w:after="120" w:line="240" w:lineRule="auto"/>
        <w:ind w:left="0" w:firstLine="0"/>
        <w:contextualSpacing w:val="0"/>
        <w:jc w:val="both"/>
        <w:rPr>
          <w:sz w:val="24"/>
          <w:szCs w:val="24"/>
        </w:rPr>
      </w:pPr>
      <w:r w:rsidRPr="00551749">
        <w:rPr>
          <w:sz w:val="24"/>
          <w:szCs w:val="24"/>
        </w:rPr>
        <w:t>The priorities of the Ethics Office for the 20</w:t>
      </w:r>
      <w:r w:rsidR="001D02B4" w:rsidRPr="00551749">
        <w:rPr>
          <w:sz w:val="24"/>
          <w:szCs w:val="24"/>
        </w:rPr>
        <w:t>20</w:t>
      </w:r>
      <w:r w:rsidRPr="00551749">
        <w:rPr>
          <w:sz w:val="24"/>
          <w:szCs w:val="24"/>
        </w:rPr>
        <w:t xml:space="preserve"> period were to </w:t>
      </w:r>
      <w:r w:rsidR="001D02B4" w:rsidRPr="00551749">
        <w:rPr>
          <w:sz w:val="24"/>
          <w:szCs w:val="24"/>
        </w:rPr>
        <w:t>continue to</w:t>
      </w:r>
      <w:r w:rsidRPr="00551749">
        <w:rPr>
          <w:sz w:val="24"/>
          <w:szCs w:val="24"/>
        </w:rPr>
        <w:t xml:space="preserve"> build upon prior initiatives, </w:t>
      </w:r>
      <w:r w:rsidR="001D02B4" w:rsidRPr="00551749">
        <w:rPr>
          <w:sz w:val="24"/>
          <w:szCs w:val="24"/>
        </w:rPr>
        <w:t>increase</w:t>
      </w:r>
      <w:r w:rsidRPr="00551749">
        <w:rPr>
          <w:sz w:val="24"/>
          <w:szCs w:val="24"/>
        </w:rPr>
        <w:t xml:space="preserve"> awareness-raising about the Ethics Office and ethical behaviors, and to strengthen internal controls in the legal/administrative framework. These priorities were focused on two key areas: (a) promoting an environment of ethical awareness across the organization; (b) enhancing the legal/administrative framework.</w:t>
      </w:r>
    </w:p>
    <w:p w14:paraId="7E40B6EE" w14:textId="06AC568E" w:rsidR="00A45A2B" w:rsidRPr="00551749" w:rsidRDefault="002A195B" w:rsidP="00DE0819">
      <w:pPr>
        <w:pStyle w:val="ListParagraph"/>
        <w:numPr>
          <w:ilvl w:val="0"/>
          <w:numId w:val="3"/>
        </w:numPr>
        <w:snapToGrid w:val="0"/>
        <w:spacing w:before="120" w:after="120" w:line="240" w:lineRule="auto"/>
        <w:ind w:left="0" w:firstLine="0"/>
        <w:contextualSpacing w:val="0"/>
        <w:jc w:val="both"/>
        <w:rPr>
          <w:sz w:val="24"/>
          <w:szCs w:val="24"/>
        </w:rPr>
      </w:pPr>
      <w:r w:rsidRPr="00551749">
        <w:rPr>
          <w:sz w:val="24"/>
          <w:szCs w:val="24"/>
        </w:rPr>
        <w:t>The s</w:t>
      </w:r>
      <w:r w:rsidR="00A45A2B" w:rsidRPr="00551749">
        <w:rPr>
          <w:sz w:val="24"/>
          <w:szCs w:val="24"/>
        </w:rPr>
        <w:t xml:space="preserve">pecific activities aimed at each of these objectives are described below. </w:t>
      </w:r>
    </w:p>
    <w:p w14:paraId="13B6CF1C" w14:textId="77777777" w:rsidR="00A45A2B" w:rsidRPr="00551749" w:rsidRDefault="00A45A2B" w:rsidP="00A45A2B">
      <w:pPr>
        <w:pStyle w:val="ListParagraph"/>
        <w:keepNext/>
        <w:keepLines/>
        <w:numPr>
          <w:ilvl w:val="1"/>
          <w:numId w:val="4"/>
        </w:numPr>
        <w:spacing w:before="360" w:after="120" w:line="240" w:lineRule="auto"/>
        <w:ind w:left="1134" w:hanging="414"/>
        <w:contextualSpacing w:val="0"/>
        <w:rPr>
          <w:sz w:val="24"/>
          <w:szCs w:val="24"/>
        </w:rPr>
      </w:pPr>
      <w:r w:rsidRPr="00551749">
        <w:rPr>
          <w:b/>
          <w:bCs/>
          <w:i/>
          <w:iCs/>
          <w:sz w:val="24"/>
          <w:szCs w:val="24"/>
        </w:rPr>
        <w:lastRenderedPageBreak/>
        <w:t>Promoting an Environment of Ethical Awareness</w:t>
      </w:r>
    </w:p>
    <w:p w14:paraId="67342861" w14:textId="06B608C2" w:rsidR="00A45A2B" w:rsidRPr="00551749" w:rsidRDefault="00A45A2B" w:rsidP="00DE0819">
      <w:pPr>
        <w:pStyle w:val="ListParagraph"/>
        <w:numPr>
          <w:ilvl w:val="0"/>
          <w:numId w:val="3"/>
        </w:numPr>
        <w:snapToGrid w:val="0"/>
        <w:spacing w:before="120" w:after="120" w:line="240" w:lineRule="auto"/>
        <w:ind w:left="0" w:firstLine="0"/>
        <w:contextualSpacing w:val="0"/>
        <w:jc w:val="both"/>
        <w:rPr>
          <w:sz w:val="24"/>
          <w:szCs w:val="24"/>
        </w:rPr>
      </w:pPr>
      <w:r w:rsidRPr="00551749">
        <w:rPr>
          <w:sz w:val="24"/>
          <w:szCs w:val="24"/>
          <w:u w:val="single"/>
        </w:rPr>
        <w:t>Reporting Misconduct:</w:t>
      </w:r>
      <w:r w:rsidRPr="00551749">
        <w:rPr>
          <w:sz w:val="24"/>
          <w:szCs w:val="24"/>
        </w:rPr>
        <w:t xml:space="preserve"> </w:t>
      </w:r>
      <w:r w:rsidR="002A195B" w:rsidRPr="00551749">
        <w:rPr>
          <w:sz w:val="24"/>
          <w:szCs w:val="24"/>
        </w:rPr>
        <w:t xml:space="preserve">In order to encourage individuals to speak up to the Ethics Office, an encrypted helpline, </w:t>
      </w:r>
      <w:hyperlink r:id="rId13" w:history="1">
        <w:r w:rsidR="002A195B" w:rsidRPr="00551749">
          <w:rPr>
            <w:rStyle w:val="Hyperlink"/>
            <w:sz w:val="24"/>
            <w:szCs w:val="24"/>
          </w:rPr>
          <w:t>HelplineITU@protonmail.com</w:t>
        </w:r>
      </w:hyperlink>
      <w:r w:rsidR="002A195B" w:rsidRPr="00551749">
        <w:rPr>
          <w:sz w:val="24"/>
          <w:szCs w:val="24"/>
        </w:rPr>
        <w:t>, which is located on an external server, is available for external and individual persons to report misconduct anonymously. To raise awareness about the reporting and communication channels available, the ITU website landing page, and every ITU webpage and intranet page, contain a “Report Misconduct” link with contact details of the helpline and the Ethics Office.</w:t>
      </w:r>
    </w:p>
    <w:p w14:paraId="56FE0ED1" w14:textId="4E113412" w:rsidR="00A45A2B" w:rsidRPr="00551749" w:rsidRDefault="00A45A2B" w:rsidP="00DE0819">
      <w:pPr>
        <w:pStyle w:val="ListParagraph"/>
        <w:numPr>
          <w:ilvl w:val="0"/>
          <w:numId w:val="3"/>
        </w:numPr>
        <w:snapToGrid w:val="0"/>
        <w:spacing w:before="120" w:after="120" w:line="240" w:lineRule="auto"/>
        <w:ind w:left="0" w:firstLine="0"/>
        <w:contextualSpacing w:val="0"/>
        <w:jc w:val="both"/>
        <w:rPr>
          <w:sz w:val="24"/>
          <w:szCs w:val="24"/>
          <w:u w:val="single"/>
        </w:rPr>
      </w:pPr>
      <w:r w:rsidRPr="00551749">
        <w:rPr>
          <w:sz w:val="24"/>
          <w:szCs w:val="24"/>
          <w:u w:val="single"/>
        </w:rPr>
        <w:t>Ethics Office External</w:t>
      </w:r>
      <w:r w:rsidR="007E754C" w:rsidRPr="00551749">
        <w:rPr>
          <w:sz w:val="24"/>
          <w:szCs w:val="24"/>
          <w:u w:val="single"/>
        </w:rPr>
        <w:t xml:space="preserve"> and Internal </w:t>
      </w:r>
      <w:r w:rsidRPr="00551749">
        <w:rPr>
          <w:sz w:val="24"/>
          <w:szCs w:val="24"/>
          <w:u w:val="single"/>
        </w:rPr>
        <w:t>Webpages</w:t>
      </w:r>
      <w:r w:rsidRPr="00551749">
        <w:rPr>
          <w:sz w:val="24"/>
          <w:szCs w:val="24"/>
        </w:rPr>
        <w:t xml:space="preserve">: </w:t>
      </w:r>
      <w:r w:rsidR="002A195B" w:rsidRPr="00551749">
        <w:rPr>
          <w:sz w:val="24"/>
          <w:szCs w:val="24"/>
        </w:rPr>
        <w:t>The Ethics Office webpages are regularly updated to provide ethics-related materials and information, including key policy documents and information about the role of the Ethics Office and other resources. Providing ethics-related materials and information so that it is accessible to staff has been an ongoing priority. The webpages will be further updated in 2021 in collaboration with ITU’s Communications Team as part of the new design of the ITU website.</w:t>
      </w:r>
    </w:p>
    <w:p w14:paraId="6B8B523F" w14:textId="48803C56" w:rsidR="00A45A2B" w:rsidRPr="00551749" w:rsidRDefault="00A45A2B" w:rsidP="00DE0819">
      <w:pPr>
        <w:pStyle w:val="ListParagraph"/>
        <w:numPr>
          <w:ilvl w:val="0"/>
          <w:numId w:val="3"/>
        </w:numPr>
        <w:snapToGrid w:val="0"/>
        <w:spacing w:before="120" w:after="120" w:line="240" w:lineRule="auto"/>
        <w:ind w:left="0" w:firstLine="0"/>
        <w:contextualSpacing w:val="0"/>
        <w:jc w:val="both"/>
        <w:rPr>
          <w:sz w:val="24"/>
          <w:szCs w:val="24"/>
        </w:rPr>
      </w:pPr>
      <w:r w:rsidRPr="00551749">
        <w:rPr>
          <w:sz w:val="24"/>
          <w:szCs w:val="24"/>
          <w:u w:val="single"/>
        </w:rPr>
        <w:t>Awareness Raising Materials</w:t>
      </w:r>
      <w:r w:rsidRPr="00551749">
        <w:rPr>
          <w:sz w:val="24"/>
          <w:szCs w:val="24"/>
        </w:rPr>
        <w:t xml:space="preserve">: </w:t>
      </w:r>
      <w:r w:rsidR="002A195B" w:rsidRPr="00551749">
        <w:rPr>
          <w:sz w:val="24"/>
          <w:szCs w:val="24"/>
        </w:rPr>
        <w:t>Posters and promotional materials to inform staff that any misconduct can be reported confidentially and anonymously to the Ethics Office with the Ethics Office’s contact details have been disseminated in ITU headquarters. A virtual poster to commemorate International Anti-Corruption Day on 9 December was displayed online and there was an accompanying news article in the ITU newsletter.</w:t>
      </w:r>
    </w:p>
    <w:p w14:paraId="3F77E3DC" w14:textId="05076F55" w:rsidR="00A45A2B" w:rsidRPr="00551749" w:rsidRDefault="00A45A2B" w:rsidP="00DE0819">
      <w:pPr>
        <w:pStyle w:val="ListParagraph"/>
        <w:numPr>
          <w:ilvl w:val="0"/>
          <w:numId w:val="3"/>
        </w:numPr>
        <w:snapToGrid w:val="0"/>
        <w:spacing w:before="120" w:after="120" w:line="240" w:lineRule="auto"/>
        <w:ind w:left="0" w:firstLine="0"/>
        <w:contextualSpacing w:val="0"/>
        <w:jc w:val="both"/>
        <w:rPr>
          <w:sz w:val="24"/>
          <w:szCs w:val="24"/>
        </w:rPr>
      </w:pPr>
      <w:r w:rsidRPr="00551749">
        <w:rPr>
          <w:sz w:val="24"/>
          <w:szCs w:val="24"/>
          <w:u w:val="single"/>
        </w:rPr>
        <w:t>Online Ethics Training</w:t>
      </w:r>
      <w:r w:rsidRPr="00551749">
        <w:rPr>
          <w:sz w:val="24"/>
          <w:szCs w:val="24"/>
        </w:rPr>
        <w:t xml:space="preserve">: </w:t>
      </w:r>
      <w:r w:rsidR="002A195B" w:rsidRPr="00551749">
        <w:rPr>
          <w:sz w:val="24"/>
          <w:szCs w:val="24"/>
        </w:rPr>
        <w:t xml:space="preserve">In order to promote ethical awareness, online ethics training is required for all staff. </w:t>
      </w:r>
      <w:r w:rsidRPr="00551749">
        <w:rPr>
          <w:sz w:val="24"/>
          <w:szCs w:val="24"/>
        </w:rPr>
        <w:t xml:space="preserve">Further language offerings </w:t>
      </w:r>
      <w:r w:rsidR="002A195B" w:rsidRPr="00551749">
        <w:rPr>
          <w:sz w:val="24"/>
          <w:szCs w:val="24"/>
        </w:rPr>
        <w:t xml:space="preserve">are </w:t>
      </w:r>
      <w:r w:rsidRPr="00551749">
        <w:rPr>
          <w:sz w:val="24"/>
          <w:szCs w:val="24"/>
        </w:rPr>
        <w:t>planned.</w:t>
      </w:r>
    </w:p>
    <w:p w14:paraId="75752269" w14:textId="31724DE0" w:rsidR="00551749" w:rsidRPr="00551749" w:rsidRDefault="00C6380E" w:rsidP="00DE0819">
      <w:pPr>
        <w:pStyle w:val="ListParagraph"/>
        <w:numPr>
          <w:ilvl w:val="0"/>
          <w:numId w:val="3"/>
        </w:numPr>
        <w:snapToGrid w:val="0"/>
        <w:spacing w:before="120" w:after="120" w:line="240" w:lineRule="auto"/>
        <w:ind w:left="0" w:firstLine="0"/>
        <w:contextualSpacing w:val="0"/>
        <w:jc w:val="both"/>
        <w:rPr>
          <w:sz w:val="24"/>
          <w:szCs w:val="24"/>
        </w:rPr>
      </w:pPr>
      <w:r w:rsidRPr="00551749">
        <w:rPr>
          <w:sz w:val="24"/>
          <w:szCs w:val="24"/>
          <w:u w:val="single"/>
        </w:rPr>
        <w:t>Online Anti-Fraud Training</w:t>
      </w:r>
      <w:r w:rsidRPr="00551749">
        <w:rPr>
          <w:sz w:val="24"/>
          <w:szCs w:val="24"/>
        </w:rPr>
        <w:t xml:space="preserve">: </w:t>
      </w:r>
      <w:r w:rsidR="00551749" w:rsidRPr="00551749">
        <w:rPr>
          <w:sz w:val="24"/>
          <w:szCs w:val="24"/>
        </w:rPr>
        <w:t xml:space="preserve">In June 2020, ITU launched a mandatory Anti-Fraud Online Training course for ITU staff. The training course was shared by WIPO and further tailored for ITU’s business environment by the Ethics Office and HR. </w:t>
      </w:r>
      <w:r w:rsidR="00551749" w:rsidRPr="00551749">
        <w:rPr>
          <w:rFonts w:cs="Segoe UI"/>
          <w:color w:val="000000"/>
          <w:sz w:val="24"/>
          <w:szCs w:val="24"/>
        </w:rPr>
        <w:t xml:space="preserve">The course is </w:t>
      </w:r>
      <w:r w:rsidR="00551749" w:rsidRPr="00551749">
        <w:rPr>
          <w:rStyle w:val="Strong"/>
          <w:rFonts w:cs="Segoe UI"/>
          <w:b w:val="0"/>
          <w:bCs w:val="0"/>
          <w:color w:val="000000"/>
          <w:sz w:val="24"/>
          <w:szCs w:val="24"/>
        </w:rPr>
        <w:t>mandatory</w:t>
      </w:r>
      <w:r w:rsidR="00551749" w:rsidRPr="00551749">
        <w:rPr>
          <w:rFonts w:cs="Segoe UI"/>
          <w:b/>
          <w:bCs/>
          <w:color w:val="000000"/>
          <w:sz w:val="24"/>
          <w:szCs w:val="24"/>
        </w:rPr>
        <w:t xml:space="preserve"> </w:t>
      </w:r>
      <w:r w:rsidR="00551749" w:rsidRPr="00551749">
        <w:rPr>
          <w:rFonts w:cs="Segoe UI"/>
          <w:color w:val="000000"/>
          <w:sz w:val="24"/>
          <w:szCs w:val="24"/>
        </w:rPr>
        <w:t>for all staff and is available in English and French. This course will enable staff to detect and prevent fraud in ITU.</w:t>
      </w:r>
    </w:p>
    <w:p w14:paraId="4D14BC5E" w14:textId="092251DC" w:rsidR="00551749" w:rsidRPr="00551749" w:rsidRDefault="00A45A2B" w:rsidP="00DE0819">
      <w:pPr>
        <w:pStyle w:val="ListParagraph"/>
        <w:numPr>
          <w:ilvl w:val="0"/>
          <w:numId w:val="3"/>
        </w:numPr>
        <w:snapToGrid w:val="0"/>
        <w:spacing w:before="120" w:after="120" w:line="240" w:lineRule="auto"/>
        <w:ind w:left="0" w:firstLine="0"/>
        <w:contextualSpacing w:val="0"/>
        <w:jc w:val="both"/>
        <w:rPr>
          <w:sz w:val="24"/>
          <w:szCs w:val="24"/>
        </w:rPr>
      </w:pPr>
      <w:r w:rsidRPr="00156664">
        <w:rPr>
          <w:sz w:val="24"/>
          <w:szCs w:val="24"/>
          <w:u w:val="single"/>
        </w:rPr>
        <w:t>Anti-Fraud Training</w:t>
      </w:r>
      <w:r w:rsidRPr="00156664">
        <w:rPr>
          <w:sz w:val="24"/>
          <w:szCs w:val="24"/>
        </w:rPr>
        <w:t>:</w:t>
      </w:r>
      <w:r w:rsidR="00DC2AE2" w:rsidRPr="00156664">
        <w:rPr>
          <w:sz w:val="24"/>
          <w:szCs w:val="24"/>
        </w:rPr>
        <w:t xml:space="preserve"> </w:t>
      </w:r>
      <w:r w:rsidR="00551749" w:rsidRPr="00156664">
        <w:rPr>
          <w:sz w:val="24"/>
          <w:szCs w:val="24"/>
        </w:rPr>
        <w:t xml:space="preserve">Two anti-fraud workshops were held virtually in November 2020 in order to continue to raise awareness about ITU’s policy against fraud and in order to build on the </w:t>
      </w:r>
      <w:proofErr w:type="gramStart"/>
      <w:r w:rsidR="00551749" w:rsidRPr="00156664">
        <w:rPr>
          <w:sz w:val="24"/>
          <w:szCs w:val="24"/>
        </w:rPr>
        <w:t>all staff</w:t>
      </w:r>
      <w:proofErr w:type="gramEnd"/>
      <w:r w:rsidR="00551749" w:rsidRPr="00156664">
        <w:rPr>
          <w:sz w:val="24"/>
          <w:szCs w:val="24"/>
        </w:rPr>
        <w:t xml:space="preserve"> anti-fraud training session held the previous year. The workshops were tailored to staff involved in financial processes in the General Secretariat and will be rolled-out to each Bureau in 2021. The purpose of the workshops was to provide a more in-depth training on ITU’s Policy</w:t>
      </w:r>
      <w:r w:rsidR="00551749" w:rsidRPr="00551749">
        <w:rPr>
          <w:sz w:val="24"/>
          <w:szCs w:val="24"/>
        </w:rPr>
        <w:t xml:space="preserve"> Against Fraud, Corruption and Other Proscribed Practices, on how to identify fraudulent activity, to mitigate risks, and to improve governance. </w:t>
      </w:r>
    </w:p>
    <w:p w14:paraId="2D0F2FCE" w14:textId="7A97948B" w:rsidR="00551749" w:rsidRPr="00551749" w:rsidRDefault="00551749" w:rsidP="00DE0819">
      <w:pPr>
        <w:pStyle w:val="ListParagraph"/>
        <w:numPr>
          <w:ilvl w:val="0"/>
          <w:numId w:val="3"/>
        </w:numPr>
        <w:snapToGrid w:val="0"/>
        <w:spacing w:before="120" w:after="120" w:line="240" w:lineRule="auto"/>
        <w:ind w:left="0" w:firstLine="0"/>
        <w:contextualSpacing w:val="0"/>
        <w:jc w:val="both"/>
        <w:rPr>
          <w:sz w:val="24"/>
          <w:szCs w:val="24"/>
        </w:rPr>
      </w:pPr>
      <w:r w:rsidRPr="00551749">
        <w:rPr>
          <w:sz w:val="24"/>
          <w:szCs w:val="24"/>
          <w:u w:val="single"/>
        </w:rPr>
        <w:t xml:space="preserve">Induction Session for </w:t>
      </w:r>
      <w:proofErr w:type="gramStart"/>
      <w:r w:rsidRPr="00551749">
        <w:rPr>
          <w:sz w:val="24"/>
          <w:szCs w:val="24"/>
          <w:u w:val="single"/>
        </w:rPr>
        <w:t>Newly-Recruited</w:t>
      </w:r>
      <w:proofErr w:type="gramEnd"/>
      <w:r w:rsidRPr="00551749">
        <w:rPr>
          <w:sz w:val="24"/>
          <w:szCs w:val="24"/>
          <w:u w:val="single"/>
        </w:rPr>
        <w:t xml:space="preserve"> Staff</w:t>
      </w:r>
      <w:r w:rsidRPr="00551749">
        <w:rPr>
          <w:sz w:val="24"/>
          <w:szCs w:val="24"/>
        </w:rPr>
        <w:t>: Ethics Office delivered a presentation at an induction session for new staff in May 2020. The session was held during ITU’s first virtual induction session.</w:t>
      </w:r>
    </w:p>
    <w:p w14:paraId="6745E75A" w14:textId="77777777" w:rsidR="00A45A2B" w:rsidRPr="00FB775D" w:rsidRDefault="00A45A2B" w:rsidP="00A45A2B">
      <w:pPr>
        <w:pStyle w:val="ListParagraph"/>
        <w:numPr>
          <w:ilvl w:val="1"/>
          <w:numId w:val="4"/>
        </w:numPr>
        <w:adjustRightInd w:val="0"/>
        <w:snapToGrid w:val="0"/>
        <w:spacing w:before="360" w:after="120" w:line="240" w:lineRule="auto"/>
        <w:ind w:left="1134" w:hanging="414"/>
        <w:contextualSpacing w:val="0"/>
        <w:jc w:val="both"/>
        <w:rPr>
          <w:b/>
          <w:bCs/>
          <w:i/>
          <w:iCs/>
          <w:sz w:val="24"/>
          <w:szCs w:val="24"/>
        </w:rPr>
      </w:pPr>
      <w:r w:rsidRPr="00FB775D">
        <w:rPr>
          <w:b/>
          <w:bCs/>
          <w:i/>
          <w:iCs/>
          <w:sz w:val="24"/>
          <w:szCs w:val="24"/>
        </w:rPr>
        <w:t>Enhancing the legal/administrative framework</w:t>
      </w:r>
    </w:p>
    <w:p w14:paraId="74AE62E8" w14:textId="677066FF" w:rsidR="00551749" w:rsidRPr="00930C75" w:rsidRDefault="00551749" w:rsidP="00DE0819">
      <w:pPr>
        <w:pStyle w:val="ListParagraph"/>
        <w:numPr>
          <w:ilvl w:val="0"/>
          <w:numId w:val="3"/>
        </w:numPr>
        <w:snapToGrid w:val="0"/>
        <w:spacing w:before="120" w:after="120" w:line="240" w:lineRule="auto"/>
        <w:ind w:left="0" w:firstLine="0"/>
        <w:contextualSpacing w:val="0"/>
        <w:jc w:val="both"/>
        <w:rPr>
          <w:sz w:val="24"/>
          <w:szCs w:val="24"/>
        </w:rPr>
      </w:pPr>
      <w:r w:rsidRPr="00FB775D">
        <w:rPr>
          <w:sz w:val="24"/>
          <w:szCs w:val="24"/>
          <w:u w:val="single"/>
        </w:rPr>
        <w:t>Policy and Protection for Reporting Misconduct (Whistleblowing) (the “Policy Against Retaliation”)</w:t>
      </w:r>
      <w:r w:rsidRPr="00FB775D">
        <w:rPr>
          <w:sz w:val="24"/>
          <w:szCs w:val="24"/>
        </w:rPr>
        <w:t xml:space="preserve">: </w:t>
      </w:r>
      <w:r w:rsidRPr="00930C75">
        <w:rPr>
          <w:sz w:val="24"/>
          <w:szCs w:val="24"/>
        </w:rPr>
        <w:t xml:space="preserve">The Secretary-General promulgated the Policy Against Retaliation on 10 September 2020. The Policy Against Retaliation clarifies the rights and responsibilities of ITU personnel with respect to reporting suspected misconduct, so as to encourage ITU personnel to raise concerns and enable ITU to address such cases. The Policy Against Retaliation emphasizes that ITU does not tolerate misconduct, is committed to ensuring that ITU functions in an open, transparent, and fair manner, and that that staff will be protected from retaliation. Revisions to the Policy Against Retaliation </w:t>
      </w:r>
      <w:r w:rsidRPr="00930C75">
        <w:rPr>
          <w:iCs/>
          <w:sz w:val="24"/>
          <w:szCs w:val="24"/>
        </w:rPr>
        <w:t xml:space="preserve">respond to several oversight recommendations, including recommendations from the </w:t>
      </w:r>
      <w:r w:rsidRPr="00930C75">
        <w:rPr>
          <w:iCs/>
          <w:sz w:val="24"/>
          <w:szCs w:val="24"/>
        </w:rPr>
        <w:lastRenderedPageBreak/>
        <w:t>2018 JIU Report, Review of Whistle-blower Policies and Practices in United Nations Systems Organizations.</w:t>
      </w:r>
    </w:p>
    <w:p w14:paraId="43A4D3C1" w14:textId="5E4F17D8" w:rsidR="005B0D4F" w:rsidRPr="00FB775D" w:rsidRDefault="00551749" w:rsidP="00DE0819">
      <w:pPr>
        <w:pStyle w:val="ListParagraph"/>
        <w:numPr>
          <w:ilvl w:val="0"/>
          <w:numId w:val="3"/>
        </w:numPr>
        <w:snapToGrid w:val="0"/>
        <w:spacing w:before="120" w:after="120" w:line="240" w:lineRule="auto"/>
        <w:ind w:left="0" w:firstLine="0"/>
        <w:contextualSpacing w:val="0"/>
        <w:jc w:val="both"/>
        <w:rPr>
          <w:sz w:val="24"/>
          <w:szCs w:val="24"/>
        </w:rPr>
      </w:pPr>
      <w:r w:rsidRPr="00FB775D">
        <w:rPr>
          <w:sz w:val="24"/>
          <w:szCs w:val="24"/>
          <w:u w:val="single"/>
        </w:rPr>
        <w:t>ITU Policy on Declaration of Interests</w:t>
      </w:r>
      <w:r w:rsidRPr="00FB775D">
        <w:rPr>
          <w:sz w:val="24"/>
          <w:szCs w:val="24"/>
        </w:rPr>
        <w:t xml:space="preserve">: </w:t>
      </w:r>
      <w:r w:rsidRPr="00930C75">
        <w:rPr>
          <w:sz w:val="24"/>
          <w:szCs w:val="24"/>
        </w:rPr>
        <w:t xml:space="preserve">On 10 September 2020, the Secretary-General promulgated the ITU Policy on Declaration of Interests. The Policy sets forth the procedure for making disclosures of conflicts of interest, outside activities, financial interests and for reporting gifts. The Policy informs staff that </w:t>
      </w:r>
      <w:r w:rsidRPr="00930C75">
        <w:rPr>
          <w:sz w:val="24"/>
          <w:szCs w:val="24"/>
          <w:lang w:val="en-GB"/>
        </w:rPr>
        <w:t>they have a responsibility to disclose all situations with the potential for a conflict of interest, or a perception thereof, and to refrain from any further involvement in these situations so that they conduct their work in a manner above reproach, with complete impartiality and with no preferential treatment</w:t>
      </w:r>
      <w:r w:rsidRPr="00FB775D">
        <w:rPr>
          <w:sz w:val="24"/>
          <w:szCs w:val="24"/>
        </w:rPr>
        <w:t>. Beginning in 2021, all staff will be required to submit a disclosure form. The Ethics Office has been working together with the IS Department to introduce an electronic disclosure form that will be submitted online.</w:t>
      </w:r>
    </w:p>
    <w:p w14:paraId="2FD607A6" w14:textId="1A79E2FB" w:rsidR="007D2E25" w:rsidRPr="00FB775D" w:rsidRDefault="00551749" w:rsidP="00DE0819">
      <w:pPr>
        <w:pStyle w:val="ListParagraph"/>
        <w:numPr>
          <w:ilvl w:val="0"/>
          <w:numId w:val="3"/>
        </w:numPr>
        <w:snapToGrid w:val="0"/>
        <w:spacing w:before="120" w:after="120" w:line="240" w:lineRule="auto"/>
        <w:ind w:left="0" w:firstLine="0"/>
        <w:contextualSpacing w:val="0"/>
        <w:jc w:val="both"/>
        <w:rPr>
          <w:sz w:val="24"/>
          <w:szCs w:val="24"/>
        </w:rPr>
      </w:pPr>
      <w:r w:rsidRPr="00FB775D">
        <w:rPr>
          <w:sz w:val="24"/>
          <w:szCs w:val="24"/>
          <w:u w:val="single"/>
        </w:rPr>
        <w:t>Enhanced Provisions on Ethical Business Conduct for ITU Telecom World 2020</w:t>
      </w:r>
      <w:r w:rsidRPr="00FB775D">
        <w:rPr>
          <w:sz w:val="24"/>
          <w:szCs w:val="24"/>
        </w:rPr>
        <w:t>: New provisions on ethical business conduct have been incorporated into vendor and sponsorship contract agreements for the ITU Telecom World 2020 event. Due diligence procedures have been enhanced in the new provisions and require that contractual parties represent that they will adhere to ITU’s Policy Against Fraud, Corruption and Other Proscribed Practices.</w:t>
      </w:r>
    </w:p>
    <w:p w14:paraId="470B6348" w14:textId="1B529BC7" w:rsidR="00A45A2B" w:rsidRPr="00FB775D" w:rsidRDefault="00784DB8" w:rsidP="00DE0819">
      <w:pPr>
        <w:pStyle w:val="ListParagraph"/>
        <w:numPr>
          <w:ilvl w:val="0"/>
          <w:numId w:val="3"/>
        </w:numPr>
        <w:snapToGrid w:val="0"/>
        <w:spacing w:before="120" w:after="120" w:line="240" w:lineRule="auto"/>
        <w:ind w:left="0" w:firstLine="0"/>
        <w:contextualSpacing w:val="0"/>
        <w:jc w:val="both"/>
        <w:rPr>
          <w:sz w:val="24"/>
          <w:szCs w:val="24"/>
        </w:rPr>
      </w:pPr>
      <w:r w:rsidRPr="00FB775D">
        <w:rPr>
          <w:sz w:val="24"/>
          <w:szCs w:val="24"/>
          <w:u w:val="single"/>
        </w:rPr>
        <w:t xml:space="preserve">Enhanced Provisions on Ethical Business Conduct for </w:t>
      </w:r>
      <w:r w:rsidR="00466672" w:rsidRPr="00FB775D">
        <w:rPr>
          <w:sz w:val="24"/>
          <w:szCs w:val="24"/>
          <w:u w:val="single"/>
        </w:rPr>
        <w:t>ITU Digital World</w:t>
      </w:r>
      <w:r w:rsidR="00466672" w:rsidRPr="00FB775D">
        <w:rPr>
          <w:sz w:val="24"/>
          <w:szCs w:val="24"/>
          <w:lang w:val="en-GB"/>
        </w:rPr>
        <w:t xml:space="preserve">: The Ethics Office contributed to </w:t>
      </w:r>
      <w:r w:rsidRPr="00FB775D">
        <w:rPr>
          <w:sz w:val="24"/>
          <w:szCs w:val="24"/>
          <w:lang w:val="en-GB"/>
        </w:rPr>
        <w:t xml:space="preserve">provisions on ethical business conduct in ITU Digital World agreements. The provisions </w:t>
      </w:r>
      <w:r w:rsidR="00E766FB" w:rsidRPr="00FB775D">
        <w:rPr>
          <w:sz w:val="24"/>
          <w:szCs w:val="24"/>
          <w:lang w:val="en-GB"/>
        </w:rPr>
        <w:t>introduce enhanced</w:t>
      </w:r>
      <w:r w:rsidRPr="00FB775D">
        <w:rPr>
          <w:sz w:val="24"/>
          <w:szCs w:val="24"/>
          <w:lang w:val="en-GB"/>
        </w:rPr>
        <w:t xml:space="preserve"> due diligence procedures and require contractual parties to represent that they will adhere to ITU’s Policy Against </w:t>
      </w:r>
      <w:r w:rsidR="00930C75">
        <w:rPr>
          <w:sz w:val="24"/>
          <w:szCs w:val="24"/>
          <w:lang w:val="en-GB"/>
        </w:rPr>
        <w:t>F</w:t>
      </w:r>
      <w:r w:rsidRPr="00FB775D">
        <w:rPr>
          <w:sz w:val="24"/>
          <w:szCs w:val="24"/>
          <w:lang w:val="en-GB"/>
        </w:rPr>
        <w:t>raud, Corruption and Other Proscribed Practices</w:t>
      </w:r>
      <w:r w:rsidR="00D13675" w:rsidRPr="00FB775D">
        <w:rPr>
          <w:sz w:val="24"/>
          <w:szCs w:val="24"/>
        </w:rPr>
        <w:t>.</w:t>
      </w:r>
    </w:p>
    <w:p w14:paraId="50D0BB2A" w14:textId="4B2EE0C2" w:rsidR="006714DD" w:rsidRPr="00FB775D" w:rsidRDefault="006714DD" w:rsidP="00DE0819">
      <w:pPr>
        <w:pStyle w:val="ListParagraph"/>
        <w:numPr>
          <w:ilvl w:val="0"/>
          <w:numId w:val="3"/>
        </w:numPr>
        <w:snapToGrid w:val="0"/>
        <w:spacing w:before="120" w:after="120" w:line="240" w:lineRule="auto"/>
        <w:ind w:left="0" w:firstLine="0"/>
        <w:contextualSpacing w:val="0"/>
        <w:jc w:val="both"/>
        <w:rPr>
          <w:sz w:val="24"/>
          <w:szCs w:val="24"/>
        </w:rPr>
      </w:pPr>
      <w:r w:rsidRPr="00FB775D">
        <w:rPr>
          <w:sz w:val="24"/>
          <w:szCs w:val="24"/>
          <w:u w:val="single"/>
        </w:rPr>
        <w:t>Investigations Function and Process</w:t>
      </w:r>
      <w:r w:rsidRPr="00FB775D">
        <w:rPr>
          <w:sz w:val="24"/>
          <w:szCs w:val="24"/>
        </w:rPr>
        <w:t xml:space="preserve">: The Ethics Office contributed to the report by the Secretary-General, presented at the Virtual Consultation of Counsellors in 2020, to strengthen the investigation function in ITU.  </w:t>
      </w:r>
    </w:p>
    <w:p w14:paraId="1E0F3FED" w14:textId="77777777" w:rsidR="0015025A" w:rsidRPr="00FB775D" w:rsidRDefault="0015025A" w:rsidP="00DE0819">
      <w:pPr>
        <w:pStyle w:val="ListParagraph"/>
        <w:numPr>
          <w:ilvl w:val="0"/>
          <w:numId w:val="3"/>
        </w:numPr>
        <w:snapToGrid w:val="0"/>
        <w:spacing w:before="120" w:after="120" w:line="240" w:lineRule="auto"/>
        <w:ind w:left="0" w:firstLine="0"/>
        <w:contextualSpacing w:val="0"/>
        <w:jc w:val="both"/>
        <w:rPr>
          <w:sz w:val="24"/>
          <w:szCs w:val="24"/>
        </w:rPr>
      </w:pPr>
      <w:r w:rsidRPr="00FB775D">
        <w:rPr>
          <w:sz w:val="24"/>
          <w:szCs w:val="24"/>
          <w:u w:val="single"/>
        </w:rPr>
        <w:t>Ongoing Activities to Enhance Legal/Administrative Framework</w:t>
      </w:r>
      <w:r w:rsidRPr="00FB775D">
        <w:rPr>
          <w:sz w:val="24"/>
          <w:szCs w:val="24"/>
        </w:rPr>
        <w:t xml:space="preserve">: </w:t>
      </w:r>
    </w:p>
    <w:p w14:paraId="4A141F72" w14:textId="74AC3B0E" w:rsidR="0015025A" w:rsidRPr="00FB775D" w:rsidRDefault="0015025A" w:rsidP="0015025A">
      <w:pPr>
        <w:pStyle w:val="ListParagraph"/>
        <w:numPr>
          <w:ilvl w:val="2"/>
          <w:numId w:val="3"/>
        </w:numPr>
        <w:adjustRightInd w:val="0"/>
        <w:snapToGrid w:val="0"/>
        <w:spacing w:before="120" w:after="120" w:line="240" w:lineRule="auto"/>
        <w:ind w:left="851" w:hanging="425"/>
        <w:contextualSpacing w:val="0"/>
        <w:jc w:val="both"/>
        <w:rPr>
          <w:sz w:val="24"/>
          <w:szCs w:val="24"/>
        </w:rPr>
      </w:pPr>
      <w:r w:rsidRPr="00FB775D">
        <w:rPr>
          <w:i/>
          <w:iCs/>
          <w:sz w:val="24"/>
          <w:szCs w:val="24"/>
        </w:rPr>
        <w:t xml:space="preserve">Revisions to the ITU Policy on Harassment and Abuse of Authority </w:t>
      </w:r>
      <w:r w:rsidRPr="00FB775D">
        <w:rPr>
          <w:iCs/>
          <w:sz w:val="24"/>
          <w:szCs w:val="24"/>
        </w:rPr>
        <w:t xml:space="preserve">(the “Policy on Harassment”): The Ethics Office is working with other stakeholders to review and revise the ITU Policy on Harassment.  In 2019, the Policy on Harassment was amended to </w:t>
      </w:r>
      <w:r w:rsidRPr="00FB775D">
        <w:rPr>
          <w:sz w:val="24"/>
          <w:szCs w:val="24"/>
        </w:rPr>
        <w:t xml:space="preserve">(a) to extend the deadline to lodge a complaint from one year to three years, and (b) to provide for an alternate investigative body, such as by using professional investigators, to investigate a case of reported harassment or abuse of power. These were the first amendments prior to a comprehensive review of the ITU’s harassment policy and procedures. </w:t>
      </w:r>
      <w:r w:rsidRPr="00FB775D">
        <w:rPr>
          <w:iCs/>
          <w:sz w:val="24"/>
          <w:szCs w:val="24"/>
        </w:rPr>
        <w:t xml:space="preserve">The revised policy should be finalized in 2021.  </w:t>
      </w:r>
    </w:p>
    <w:p w14:paraId="010722AC" w14:textId="70D1E191" w:rsidR="0015025A" w:rsidRPr="00FB775D" w:rsidRDefault="0015025A" w:rsidP="0015025A">
      <w:pPr>
        <w:pStyle w:val="ListParagraph"/>
        <w:numPr>
          <w:ilvl w:val="2"/>
          <w:numId w:val="3"/>
        </w:numPr>
        <w:adjustRightInd w:val="0"/>
        <w:snapToGrid w:val="0"/>
        <w:spacing w:before="120" w:after="120" w:line="240" w:lineRule="auto"/>
        <w:ind w:left="851" w:hanging="425"/>
        <w:contextualSpacing w:val="0"/>
        <w:jc w:val="both"/>
        <w:rPr>
          <w:sz w:val="24"/>
          <w:szCs w:val="24"/>
        </w:rPr>
      </w:pPr>
      <w:r w:rsidRPr="00FB775D">
        <w:rPr>
          <w:i/>
          <w:iCs/>
          <w:sz w:val="24"/>
          <w:szCs w:val="24"/>
        </w:rPr>
        <w:t>Guidelines on Ethical Aspects of Certain Campaign Activities</w:t>
      </w:r>
      <w:r w:rsidRPr="00FB775D">
        <w:rPr>
          <w:iCs/>
          <w:sz w:val="24"/>
          <w:szCs w:val="24"/>
        </w:rPr>
        <w:t xml:space="preserve"> (the “Guidelines”): The Ethics Office, along with the secretariat and the Legal Affairs Unit, is reviewing and updating the 2018 Guidelines for Ethical Aspects of Certain Campaign Activities Prior to the 2018 Plenipotentiary Conference. The updated Guidelines </w:t>
      </w:r>
      <w:r w:rsidR="005D4FA2">
        <w:rPr>
          <w:iCs/>
          <w:sz w:val="24"/>
          <w:szCs w:val="24"/>
        </w:rPr>
        <w:t xml:space="preserve">are contained in document </w:t>
      </w:r>
      <w:hyperlink r:id="rId14" w:history="1">
        <w:r w:rsidR="005D4FA2" w:rsidRPr="005D4FA2">
          <w:rPr>
            <w:rStyle w:val="Hyperlink"/>
            <w:iCs/>
            <w:sz w:val="24"/>
            <w:szCs w:val="24"/>
          </w:rPr>
          <w:t>C21/66</w:t>
        </w:r>
      </w:hyperlink>
      <w:r w:rsidRPr="00FB775D">
        <w:rPr>
          <w:iCs/>
          <w:sz w:val="24"/>
          <w:szCs w:val="24"/>
        </w:rPr>
        <w:t xml:space="preserve">. </w:t>
      </w:r>
    </w:p>
    <w:p w14:paraId="09C9D430" w14:textId="242A8884" w:rsidR="0015025A" w:rsidRPr="00FB775D" w:rsidRDefault="0015025A" w:rsidP="0015025A">
      <w:pPr>
        <w:pStyle w:val="ListParagraph"/>
        <w:numPr>
          <w:ilvl w:val="2"/>
          <w:numId w:val="3"/>
        </w:numPr>
        <w:adjustRightInd w:val="0"/>
        <w:snapToGrid w:val="0"/>
        <w:spacing w:before="120" w:after="120" w:line="240" w:lineRule="auto"/>
        <w:ind w:left="851" w:hanging="425"/>
        <w:contextualSpacing w:val="0"/>
        <w:jc w:val="both"/>
        <w:rPr>
          <w:sz w:val="24"/>
          <w:szCs w:val="24"/>
        </w:rPr>
      </w:pPr>
      <w:r w:rsidRPr="00FB775D">
        <w:rPr>
          <w:i/>
          <w:iCs/>
          <w:sz w:val="24"/>
          <w:szCs w:val="24"/>
        </w:rPr>
        <w:t>Risk Management Framework</w:t>
      </w:r>
      <w:r w:rsidRPr="00FB775D">
        <w:rPr>
          <w:iCs/>
          <w:sz w:val="24"/>
          <w:szCs w:val="24"/>
        </w:rPr>
        <w:t xml:space="preserve">: As part of strengthening the Risk Management Framework in ITU, the Ethics Office engaged in an organization-wide review of risks and internal controls, along with other risk management focal points, and contributed to a risk management dashboard which registers and identifies risk responses. </w:t>
      </w:r>
    </w:p>
    <w:p w14:paraId="1AECA5F0" w14:textId="77777777" w:rsidR="00A45A2B" w:rsidRPr="007014F8" w:rsidRDefault="00A45A2B" w:rsidP="00035617">
      <w:pPr>
        <w:pStyle w:val="ListParagraph"/>
        <w:keepNext/>
        <w:keepLines/>
        <w:numPr>
          <w:ilvl w:val="0"/>
          <w:numId w:val="7"/>
        </w:numPr>
        <w:adjustRightInd w:val="0"/>
        <w:snapToGrid w:val="0"/>
        <w:spacing w:before="360" w:after="120" w:line="240" w:lineRule="auto"/>
        <w:contextualSpacing w:val="0"/>
        <w:rPr>
          <w:b/>
          <w:bCs/>
          <w:i/>
          <w:iCs/>
          <w:sz w:val="24"/>
          <w:szCs w:val="24"/>
        </w:rPr>
      </w:pPr>
      <w:r w:rsidRPr="007014F8">
        <w:rPr>
          <w:b/>
          <w:bCs/>
          <w:i/>
          <w:iCs/>
          <w:sz w:val="24"/>
          <w:szCs w:val="24"/>
        </w:rPr>
        <w:lastRenderedPageBreak/>
        <w:t>Other Ethics Office Activities</w:t>
      </w:r>
    </w:p>
    <w:p w14:paraId="03A6A76E" w14:textId="3EC76C6A" w:rsidR="00A45A2B" w:rsidRPr="007014F8" w:rsidRDefault="00A45A2B" w:rsidP="00DE0819">
      <w:pPr>
        <w:pStyle w:val="ListParagraph"/>
        <w:numPr>
          <w:ilvl w:val="0"/>
          <w:numId w:val="8"/>
        </w:numPr>
        <w:snapToGrid w:val="0"/>
        <w:spacing w:before="120" w:after="120" w:line="240" w:lineRule="auto"/>
        <w:ind w:left="0" w:firstLine="0"/>
        <w:contextualSpacing w:val="0"/>
        <w:jc w:val="both"/>
        <w:rPr>
          <w:sz w:val="24"/>
          <w:szCs w:val="24"/>
        </w:rPr>
      </w:pPr>
      <w:r w:rsidRPr="007014F8">
        <w:rPr>
          <w:sz w:val="24"/>
          <w:szCs w:val="24"/>
          <w:u w:val="single"/>
        </w:rPr>
        <w:t>Advice and Guidance to Staff</w:t>
      </w:r>
      <w:r w:rsidRPr="007014F8">
        <w:rPr>
          <w:sz w:val="24"/>
          <w:szCs w:val="24"/>
        </w:rPr>
        <w:t xml:space="preserve">: </w:t>
      </w:r>
      <w:r>
        <w:rPr>
          <w:sz w:val="24"/>
          <w:szCs w:val="24"/>
        </w:rPr>
        <w:t xml:space="preserve">ITU </w:t>
      </w:r>
      <w:r w:rsidR="001D7A72">
        <w:rPr>
          <w:sz w:val="24"/>
          <w:szCs w:val="24"/>
        </w:rPr>
        <w:t xml:space="preserve">staff are encouraged to speak up and contact the Ethics Office for guidance on ethical questions and issues, as ethical conduct is essential in all ITU activities. The </w:t>
      </w:r>
      <w:r>
        <w:rPr>
          <w:sz w:val="24"/>
          <w:szCs w:val="24"/>
        </w:rPr>
        <w:t xml:space="preserve">Ethics Office, which was established as an independent function, </w:t>
      </w:r>
      <w:r w:rsidR="001D7A72">
        <w:rPr>
          <w:sz w:val="24"/>
          <w:szCs w:val="24"/>
        </w:rPr>
        <w:t>provides advice on ethical questions and</w:t>
      </w:r>
      <w:r>
        <w:rPr>
          <w:sz w:val="24"/>
          <w:szCs w:val="24"/>
        </w:rPr>
        <w:t xml:space="preserve"> is committed</w:t>
      </w:r>
      <w:r w:rsidRPr="007014F8">
        <w:rPr>
          <w:sz w:val="24"/>
          <w:szCs w:val="24"/>
        </w:rPr>
        <w:t xml:space="preserve"> to upholding the utmost standards of confidentiality.</w:t>
      </w:r>
    </w:p>
    <w:p w14:paraId="2B71E621" w14:textId="2EC7DCA0" w:rsidR="00A45A2B" w:rsidRPr="00F70426" w:rsidRDefault="00A45A2B" w:rsidP="00DE0819">
      <w:pPr>
        <w:pStyle w:val="ListParagraph"/>
        <w:numPr>
          <w:ilvl w:val="0"/>
          <w:numId w:val="8"/>
        </w:numPr>
        <w:snapToGrid w:val="0"/>
        <w:spacing w:before="120" w:after="120" w:line="240" w:lineRule="auto"/>
        <w:ind w:left="0" w:firstLine="0"/>
        <w:contextualSpacing w:val="0"/>
        <w:jc w:val="both"/>
        <w:rPr>
          <w:sz w:val="24"/>
          <w:szCs w:val="24"/>
        </w:rPr>
      </w:pPr>
      <w:r w:rsidRPr="001D7A72">
        <w:rPr>
          <w:sz w:val="24"/>
          <w:szCs w:val="24"/>
        </w:rPr>
        <w:t xml:space="preserve">The Ethics Office recorded </w:t>
      </w:r>
      <w:r w:rsidR="009D32C6" w:rsidRPr="001D7A72">
        <w:rPr>
          <w:bCs/>
          <w:sz w:val="24"/>
          <w:szCs w:val="24"/>
          <w:u w:val="single"/>
        </w:rPr>
        <w:t>5</w:t>
      </w:r>
      <w:r w:rsidR="00D97B1B">
        <w:rPr>
          <w:bCs/>
          <w:sz w:val="24"/>
          <w:szCs w:val="24"/>
          <w:u w:val="single"/>
        </w:rPr>
        <w:t>2</w:t>
      </w:r>
      <w:r w:rsidR="005060AE" w:rsidRPr="001D7A72">
        <w:rPr>
          <w:bCs/>
          <w:sz w:val="24"/>
          <w:szCs w:val="24"/>
          <w:u w:val="single"/>
        </w:rPr>
        <w:t xml:space="preserve"> </w:t>
      </w:r>
      <w:r w:rsidRPr="001D7A72">
        <w:rPr>
          <w:bCs/>
          <w:sz w:val="24"/>
          <w:szCs w:val="24"/>
          <w:u w:val="single"/>
        </w:rPr>
        <w:t>matters</w:t>
      </w:r>
      <w:r w:rsidRPr="001D7A72">
        <w:rPr>
          <w:sz w:val="24"/>
          <w:szCs w:val="24"/>
        </w:rPr>
        <w:t xml:space="preserve"> between </w:t>
      </w:r>
      <w:r w:rsidR="000A4FFF" w:rsidRPr="001D7A72">
        <w:rPr>
          <w:sz w:val="24"/>
          <w:szCs w:val="24"/>
        </w:rPr>
        <w:t>January</w:t>
      </w:r>
      <w:r w:rsidRPr="001D7A72">
        <w:rPr>
          <w:sz w:val="24"/>
          <w:szCs w:val="24"/>
        </w:rPr>
        <w:t xml:space="preserve"> and December 20</w:t>
      </w:r>
      <w:r w:rsidR="000A4FFF" w:rsidRPr="001D7A72">
        <w:rPr>
          <w:sz w:val="24"/>
          <w:szCs w:val="24"/>
        </w:rPr>
        <w:t>20</w:t>
      </w:r>
      <w:r w:rsidRPr="001D7A72">
        <w:rPr>
          <w:sz w:val="24"/>
          <w:szCs w:val="24"/>
        </w:rPr>
        <w:t xml:space="preserve"> </w:t>
      </w:r>
      <w:r w:rsidR="001D7A72" w:rsidRPr="001D7A72">
        <w:rPr>
          <w:sz w:val="24"/>
          <w:szCs w:val="24"/>
        </w:rPr>
        <w:t>for</w:t>
      </w:r>
      <w:r w:rsidRPr="001D7A72">
        <w:rPr>
          <w:sz w:val="24"/>
          <w:szCs w:val="24"/>
        </w:rPr>
        <w:t xml:space="preserve"> which staff sought individual advice and guidance from the Ethics Office.</w:t>
      </w:r>
      <w:r w:rsidRPr="000F477A">
        <w:rPr>
          <w:sz w:val="24"/>
          <w:szCs w:val="24"/>
        </w:rPr>
        <w:t xml:space="preserve"> </w:t>
      </w:r>
      <w:r w:rsidR="001D7A72">
        <w:rPr>
          <w:sz w:val="24"/>
          <w:szCs w:val="24"/>
        </w:rPr>
        <w:t>This</w:t>
      </w:r>
      <w:r w:rsidRPr="000F477A">
        <w:rPr>
          <w:sz w:val="24"/>
          <w:szCs w:val="24"/>
        </w:rPr>
        <w:t xml:space="preserve"> figure does not include the discussions </w:t>
      </w:r>
      <w:r w:rsidR="001D7A72">
        <w:rPr>
          <w:sz w:val="24"/>
          <w:szCs w:val="24"/>
        </w:rPr>
        <w:t xml:space="preserve">or exchanges </w:t>
      </w:r>
      <w:r w:rsidRPr="000F477A">
        <w:rPr>
          <w:sz w:val="24"/>
          <w:szCs w:val="24"/>
        </w:rPr>
        <w:t>where ethics advice is sought in the context of broader group discussions</w:t>
      </w:r>
      <w:r w:rsidR="00F9357A">
        <w:rPr>
          <w:sz w:val="24"/>
          <w:szCs w:val="24"/>
        </w:rPr>
        <w:t xml:space="preserve"> or on a minor issue</w:t>
      </w:r>
      <w:r w:rsidRPr="000F477A">
        <w:rPr>
          <w:sz w:val="24"/>
          <w:szCs w:val="24"/>
        </w:rPr>
        <w:t>.</w:t>
      </w:r>
      <w:r>
        <w:rPr>
          <w:sz w:val="24"/>
          <w:szCs w:val="24"/>
        </w:rPr>
        <w:t xml:space="preserve"> Requests for advice and guidance concerned </w:t>
      </w:r>
      <w:r w:rsidR="00F9357A">
        <w:rPr>
          <w:sz w:val="24"/>
          <w:szCs w:val="24"/>
        </w:rPr>
        <w:t xml:space="preserve">conflicts of interests, gifts, </w:t>
      </w:r>
      <w:r>
        <w:rPr>
          <w:sz w:val="24"/>
          <w:szCs w:val="24"/>
        </w:rPr>
        <w:t>outside activities and ITU elections, HR-related grievances, workplace disputes or grievances, and miscellaneous matters concerning workplace conduct.</w:t>
      </w:r>
      <w:r w:rsidR="001D7A72">
        <w:rPr>
          <w:sz w:val="24"/>
          <w:szCs w:val="24"/>
        </w:rPr>
        <w:t xml:space="preserve"> </w:t>
      </w:r>
    </w:p>
    <w:p w14:paraId="4B96382F" w14:textId="6952ACA6" w:rsidR="00A45A2B" w:rsidRPr="007014F8" w:rsidRDefault="00A45A2B" w:rsidP="00DE0819">
      <w:pPr>
        <w:pStyle w:val="ListParagraph"/>
        <w:numPr>
          <w:ilvl w:val="0"/>
          <w:numId w:val="8"/>
        </w:numPr>
        <w:snapToGrid w:val="0"/>
        <w:spacing w:before="120" w:after="120" w:line="240" w:lineRule="auto"/>
        <w:ind w:left="0" w:firstLine="0"/>
        <w:contextualSpacing w:val="0"/>
        <w:jc w:val="both"/>
        <w:rPr>
          <w:sz w:val="24"/>
          <w:szCs w:val="24"/>
        </w:rPr>
      </w:pPr>
      <w:r w:rsidRPr="007014F8">
        <w:rPr>
          <w:sz w:val="24"/>
          <w:szCs w:val="24"/>
          <w:u w:val="single"/>
        </w:rPr>
        <w:t>Financial Disclosure</w:t>
      </w:r>
      <w:r w:rsidRPr="007014F8">
        <w:rPr>
          <w:sz w:val="24"/>
          <w:szCs w:val="24"/>
        </w:rPr>
        <w:t>:</w:t>
      </w:r>
      <w:r w:rsidRPr="008A1648">
        <w:rPr>
          <w:rStyle w:val="FootnoteReference"/>
          <w:sz w:val="18"/>
          <w:szCs w:val="18"/>
        </w:rPr>
        <w:footnoteReference w:id="1"/>
      </w:r>
      <w:r w:rsidRPr="007014F8">
        <w:rPr>
          <w:sz w:val="24"/>
          <w:szCs w:val="24"/>
        </w:rPr>
        <w:t xml:space="preserve"> </w:t>
      </w:r>
      <w:r w:rsidR="00F9357A">
        <w:rPr>
          <w:sz w:val="24"/>
          <w:szCs w:val="24"/>
        </w:rPr>
        <w:t>ITU’s f</w:t>
      </w:r>
      <w:r w:rsidRPr="007014F8">
        <w:rPr>
          <w:sz w:val="24"/>
          <w:szCs w:val="24"/>
        </w:rPr>
        <w:t>i</w:t>
      </w:r>
      <w:r w:rsidR="00F9357A">
        <w:rPr>
          <w:sz w:val="24"/>
          <w:szCs w:val="24"/>
        </w:rPr>
        <w:t>nancial d</w:t>
      </w:r>
      <w:r w:rsidRPr="007014F8">
        <w:rPr>
          <w:sz w:val="24"/>
          <w:szCs w:val="24"/>
        </w:rPr>
        <w:t xml:space="preserve">isclosure </w:t>
      </w:r>
      <w:r>
        <w:rPr>
          <w:sz w:val="24"/>
          <w:szCs w:val="24"/>
        </w:rPr>
        <w:t>procedures require financial disclosures, including the reporting of gifts, conflicts of interest, and outside activit</w:t>
      </w:r>
      <w:r w:rsidR="00F9357A">
        <w:rPr>
          <w:sz w:val="24"/>
          <w:szCs w:val="24"/>
        </w:rPr>
        <w:t>ies. Staff who must complete a financial disclosure f</w:t>
      </w:r>
      <w:r>
        <w:rPr>
          <w:sz w:val="24"/>
          <w:szCs w:val="24"/>
        </w:rPr>
        <w:t xml:space="preserve">orm must comply with the disclosure requirements to ensure that they </w:t>
      </w:r>
      <w:proofErr w:type="gramStart"/>
      <w:r>
        <w:rPr>
          <w:sz w:val="24"/>
          <w:szCs w:val="24"/>
        </w:rPr>
        <w:t>are in compliance with</w:t>
      </w:r>
      <w:proofErr w:type="gramEnd"/>
      <w:r>
        <w:rPr>
          <w:sz w:val="24"/>
          <w:szCs w:val="24"/>
        </w:rPr>
        <w:t xml:space="preserve"> the strictest ethical standards. </w:t>
      </w:r>
    </w:p>
    <w:p w14:paraId="5CF645C1" w14:textId="5ED3AF30" w:rsidR="00A45A2B" w:rsidRPr="00F9357A" w:rsidRDefault="00A45A2B" w:rsidP="00DE0819">
      <w:pPr>
        <w:pStyle w:val="ListParagraph"/>
        <w:numPr>
          <w:ilvl w:val="0"/>
          <w:numId w:val="8"/>
        </w:numPr>
        <w:snapToGrid w:val="0"/>
        <w:spacing w:before="120" w:after="120" w:line="240" w:lineRule="auto"/>
        <w:ind w:left="0" w:firstLine="0"/>
        <w:contextualSpacing w:val="0"/>
        <w:jc w:val="both"/>
        <w:rPr>
          <w:sz w:val="24"/>
          <w:szCs w:val="24"/>
        </w:rPr>
      </w:pPr>
      <w:r w:rsidRPr="00F9357A">
        <w:rPr>
          <w:sz w:val="24"/>
          <w:szCs w:val="24"/>
        </w:rPr>
        <w:t>The Ethics Office administered the 2019 Financial Disclosure process for 1</w:t>
      </w:r>
      <w:r w:rsidR="005A3EA8" w:rsidRPr="00F9357A">
        <w:rPr>
          <w:sz w:val="24"/>
          <w:szCs w:val="24"/>
        </w:rPr>
        <w:t>72</w:t>
      </w:r>
      <w:r w:rsidRPr="00F9357A">
        <w:rPr>
          <w:sz w:val="24"/>
          <w:szCs w:val="24"/>
        </w:rPr>
        <w:t xml:space="preserve"> staff. The deadline of end March 2020 was extended to end </w:t>
      </w:r>
      <w:r w:rsidR="005A3EA8" w:rsidRPr="00F9357A">
        <w:rPr>
          <w:sz w:val="24"/>
          <w:szCs w:val="24"/>
        </w:rPr>
        <w:t>July</w:t>
      </w:r>
      <w:r w:rsidRPr="00F9357A">
        <w:rPr>
          <w:sz w:val="24"/>
          <w:szCs w:val="24"/>
        </w:rPr>
        <w:t xml:space="preserve"> 2020</w:t>
      </w:r>
      <w:r w:rsidR="00C440E3" w:rsidRPr="00F9357A">
        <w:rPr>
          <w:sz w:val="24"/>
          <w:szCs w:val="24"/>
        </w:rPr>
        <w:t xml:space="preserve"> </w:t>
      </w:r>
      <w:r w:rsidRPr="00F9357A">
        <w:rPr>
          <w:sz w:val="24"/>
          <w:szCs w:val="24"/>
        </w:rPr>
        <w:t>due to the C</w:t>
      </w:r>
      <w:r w:rsidR="009D32C6" w:rsidRPr="00F9357A">
        <w:rPr>
          <w:sz w:val="24"/>
          <w:szCs w:val="24"/>
        </w:rPr>
        <w:t>OVID</w:t>
      </w:r>
      <w:r w:rsidRPr="00F9357A">
        <w:rPr>
          <w:sz w:val="24"/>
          <w:szCs w:val="24"/>
        </w:rPr>
        <w:t>-19 situation. The Ethics Office review</w:t>
      </w:r>
      <w:r w:rsidR="005A3EA8" w:rsidRPr="00F9357A">
        <w:rPr>
          <w:sz w:val="24"/>
          <w:szCs w:val="24"/>
        </w:rPr>
        <w:t>ed</w:t>
      </w:r>
      <w:r w:rsidRPr="00F9357A">
        <w:rPr>
          <w:sz w:val="24"/>
          <w:szCs w:val="24"/>
        </w:rPr>
        <w:t xml:space="preserve"> each submission and is providing further consultation/guidance where appropriate.</w:t>
      </w:r>
    </w:p>
    <w:p w14:paraId="6EDEDF6B" w14:textId="464F7ACC" w:rsidR="00A45A2B" w:rsidRDefault="00A45A2B" w:rsidP="00DE0819">
      <w:pPr>
        <w:pStyle w:val="ListParagraph"/>
        <w:numPr>
          <w:ilvl w:val="0"/>
          <w:numId w:val="8"/>
        </w:numPr>
        <w:snapToGrid w:val="0"/>
        <w:spacing w:before="120" w:after="120" w:line="240" w:lineRule="auto"/>
        <w:ind w:left="0" w:firstLine="0"/>
        <w:contextualSpacing w:val="0"/>
        <w:jc w:val="both"/>
        <w:rPr>
          <w:sz w:val="24"/>
          <w:szCs w:val="24"/>
        </w:rPr>
      </w:pPr>
      <w:r>
        <w:rPr>
          <w:sz w:val="24"/>
          <w:szCs w:val="24"/>
          <w:u w:val="single"/>
        </w:rPr>
        <w:t xml:space="preserve">Complaints of </w:t>
      </w:r>
      <w:r w:rsidRPr="00FB3A73">
        <w:rPr>
          <w:sz w:val="24"/>
          <w:szCs w:val="24"/>
          <w:u w:val="single"/>
        </w:rPr>
        <w:t>Misconduct</w:t>
      </w:r>
      <w:r w:rsidRPr="00FB3A73">
        <w:rPr>
          <w:sz w:val="24"/>
          <w:szCs w:val="24"/>
        </w:rPr>
        <w:t>: The Ethics Office is responsible for receiving complaints of misconduct. During 20</w:t>
      </w:r>
      <w:r w:rsidR="00E83B99" w:rsidRPr="00FB3A73">
        <w:rPr>
          <w:sz w:val="24"/>
          <w:szCs w:val="24"/>
        </w:rPr>
        <w:t>20</w:t>
      </w:r>
      <w:r w:rsidRPr="00FB3A73">
        <w:rPr>
          <w:sz w:val="24"/>
          <w:szCs w:val="24"/>
        </w:rPr>
        <w:t xml:space="preserve">, the Ethics Office </w:t>
      </w:r>
      <w:r w:rsidR="00FB3A73" w:rsidRPr="00FB3A73">
        <w:rPr>
          <w:sz w:val="24"/>
          <w:szCs w:val="24"/>
        </w:rPr>
        <w:t>received</w:t>
      </w:r>
      <w:r w:rsidRPr="00FB3A73">
        <w:rPr>
          <w:sz w:val="24"/>
          <w:szCs w:val="24"/>
        </w:rPr>
        <w:t xml:space="preserve"> </w:t>
      </w:r>
      <w:r w:rsidR="00FB3A73" w:rsidRPr="00FB3A73">
        <w:rPr>
          <w:sz w:val="24"/>
          <w:szCs w:val="24"/>
        </w:rPr>
        <w:t>9</w:t>
      </w:r>
      <w:r w:rsidRPr="00FB3A73">
        <w:rPr>
          <w:sz w:val="24"/>
          <w:szCs w:val="24"/>
        </w:rPr>
        <w:t xml:space="preserve"> complaints of misconduct (Table 1). The Ethics Office advanced </w:t>
      </w:r>
      <w:r w:rsidR="005D4FA2">
        <w:rPr>
          <w:sz w:val="24"/>
          <w:szCs w:val="24"/>
        </w:rPr>
        <w:t>five</w:t>
      </w:r>
      <w:r w:rsidRPr="00FB3A73">
        <w:rPr>
          <w:sz w:val="24"/>
          <w:szCs w:val="24"/>
        </w:rPr>
        <w:t xml:space="preserve"> of the m</w:t>
      </w:r>
      <w:r w:rsidR="00FB3A73" w:rsidRPr="00FB3A73">
        <w:rPr>
          <w:sz w:val="24"/>
          <w:szCs w:val="24"/>
        </w:rPr>
        <w:t>atters for formal investigation and</w:t>
      </w:r>
      <w:r w:rsidRPr="00FB3A73">
        <w:rPr>
          <w:sz w:val="24"/>
          <w:szCs w:val="24"/>
        </w:rPr>
        <w:t xml:space="preserve"> closed </w:t>
      </w:r>
      <w:r w:rsidR="005D4FA2">
        <w:rPr>
          <w:sz w:val="24"/>
          <w:szCs w:val="24"/>
        </w:rPr>
        <w:t>four</w:t>
      </w:r>
      <w:r w:rsidR="00FA1DEB" w:rsidRPr="00FB3A73">
        <w:rPr>
          <w:sz w:val="24"/>
          <w:szCs w:val="24"/>
        </w:rPr>
        <w:t xml:space="preserve"> </w:t>
      </w:r>
      <w:r w:rsidRPr="00FB3A73">
        <w:rPr>
          <w:sz w:val="24"/>
          <w:szCs w:val="24"/>
        </w:rPr>
        <w:t xml:space="preserve">matters. </w:t>
      </w:r>
    </w:p>
    <w:p w14:paraId="772DF1B2" w14:textId="12360462" w:rsidR="00A45A2B" w:rsidRDefault="00A45A2B" w:rsidP="00C654D2">
      <w:pPr>
        <w:snapToGrid w:val="0"/>
        <w:spacing w:before="360" w:after="240"/>
        <w:jc w:val="center"/>
        <w:rPr>
          <w:szCs w:val="24"/>
        </w:rPr>
      </w:pPr>
      <w:r w:rsidRPr="00FB3A73">
        <w:rPr>
          <w:szCs w:val="24"/>
        </w:rPr>
        <w:t>Table 1: Complaints in 20</w:t>
      </w:r>
      <w:r w:rsidR="00947B9F" w:rsidRPr="00FB3A73">
        <w:rPr>
          <w:szCs w:val="24"/>
        </w:rPr>
        <w:t>20</w:t>
      </w:r>
      <w:r w:rsidRPr="00FB3A73">
        <w:rPr>
          <w:szCs w:val="24"/>
        </w:rPr>
        <w:t>, by Type of Misconduct*</w:t>
      </w:r>
    </w:p>
    <w:tbl>
      <w:tblPr>
        <w:tblStyle w:val="TableGrid"/>
        <w:tblW w:w="0" w:type="auto"/>
        <w:tblInd w:w="805" w:type="dxa"/>
        <w:tblLook w:val="04A0" w:firstRow="1" w:lastRow="0" w:firstColumn="1" w:lastColumn="0" w:noHBand="0" w:noVBand="1"/>
      </w:tblPr>
      <w:tblGrid>
        <w:gridCol w:w="5957"/>
        <w:gridCol w:w="1352"/>
      </w:tblGrid>
      <w:tr w:rsidR="00602FFE" w14:paraId="6086525B" w14:textId="77777777" w:rsidTr="00FB3A73">
        <w:tc>
          <w:tcPr>
            <w:tcW w:w="5957" w:type="dxa"/>
          </w:tcPr>
          <w:p w14:paraId="389E342C" w14:textId="77777777" w:rsidR="00602FFE" w:rsidRDefault="00602FFE" w:rsidP="00DB20DC">
            <w:pPr>
              <w:snapToGrid w:val="0"/>
              <w:spacing w:before="60" w:after="60"/>
              <w:jc w:val="both"/>
              <w:rPr>
                <w:szCs w:val="24"/>
              </w:rPr>
            </w:pPr>
            <w:r>
              <w:rPr>
                <w:szCs w:val="24"/>
              </w:rPr>
              <w:t xml:space="preserve">General standard of conduct </w:t>
            </w:r>
          </w:p>
        </w:tc>
        <w:tc>
          <w:tcPr>
            <w:tcW w:w="1352" w:type="dxa"/>
          </w:tcPr>
          <w:p w14:paraId="75A9A9CF" w14:textId="427E5EED" w:rsidR="00602FFE" w:rsidRDefault="00602FFE" w:rsidP="00DB20DC">
            <w:pPr>
              <w:snapToGrid w:val="0"/>
              <w:spacing w:before="60" w:after="60"/>
              <w:jc w:val="center"/>
              <w:rPr>
                <w:szCs w:val="24"/>
              </w:rPr>
            </w:pPr>
            <w:r>
              <w:rPr>
                <w:szCs w:val="24"/>
              </w:rPr>
              <w:t>3</w:t>
            </w:r>
          </w:p>
        </w:tc>
      </w:tr>
      <w:tr w:rsidR="00602FFE" w14:paraId="357F8A02" w14:textId="77777777" w:rsidTr="00FB3A73">
        <w:tc>
          <w:tcPr>
            <w:tcW w:w="5957" w:type="dxa"/>
          </w:tcPr>
          <w:p w14:paraId="1C12676B" w14:textId="77777777" w:rsidR="00602FFE" w:rsidRDefault="00602FFE" w:rsidP="00DB20DC">
            <w:pPr>
              <w:snapToGrid w:val="0"/>
              <w:spacing w:before="60" w:after="60"/>
              <w:jc w:val="both"/>
              <w:rPr>
                <w:szCs w:val="24"/>
              </w:rPr>
            </w:pPr>
            <w:r>
              <w:rPr>
                <w:szCs w:val="24"/>
              </w:rPr>
              <w:t>Harassment and abuse of authority</w:t>
            </w:r>
          </w:p>
        </w:tc>
        <w:tc>
          <w:tcPr>
            <w:tcW w:w="1352" w:type="dxa"/>
          </w:tcPr>
          <w:p w14:paraId="3C2C361A" w14:textId="5F1C132D" w:rsidR="00602FFE" w:rsidRDefault="00602FFE" w:rsidP="00DB20DC">
            <w:pPr>
              <w:snapToGrid w:val="0"/>
              <w:spacing w:before="60" w:after="60"/>
              <w:jc w:val="center"/>
              <w:rPr>
                <w:szCs w:val="24"/>
              </w:rPr>
            </w:pPr>
            <w:r>
              <w:rPr>
                <w:szCs w:val="24"/>
              </w:rPr>
              <w:t>4</w:t>
            </w:r>
          </w:p>
        </w:tc>
      </w:tr>
      <w:tr w:rsidR="00602FFE" w14:paraId="1A09ED68" w14:textId="77777777" w:rsidTr="00FB3A73">
        <w:tc>
          <w:tcPr>
            <w:tcW w:w="5957" w:type="dxa"/>
          </w:tcPr>
          <w:p w14:paraId="78DE4617" w14:textId="77777777" w:rsidR="00602FFE" w:rsidRDefault="00602FFE" w:rsidP="00DB20DC">
            <w:pPr>
              <w:snapToGrid w:val="0"/>
              <w:spacing w:before="60" w:after="60"/>
              <w:jc w:val="both"/>
              <w:rPr>
                <w:szCs w:val="24"/>
              </w:rPr>
            </w:pPr>
            <w:r>
              <w:rPr>
                <w:szCs w:val="24"/>
              </w:rPr>
              <w:t xml:space="preserve">Outside Activity </w:t>
            </w:r>
          </w:p>
        </w:tc>
        <w:tc>
          <w:tcPr>
            <w:tcW w:w="1352" w:type="dxa"/>
          </w:tcPr>
          <w:p w14:paraId="17D6B9CF" w14:textId="5BDB5FB3" w:rsidR="00602FFE" w:rsidRDefault="00602FFE" w:rsidP="00DB20DC">
            <w:pPr>
              <w:snapToGrid w:val="0"/>
              <w:spacing w:before="60" w:after="60"/>
              <w:jc w:val="center"/>
              <w:rPr>
                <w:szCs w:val="24"/>
              </w:rPr>
            </w:pPr>
            <w:r>
              <w:rPr>
                <w:szCs w:val="24"/>
              </w:rPr>
              <w:t>2</w:t>
            </w:r>
          </w:p>
        </w:tc>
      </w:tr>
      <w:tr w:rsidR="00602FFE" w14:paraId="558DC7D4" w14:textId="77777777" w:rsidTr="00FB3A73">
        <w:tc>
          <w:tcPr>
            <w:tcW w:w="5957" w:type="dxa"/>
          </w:tcPr>
          <w:p w14:paraId="09E5779E" w14:textId="77777777" w:rsidR="00602FFE" w:rsidRDefault="00602FFE" w:rsidP="00DB20DC">
            <w:pPr>
              <w:snapToGrid w:val="0"/>
              <w:spacing w:before="60" w:after="60"/>
              <w:jc w:val="both"/>
              <w:rPr>
                <w:szCs w:val="24"/>
              </w:rPr>
            </w:pPr>
            <w:r>
              <w:rPr>
                <w:szCs w:val="24"/>
              </w:rPr>
              <w:t xml:space="preserve">Breach of Confidentiality </w:t>
            </w:r>
          </w:p>
        </w:tc>
        <w:tc>
          <w:tcPr>
            <w:tcW w:w="1352" w:type="dxa"/>
          </w:tcPr>
          <w:p w14:paraId="3D3FAF1D" w14:textId="19E65C46" w:rsidR="00602FFE" w:rsidRDefault="00602FFE" w:rsidP="00DB20DC">
            <w:pPr>
              <w:snapToGrid w:val="0"/>
              <w:spacing w:before="60" w:after="60"/>
              <w:jc w:val="center"/>
              <w:rPr>
                <w:szCs w:val="24"/>
              </w:rPr>
            </w:pPr>
            <w:r>
              <w:rPr>
                <w:szCs w:val="24"/>
              </w:rPr>
              <w:t>2</w:t>
            </w:r>
          </w:p>
        </w:tc>
      </w:tr>
      <w:tr w:rsidR="00602FFE" w14:paraId="58EC477D" w14:textId="77777777" w:rsidTr="00FB3A73">
        <w:tc>
          <w:tcPr>
            <w:tcW w:w="5957" w:type="dxa"/>
          </w:tcPr>
          <w:p w14:paraId="00156924" w14:textId="77777777" w:rsidR="00602FFE" w:rsidRDefault="00602FFE" w:rsidP="00DB20DC">
            <w:pPr>
              <w:snapToGrid w:val="0"/>
              <w:spacing w:before="60" w:after="60"/>
              <w:jc w:val="both"/>
              <w:rPr>
                <w:szCs w:val="24"/>
              </w:rPr>
            </w:pPr>
            <w:r>
              <w:rPr>
                <w:szCs w:val="24"/>
              </w:rPr>
              <w:t>Retaliation</w:t>
            </w:r>
          </w:p>
        </w:tc>
        <w:tc>
          <w:tcPr>
            <w:tcW w:w="1352" w:type="dxa"/>
          </w:tcPr>
          <w:p w14:paraId="5C4A0715" w14:textId="16A25FDF" w:rsidR="00602FFE" w:rsidRDefault="00602FFE" w:rsidP="00DB20DC">
            <w:pPr>
              <w:snapToGrid w:val="0"/>
              <w:spacing w:before="60" w:after="60"/>
              <w:jc w:val="center"/>
              <w:rPr>
                <w:szCs w:val="24"/>
              </w:rPr>
            </w:pPr>
            <w:r>
              <w:rPr>
                <w:szCs w:val="24"/>
              </w:rPr>
              <w:t>2</w:t>
            </w:r>
          </w:p>
        </w:tc>
      </w:tr>
      <w:tr w:rsidR="00602FFE" w14:paraId="17C71F30" w14:textId="77777777" w:rsidTr="00FB3A73">
        <w:tc>
          <w:tcPr>
            <w:tcW w:w="5957" w:type="dxa"/>
          </w:tcPr>
          <w:p w14:paraId="7B7F645E" w14:textId="77777777" w:rsidR="00602FFE" w:rsidRDefault="00602FFE" w:rsidP="00DB20DC">
            <w:pPr>
              <w:snapToGrid w:val="0"/>
              <w:spacing w:before="60" w:after="60"/>
              <w:jc w:val="both"/>
              <w:rPr>
                <w:szCs w:val="24"/>
              </w:rPr>
            </w:pPr>
            <w:r>
              <w:rPr>
                <w:szCs w:val="24"/>
              </w:rPr>
              <w:t>Fraudulent Practice</w:t>
            </w:r>
          </w:p>
        </w:tc>
        <w:tc>
          <w:tcPr>
            <w:tcW w:w="1352" w:type="dxa"/>
          </w:tcPr>
          <w:p w14:paraId="2820F79A" w14:textId="633A7885" w:rsidR="00602FFE" w:rsidRDefault="00602FFE" w:rsidP="00DB20DC">
            <w:pPr>
              <w:snapToGrid w:val="0"/>
              <w:spacing w:before="60" w:after="60"/>
              <w:jc w:val="center"/>
              <w:rPr>
                <w:szCs w:val="24"/>
              </w:rPr>
            </w:pPr>
            <w:r>
              <w:rPr>
                <w:szCs w:val="24"/>
              </w:rPr>
              <w:t>3</w:t>
            </w:r>
          </w:p>
        </w:tc>
      </w:tr>
    </w:tbl>
    <w:p w14:paraId="32CD8E5C" w14:textId="7226B99A" w:rsidR="00A45A2B" w:rsidRDefault="00A45A2B" w:rsidP="00A45A2B">
      <w:pPr>
        <w:snapToGrid w:val="0"/>
        <w:spacing w:before="240" w:after="120"/>
        <w:jc w:val="both"/>
        <w:rPr>
          <w:szCs w:val="24"/>
          <w:lang w:val="en-US"/>
        </w:rPr>
      </w:pPr>
      <w:r w:rsidRPr="00345C59">
        <w:rPr>
          <w:szCs w:val="24"/>
          <w:lang w:val="en-US"/>
        </w:rPr>
        <w:t xml:space="preserve">* In </w:t>
      </w:r>
      <w:r w:rsidR="005D4FA2">
        <w:rPr>
          <w:szCs w:val="24"/>
          <w:lang w:val="en-US"/>
        </w:rPr>
        <w:t>four</w:t>
      </w:r>
      <w:r w:rsidRPr="00345C59">
        <w:rPr>
          <w:szCs w:val="24"/>
          <w:lang w:val="en-US"/>
        </w:rPr>
        <w:t xml:space="preserve"> matters the investigation involved two </w:t>
      </w:r>
      <w:r>
        <w:rPr>
          <w:szCs w:val="24"/>
          <w:lang w:val="en-US"/>
        </w:rPr>
        <w:t xml:space="preserve">or more </w:t>
      </w:r>
      <w:r w:rsidRPr="00345C59">
        <w:rPr>
          <w:szCs w:val="24"/>
          <w:lang w:val="en-US"/>
        </w:rPr>
        <w:t xml:space="preserve">categories of misconduct. </w:t>
      </w:r>
    </w:p>
    <w:p w14:paraId="12DB3C69" w14:textId="51C24001" w:rsidR="00A45A2B" w:rsidRPr="00AB5E52" w:rsidRDefault="00A45A2B" w:rsidP="00A971B5">
      <w:pPr>
        <w:pStyle w:val="ListParagraph"/>
        <w:numPr>
          <w:ilvl w:val="0"/>
          <w:numId w:val="8"/>
        </w:numPr>
        <w:snapToGrid w:val="0"/>
        <w:spacing w:before="240" w:after="120" w:line="240" w:lineRule="auto"/>
        <w:ind w:left="0" w:firstLine="0"/>
        <w:contextualSpacing w:val="0"/>
        <w:jc w:val="both"/>
        <w:rPr>
          <w:sz w:val="24"/>
          <w:szCs w:val="24"/>
        </w:rPr>
      </w:pPr>
      <w:r w:rsidRPr="00AB5E52">
        <w:rPr>
          <w:sz w:val="24"/>
          <w:szCs w:val="24"/>
          <w:u w:val="single"/>
        </w:rPr>
        <w:t>JIU System-Wide Review</w:t>
      </w:r>
      <w:r w:rsidRPr="00AB5E52">
        <w:rPr>
          <w:sz w:val="24"/>
          <w:szCs w:val="24"/>
        </w:rPr>
        <w:t xml:space="preserve">: The Ethics Office </w:t>
      </w:r>
      <w:r w:rsidR="00AB5E52" w:rsidRPr="00AB5E52">
        <w:rPr>
          <w:sz w:val="24"/>
          <w:szCs w:val="24"/>
        </w:rPr>
        <w:t>is the</w:t>
      </w:r>
      <w:r w:rsidRPr="00AB5E52">
        <w:rPr>
          <w:sz w:val="24"/>
          <w:szCs w:val="24"/>
        </w:rPr>
        <w:t xml:space="preserve"> ITU focal point for the Joint Inspection Unit’s </w:t>
      </w:r>
      <w:r w:rsidR="00E83B99" w:rsidRPr="00AB5E52">
        <w:rPr>
          <w:sz w:val="24"/>
          <w:szCs w:val="24"/>
        </w:rPr>
        <w:t>2020</w:t>
      </w:r>
      <w:r w:rsidRPr="00AB5E52">
        <w:rPr>
          <w:sz w:val="24"/>
          <w:szCs w:val="24"/>
        </w:rPr>
        <w:t xml:space="preserve"> review of the </w:t>
      </w:r>
      <w:r w:rsidR="00E62C54" w:rsidRPr="00AB5E52">
        <w:rPr>
          <w:sz w:val="24"/>
          <w:szCs w:val="24"/>
        </w:rPr>
        <w:t>current state of the ITU ethics function</w:t>
      </w:r>
      <w:r w:rsidRPr="00AB5E52">
        <w:rPr>
          <w:sz w:val="24"/>
          <w:szCs w:val="24"/>
        </w:rPr>
        <w:t xml:space="preserve"> in the United Nations system organizations. The </w:t>
      </w:r>
      <w:r w:rsidR="00AB5E52" w:rsidRPr="00AB5E52">
        <w:rPr>
          <w:sz w:val="24"/>
          <w:szCs w:val="24"/>
        </w:rPr>
        <w:t xml:space="preserve">review is currently </w:t>
      </w:r>
      <w:r w:rsidR="00785452" w:rsidRPr="00AB5E52">
        <w:rPr>
          <w:sz w:val="24"/>
          <w:szCs w:val="24"/>
        </w:rPr>
        <w:t>ongoing,</w:t>
      </w:r>
      <w:r w:rsidR="00AB5E52" w:rsidRPr="00AB5E52">
        <w:rPr>
          <w:sz w:val="24"/>
          <w:szCs w:val="24"/>
        </w:rPr>
        <w:t xml:space="preserve"> and the JIU report is expected in 2021</w:t>
      </w:r>
      <w:r w:rsidRPr="00AB5E52">
        <w:rPr>
          <w:sz w:val="24"/>
          <w:szCs w:val="24"/>
        </w:rPr>
        <w:t>.</w:t>
      </w:r>
    </w:p>
    <w:p w14:paraId="7FA94B94" w14:textId="1532084F" w:rsidR="00A45A2B" w:rsidRPr="00C654D2" w:rsidRDefault="00A45A2B" w:rsidP="00DE0819">
      <w:pPr>
        <w:pStyle w:val="ListParagraph"/>
        <w:numPr>
          <w:ilvl w:val="0"/>
          <w:numId w:val="8"/>
        </w:numPr>
        <w:snapToGrid w:val="0"/>
        <w:spacing w:before="120" w:after="120" w:line="240" w:lineRule="auto"/>
        <w:ind w:left="0" w:firstLine="0"/>
        <w:contextualSpacing w:val="0"/>
        <w:jc w:val="both"/>
        <w:rPr>
          <w:sz w:val="24"/>
          <w:szCs w:val="24"/>
        </w:rPr>
      </w:pPr>
      <w:r>
        <w:rPr>
          <w:sz w:val="24"/>
          <w:szCs w:val="24"/>
          <w:u w:val="single"/>
        </w:rPr>
        <w:lastRenderedPageBreak/>
        <w:t>UN S</w:t>
      </w:r>
      <w:r w:rsidRPr="007014F8">
        <w:rPr>
          <w:sz w:val="24"/>
          <w:szCs w:val="24"/>
          <w:u w:val="single"/>
        </w:rPr>
        <w:t>ystem Coherence/Harmonization</w:t>
      </w:r>
      <w:r w:rsidRPr="007014F8">
        <w:rPr>
          <w:sz w:val="24"/>
          <w:szCs w:val="24"/>
        </w:rPr>
        <w:t>: The Ethics Office</w:t>
      </w:r>
      <w:r w:rsidR="00AB5E52">
        <w:rPr>
          <w:sz w:val="24"/>
          <w:szCs w:val="24"/>
        </w:rPr>
        <w:t xml:space="preserve"> is </w:t>
      </w:r>
      <w:r w:rsidRPr="007014F8">
        <w:rPr>
          <w:sz w:val="24"/>
          <w:szCs w:val="24"/>
        </w:rPr>
        <w:t>a member of the Ethics Network of Multilateral Organizations (ENMO)</w:t>
      </w:r>
      <w:r>
        <w:rPr>
          <w:sz w:val="24"/>
          <w:szCs w:val="24"/>
        </w:rPr>
        <w:t xml:space="preserve">, </w:t>
      </w:r>
      <w:r w:rsidR="00AB5E52">
        <w:rPr>
          <w:sz w:val="24"/>
          <w:szCs w:val="24"/>
        </w:rPr>
        <w:t>a</w:t>
      </w:r>
      <w:r>
        <w:rPr>
          <w:sz w:val="24"/>
          <w:szCs w:val="24"/>
        </w:rPr>
        <w:t xml:space="preserve"> UN system-wide network. ENMO is a platform for </w:t>
      </w:r>
      <w:r w:rsidR="00AB5E52">
        <w:rPr>
          <w:sz w:val="24"/>
          <w:szCs w:val="24"/>
        </w:rPr>
        <w:t xml:space="preserve">collaboration and exchange </w:t>
      </w:r>
      <w:r>
        <w:rPr>
          <w:sz w:val="24"/>
          <w:szCs w:val="24"/>
        </w:rPr>
        <w:t xml:space="preserve">on </w:t>
      </w:r>
      <w:r w:rsidR="00AB5E52">
        <w:rPr>
          <w:sz w:val="24"/>
          <w:szCs w:val="24"/>
        </w:rPr>
        <w:t xml:space="preserve">ethics </w:t>
      </w:r>
      <w:r>
        <w:rPr>
          <w:sz w:val="24"/>
          <w:szCs w:val="24"/>
        </w:rPr>
        <w:t xml:space="preserve">best practices and issues of common interest. The Ethics Office participated in the </w:t>
      </w:r>
      <w:r w:rsidR="00AB5E52">
        <w:rPr>
          <w:sz w:val="24"/>
          <w:szCs w:val="24"/>
        </w:rPr>
        <w:t xml:space="preserve">virtual </w:t>
      </w:r>
      <w:r>
        <w:rPr>
          <w:sz w:val="24"/>
          <w:szCs w:val="24"/>
        </w:rPr>
        <w:t>ENMO Annual Meeting in</w:t>
      </w:r>
      <w:r w:rsidR="00AB5E52">
        <w:rPr>
          <w:sz w:val="24"/>
          <w:szCs w:val="24"/>
        </w:rPr>
        <w:t xml:space="preserve"> July 2021</w:t>
      </w:r>
      <w:r>
        <w:rPr>
          <w:sz w:val="24"/>
          <w:szCs w:val="24"/>
        </w:rPr>
        <w:t xml:space="preserve"> </w:t>
      </w:r>
      <w:r w:rsidR="00AB5E52">
        <w:rPr>
          <w:sz w:val="24"/>
          <w:szCs w:val="24"/>
        </w:rPr>
        <w:t xml:space="preserve">and participated in one virtual meeting of the Geneva-based ENMO members. </w:t>
      </w:r>
    </w:p>
    <w:p w14:paraId="1CC558E4" w14:textId="5E21A6D5" w:rsidR="00A45A2B" w:rsidRDefault="00AB5E52" w:rsidP="00DE0819">
      <w:pPr>
        <w:pStyle w:val="ListParagraph"/>
        <w:numPr>
          <w:ilvl w:val="0"/>
          <w:numId w:val="8"/>
        </w:numPr>
        <w:snapToGrid w:val="0"/>
        <w:spacing w:before="120" w:after="120" w:line="240" w:lineRule="auto"/>
        <w:ind w:left="0" w:firstLine="0"/>
        <w:contextualSpacing w:val="0"/>
        <w:jc w:val="both"/>
        <w:rPr>
          <w:szCs w:val="24"/>
          <w:lang w:val="en-GB"/>
        </w:rPr>
      </w:pPr>
      <w:r>
        <w:rPr>
          <w:sz w:val="24"/>
          <w:szCs w:val="24"/>
        </w:rPr>
        <w:t xml:space="preserve">The Ethics Office’s collaboration </w:t>
      </w:r>
      <w:r w:rsidR="00A45A2B">
        <w:rPr>
          <w:sz w:val="24"/>
          <w:szCs w:val="24"/>
        </w:rPr>
        <w:t xml:space="preserve">with internal stakeholders and at the inter-agency level, through the Chief Executives’ Board (CEB) Taskforce on Addressing Sexual Harassment, </w:t>
      </w:r>
      <w:r>
        <w:rPr>
          <w:sz w:val="24"/>
          <w:szCs w:val="24"/>
        </w:rPr>
        <w:t xml:space="preserve">aims </w:t>
      </w:r>
      <w:r w:rsidR="00785452">
        <w:rPr>
          <w:sz w:val="24"/>
          <w:szCs w:val="24"/>
        </w:rPr>
        <w:t>to promote</w:t>
      </w:r>
      <w:r>
        <w:rPr>
          <w:sz w:val="24"/>
          <w:szCs w:val="24"/>
        </w:rPr>
        <w:t xml:space="preserve"> a workplace</w:t>
      </w:r>
      <w:r w:rsidR="00A45A2B">
        <w:rPr>
          <w:sz w:val="24"/>
          <w:szCs w:val="24"/>
        </w:rPr>
        <w:t xml:space="preserve"> free of harassment or abuse. </w:t>
      </w:r>
      <w:r>
        <w:rPr>
          <w:sz w:val="24"/>
          <w:szCs w:val="24"/>
        </w:rPr>
        <w:t xml:space="preserve">The Ethics Office will continue to raise awareness and to promote the </w:t>
      </w:r>
      <w:r w:rsidR="00A45A2B">
        <w:rPr>
          <w:sz w:val="24"/>
          <w:szCs w:val="24"/>
        </w:rPr>
        <w:t xml:space="preserve">CEB-endorsed </w:t>
      </w:r>
      <w:r w:rsidR="00A45A2B" w:rsidRPr="00CD6AF4">
        <w:rPr>
          <w:sz w:val="24"/>
          <w:szCs w:val="24"/>
        </w:rPr>
        <w:t>Code of Conduct to Prevent Harassment, Including Sexual Harassment, at United Nations System Event</w:t>
      </w:r>
      <w:r w:rsidR="00A45A2B">
        <w:rPr>
          <w:sz w:val="24"/>
          <w:szCs w:val="24"/>
        </w:rPr>
        <w:t xml:space="preserve">, </w:t>
      </w:r>
      <w:r>
        <w:rPr>
          <w:sz w:val="24"/>
          <w:szCs w:val="24"/>
        </w:rPr>
        <w:t>which is</w:t>
      </w:r>
      <w:r w:rsidR="00A45A2B">
        <w:rPr>
          <w:sz w:val="24"/>
          <w:szCs w:val="24"/>
        </w:rPr>
        <w:t xml:space="preserve"> recognized by ITU. </w:t>
      </w:r>
    </w:p>
    <w:p w14:paraId="59EFDA80" w14:textId="77777777" w:rsidR="00A45A2B" w:rsidRPr="007014F8" w:rsidRDefault="00A45A2B" w:rsidP="00C654D2">
      <w:pPr>
        <w:pStyle w:val="ListParagraph"/>
        <w:numPr>
          <w:ilvl w:val="0"/>
          <w:numId w:val="4"/>
        </w:numPr>
        <w:adjustRightInd w:val="0"/>
        <w:snapToGrid w:val="0"/>
        <w:spacing w:before="720" w:after="120" w:line="240" w:lineRule="auto"/>
        <w:ind w:left="709" w:hanging="709"/>
        <w:contextualSpacing w:val="0"/>
        <w:jc w:val="both"/>
        <w:rPr>
          <w:b/>
          <w:bCs/>
          <w:sz w:val="24"/>
          <w:szCs w:val="24"/>
        </w:rPr>
      </w:pPr>
      <w:r w:rsidRPr="007014F8">
        <w:rPr>
          <w:b/>
          <w:bCs/>
          <w:sz w:val="24"/>
          <w:szCs w:val="24"/>
        </w:rPr>
        <w:t>Observations</w:t>
      </w:r>
    </w:p>
    <w:p w14:paraId="619E38C4" w14:textId="77777777" w:rsidR="00A45A2B" w:rsidRPr="007014F8" w:rsidRDefault="00A45A2B" w:rsidP="00DE0819">
      <w:pPr>
        <w:pStyle w:val="ListParagraph"/>
        <w:numPr>
          <w:ilvl w:val="0"/>
          <w:numId w:val="8"/>
        </w:numPr>
        <w:snapToGrid w:val="0"/>
        <w:spacing w:before="120" w:after="120" w:line="240" w:lineRule="auto"/>
        <w:ind w:left="0" w:firstLine="0"/>
        <w:contextualSpacing w:val="0"/>
        <w:jc w:val="both"/>
        <w:rPr>
          <w:sz w:val="24"/>
          <w:szCs w:val="24"/>
        </w:rPr>
      </w:pPr>
      <w:r w:rsidRPr="007014F8">
        <w:rPr>
          <w:sz w:val="24"/>
          <w:szCs w:val="24"/>
        </w:rPr>
        <w:t xml:space="preserve">The key observations arising from activities during this reporting period are: </w:t>
      </w:r>
    </w:p>
    <w:p w14:paraId="0DF48FFF" w14:textId="37809D57" w:rsidR="00A45A2B" w:rsidRDefault="00A45A2B" w:rsidP="00701C1B">
      <w:pPr>
        <w:pStyle w:val="ListParagraph"/>
        <w:numPr>
          <w:ilvl w:val="1"/>
          <w:numId w:val="8"/>
        </w:numPr>
        <w:adjustRightInd w:val="0"/>
        <w:snapToGrid w:val="0"/>
        <w:spacing w:before="120" w:after="120" w:line="240" w:lineRule="auto"/>
        <w:ind w:left="1134" w:hanging="414"/>
        <w:contextualSpacing w:val="0"/>
        <w:jc w:val="both"/>
        <w:rPr>
          <w:sz w:val="24"/>
          <w:szCs w:val="24"/>
        </w:rPr>
      </w:pPr>
      <w:r>
        <w:rPr>
          <w:sz w:val="24"/>
          <w:szCs w:val="24"/>
        </w:rPr>
        <w:t xml:space="preserve">Promoting ethical awareness and enhancing the ethical framework in ITU </w:t>
      </w:r>
      <w:r w:rsidR="00AD3A2D">
        <w:rPr>
          <w:sz w:val="24"/>
          <w:szCs w:val="24"/>
        </w:rPr>
        <w:t>continue</w:t>
      </w:r>
      <w:r w:rsidR="00C622A7">
        <w:rPr>
          <w:sz w:val="24"/>
          <w:szCs w:val="24"/>
        </w:rPr>
        <w:t xml:space="preserve"> to be</w:t>
      </w:r>
      <w:r w:rsidR="00AD3A2D">
        <w:rPr>
          <w:sz w:val="24"/>
          <w:szCs w:val="24"/>
        </w:rPr>
        <w:t xml:space="preserve"> organizational priorities</w:t>
      </w:r>
      <w:r>
        <w:rPr>
          <w:sz w:val="24"/>
          <w:szCs w:val="24"/>
        </w:rPr>
        <w:t xml:space="preserve">. </w:t>
      </w:r>
      <w:r w:rsidR="002D4C5B">
        <w:rPr>
          <w:sz w:val="24"/>
          <w:szCs w:val="24"/>
        </w:rPr>
        <w:t>A</w:t>
      </w:r>
      <w:r w:rsidR="00AD3A2D">
        <w:rPr>
          <w:sz w:val="24"/>
          <w:szCs w:val="24"/>
        </w:rPr>
        <w:t>wareness raisings and t</w:t>
      </w:r>
      <w:r w:rsidR="002D4C5B">
        <w:rPr>
          <w:sz w:val="24"/>
          <w:szCs w:val="24"/>
        </w:rPr>
        <w:t>rainings are planned to further promote ITU’s speak up culture and commitment to zero tolerance towards misconduct, with an emphasis on ITU’s recently issued policies on declaration of interests and whistleblower protection.</w:t>
      </w:r>
      <w:r w:rsidR="00C301F6">
        <w:rPr>
          <w:sz w:val="24"/>
          <w:szCs w:val="24"/>
        </w:rPr>
        <w:t xml:space="preserve"> </w:t>
      </w:r>
    </w:p>
    <w:p w14:paraId="7D00253A" w14:textId="5C20DE5B" w:rsidR="00AE2489" w:rsidRDefault="00A45A2B" w:rsidP="00701C1B">
      <w:pPr>
        <w:pStyle w:val="ListParagraph"/>
        <w:numPr>
          <w:ilvl w:val="1"/>
          <w:numId w:val="8"/>
        </w:numPr>
        <w:adjustRightInd w:val="0"/>
        <w:snapToGrid w:val="0"/>
        <w:spacing w:before="120" w:after="120" w:line="240" w:lineRule="auto"/>
        <w:ind w:left="1134" w:hanging="414"/>
        <w:contextualSpacing w:val="0"/>
        <w:jc w:val="both"/>
        <w:rPr>
          <w:sz w:val="24"/>
          <w:szCs w:val="24"/>
        </w:rPr>
      </w:pPr>
      <w:r>
        <w:rPr>
          <w:sz w:val="24"/>
          <w:szCs w:val="24"/>
        </w:rPr>
        <w:t>The Ethics Office collaborated on a number of initiatives,</w:t>
      </w:r>
      <w:r w:rsidR="00AE2489">
        <w:rPr>
          <w:sz w:val="24"/>
          <w:szCs w:val="24"/>
        </w:rPr>
        <w:t xml:space="preserve"> which included enhancing due diligence provisions in partner agreements, strengthening the investigation function in ITU, and establishing a risk management framework. As the Ethics Office has been involved in various projects and initiatives, a charter reflecting the mandate of the Ethics Office would be appropriate.</w:t>
      </w:r>
    </w:p>
    <w:p w14:paraId="404AC30B" w14:textId="219698F0" w:rsidR="00A45A2B" w:rsidRPr="00AE2489" w:rsidRDefault="00AE2489" w:rsidP="00701C1B">
      <w:pPr>
        <w:pStyle w:val="ListParagraph"/>
        <w:numPr>
          <w:ilvl w:val="1"/>
          <w:numId w:val="8"/>
        </w:numPr>
        <w:adjustRightInd w:val="0"/>
        <w:snapToGrid w:val="0"/>
        <w:spacing w:before="120" w:after="120" w:line="240" w:lineRule="auto"/>
        <w:ind w:left="1134" w:hanging="414"/>
        <w:contextualSpacing w:val="0"/>
        <w:jc w:val="both"/>
        <w:rPr>
          <w:sz w:val="24"/>
          <w:szCs w:val="24"/>
        </w:rPr>
      </w:pPr>
      <w:r>
        <w:rPr>
          <w:sz w:val="24"/>
          <w:szCs w:val="24"/>
          <w:lang w:val="en-GB"/>
        </w:rPr>
        <w:t>The Ethics Office has been involved in several preliminary reviews of investigations over the reporting period. As was the case in 2019, this year the</w:t>
      </w:r>
      <w:r w:rsidR="00A45A2B" w:rsidRPr="009875CB">
        <w:rPr>
          <w:sz w:val="24"/>
          <w:szCs w:val="24"/>
          <w:lang w:val="en-GB"/>
        </w:rPr>
        <w:t xml:space="preserve"> cases have </w:t>
      </w:r>
      <w:r>
        <w:rPr>
          <w:sz w:val="24"/>
          <w:szCs w:val="24"/>
          <w:lang w:val="en-GB"/>
        </w:rPr>
        <w:t xml:space="preserve">again </w:t>
      </w:r>
      <w:r w:rsidR="00A45A2B" w:rsidRPr="009875CB">
        <w:rPr>
          <w:sz w:val="24"/>
          <w:szCs w:val="24"/>
          <w:lang w:val="en-GB"/>
        </w:rPr>
        <w:t xml:space="preserve">required </w:t>
      </w:r>
      <w:r>
        <w:rPr>
          <w:sz w:val="24"/>
          <w:szCs w:val="24"/>
          <w:lang w:val="en-GB"/>
        </w:rPr>
        <w:t>substantial</w:t>
      </w:r>
      <w:r w:rsidR="00A45A2B" w:rsidRPr="009875CB">
        <w:rPr>
          <w:sz w:val="24"/>
          <w:szCs w:val="24"/>
          <w:lang w:val="en-GB"/>
        </w:rPr>
        <w:t xml:space="preserve"> time and </w:t>
      </w:r>
      <w:r w:rsidR="00A45A2B" w:rsidRPr="00AE2489">
        <w:rPr>
          <w:sz w:val="24"/>
          <w:szCs w:val="24"/>
          <w:lang w:val="en-GB"/>
        </w:rPr>
        <w:t>resources from the Ethics Office.</w:t>
      </w:r>
      <w:r w:rsidR="00756CC7">
        <w:rPr>
          <w:sz w:val="24"/>
          <w:szCs w:val="24"/>
          <w:lang w:val="en-GB"/>
        </w:rPr>
        <w:t xml:space="preserve"> The Ethics Office will collaborate to propose efficiencies to processes and procedures, from intake to disciplinary procedures. </w:t>
      </w:r>
    </w:p>
    <w:p w14:paraId="0F29460E" w14:textId="4023DA06" w:rsidR="00A45A2B" w:rsidRPr="00AE2489" w:rsidRDefault="00756CC7" w:rsidP="00701C1B">
      <w:pPr>
        <w:pStyle w:val="ListParagraph"/>
        <w:numPr>
          <w:ilvl w:val="1"/>
          <w:numId w:val="8"/>
        </w:numPr>
        <w:adjustRightInd w:val="0"/>
        <w:snapToGrid w:val="0"/>
        <w:spacing w:before="120" w:after="120" w:line="240" w:lineRule="auto"/>
        <w:ind w:left="1134" w:hanging="414"/>
        <w:contextualSpacing w:val="0"/>
        <w:jc w:val="both"/>
        <w:rPr>
          <w:sz w:val="24"/>
          <w:szCs w:val="24"/>
        </w:rPr>
      </w:pPr>
      <w:r>
        <w:rPr>
          <w:rFonts w:cs="Arial"/>
          <w:sz w:val="24"/>
          <w:szCs w:val="24"/>
        </w:rPr>
        <w:t>The importance of measures</w:t>
      </w:r>
      <w:r w:rsidR="00C95DD1">
        <w:rPr>
          <w:rFonts w:cs="Arial"/>
          <w:sz w:val="24"/>
          <w:szCs w:val="24"/>
        </w:rPr>
        <w:t xml:space="preserve"> to support a positive </w:t>
      </w:r>
      <w:r>
        <w:rPr>
          <w:rFonts w:cs="Arial"/>
          <w:sz w:val="24"/>
          <w:szCs w:val="24"/>
        </w:rPr>
        <w:t xml:space="preserve">and respectful </w:t>
      </w:r>
      <w:r w:rsidR="00AE2489" w:rsidRPr="00AE2489">
        <w:rPr>
          <w:rFonts w:cs="Arial"/>
          <w:sz w:val="24"/>
          <w:szCs w:val="24"/>
        </w:rPr>
        <w:t>working environment</w:t>
      </w:r>
      <w:r>
        <w:rPr>
          <w:rFonts w:cs="Arial"/>
          <w:sz w:val="24"/>
          <w:szCs w:val="24"/>
        </w:rPr>
        <w:t xml:space="preserve"> </w:t>
      </w:r>
      <w:r w:rsidR="002D48A8">
        <w:rPr>
          <w:rFonts w:cs="Arial"/>
          <w:sz w:val="24"/>
          <w:szCs w:val="24"/>
        </w:rPr>
        <w:t>-</w:t>
      </w:r>
      <w:r>
        <w:rPr>
          <w:rFonts w:cs="Arial"/>
          <w:sz w:val="24"/>
          <w:szCs w:val="24"/>
        </w:rPr>
        <w:t xml:space="preserve"> in person and virtually </w:t>
      </w:r>
      <w:r w:rsidR="00D97B1B">
        <w:rPr>
          <w:rFonts w:cs="Arial"/>
          <w:sz w:val="24"/>
          <w:szCs w:val="24"/>
        </w:rPr>
        <w:t xml:space="preserve">- </w:t>
      </w:r>
      <w:r w:rsidR="00D97B1B" w:rsidRPr="00AE2489">
        <w:rPr>
          <w:rFonts w:cs="Arial"/>
          <w:sz w:val="24"/>
          <w:szCs w:val="24"/>
        </w:rPr>
        <w:t>have</w:t>
      </w:r>
      <w:r>
        <w:rPr>
          <w:rFonts w:cs="Arial"/>
          <w:sz w:val="24"/>
          <w:szCs w:val="24"/>
        </w:rPr>
        <w:t xml:space="preserve"> been highlighted during COVID-19. The Ethics Office will continue to strengthen the ethical framework in support of a collaborative working environment. </w:t>
      </w:r>
    </w:p>
    <w:p w14:paraId="3D713E62" w14:textId="77777777" w:rsidR="00A45A2B" w:rsidRPr="00123ECA" w:rsidRDefault="00A45A2B" w:rsidP="00A45A2B">
      <w:pPr>
        <w:snapToGrid w:val="0"/>
        <w:spacing w:before="840"/>
        <w:jc w:val="center"/>
        <w:rPr>
          <w:szCs w:val="24"/>
        </w:rPr>
      </w:pPr>
      <w:r>
        <w:rPr>
          <w:szCs w:val="24"/>
        </w:rPr>
        <w:t>__________________</w:t>
      </w:r>
    </w:p>
    <w:sectPr w:rsidR="00A45A2B" w:rsidRPr="00123ECA" w:rsidSect="004D1851">
      <w:head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1B197" w14:textId="77777777" w:rsidR="009A1832" w:rsidRDefault="009A1832">
      <w:r>
        <w:separator/>
      </w:r>
    </w:p>
  </w:endnote>
  <w:endnote w:type="continuationSeparator" w:id="0">
    <w:p w14:paraId="5CE00786" w14:textId="77777777" w:rsidR="009A1832" w:rsidRDefault="009A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1CDDD" w14:textId="71E8601E" w:rsidR="00322D0D" w:rsidRDefault="00322D0D" w:rsidP="00CF134B">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ADBB2" w14:textId="77777777" w:rsidR="009A1832" w:rsidRDefault="009A1832">
      <w:r>
        <w:t>____________________</w:t>
      </w:r>
    </w:p>
  </w:footnote>
  <w:footnote w:type="continuationSeparator" w:id="0">
    <w:p w14:paraId="4F0D718D" w14:textId="77777777" w:rsidR="009A1832" w:rsidRDefault="009A1832">
      <w:r>
        <w:continuationSeparator/>
      </w:r>
    </w:p>
  </w:footnote>
  <w:footnote w:id="1">
    <w:p w14:paraId="3C731164" w14:textId="7F9AF7D9" w:rsidR="00A45A2B" w:rsidRPr="00C94B10" w:rsidRDefault="00A45A2B" w:rsidP="00A45A2B">
      <w:pPr>
        <w:pStyle w:val="FootnoteText"/>
        <w:tabs>
          <w:tab w:val="clear" w:pos="256"/>
        </w:tabs>
        <w:jc w:val="both"/>
        <w:rPr>
          <w:sz w:val="20"/>
        </w:rPr>
      </w:pPr>
      <w:r w:rsidRPr="008A1648">
        <w:rPr>
          <w:rStyle w:val="FootnoteReference"/>
          <w:sz w:val="18"/>
          <w:szCs w:val="18"/>
        </w:rPr>
        <w:footnoteRef/>
      </w:r>
      <w:r w:rsidRPr="00C94B10">
        <w:rPr>
          <w:sz w:val="20"/>
        </w:rPr>
        <w:t xml:space="preserve"> </w:t>
      </w:r>
      <w:r>
        <w:rPr>
          <w:sz w:val="20"/>
        </w:rPr>
        <w:tab/>
        <w:t>Under the</w:t>
      </w:r>
      <w:r w:rsidRPr="00C94B10">
        <w:rPr>
          <w:sz w:val="20"/>
        </w:rPr>
        <w:t xml:space="preserve"> </w:t>
      </w:r>
      <w:r>
        <w:rPr>
          <w:sz w:val="20"/>
        </w:rPr>
        <w:t>Service Order No. 11/03</w:t>
      </w:r>
      <w:r w:rsidR="007E754C">
        <w:rPr>
          <w:sz w:val="20"/>
        </w:rPr>
        <w:t xml:space="preserve"> </w:t>
      </w:r>
      <w:r w:rsidR="007E754C" w:rsidRPr="00F9357A">
        <w:rPr>
          <w:sz w:val="20"/>
        </w:rPr>
        <w:t>abrogated and replaced by Service Order 20/07</w:t>
      </w:r>
      <w:r w:rsidRPr="00F9357A">
        <w:rPr>
          <w:sz w:val="20"/>
        </w:rPr>
        <w:t>, the</w:t>
      </w:r>
      <w:r w:rsidRPr="00C94B10">
        <w:rPr>
          <w:sz w:val="20"/>
        </w:rPr>
        <w:t xml:space="preserve"> Ethics Office administers the financial disclosure </w:t>
      </w:r>
      <w:r>
        <w:rPr>
          <w:sz w:val="20"/>
        </w:rPr>
        <w:t>procedures</w:t>
      </w:r>
      <w:r w:rsidRPr="00C94B10">
        <w:rPr>
          <w:sz w:val="20"/>
        </w:rPr>
        <w:t xml:space="preserve"> and provide</w:t>
      </w:r>
      <w:r>
        <w:rPr>
          <w:sz w:val="20"/>
        </w:rPr>
        <w:t>s</w:t>
      </w:r>
      <w:r w:rsidRPr="00C94B10">
        <w:rPr>
          <w:sz w:val="20"/>
        </w:rPr>
        <w:t xml:space="preserve"> confidential guidance and advice to staff members on </w:t>
      </w:r>
      <w:r>
        <w:rPr>
          <w:sz w:val="20"/>
        </w:rPr>
        <w:t>ethical standards and conflicts of interest, including potential conflicts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3C43F" w14:textId="7F358D73" w:rsidR="00322D0D" w:rsidRDefault="006535F1" w:rsidP="00CE433C">
    <w:pPr>
      <w:pStyle w:val="Header"/>
    </w:pPr>
    <w:r>
      <w:fldChar w:fldCharType="begin"/>
    </w:r>
    <w:r>
      <w:instrText>PAGE</w:instrText>
    </w:r>
    <w:r>
      <w:fldChar w:fldCharType="separate"/>
    </w:r>
    <w:r w:rsidR="00C95DD1">
      <w:rPr>
        <w:noProof/>
      </w:rPr>
      <w:t>5</w:t>
    </w:r>
    <w:r>
      <w:rPr>
        <w:noProof/>
      </w:rPr>
      <w:fldChar w:fldCharType="end"/>
    </w:r>
  </w:p>
  <w:p w14:paraId="34EC98F4" w14:textId="630DCCEE" w:rsidR="00322D0D" w:rsidRPr="00623AE3" w:rsidRDefault="00D338E0" w:rsidP="00D338E0">
    <w:pPr>
      <w:pStyle w:val="Header"/>
      <w:rPr>
        <w:bCs/>
      </w:rPr>
    </w:pPr>
    <w:r w:rsidRPr="00F56668">
      <w:rPr>
        <w:bCs/>
      </w:rPr>
      <w:t>C2</w:t>
    </w:r>
    <w:r w:rsidR="00F56668" w:rsidRPr="00F56668">
      <w:rPr>
        <w:bCs/>
      </w:rPr>
      <w:t>1</w:t>
    </w:r>
    <w:r w:rsidR="00623AE3" w:rsidRPr="00F56668">
      <w:rPr>
        <w:bCs/>
      </w:rPr>
      <w:t>/</w:t>
    </w:r>
    <w:r w:rsidR="00DE0819">
      <w:rPr>
        <w:bCs/>
      </w:rPr>
      <w:t>59</w:t>
    </w:r>
    <w:r w:rsidR="00623AE3" w:rsidRPr="00F56668">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A30E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A8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666D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32B3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4E29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26E8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A236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745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9CC2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4240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931F6B"/>
    <w:multiLevelType w:val="hybridMultilevel"/>
    <w:tmpl w:val="01FC77B2"/>
    <w:lvl w:ilvl="0" w:tplc="27C06C26">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C1430"/>
    <w:multiLevelType w:val="hybridMultilevel"/>
    <w:tmpl w:val="474A4A84"/>
    <w:lvl w:ilvl="0" w:tplc="CEDE9074">
      <w:start w:val="15"/>
      <w:numFmt w:val="decimal"/>
      <w:lvlText w:val="%1."/>
      <w:lvlJc w:val="left"/>
      <w:pPr>
        <w:ind w:left="360" w:hanging="360"/>
      </w:pPr>
      <w:rPr>
        <w:rFonts w:hint="default"/>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01CFF"/>
    <w:multiLevelType w:val="hybridMultilevel"/>
    <w:tmpl w:val="4F18C176"/>
    <w:lvl w:ilvl="0" w:tplc="56847D76">
      <w:start w:val="1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D6ED7"/>
    <w:multiLevelType w:val="hybridMultilevel"/>
    <w:tmpl w:val="17D8FE7C"/>
    <w:lvl w:ilvl="0" w:tplc="34F4E8F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03715"/>
    <w:multiLevelType w:val="hybridMultilevel"/>
    <w:tmpl w:val="9892A758"/>
    <w:lvl w:ilvl="0" w:tplc="0409000F">
      <w:start w:val="1"/>
      <w:numFmt w:val="decimal"/>
      <w:lvlText w:val="%1."/>
      <w:lvlJc w:val="left"/>
      <w:pPr>
        <w:ind w:left="360" w:hanging="360"/>
      </w:pPr>
    </w:lvl>
    <w:lvl w:ilvl="1" w:tplc="2ED87DDE">
      <w:start w:val="1"/>
      <w:numFmt w:val="lowerLetter"/>
      <w:lvlText w:val="%2."/>
      <w:lvlJc w:val="left"/>
      <w:pPr>
        <w:ind w:left="1080" w:hanging="360"/>
      </w:pPr>
      <w:rPr>
        <w:b/>
        <w:bCs/>
        <w:i/>
        <w:i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97805DC">
      <w:start w:val="14"/>
      <w:numFmt w:val="decimal"/>
      <w:lvlText w:val="%5"/>
      <w:lvlJc w:val="left"/>
      <w:pPr>
        <w:ind w:left="3240" w:hanging="360"/>
      </w:pPr>
      <w:rPr>
        <w:rFonts w:hint="default"/>
        <w:i w:val="0"/>
        <w:iCs/>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B56AB6"/>
    <w:multiLevelType w:val="hybridMultilevel"/>
    <w:tmpl w:val="A43E6718"/>
    <w:lvl w:ilvl="0" w:tplc="3F2618B2">
      <w:start w:val="18"/>
      <w:numFmt w:val="decimal"/>
      <w:lvlText w:val="%1."/>
      <w:lvlJc w:val="left"/>
      <w:pPr>
        <w:ind w:left="1080" w:hanging="360"/>
      </w:pPr>
      <w:rPr>
        <w:rFonts w:hint="default"/>
        <w:i w:val="0"/>
        <w:iCs w:val="0"/>
        <w:color w:val="auto"/>
        <w:sz w:val="24"/>
        <w:szCs w:val="24"/>
      </w:rPr>
    </w:lvl>
    <w:lvl w:ilvl="1" w:tplc="7394910C">
      <w:start w:val="1"/>
      <w:numFmt w:val="lowerLetter"/>
      <w:lvlText w:val="%2."/>
      <w:lvlJc w:val="left"/>
      <w:pPr>
        <w:ind w:left="1440" w:hanging="360"/>
      </w:pPr>
      <w:rPr>
        <w:b/>
        <w:bCs/>
        <w:i/>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205EFC"/>
    <w:multiLevelType w:val="hybridMultilevel"/>
    <w:tmpl w:val="70EA2BF2"/>
    <w:lvl w:ilvl="0" w:tplc="72B064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21C50"/>
    <w:multiLevelType w:val="hybridMultilevel"/>
    <w:tmpl w:val="D328454C"/>
    <w:lvl w:ilvl="0" w:tplc="81F2B924">
      <w:start w:val="1"/>
      <w:numFmt w:val="decimal"/>
      <w:lvlText w:val="%1."/>
      <w:lvlJc w:val="left"/>
      <w:pPr>
        <w:ind w:left="360" w:hanging="360"/>
      </w:pPr>
      <w:rPr>
        <w:i w:val="0"/>
        <w:iCs w:val="0"/>
        <w:color w:val="auto"/>
        <w:sz w:val="24"/>
        <w:szCs w:val="24"/>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6"/>
  </w:num>
  <w:num w:numId="3">
    <w:abstractNumId w:val="17"/>
  </w:num>
  <w:num w:numId="4">
    <w:abstractNumId w:val="14"/>
  </w:num>
  <w:num w:numId="5">
    <w:abstractNumId w:val="12"/>
  </w:num>
  <w:num w:numId="6">
    <w:abstractNumId w:val="11"/>
  </w:num>
  <w:num w:numId="7">
    <w:abstractNumId w:val="10"/>
  </w:num>
  <w:num w:numId="8">
    <w:abstractNumId w:val="15"/>
  </w:num>
  <w:num w:numId="9">
    <w:abstractNumId w:val="13"/>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210D4"/>
    <w:rsid w:val="00035617"/>
    <w:rsid w:val="00063016"/>
    <w:rsid w:val="00066795"/>
    <w:rsid w:val="00076AF6"/>
    <w:rsid w:val="000841A3"/>
    <w:rsid w:val="00085CF2"/>
    <w:rsid w:val="000A4FFF"/>
    <w:rsid w:val="000B1705"/>
    <w:rsid w:val="000D75B2"/>
    <w:rsid w:val="000E7EC4"/>
    <w:rsid w:val="001112AF"/>
    <w:rsid w:val="00111CB3"/>
    <w:rsid w:val="001121F5"/>
    <w:rsid w:val="001400DC"/>
    <w:rsid w:val="00140CE1"/>
    <w:rsid w:val="00143911"/>
    <w:rsid w:val="0015025A"/>
    <w:rsid w:val="00150D8D"/>
    <w:rsid w:val="00156664"/>
    <w:rsid w:val="0016731E"/>
    <w:rsid w:val="0017539C"/>
    <w:rsid w:val="00175AC2"/>
    <w:rsid w:val="0017609F"/>
    <w:rsid w:val="00192BE7"/>
    <w:rsid w:val="001C628E"/>
    <w:rsid w:val="001D02B4"/>
    <w:rsid w:val="001D7A72"/>
    <w:rsid w:val="001E0F7B"/>
    <w:rsid w:val="002119FD"/>
    <w:rsid w:val="002130E0"/>
    <w:rsid w:val="00245D90"/>
    <w:rsid w:val="00264425"/>
    <w:rsid w:val="00265875"/>
    <w:rsid w:val="0027303B"/>
    <w:rsid w:val="0028109B"/>
    <w:rsid w:val="002A1420"/>
    <w:rsid w:val="002A195B"/>
    <w:rsid w:val="002A2188"/>
    <w:rsid w:val="002A7168"/>
    <w:rsid w:val="002B1F58"/>
    <w:rsid w:val="002C1C7A"/>
    <w:rsid w:val="002D48A8"/>
    <w:rsid w:val="002D4C5B"/>
    <w:rsid w:val="0030160F"/>
    <w:rsid w:val="00322634"/>
    <w:rsid w:val="00322D0D"/>
    <w:rsid w:val="003942D4"/>
    <w:rsid w:val="003958A8"/>
    <w:rsid w:val="003A01FC"/>
    <w:rsid w:val="003A1472"/>
    <w:rsid w:val="003C2533"/>
    <w:rsid w:val="0040435A"/>
    <w:rsid w:val="00405CBF"/>
    <w:rsid w:val="00416A24"/>
    <w:rsid w:val="00431D9E"/>
    <w:rsid w:val="00433CE8"/>
    <w:rsid w:val="00434A5C"/>
    <w:rsid w:val="004544D9"/>
    <w:rsid w:val="00466672"/>
    <w:rsid w:val="00490E72"/>
    <w:rsid w:val="00491157"/>
    <w:rsid w:val="004921C8"/>
    <w:rsid w:val="00497AE4"/>
    <w:rsid w:val="004C4C2E"/>
    <w:rsid w:val="004D1851"/>
    <w:rsid w:val="004D53DB"/>
    <w:rsid w:val="004D599D"/>
    <w:rsid w:val="004E2EA5"/>
    <w:rsid w:val="004E3AEB"/>
    <w:rsid w:val="004F52C0"/>
    <w:rsid w:val="0050223C"/>
    <w:rsid w:val="005060AE"/>
    <w:rsid w:val="005175FF"/>
    <w:rsid w:val="005243FF"/>
    <w:rsid w:val="00543612"/>
    <w:rsid w:val="00551749"/>
    <w:rsid w:val="00564FBC"/>
    <w:rsid w:val="00582442"/>
    <w:rsid w:val="005A3EA8"/>
    <w:rsid w:val="005B0D4F"/>
    <w:rsid w:val="005D4FA2"/>
    <w:rsid w:val="005F3269"/>
    <w:rsid w:val="00602FFE"/>
    <w:rsid w:val="00623AE3"/>
    <w:rsid w:val="006429C9"/>
    <w:rsid w:val="0064737F"/>
    <w:rsid w:val="006535F1"/>
    <w:rsid w:val="0065557D"/>
    <w:rsid w:val="00662984"/>
    <w:rsid w:val="00662C0B"/>
    <w:rsid w:val="006714DD"/>
    <w:rsid w:val="006716BB"/>
    <w:rsid w:val="006848DD"/>
    <w:rsid w:val="006B6680"/>
    <w:rsid w:val="006B6DCC"/>
    <w:rsid w:val="00701C1B"/>
    <w:rsid w:val="00702DEF"/>
    <w:rsid w:val="00706861"/>
    <w:rsid w:val="00740FE3"/>
    <w:rsid w:val="0075051B"/>
    <w:rsid w:val="00756CC7"/>
    <w:rsid w:val="00784DB8"/>
    <w:rsid w:val="00785452"/>
    <w:rsid w:val="00793188"/>
    <w:rsid w:val="00794D34"/>
    <w:rsid w:val="007D2E25"/>
    <w:rsid w:val="007E754C"/>
    <w:rsid w:val="008069F2"/>
    <w:rsid w:val="00813E5E"/>
    <w:rsid w:val="0083581B"/>
    <w:rsid w:val="00864AFF"/>
    <w:rsid w:val="00866D9A"/>
    <w:rsid w:val="008B4A6A"/>
    <w:rsid w:val="008C7E27"/>
    <w:rsid w:val="00901FDE"/>
    <w:rsid w:val="00916920"/>
    <w:rsid w:val="009173EF"/>
    <w:rsid w:val="00930C75"/>
    <w:rsid w:val="00931AFC"/>
    <w:rsid w:val="00932906"/>
    <w:rsid w:val="009464A7"/>
    <w:rsid w:val="00947B9F"/>
    <w:rsid w:val="00961B0B"/>
    <w:rsid w:val="009A1832"/>
    <w:rsid w:val="009B38C3"/>
    <w:rsid w:val="009D32C6"/>
    <w:rsid w:val="009E17BD"/>
    <w:rsid w:val="009E485A"/>
    <w:rsid w:val="009F66A3"/>
    <w:rsid w:val="00A04CEC"/>
    <w:rsid w:val="00A27F92"/>
    <w:rsid w:val="00A32257"/>
    <w:rsid w:val="00A36D20"/>
    <w:rsid w:val="00A45A2B"/>
    <w:rsid w:val="00A55622"/>
    <w:rsid w:val="00A6494A"/>
    <w:rsid w:val="00A67837"/>
    <w:rsid w:val="00A83502"/>
    <w:rsid w:val="00A8382F"/>
    <w:rsid w:val="00A84E6F"/>
    <w:rsid w:val="00A93619"/>
    <w:rsid w:val="00A971B5"/>
    <w:rsid w:val="00AA7A9B"/>
    <w:rsid w:val="00AB5E52"/>
    <w:rsid w:val="00AC0010"/>
    <w:rsid w:val="00AC47C8"/>
    <w:rsid w:val="00AD15B3"/>
    <w:rsid w:val="00AD39A0"/>
    <w:rsid w:val="00AD3A2D"/>
    <w:rsid w:val="00AE2489"/>
    <w:rsid w:val="00AE4B54"/>
    <w:rsid w:val="00AF1322"/>
    <w:rsid w:val="00AF3A1C"/>
    <w:rsid w:val="00AF6E49"/>
    <w:rsid w:val="00B04A67"/>
    <w:rsid w:val="00B0583C"/>
    <w:rsid w:val="00B37358"/>
    <w:rsid w:val="00B40A81"/>
    <w:rsid w:val="00B44910"/>
    <w:rsid w:val="00B72267"/>
    <w:rsid w:val="00B76EB6"/>
    <w:rsid w:val="00B7737B"/>
    <w:rsid w:val="00B824C8"/>
    <w:rsid w:val="00BC251A"/>
    <w:rsid w:val="00BD032B"/>
    <w:rsid w:val="00BE2640"/>
    <w:rsid w:val="00BF1357"/>
    <w:rsid w:val="00C01189"/>
    <w:rsid w:val="00C301F6"/>
    <w:rsid w:val="00C374DE"/>
    <w:rsid w:val="00C440E3"/>
    <w:rsid w:val="00C47AD4"/>
    <w:rsid w:val="00C52D81"/>
    <w:rsid w:val="00C55198"/>
    <w:rsid w:val="00C622A7"/>
    <w:rsid w:val="00C6380E"/>
    <w:rsid w:val="00C654D2"/>
    <w:rsid w:val="00C95DD1"/>
    <w:rsid w:val="00CA6393"/>
    <w:rsid w:val="00CA7AE8"/>
    <w:rsid w:val="00CB18FF"/>
    <w:rsid w:val="00CD0C08"/>
    <w:rsid w:val="00CE03FB"/>
    <w:rsid w:val="00CE433C"/>
    <w:rsid w:val="00CF134B"/>
    <w:rsid w:val="00CF33F3"/>
    <w:rsid w:val="00CF5A9F"/>
    <w:rsid w:val="00D06183"/>
    <w:rsid w:val="00D13675"/>
    <w:rsid w:val="00D22C42"/>
    <w:rsid w:val="00D338E0"/>
    <w:rsid w:val="00D65041"/>
    <w:rsid w:val="00D8774A"/>
    <w:rsid w:val="00D97B1B"/>
    <w:rsid w:val="00DA6F9F"/>
    <w:rsid w:val="00DB384B"/>
    <w:rsid w:val="00DC2AE2"/>
    <w:rsid w:val="00DE0819"/>
    <w:rsid w:val="00DE478E"/>
    <w:rsid w:val="00E10E80"/>
    <w:rsid w:val="00E124F0"/>
    <w:rsid w:val="00E323BB"/>
    <w:rsid w:val="00E60F04"/>
    <w:rsid w:val="00E62C54"/>
    <w:rsid w:val="00E766FB"/>
    <w:rsid w:val="00E83B99"/>
    <w:rsid w:val="00E854E4"/>
    <w:rsid w:val="00EA2120"/>
    <w:rsid w:val="00EB0D6F"/>
    <w:rsid w:val="00EB2232"/>
    <w:rsid w:val="00EC5337"/>
    <w:rsid w:val="00ED38D8"/>
    <w:rsid w:val="00EF519E"/>
    <w:rsid w:val="00F065A7"/>
    <w:rsid w:val="00F2150A"/>
    <w:rsid w:val="00F231D8"/>
    <w:rsid w:val="00F46C5F"/>
    <w:rsid w:val="00F56668"/>
    <w:rsid w:val="00F631A5"/>
    <w:rsid w:val="00F9357A"/>
    <w:rsid w:val="00F94A63"/>
    <w:rsid w:val="00FA1C28"/>
    <w:rsid w:val="00FA1DEB"/>
    <w:rsid w:val="00FB1279"/>
    <w:rsid w:val="00FB3A73"/>
    <w:rsid w:val="00FB7596"/>
    <w:rsid w:val="00FB775D"/>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04E449"/>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uiPriority w:val="99"/>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NoSpacing">
    <w:name w:val="No Spacing"/>
    <w:uiPriority w:val="1"/>
    <w:qFormat/>
    <w:rsid w:val="00CF5A9F"/>
    <w:rPr>
      <w:rFonts w:asciiTheme="minorHAnsi" w:eastAsiaTheme="minorHAnsi" w:hAnsiTheme="minorHAnsi" w:cstheme="minorBidi"/>
      <w:sz w:val="22"/>
      <w:szCs w:val="22"/>
      <w:lang w:eastAsia="en-US"/>
    </w:rPr>
  </w:style>
  <w:style w:type="paragraph" w:customStyle="1" w:styleId="Default">
    <w:name w:val="Default"/>
    <w:rsid w:val="00CF134B"/>
    <w:pPr>
      <w:autoSpaceDE w:val="0"/>
      <w:autoSpaceDN w:val="0"/>
      <w:adjustRightInd w:val="0"/>
    </w:pPr>
    <w:rPr>
      <w:rFonts w:ascii="Calibri" w:eastAsiaTheme="minorHAnsi" w:hAnsi="Calibri" w:cs="Calibri"/>
      <w:color w:val="000000"/>
      <w:sz w:val="24"/>
      <w:szCs w:val="24"/>
      <w:lang w:eastAsia="en-US"/>
    </w:rPr>
  </w:style>
  <w:style w:type="character" w:customStyle="1" w:styleId="FootnoteTextChar">
    <w:name w:val="Footnote Text Char"/>
    <w:basedOn w:val="DefaultParagraphFont"/>
    <w:link w:val="FootnoteText"/>
    <w:uiPriority w:val="99"/>
    <w:rsid w:val="00CF134B"/>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6848DD"/>
    <w:rPr>
      <w:color w:val="605E5C"/>
      <w:shd w:val="clear" w:color="auto" w:fill="E1DFDD"/>
    </w:rPr>
  </w:style>
  <w:style w:type="paragraph" w:styleId="ListParagraph">
    <w:name w:val="List Paragraph"/>
    <w:aliases w:val="List Paragraph (numbered (a)),WB Para,List Paragraph1,Bullets,Lapis Bulleted List,Dot pt,F5 List Paragraph,No Spacing1,List Paragraph Char Char Char,Indicator Text,Numbered Para 1,Bullet 1,List Paragraph12,Bullet Points,MAIN CONTENT,L"/>
    <w:basedOn w:val="Normal"/>
    <w:link w:val="ListParagraphChar"/>
    <w:uiPriority w:val="34"/>
    <w:qFormat/>
    <w:rsid w:val="009464A7"/>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EastAsia" w:hAnsiTheme="minorHAnsi" w:cstheme="minorBidi"/>
      <w:sz w:val="22"/>
      <w:szCs w:val="22"/>
      <w:lang w:val="en-US" w:eastAsia="zh-CN"/>
    </w:rPr>
  </w:style>
  <w:style w:type="character" w:styleId="Strong">
    <w:name w:val="Strong"/>
    <w:basedOn w:val="DefaultParagraphFont"/>
    <w:uiPriority w:val="22"/>
    <w:qFormat/>
    <w:rsid w:val="009464A7"/>
    <w:rPr>
      <w:b/>
      <w:bCs/>
    </w:rPr>
  </w:style>
  <w:style w:type="character" w:customStyle="1" w:styleId="ListParagraphChar">
    <w:name w:val="List Paragraph Char"/>
    <w:aliases w:val="List Paragraph (numbered (a)) Char,WB Para Char,List Paragraph1 Char,Bullets Char,Lapis Bulleted List Char,Dot pt Char,F5 List Paragraph Char,No Spacing1 Char,List Paragraph Char Char Char Char,Indicator Text Char,Bullet 1 Char"/>
    <w:basedOn w:val="DefaultParagraphFont"/>
    <w:link w:val="ListParagraph"/>
    <w:uiPriority w:val="34"/>
    <w:locked/>
    <w:rsid w:val="00662C0B"/>
    <w:rPr>
      <w:rFonts w:asciiTheme="minorHAnsi" w:eastAsiaTheme="minorEastAsia" w:hAnsiTheme="minorHAnsi" w:cstheme="minorBidi"/>
      <w:sz w:val="22"/>
      <w:szCs w:val="22"/>
    </w:rPr>
  </w:style>
  <w:style w:type="table" w:styleId="TableGrid">
    <w:name w:val="Table Grid"/>
    <w:basedOn w:val="TableNormal"/>
    <w:uiPriority w:val="59"/>
    <w:rsid w:val="00A45A2B"/>
    <w:rPr>
      <w:rFonts w:ascii="Times New Roman" w:eastAsiaTheme="minorEastAsia"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7A9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Theme="minorHAnsi" w:cs="Calibri"/>
      <w:sz w:val="22"/>
      <w:szCs w:val="22"/>
      <w:lang w:val="en-US"/>
    </w:rPr>
  </w:style>
  <w:style w:type="character" w:styleId="UnresolvedMention">
    <w:name w:val="Unresolved Mention"/>
    <w:basedOn w:val="DefaultParagraphFont"/>
    <w:uiPriority w:val="99"/>
    <w:semiHidden/>
    <w:unhideWhenUsed/>
    <w:rsid w:val="00DE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2838">
      <w:bodyDiv w:val="1"/>
      <w:marLeft w:val="0"/>
      <w:marRight w:val="0"/>
      <w:marTop w:val="0"/>
      <w:marBottom w:val="0"/>
      <w:divBdr>
        <w:top w:val="none" w:sz="0" w:space="0" w:color="auto"/>
        <w:left w:val="none" w:sz="0" w:space="0" w:color="auto"/>
        <w:bottom w:val="none" w:sz="0" w:space="0" w:color="auto"/>
        <w:right w:val="none" w:sz="0" w:space="0" w:color="auto"/>
      </w:divBdr>
    </w:div>
    <w:div w:id="50628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lplineITU@proton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0-CL-C-0059/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8-CL-C-0052/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md/S17-CL-C-0050/en" TargetMode="External"/><Relationship Id="rId4" Type="http://schemas.openxmlformats.org/officeDocument/2006/relationships/settings" Target="settings.xml"/><Relationship Id="rId9" Type="http://schemas.openxmlformats.org/officeDocument/2006/relationships/hyperlink" Target="https://www.itu.int/md/S17-CL-C-0120/en" TargetMode="External"/><Relationship Id="rId14" Type="http://schemas.openxmlformats.org/officeDocument/2006/relationships/hyperlink" Target="https://www.itu.int/md/S21-CL-C-0066/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B3087-1D7E-4719-BA8D-FEF40B57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2034</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Report from the Ethic Officer</vt:lpstr>
    </vt:vector>
  </TitlesOfParts>
  <Manager>General Secretariat - Pool</Manager>
  <Company>International Telecommunication Union (ITU)</Company>
  <LinksUpToDate>false</LinksUpToDate>
  <CharactersWithSpaces>13842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Ethic Officer</dc:title>
  <dc:subject>Council 2021, Virtual consultation of councillors</dc:subject>
  <dc:creator>Brouard, Ricarda</dc:creator>
  <cp:keywords>C2021, C21, VCC</cp:keywords>
  <dc:description/>
  <cp:lastModifiedBy>Brouard, Ricarda</cp:lastModifiedBy>
  <cp:revision>4</cp:revision>
  <cp:lastPrinted>2000-07-18T13:30:00Z</cp:lastPrinted>
  <dcterms:created xsi:type="dcterms:W3CDTF">2021-03-04T08:31:00Z</dcterms:created>
  <dcterms:modified xsi:type="dcterms:W3CDTF">2021-03-12T08:35:00Z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