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52AC4" w:rsidRPr="00884C3A" w14:paraId="491B442D" w14:textId="77777777" w:rsidTr="00464B6C">
        <w:trPr>
          <w:cantSplit/>
        </w:trPr>
        <w:tc>
          <w:tcPr>
            <w:tcW w:w="6911" w:type="dxa"/>
          </w:tcPr>
          <w:p w14:paraId="0872400B" w14:textId="4CC71654" w:rsidR="00E52AC4" w:rsidRPr="00884C3A" w:rsidRDefault="00E52AC4" w:rsidP="00D76925">
            <w:pPr>
              <w:spacing w:before="360" w:after="48" w:line="240" w:lineRule="atLeast"/>
              <w:rPr>
                <w:position w:val="6"/>
              </w:rPr>
            </w:pPr>
            <w:r>
              <w:rPr>
                <w:b/>
                <w:bCs/>
                <w:position w:val="6"/>
                <w:sz w:val="30"/>
                <w:szCs w:val="30"/>
              </w:rPr>
              <w:t>Consejo</w:t>
            </w:r>
            <w:r w:rsidRPr="00884C3A">
              <w:rPr>
                <w:b/>
                <w:bCs/>
                <w:position w:val="6"/>
                <w:sz w:val="30"/>
                <w:szCs w:val="30"/>
              </w:rPr>
              <w:t xml:space="preserve"> 202</w:t>
            </w:r>
            <w:r w:rsidR="00641060">
              <w:rPr>
                <w:b/>
                <w:bCs/>
                <w:position w:val="6"/>
                <w:sz w:val="30"/>
                <w:szCs w:val="30"/>
              </w:rPr>
              <w:t>1</w:t>
            </w:r>
            <w:r w:rsidRPr="00884C3A">
              <w:rPr>
                <w:rFonts w:cs="Times"/>
                <w:b/>
                <w:position w:val="6"/>
                <w:sz w:val="26"/>
                <w:szCs w:val="26"/>
              </w:rPr>
              <w:br/>
            </w:r>
            <w:r w:rsidR="00641060">
              <w:rPr>
                <w:b/>
                <w:bCs/>
                <w:position w:val="6"/>
                <w:szCs w:val="24"/>
              </w:rPr>
              <w:t>Consulta virtual de consejeros, 8-18 de junio de 2021</w:t>
            </w:r>
          </w:p>
        </w:tc>
        <w:tc>
          <w:tcPr>
            <w:tcW w:w="3120" w:type="dxa"/>
          </w:tcPr>
          <w:p w14:paraId="220F8984" w14:textId="77777777" w:rsidR="00E52AC4" w:rsidRPr="00884C3A" w:rsidRDefault="00E52AC4" w:rsidP="00D76925">
            <w:pPr>
              <w:spacing w:before="0" w:line="240" w:lineRule="atLeast"/>
            </w:pPr>
            <w:bookmarkStart w:id="0" w:name="ditulogo"/>
            <w:bookmarkEnd w:id="0"/>
            <w:r w:rsidRPr="00884C3A">
              <w:rPr>
                <w:noProof/>
                <w:lang w:eastAsia="zh-CN"/>
              </w:rPr>
              <w:drawing>
                <wp:inline distT="0" distB="0" distL="0" distR="0" wp14:anchorId="6B586BA9" wp14:editId="3A2714B3">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E52AC4" w:rsidRPr="00884C3A" w14:paraId="759D17E2" w14:textId="77777777" w:rsidTr="00464B6C">
        <w:trPr>
          <w:cantSplit/>
        </w:trPr>
        <w:tc>
          <w:tcPr>
            <w:tcW w:w="6911" w:type="dxa"/>
            <w:tcBorders>
              <w:bottom w:val="single" w:sz="12" w:space="0" w:color="auto"/>
            </w:tcBorders>
          </w:tcPr>
          <w:p w14:paraId="3613472B" w14:textId="77777777" w:rsidR="00E52AC4" w:rsidRPr="00884C3A" w:rsidRDefault="00E52AC4" w:rsidP="00464B6C">
            <w:pPr>
              <w:spacing w:before="0" w:after="48" w:line="240" w:lineRule="atLeast"/>
              <w:rPr>
                <w:b/>
                <w:smallCaps/>
                <w:szCs w:val="24"/>
              </w:rPr>
            </w:pPr>
          </w:p>
        </w:tc>
        <w:tc>
          <w:tcPr>
            <w:tcW w:w="3120" w:type="dxa"/>
            <w:tcBorders>
              <w:bottom w:val="single" w:sz="12" w:space="0" w:color="auto"/>
            </w:tcBorders>
          </w:tcPr>
          <w:p w14:paraId="1C9E07C7" w14:textId="77777777" w:rsidR="00E52AC4" w:rsidRPr="00884C3A" w:rsidRDefault="00E52AC4" w:rsidP="00464B6C">
            <w:pPr>
              <w:spacing w:before="0" w:line="240" w:lineRule="atLeast"/>
              <w:rPr>
                <w:szCs w:val="24"/>
              </w:rPr>
            </w:pPr>
          </w:p>
        </w:tc>
      </w:tr>
      <w:tr w:rsidR="00E52AC4" w:rsidRPr="00884C3A" w14:paraId="1F0C1A95" w14:textId="77777777" w:rsidTr="00464B6C">
        <w:trPr>
          <w:cantSplit/>
        </w:trPr>
        <w:tc>
          <w:tcPr>
            <w:tcW w:w="6911" w:type="dxa"/>
            <w:tcBorders>
              <w:top w:val="single" w:sz="12" w:space="0" w:color="auto"/>
            </w:tcBorders>
          </w:tcPr>
          <w:p w14:paraId="26AA3AF4" w14:textId="77777777" w:rsidR="00E52AC4" w:rsidRPr="00884C3A" w:rsidRDefault="00E52AC4" w:rsidP="00464B6C">
            <w:pPr>
              <w:spacing w:before="0" w:after="48" w:line="240" w:lineRule="atLeast"/>
              <w:rPr>
                <w:b/>
                <w:smallCaps/>
                <w:szCs w:val="24"/>
              </w:rPr>
            </w:pPr>
          </w:p>
        </w:tc>
        <w:tc>
          <w:tcPr>
            <w:tcW w:w="3120" w:type="dxa"/>
            <w:tcBorders>
              <w:top w:val="single" w:sz="12" w:space="0" w:color="auto"/>
            </w:tcBorders>
          </w:tcPr>
          <w:p w14:paraId="6BA4743C" w14:textId="77777777" w:rsidR="00E52AC4" w:rsidRPr="00884C3A" w:rsidRDefault="00E52AC4" w:rsidP="00464B6C">
            <w:pPr>
              <w:spacing w:before="0" w:line="240" w:lineRule="atLeast"/>
              <w:rPr>
                <w:szCs w:val="24"/>
              </w:rPr>
            </w:pPr>
          </w:p>
        </w:tc>
      </w:tr>
      <w:tr w:rsidR="00E52AC4" w:rsidRPr="00884C3A" w14:paraId="2B76E187" w14:textId="77777777" w:rsidTr="00464B6C">
        <w:trPr>
          <w:cantSplit/>
          <w:trHeight w:val="23"/>
        </w:trPr>
        <w:tc>
          <w:tcPr>
            <w:tcW w:w="6911" w:type="dxa"/>
            <w:vMerge w:val="restart"/>
          </w:tcPr>
          <w:p w14:paraId="2E64987A" w14:textId="77777777" w:rsidR="00E52AC4" w:rsidRPr="00884C3A" w:rsidRDefault="00E52AC4" w:rsidP="00464B6C">
            <w:pPr>
              <w:tabs>
                <w:tab w:val="left" w:pos="851"/>
              </w:tabs>
              <w:spacing w:line="240" w:lineRule="atLeast"/>
              <w:rPr>
                <w:b/>
              </w:rPr>
            </w:pPr>
            <w:bookmarkStart w:id="1" w:name="dmeeting" w:colFirst="0" w:colLast="0"/>
            <w:bookmarkStart w:id="2" w:name="dnum" w:colFirst="1" w:colLast="1"/>
            <w:r>
              <w:rPr>
                <w:b/>
              </w:rPr>
              <w:t>Punto del orden del día</w:t>
            </w:r>
            <w:r w:rsidRPr="00884C3A">
              <w:rPr>
                <w:b/>
              </w:rPr>
              <w:t>: ADM 8</w:t>
            </w:r>
          </w:p>
        </w:tc>
        <w:tc>
          <w:tcPr>
            <w:tcW w:w="3120" w:type="dxa"/>
          </w:tcPr>
          <w:p w14:paraId="643A4BB2" w14:textId="6689761C" w:rsidR="00E52AC4" w:rsidRPr="00884C3A" w:rsidRDefault="00E52AC4" w:rsidP="00D76925">
            <w:pPr>
              <w:tabs>
                <w:tab w:val="left" w:pos="851"/>
              </w:tabs>
              <w:spacing w:before="0" w:line="240" w:lineRule="atLeast"/>
              <w:rPr>
                <w:b/>
              </w:rPr>
            </w:pPr>
            <w:r w:rsidRPr="00884C3A">
              <w:rPr>
                <w:b/>
              </w:rPr>
              <w:t>Documento C2</w:t>
            </w:r>
            <w:r w:rsidR="00641060">
              <w:rPr>
                <w:b/>
              </w:rPr>
              <w:t>1</w:t>
            </w:r>
            <w:r w:rsidRPr="00884C3A">
              <w:rPr>
                <w:b/>
              </w:rPr>
              <w:t>/58-</w:t>
            </w:r>
            <w:r>
              <w:rPr>
                <w:b/>
              </w:rPr>
              <w:t>S</w:t>
            </w:r>
          </w:p>
        </w:tc>
      </w:tr>
      <w:tr w:rsidR="00E52AC4" w:rsidRPr="00884C3A" w14:paraId="209C0AF5" w14:textId="77777777" w:rsidTr="00464B6C">
        <w:trPr>
          <w:cantSplit/>
          <w:trHeight w:val="23"/>
        </w:trPr>
        <w:tc>
          <w:tcPr>
            <w:tcW w:w="6911" w:type="dxa"/>
            <w:vMerge/>
          </w:tcPr>
          <w:p w14:paraId="0AB6C72C" w14:textId="77777777" w:rsidR="00E52AC4" w:rsidRPr="00884C3A" w:rsidRDefault="00E52AC4" w:rsidP="00464B6C">
            <w:pPr>
              <w:tabs>
                <w:tab w:val="left" w:pos="851"/>
              </w:tabs>
              <w:spacing w:line="240" w:lineRule="atLeast"/>
              <w:rPr>
                <w:b/>
              </w:rPr>
            </w:pPr>
            <w:bookmarkStart w:id="3" w:name="ddate" w:colFirst="1" w:colLast="1"/>
            <w:bookmarkEnd w:id="1"/>
            <w:bookmarkEnd w:id="2"/>
          </w:p>
        </w:tc>
        <w:tc>
          <w:tcPr>
            <w:tcW w:w="3120" w:type="dxa"/>
          </w:tcPr>
          <w:p w14:paraId="21038F45" w14:textId="699733D8" w:rsidR="00E52AC4" w:rsidRPr="00884C3A" w:rsidRDefault="00641060" w:rsidP="00FB1279">
            <w:pPr>
              <w:tabs>
                <w:tab w:val="left" w:pos="993"/>
              </w:tabs>
              <w:spacing w:before="0"/>
              <w:rPr>
                <w:b/>
              </w:rPr>
            </w:pPr>
            <w:r>
              <w:rPr>
                <w:b/>
              </w:rPr>
              <w:t>22</w:t>
            </w:r>
            <w:r w:rsidR="00E52AC4" w:rsidRPr="00884C3A">
              <w:rPr>
                <w:b/>
              </w:rPr>
              <w:t xml:space="preserve"> </w:t>
            </w:r>
            <w:r w:rsidR="00E52AC4">
              <w:rPr>
                <w:b/>
              </w:rPr>
              <w:t xml:space="preserve">de </w:t>
            </w:r>
            <w:r>
              <w:rPr>
                <w:b/>
              </w:rPr>
              <w:t>febrero</w:t>
            </w:r>
            <w:r w:rsidR="00E52AC4">
              <w:rPr>
                <w:b/>
              </w:rPr>
              <w:t xml:space="preserve"> de</w:t>
            </w:r>
            <w:r w:rsidR="00E52AC4" w:rsidRPr="00884C3A">
              <w:rPr>
                <w:b/>
              </w:rPr>
              <w:t xml:space="preserve"> 202</w:t>
            </w:r>
            <w:r>
              <w:rPr>
                <w:b/>
              </w:rPr>
              <w:t>1</w:t>
            </w:r>
          </w:p>
        </w:tc>
      </w:tr>
      <w:tr w:rsidR="00E52AC4" w:rsidRPr="00884C3A" w14:paraId="233ADB9D" w14:textId="77777777" w:rsidTr="00464B6C">
        <w:trPr>
          <w:cantSplit/>
          <w:trHeight w:val="23"/>
        </w:trPr>
        <w:tc>
          <w:tcPr>
            <w:tcW w:w="6911" w:type="dxa"/>
            <w:vMerge/>
          </w:tcPr>
          <w:p w14:paraId="1D5D1805" w14:textId="77777777" w:rsidR="00E52AC4" w:rsidRPr="00884C3A" w:rsidRDefault="00E52AC4" w:rsidP="00464B6C">
            <w:pPr>
              <w:tabs>
                <w:tab w:val="left" w:pos="851"/>
              </w:tabs>
              <w:spacing w:line="240" w:lineRule="atLeast"/>
              <w:rPr>
                <w:b/>
              </w:rPr>
            </w:pPr>
            <w:bookmarkStart w:id="4" w:name="dorlang" w:colFirst="1" w:colLast="1"/>
            <w:bookmarkEnd w:id="3"/>
          </w:p>
        </w:tc>
        <w:tc>
          <w:tcPr>
            <w:tcW w:w="3120" w:type="dxa"/>
          </w:tcPr>
          <w:p w14:paraId="176F4871" w14:textId="77777777" w:rsidR="00E52AC4" w:rsidRPr="00884C3A" w:rsidRDefault="00E52AC4" w:rsidP="00464B6C">
            <w:pPr>
              <w:tabs>
                <w:tab w:val="left" w:pos="993"/>
              </w:tabs>
              <w:spacing w:before="0"/>
              <w:rPr>
                <w:b/>
              </w:rPr>
            </w:pPr>
            <w:r w:rsidRPr="00884C3A">
              <w:rPr>
                <w:b/>
              </w:rPr>
              <w:t xml:space="preserve">Original: </w:t>
            </w:r>
            <w:r>
              <w:rPr>
                <w:b/>
              </w:rPr>
              <w:t>inglés</w:t>
            </w:r>
          </w:p>
        </w:tc>
      </w:tr>
      <w:tr w:rsidR="00E52AC4" w:rsidRPr="00884C3A" w14:paraId="5AF28AF1" w14:textId="77777777" w:rsidTr="00464B6C">
        <w:trPr>
          <w:cantSplit/>
        </w:trPr>
        <w:tc>
          <w:tcPr>
            <w:tcW w:w="10031" w:type="dxa"/>
            <w:gridSpan w:val="2"/>
          </w:tcPr>
          <w:p w14:paraId="2407D13B" w14:textId="545BA202" w:rsidR="00E52AC4" w:rsidRPr="00884C3A" w:rsidRDefault="00E52AC4" w:rsidP="00464B6C">
            <w:pPr>
              <w:pStyle w:val="Source"/>
            </w:pPr>
            <w:bookmarkStart w:id="5" w:name="dsource" w:colFirst="0" w:colLast="0"/>
            <w:bookmarkEnd w:id="4"/>
            <w:r>
              <w:t>Informe del Secretario General</w:t>
            </w:r>
          </w:p>
        </w:tc>
      </w:tr>
      <w:tr w:rsidR="00E52AC4" w:rsidRPr="00884C3A" w14:paraId="2E6FC80C" w14:textId="77777777" w:rsidTr="00464B6C">
        <w:trPr>
          <w:cantSplit/>
        </w:trPr>
        <w:tc>
          <w:tcPr>
            <w:tcW w:w="10031" w:type="dxa"/>
            <w:gridSpan w:val="2"/>
          </w:tcPr>
          <w:p w14:paraId="25C91678" w14:textId="22A3B1A7" w:rsidR="00E52AC4" w:rsidRPr="00884C3A" w:rsidRDefault="00E52AC4" w:rsidP="00464B6C">
            <w:pPr>
              <w:pStyle w:val="Title1"/>
            </w:pPr>
            <w:bookmarkStart w:id="6" w:name="dtitle1" w:colFirst="0" w:colLast="0"/>
            <w:bookmarkEnd w:id="5"/>
            <w:r>
              <w:t>recopilación de decisiones reflejadas en las actas de la pp-18</w:t>
            </w:r>
          </w:p>
        </w:tc>
      </w:tr>
      <w:bookmarkEnd w:id="6"/>
    </w:tbl>
    <w:p w14:paraId="115A2EA8" w14:textId="77777777" w:rsidR="00E52AC4" w:rsidRPr="00884C3A" w:rsidRDefault="00E52AC4"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52AC4" w:rsidRPr="00884C3A" w14:paraId="55C6119D"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BBCA2A5" w14:textId="77777777" w:rsidR="00E52AC4" w:rsidRPr="00884C3A" w:rsidRDefault="00E52AC4" w:rsidP="00464B6C">
            <w:pPr>
              <w:pStyle w:val="Headingb"/>
            </w:pPr>
            <w:r>
              <w:t>Resumen</w:t>
            </w:r>
          </w:p>
          <w:p w14:paraId="1EB875F3" w14:textId="6BEA9489" w:rsidR="00E52AC4" w:rsidRDefault="00E52AC4" w:rsidP="00890648">
            <w:pPr>
              <w:jc w:val="both"/>
            </w:pPr>
            <w:r>
              <w:t xml:space="preserve">En la reunión de 2019 del Consejo, el Consejo encargó a la </w:t>
            </w:r>
            <w:r w:rsidR="004E06A0">
              <w:t>S</w:t>
            </w:r>
            <w:r>
              <w:t xml:space="preserve">ecretaría que </w:t>
            </w:r>
            <w:r w:rsidRPr="00077DA6">
              <w:t>prepar</w:t>
            </w:r>
            <w:r>
              <w:t>ara</w:t>
            </w:r>
            <w:r w:rsidRPr="00077DA6">
              <w:t xml:space="preserve"> una recopilación de las decisiones adoptadas por la PP-18 que figur</w:t>
            </w:r>
            <w:r>
              <w:t>ab</w:t>
            </w:r>
            <w:r w:rsidRPr="00077DA6">
              <w:t xml:space="preserve">an en </w:t>
            </w:r>
            <w:r>
              <w:t>las actas</w:t>
            </w:r>
            <w:r w:rsidRPr="00077DA6">
              <w:t xml:space="preserve"> de sus sesiones plenarias, en particular las decisiones basadas en las recomendaciones de las Comisiones y los Grupos de Trabajo de la </w:t>
            </w:r>
            <w:r w:rsidRPr="00077DA6">
              <w:t xml:space="preserve">Plenaria. </w:t>
            </w:r>
          </w:p>
          <w:p w14:paraId="21514FA5" w14:textId="349EA031" w:rsidR="00641060" w:rsidRPr="00884C3A" w:rsidRDefault="00641060" w:rsidP="00890648">
            <w:pPr>
              <w:jc w:val="both"/>
            </w:pPr>
            <w:r w:rsidRPr="00641060">
              <w:t>Este documento se preparó originalmente como C20/58 para su presentación a la reunión de 2020 del Consejo, pero no fue examinado.</w:t>
            </w:r>
          </w:p>
          <w:p w14:paraId="2591B53C" w14:textId="77777777" w:rsidR="00E52AC4" w:rsidRPr="00884C3A" w:rsidRDefault="00E52AC4" w:rsidP="00464B6C">
            <w:pPr>
              <w:pStyle w:val="Headingb"/>
            </w:pPr>
            <w:r w:rsidRPr="00884C3A">
              <w:t>Ac</w:t>
            </w:r>
            <w:r>
              <w:t>ción solicitada</w:t>
            </w:r>
          </w:p>
          <w:p w14:paraId="61E27CFC" w14:textId="2ED7AE1F" w:rsidR="00E52AC4" w:rsidRPr="00884C3A" w:rsidRDefault="00E52AC4" w:rsidP="00464B6C">
            <w:r>
              <w:t xml:space="preserve">Se invita al Consejo a </w:t>
            </w:r>
            <w:r w:rsidRPr="00077DA6">
              <w:rPr>
                <w:b/>
                <w:bCs/>
              </w:rPr>
              <w:t>tomar nota</w:t>
            </w:r>
            <w:r>
              <w:t xml:space="preserve"> del documento.</w:t>
            </w:r>
          </w:p>
          <w:p w14:paraId="48E1C69C" w14:textId="77777777" w:rsidR="00E52AC4" w:rsidRPr="00884C3A" w:rsidRDefault="00E52AC4" w:rsidP="00464B6C">
            <w:pPr>
              <w:pStyle w:val="Table"/>
              <w:keepNext w:val="0"/>
              <w:spacing w:before="0" w:after="0"/>
              <w:rPr>
                <w:caps w:val="0"/>
                <w:sz w:val="22"/>
                <w:lang w:val="es-ES_tradnl"/>
              </w:rPr>
            </w:pPr>
            <w:r w:rsidRPr="00884C3A">
              <w:rPr>
                <w:caps w:val="0"/>
                <w:sz w:val="22"/>
                <w:lang w:val="es-ES_tradnl"/>
              </w:rPr>
              <w:t>____________</w:t>
            </w:r>
          </w:p>
          <w:p w14:paraId="188D1A34" w14:textId="77777777" w:rsidR="00E52AC4" w:rsidRPr="00884C3A" w:rsidRDefault="00E52AC4" w:rsidP="00464B6C">
            <w:pPr>
              <w:pStyle w:val="Headingb"/>
            </w:pPr>
            <w:r w:rsidRPr="00884C3A">
              <w:t>Referenc</w:t>
            </w:r>
            <w:r>
              <w:t>ia</w:t>
            </w:r>
            <w:r w:rsidRPr="00884C3A">
              <w:t>s</w:t>
            </w:r>
          </w:p>
          <w:p w14:paraId="7832F3F6" w14:textId="63102318" w:rsidR="00E52AC4" w:rsidRPr="004A253E" w:rsidRDefault="00E942B1" w:rsidP="00777502">
            <w:pPr>
              <w:spacing w:after="120"/>
              <w:rPr>
                <w:i/>
                <w:iCs/>
              </w:rPr>
            </w:pPr>
            <w:hyperlink r:id="rId8" w:history="1">
              <w:r w:rsidR="00E52AC4" w:rsidRPr="004A253E">
                <w:rPr>
                  <w:rStyle w:val="Hyperlink"/>
                  <w:i/>
                  <w:iCs/>
                </w:rPr>
                <w:t>C19/107</w:t>
              </w:r>
            </w:hyperlink>
            <w:r w:rsidR="00E52AC4" w:rsidRPr="004A253E">
              <w:rPr>
                <w:i/>
                <w:iCs/>
              </w:rPr>
              <w:t xml:space="preserve"> (Rec. 27.9), </w:t>
            </w:r>
            <w:hyperlink r:id="rId9" w:history="1">
              <w:r w:rsidR="00E52AC4" w:rsidRPr="004A253E">
                <w:rPr>
                  <w:rStyle w:val="Hyperlink"/>
                  <w:i/>
                  <w:iCs/>
                </w:rPr>
                <w:t>C19/120</w:t>
              </w:r>
            </w:hyperlink>
            <w:r w:rsidR="00641060" w:rsidRPr="004A253E">
              <w:rPr>
                <w:i/>
                <w:iCs/>
              </w:rPr>
              <w:t xml:space="preserve">, </w:t>
            </w:r>
            <w:hyperlink r:id="rId10" w:history="1">
              <w:r w:rsidR="00641060" w:rsidRPr="004A253E">
                <w:rPr>
                  <w:rStyle w:val="Hyperlink"/>
                  <w:i/>
                  <w:iCs/>
                </w:rPr>
                <w:t>C20/</w:t>
              </w:r>
              <w:r w:rsidR="00641060" w:rsidRPr="004A253E">
                <w:rPr>
                  <w:rStyle w:val="Hyperlink"/>
                  <w:i/>
                  <w:iCs/>
                </w:rPr>
                <w:t>5</w:t>
              </w:r>
              <w:r w:rsidR="00641060" w:rsidRPr="004A253E">
                <w:rPr>
                  <w:rStyle w:val="Hyperlink"/>
                  <w:i/>
                  <w:iCs/>
                </w:rPr>
                <w:t>8</w:t>
              </w:r>
            </w:hyperlink>
          </w:p>
        </w:tc>
      </w:tr>
    </w:tbl>
    <w:p w14:paraId="2A9E8795" w14:textId="77777777" w:rsidR="00E52AC4" w:rsidRPr="00884C3A" w:rsidRDefault="00E52AC4" w:rsidP="00DB384B">
      <w:bookmarkStart w:id="7" w:name="dstart"/>
      <w:bookmarkStart w:id="8" w:name="dbreak"/>
      <w:bookmarkEnd w:id="7"/>
      <w:bookmarkEnd w:id="8"/>
    </w:p>
    <w:p w14:paraId="1EC426EA" w14:textId="43A342B9" w:rsidR="00E52AC4" w:rsidRPr="00884C3A" w:rsidRDefault="00E52AC4" w:rsidP="004E06A0">
      <w:r w:rsidRPr="00884C3A">
        <w:t>1</w:t>
      </w:r>
      <w:r w:rsidRPr="00884C3A">
        <w:tab/>
      </w:r>
      <w:r>
        <w:t xml:space="preserve">En la reunión de 2019 del Consejo, la Plenaria aprobó la recomendación 27.9 de la </w:t>
      </w:r>
      <w:r w:rsidRPr="00077DA6">
        <w:t xml:space="preserve">Comisión Permanente sobre Administración y Gestión </w:t>
      </w:r>
      <w:r>
        <w:t xml:space="preserve">(recogida en el documento </w:t>
      </w:r>
      <w:hyperlink r:id="rId11" w:history="1">
        <w:r w:rsidRPr="00884C3A">
          <w:rPr>
            <w:rStyle w:val="Hyperlink"/>
          </w:rPr>
          <w:t>C19/107</w:t>
        </w:r>
      </w:hyperlink>
      <w:r w:rsidRPr="00884C3A">
        <w:t xml:space="preserve">) </w:t>
      </w:r>
      <w:r>
        <w:t>en los siguientes términos</w:t>
      </w:r>
      <w:r w:rsidRPr="00884C3A">
        <w:t>:</w:t>
      </w:r>
    </w:p>
    <w:p w14:paraId="661592EE" w14:textId="77777777" w:rsidR="00E52AC4" w:rsidRPr="00884C3A" w:rsidRDefault="00E52AC4" w:rsidP="00357642">
      <w:pPr>
        <w:ind w:left="567"/>
        <w:jc w:val="both"/>
        <w:rPr>
          <w:i/>
          <w:iCs/>
        </w:rPr>
      </w:pPr>
      <w:r w:rsidRPr="00077DA6">
        <w:rPr>
          <w:i/>
          <w:iCs/>
        </w:rPr>
        <w:t>La Comisión recomienda al Consejo que tome nota del Documento C19/63(Rev.1) y a la Secretaría que, para una próxima reunión del Consejo, prepare una recopilación de las decisiones adoptadas por la PP-18 que figuran en el resumen de los debates de sus sesiones plenarias, en particular las decisiones basadas en las recomendaciones de las Comisiones y los Grupos de Trabajo de la Plenaria.</w:t>
      </w:r>
    </w:p>
    <w:p w14:paraId="64B2AFF1" w14:textId="4C938690" w:rsidR="00E52AC4" w:rsidRPr="00884C3A" w:rsidRDefault="00E52AC4" w:rsidP="004E06A0">
      <w:r w:rsidRPr="00884C3A">
        <w:t>2</w:t>
      </w:r>
      <w:r w:rsidRPr="00884C3A">
        <w:tab/>
      </w:r>
      <w:r>
        <w:t>En el siguiente cuadro se recogen las decisiones adoptadas por la Plenaria de la PP-18 que no quedaron reflejadas en los textos fundamentales como Resoluciones o Decisiones formales. En el cuadro se indica el acta y el número de párrafo, así como la fuente (por ejemplo</w:t>
      </w:r>
      <w:r w:rsidR="004E06A0">
        <w:t>,</w:t>
      </w:r>
      <w:r>
        <w:t xml:space="preserve"> Comisión 5), así como la decisión adoptada. </w:t>
      </w:r>
    </w:p>
    <w:tbl>
      <w:tblPr>
        <w:tblStyle w:val="TableGrid"/>
        <w:tblW w:w="9923" w:type="dxa"/>
        <w:jc w:val="center"/>
        <w:tblLook w:val="04A0" w:firstRow="1" w:lastRow="0" w:firstColumn="1" w:lastColumn="0" w:noHBand="0" w:noVBand="1"/>
      </w:tblPr>
      <w:tblGrid>
        <w:gridCol w:w="1928"/>
        <w:gridCol w:w="703"/>
        <w:gridCol w:w="1519"/>
        <w:gridCol w:w="5773"/>
      </w:tblGrid>
      <w:tr w:rsidR="00E52AC4" w:rsidRPr="004A253E" w14:paraId="3E478331" w14:textId="77777777" w:rsidTr="00C914D3">
        <w:trPr>
          <w:tblHeader/>
          <w:jc w:val="center"/>
        </w:trPr>
        <w:tc>
          <w:tcPr>
            <w:tcW w:w="1985" w:type="dxa"/>
          </w:tcPr>
          <w:p w14:paraId="4F07D93D" w14:textId="77777777" w:rsidR="00E52AC4" w:rsidRPr="004A253E" w:rsidRDefault="00E52AC4" w:rsidP="004A253E">
            <w:pPr>
              <w:keepNext/>
              <w:keepLines/>
              <w:spacing w:after="120"/>
              <w:rPr>
                <w:rFonts w:asciiTheme="minorHAnsi" w:hAnsiTheme="minorHAnsi" w:cstheme="minorHAnsi"/>
                <w:b/>
                <w:bCs/>
                <w:sz w:val="22"/>
              </w:rPr>
            </w:pPr>
            <w:r w:rsidRPr="004A253E">
              <w:rPr>
                <w:rFonts w:asciiTheme="minorHAnsi" w:hAnsiTheme="minorHAnsi" w:cstheme="minorHAnsi"/>
                <w:b/>
                <w:bCs/>
                <w:sz w:val="22"/>
              </w:rPr>
              <w:lastRenderedPageBreak/>
              <w:t>Acta núm.</w:t>
            </w:r>
          </w:p>
        </w:tc>
        <w:tc>
          <w:tcPr>
            <w:tcW w:w="709" w:type="dxa"/>
          </w:tcPr>
          <w:p w14:paraId="7B25D625" w14:textId="77777777" w:rsidR="00E52AC4" w:rsidRPr="004A253E" w:rsidRDefault="00E52AC4" w:rsidP="004A253E">
            <w:pPr>
              <w:keepNext/>
              <w:keepLines/>
              <w:spacing w:after="120"/>
              <w:rPr>
                <w:rFonts w:asciiTheme="minorHAnsi" w:hAnsiTheme="minorHAnsi" w:cstheme="minorHAnsi"/>
                <w:b/>
                <w:bCs/>
                <w:sz w:val="22"/>
              </w:rPr>
            </w:pPr>
            <w:r w:rsidRPr="004A253E">
              <w:rPr>
                <w:rFonts w:asciiTheme="minorHAnsi" w:hAnsiTheme="minorHAnsi" w:cstheme="minorHAnsi"/>
                <w:b/>
                <w:bCs/>
                <w:sz w:val="22"/>
              </w:rPr>
              <w:t>§</w:t>
            </w:r>
          </w:p>
        </w:tc>
        <w:tc>
          <w:tcPr>
            <w:tcW w:w="1559" w:type="dxa"/>
          </w:tcPr>
          <w:p w14:paraId="7595333D" w14:textId="77777777" w:rsidR="00E52AC4" w:rsidRPr="004A253E" w:rsidRDefault="00E52AC4" w:rsidP="004A253E">
            <w:pPr>
              <w:keepNext/>
              <w:keepLines/>
              <w:spacing w:after="120"/>
              <w:rPr>
                <w:rFonts w:asciiTheme="minorHAnsi" w:hAnsiTheme="minorHAnsi" w:cstheme="minorHAnsi"/>
                <w:b/>
                <w:bCs/>
                <w:sz w:val="22"/>
              </w:rPr>
            </w:pPr>
            <w:r w:rsidRPr="004A253E">
              <w:rPr>
                <w:rFonts w:asciiTheme="minorHAnsi" w:hAnsiTheme="minorHAnsi" w:cstheme="minorHAnsi"/>
                <w:b/>
                <w:bCs/>
                <w:sz w:val="22"/>
              </w:rPr>
              <w:t>Fuente</w:t>
            </w:r>
          </w:p>
        </w:tc>
        <w:tc>
          <w:tcPr>
            <w:tcW w:w="5954" w:type="dxa"/>
          </w:tcPr>
          <w:p w14:paraId="77DB9747" w14:textId="77777777" w:rsidR="00E52AC4" w:rsidRPr="004A253E" w:rsidRDefault="00E52AC4" w:rsidP="004A253E">
            <w:pPr>
              <w:keepNext/>
              <w:keepLines/>
              <w:spacing w:after="120"/>
              <w:rPr>
                <w:rFonts w:asciiTheme="minorHAnsi" w:hAnsiTheme="minorHAnsi" w:cstheme="minorHAnsi"/>
                <w:b/>
                <w:bCs/>
                <w:spacing w:val="-2"/>
                <w:sz w:val="22"/>
              </w:rPr>
            </w:pPr>
            <w:r w:rsidRPr="004A253E">
              <w:rPr>
                <w:rFonts w:asciiTheme="minorHAnsi" w:hAnsiTheme="minorHAnsi" w:cstheme="minorHAnsi"/>
                <w:b/>
                <w:bCs/>
                <w:spacing w:val="-2"/>
                <w:sz w:val="22"/>
              </w:rPr>
              <w:t>Decisión</w:t>
            </w:r>
          </w:p>
        </w:tc>
      </w:tr>
      <w:tr w:rsidR="00E52AC4" w:rsidRPr="004A253E" w14:paraId="74214535" w14:textId="77777777" w:rsidTr="00C914D3">
        <w:trPr>
          <w:jc w:val="center"/>
        </w:trPr>
        <w:tc>
          <w:tcPr>
            <w:tcW w:w="1985" w:type="dxa"/>
          </w:tcPr>
          <w:p w14:paraId="5880C724" w14:textId="53ACCEB7"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 xml:space="preserve">16ª Sesión Plenaria, </w:t>
            </w:r>
            <w:hyperlink r:id="rId12" w:history="1">
              <w:r w:rsidRPr="004A253E">
                <w:rPr>
                  <w:rStyle w:val="Hyperlink"/>
                  <w:rFonts w:asciiTheme="minorHAnsi" w:hAnsiTheme="minorHAnsi" w:cstheme="minorHAnsi"/>
                  <w:sz w:val="22"/>
                </w:rPr>
                <w:t>173</w:t>
              </w:r>
            </w:hyperlink>
          </w:p>
        </w:tc>
        <w:tc>
          <w:tcPr>
            <w:tcW w:w="709" w:type="dxa"/>
          </w:tcPr>
          <w:p w14:paraId="5F648FD6" w14:textId="77777777"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1.3</w:t>
            </w:r>
          </w:p>
        </w:tc>
        <w:tc>
          <w:tcPr>
            <w:tcW w:w="1559" w:type="dxa"/>
          </w:tcPr>
          <w:p w14:paraId="2FEEE3D4" w14:textId="33186816"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Com. 5 (</w:t>
            </w:r>
            <w:hyperlink r:id="rId13" w:history="1">
              <w:r w:rsidRPr="004A253E">
                <w:rPr>
                  <w:rStyle w:val="Hyperlink"/>
                  <w:rFonts w:asciiTheme="minorHAnsi" w:hAnsiTheme="minorHAnsi" w:cstheme="minorHAnsi"/>
                  <w:sz w:val="22"/>
                </w:rPr>
                <w:t>155</w:t>
              </w:r>
            </w:hyperlink>
            <w:r w:rsidRPr="004A253E">
              <w:rPr>
                <w:rFonts w:asciiTheme="minorHAnsi" w:hAnsiTheme="minorHAnsi" w:cstheme="minorHAnsi"/>
                <w:sz w:val="22"/>
              </w:rPr>
              <w:t>), Rec. 1</w:t>
            </w:r>
          </w:p>
        </w:tc>
        <w:tc>
          <w:tcPr>
            <w:tcW w:w="5954" w:type="dxa"/>
          </w:tcPr>
          <w:p w14:paraId="7AA702BF" w14:textId="77777777" w:rsidR="00E52AC4" w:rsidRPr="004A253E" w:rsidRDefault="00E52AC4" w:rsidP="00C73F9F">
            <w:pPr>
              <w:keepNext/>
              <w:keepLines/>
              <w:rPr>
                <w:rFonts w:asciiTheme="minorHAnsi" w:hAnsiTheme="minorHAnsi" w:cstheme="minorHAnsi"/>
                <w:spacing w:val="-2"/>
                <w:sz w:val="22"/>
              </w:rPr>
            </w:pPr>
            <w:r w:rsidRPr="004A253E">
              <w:rPr>
                <w:rFonts w:asciiTheme="minorHAnsi" w:hAnsiTheme="minorHAnsi" w:cstheme="minorHAnsi"/>
                <w:spacing w:val="-2"/>
                <w:sz w:val="22"/>
              </w:rPr>
              <w:t>La Comisión 5 recomienda que la Plenaria apruebe definitivamente la celebración del acuerdo de cooperación entre la INTERPOL y la UIT de conformidad con el número 58 de la Constitución. Recomienda asimismo que se encargue a la Secretaría General que lo notifique sin demora a las autoridades competentes de la INTERPOL.</w:t>
            </w:r>
          </w:p>
        </w:tc>
      </w:tr>
      <w:tr w:rsidR="00E52AC4" w:rsidRPr="004A253E" w14:paraId="36EEDAD2" w14:textId="77777777" w:rsidTr="00C914D3">
        <w:trPr>
          <w:jc w:val="center"/>
        </w:trPr>
        <w:tc>
          <w:tcPr>
            <w:tcW w:w="1985" w:type="dxa"/>
          </w:tcPr>
          <w:p w14:paraId="3B68EAC8" w14:textId="067DC2AB" w:rsidR="00E52AC4" w:rsidRPr="004A253E" w:rsidRDefault="00E52AC4" w:rsidP="008F0579">
            <w:pPr>
              <w:rPr>
                <w:rFonts w:asciiTheme="minorHAnsi" w:hAnsiTheme="minorHAnsi" w:cstheme="minorHAnsi"/>
                <w:sz w:val="22"/>
              </w:rPr>
            </w:pPr>
            <w:r w:rsidRPr="004A253E">
              <w:rPr>
                <w:rFonts w:asciiTheme="minorHAnsi" w:hAnsiTheme="minorHAnsi" w:cstheme="minorHAnsi"/>
                <w:sz w:val="22"/>
              </w:rPr>
              <w:t xml:space="preserve">16ª Sesión Plenaria, </w:t>
            </w:r>
            <w:hyperlink r:id="rId14" w:history="1">
              <w:r w:rsidRPr="004A253E">
                <w:rPr>
                  <w:rStyle w:val="Hyperlink"/>
                  <w:rFonts w:asciiTheme="minorHAnsi" w:hAnsiTheme="minorHAnsi" w:cstheme="minorHAnsi"/>
                  <w:sz w:val="22"/>
                </w:rPr>
                <w:t>173</w:t>
              </w:r>
            </w:hyperlink>
          </w:p>
        </w:tc>
        <w:tc>
          <w:tcPr>
            <w:tcW w:w="709" w:type="dxa"/>
          </w:tcPr>
          <w:p w14:paraId="4303BD1E" w14:textId="77777777" w:rsidR="00E52AC4" w:rsidRPr="004A253E" w:rsidRDefault="00E52AC4" w:rsidP="00FA7632">
            <w:pPr>
              <w:rPr>
                <w:rFonts w:asciiTheme="minorHAnsi" w:hAnsiTheme="minorHAnsi" w:cstheme="minorHAnsi"/>
                <w:sz w:val="22"/>
              </w:rPr>
            </w:pPr>
            <w:r w:rsidRPr="004A253E">
              <w:rPr>
                <w:rFonts w:asciiTheme="minorHAnsi" w:hAnsiTheme="minorHAnsi" w:cstheme="minorHAnsi"/>
                <w:sz w:val="22"/>
              </w:rPr>
              <w:t>1.3</w:t>
            </w:r>
          </w:p>
        </w:tc>
        <w:tc>
          <w:tcPr>
            <w:tcW w:w="1559" w:type="dxa"/>
          </w:tcPr>
          <w:p w14:paraId="017B062A" w14:textId="66401432" w:rsidR="00E52AC4" w:rsidRPr="004A253E" w:rsidRDefault="00E52AC4" w:rsidP="00FA7632">
            <w:pPr>
              <w:rPr>
                <w:rFonts w:asciiTheme="minorHAnsi" w:hAnsiTheme="minorHAnsi" w:cstheme="minorHAnsi"/>
                <w:sz w:val="22"/>
              </w:rPr>
            </w:pPr>
            <w:r w:rsidRPr="004A253E">
              <w:rPr>
                <w:rFonts w:asciiTheme="minorHAnsi" w:hAnsiTheme="minorHAnsi" w:cstheme="minorHAnsi"/>
                <w:sz w:val="22"/>
              </w:rPr>
              <w:t>Com. 5 (</w:t>
            </w:r>
            <w:hyperlink r:id="rId15" w:history="1">
              <w:r w:rsidRPr="004A253E">
                <w:rPr>
                  <w:rStyle w:val="Hyperlink"/>
                  <w:rFonts w:asciiTheme="minorHAnsi" w:hAnsiTheme="minorHAnsi" w:cstheme="minorHAnsi"/>
                  <w:sz w:val="22"/>
                </w:rPr>
                <w:t>155</w:t>
              </w:r>
            </w:hyperlink>
            <w:r w:rsidRPr="004A253E">
              <w:rPr>
                <w:rFonts w:asciiTheme="minorHAnsi" w:hAnsiTheme="minorHAnsi" w:cstheme="minorHAnsi"/>
                <w:sz w:val="22"/>
              </w:rPr>
              <w:t>), Rec. 2</w:t>
            </w:r>
          </w:p>
        </w:tc>
        <w:tc>
          <w:tcPr>
            <w:tcW w:w="5954" w:type="dxa"/>
          </w:tcPr>
          <w:p w14:paraId="67A819B3" w14:textId="77777777" w:rsidR="00E52AC4" w:rsidRPr="004A253E" w:rsidRDefault="00E52AC4" w:rsidP="00FA7632">
            <w:pPr>
              <w:rPr>
                <w:rFonts w:asciiTheme="minorHAnsi" w:hAnsiTheme="minorHAnsi" w:cstheme="minorHAnsi"/>
                <w:spacing w:val="-2"/>
                <w:sz w:val="22"/>
              </w:rPr>
            </w:pPr>
            <w:r w:rsidRPr="004A253E">
              <w:rPr>
                <w:rFonts w:asciiTheme="minorHAnsi" w:hAnsiTheme="minorHAnsi" w:cstheme="minorHAnsi"/>
                <w:spacing w:val="-2"/>
                <w:sz w:val="22"/>
              </w:rPr>
              <w:t>La Comisión 5 recomienda a la Plenaria que apruebe la Política de Acceso a los Documentos anexa al Documento C18/58 (presentada a la Conferencia como Documento 30) con las aclaraciones que figuran en la propuesta ARB/72A1/39.</w:t>
            </w:r>
          </w:p>
        </w:tc>
      </w:tr>
      <w:tr w:rsidR="00E52AC4" w:rsidRPr="004A253E" w14:paraId="21471F75" w14:textId="77777777" w:rsidTr="00C914D3">
        <w:trPr>
          <w:jc w:val="center"/>
        </w:trPr>
        <w:tc>
          <w:tcPr>
            <w:tcW w:w="1985" w:type="dxa"/>
            <w:tcBorders>
              <w:bottom w:val="single" w:sz="4" w:space="0" w:color="auto"/>
            </w:tcBorders>
          </w:tcPr>
          <w:p w14:paraId="044D73B9" w14:textId="3BD431F3" w:rsidR="00E52AC4" w:rsidRPr="004A253E" w:rsidRDefault="00E52AC4" w:rsidP="008F0579">
            <w:pPr>
              <w:rPr>
                <w:rFonts w:asciiTheme="minorHAnsi" w:hAnsiTheme="minorHAnsi" w:cstheme="minorHAnsi"/>
                <w:sz w:val="22"/>
              </w:rPr>
            </w:pPr>
            <w:r w:rsidRPr="004A253E">
              <w:rPr>
                <w:rFonts w:asciiTheme="minorHAnsi" w:hAnsiTheme="minorHAnsi" w:cstheme="minorHAnsi"/>
                <w:sz w:val="22"/>
              </w:rPr>
              <w:t xml:space="preserve">16ª Sesión Plenaria, </w:t>
            </w:r>
            <w:hyperlink r:id="rId16" w:history="1">
              <w:r w:rsidRPr="004A253E">
                <w:rPr>
                  <w:rStyle w:val="Hyperlink"/>
                  <w:rFonts w:asciiTheme="minorHAnsi" w:hAnsiTheme="minorHAnsi" w:cstheme="minorHAnsi"/>
                  <w:sz w:val="22"/>
                </w:rPr>
                <w:t>173</w:t>
              </w:r>
            </w:hyperlink>
            <w:r w:rsidRPr="004A253E">
              <w:rPr>
                <w:rFonts w:asciiTheme="minorHAnsi" w:hAnsiTheme="minorHAnsi" w:cstheme="minorHAnsi"/>
                <w:sz w:val="22"/>
              </w:rPr>
              <w:t xml:space="preserve">, </w:t>
            </w:r>
          </w:p>
        </w:tc>
        <w:tc>
          <w:tcPr>
            <w:tcW w:w="709" w:type="dxa"/>
            <w:tcBorders>
              <w:bottom w:val="single" w:sz="4" w:space="0" w:color="auto"/>
            </w:tcBorders>
          </w:tcPr>
          <w:p w14:paraId="2A5D33FC" w14:textId="77777777" w:rsidR="00E52AC4" w:rsidRPr="004A253E" w:rsidRDefault="00E52AC4" w:rsidP="00FA7632">
            <w:pPr>
              <w:rPr>
                <w:rFonts w:asciiTheme="minorHAnsi" w:hAnsiTheme="minorHAnsi" w:cstheme="minorHAnsi"/>
                <w:sz w:val="22"/>
              </w:rPr>
            </w:pPr>
            <w:r w:rsidRPr="004A253E">
              <w:rPr>
                <w:rFonts w:asciiTheme="minorHAnsi" w:hAnsiTheme="minorHAnsi" w:cstheme="minorHAnsi"/>
                <w:sz w:val="22"/>
              </w:rPr>
              <w:t>1.3</w:t>
            </w:r>
          </w:p>
        </w:tc>
        <w:tc>
          <w:tcPr>
            <w:tcW w:w="1559" w:type="dxa"/>
            <w:tcBorders>
              <w:bottom w:val="single" w:sz="4" w:space="0" w:color="auto"/>
            </w:tcBorders>
          </w:tcPr>
          <w:p w14:paraId="54A011BA" w14:textId="2801AF7D" w:rsidR="00E52AC4" w:rsidRPr="004A253E" w:rsidRDefault="00E52AC4" w:rsidP="00FA7632">
            <w:pPr>
              <w:rPr>
                <w:rFonts w:asciiTheme="minorHAnsi" w:hAnsiTheme="minorHAnsi" w:cstheme="minorHAnsi"/>
                <w:sz w:val="22"/>
              </w:rPr>
            </w:pPr>
            <w:r w:rsidRPr="004A253E">
              <w:rPr>
                <w:rFonts w:asciiTheme="minorHAnsi" w:hAnsiTheme="minorHAnsi" w:cstheme="minorHAnsi"/>
                <w:sz w:val="22"/>
              </w:rPr>
              <w:t>Com. 5 (</w:t>
            </w:r>
            <w:hyperlink r:id="rId17" w:history="1">
              <w:r w:rsidRPr="004A253E">
                <w:rPr>
                  <w:rStyle w:val="Hyperlink"/>
                  <w:rFonts w:asciiTheme="minorHAnsi" w:hAnsiTheme="minorHAnsi" w:cstheme="minorHAnsi"/>
                  <w:sz w:val="22"/>
                </w:rPr>
                <w:t>155</w:t>
              </w:r>
            </w:hyperlink>
            <w:r w:rsidRPr="004A253E">
              <w:rPr>
                <w:rFonts w:asciiTheme="minorHAnsi" w:hAnsiTheme="minorHAnsi" w:cstheme="minorHAnsi"/>
                <w:sz w:val="22"/>
              </w:rPr>
              <w:t>), Rec. 3</w:t>
            </w:r>
          </w:p>
        </w:tc>
        <w:tc>
          <w:tcPr>
            <w:tcW w:w="5954" w:type="dxa"/>
            <w:tcBorders>
              <w:bottom w:val="single" w:sz="4" w:space="0" w:color="auto"/>
            </w:tcBorders>
          </w:tcPr>
          <w:p w14:paraId="1BD4FBD7" w14:textId="77777777" w:rsidR="00E52AC4" w:rsidRPr="004A253E" w:rsidRDefault="00E52AC4" w:rsidP="0009139C">
            <w:pPr>
              <w:rPr>
                <w:rFonts w:asciiTheme="minorHAnsi" w:hAnsiTheme="minorHAnsi" w:cstheme="minorHAnsi"/>
                <w:spacing w:val="-2"/>
                <w:sz w:val="22"/>
              </w:rPr>
            </w:pPr>
            <w:r w:rsidRPr="004A253E">
              <w:rPr>
                <w:rFonts w:asciiTheme="minorHAnsi" w:hAnsiTheme="minorHAnsi" w:cstheme="minorHAnsi"/>
                <w:spacing w:val="-2"/>
                <w:sz w:val="22"/>
              </w:rPr>
              <w:t>La Comisión 5 recomienda que la Plenaria apruebe el texto que figura a continuación:</w:t>
            </w:r>
          </w:p>
          <w:p w14:paraId="54CE36D4" w14:textId="77777777" w:rsidR="00E52AC4" w:rsidRPr="004A253E" w:rsidRDefault="00E52AC4" w:rsidP="0009139C">
            <w:pPr>
              <w:rPr>
                <w:rFonts w:asciiTheme="minorHAnsi" w:hAnsiTheme="minorHAnsi" w:cstheme="minorHAnsi"/>
                <w:spacing w:val="-2"/>
                <w:sz w:val="22"/>
              </w:rPr>
            </w:pPr>
            <w:r w:rsidRPr="004A253E">
              <w:rPr>
                <w:rFonts w:asciiTheme="minorHAnsi" w:hAnsiTheme="minorHAnsi" w:cstheme="minorHAnsi"/>
                <w:spacing w:val="-2"/>
                <w:sz w:val="22"/>
              </w:rPr>
              <w:t>Como se ha debatido en varias reuniones del Consejo, en esta Conferencia de Plenipotenciarios (PP) se ha reconocido la necesidad de simplificar las resoluciones. En los debates se ha puesto de manifiesto que varias resoluciones de los tres Sectores contienen texto del preámbulo que figura en una resolución de la PP. La repetición de dicho texto en varias Conferencias y Asambleas de la UIT es ineficaz y conlleva un aumento de costos.</w:t>
            </w:r>
          </w:p>
          <w:p w14:paraId="061A470C" w14:textId="77777777" w:rsidR="00E52AC4" w:rsidRPr="004A253E" w:rsidRDefault="00E52AC4" w:rsidP="0009139C">
            <w:pPr>
              <w:rPr>
                <w:rFonts w:asciiTheme="minorHAnsi" w:hAnsiTheme="minorHAnsi" w:cstheme="minorHAnsi"/>
                <w:spacing w:val="-2"/>
                <w:sz w:val="22"/>
              </w:rPr>
            </w:pPr>
            <w:r w:rsidRPr="004A253E">
              <w:rPr>
                <w:rFonts w:asciiTheme="minorHAnsi" w:hAnsiTheme="minorHAnsi" w:cstheme="minorHAnsi"/>
                <w:spacing w:val="-2"/>
                <w:sz w:val="22"/>
              </w:rPr>
              <w:t>La PP es consciente de que en algunas resoluciones de los Sectores se integran partes de las resoluciones de la PP. Esas resoluciones no deben considerarse repetitivas.</w:t>
            </w:r>
          </w:p>
          <w:p w14:paraId="39245DA5" w14:textId="77777777" w:rsidR="00E52AC4" w:rsidRPr="004A253E" w:rsidRDefault="00E52AC4" w:rsidP="0009139C">
            <w:pPr>
              <w:rPr>
                <w:rFonts w:asciiTheme="minorHAnsi" w:hAnsiTheme="minorHAnsi" w:cstheme="minorHAnsi"/>
                <w:spacing w:val="-2"/>
                <w:sz w:val="22"/>
              </w:rPr>
            </w:pPr>
            <w:r w:rsidRPr="004A253E">
              <w:rPr>
                <w:rFonts w:asciiTheme="minorHAnsi" w:hAnsiTheme="minorHAnsi" w:cstheme="minorHAnsi"/>
                <w:spacing w:val="-2"/>
                <w:sz w:val="22"/>
              </w:rPr>
              <w:t>La PP encarga a la Secretaría que determine y analice los resultados de las Asambleas/Conferencias sectoriales y de la PP en las que se abordan temas de índole similar y que los somete al examen del GAR, el GANT, el GADT, el Equipo Intersectorial de Coordinación y el Consejo.</w:t>
            </w:r>
          </w:p>
          <w:p w14:paraId="432944F4" w14:textId="77777777" w:rsidR="00E52AC4" w:rsidRPr="004A253E" w:rsidRDefault="00E52AC4" w:rsidP="0009139C">
            <w:pPr>
              <w:rPr>
                <w:rFonts w:asciiTheme="minorHAnsi" w:hAnsiTheme="minorHAnsi" w:cstheme="minorHAnsi"/>
                <w:spacing w:val="-2"/>
                <w:sz w:val="22"/>
              </w:rPr>
            </w:pPr>
            <w:r w:rsidRPr="004A253E">
              <w:rPr>
                <w:rFonts w:asciiTheme="minorHAnsi" w:hAnsiTheme="minorHAnsi" w:cstheme="minorHAnsi"/>
                <w:spacing w:val="-2"/>
                <w:sz w:val="22"/>
              </w:rPr>
              <w:t>Se invita a los Estados Miembros y a los Miembros de Sector a que utilicen ese documento al preparar las Asambleas/Conferencias de Sector, según proceda. La PP invita a los Estados Miembros, las Conferencias y las Asambleas a que refrenden el principio de simplificación de las resoluciones con objeto de evitar la repetición de texto. Cabe destacar que las resoluciones que traten sobre temas específicos de un Sector determinado se considerarán resoluciones relativas al Sector de que se trate.</w:t>
            </w:r>
          </w:p>
        </w:tc>
      </w:tr>
      <w:tr w:rsidR="00E52AC4" w:rsidRPr="004A253E" w14:paraId="0660E6AA" w14:textId="77777777" w:rsidTr="00C914D3">
        <w:trPr>
          <w:jc w:val="center"/>
        </w:trPr>
        <w:tc>
          <w:tcPr>
            <w:tcW w:w="1985" w:type="dxa"/>
            <w:tcBorders>
              <w:bottom w:val="single" w:sz="4" w:space="0" w:color="auto"/>
            </w:tcBorders>
          </w:tcPr>
          <w:p w14:paraId="408E84AD" w14:textId="508D2AFB" w:rsidR="00E52AC4" w:rsidRPr="004A253E" w:rsidRDefault="00E52AC4" w:rsidP="00FA7632">
            <w:pPr>
              <w:rPr>
                <w:rFonts w:asciiTheme="minorHAnsi" w:hAnsiTheme="minorHAnsi" w:cstheme="minorHAnsi"/>
                <w:sz w:val="22"/>
              </w:rPr>
            </w:pPr>
            <w:r w:rsidRPr="004A253E">
              <w:rPr>
                <w:rFonts w:asciiTheme="minorHAnsi" w:hAnsiTheme="minorHAnsi" w:cstheme="minorHAnsi"/>
                <w:sz w:val="22"/>
              </w:rPr>
              <w:t xml:space="preserve">16ª Sesión Plenaria, </w:t>
            </w:r>
            <w:hyperlink r:id="rId18" w:history="1">
              <w:r w:rsidRPr="004A253E">
                <w:rPr>
                  <w:rStyle w:val="Hyperlink"/>
                  <w:rFonts w:asciiTheme="minorHAnsi" w:hAnsiTheme="minorHAnsi" w:cstheme="minorHAnsi"/>
                  <w:sz w:val="22"/>
                </w:rPr>
                <w:t>173</w:t>
              </w:r>
            </w:hyperlink>
          </w:p>
        </w:tc>
        <w:tc>
          <w:tcPr>
            <w:tcW w:w="709" w:type="dxa"/>
            <w:tcBorders>
              <w:bottom w:val="single" w:sz="4" w:space="0" w:color="auto"/>
            </w:tcBorders>
          </w:tcPr>
          <w:p w14:paraId="3684AB07" w14:textId="77777777" w:rsidR="00E52AC4" w:rsidRPr="004A253E" w:rsidRDefault="00E52AC4" w:rsidP="00FA7632">
            <w:pPr>
              <w:rPr>
                <w:rFonts w:asciiTheme="minorHAnsi" w:hAnsiTheme="minorHAnsi" w:cstheme="minorHAnsi"/>
                <w:sz w:val="22"/>
              </w:rPr>
            </w:pPr>
            <w:r w:rsidRPr="004A253E">
              <w:rPr>
                <w:rFonts w:asciiTheme="minorHAnsi" w:hAnsiTheme="minorHAnsi" w:cstheme="minorHAnsi"/>
                <w:sz w:val="22"/>
              </w:rPr>
              <w:t>1.3</w:t>
            </w:r>
          </w:p>
        </w:tc>
        <w:tc>
          <w:tcPr>
            <w:tcW w:w="1559" w:type="dxa"/>
            <w:tcBorders>
              <w:bottom w:val="single" w:sz="4" w:space="0" w:color="auto"/>
            </w:tcBorders>
          </w:tcPr>
          <w:p w14:paraId="1AA1FEA4" w14:textId="43BD4F5A" w:rsidR="00E52AC4" w:rsidRPr="004A253E" w:rsidRDefault="00E52AC4" w:rsidP="00FA7632">
            <w:pPr>
              <w:rPr>
                <w:rFonts w:asciiTheme="minorHAnsi" w:hAnsiTheme="minorHAnsi" w:cstheme="minorHAnsi"/>
                <w:sz w:val="22"/>
              </w:rPr>
            </w:pPr>
            <w:r w:rsidRPr="004A253E">
              <w:rPr>
                <w:rFonts w:asciiTheme="minorHAnsi" w:hAnsiTheme="minorHAnsi" w:cstheme="minorHAnsi"/>
                <w:sz w:val="22"/>
              </w:rPr>
              <w:t>Com. 5 (</w:t>
            </w:r>
            <w:hyperlink r:id="rId19" w:history="1">
              <w:r w:rsidRPr="004A253E">
                <w:rPr>
                  <w:rStyle w:val="Hyperlink"/>
                  <w:rFonts w:asciiTheme="minorHAnsi" w:hAnsiTheme="minorHAnsi" w:cstheme="minorHAnsi"/>
                  <w:sz w:val="22"/>
                </w:rPr>
                <w:t>155</w:t>
              </w:r>
            </w:hyperlink>
            <w:r w:rsidRPr="004A253E">
              <w:rPr>
                <w:rFonts w:asciiTheme="minorHAnsi" w:hAnsiTheme="minorHAnsi" w:cstheme="minorHAnsi"/>
                <w:sz w:val="22"/>
              </w:rPr>
              <w:t>), Rec. 4</w:t>
            </w:r>
          </w:p>
        </w:tc>
        <w:tc>
          <w:tcPr>
            <w:tcW w:w="5954" w:type="dxa"/>
            <w:tcBorders>
              <w:bottom w:val="single" w:sz="4" w:space="0" w:color="auto"/>
            </w:tcBorders>
          </w:tcPr>
          <w:p w14:paraId="53B29DE9" w14:textId="77777777" w:rsidR="00E52AC4" w:rsidRPr="004A253E" w:rsidRDefault="00E52AC4" w:rsidP="00FA7632">
            <w:pPr>
              <w:rPr>
                <w:rFonts w:asciiTheme="minorHAnsi" w:hAnsiTheme="minorHAnsi" w:cstheme="minorHAnsi"/>
                <w:spacing w:val="-2"/>
                <w:sz w:val="22"/>
              </w:rPr>
            </w:pPr>
            <w:r w:rsidRPr="004A253E">
              <w:rPr>
                <w:rFonts w:asciiTheme="minorHAnsi" w:hAnsiTheme="minorHAnsi" w:cstheme="minorHAnsi"/>
                <w:spacing w:val="-2"/>
                <w:sz w:val="22"/>
              </w:rPr>
              <w:t>La Comisión 5 recomienda que no se introduzcan cambios en la Resolución 119 (Rev. Antalya, 2006). La Comisión 5 observa que el resuelve 1 de la Resolución 119 (Rev. Antalya, 2006) encarga a la RRB que siga examinando periódicamente sus métodos de trabajo y procesos internos, y recomienda a los Estados Miembros que aporten contribuciones a este respecto.</w:t>
            </w:r>
          </w:p>
        </w:tc>
      </w:tr>
      <w:tr w:rsidR="00E52AC4" w:rsidRPr="004A253E" w14:paraId="0861115F" w14:textId="77777777" w:rsidTr="00C914D3">
        <w:trPr>
          <w:jc w:val="center"/>
        </w:trPr>
        <w:tc>
          <w:tcPr>
            <w:tcW w:w="1985" w:type="dxa"/>
            <w:tcBorders>
              <w:top w:val="single" w:sz="4" w:space="0" w:color="auto"/>
            </w:tcBorders>
          </w:tcPr>
          <w:p w14:paraId="4E7DB444" w14:textId="4A014F5D" w:rsidR="00E52AC4" w:rsidRPr="004A253E" w:rsidRDefault="00E52AC4" w:rsidP="004A253E">
            <w:pPr>
              <w:keepNext/>
              <w:keepLines/>
              <w:rPr>
                <w:rFonts w:asciiTheme="minorHAnsi" w:hAnsiTheme="minorHAnsi" w:cstheme="minorHAnsi"/>
                <w:sz w:val="22"/>
              </w:rPr>
            </w:pPr>
            <w:r w:rsidRPr="004A253E">
              <w:rPr>
                <w:rFonts w:asciiTheme="minorHAnsi" w:hAnsiTheme="minorHAnsi" w:cstheme="minorHAnsi"/>
                <w:sz w:val="22"/>
              </w:rPr>
              <w:lastRenderedPageBreak/>
              <w:t xml:space="preserve">16ª Sesión Plenaria, </w:t>
            </w:r>
            <w:hyperlink r:id="rId20" w:history="1">
              <w:r w:rsidRPr="004A253E">
                <w:rPr>
                  <w:rStyle w:val="Hyperlink"/>
                  <w:rFonts w:asciiTheme="minorHAnsi" w:hAnsiTheme="minorHAnsi" w:cstheme="minorHAnsi"/>
                  <w:sz w:val="22"/>
                </w:rPr>
                <w:t>173</w:t>
              </w:r>
            </w:hyperlink>
          </w:p>
        </w:tc>
        <w:tc>
          <w:tcPr>
            <w:tcW w:w="709" w:type="dxa"/>
            <w:tcBorders>
              <w:top w:val="single" w:sz="4" w:space="0" w:color="auto"/>
            </w:tcBorders>
          </w:tcPr>
          <w:p w14:paraId="47796A7F" w14:textId="77777777" w:rsidR="00E52AC4" w:rsidRPr="004A253E" w:rsidRDefault="00E52AC4" w:rsidP="004A253E">
            <w:pPr>
              <w:keepNext/>
              <w:keepLines/>
              <w:rPr>
                <w:rFonts w:asciiTheme="minorHAnsi" w:hAnsiTheme="minorHAnsi" w:cstheme="minorHAnsi"/>
                <w:sz w:val="22"/>
              </w:rPr>
            </w:pPr>
            <w:r w:rsidRPr="004A253E">
              <w:rPr>
                <w:rFonts w:asciiTheme="minorHAnsi" w:hAnsiTheme="minorHAnsi" w:cstheme="minorHAnsi"/>
                <w:sz w:val="22"/>
              </w:rPr>
              <w:t>1.3</w:t>
            </w:r>
          </w:p>
        </w:tc>
        <w:tc>
          <w:tcPr>
            <w:tcW w:w="1559" w:type="dxa"/>
            <w:tcBorders>
              <w:top w:val="single" w:sz="4" w:space="0" w:color="auto"/>
            </w:tcBorders>
          </w:tcPr>
          <w:p w14:paraId="17F76328" w14:textId="5A8BFA36" w:rsidR="00E52AC4" w:rsidRPr="004A253E" w:rsidRDefault="00E52AC4" w:rsidP="004A253E">
            <w:pPr>
              <w:keepNext/>
              <w:keepLines/>
              <w:rPr>
                <w:rFonts w:asciiTheme="minorHAnsi" w:hAnsiTheme="minorHAnsi" w:cstheme="minorHAnsi"/>
                <w:sz w:val="22"/>
              </w:rPr>
            </w:pPr>
            <w:r w:rsidRPr="004A253E">
              <w:rPr>
                <w:rFonts w:asciiTheme="minorHAnsi" w:hAnsiTheme="minorHAnsi" w:cstheme="minorHAnsi"/>
                <w:sz w:val="22"/>
              </w:rPr>
              <w:t>Com. 5 (</w:t>
            </w:r>
            <w:hyperlink r:id="rId21" w:history="1">
              <w:r w:rsidRPr="004A253E">
                <w:rPr>
                  <w:rStyle w:val="Hyperlink"/>
                  <w:rFonts w:asciiTheme="minorHAnsi" w:hAnsiTheme="minorHAnsi" w:cstheme="minorHAnsi"/>
                  <w:sz w:val="22"/>
                </w:rPr>
                <w:t>155</w:t>
              </w:r>
            </w:hyperlink>
            <w:r w:rsidRPr="004A253E">
              <w:rPr>
                <w:rFonts w:asciiTheme="minorHAnsi" w:hAnsiTheme="minorHAnsi" w:cstheme="minorHAnsi"/>
                <w:sz w:val="22"/>
              </w:rPr>
              <w:t>), Rec. 5</w:t>
            </w:r>
          </w:p>
        </w:tc>
        <w:tc>
          <w:tcPr>
            <w:tcW w:w="5954" w:type="dxa"/>
            <w:tcBorders>
              <w:top w:val="single" w:sz="4" w:space="0" w:color="auto"/>
            </w:tcBorders>
          </w:tcPr>
          <w:p w14:paraId="08A3A0EB" w14:textId="77777777" w:rsidR="00E52AC4" w:rsidRPr="004A253E" w:rsidRDefault="00E52AC4" w:rsidP="004A253E">
            <w:pPr>
              <w:keepNext/>
              <w:keepLines/>
              <w:rPr>
                <w:rFonts w:asciiTheme="minorHAnsi" w:hAnsiTheme="minorHAnsi" w:cstheme="minorHAnsi"/>
                <w:sz w:val="22"/>
              </w:rPr>
            </w:pPr>
            <w:r w:rsidRPr="004A253E">
              <w:rPr>
                <w:rFonts w:asciiTheme="minorHAnsi" w:hAnsiTheme="minorHAnsi" w:cstheme="minorHAnsi"/>
                <w:sz w:val="22"/>
              </w:rPr>
              <w:t>La Comisión 5 recomienda a la Plenaria que encargue al Secretario General que presente a la próxima Conferencia de Plenipotenciarios un documento informativo en el que se reflejen los derechos y obligaciones de las distintas categorías de miembros y la participación en los trabajos de la UIT.</w:t>
            </w:r>
          </w:p>
        </w:tc>
      </w:tr>
      <w:tr w:rsidR="00E52AC4" w:rsidRPr="004A253E" w14:paraId="4C07F860" w14:textId="77777777" w:rsidTr="00C914D3">
        <w:trPr>
          <w:jc w:val="center"/>
        </w:trPr>
        <w:tc>
          <w:tcPr>
            <w:tcW w:w="1985" w:type="dxa"/>
          </w:tcPr>
          <w:p w14:paraId="0EE40D41" w14:textId="35E2B552" w:rsidR="00E52AC4" w:rsidRPr="004A253E" w:rsidRDefault="00E52AC4" w:rsidP="008F0579">
            <w:pPr>
              <w:rPr>
                <w:rFonts w:asciiTheme="minorHAnsi" w:hAnsiTheme="minorHAnsi" w:cstheme="minorHAnsi"/>
                <w:sz w:val="22"/>
              </w:rPr>
            </w:pPr>
            <w:r w:rsidRPr="004A253E">
              <w:rPr>
                <w:rFonts w:asciiTheme="minorHAnsi" w:hAnsiTheme="minorHAnsi" w:cstheme="minorHAnsi"/>
                <w:sz w:val="22"/>
              </w:rPr>
              <w:t xml:space="preserve">16ª Sesión Plenaria, </w:t>
            </w:r>
            <w:hyperlink r:id="rId22" w:history="1">
              <w:r w:rsidRPr="004A253E">
                <w:rPr>
                  <w:rStyle w:val="Hyperlink"/>
                  <w:rFonts w:asciiTheme="minorHAnsi" w:hAnsiTheme="minorHAnsi" w:cstheme="minorHAnsi"/>
                  <w:sz w:val="22"/>
                </w:rPr>
                <w:t>173</w:t>
              </w:r>
            </w:hyperlink>
            <w:r w:rsidRPr="004A253E">
              <w:rPr>
                <w:rFonts w:asciiTheme="minorHAnsi" w:hAnsiTheme="minorHAnsi" w:cstheme="minorHAnsi"/>
                <w:sz w:val="22"/>
              </w:rPr>
              <w:t>,</w:t>
            </w:r>
          </w:p>
        </w:tc>
        <w:tc>
          <w:tcPr>
            <w:tcW w:w="709" w:type="dxa"/>
          </w:tcPr>
          <w:p w14:paraId="5DDD42BD" w14:textId="77777777" w:rsidR="00E52AC4" w:rsidRPr="004A253E" w:rsidRDefault="00E52AC4" w:rsidP="00FA7632">
            <w:pPr>
              <w:rPr>
                <w:rFonts w:asciiTheme="minorHAnsi" w:hAnsiTheme="minorHAnsi" w:cstheme="minorHAnsi"/>
                <w:sz w:val="22"/>
              </w:rPr>
            </w:pPr>
            <w:r w:rsidRPr="004A253E">
              <w:rPr>
                <w:rFonts w:asciiTheme="minorHAnsi" w:hAnsiTheme="minorHAnsi" w:cstheme="minorHAnsi"/>
                <w:sz w:val="22"/>
              </w:rPr>
              <w:t>1.3</w:t>
            </w:r>
          </w:p>
        </w:tc>
        <w:tc>
          <w:tcPr>
            <w:tcW w:w="1559" w:type="dxa"/>
          </w:tcPr>
          <w:p w14:paraId="0C563B7C" w14:textId="3409514E" w:rsidR="00E52AC4" w:rsidRPr="004A253E" w:rsidRDefault="00E52AC4" w:rsidP="00FA7632">
            <w:pPr>
              <w:rPr>
                <w:rFonts w:asciiTheme="minorHAnsi" w:hAnsiTheme="minorHAnsi" w:cstheme="minorHAnsi"/>
                <w:sz w:val="22"/>
              </w:rPr>
            </w:pPr>
            <w:r w:rsidRPr="004A253E">
              <w:rPr>
                <w:rFonts w:asciiTheme="minorHAnsi" w:hAnsiTheme="minorHAnsi" w:cstheme="minorHAnsi"/>
                <w:sz w:val="22"/>
              </w:rPr>
              <w:t>Com. 5 (</w:t>
            </w:r>
            <w:hyperlink r:id="rId23" w:history="1">
              <w:r w:rsidRPr="004A253E">
                <w:rPr>
                  <w:rStyle w:val="Hyperlink"/>
                  <w:rFonts w:asciiTheme="minorHAnsi" w:hAnsiTheme="minorHAnsi" w:cstheme="minorHAnsi"/>
                  <w:sz w:val="22"/>
                </w:rPr>
                <w:t>155</w:t>
              </w:r>
            </w:hyperlink>
            <w:r w:rsidRPr="004A253E">
              <w:rPr>
                <w:rFonts w:asciiTheme="minorHAnsi" w:hAnsiTheme="minorHAnsi" w:cstheme="minorHAnsi"/>
                <w:sz w:val="22"/>
              </w:rPr>
              <w:t>), Rec. 6</w:t>
            </w:r>
          </w:p>
        </w:tc>
        <w:tc>
          <w:tcPr>
            <w:tcW w:w="5954" w:type="dxa"/>
          </w:tcPr>
          <w:p w14:paraId="6334A9F5" w14:textId="77777777" w:rsidR="00E52AC4" w:rsidRPr="004A253E" w:rsidRDefault="00E52AC4" w:rsidP="0009139C">
            <w:pPr>
              <w:rPr>
                <w:rFonts w:asciiTheme="minorHAnsi" w:hAnsiTheme="minorHAnsi" w:cstheme="minorHAnsi"/>
                <w:sz w:val="22"/>
              </w:rPr>
            </w:pPr>
            <w:r w:rsidRPr="004A253E">
              <w:rPr>
                <w:rFonts w:asciiTheme="minorHAnsi" w:hAnsiTheme="minorHAnsi" w:cstheme="minorHAnsi"/>
                <w:sz w:val="22"/>
              </w:rPr>
              <w:t>La Comisión 5 recomienda que la Plenaria encargue al Consejo que:</w:t>
            </w:r>
          </w:p>
          <w:p w14:paraId="766918C2" w14:textId="77777777" w:rsidR="00E52AC4" w:rsidRPr="004A253E" w:rsidRDefault="00E52AC4" w:rsidP="00A52A64">
            <w:pPr>
              <w:pStyle w:val="enumlev1"/>
              <w:spacing w:before="60"/>
              <w:rPr>
                <w:rFonts w:asciiTheme="minorHAnsi" w:hAnsiTheme="minorHAnsi" w:cstheme="minorHAnsi"/>
                <w:sz w:val="22"/>
              </w:rPr>
            </w:pPr>
            <w:r w:rsidRPr="004A253E">
              <w:rPr>
                <w:rFonts w:asciiTheme="minorHAnsi" w:hAnsiTheme="minorHAnsi" w:cstheme="minorHAnsi"/>
                <w:sz w:val="22"/>
              </w:rPr>
              <w:t>1</w:t>
            </w:r>
            <w:r w:rsidRPr="004A253E">
              <w:rPr>
                <w:rFonts w:asciiTheme="minorHAnsi" w:hAnsiTheme="minorHAnsi" w:cstheme="minorHAnsi"/>
                <w:sz w:val="22"/>
              </w:rPr>
              <w:tab/>
              <w:t>realice un estudio exhaustivo sobre las posibles mejoras del proceso electoral de la UIT en su conjunto, en particular sobre la necesidad de revisar el Reglamento General relativo a los procedimientos electorales, que incluya estudios para la celebración de mítines. Debería llevarse a cabo teniendo en cuenta los documentos pertinentes del Consejo y de la PP-14 (por ejemplo, la Recomendación 8 de la Comisión 5 aprobada por la Plenaria) y tomando las decisiones oportunas, según proceda;</w:t>
            </w:r>
          </w:p>
          <w:p w14:paraId="38E7B4E0" w14:textId="77777777" w:rsidR="00E52AC4" w:rsidRPr="004A253E" w:rsidRDefault="00E52AC4" w:rsidP="00A52A64">
            <w:pPr>
              <w:pStyle w:val="enumlev1"/>
              <w:spacing w:before="60"/>
              <w:rPr>
                <w:rFonts w:asciiTheme="minorHAnsi" w:hAnsiTheme="minorHAnsi" w:cstheme="minorHAnsi"/>
                <w:sz w:val="22"/>
              </w:rPr>
            </w:pPr>
            <w:r w:rsidRPr="004A253E">
              <w:rPr>
                <w:rFonts w:asciiTheme="minorHAnsi" w:hAnsiTheme="minorHAnsi" w:cstheme="minorHAnsi"/>
                <w:sz w:val="22"/>
              </w:rPr>
              <w:t>2</w:t>
            </w:r>
            <w:r w:rsidRPr="004A253E">
              <w:rPr>
                <w:rFonts w:asciiTheme="minorHAnsi" w:hAnsiTheme="minorHAnsi" w:cstheme="minorHAnsi"/>
                <w:sz w:val="22"/>
              </w:rPr>
              <w:tab/>
              <w:t>modifique, de ser necesario, los Estatutos y el Reglamento del Personal de la UIT para los funcionarios de nombramiento y los Estatutos y el Reglamento del Personal para los funcionarios de elección, a fin de considerar la posibilidad de eliminar la necesidad de que el personal de la UIT de nombramiento se acoja a una licencia especial sin sueldo cuando se presente como candidato a un puesto de funcionario de elección;</w:t>
            </w:r>
          </w:p>
          <w:p w14:paraId="2C12CC85" w14:textId="77777777" w:rsidR="00E52AC4" w:rsidRPr="004A253E" w:rsidRDefault="00E52AC4" w:rsidP="00A52A64">
            <w:pPr>
              <w:pStyle w:val="enumlev1"/>
              <w:spacing w:before="60"/>
              <w:rPr>
                <w:rFonts w:asciiTheme="minorHAnsi" w:hAnsiTheme="minorHAnsi" w:cstheme="minorHAnsi"/>
                <w:sz w:val="22"/>
              </w:rPr>
            </w:pPr>
            <w:r w:rsidRPr="004A253E">
              <w:rPr>
                <w:rFonts w:asciiTheme="minorHAnsi" w:hAnsiTheme="minorHAnsi" w:cstheme="minorHAnsi"/>
                <w:sz w:val="22"/>
              </w:rPr>
              <w:t>3</w:t>
            </w:r>
            <w:r w:rsidRPr="004A253E">
              <w:rPr>
                <w:rFonts w:asciiTheme="minorHAnsi" w:hAnsiTheme="minorHAnsi" w:cstheme="minorHAnsi"/>
                <w:sz w:val="22"/>
              </w:rPr>
              <w:tab/>
              <w:t>siga mejorando el portal en línea de las elecciones de la PP para facilitar la interacción con los candidatos y ofrecer más información sobre ellos;</w:t>
            </w:r>
          </w:p>
          <w:p w14:paraId="683CC74E" w14:textId="77777777" w:rsidR="00E52AC4" w:rsidRPr="004A253E" w:rsidRDefault="00E52AC4" w:rsidP="00A52A64">
            <w:pPr>
              <w:pStyle w:val="enumlev1"/>
              <w:spacing w:before="60"/>
              <w:rPr>
                <w:rFonts w:asciiTheme="minorHAnsi" w:hAnsiTheme="minorHAnsi" w:cstheme="minorHAnsi"/>
                <w:sz w:val="22"/>
              </w:rPr>
            </w:pPr>
            <w:r w:rsidRPr="004A253E">
              <w:rPr>
                <w:rFonts w:asciiTheme="minorHAnsi" w:hAnsiTheme="minorHAnsi" w:cstheme="minorHAnsi"/>
                <w:sz w:val="22"/>
              </w:rPr>
              <w:t>4</w:t>
            </w:r>
            <w:r w:rsidRPr="004A253E">
              <w:rPr>
                <w:rFonts w:asciiTheme="minorHAnsi" w:hAnsiTheme="minorHAnsi" w:cstheme="minorHAnsi"/>
                <w:sz w:val="22"/>
              </w:rPr>
              <w:tab/>
              <w:t>siga utilizando la revista Actualidades de la UIT como plataforma para presentar la posición y la visión de los candidatos;</w:t>
            </w:r>
          </w:p>
          <w:p w14:paraId="7EB6F5FD" w14:textId="77777777" w:rsidR="00E52AC4" w:rsidRPr="004A253E" w:rsidRDefault="00E52AC4" w:rsidP="00A52A64">
            <w:pPr>
              <w:pStyle w:val="enumlev1"/>
              <w:spacing w:before="60"/>
              <w:rPr>
                <w:rFonts w:asciiTheme="minorHAnsi" w:hAnsiTheme="minorHAnsi" w:cstheme="minorHAnsi"/>
                <w:sz w:val="22"/>
              </w:rPr>
            </w:pPr>
            <w:r w:rsidRPr="004A253E">
              <w:rPr>
                <w:rFonts w:asciiTheme="minorHAnsi" w:hAnsiTheme="minorHAnsi" w:cstheme="minorHAnsi"/>
                <w:sz w:val="22"/>
              </w:rPr>
              <w:t>5</w:t>
            </w:r>
            <w:r w:rsidRPr="004A253E">
              <w:rPr>
                <w:rFonts w:asciiTheme="minorHAnsi" w:hAnsiTheme="minorHAnsi" w:cstheme="minorHAnsi"/>
                <w:sz w:val="22"/>
              </w:rPr>
              <w:tab/>
              <w:t>adopte las directrices normalizadas sobre los aspectos éticos en relación con las actividades de las campañas para futuras elecciones, basadas en las disposiciones de los "Aspectos éticos de ciertas actividades de campaña previas a la Conferencia de Plenipotenciarios de 2018", tal como fueron aprobadas en la reunión de 2018 del Consejo, con las eventuales mejoras que sean oportunas.</w:t>
            </w:r>
          </w:p>
        </w:tc>
      </w:tr>
      <w:tr w:rsidR="00E52AC4" w:rsidRPr="004A253E" w14:paraId="4C210CB9" w14:textId="77777777" w:rsidTr="00C914D3">
        <w:trPr>
          <w:jc w:val="center"/>
        </w:trPr>
        <w:tc>
          <w:tcPr>
            <w:tcW w:w="1985" w:type="dxa"/>
          </w:tcPr>
          <w:p w14:paraId="68D05250" w14:textId="144543C1"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lastRenderedPageBreak/>
              <w:t xml:space="preserve">16ª Sesión Plenaria, </w:t>
            </w:r>
            <w:hyperlink r:id="rId24" w:history="1">
              <w:r w:rsidRPr="004A253E">
                <w:rPr>
                  <w:rStyle w:val="Hyperlink"/>
                  <w:rFonts w:asciiTheme="minorHAnsi" w:hAnsiTheme="minorHAnsi" w:cstheme="minorHAnsi"/>
                  <w:sz w:val="22"/>
                </w:rPr>
                <w:t>173</w:t>
              </w:r>
            </w:hyperlink>
            <w:r w:rsidRPr="004A253E">
              <w:rPr>
                <w:rFonts w:asciiTheme="minorHAnsi" w:hAnsiTheme="minorHAnsi" w:cstheme="minorHAnsi"/>
                <w:sz w:val="22"/>
              </w:rPr>
              <w:t>:</w:t>
            </w:r>
          </w:p>
        </w:tc>
        <w:tc>
          <w:tcPr>
            <w:tcW w:w="709" w:type="dxa"/>
          </w:tcPr>
          <w:p w14:paraId="1AF2C64B" w14:textId="77777777"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1.3</w:t>
            </w:r>
          </w:p>
        </w:tc>
        <w:tc>
          <w:tcPr>
            <w:tcW w:w="1559" w:type="dxa"/>
          </w:tcPr>
          <w:p w14:paraId="6EADEF0E" w14:textId="6D747D24"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Com. 5 (</w:t>
            </w:r>
            <w:hyperlink r:id="rId25" w:history="1">
              <w:r w:rsidRPr="004A253E">
                <w:rPr>
                  <w:rStyle w:val="Hyperlink"/>
                  <w:rFonts w:asciiTheme="minorHAnsi" w:hAnsiTheme="minorHAnsi" w:cstheme="minorHAnsi"/>
                  <w:sz w:val="22"/>
                </w:rPr>
                <w:t>155</w:t>
              </w:r>
            </w:hyperlink>
            <w:r w:rsidRPr="004A253E">
              <w:rPr>
                <w:rFonts w:asciiTheme="minorHAnsi" w:hAnsiTheme="minorHAnsi" w:cstheme="minorHAnsi"/>
                <w:sz w:val="22"/>
              </w:rPr>
              <w:t>), Rec. 7</w:t>
            </w:r>
          </w:p>
        </w:tc>
        <w:tc>
          <w:tcPr>
            <w:tcW w:w="5954" w:type="dxa"/>
          </w:tcPr>
          <w:p w14:paraId="21B8D4B0" w14:textId="77777777"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La Comisión 5 recomienda que la Plenaria apruebe el siguiente texto:</w:t>
            </w:r>
          </w:p>
          <w:p w14:paraId="4AC42D4B" w14:textId="77777777"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Esta Conferencia de Plenipotenciarios (PP) reconoce la necesidad de fomentar la participación de las mujeres en todos los procesos de toma de decisiones de la UIT como medio para que más mujeres se presenten como candidatas a los puestos electivos de la Unión, de conformidad con el número 154 de la Constitución de la UIT.</w:t>
            </w:r>
          </w:p>
          <w:p w14:paraId="630A696A" w14:textId="77777777"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En consecuencia, la PP encarga al Consejo que:</w:t>
            </w:r>
          </w:p>
          <w:p w14:paraId="217AF92D" w14:textId="77777777" w:rsidR="00E52AC4" w:rsidRPr="004A253E" w:rsidRDefault="00E52AC4" w:rsidP="00A52A64">
            <w:pPr>
              <w:pStyle w:val="enumlev1"/>
              <w:spacing w:before="60"/>
              <w:rPr>
                <w:rFonts w:asciiTheme="minorHAnsi" w:hAnsiTheme="minorHAnsi" w:cstheme="minorHAnsi"/>
                <w:sz w:val="22"/>
              </w:rPr>
            </w:pPr>
            <w:r w:rsidRPr="004A253E">
              <w:rPr>
                <w:rFonts w:asciiTheme="minorHAnsi" w:hAnsiTheme="minorHAnsi" w:cstheme="minorHAnsi"/>
                <w:sz w:val="22"/>
              </w:rPr>
              <w:t>1</w:t>
            </w:r>
            <w:r w:rsidRPr="004A253E">
              <w:rPr>
                <w:rFonts w:asciiTheme="minorHAnsi" w:hAnsiTheme="minorHAnsi" w:cstheme="minorHAnsi"/>
                <w:sz w:val="22"/>
              </w:rPr>
              <w:tab/>
              <w:t>estudie mecanismos para que haya más mujeres en puestos de liderazgo y dirección, especialmente en relación con el proceso electoral;</w:t>
            </w:r>
          </w:p>
          <w:p w14:paraId="05B5FBE2" w14:textId="69DA085B" w:rsidR="00E52AC4" w:rsidRPr="004A253E" w:rsidRDefault="00E52AC4" w:rsidP="00A52A64">
            <w:pPr>
              <w:pStyle w:val="enumlev1"/>
              <w:spacing w:before="60"/>
              <w:rPr>
                <w:rFonts w:asciiTheme="minorHAnsi" w:hAnsiTheme="minorHAnsi" w:cstheme="minorHAnsi"/>
                <w:sz w:val="22"/>
              </w:rPr>
            </w:pPr>
            <w:r w:rsidRPr="004A253E">
              <w:rPr>
                <w:rFonts w:asciiTheme="minorHAnsi" w:hAnsiTheme="minorHAnsi" w:cstheme="minorHAnsi"/>
                <w:sz w:val="22"/>
              </w:rPr>
              <w:t>2</w:t>
            </w:r>
            <w:r w:rsidRPr="004A253E">
              <w:rPr>
                <w:rFonts w:asciiTheme="minorHAnsi" w:hAnsiTheme="minorHAnsi" w:cstheme="minorHAnsi"/>
                <w:sz w:val="22"/>
              </w:rPr>
              <w:tab/>
              <w:t xml:space="preserve">lleve adelante los trabajos necesarios para modificar las reglas aplicables a la elección del Secretario General, el Vicesecretario General y los </w:t>
            </w:r>
            <w:proofErr w:type="gramStart"/>
            <w:r w:rsidRPr="004A253E">
              <w:rPr>
                <w:rFonts w:asciiTheme="minorHAnsi" w:hAnsiTheme="minorHAnsi" w:cstheme="minorHAnsi"/>
                <w:sz w:val="22"/>
              </w:rPr>
              <w:t>Directores</w:t>
            </w:r>
            <w:proofErr w:type="gramEnd"/>
            <w:r w:rsidRPr="004A253E">
              <w:rPr>
                <w:rFonts w:asciiTheme="minorHAnsi" w:hAnsiTheme="minorHAnsi" w:cstheme="minorHAnsi"/>
                <w:sz w:val="22"/>
              </w:rPr>
              <w:t xml:space="preserve"> de las Oficinas para la aplicación de esta Recomendación y presente un informe a la Conferencia de Plenipotenciarios de 2022</w:t>
            </w:r>
            <w:r w:rsidR="00DD1E3D">
              <w:rPr>
                <w:rFonts w:asciiTheme="minorHAnsi" w:hAnsiTheme="minorHAnsi" w:cstheme="minorHAnsi"/>
                <w:sz w:val="22"/>
              </w:rPr>
              <w:t>.</w:t>
            </w:r>
          </w:p>
          <w:p w14:paraId="318CB9FC" w14:textId="77777777"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La PP invita a los Estados Miembros a:</w:t>
            </w:r>
          </w:p>
          <w:p w14:paraId="7EC7CAD1" w14:textId="77777777" w:rsidR="00E52AC4" w:rsidRPr="004A253E" w:rsidRDefault="00E52AC4" w:rsidP="00A52A64">
            <w:pPr>
              <w:pStyle w:val="enumlev1"/>
              <w:spacing w:before="60"/>
              <w:rPr>
                <w:rFonts w:asciiTheme="minorHAnsi" w:hAnsiTheme="minorHAnsi" w:cstheme="minorHAnsi"/>
                <w:sz w:val="22"/>
              </w:rPr>
            </w:pPr>
            <w:r w:rsidRPr="004A253E">
              <w:rPr>
                <w:rFonts w:asciiTheme="minorHAnsi" w:hAnsiTheme="minorHAnsi" w:cstheme="minorHAnsi"/>
                <w:sz w:val="22"/>
              </w:rPr>
              <w:t>1</w:t>
            </w:r>
            <w:r w:rsidRPr="004A253E">
              <w:rPr>
                <w:rFonts w:asciiTheme="minorHAnsi" w:hAnsiTheme="minorHAnsi" w:cstheme="minorHAnsi"/>
                <w:sz w:val="22"/>
              </w:rPr>
              <w:tab/>
              <w:t>fomentar la participación de las mujeres en todas las actividades de la UIT, en particular en los procesos de toma de decisiones;</w:t>
            </w:r>
          </w:p>
          <w:p w14:paraId="51BC9EB3" w14:textId="77777777" w:rsidR="00E52AC4" w:rsidRPr="004A253E" w:rsidRDefault="00E52AC4" w:rsidP="00A52A64">
            <w:pPr>
              <w:pStyle w:val="enumlev1"/>
              <w:spacing w:before="60"/>
              <w:rPr>
                <w:rFonts w:asciiTheme="minorHAnsi" w:hAnsiTheme="minorHAnsi" w:cstheme="minorHAnsi"/>
                <w:sz w:val="22"/>
              </w:rPr>
            </w:pPr>
            <w:r w:rsidRPr="004A253E">
              <w:rPr>
                <w:rFonts w:asciiTheme="minorHAnsi" w:hAnsiTheme="minorHAnsi" w:cstheme="minorHAnsi"/>
                <w:sz w:val="22"/>
              </w:rPr>
              <w:t>2</w:t>
            </w:r>
            <w:r w:rsidRPr="004A253E">
              <w:rPr>
                <w:rFonts w:asciiTheme="minorHAnsi" w:hAnsiTheme="minorHAnsi" w:cstheme="minorHAnsi"/>
                <w:sz w:val="22"/>
              </w:rPr>
              <w:tab/>
              <w:t>promover y presentar candidatas para los puestos de Secretaria General, Vicesecretaria General, Directoras de Oficinas y miembros de la Junta del Reglamento de Radiocomunicaciones.</w:t>
            </w:r>
          </w:p>
        </w:tc>
      </w:tr>
      <w:tr w:rsidR="00E52AC4" w:rsidRPr="004A253E" w14:paraId="21F80634" w14:textId="77777777" w:rsidTr="00C914D3">
        <w:trPr>
          <w:jc w:val="center"/>
        </w:trPr>
        <w:tc>
          <w:tcPr>
            <w:tcW w:w="1985" w:type="dxa"/>
          </w:tcPr>
          <w:p w14:paraId="2AF1EAED" w14:textId="34508D1B" w:rsidR="00E52AC4" w:rsidRPr="004A253E" w:rsidRDefault="00E52AC4" w:rsidP="00BD49E7">
            <w:pPr>
              <w:rPr>
                <w:rFonts w:asciiTheme="minorHAnsi" w:hAnsiTheme="minorHAnsi" w:cstheme="minorHAnsi"/>
                <w:sz w:val="22"/>
              </w:rPr>
            </w:pPr>
            <w:r w:rsidRPr="004A253E">
              <w:rPr>
                <w:rFonts w:asciiTheme="minorHAnsi" w:hAnsiTheme="minorHAnsi" w:cstheme="minorHAnsi"/>
                <w:sz w:val="22"/>
              </w:rPr>
              <w:t xml:space="preserve">16ª Sesión Plenaria, </w:t>
            </w:r>
            <w:hyperlink r:id="rId26" w:history="1">
              <w:r w:rsidRPr="004A253E">
                <w:rPr>
                  <w:rStyle w:val="Hyperlink"/>
                  <w:rFonts w:asciiTheme="minorHAnsi" w:hAnsiTheme="minorHAnsi" w:cstheme="minorHAnsi"/>
                  <w:sz w:val="22"/>
                </w:rPr>
                <w:t>173</w:t>
              </w:r>
            </w:hyperlink>
          </w:p>
        </w:tc>
        <w:tc>
          <w:tcPr>
            <w:tcW w:w="709" w:type="dxa"/>
          </w:tcPr>
          <w:p w14:paraId="1DCE5826" w14:textId="77777777" w:rsidR="00E52AC4" w:rsidRPr="004A253E" w:rsidRDefault="00E52AC4" w:rsidP="00FA7632">
            <w:pPr>
              <w:rPr>
                <w:rFonts w:asciiTheme="minorHAnsi" w:hAnsiTheme="minorHAnsi" w:cstheme="minorHAnsi"/>
                <w:sz w:val="22"/>
              </w:rPr>
            </w:pPr>
            <w:r w:rsidRPr="004A253E">
              <w:rPr>
                <w:rFonts w:asciiTheme="minorHAnsi" w:hAnsiTheme="minorHAnsi" w:cstheme="minorHAnsi"/>
                <w:sz w:val="22"/>
              </w:rPr>
              <w:t>1.3</w:t>
            </w:r>
          </w:p>
        </w:tc>
        <w:tc>
          <w:tcPr>
            <w:tcW w:w="1559" w:type="dxa"/>
          </w:tcPr>
          <w:p w14:paraId="10185950" w14:textId="3DAEB045" w:rsidR="00E52AC4" w:rsidRPr="004A253E" w:rsidRDefault="00E52AC4" w:rsidP="00FA7632">
            <w:pPr>
              <w:rPr>
                <w:rFonts w:asciiTheme="minorHAnsi" w:hAnsiTheme="minorHAnsi" w:cstheme="minorHAnsi"/>
                <w:sz w:val="22"/>
              </w:rPr>
            </w:pPr>
            <w:r w:rsidRPr="004A253E">
              <w:rPr>
                <w:rFonts w:asciiTheme="minorHAnsi" w:hAnsiTheme="minorHAnsi" w:cstheme="minorHAnsi"/>
                <w:sz w:val="22"/>
              </w:rPr>
              <w:t>Com. 5 (</w:t>
            </w:r>
            <w:hyperlink r:id="rId27" w:history="1">
              <w:r w:rsidRPr="004A253E">
                <w:rPr>
                  <w:rStyle w:val="Hyperlink"/>
                  <w:rFonts w:asciiTheme="minorHAnsi" w:hAnsiTheme="minorHAnsi" w:cstheme="minorHAnsi"/>
                  <w:sz w:val="22"/>
                </w:rPr>
                <w:t>155</w:t>
              </w:r>
            </w:hyperlink>
            <w:r w:rsidRPr="004A253E">
              <w:rPr>
                <w:rFonts w:asciiTheme="minorHAnsi" w:hAnsiTheme="minorHAnsi" w:cstheme="minorHAnsi"/>
                <w:sz w:val="22"/>
              </w:rPr>
              <w:t>), Rec. 8</w:t>
            </w:r>
          </w:p>
        </w:tc>
        <w:tc>
          <w:tcPr>
            <w:tcW w:w="5954" w:type="dxa"/>
          </w:tcPr>
          <w:p w14:paraId="11270BAF" w14:textId="77777777" w:rsidR="00E52AC4" w:rsidRPr="004A253E" w:rsidRDefault="00E52AC4" w:rsidP="00FA7632">
            <w:pPr>
              <w:rPr>
                <w:rFonts w:asciiTheme="minorHAnsi" w:hAnsiTheme="minorHAnsi" w:cstheme="minorHAnsi"/>
                <w:sz w:val="22"/>
              </w:rPr>
            </w:pPr>
            <w:r w:rsidRPr="004A253E">
              <w:rPr>
                <w:rFonts w:asciiTheme="minorHAnsi" w:hAnsiTheme="minorHAnsi" w:cstheme="minorHAnsi"/>
                <w:sz w:val="22"/>
              </w:rPr>
              <w:t>La PP-18 invita a la Asamblea Mundial de Normalización de las Telecomunicaciones a examinar, en el contexto del Artículo 3 de la Constitución de la UIT, y a revisar, según proceda, la Resolución 1 de la AMNT, la Resolución 2 de la AMNT, la Resolución 22 de la AMNT y la Resolución 54 de la AMNT, a fin de aclarar los criterios para la creación, participación y disolución de los grupos regionales de las Comisiones de Estudio, así como la función del GANT a este respecto.</w:t>
            </w:r>
          </w:p>
        </w:tc>
      </w:tr>
      <w:tr w:rsidR="00E52AC4" w:rsidRPr="004A253E" w14:paraId="527A3F63" w14:textId="77777777" w:rsidTr="00C914D3">
        <w:trPr>
          <w:jc w:val="center"/>
        </w:trPr>
        <w:tc>
          <w:tcPr>
            <w:tcW w:w="1985" w:type="dxa"/>
          </w:tcPr>
          <w:p w14:paraId="4312B343" w14:textId="5246AB0F" w:rsidR="00E52AC4" w:rsidRPr="004A253E" w:rsidRDefault="00E52AC4" w:rsidP="00A561D3">
            <w:pPr>
              <w:rPr>
                <w:rFonts w:asciiTheme="minorHAnsi" w:hAnsiTheme="minorHAnsi" w:cstheme="minorHAnsi"/>
                <w:sz w:val="22"/>
              </w:rPr>
            </w:pPr>
            <w:r w:rsidRPr="004A253E">
              <w:rPr>
                <w:rFonts w:asciiTheme="minorHAnsi" w:hAnsiTheme="minorHAnsi" w:cstheme="minorHAnsi"/>
                <w:sz w:val="22"/>
              </w:rPr>
              <w:t xml:space="preserve">16ª Sesión Plenaria, </w:t>
            </w:r>
            <w:hyperlink r:id="rId28" w:history="1">
              <w:r w:rsidRPr="004A253E">
                <w:rPr>
                  <w:rStyle w:val="Hyperlink"/>
                  <w:rFonts w:asciiTheme="minorHAnsi" w:hAnsiTheme="minorHAnsi" w:cstheme="minorHAnsi"/>
                  <w:sz w:val="22"/>
                </w:rPr>
                <w:t>173</w:t>
              </w:r>
            </w:hyperlink>
          </w:p>
        </w:tc>
        <w:tc>
          <w:tcPr>
            <w:tcW w:w="709" w:type="dxa"/>
          </w:tcPr>
          <w:p w14:paraId="3F73D7EC" w14:textId="77777777" w:rsidR="00E52AC4" w:rsidRPr="004A253E" w:rsidRDefault="00E52AC4" w:rsidP="00A561D3">
            <w:pPr>
              <w:rPr>
                <w:rFonts w:asciiTheme="minorHAnsi" w:hAnsiTheme="minorHAnsi" w:cstheme="minorHAnsi"/>
                <w:sz w:val="22"/>
              </w:rPr>
            </w:pPr>
            <w:r w:rsidRPr="004A253E">
              <w:rPr>
                <w:rFonts w:asciiTheme="minorHAnsi" w:hAnsiTheme="minorHAnsi" w:cstheme="minorHAnsi"/>
                <w:sz w:val="22"/>
              </w:rPr>
              <w:t>2.2</w:t>
            </w:r>
          </w:p>
        </w:tc>
        <w:tc>
          <w:tcPr>
            <w:tcW w:w="1559" w:type="dxa"/>
          </w:tcPr>
          <w:p w14:paraId="5A2F569E" w14:textId="77777777" w:rsidR="00E52AC4" w:rsidRPr="004A253E" w:rsidRDefault="00E52AC4" w:rsidP="00A561D3">
            <w:pPr>
              <w:rPr>
                <w:rFonts w:asciiTheme="minorHAnsi" w:hAnsiTheme="minorHAnsi" w:cstheme="minorHAnsi"/>
                <w:sz w:val="22"/>
              </w:rPr>
            </w:pPr>
            <w:r w:rsidRPr="004A253E">
              <w:rPr>
                <w:rFonts w:asciiTheme="minorHAnsi" w:hAnsiTheme="minorHAnsi" w:cstheme="minorHAnsi"/>
                <w:sz w:val="22"/>
              </w:rPr>
              <w:t>Com. 6</w:t>
            </w:r>
          </w:p>
        </w:tc>
        <w:tc>
          <w:tcPr>
            <w:tcW w:w="5954" w:type="dxa"/>
          </w:tcPr>
          <w:p w14:paraId="651ADC17" w14:textId="77777777" w:rsidR="00E52AC4" w:rsidRPr="004A253E" w:rsidRDefault="00E52AC4" w:rsidP="00A561D3">
            <w:pPr>
              <w:rPr>
                <w:rFonts w:asciiTheme="minorHAnsi" w:hAnsiTheme="minorHAnsi" w:cstheme="minorHAnsi"/>
                <w:sz w:val="22"/>
              </w:rPr>
            </w:pPr>
            <w:r w:rsidRPr="004A253E">
              <w:rPr>
                <w:rFonts w:asciiTheme="minorHAnsi" w:hAnsiTheme="minorHAnsi" w:cstheme="minorHAnsi"/>
                <w:sz w:val="22"/>
              </w:rPr>
              <w:t>En cuanto a la Decisión 12, la Comisión ha acordado no modificar la Decisión; en su lugar, recomendará a la UIT que emprenda un estudio encaminado a determinar qué documentos y publicaciones es realmente necesario publicar en los seis idiomas de la Unión.</w:t>
            </w:r>
          </w:p>
        </w:tc>
      </w:tr>
      <w:tr w:rsidR="00E52AC4" w:rsidRPr="004A253E" w14:paraId="2A1830E4" w14:textId="77777777" w:rsidTr="00C914D3">
        <w:trPr>
          <w:jc w:val="center"/>
        </w:trPr>
        <w:tc>
          <w:tcPr>
            <w:tcW w:w="1985" w:type="dxa"/>
          </w:tcPr>
          <w:p w14:paraId="36DE9B6C" w14:textId="46AD29EC"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lastRenderedPageBreak/>
              <w:t xml:space="preserve">16ª Sesión Plenaria, </w:t>
            </w:r>
            <w:hyperlink r:id="rId29" w:history="1">
              <w:r w:rsidRPr="004A253E">
                <w:rPr>
                  <w:rStyle w:val="Hyperlink"/>
                  <w:rFonts w:asciiTheme="minorHAnsi" w:hAnsiTheme="minorHAnsi" w:cstheme="minorHAnsi"/>
                  <w:sz w:val="22"/>
                </w:rPr>
                <w:t>173</w:t>
              </w:r>
            </w:hyperlink>
          </w:p>
        </w:tc>
        <w:tc>
          <w:tcPr>
            <w:tcW w:w="709" w:type="dxa"/>
          </w:tcPr>
          <w:p w14:paraId="14FD4BA3" w14:textId="77777777"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2.4</w:t>
            </w:r>
            <w:r w:rsidRPr="004A253E">
              <w:rPr>
                <w:rFonts w:asciiTheme="minorHAnsi" w:hAnsiTheme="minorHAnsi" w:cstheme="minorHAnsi"/>
                <w:sz w:val="22"/>
              </w:rPr>
              <w:br/>
              <w:t>y</w:t>
            </w:r>
            <w:r w:rsidRPr="004A253E">
              <w:rPr>
                <w:rFonts w:asciiTheme="minorHAnsi" w:hAnsiTheme="minorHAnsi" w:cstheme="minorHAnsi"/>
                <w:sz w:val="22"/>
              </w:rPr>
              <w:br/>
              <w:t>2.13</w:t>
            </w:r>
          </w:p>
        </w:tc>
        <w:tc>
          <w:tcPr>
            <w:tcW w:w="1559" w:type="dxa"/>
          </w:tcPr>
          <w:p w14:paraId="544B780B" w14:textId="77777777"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Com. 6</w:t>
            </w:r>
          </w:p>
        </w:tc>
        <w:tc>
          <w:tcPr>
            <w:tcW w:w="5954" w:type="dxa"/>
          </w:tcPr>
          <w:p w14:paraId="6E4910F0" w14:textId="77777777"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2.4</w:t>
            </w:r>
            <w:r w:rsidRPr="004A253E">
              <w:rPr>
                <w:rFonts w:asciiTheme="minorHAnsi" w:hAnsiTheme="minorHAnsi" w:cstheme="minorHAnsi"/>
                <w:sz w:val="22"/>
              </w:rPr>
              <w:tab/>
              <w:t xml:space="preserve">La Comisión ha acordado incluir un texto en el informe del </w:t>
            </w:r>
            <w:proofErr w:type="gramStart"/>
            <w:r w:rsidRPr="004A253E">
              <w:rPr>
                <w:rFonts w:asciiTheme="minorHAnsi" w:hAnsiTheme="minorHAnsi" w:cstheme="minorHAnsi"/>
                <w:sz w:val="22"/>
              </w:rPr>
              <w:t>Presidente</w:t>
            </w:r>
            <w:proofErr w:type="gramEnd"/>
            <w:r w:rsidRPr="004A253E">
              <w:rPr>
                <w:rFonts w:asciiTheme="minorHAnsi" w:hAnsiTheme="minorHAnsi" w:cstheme="minorHAnsi"/>
                <w:sz w:val="22"/>
              </w:rPr>
              <w:t xml:space="preserve"> de la Comisión 6 que, de ser aprobado por la Plenaria e incluido en sus actas, permitirá suprimir la Resolución 192 (Busán, 2014), relativa a la participación de la UIT en Memorandos de Entendimiento con repercusiones financieras y/o estratégicas.</w:t>
            </w:r>
          </w:p>
          <w:p w14:paraId="041BCA51" w14:textId="77777777"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2.13</w:t>
            </w:r>
            <w:r w:rsidRPr="004A253E">
              <w:rPr>
                <w:rFonts w:asciiTheme="minorHAnsi" w:hAnsiTheme="minorHAnsi" w:cstheme="minorHAnsi"/>
                <w:sz w:val="22"/>
              </w:rPr>
              <w:tab/>
              <w:t>Por consiguiente, se aprueba el siguiente texto como decisión de la Conferencia:</w:t>
            </w:r>
          </w:p>
          <w:p w14:paraId="392D341B" w14:textId="1D9139EC" w:rsidR="00E52AC4" w:rsidRPr="004A253E" w:rsidRDefault="001E135E" w:rsidP="00C73F9F">
            <w:pPr>
              <w:keepNext/>
              <w:keepLines/>
              <w:rPr>
                <w:rFonts w:asciiTheme="minorHAnsi" w:hAnsiTheme="minorHAnsi" w:cstheme="minorHAnsi"/>
                <w:sz w:val="22"/>
              </w:rPr>
            </w:pPr>
            <w:r w:rsidRPr="004A253E">
              <w:rPr>
                <w:rFonts w:asciiTheme="minorHAnsi" w:hAnsiTheme="minorHAnsi" w:cstheme="minorHAnsi"/>
                <w:sz w:val="22"/>
              </w:rPr>
              <w:t>"</w:t>
            </w:r>
            <w:r w:rsidR="00E52AC4" w:rsidRPr="004A253E">
              <w:rPr>
                <w:rFonts w:asciiTheme="minorHAnsi" w:hAnsiTheme="minorHAnsi" w:cstheme="minorHAnsi"/>
                <w:sz w:val="22"/>
              </w:rPr>
              <w:t>Esta Conferencia de Plenipotenciarios (Dubái, 2018) considera que los Memorandos de Entendimiento en los que participa la UIT y que tienen, al parecer del Secretario General, notorias consecuencias financieras y/o estratégicas, únicamente deberían concertarse con la aprobación previa del Consejo.</w:t>
            </w:r>
          </w:p>
          <w:p w14:paraId="1634CFDF" w14:textId="77777777"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En consecuencia, el Secretario General someterá a la reunión ordinaria del Consejo, para su aprobación previa, los Memorandos de Entendimiento que tengan repercusiones financieras o estratégicas sustanciales.</w:t>
            </w:r>
          </w:p>
          <w:p w14:paraId="03174C3F" w14:textId="77777777"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Por otro lado, se seguirá presentando un informe sobre los demás Memorandos de Entendimiento concertados por la UIT durante el periodo pertinente.</w:t>
            </w:r>
          </w:p>
          <w:p w14:paraId="2FD4C323" w14:textId="77777777"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El Consejo, al examinar la participación de la UIT en los Memorandos de Entendimiento que tengan notorias repercusiones financieras y/o estratégicas, aplicará los principios siguientes:</w:t>
            </w:r>
          </w:p>
          <w:p w14:paraId="104EDCAD" w14:textId="77777777" w:rsidR="00E52AC4" w:rsidRPr="004A253E" w:rsidRDefault="00E52AC4" w:rsidP="00A52A64">
            <w:pPr>
              <w:pStyle w:val="enumlev1"/>
              <w:spacing w:before="60"/>
              <w:rPr>
                <w:rFonts w:asciiTheme="minorHAnsi" w:hAnsiTheme="minorHAnsi" w:cstheme="minorHAnsi"/>
                <w:sz w:val="22"/>
              </w:rPr>
            </w:pPr>
            <w:r w:rsidRPr="004A253E">
              <w:rPr>
                <w:rFonts w:asciiTheme="minorHAnsi" w:hAnsiTheme="minorHAnsi" w:cstheme="minorHAnsi"/>
                <w:sz w:val="22"/>
              </w:rPr>
              <w:t>i)</w:t>
            </w:r>
            <w:r w:rsidRPr="004A253E">
              <w:rPr>
                <w:rFonts w:asciiTheme="minorHAnsi" w:hAnsiTheme="minorHAnsi" w:cstheme="minorHAnsi"/>
                <w:sz w:val="22"/>
              </w:rPr>
              <w:tab/>
              <w:t>que toda intervención del Secretario General en este sentido contribuya al objeto de la Unión especificado en el Artículo 1 de la Constitución, sea acorde con él y se inscriba dentro de los Planes Estratégico y Financiero de la Unión;</w:t>
            </w:r>
          </w:p>
          <w:p w14:paraId="3C74A3DA" w14:textId="77777777" w:rsidR="00E52AC4" w:rsidRPr="004A253E" w:rsidRDefault="00E52AC4" w:rsidP="00A52A64">
            <w:pPr>
              <w:pStyle w:val="enumlev1"/>
              <w:spacing w:before="60"/>
              <w:rPr>
                <w:rFonts w:asciiTheme="minorHAnsi" w:hAnsiTheme="minorHAnsi" w:cstheme="minorHAnsi"/>
                <w:sz w:val="22"/>
              </w:rPr>
            </w:pPr>
            <w:r w:rsidRPr="004A253E">
              <w:rPr>
                <w:rFonts w:asciiTheme="minorHAnsi" w:hAnsiTheme="minorHAnsi" w:cstheme="minorHAnsi"/>
                <w:sz w:val="22"/>
              </w:rPr>
              <w:t>ii)</w:t>
            </w:r>
            <w:r w:rsidRPr="004A253E">
              <w:rPr>
                <w:rFonts w:asciiTheme="minorHAnsi" w:hAnsiTheme="minorHAnsi" w:cstheme="minorHAnsi"/>
                <w:sz w:val="22"/>
              </w:rPr>
              <w:tab/>
              <w:t>que se mantenga informados a los Estados Miembros y a los Miembros de Sector de las actividades de la UIT cuando concierte Memorandos de Entendimiento que tengan repercusiones financieras y/o estratégicas sustanciales;</w:t>
            </w:r>
          </w:p>
          <w:p w14:paraId="61BEB537" w14:textId="77777777" w:rsidR="00E52AC4" w:rsidRPr="004A253E" w:rsidRDefault="00E52AC4" w:rsidP="00A52A64">
            <w:pPr>
              <w:pStyle w:val="enumlev1"/>
              <w:spacing w:before="60"/>
              <w:rPr>
                <w:rFonts w:asciiTheme="minorHAnsi" w:hAnsiTheme="minorHAnsi" w:cstheme="minorHAnsi"/>
                <w:sz w:val="22"/>
              </w:rPr>
            </w:pPr>
            <w:r w:rsidRPr="004A253E">
              <w:rPr>
                <w:rFonts w:asciiTheme="minorHAnsi" w:hAnsiTheme="minorHAnsi" w:cstheme="minorHAnsi"/>
                <w:sz w:val="22"/>
              </w:rPr>
              <w:t>iii)</w:t>
            </w:r>
            <w:r w:rsidRPr="004A253E">
              <w:rPr>
                <w:rFonts w:asciiTheme="minorHAnsi" w:hAnsiTheme="minorHAnsi" w:cstheme="minorHAnsi"/>
                <w:sz w:val="22"/>
              </w:rPr>
              <w:tab/>
              <w:t>que se respeten y preserven plenamente la soberanía y los derechos de los Estados Miembros de la UIT.</w:t>
            </w:r>
          </w:p>
          <w:p w14:paraId="6C3AE2B5" w14:textId="15EC179B" w:rsidR="00E52AC4" w:rsidRPr="004A253E" w:rsidRDefault="00E52AC4" w:rsidP="00C73F9F">
            <w:pPr>
              <w:keepNext/>
              <w:keepLines/>
              <w:rPr>
                <w:rFonts w:asciiTheme="minorHAnsi" w:hAnsiTheme="minorHAnsi" w:cstheme="minorHAnsi"/>
                <w:sz w:val="22"/>
              </w:rPr>
            </w:pPr>
            <w:r w:rsidRPr="004A253E">
              <w:rPr>
                <w:rFonts w:asciiTheme="minorHAnsi" w:hAnsiTheme="minorHAnsi" w:cstheme="minorHAnsi"/>
                <w:sz w:val="22"/>
              </w:rPr>
              <w:t>Esta actividad figurará en el Informe del Consejo a la Conferencia de Plenipotenciarios sobre la aplicación del Plan Estratégico y las actividades de la Unión.</w:t>
            </w:r>
            <w:r w:rsidR="001E135E" w:rsidRPr="004A253E">
              <w:rPr>
                <w:rFonts w:asciiTheme="minorHAnsi" w:hAnsiTheme="minorHAnsi" w:cstheme="minorHAnsi"/>
                <w:sz w:val="22"/>
              </w:rPr>
              <w:t>"</w:t>
            </w:r>
          </w:p>
        </w:tc>
      </w:tr>
    </w:tbl>
    <w:p w14:paraId="67852A9D" w14:textId="18336A47" w:rsidR="00C2727F" w:rsidRDefault="00E52AC4" w:rsidP="00A52A64">
      <w:pPr>
        <w:spacing w:before="240" w:after="240"/>
        <w:jc w:val="both"/>
      </w:pPr>
      <w:r w:rsidRPr="00884C3A">
        <w:t>3</w:t>
      </w:r>
      <w:r w:rsidRPr="00884C3A">
        <w:tab/>
      </w:r>
      <w:proofErr w:type="gramStart"/>
      <w:r>
        <w:t>Se</w:t>
      </w:r>
      <w:proofErr w:type="gramEnd"/>
      <w:r>
        <w:t xml:space="preserve"> invita al Consejo a tomar nota de este documento. </w:t>
      </w:r>
    </w:p>
    <w:p w14:paraId="0780E2B7" w14:textId="77777777" w:rsidR="00C914D3" w:rsidRDefault="00C914D3" w:rsidP="00A52A64">
      <w:pPr>
        <w:spacing w:before="240" w:after="240"/>
        <w:jc w:val="both"/>
      </w:pPr>
    </w:p>
    <w:p w14:paraId="7506AE57" w14:textId="43153499" w:rsidR="00C73F9F" w:rsidRDefault="00C73F9F" w:rsidP="00C73F9F">
      <w:pPr>
        <w:jc w:val="center"/>
      </w:pPr>
      <w:r>
        <w:t>______________</w:t>
      </w:r>
    </w:p>
    <w:sectPr w:rsidR="00C73F9F" w:rsidSect="006710F6">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B83B2" w14:textId="77777777" w:rsidR="00F77992" w:rsidRDefault="00F77992">
      <w:r>
        <w:separator/>
      </w:r>
    </w:p>
  </w:endnote>
  <w:endnote w:type="continuationSeparator" w:id="0">
    <w:p w14:paraId="3053C552" w14:textId="77777777" w:rsidR="00F77992" w:rsidRDefault="00F7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E7573" w14:textId="4785DCCA" w:rsidR="00760F1C" w:rsidRPr="00F77992" w:rsidRDefault="006B781C" w:rsidP="00F77992">
    <w:pPr>
      <w:pStyle w:val="Footer"/>
      <w:rPr>
        <w:lang w:val="fr-FR"/>
      </w:rPr>
    </w:pPr>
    <w:r w:rsidRPr="00F77992">
      <w:fldChar w:fldCharType="begin"/>
    </w:r>
    <w:r w:rsidRPr="00F77992">
      <w:rPr>
        <w:lang w:val="fr-FR"/>
      </w:rPr>
      <w:instrText xml:space="preserve"> FILENAME \p  \* MERGEFORMAT </w:instrText>
    </w:r>
    <w:r w:rsidRPr="00F77992">
      <w:fldChar w:fldCharType="separate"/>
    </w:r>
    <w:r w:rsidR="00C211DC">
      <w:rPr>
        <w:lang w:val="fr-FR"/>
      </w:rPr>
      <w:t>P:\ESP\SG\CONSEIL\C21\000\058S.docx</w:t>
    </w:r>
    <w:r w:rsidRPr="00F77992">
      <w:fldChar w:fldCharType="end"/>
    </w:r>
    <w:r w:rsidRPr="00F77992">
      <w:rPr>
        <w:lang w:val="fr-FR"/>
      </w:rPr>
      <w:t xml:space="preserve"> </w:t>
    </w:r>
    <w:r w:rsidRPr="00F77992">
      <w:rPr>
        <w:lang w:val="fr-CH"/>
      </w:rPr>
      <w:t>(</w:t>
    </w:r>
    <w:r w:rsidR="006F6D78" w:rsidRPr="006F6D78">
      <w:rPr>
        <w:lang w:val="fr-CH"/>
      </w:rPr>
      <w:t>483263</w:t>
    </w:r>
    <w:r w:rsidRPr="00F77992">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3E2F7" w14:textId="66A0A012" w:rsidR="00760F1C" w:rsidRDefault="00760F1C">
    <w:pPr>
      <w:spacing w:after="120"/>
      <w:jc w:val="center"/>
    </w:pPr>
    <w:r>
      <w:t xml:space="preserve">• </w:t>
    </w:r>
    <w:hyperlink r:id="rId1" w:history="1">
      <w:r w:rsidR="00E52AC4" w:rsidRPr="002E2603">
        <w:rPr>
          <w:rStyle w:val="Hyperlink"/>
        </w:rPr>
        <w:t>https://www.itu.int/es/council/</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71A2C" w14:textId="77777777" w:rsidR="00F77992" w:rsidRDefault="00F77992">
      <w:r>
        <w:t>____________________</w:t>
      </w:r>
    </w:p>
  </w:footnote>
  <w:footnote w:type="continuationSeparator" w:id="0">
    <w:p w14:paraId="10DBA0C0" w14:textId="77777777" w:rsidR="00F77992" w:rsidRDefault="00F77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6A73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7D8C5C9" w14:textId="029B55FA" w:rsidR="00760F1C" w:rsidRDefault="00760F1C" w:rsidP="00C2727F">
    <w:pPr>
      <w:pStyle w:val="Header"/>
    </w:pPr>
    <w:r>
      <w:t>C</w:t>
    </w:r>
    <w:r w:rsidR="007955DA">
      <w:t>2</w:t>
    </w:r>
    <w:r w:rsidR="00641060">
      <w:t>1</w:t>
    </w:r>
    <w:r>
      <w:t>/</w:t>
    </w:r>
    <w:r w:rsidR="006B781C">
      <w:t>58</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593B"/>
    <w:multiLevelType w:val="multilevel"/>
    <w:tmpl w:val="057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92"/>
    <w:rsid w:val="00093EEB"/>
    <w:rsid w:val="000B0D00"/>
    <w:rsid w:val="000B7C15"/>
    <w:rsid w:val="000C5E8B"/>
    <w:rsid w:val="000D1D0F"/>
    <w:rsid w:val="000F5290"/>
    <w:rsid w:val="0010165C"/>
    <w:rsid w:val="00146BFB"/>
    <w:rsid w:val="001E135E"/>
    <w:rsid w:val="001F14A2"/>
    <w:rsid w:val="002423E1"/>
    <w:rsid w:val="002801AA"/>
    <w:rsid w:val="002C4676"/>
    <w:rsid w:val="002C70B0"/>
    <w:rsid w:val="002F3CC4"/>
    <w:rsid w:val="00394DA6"/>
    <w:rsid w:val="004A253E"/>
    <w:rsid w:val="004E06A0"/>
    <w:rsid w:val="00513630"/>
    <w:rsid w:val="00560125"/>
    <w:rsid w:val="00585553"/>
    <w:rsid w:val="005B34D9"/>
    <w:rsid w:val="005D0CCF"/>
    <w:rsid w:val="005F3BCB"/>
    <w:rsid w:val="005F410F"/>
    <w:rsid w:val="0060149A"/>
    <w:rsid w:val="00601924"/>
    <w:rsid w:val="00641060"/>
    <w:rsid w:val="006447EA"/>
    <w:rsid w:val="0064731F"/>
    <w:rsid w:val="00664572"/>
    <w:rsid w:val="006710F6"/>
    <w:rsid w:val="006B781C"/>
    <w:rsid w:val="006C1B56"/>
    <w:rsid w:val="006D4761"/>
    <w:rsid w:val="006F6D78"/>
    <w:rsid w:val="00716166"/>
    <w:rsid w:val="00726872"/>
    <w:rsid w:val="00760F1C"/>
    <w:rsid w:val="007657F0"/>
    <w:rsid w:val="0077252D"/>
    <w:rsid w:val="007955DA"/>
    <w:rsid w:val="007A0690"/>
    <w:rsid w:val="007E5DD3"/>
    <w:rsid w:val="007F350B"/>
    <w:rsid w:val="00820BE4"/>
    <w:rsid w:val="008451E8"/>
    <w:rsid w:val="00913B9C"/>
    <w:rsid w:val="00956E77"/>
    <w:rsid w:val="009F4811"/>
    <w:rsid w:val="00A52A64"/>
    <w:rsid w:val="00AA390C"/>
    <w:rsid w:val="00B0200A"/>
    <w:rsid w:val="00B574DB"/>
    <w:rsid w:val="00B826C2"/>
    <w:rsid w:val="00B8298E"/>
    <w:rsid w:val="00B83729"/>
    <w:rsid w:val="00BD0723"/>
    <w:rsid w:val="00BD2518"/>
    <w:rsid w:val="00BF1D1C"/>
    <w:rsid w:val="00C20C59"/>
    <w:rsid w:val="00C211DC"/>
    <w:rsid w:val="00C2727F"/>
    <w:rsid w:val="00C55B1F"/>
    <w:rsid w:val="00C73F9F"/>
    <w:rsid w:val="00C914D3"/>
    <w:rsid w:val="00CF1A67"/>
    <w:rsid w:val="00D2750E"/>
    <w:rsid w:val="00D62446"/>
    <w:rsid w:val="00DA4EA2"/>
    <w:rsid w:val="00DC3D3E"/>
    <w:rsid w:val="00DD1E3D"/>
    <w:rsid w:val="00DE2C90"/>
    <w:rsid w:val="00DE3B24"/>
    <w:rsid w:val="00E06947"/>
    <w:rsid w:val="00E3592D"/>
    <w:rsid w:val="00E52AC4"/>
    <w:rsid w:val="00E92DE8"/>
    <w:rsid w:val="00E942B1"/>
    <w:rsid w:val="00EB1212"/>
    <w:rsid w:val="00ED65AB"/>
    <w:rsid w:val="00EE547B"/>
    <w:rsid w:val="00F00A37"/>
    <w:rsid w:val="00F028CA"/>
    <w:rsid w:val="00F12850"/>
    <w:rsid w:val="00F33BF4"/>
    <w:rsid w:val="00F7105E"/>
    <w:rsid w:val="00F75F57"/>
    <w:rsid w:val="00F77992"/>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825B08"/>
  <w15:docId w15:val="{FC2F6244-9371-434C-83BB-9EA869BC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F7799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table" w:styleId="TableGrid">
    <w:name w:val="Table Grid"/>
    <w:basedOn w:val="TableNormal"/>
    <w:uiPriority w:val="39"/>
    <w:rsid w:val="00E52A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AC4"/>
    <w:rPr>
      <w:color w:val="605E5C"/>
      <w:shd w:val="clear" w:color="auto" w:fill="E1DFDD"/>
    </w:rPr>
  </w:style>
  <w:style w:type="paragraph" w:customStyle="1" w:styleId="en">
    <w:name w:val="en"/>
    <w:basedOn w:val="Normal"/>
    <w:rsid w:val="00A52A64"/>
    <w:pPr>
      <w:keepNext/>
      <w:keepLines/>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07/es" TargetMode="External"/><Relationship Id="rId13" Type="http://schemas.openxmlformats.org/officeDocument/2006/relationships/hyperlink" Target="https://www.itu.int/md/S18-PP-C-0155/es" TargetMode="External"/><Relationship Id="rId18" Type="http://schemas.openxmlformats.org/officeDocument/2006/relationships/hyperlink" Target="https://www.itu.int/md/S18-PP-C-0173/es" TargetMode="External"/><Relationship Id="rId26" Type="http://schemas.openxmlformats.org/officeDocument/2006/relationships/hyperlink" Target="https://www.itu.int/md/S18-PP-C-0173/es" TargetMode="External"/><Relationship Id="rId3" Type="http://schemas.openxmlformats.org/officeDocument/2006/relationships/settings" Target="settings.xml"/><Relationship Id="rId21" Type="http://schemas.openxmlformats.org/officeDocument/2006/relationships/hyperlink" Target="https://www.itu.int/md/S18-PP-C-0155/es"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md/S18-PP-C-0173/es" TargetMode="External"/><Relationship Id="rId17" Type="http://schemas.openxmlformats.org/officeDocument/2006/relationships/hyperlink" Target="https://www.itu.int/md/S18-PP-C-0155/es" TargetMode="External"/><Relationship Id="rId25" Type="http://schemas.openxmlformats.org/officeDocument/2006/relationships/hyperlink" Target="https://www.itu.int/md/S18-PP-C-0155/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18-PP-C-0173/es" TargetMode="External"/><Relationship Id="rId20" Type="http://schemas.openxmlformats.org/officeDocument/2006/relationships/hyperlink" Target="https://www.itu.int/md/S18-PP-C-0173/es" TargetMode="External"/><Relationship Id="rId29" Type="http://schemas.openxmlformats.org/officeDocument/2006/relationships/hyperlink" Target="https://www.itu.int/md/S18-PP-C-0173/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CL-C-0107/es" TargetMode="External"/><Relationship Id="rId24" Type="http://schemas.openxmlformats.org/officeDocument/2006/relationships/hyperlink" Target="https://www.itu.int/md/S18-PP-C-0173/e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18-PP-C-0155/es" TargetMode="External"/><Relationship Id="rId23" Type="http://schemas.openxmlformats.org/officeDocument/2006/relationships/hyperlink" Target="https://www.itu.int/md/S18-PP-C-0155/es" TargetMode="External"/><Relationship Id="rId28" Type="http://schemas.openxmlformats.org/officeDocument/2006/relationships/hyperlink" Target="https://www.itu.int/md/S18-PP-C-0173/es" TargetMode="External"/><Relationship Id="rId10" Type="http://schemas.openxmlformats.org/officeDocument/2006/relationships/hyperlink" Target="https://www.itu.int/md/S20-CL-C-0058/en" TargetMode="External"/><Relationship Id="rId19" Type="http://schemas.openxmlformats.org/officeDocument/2006/relationships/hyperlink" Target="https://www.itu.int/md/S18-PP-C-0155/e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19-CL-C-0120/es" TargetMode="External"/><Relationship Id="rId14" Type="http://schemas.openxmlformats.org/officeDocument/2006/relationships/hyperlink" Target="https://www.itu.int/md/S18-PP-C-0173/es" TargetMode="External"/><Relationship Id="rId22" Type="http://schemas.openxmlformats.org/officeDocument/2006/relationships/hyperlink" Target="https://www.itu.int/md/S18-PP-C-0173/es" TargetMode="External"/><Relationship Id="rId27" Type="http://schemas.openxmlformats.org/officeDocument/2006/relationships/hyperlink" Target="https://www.itu.int/md/S18-PP-C-0155/es"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s/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17</TotalTime>
  <Pages>5</Pages>
  <Words>1713</Words>
  <Characters>10100</Characters>
  <Application>Microsoft Office Word</Application>
  <DocSecurity>0</DocSecurity>
  <Lines>84</Lines>
  <Paragraphs>23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11790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C2020, C20</cp:keywords>
  <dc:description/>
  <cp:lastModifiedBy>Catalano Moreira, Rossana</cp:lastModifiedBy>
  <cp:revision>7</cp:revision>
  <cp:lastPrinted>2006-03-24T09:51:00Z</cp:lastPrinted>
  <dcterms:created xsi:type="dcterms:W3CDTF">2021-03-16T12:29:00Z</dcterms:created>
  <dcterms:modified xsi:type="dcterms:W3CDTF">2021-03-16T12:47:00Z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