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 w14:paraId="480FEA72" w14:textId="77777777">
        <w:trPr>
          <w:cantSplit/>
        </w:trPr>
        <w:tc>
          <w:tcPr>
            <w:tcW w:w="6912" w:type="dxa"/>
          </w:tcPr>
          <w:p w14:paraId="0CC2292D" w14:textId="77777777" w:rsidR="00093EEB" w:rsidRPr="000B0D00" w:rsidRDefault="00093EEB" w:rsidP="00C2727F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093EEB">
              <w:rPr>
                <w:b/>
                <w:bCs/>
                <w:sz w:val="30"/>
                <w:szCs w:val="30"/>
              </w:rPr>
              <w:t>Consejo 20</w:t>
            </w:r>
            <w:r w:rsidR="007955DA">
              <w:rPr>
                <w:b/>
                <w:bCs/>
                <w:sz w:val="30"/>
                <w:szCs w:val="30"/>
              </w:rPr>
              <w:t>2</w:t>
            </w:r>
            <w:r w:rsidR="000007D1">
              <w:rPr>
                <w:b/>
                <w:bCs/>
                <w:sz w:val="30"/>
                <w:szCs w:val="30"/>
              </w:rPr>
              <w:t>1</w:t>
            </w:r>
            <w:r w:rsidRPr="00093EEB">
              <w:rPr>
                <w:b/>
                <w:bCs/>
                <w:sz w:val="26"/>
                <w:szCs w:val="26"/>
              </w:rPr>
              <w:br/>
            </w:r>
            <w:bookmarkStart w:id="2" w:name="lt_pId446"/>
            <w:r w:rsidR="000007D1" w:rsidRPr="000007D1">
              <w:rPr>
                <w:b/>
                <w:bCs/>
                <w:sz w:val="26"/>
                <w:szCs w:val="26"/>
              </w:rPr>
              <w:t>Consulta virtual de los consejeros</w:t>
            </w:r>
            <w:bookmarkEnd w:id="2"/>
            <w:r w:rsidRPr="000007D1">
              <w:rPr>
                <w:b/>
                <w:bCs/>
                <w:sz w:val="26"/>
                <w:szCs w:val="26"/>
              </w:rPr>
              <w:t xml:space="preserve">, </w:t>
            </w:r>
            <w:r w:rsidR="000007D1" w:rsidRPr="000007D1">
              <w:rPr>
                <w:b/>
                <w:bCs/>
                <w:sz w:val="26"/>
                <w:szCs w:val="26"/>
              </w:rPr>
              <w:t>8</w:t>
            </w:r>
            <w:r w:rsidRPr="000007D1">
              <w:rPr>
                <w:b/>
                <w:bCs/>
                <w:sz w:val="26"/>
                <w:szCs w:val="26"/>
              </w:rPr>
              <w:t>-</w:t>
            </w:r>
            <w:r w:rsidR="007955DA" w:rsidRPr="000007D1">
              <w:rPr>
                <w:b/>
                <w:bCs/>
                <w:sz w:val="26"/>
                <w:szCs w:val="26"/>
              </w:rPr>
              <w:t>1</w:t>
            </w:r>
            <w:r w:rsidR="000007D1" w:rsidRPr="000007D1">
              <w:rPr>
                <w:b/>
                <w:bCs/>
                <w:sz w:val="26"/>
                <w:szCs w:val="26"/>
              </w:rPr>
              <w:t>8</w:t>
            </w:r>
            <w:r w:rsidRPr="000007D1">
              <w:rPr>
                <w:b/>
                <w:bCs/>
                <w:sz w:val="26"/>
                <w:szCs w:val="26"/>
              </w:rPr>
              <w:t xml:space="preserve"> de </w:t>
            </w:r>
            <w:r w:rsidR="00C2727F" w:rsidRPr="000007D1">
              <w:rPr>
                <w:b/>
                <w:bCs/>
                <w:sz w:val="26"/>
                <w:szCs w:val="26"/>
              </w:rPr>
              <w:t>junio</w:t>
            </w:r>
            <w:r w:rsidRPr="000007D1">
              <w:rPr>
                <w:b/>
                <w:bCs/>
                <w:sz w:val="26"/>
                <w:szCs w:val="26"/>
              </w:rPr>
              <w:t xml:space="preserve"> de 20</w:t>
            </w:r>
            <w:r w:rsidR="007955DA" w:rsidRPr="000007D1">
              <w:rPr>
                <w:b/>
                <w:bCs/>
                <w:sz w:val="26"/>
                <w:szCs w:val="26"/>
              </w:rPr>
              <w:t>2</w:t>
            </w:r>
            <w:r w:rsidR="000007D1" w:rsidRPr="000007D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14:paraId="0FB25913" w14:textId="77777777" w:rsidR="00093EEB" w:rsidRPr="000B0D00" w:rsidRDefault="007955DA" w:rsidP="007955DA">
            <w:pPr>
              <w:spacing w:before="0"/>
              <w:rPr>
                <w:szCs w:val="24"/>
              </w:rPr>
            </w:pPr>
            <w:bookmarkStart w:id="3" w:name="ditulogo"/>
            <w:bookmarkEnd w:id="3"/>
            <w:r>
              <w:rPr>
                <w:noProof/>
                <w:lang w:eastAsia="zh-CN"/>
              </w:rPr>
              <w:drawing>
                <wp:inline distT="0" distB="0" distL="0" distR="0" wp14:anchorId="7BA95442" wp14:editId="2A1263E9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 w14:paraId="4F582BCE" w14:textId="77777777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14:paraId="25A1E843" w14:textId="77777777" w:rsidR="00093EEB" w:rsidRPr="00EB1212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 w14:paraId="46D6777C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04955309" w14:textId="77777777" w:rsidR="00093EEB" w:rsidRPr="000B0D00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F9F2189" w14:textId="77777777" w:rsidR="00093EEB" w:rsidRPr="000B0D00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 w14:paraId="321961DB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2CB2AD7C" w14:textId="113C1BA6" w:rsidR="00093EEB" w:rsidRPr="00093EEB" w:rsidRDefault="009E3013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4" w:name="dnum" w:colFirst="1" w:colLast="1"/>
            <w:bookmarkStart w:id="5" w:name="dmeeting" w:colFirst="0" w:colLast="0"/>
            <w:r w:rsidRPr="009E3013">
              <w:rPr>
                <w:rFonts w:cs="Times"/>
                <w:b/>
                <w:szCs w:val="24"/>
              </w:rPr>
              <w:t>Punto del orden del día: PL 1.2</w:t>
            </w:r>
          </w:p>
        </w:tc>
        <w:tc>
          <w:tcPr>
            <w:tcW w:w="3261" w:type="dxa"/>
          </w:tcPr>
          <w:p w14:paraId="5DB634ED" w14:textId="452ECB92" w:rsidR="00093EEB" w:rsidRPr="00093EEB" w:rsidRDefault="00093EEB" w:rsidP="00C2727F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Documento C</w:t>
            </w:r>
            <w:r w:rsidR="007955DA">
              <w:rPr>
                <w:b/>
                <w:bCs/>
                <w:szCs w:val="24"/>
              </w:rPr>
              <w:t>2</w:t>
            </w:r>
            <w:r w:rsidR="000007D1"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t>/</w:t>
            </w:r>
            <w:r w:rsidR="009E3013">
              <w:rPr>
                <w:b/>
                <w:bCs/>
                <w:szCs w:val="24"/>
              </w:rPr>
              <w:t>51</w:t>
            </w:r>
            <w:r>
              <w:rPr>
                <w:b/>
                <w:bCs/>
                <w:szCs w:val="24"/>
              </w:rPr>
              <w:t>-S</w:t>
            </w:r>
          </w:p>
        </w:tc>
      </w:tr>
      <w:tr w:rsidR="00093EEB" w:rsidRPr="000B0D00" w14:paraId="21FC7BAB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12CBEEC5" w14:textId="77777777"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261" w:type="dxa"/>
          </w:tcPr>
          <w:p w14:paraId="3493B7BC" w14:textId="1FE68910" w:rsidR="00093EEB" w:rsidRPr="00093EEB" w:rsidRDefault="009E3013" w:rsidP="00C2727F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 de abril</w:t>
            </w:r>
            <w:r w:rsidR="00093EEB">
              <w:rPr>
                <w:b/>
                <w:bCs/>
                <w:szCs w:val="24"/>
              </w:rPr>
              <w:t xml:space="preserve"> de 20</w:t>
            </w:r>
            <w:r w:rsidR="007955DA">
              <w:rPr>
                <w:b/>
                <w:bCs/>
                <w:szCs w:val="24"/>
              </w:rPr>
              <w:t>2</w:t>
            </w:r>
            <w:r w:rsidR="000007D1">
              <w:rPr>
                <w:b/>
                <w:bCs/>
                <w:szCs w:val="24"/>
              </w:rPr>
              <w:t>1</w:t>
            </w:r>
          </w:p>
        </w:tc>
      </w:tr>
      <w:tr w:rsidR="00093EEB" w:rsidRPr="000B0D00" w14:paraId="68153A7B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6E2116D3" w14:textId="77777777"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7" w:name="dorlang" w:colFirst="1" w:colLast="1"/>
            <w:bookmarkEnd w:id="6"/>
          </w:p>
        </w:tc>
        <w:tc>
          <w:tcPr>
            <w:tcW w:w="3261" w:type="dxa"/>
          </w:tcPr>
          <w:p w14:paraId="06759657" w14:textId="77777777"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0B0D00" w14:paraId="4696223D" w14:textId="77777777">
        <w:trPr>
          <w:cantSplit/>
        </w:trPr>
        <w:tc>
          <w:tcPr>
            <w:tcW w:w="10173" w:type="dxa"/>
            <w:gridSpan w:val="2"/>
          </w:tcPr>
          <w:p w14:paraId="11716757" w14:textId="77777777" w:rsidR="00093EEB" w:rsidRPr="000B0D00" w:rsidRDefault="00093EEB">
            <w:pPr>
              <w:pStyle w:val="Source"/>
            </w:pPr>
            <w:bookmarkStart w:id="8" w:name="dsource" w:colFirst="0" w:colLast="0"/>
            <w:bookmarkEnd w:id="1"/>
            <w:bookmarkEnd w:id="7"/>
          </w:p>
        </w:tc>
      </w:tr>
      <w:tr w:rsidR="00093EEB" w:rsidRPr="000B0D00" w14:paraId="548842E4" w14:textId="77777777">
        <w:trPr>
          <w:cantSplit/>
        </w:trPr>
        <w:tc>
          <w:tcPr>
            <w:tcW w:w="10173" w:type="dxa"/>
            <w:gridSpan w:val="2"/>
          </w:tcPr>
          <w:p w14:paraId="08AC4964" w14:textId="43C715EF" w:rsidR="00093EEB" w:rsidRPr="000B0D00" w:rsidRDefault="009E3013">
            <w:pPr>
              <w:pStyle w:val="Title1"/>
            </w:pPr>
            <w:bookmarkStart w:id="9" w:name="dtitle1" w:colFirst="0" w:colLast="0"/>
            <w:bookmarkEnd w:id="8"/>
            <w:r w:rsidRPr="009E3013">
              <w:t>INFORME DEL PRESIDENTE DEL GRUPO DE TRABAJO DEL CONSEJO SOBRE CUESTIONES DE POLÍTICA PÚBLICA INTERNACIONAL RELACIONADAS CON INTERNET (GTC-INTERNET)</w:t>
            </w:r>
          </w:p>
        </w:tc>
      </w:tr>
      <w:bookmarkEnd w:id="9"/>
    </w:tbl>
    <w:p w14:paraId="0A7AFC33" w14:textId="77777777" w:rsidR="00093EEB" w:rsidRPr="000B0D00" w:rsidRDefault="00093EEB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093EEB" w:rsidRPr="000B0D00" w14:paraId="010C1D65" w14:textId="7777777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9DC10" w14:textId="77777777"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Resumen</w:t>
            </w:r>
          </w:p>
          <w:p w14:paraId="7FEC19BD" w14:textId="2BAAE21E" w:rsidR="00093EEB" w:rsidRPr="000B0D00" w:rsidRDefault="009E3013">
            <w:pPr>
              <w:rPr>
                <w:lang w:val="es-ES"/>
              </w:rPr>
            </w:pPr>
            <w:r w:rsidRPr="009E3013">
              <w:rPr>
                <w:lang w:val="es-ES"/>
              </w:rPr>
              <w:t>En el presente informe se resumen los principales resultados de la decimoquinta reunión del GTC-Internet, celebrada del 27 al 28 de enero de 2021, con arreglo a lo dispuesto en las Resoluciones 102 (Rev. Dubái, 2018) y 140 (Rev. Dubái, 2018) de la PP-18 y las Resoluciones 1305 (modificada en 2019) y 1336 (modificada en 2019) del Consejo.</w:t>
            </w:r>
          </w:p>
          <w:p w14:paraId="1FA47640" w14:textId="77777777"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Acción solicitada</w:t>
            </w:r>
          </w:p>
          <w:p w14:paraId="03594235" w14:textId="2FE9249E" w:rsidR="00093EEB" w:rsidRPr="000B0D00" w:rsidRDefault="009E3013">
            <w:pPr>
              <w:rPr>
                <w:lang w:val="es-ES"/>
              </w:rPr>
            </w:pPr>
            <w:r w:rsidRPr="009E3013">
              <w:rPr>
                <w:lang w:val="es-ES"/>
              </w:rPr>
              <w:t xml:space="preserve">Se invita al Consejo a </w:t>
            </w:r>
            <w:r w:rsidRPr="009E3013">
              <w:rPr>
                <w:b/>
                <w:bCs/>
                <w:lang w:val="es-ES"/>
              </w:rPr>
              <w:t>tomar nota</w:t>
            </w:r>
            <w:r w:rsidRPr="009E3013">
              <w:rPr>
                <w:lang w:val="es-ES"/>
              </w:rPr>
              <w:t xml:space="preserve"> del Informe.</w:t>
            </w:r>
          </w:p>
          <w:p w14:paraId="124D8D46" w14:textId="77777777" w:rsidR="00093EEB" w:rsidRPr="000B0D00" w:rsidRDefault="00093EEB">
            <w:pPr>
              <w:pStyle w:val="Table"/>
              <w:keepNext w:val="0"/>
              <w:spacing w:before="0" w:after="0"/>
              <w:rPr>
                <w:caps w:val="0"/>
                <w:sz w:val="22"/>
                <w:lang w:val="es-ES"/>
              </w:rPr>
            </w:pPr>
            <w:r w:rsidRPr="000B0D00">
              <w:rPr>
                <w:caps w:val="0"/>
                <w:sz w:val="22"/>
                <w:lang w:val="es-ES"/>
              </w:rPr>
              <w:t>____________</w:t>
            </w:r>
          </w:p>
          <w:p w14:paraId="44317BBD" w14:textId="77777777"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Referencia</w:t>
            </w:r>
          </w:p>
          <w:p w14:paraId="0E9A6C5D" w14:textId="4435AC66" w:rsidR="009E3013" w:rsidRPr="009725B8" w:rsidRDefault="009136B5" w:rsidP="009E3013">
            <w:pPr>
              <w:snapToGrid w:val="0"/>
              <w:ind w:left="34" w:hanging="6"/>
              <w:jc w:val="both"/>
              <w:rPr>
                <w:rFonts w:asciiTheme="minorHAnsi" w:hAnsiTheme="minorHAnsi"/>
                <w:color w:val="000000"/>
                <w:szCs w:val="22"/>
              </w:rPr>
            </w:pPr>
            <w:hyperlink r:id="rId7" w:history="1">
              <w:r w:rsidR="009E3013" w:rsidRPr="007B68B6">
                <w:rPr>
                  <w:rStyle w:val="Hyperlink"/>
                  <w:rFonts w:asciiTheme="minorHAnsi" w:hAnsiTheme="minorHAnsi"/>
                  <w:bCs/>
                  <w:i/>
                  <w:iCs/>
                  <w:szCs w:val="22"/>
                </w:rPr>
                <w:t>Resolución 102 (</w:t>
              </w:r>
              <w:r w:rsidR="009E3013" w:rsidRPr="007B68B6">
                <w:rPr>
                  <w:rStyle w:val="Hyperlink"/>
                  <w:i/>
                  <w:iCs/>
                </w:rPr>
                <w:t>Rev. Dubái, 2018</w:t>
              </w:r>
              <w:r w:rsidR="009E3013" w:rsidRPr="007B68B6">
                <w:rPr>
                  <w:rStyle w:val="Hyperlink"/>
                  <w:rFonts w:asciiTheme="minorHAnsi" w:hAnsiTheme="minorHAnsi"/>
                  <w:bCs/>
                  <w:i/>
                  <w:iCs/>
                  <w:szCs w:val="22"/>
                </w:rPr>
                <w:t>)</w:t>
              </w:r>
            </w:hyperlink>
            <w:r w:rsidR="009E3013" w:rsidRPr="007B68B6">
              <w:rPr>
                <w:rFonts w:asciiTheme="minorHAnsi" w:hAnsiTheme="minorHAnsi"/>
                <w:bCs/>
                <w:i/>
                <w:iCs/>
                <w:szCs w:val="22"/>
              </w:rPr>
              <w:t>,</w:t>
            </w:r>
            <w:r w:rsidR="009E3013" w:rsidRPr="009725B8">
              <w:rPr>
                <w:rFonts w:asciiTheme="minorHAnsi" w:hAnsiTheme="minorHAnsi"/>
                <w:i/>
                <w:iCs/>
                <w:color w:val="000000"/>
                <w:szCs w:val="22"/>
              </w:rPr>
              <w:t xml:space="preserve"> </w:t>
            </w:r>
            <w:hyperlink r:id="rId8" w:history="1">
              <w:r w:rsidR="009E3013" w:rsidRPr="00912BED">
                <w:rPr>
                  <w:rStyle w:val="Hyperlink"/>
                  <w:rFonts w:asciiTheme="minorHAnsi" w:hAnsiTheme="minorHAnsi"/>
                  <w:bCs/>
                  <w:i/>
                  <w:iCs/>
                  <w:szCs w:val="22"/>
                </w:rPr>
                <w:t>Resolución 140 (Rev. Dubái, 2018)</w:t>
              </w:r>
            </w:hyperlink>
            <w:r w:rsidR="009E3013" w:rsidRPr="009725B8">
              <w:rPr>
                <w:rStyle w:val="Hyperlink"/>
                <w:rFonts w:asciiTheme="minorHAnsi" w:hAnsiTheme="minorHAnsi"/>
                <w:bCs/>
                <w:color w:val="auto"/>
                <w:szCs w:val="22"/>
                <w:u w:val="none"/>
              </w:rPr>
              <w:t>,</w:t>
            </w:r>
          </w:p>
          <w:p w14:paraId="3964DC2D" w14:textId="57640FB8" w:rsidR="00093EEB" w:rsidRPr="000B0D00" w:rsidRDefault="009E3013" w:rsidP="009E3013">
            <w:pPr>
              <w:spacing w:after="120"/>
              <w:rPr>
                <w:i/>
                <w:iCs/>
                <w:lang w:val="es-ES"/>
              </w:rPr>
            </w:pPr>
            <w:r w:rsidRPr="009725B8">
              <w:rPr>
                <w:rFonts w:asciiTheme="minorHAnsi" w:hAnsiTheme="minorHAnsi"/>
                <w:i/>
                <w:iCs/>
                <w:color w:val="000000"/>
                <w:szCs w:val="22"/>
              </w:rPr>
              <w:t xml:space="preserve">Resoluciones del Consejo </w:t>
            </w:r>
            <w:hyperlink r:id="rId9" w:history="1">
              <w:r w:rsidRPr="007B68B6">
                <w:rPr>
                  <w:rStyle w:val="Hyperlink"/>
                  <w:rFonts w:asciiTheme="minorHAnsi" w:hAnsiTheme="minorHAnsi"/>
                  <w:i/>
                  <w:iCs/>
                  <w:szCs w:val="22"/>
                </w:rPr>
                <w:t>1305 (modificada en 2019)</w:t>
              </w:r>
            </w:hyperlink>
            <w:r w:rsidRPr="007B68B6">
              <w:rPr>
                <w:rStyle w:val="Hyperlink"/>
                <w:rFonts w:asciiTheme="minorHAnsi" w:hAnsiTheme="minorHAnsi"/>
                <w:i/>
                <w:iCs/>
                <w:color w:val="auto"/>
                <w:szCs w:val="22"/>
                <w:u w:val="none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Cs w:val="22"/>
              </w:rPr>
              <w:t xml:space="preserve">y </w:t>
            </w:r>
            <w:hyperlink r:id="rId10" w:history="1">
              <w:r w:rsidRPr="009725B8">
                <w:rPr>
                  <w:rStyle w:val="Hyperlink"/>
                  <w:rFonts w:asciiTheme="minorHAnsi" w:hAnsiTheme="minorHAnsi"/>
                  <w:i/>
                  <w:iCs/>
                  <w:szCs w:val="22"/>
                </w:rPr>
                <w:t>13</w:t>
              </w:r>
              <w:r w:rsidRPr="009725B8">
                <w:rPr>
                  <w:rStyle w:val="Hyperlink"/>
                  <w:rFonts w:asciiTheme="minorHAnsi" w:hAnsiTheme="minorHAnsi"/>
                  <w:szCs w:val="22"/>
                </w:rPr>
                <w:t>36 (</w:t>
              </w:r>
              <w:r>
                <w:rPr>
                  <w:rStyle w:val="Hyperlink"/>
                  <w:rFonts w:asciiTheme="minorHAnsi" w:hAnsiTheme="minorHAnsi"/>
                  <w:szCs w:val="22"/>
                </w:rPr>
                <w:t>modificada en 2019)</w:t>
              </w:r>
            </w:hyperlink>
          </w:p>
          <w:p w14:paraId="6D5F6E01" w14:textId="77777777" w:rsidR="00093EEB" w:rsidRPr="000B0D00" w:rsidRDefault="00093EEB">
            <w:pPr>
              <w:spacing w:after="120"/>
              <w:rPr>
                <w:i/>
                <w:iCs/>
                <w:lang w:val="es-ES"/>
              </w:rPr>
            </w:pPr>
          </w:p>
        </w:tc>
      </w:tr>
    </w:tbl>
    <w:p w14:paraId="4D096757" w14:textId="77777777" w:rsidR="009E3013" w:rsidRPr="009725B8" w:rsidRDefault="009E3013" w:rsidP="009E3013">
      <w:pPr>
        <w:pStyle w:val="Heading1"/>
      </w:pPr>
      <w:r w:rsidRPr="009725B8">
        <w:t>1</w:t>
      </w:r>
      <w:r w:rsidRPr="009725B8">
        <w:tab/>
      </w:r>
      <w:proofErr w:type="gramStart"/>
      <w:r w:rsidRPr="009725B8">
        <w:t>Introducción</w:t>
      </w:r>
      <w:proofErr w:type="gramEnd"/>
    </w:p>
    <w:p w14:paraId="7CCE4E71" w14:textId="51BA4CC1" w:rsidR="009E3013" w:rsidRPr="009725B8" w:rsidRDefault="009E3013" w:rsidP="009E3013">
      <w:r w:rsidRPr="009725B8">
        <w:t>1.1</w:t>
      </w:r>
      <w:r w:rsidRPr="009725B8">
        <w:tab/>
        <w:t xml:space="preserve">El </w:t>
      </w:r>
      <w:hyperlink r:id="rId11" w:history="1">
        <w:r w:rsidRPr="009725B8">
          <w:rPr>
            <w:rStyle w:val="Hyperlink"/>
          </w:rPr>
          <w:t>Grupo de Trabajo del Consejo sobre cuestiones de política pública internacional relacionadas con Internet (GTC-Internet)</w:t>
        </w:r>
      </w:hyperlink>
      <w:r w:rsidRPr="009725B8">
        <w:t xml:space="preserve"> </w:t>
      </w:r>
      <w:r>
        <w:t>es</w:t>
      </w:r>
      <w:r w:rsidRPr="009725B8">
        <w:t xml:space="preserve"> un Grupo </w:t>
      </w:r>
      <w:r>
        <w:t>específico constituido por</w:t>
      </w:r>
      <w:r w:rsidRPr="009725B8">
        <w:t xml:space="preserve"> el Consejo en </w:t>
      </w:r>
      <w:r>
        <w:t xml:space="preserve">virtud de lo dispuesto en </w:t>
      </w:r>
      <w:r w:rsidRPr="009725B8">
        <w:t>su Resolución 1336 (</w:t>
      </w:r>
      <w:r>
        <w:t>modificada en 2019</w:t>
      </w:r>
      <w:r w:rsidRPr="009725B8">
        <w:t>), con arreglo a las Resoluciones</w:t>
      </w:r>
      <w:r w:rsidR="00D11727">
        <w:t> </w:t>
      </w:r>
      <w:r w:rsidRPr="009725B8">
        <w:t>102 y 140 de la Conferencia de Plenipotenciarios de la UIT (</w:t>
      </w:r>
      <w:r w:rsidRPr="008355C7">
        <w:t>Rev. Dubái, 2018</w:t>
      </w:r>
      <w:r w:rsidRPr="009725B8">
        <w:t>). La participación en el GTC-Internet está limitada a los Estados Miembros, con consultas abiertas con todos los interesados.</w:t>
      </w:r>
    </w:p>
    <w:p w14:paraId="11A43D17" w14:textId="5944C822" w:rsidR="009E3013" w:rsidRDefault="009E3013" w:rsidP="009E3013">
      <w:r w:rsidRPr="009725B8">
        <w:t>1.2</w:t>
      </w:r>
      <w:r w:rsidRPr="009725B8">
        <w:tab/>
        <w:t>El mandato del GTC-Internet, especificado en la Resolución 1336 del Consejo (</w:t>
      </w:r>
      <w:r>
        <w:t>modificada en</w:t>
      </w:r>
      <w:r w:rsidR="00D11727">
        <w:t> </w:t>
      </w:r>
      <w:r>
        <w:t>2019</w:t>
      </w:r>
      <w:r w:rsidRPr="009725B8">
        <w:t>), consiste en identificar, estudiar y desarrollar temas relativos a cuestiones de política pública internacional relacionada con Internet, incluidos los asuntos identificados en la Resolución</w:t>
      </w:r>
      <w:r w:rsidR="00D11727">
        <w:t> </w:t>
      </w:r>
      <w:r w:rsidRPr="009725B8">
        <w:t>1305 del Consejo (</w:t>
      </w:r>
      <w:r>
        <w:t>modificada en 2019</w:t>
      </w:r>
      <w:r w:rsidRPr="009725B8">
        <w:t>) y, a ese respecto y según proceda:</w:t>
      </w:r>
    </w:p>
    <w:p w14:paraId="64C84E88" w14:textId="77777777" w:rsidR="009E3013" w:rsidRPr="009725B8" w:rsidRDefault="009E3013" w:rsidP="009E3013">
      <w:pPr>
        <w:pStyle w:val="enumlev1"/>
      </w:pPr>
      <w:r w:rsidRPr="009725B8">
        <w:lastRenderedPageBreak/>
        <w:t>a)</w:t>
      </w:r>
      <w:r w:rsidRPr="009725B8">
        <w:tab/>
      </w:r>
      <w:r>
        <w:t>transmitir</w:t>
      </w:r>
      <w:r w:rsidRPr="009725B8">
        <w:t xml:space="preserve"> sus resultados a todos los Miembros de la UIT y a todas las organizaciones internacionales y partes interesadas pertinentes que participan activamente en estas cuestiones para que las examinen en el marco de su proceso de adopción de decisiones;</w:t>
      </w:r>
    </w:p>
    <w:p w14:paraId="73799391" w14:textId="77777777" w:rsidR="009E3013" w:rsidRPr="009725B8" w:rsidRDefault="009E3013" w:rsidP="009E3013">
      <w:pPr>
        <w:pStyle w:val="enumlev1"/>
      </w:pPr>
      <w:r w:rsidRPr="009725B8">
        <w:t>b)</w:t>
      </w:r>
      <w:r w:rsidRPr="009725B8">
        <w:tab/>
        <w:t xml:space="preserve">examinar y estudiar las actividades que realicen el Secretario General y los </w:t>
      </w:r>
      <w:proofErr w:type="gramStart"/>
      <w:r w:rsidRPr="009725B8">
        <w:t>Directores</w:t>
      </w:r>
      <w:proofErr w:type="gramEnd"/>
      <w:r w:rsidRPr="009725B8">
        <w:t xml:space="preserve"> de las Oficinas para dar aplicación a la Resolución 102 (</w:t>
      </w:r>
      <w:r w:rsidRPr="008355C7">
        <w:t>Rev. Dubái, 2018</w:t>
      </w:r>
      <w:r w:rsidRPr="009725B8">
        <w:t>) y preparar las contribuciones a estas actividades, según proceda;</w:t>
      </w:r>
    </w:p>
    <w:p w14:paraId="1A1F0B8D" w14:textId="77777777" w:rsidR="009E3013" w:rsidRPr="009725B8" w:rsidRDefault="009E3013" w:rsidP="009E3013">
      <w:pPr>
        <w:pStyle w:val="enumlev1"/>
      </w:pPr>
      <w:r w:rsidRPr="009725B8">
        <w:t>c)</w:t>
      </w:r>
      <w:r w:rsidRPr="009725B8">
        <w:tab/>
        <w:t>iniciar y dirigir un procedimiento de consultas abiertas de carácter participativo e integrador con todas las partes interesadas; y los resultados del procedimiento de consultas abiertas se presentarán para su consideración en las deliberaciones del Grupo de Trabajo del Consejo.</w:t>
      </w:r>
    </w:p>
    <w:p w14:paraId="340AED06" w14:textId="77777777" w:rsidR="009E3013" w:rsidRPr="009725B8" w:rsidRDefault="009E3013" w:rsidP="009E3013">
      <w:r w:rsidRPr="009725B8">
        <w:t>1.3</w:t>
      </w:r>
      <w:r w:rsidRPr="009725B8">
        <w:tab/>
        <w:t>En la Resolución 102 (</w:t>
      </w:r>
      <w:r w:rsidRPr="008355C7">
        <w:t>Rev. Dubái, 2018</w:t>
      </w:r>
      <w:r w:rsidRPr="009725B8">
        <w:t>) de la Conferencia de Plenipotenciarios se encarga al Consejo que revise su Resolución 1344 para encargar al GTC-Internet, en el que sólo pueden participar los Estados Miembros y celebra consultas abiertas con todas las partes interesadas, que lleve a cabo una consulta abierta con arreglo a las directrices mencionadas en la Resolución.</w:t>
      </w:r>
      <w:r>
        <w:t xml:space="preserve"> Con objeto de</w:t>
      </w:r>
      <w:r w:rsidRPr="00376A2E">
        <w:t xml:space="preserve"> racionalizar las resoluciones del Consejo a </w:t>
      </w:r>
      <w:r>
        <w:t>tal efecto</w:t>
      </w:r>
      <w:r w:rsidRPr="00376A2E">
        <w:t xml:space="preserve">, </w:t>
      </w:r>
      <w:r>
        <w:t xml:space="preserve">en su reunión de 2019 </w:t>
      </w:r>
      <w:r w:rsidRPr="00376A2E">
        <w:t>el Consejo decidió modificar la Resolución 1336 para incorporar el contenido de la Resolución 1344</w:t>
      </w:r>
      <w:r>
        <w:t>,</w:t>
      </w:r>
      <w:r w:rsidRPr="00376A2E">
        <w:t xml:space="preserve"> y derogó </w:t>
      </w:r>
      <w:r>
        <w:t>dicha</w:t>
      </w:r>
      <w:r w:rsidRPr="00376A2E">
        <w:t xml:space="preserve"> Resolución 1344</w:t>
      </w:r>
      <w:r>
        <w:t>.</w:t>
      </w:r>
    </w:p>
    <w:p w14:paraId="2233DFFD" w14:textId="77777777" w:rsidR="009E3013" w:rsidRPr="009725B8" w:rsidRDefault="009E3013" w:rsidP="009E3013">
      <w:r w:rsidRPr="009725B8">
        <w:t>1.4</w:t>
      </w:r>
      <w:r w:rsidRPr="009725B8">
        <w:tab/>
        <w:t>En la Resolución 13</w:t>
      </w:r>
      <w:r>
        <w:t>36</w:t>
      </w:r>
      <w:r w:rsidRPr="009725B8">
        <w:t xml:space="preserve"> del Consejo (</w:t>
      </w:r>
      <w:r>
        <w:t>modificada en 2019</w:t>
      </w:r>
      <w:r w:rsidRPr="009725B8">
        <w:t xml:space="preserve">) se </w:t>
      </w:r>
      <w:r>
        <w:t>establece</w:t>
      </w:r>
      <w:r w:rsidRPr="009725B8">
        <w:t xml:space="preserve"> la modalidad de consultas abiertas del GTC-Internet.</w:t>
      </w:r>
    </w:p>
    <w:p w14:paraId="3B24BA76" w14:textId="77777777" w:rsidR="009E3013" w:rsidRPr="009725B8" w:rsidRDefault="009E3013" w:rsidP="009E3013">
      <w:pPr>
        <w:pStyle w:val="Heading1"/>
      </w:pPr>
      <w:r w:rsidRPr="009725B8">
        <w:t>2</w:t>
      </w:r>
      <w:r w:rsidRPr="009725B8">
        <w:tab/>
      </w:r>
      <w:proofErr w:type="gramStart"/>
      <w:r w:rsidRPr="009725B8">
        <w:t>Actividades</w:t>
      </w:r>
      <w:proofErr w:type="gramEnd"/>
      <w:r w:rsidRPr="009725B8">
        <w:t xml:space="preserve"> del GTC-Internet</w:t>
      </w:r>
    </w:p>
    <w:p w14:paraId="0B121AA3" w14:textId="77777777" w:rsidR="009E3013" w:rsidRPr="009725B8" w:rsidRDefault="009E3013" w:rsidP="009E3013">
      <w:r w:rsidRPr="009725B8">
        <w:t>2.1</w:t>
      </w:r>
      <w:r w:rsidRPr="009725B8">
        <w:tab/>
      </w:r>
      <w:r>
        <w:t>Debido a la pandemia de COVID-19, e</w:t>
      </w:r>
      <w:r w:rsidRPr="009725B8">
        <w:t>l GTC-Internet celebró su</w:t>
      </w:r>
      <w:r>
        <w:t xml:space="preserve"> decimoquinta</w:t>
      </w:r>
      <w:r w:rsidRPr="009725B8">
        <w:t xml:space="preserve"> reunión </w:t>
      </w:r>
      <w:r>
        <w:t>de forma virtual del 27 al 28 de enero de 2021</w:t>
      </w:r>
      <w:r w:rsidRPr="009725B8">
        <w:t>.</w:t>
      </w:r>
    </w:p>
    <w:p w14:paraId="5094838E" w14:textId="146AB578" w:rsidR="009E3013" w:rsidRPr="009725B8" w:rsidRDefault="009E3013" w:rsidP="009E3013">
      <w:r w:rsidRPr="009725B8">
        <w:t>2.2</w:t>
      </w:r>
      <w:r w:rsidRPr="009725B8">
        <w:tab/>
        <w:t xml:space="preserve">El Grupo aprobó </w:t>
      </w:r>
      <w:r>
        <w:t xml:space="preserve">el </w:t>
      </w:r>
      <w:hyperlink r:id="rId12" w:history="1">
        <w:r w:rsidRPr="00607C21">
          <w:rPr>
            <w:rStyle w:val="Hyperlink"/>
          </w:rPr>
          <w:t>informe de la decimoquinta reunión</w:t>
        </w:r>
      </w:hyperlink>
      <w:r>
        <w:t xml:space="preserve"> del </w:t>
      </w:r>
      <w:r w:rsidRPr="003927C5">
        <w:t>GTC-Internet</w:t>
      </w:r>
      <w:r>
        <w:t>.</w:t>
      </w:r>
    </w:p>
    <w:p w14:paraId="6C87BC18" w14:textId="77777777" w:rsidR="009E3013" w:rsidRPr="009725B8" w:rsidRDefault="009E3013" w:rsidP="009E3013">
      <w:r w:rsidRPr="009725B8">
        <w:t>2.3</w:t>
      </w:r>
      <w:r w:rsidRPr="009725B8">
        <w:tab/>
      </w:r>
      <w:r>
        <w:t>El informe se distribuirá</w:t>
      </w:r>
      <w:r w:rsidRPr="009725B8">
        <w:t xml:space="preserve"> a todos los Miembros de la UIT y a todas las organizaciones internacionales y partes interesadas pertinentes que participan activamente en estos asuntos, para que los tuvieran en cuenta en sus procesos de elaboración de políticas.</w:t>
      </w:r>
    </w:p>
    <w:p w14:paraId="2E47D8EF" w14:textId="43F6CBC8" w:rsidR="009E3013" w:rsidRPr="009725B8" w:rsidRDefault="009E3013" w:rsidP="009E3013">
      <w:r w:rsidRPr="009725B8">
        <w:t>2.4</w:t>
      </w:r>
      <w:r w:rsidRPr="009725B8">
        <w:tab/>
        <w:t xml:space="preserve">El GTC-Internet celebró además </w:t>
      </w:r>
      <w:r>
        <w:t>varias</w:t>
      </w:r>
      <w:r w:rsidRPr="009725B8">
        <w:t xml:space="preserve"> consultas </w:t>
      </w:r>
      <w:r>
        <w:t xml:space="preserve">abiertas, tanto </w:t>
      </w:r>
      <w:r w:rsidRPr="009725B8">
        <w:t>en línea</w:t>
      </w:r>
      <w:r>
        <w:t xml:space="preserve"> como</w:t>
      </w:r>
      <w:r w:rsidRPr="009725B8">
        <w:t xml:space="preserve"> </w:t>
      </w:r>
      <w:r>
        <w:t>presenciales, de febrero a diciembre de 2020 sobre el tema</w:t>
      </w:r>
      <w:r w:rsidRPr="009725B8">
        <w:t xml:space="preserve"> "</w:t>
      </w:r>
      <w:hyperlink r:id="rId13" w:history="1">
        <w:r w:rsidRPr="003927C5">
          <w:rPr>
            <w:rStyle w:val="Hyperlink"/>
          </w:rPr>
          <w:t>Ampliar la conectividad de Internet</w:t>
        </w:r>
      </w:hyperlink>
      <w:r w:rsidRPr="009725B8">
        <w:t>"</w:t>
      </w:r>
      <w:r>
        <w:t>. Durante es</w:t>
      </w:r>
      <w:r w:rsidRPr="009725B8">
        <w:t xml:space="preserve">as consultas, se recibieron </w:t>
      </w:r>
      <w:r>
        <w:t>23</w:t>
      </w:r>
      <w:r w:rsidRPr="009725B8">
        <w:t xml:space="preserve"> respuestas de diversas</w:t>
      </w:r>
      <w:r>
        <w:t xml:space="preserve"> partes interesadas y regiones (un gobierno, cuatro organismos del sector privado y asociaciones industriales, 10 representantes de la sociedad civil y de instituciones académicas y cinco organizaciones intergubernamentales)</w:t>
      </w:r>
      <w:r w:rsidRPr="009725B8">
        <w:t xml:space="preserve">. Las respuestas proporcionaron </w:t>
      </w:r>
      <w:r>
        <w:t>información de gran utilidad</w:t>
      </w:r>
      <w:r w:rsidRPr="009725B8">
        <w:t xml:space="preserve">, </w:t>
      </w:r>
      <w:r>
        <w:t>y en ellas se intercambiaron</w:t>
      </w:r>
      <w:r w:rsidRPr="009725B8">
        <w:t xml:space="preserve"> </w:t>
      </w:r>
      <w:r>
        <w:t>varios</w:t>
      </w:r>
      <w:r w:rsidRPr="009725B8">
        <w:t xml:space="preserve"> puntos de vista respecto de las </w:t>
      </w:r>
      <w:r>
        <w:t>tres</w:t>
      </w:r>
      <w:r w:rsidRPr="009725B8">
        <w:t xml:space="preserve"> cuestiones </w:t>
      </w:r>
      <w:r>
        <w:t xml:space="preserve">específicas </w:t>
      </w:r>
      <w:r w:rsidRPr="009725B8">
        <w:t>de la consulta</w:t>
      </w:r>
      <w:r>
        <w:t>. La octava Reunión v</w:t>
      </w:r>
      <w:r w:rsidRPr="003927C5">
        <w:t xml:space="preserve">irtual </w:t>
      </w:r>
      <w:r w:rsidR="00D11727">
        <w:t>–</w:t>
      </w:r>
      <w:r w:rsidRPr="003927C5">
        <w:t xml:space="preserve"> Consulta </w:t>
      </w:r>
      <w:r>
        <w:t>a</w:t>
      </w:r>
      <w:r w:rsidRPr="003927C5">
        <w:t>bierta</w:t>
      </w:r>
      <w:r>
        <w:t xml:space="preserve"> presencial</w:t>
      </w:r>
      <w:r w:rsidRPr="003927C5">
        <w:t xml:space="preserve"> sobre el tema "Ampliar la conectividad </w:t>
      </w:r>
      <w:r>
        <w:t>de Internet"</w:t>
      </w:r>
      <w:r w:rsidRPr="003927C5">
        <w:t xml:space="preserve"> tuvo lugar el 25 de enero de</w:t>
      </w:r>
      <w:r w:rsidR="00D11727">
        <w:t> </w:t>
      </w:r>
      <w:r w:rsidRPr="003927C5">
        <w:t>2021</w:t>
      </w:r>
      <w:r>
        <w:t>,</w:t>
      </w:r>
      <w:r w:rsidRPr="003927C5">
        <w:t xml:space="preserve"> con más de 170 participantes inscritos y más de 70 asistentes activos a través de la plataforma online</w:t>
      </w:r>
      <w:r>
        <w:t>.</w:t>
      </w:r>
    </w:p>
    <w:p w14:paraId="155A182D" w14:textId="7B9FC7C9" w:rsidR="009E3013" w:rsidRDefault="009E3013" w:rsidP="009E3013">
      <w:r w:rsidRPr="009725B8">
        <w:t>2.5</w:t>
      </w:r>
      <w:r w:rsidRPr="009725B8">
        <w:tab/>
        <w:t xml:space="preserve">Todas las respuestas recibidas a la consulta abierta en línea, así como </w:t>
      </w:r>
      <w:r>
        <w:t>el breve resumen</w:t>
      </w:r>
      <w:r w:rsidRPr="009725B8">
        <w:t xml:space="preserve"> de la reunión</w:t>
      </w:r>
      <w:r>
        <w:t xml:space="preserve"> virtual </w:t>
      </w:r>
      <w:r w:rsidR="00D11727">
        <w:t>–</w:t>
      </w:r>
      <w:r>
        <w:t xml:space="preserve"> </w:t>
      </w:r>
      <w:r w:rsidR="00D11727">
        <w:t>C</w:t>
      </w:r>
      <w:r>
        <w:t>onsulta abierta presencial aprobad</w:t>
      </w:r>
      <w:r w:rsidR="00D11727">
        <w:t>a</w:t>
      </w:r>
      <w:r>
        <w:t xml:space="preserve"> por los participantes</w:t>
      </w:r>
      <w:r w:rsidRPr="009725B8">
        <w:t xml:space="preserve">, están disponibles </w:t>
      </w:r>
      <w:r>
        <w:t>públicamente</w:t>
      </w:r>
      <w:r w:rsidRPr="009725B8">
        <w:t xml:space="preserve"> en el </w:t>
      </w:r>
      <w:hyperlink r:id="rId14" w:history="1">
        <w:r w:rsidRPr="009725B8">
          <w:rPr>
            <w:rStyle w:val="Hyperlink"/>
          </w:rPr>
          <w:t>sitio web del GTC-Internet</w:t>
        </w:r>
      </w:hyperlink>
      <w:r w:rsidRPr="009725B8">
        <w:t>.</w:t>
      </w:r>
    </w:p>
    <w:p w14:paraId="3C5E3789" w14:textId="77777777" w:rsidR="009E3013" w:rsidRPr="009E3013" w:rsidRDefault="009E3013" w:rsidP="009E3013">
      <w:r w:rsidRPr="009E3013">
        <w:t>2.6</w:t>
      </w:r>
      <w:r w:rsidRPr="009E3013">
        <w:tab/>
        <w:t>El Grupo celebra actualmente, de febrero a agosto de 2021, una consulta abierta en línea sobre "</w:t>
      </w:r>
      <w:r w:rsidRPr="009E3013">
        <w:rPr>
          <w:i/>
          <w:iCs/>
        </w:rPr>
        <w:t>el papel de Internet y la política pública internacional conexa en la mitigación de los efectos de la COVID-19 y las posibles pandemias futuras</w:t>
      </w:r>
      <w:r w:rsidRPr="009E3013">
        <w:t>".</w:t>
      </w:r>
    </w:p>
    <w:p w14:paraId="05855DA9" w14:textId="77777777" w:rsidR="009E3013" w:rsidRPr="009E3013" w:rsidRDefault="009E3013" w:rsidP="009E3013">
      <w:r w:rsidRPr="009E3013">
        <w:lastRenderedPageBreak/>
        <w:t xml:space="preserve">2.7 </w:t>
      </w:r>
      <w:r w:rsidRPr="009E3013">
        <w:tab/>
        <w:t>A continuación se enumeran las demás acciones que aprobó el Grupo en la decimoquinta reunión del CWG-Internet:</w:t>
      </w:r>
    </w:p>
    <w:p w14:paraId="6866DC88" w14:textId="77777777" w:rsidR="009E3013" w:rsidRPr="009E3013" w:rsidRDefault="009E3013" w:rsidP="007B68B6">
      <w:pPr>
        <w:ind w:left="567"/>
      </w:pPr>
      <w:r w:rsidRPr="0073204A">
        <w:t xml:space="preserve">2.7.1 </w:t>
      </w:r>
      <w:r>
        <w:tab/>
      </w:r>
      <w:r w:rsidRPr="0073204A">
        <w:t xml:space="preserve">La </w:t>
      </w:r>
      <w:r w:rsidRPr="009E3013">
        <w:t>secretaría de la UIT seguirá llevando a cabo las consultas previstas, en consonancia con las recomendaciones formuladas por el Grupo.</w:t>
      </w:r>
    </w:p>
    <w:p w14:paraId="4D2739D4" w14:textId="77777777" w:rsidR="009E3013" w:rsidRPr="009E3013" w:rsidRDefault="009E3013" w:rsidP="007B68B6">
      <w:pPr>
        <w:ind w:left="567"/>
      </w:pPr>
      <w:r w:rsidRPr="009E3013">
        <w:t xml:space="preserve">2.7.2 </w:t>
      </w:r>
      <w:r w:rsidRPr="009E3013">
        <w:tab/>
        <w:t xml:space="preserve">Se invita a los </w:t>
      </w:r>
      <w:proofErr w:type="gramStart"/>
      <w:r w:rsidRPr="009E3013">
        <w:t>Directores</w:t>
      </w:r>
      <w:proofErr w:type="gramEnd"/>
      <w:r w:rsidRPr="009E3013">
        <w:t xml:space="preserve"> de todas las Oficinas de la UIT a que examinen las respuestas de la consulta en el marco de su labor, según proceda.</w:t>
      </w:r>
    </w:p>
    <w:p w14:paraId="74E24D7C" w14:textId="6D8452C4" w:rsidR="009E3013" w:rsidRPr="0073204A" w:rsidRDefault="009E3013" w:rsidP="007B68B6">
      <w:pPr>
        <w:ind w:left="567"/>
      </w:pPr>
      <w:r w:rsidRPr="009E3013">
        <w:t xml:space="preserve">2.7.3 </w:t>
      </w:r>
      <w:r w:rsidRPr="009E3013">
        <w:tab/>
        <w:t>La Secretaría de la UIT incluirá las actividades de la UIT relacionadas con el Programa de Acción de Viena (</w:t>
      </w:r>
      <w:r w:rsidRPr="0073204A">
        <w:t xml:space="preserve">sobre </w:t>
      </w:r>
      <w:r>
        <w:t>el análisis</w:t>
      </w:r>
      <w:r w:rsidRPr="0073204A">
        <w:t xml:space="preserve"> de los </w:t>
      </w:r>
      <w:r>
        <w:t>retos que afrontan</w:t>
      </w:r>
      <w:r w:rsidRPr="0073204A">
        <w:t xml:space="preserve"> los países en desarrollo s</w:t>
      </w:r>
      <w:r>
        <w:t>in litoral) en sus Informes de a</w:t>
      </w:r>
      <w:r w:rsidRPr="0073204A">
        <w:t xml:space="preserve">ctividades </w:t>
      </w:r>
      <w:r>
        <w:t>relativas a</w:t>
      </w:r>
      <w:r w:rsidRPr="0073204A">
        <w:t xml:space="preserve"> Internet.</w:t>
      </w:r>
    </w:p>
    <w:p w14:paraId="28C3753A" w14:textId="77777777" w:rsidR="009E3013" w:rsidRPr="009725B8" w:rsidRDefault="009E3013" w:rsidP="009E3013">
      <w:pPr>
        <w:pStyle w:val="Heading1"/>
      </w:pPr>
      <w:r w:rsidRPr="009725B8">
        <w:t>3</w:t>
      </w:r>
      <w:r w:rsidRPr="009725B8">
        <w:tab/>
      </w:r>
      <w:proofErr w:type="gramStart"/>
      <w:r w:rsidRPr="009725B8">
        <w:t>Conclusión</w:t>
      </w:r>
      <w:proofErr w:type="gramEnd"/>
    </w:p>
    <w:p w14:paraId="6D74EA30" w14:textId="77777777" w:rsidR="009E3013" w:rsidRPr="009725B8" w:rsidRDefault="009E3013" w:rsidP="009E3013">
      <w:r>
        <w:t>3</w:t>
      </w:r>
      <w:r w:rsidRPr="009725B8">
        <w:t>.1</w:t>
      </w:r>
      <w:r w:rsidRPr="009725B8">
        <w:tab/>
        <w:t xml:space="preserve">Se invita al Consejo a tomar nota </w:t>
      </w:r>
      <w:r>
        <w:t>del informe</w:t>
      </w:r>
      <w:r w:rsidRPr="009725B8">
        <w:t xml:space="preserve"> de la</w:t>
      </w:r>
      <w:r>
        <w:t xml:space="preserve"> decimoquinta reunión </w:t>
      </w:r>
      <w:r w:rsidRPr="009725B8">
        <w:t>del GTC-Internet.</w:t>
      </w:r>
    </w:p>
    <w:p w14:paraId="4896C904" w14:textId="41904E2E" w:rsidR="009E3013" w:rsidRPr="009725B8" w:rsidRDefault="009E3013" w:rsidP="009E3013">
      <w:r>
        <w:t>3</w:t>
      </w:r>
      <w:r w:rsidRPr="009725B8">
        <w:t>.2</w:t>
      </w:r>
      <w:r w:rsidRPr="009725B8">
        <w:tab/>
        <w:t xml:space="preserve"> En nombre del GTC-Internet, el </w:t>
      </w:r>
      <w:proofErr w:type="gramStart"/>
      <w:r w:rsidRPr="009725B8">
        <w:t>Presidente</w:t>
      </w:r>
      <w:proofErr w:type="gramEnd"/>
      <w:r w:rsidRPr="009725B8">
        <w:t xml:space="preserve"> da las gracias también personalmente a todos los Estados Miembros de la UIT que han aportado contribuciones y han participado en la labor del Grupo, a los Vicepresidentes, al Secretario General, al Vicesecretario General, a los Directores de la TSB, la BR y al Director de la BDT, y a la Secretaría General por su eficiente asistencia durante </w:t>
      </w:r>
      <w:r>
        <w:t>las reuniones del</w:t>
      </w:r>
      <w:r w:rsidRPr="009725B8">
        <w:t xml:space="preserve"> GTC-Internet.</w:t>
      </w:r>
    </w:p>
    <w:p w14:paraId="5BAA83E8" w14:textId="77777777" w:rsidR="009E3013" w:rsidRPr="009725B8" w:rsidRDefault="009E3013" w:rsidP="00AC5DC8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954"/>
        </w:tabs>
        <w:spacing w:before="840"/>
        <w:rPr>
          <w:b/>
          <w:bCs/>
        </w:rPr>
      </w:pPr>
      <w:r w:rsidRPr="009725B8">
        <w:tab/>
      </w:r>
      <w:r w:rsidRPr="009725B8">
        <w:rPr>
          <w:b/>
          <w:bCs/>
        </w:rPr>
        <w:t xml:space="preserve">Presidente: </w:t>
      </w:r>
      <w:proofErr w:type="spellStart"/>
      <w:r w:rsidRPr="009725B8">
        <w:rPr>
          <w:b/>
          <w:bCs/>
        </w:rPr>
        <w:t>Majed</w:t>
      </w:r>
      <w:proofErr w:type="spellEnd"/>
      <w:r w:rsidRPr="009725B8">
        <w:rPr>
          <w:b/>
          <w:bCs/>
        </w:rPr>
        <w:t xml:space="preserve"> M. Al-</w:t>
      </w:r>
      <w:proofErr w:type="spellStart"/>
      <w:r w:rsidRPr="009725B8">
        <w:rPr>
          <w:b/>
          <w:bCs/>
        </w:rPr>
        <w:t>Mazyed</w:t>
      </w:r>
      <w:proofErr w:type="spellEnd"/>
    </w:p>
    <w:p w14:paraId="48D05713" w14:textId="5F9DDF82" w:rsidR="007955DA" w:rsidRPr="009E3013" w:rsidRDefault="009E3013" w:rsidP="009E3013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6096"/>
        </w:tabs>
        <w:spacing w:before="0"/>
        <w:rPr>
          <w:b/>
          <w:bCs/>
        </w:rPr>
      </w:pPr>
      <w:r w:rsidRPr="009725B8">
        <w:rPr>
          <w:b/>
          <w:bCs/>
        </w:rPr>
        <w:tab/>
        <w:t>(REINO DE ARABIA SAUDITA)</w:t>
      </w:r>
    </w:p>
    <w:sectPr w:rsidR="007955DA" w:rsidRPr="009E3013" w:rsidSect="006710F6">
      <w:headerReference w:type="default" r:id="rId15"/>
      <w:footerReference w:type="default" r:id="rId16"/>
      <w:footerReference w:type="firs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3769" w14:textId="77777777" w:rsidR="009136B5" w:rsidRDefault="009136B5">
      <w:r>
        <w:separator/>
      </w:r>
    </w:p>
  </w:endnote>
  <w:endnote w:type="continuationSeparator" w:id="0">
    <w:p w14:paraId="06BE64E5" w14:textId="77777777" w:rsidR="009136B5" w:rsidRDefault="0091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2D7D" w14:textId="5DE801C1" w:rsidR="00760F1C" w:rsidRPr="00F3330B" w:rsidRDefault="009136B5" w:rsidP="005D0C58">
    <w:pPr>
      <w:pStyle w:val="Footer"/>
      <w:rPr>
        <w:lang w:val="fr-FR"/>
      </w:rPr>
    </w:pPr>
    <w:r>
      <w:fldChar w:fldCharType="begin"/>
    </w:r>
    <w:r w:rsidRPr="00F3330B">
      <w:rPr>
        <w:lang w:val="fr-FR"/>
      </w:rPr>
      <w:instrText xml:space="preserve"> FILENAME \p  \* MERGEFORMAT </w:instrText>
    </w:r>
    <w:r>
      <w:fldChar w:fldCharType="separate"/>
    </w:r>
    <w:r w:rsidR="005D0C58" w:rsidRPr="00F3330B">
      <w:rPr>
        <w:lang w:val="fr-FR"/>
      </w:rPr>
      <w:t>P:\ESP\SG\CONSEIL\C21\000\051S.docx</w:t>
    </w:r>
    <w:r>
      <w:fldChar w:fldCharType="end"/>
    </w:r>
    <w:r w:rsidR="005D0C58" w:rsidRPr="00F3330B">
      <w:rPr>
        <w:lang w:val="fr-FR"/>
      </w:rPr>
      <w:t xml:space="preserve"> (483248)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A265E" w14:textId="77777777"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EBAC" w14:textId="77777777" w:rsidR="009136B5" w:rsidRDefault="009136B5">
      <w:r>
        <w:t>____________________</w:t>
      </w:r>
    </w:p>
  </w:footnote>
  <w:footnote w:type="continuationSeparator" w:id="0">
    <w:p w14:paraId="029F1890" w14:textId="77777777" w:rsidR="009136B5" w:rsidRDefault="0091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774E" w14:textId="77777777"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C2727F">
      <w:rPr>
        <w:noProof/>
      </w:rPr>
      <w:t>2</w:t>
    </w:r>
    <w:r>
      <w:rPr>
        <w:noProof/>
      </w:rPr>
      <w:fldChar w:fldCharType="end"/>
    </w:r>
  </w:p>
  <w:p w14:paraId="3069C2EE" w14:textId="440AB080" w:rsidR="00760F1C" w:rsidRDefault="00760F1C" w:rsidP="00C2727F">
    <w:pPr>
      <w:pStyle w:val="Header"/>
    </w:pPr>
    <w:r>
      <w:t>C</w:t>
    </w:r>
    <w:r w:rsidR="007955DA">
      <w:t>2</w:t>
    </w:r>
    <w:r w:rsidR="000007D1">
      <w:t>1</w:t>
    </w:r>
    <w:r>
      <w:t>/</w:t>
    </w:r>
    <w:r w:rsidR="005D0C58">
      <w:t>51</w:t>
    </w:r>
    <w: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13"/>
    <w:rsid w:val="000007D1"/>
    <w:rsid w:val="00093EEB"/>
    <w:rsid w:val="000B0D00"/>
    <w:rsid w:val="000B7C15"/>
    <w:rsid w:val="000D1D0F"/>
    <w:rsid w:val="000F5290"/>
    <w:rsid w:val="0010165C"/>
    <w:rsid w:val="00146BFB"/>
    <w:rsid w:val="001F14A2"/>
    <w:rsid w:val="002801AA"/>
    <w:rsid w:val="002C4676"/>
    <w:rsid w:val="002C70B0"/>
    <w:rsid w:val="002F3CC4"/>
    <w:rsid w:val="003032F0"/>
    <w:rsid w:val="00513630"/>
    <w:rsid w:val="00560125"/>
    <w:rsid w:val="00585553"/>
    <w:rsid w:val="005B34D9"/>
    <w:rsid w:val="005D0C58"/>
    <w:rsid w:val="005D0CCF"/>
    <w:rsid w:val="005F3BCB"/>
    <w:rsid w:val="005F410F"/>
    <w:rsid w:val="0060149A"/>
    <w:rsid w:val="00601924"/>
    <w:rsid w:val="006447EA"/>
    <w:rsid w:val="0064731F"/>
    <w:rsid w:val="00664572"/>
    <w:rsid w:val="006710F6"/>
    <w:rsid w:val="006C1B56"/>
    <w:rsid w:val="006D4761"/>
    <w:rsid w:val="00726872"/>
    <w:rsid w:val="00760F1C"/>
    <w:rsid w:val="007657F0"/>
    <w:rsid w:val="0077252D"/>
    <w:rsid w:val="007955DA"/>
    <w:rsid w:val="007B68B6"/>
    <w:rsid w:val="007E5DD3"/>
    <w:rsid w:val="007F350B"/>
    <w:rsid w:val="00820BE4"/>
    <w:rsid w:val="008451E8"/>
    <w:rsid w:val="009136B5"/>
    <w:rsid w:val="00913B9C"/>
    <w:rsid w:val="00956E77"/>
    <w:rsid w:val="009E3013"/>
    <w:rsid w:val="009F4811"/>
    <w:rsid w:val="00AA390C"/>
    <w:rsid w:val="00AC5DC8"/>
    <w:rsid w:val="00B0200A"/>
    <w:rsid w:val="00B574DB"/>
    <w:rsid w:val="00B826C2"/>
    <w:rsid w:val="00B8298E"/>
    <w:rsid w:val="00BD0723"/>
    <w:rsid w:val="00BD2518"/>
    <w:rsid w:val="00BF1D1C"/>
    <w:rsid w:val="00C20C59"/>
    <w:rsid w:val="00C2727F"/>
    <w:rsid w:val="00C55B1F"/>
    <w:rsid w:val="00CF1A67"/>
    <w:rsid w:val="00D11727"/>
    <w:rsid w:val="00D2750E"/>
    <w:rsid w:val="00D62446"/>
    <w:rsid w:val="00DA4EA2"/>
    <w:rsid w:val="00DC3D3E"/>
    <w:rsid w:val="00DE2C90"/>
    <w:rsid w:val="00DE3B24"/>
    <w:rsid w:val="00E06947"/>
    <w:rsid w:val="00E3592D"/>
    <w:rsid w:val="00E92DE8"/>
    <w:rsid w:val="00EB1212"/>
    <w:rsid w:val="00ED65AB"/>
    <w:rsid w:val="00F12850"/>
    <w:rsid w:val="00F3330B"/>
    <w:rsid w:val="00F33BF4"/>
    <w:rsid w:val="00F7105E"/>
    <w:rsid w:val="00F75F57"/>
    <w:rsid w:val="00F82FEE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EB1F8"/>
  <w15:docId w15:val="{533B5409-0E7C-4A9D-BDB3-D6AF6ACF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BodyAA">
    <w:name w:val="Body A A"/>
    <w:rsid w:val="009E301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customStyle="1" w:styleId="Hyperlink3">
    <w:name w:val="Hyperlink.3"/>
    <w:basedOn w:val="DefaultParagraphFont"/>
    <w:rsid w:val="009E3013"/>
    <w:rPr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7B6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RES-140-S.pdf" TargetMode="External"/><Relationship Id="rId13" Type="http://schemas.openxmlformats.org/officeDocument/2006/relationships/hyperlink" Target="https://www.itu.int/en/council/cwg-internet/Pages/consultation-sep2020.asp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en/council/Documents/basic-texts/RES-102-S.pdf" TargetMode="External"/><Relationship Id="rId12" Type="http://schemas.openxmlformats.org/officeDocument/2006/relationships/hyperlink" Target="https://www.itu.int/md/S21-RCLINTPOL15-C-0012/es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tu.int/en/council/cwg-internet/Pages/default.asp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itu.int/md/S15-CL-C-0113/e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itu.int/md/S19-CL-C-0136/es" TargetMode="External"/><Relationship Id="rId14" Type="http://schemas.openxmlformats.org/officeDocument/2006/relationships/hyperlink" Target="http://www.itu.int/en/council/cwg-internet/Pages/open-consultations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mat\AppData\Roaming\Microsoft\Templates\POOL%20S%20-%20ITU\PS_C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PS_C21.dotx</Template>
  <TotalTime>78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6996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Presidente del Grupo de Trabajo del Consejo sobre cuestiones de política pública internacional relacionadas con  Internet (GTC-Internet)</dc:title>
  <dc:subject>Consejo 2021, Virtual consultation of councillors</dc:subject>
  <dc:creator>Spanish</dc:creator>
  <cp:keywords>C2021, C21, VCC, C21-VCC-1</cp:keywords>
  <dc:description/>
  <cp:lastModifiedBy>Mendoza-Pinto, Yelitza</cp:lastModifiedBy>
  <cp:revision>5</cp:revision>
  <cp:lastPrinted>2006-03-24T09:51:00Z</cp:lastPrinted>
  <dcterms:created xsi:type="dcterms:W3CDTF">2021-04-22T09:36:00Z</dcterms:created>
  <dcterms:modified xsi:type="dcterms:W3CDTF">2021-04-27T12:40:00Z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