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14:paraId="6D6A4771" w14:textId="77777777" w:rsidTr="009F66A3">
        <w:trPr>
          <w:cantSplit/>
          <w:trHeight w:val="1276"/>
        </w:trPr>
        <w:tc>
          <w:tcPr>
            <w:tcW w:w="6911" w:type="dxa"/>
          </w:tcPr>
          <w:p w14:paraId="7BC30B78" w14:textId="722CEEAF" w:rsidR="002A2188" w:rsidRPr="00813E5E" w:rsidRDefault="002A2188" w:rsidP="009F66A3">
            <w:pPr>
              <w:spacing w:before="360" w:after="48" w:line="240" w:lineRule="atLeast"/>
              <w:rPr>
                <w:position w:val="6"/>
              </w:rPr>
            </w:pPr>
            <w:bookmarkStart w:id="0" w:name="dc06"/>
            <w:bookmarkEnd w:id="0"/>
            <w:r w:rsidRPr="00DE4373">
              <w:rPr>
                <w:b/>
                <w:bCs/>
                <w:position w:val="6"/>
                <w:sz w:val="30"/>
                <w:szCs w:val="30"/>
              </w:rPr>
              <w:t>C</w:t>
            </w:r>
            <w:r w:rsidR="009F66A3" w:rsidRPr="00DE4373">
              <w:rPr>
                <w:b/>
                <w:bCs/>
                <w:position w:val="6"/>
                <w:sz w:val="30"/>
                <w:szCs w:val="30"/>
              </w:rPr>
              <w:t>ouncil 202</w:t>
            </w:r>
            <w:r w:rsidR="00F56668" w:rsidRPr="00DE4373">
              <w:rPr>
                <w:b/>
                <w:bCs/>
                <w:position w:val="6"/>
                <w:sz w:val="30"/>
                <w:szCs w:val="30"/>
              </w:rPr>
              <w:t>1</w:t>
            </w:r>
            <w:r w:rsidR="00F56668" w:rsidRPr="00DE4373">
              <w:rPr>
                <w:b/>
                <w:bCs/>
                <w:position w:val="6"/>
                <w:sz w:val="30"/>
                <w:szCs w:val="30"/>
              </w:rPr>
              <w:br/>
            </w:r>
            <w:r w:rsidR="00EA2120" w:rsidRPr="00DE4373">
              <w:rPr>
                <w:b/>
                <w:bCs/>
                <w:position w:val="6"/>
                <w:sz w:val="28"/>
                <w:szCs w:val="28"/>
              </w:rPr>
              <w:t>Virtual consultation of councillors</w:t>
            </w:r>
            <w:r w:rsidR="00F56668" w:rsidRPr="00DE4373">
              <w:rPr>
                <w:b/>
                <w:bCs/>
                <w:position w:val="6"/>
                <w:sz w:val="28"/>
                <w:szCs w:val="28"/>
              </w:rPr>
              <w:t xml:space="preserve">, </w:t>
            </w:r>
            <w:r w:rsidR="00F56668" w:rsidRPr="00722181">
              <w:rPr>
                <w:b/>
                <w:bCs/>
                <w:position w:val="6"/>
                <w:sz w:val="28"/>
                <w:szCs w:val="28"/>
              </w:rPr>
              <w:t>8-18 June</w:t>
            </w:r>
            <w:r w:rsidR="00F56668" w:rsidRPr="00DE4373">
              <w:rPr>
                <w:b/>
                <w:bCs/>
                <w:position w:val="6"/>
                <w:sz w:val="28"/>
                <w:szCs w:val="28"/>
              </w:rPr>
              <w:t xml:space="preserve"> 2021</w:t>
            </w:r>
          </w:p>
        </w:tc>
        <w:tc>
          <w:tcPr>
            <w:tcW w:w="3120" w:type="dxa"/>
            <w:vAlign w:val="center"/>
          </w:tcPr>
          <w:p w14:paraId="049BF09C" w14:textId="77777777" w:rsidR="002A2188" w:rsidRPr="00813E5E" w:rsidRDefault="009F66A3" w:rsidP="009F66A3">
            <w:pPr>
              <w:spacing w:before="0" w:line="240" w:lineRule="atLeast"/>
            </w:pPr>
            <w:bookmarkStart w:id="1" w:name="ditulogo"/>
            <w:bookmarkEnd w:id="1"/>
            <w:r>
              <w:rPr>
                <w:noProof/>
                <w:lang w:eastAsia="zh-CN"/>
              </w:rPr>
              <w:drawing>
                <wp:inline distT="0" distB="0" distL="0" distR="0" wp14:anchorId="10F84D5C" wp14:editId="20BC88C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A2188" w:rsidRPr="00813E5E" w14:paraId="02F3C902" w14:textId="77777777" w:rsidTr="00464B6C">
        <w:trPr>
          <w:cantSplit/>
        </w:trPr>
        <w:tc>
          <w:tcPr>
            <w:tcW w:w="6911" w:type="dxa"/>
            <w:tcBorders>
              <w:bottom w:val="single" w:sz="12" w:space="0" w:color="auto"/>
            </w:tcBorders>
          </w:tcPr>
          <w:p w14:paraId="2143B1CA" w14:textId="77777777" w:rsidR="002A2188" w:rsidRPr="00813E5E" w:rsidRDefault="002A2188" w:rsidP="00DE4373">
            <w:pPr>
              <w:spacing w:before="0" w:line="240" w:lineRule="atLeast"/>
              <w:rPr>
                <w:b/>
                <w:smallCaps/>
                <w:szCs w:val="24"/>
              </w:rPr>
            </w:pPr>
          </w:p>
        </w:tc>
        <w:tc>
          <w:tcPr>
            <w:tcW w:w="3120" w:type="dxa"/>
            <w:tcBorders>
              <w:bottom w:val="single" w:sz="12" w:space="0" w:color="auto"/>
            </w:tcBorders>
          </w:tcPr>
          <w:p w14:paraId="3D08500D" w14:textId="77777777" w:rsidR="002A2188" w:rsidRPr="00813E5E" w:rsidRDefault="002A2188" w:rsidP="00DE4373">
            <w:pPr>
              <w:spacing w:before="0" w:line="240" w:lineRule="atLeast"/>
              <w:rPr>
                <w:szCs w:val="24"/>
              </w:rPr>
            </w:pPr>
          </w:p>
        </w:tc>
      </w:tr>
      <w:tr w:rsidR="002A2188" w:rsidRPr="00813E5E" w14:paraId="17235C7F" w14:textId="77777777" w:rsidTr="00464B6C">
        <w:trPr>
          <w:cantSplit/>
        </w:trPr>
        <w:tc>
          <w:tcPr>
            <w:tcW w:w="6911" w:type="dxa"/>
            <w:tcBorders>
              <w:top w:val="single" w:sz="12" w:space="0" w:color="auto"/>
            </w:tcBorders>
          </w:tcPr>
          <w:p w14:paraId="5D7313BD" w14:textId="77777777" w:rsidR="002A2188" w:rsidRPr="00813E5E" w:rsidRDefault="002A2188" w:rsidP="00DE4373">
            <w:pPr>
              <w:spacing w:before="0" w:line="240" w:lineRule="atLeast"/>
              <w:rPr>
                <w:b/>
                <w:smallCaps/>
                <w:szCs w:val="24"/>
              </w:rPr>
            </w:pPr>
          </w:p>
        </w:tc>
        <w:tc>
          <w:tcPr>
            <w:tcW w:w="3120" w:type="dxa"/>
            <w:tcBorders>
              <w:top w:val="single" w:sz="12" w:space="0" w:color="auto"/>
            </w:tcBorders>
          </w:tcPr>
          <w:p w14:paraId="22C9147A" w14:textId="77777777" w:rsidR="002A2188" w:rsidRPr="00813E5E" w:rsidRDefault="002A2188" w:rsidP="00DE4373">
            <w:pPr>
              <w:spacing w:before="0" w:line="240" w:lineRule="atLeast"/>
              <w:rPr>
                <w:szCs w:val="24"/>
              </w:rPr>
            </w:pPr>
          </w:p>
        </w:tc>
      </w:tr>
      <w:tr w:rsidR="002A2188" w:rsidRPr="00501AD8" w14:paraId="6804D83E" w14:textId="77777777" w:rsidTr="00464B6C">
        <w:trPr>
          <w:cantSplit/>
          <w:trHeight w:val="23"/>
        </w:trPr>
        <w:tc>
          <w:tcPr>
            <w:tcW w:w="6911" w:type="dxa"/>
            <w:vMerge w:val="restart"/>
          </w:tcPr>
          <w:p w14:paraId="42A03540" w14:textId="3FB5B367" w:rsidR="002A2188" w:rsidRPr="00E85629" w:rsidRDefault="00DE4373" w:rsidP="00DE4373">
            <w:pPr>
              <w:tabs>
                <w:tab w:val="left" w:pos="851"/>
              </w:tabs>
              <w:spacing w:before="0" w:line="240" w:lineRule="atLeast"/>
              <w:rPr>
                <w:b/>
              </w:rPr>
            </w:pPr>
            <w:bookmarkStart w:id="2" w:name="dmeeting" w:colFirst="0" w:colLast="0"/>
            <w:bookmarkStart w:id="3" w:name="dnum" w:colFirst="1" w:colLast="1"/>
            <w:r>
              <w:rPr>
                <w:b/>
              </w:rPr>
              <w:t xml:space="preserve">Agenda item: </w:t>
            </w:r>
            <w:r w:rsidR="00501AD8">
              <w:rPr>
                <w:b/>
              </w:rPr>
              <w:t>ADM 4</w:t>
            </w:r>
          </w:p>
        </w:tc>
        <w:tc>
          <w:tcPr>
            <w:tcW w:w="3120" w:type="dxa"/>
          </w:tcPr>
          <w:p w14:paraId="1727AC2C" w14:textId="49689EE0" w:rsidR="002A2188" w:rsidRPr="00501AD8" w:rsidRDefault="00501AD8" w:rsidP="00DE4373">
            <w:pPr>
              <w:tabs>
                <w:tab w:val="left" w:pos="851"/>
              </w:tabs>
              <w:spacing w:before="0" w:line="240" w:lineRule="atLeast"/>
              <w:rPr>
                <w:b/>
              </w:rPr>
            </w:pPr>
            <w:r w:rsidRPr="00501AD8">
              <w:rPr>
                <w:b/>
              </w:rPr>
              <w:t>Addendum 1 to</w:t>
            </w:r>
            <w:r w:rsidRPr="00501AD8">
              <w:rPr>
                <w:b/>
              </w:rPr>
              <w:br/>
            </w:r>
            <w:r w:rsidR="009F66A3" w:rsidRPr="00501AD8">
              <w:rPr>
                <w:b/>
              </w:rPr>
              <w:t>Document C2</w:t>
            </w:r>
            <w:r w:rsidR="00F56668" w:rsidRPr="00501AD8">
              <w:rPr>
                <w:b/>
              </w:rPr>
              <w:t>1</w:t>
            </w:r>
            <w:r w:rsidR="002A2188" w:rsidRPr="00501AD8">
              <w:rPr>
                <w:b/>
              </w:rPr>
              <w:t>/</w:t>
            </w:r>
            <w:r>
              <w:rPr>
                <w:b/>
              </w:rPr>
              <w:t>50</w:t>
            </w:r>
            <w:r w:rsidR="002A2188" w:rsidRPr="00501AD8">
              <w:rPr>
                <w:b/>
              </w:rPr>
              <w:t>-E</w:t>
            </w:r>
          </w:p>
        </w:tc>
      </w:tr>
      <w:tr w:rsidR="002A2188" w:rsidRPr="00813E5E" w14:paraId="6B217E52" w14:textId="77777777" w:rsidTr="00464B6C">
        <w:trPr>
          <w:cantSplit/>
          <w:trHeight w:val="23"/>
        </w:trPr>
        <w:tc>
          <w:tcPr>
            <w:tcW w:w="6911" w:type="dxa"/>
            <w:vMerge/>
          </w:tcPr>
          <w:p w14:paraId="1CE8AE93" w14:textId="77777777" w:rsidR="002A2188" w:rsidRPr="00501AD8" w:rsidRDefault="002A2188" w:rsidP="00464B6C">
            <w:pPr>
              <w:tabs>
                <w:tab w:val="left" w:pos="851"/>
              </w:tabs>
              <w:spacing w:line="240" w:lineRule="atLeast"/>
              <w:rPr>
                <w:b/>
              </w:rPr>
            </w:pPr>
            <w:bookmarkStart w:id="4" w:name="ddate" w:colFirst="1" w:colLast="1"/>
            <w:bookmarkEnd w:id="2"/>
            <w:bookmarkEnd w:id="3"/>
          </w:p>
        </w:tc>
        <w:tc>
          <w:tcPr>
            <w:tcW w:w="3120" w:type="dxa"/>
          </w:tcPr>
          <w:p w14:paraId="257DEE08" w14:textId="7D9319A4" w:rsidR="002A2188" w:rsidRPr="00E85629" w:rsidRDefault="00501AD8" w:rsidP="009F66A3">
            <w:pPr>
              <w:tabs>
                <w:tab w:val="left" w:pos="993"/>
              </w:tabs>
              <w:spacing w:before="0"/>
              <w:rPr>
                <w:b/>
              </w:rPr>
            </w:pPr>
            <w:r>
              <w:rPr>
                <w:b/>
              </w:rPr>
              <w:t>4 June</w:t>
            </w:r>
            <w:r w:rsidR="002A2188">
              <w:rPr>
                <w:b/>
              </w:rPr>
              <w:t xml:space="preserve"> 20</w:t>
            </w:r>
            <w:r w:rsidR="009F66A3">
              <w:rPr>
                <w:b/>
              </w:rPr>
              <w:t>2</w:t>
            </w:r>
            <w:r w:rsidR="00F56668">
              <w:rPr>
                <w:b/>
              </w:rPr>
              <w:t>1</w:t>
            </w:r>
          </w:p>
        </w:tc>
      </w:tr>
      <w:tr w:rsidR="002A2188" w:rsidRPr="00813E5E" w14:paraId="10D36551" w14:textId="77777777" w:rsidTr="00464B6C">
        <w:trPr>
          <w:cantSplit/>
          <w:trHeight w:val="23"/>
        </w:trPr>
        <w:tc>
          <w:tcPr>
            <w:tcW w:w="6911" w:type="dxa"/>
            <w:vMerge/>
          </w:tcPr>
          <w:p w14:paraId="7EF812AF" w14:textId="77777777" w:rsidR="002A2188" w:rsidRPr="00813E5E" w:rsidRDefault="002A2188" w:rsidP="00464B6C">
            <w:pPr>
              <w:tabs>
                <w:tab w:val="left" w:pos="851"/>
              </w:tabs>
              <w:spacing w:line="240" w:lineRule="atLeast"/>
              <w:rPr>
                <w:b/>
              </w:rPr>
            </w:pPr>
            <w:bookmarkStart w:id="5" w:name="dorlang" w:colFirst="1" w:colLast="1"/>
            <w:bookmarkEnd w:id="4"/>
          </w:p>
        </w:tc>
        <w:tc>
          <w:tcPr>
            <w:tcW w:w="3120" w:type="dxa"/>
          </w:tcPr>
          <w:p w14:paraId="0DF1D05E" w14:textId="3B429F99" w:rsidR="002A2188" w:rsidRPr="00E85629" w:rsidRDefault="002A2188" w:rsidP="00464B6C">
            <w:pPr>
              <w:tabs>
                <w:tab w:val="left" w:pos="993"/>
              </w:tabs>
              <w:spacing w:before="0"/>
              <w:rPr>
                <w:b/>
              </w:rPr>
            </w:pPr>
            <w:r>
              <w:rPr>
                <w:b/>
              </w:rPr>
              <w:t xml:space="preserve">Original: </w:t>
            </w:r>
            <w:r w:rsidR="00DE4373">
              <w:rPr>
                <w:b/>
              </w:rPr>
              <w:t>English</w:t>
            </w:r>
          </w:p>
        </w:tc>
      </w:tr>
      <w:tr w:rsidR="002A2188" w:rsidRPr="00813E5E" w14:paraId="46399271" w14:textId="77777777" w:rsidTr="00464B6C">
        <w:trPr>
          <w:cantSplit/>
        </w:trPr>
        <w:tc>
          <w:tcPr>
            <w:tcW w:w="10031" w:type="dxa"/>
            <w:gridSpan w:val="2"/>
          </w:tcPr>
          <w:p w14:paraId="18E28CA0" w14:textId="24BD4D42" w:rsidR="00EA2120" w:rsidRPr="00DE4373" w:rsidRDefault="00501AD8" w:rsidP="00722181">
            <w:pPr>
              <w:pStyle w:val="Source"/>
            </w:pPr>
            <w:bookmarkStart w:id="6" w:name="dsource" w:colFirst="0" w:colLast="0"/>
            <w:bookmarkEnd w:id="5"/>
            <w:r w:rsidRPr="00501AD8">
              <w:t xml:space="preserve">Report by the Chairperson of the </w:t>
            </w:r>
            <w:r>
              <w:br/>
            </w:r>
            <w:r w:rsidRPr="00501AD8">
              <w:t>Council Working Group on Financial and Human Resources (CWG-FHR)</w:t>
            </w:r>
          </w:p>
        </w:tc>
      </w:tr>
      <w:tr w:rsidR="002A2188" w:rsidRPr="00813E5E" w14:paraId="73F317E2" w14:textId="77777777" w:rsidTr="00464B6C">
        <w:trPr>
          <w:cantSplit/>
        </w:trPr>
        <w:tc>
          <w:tcPr>
            <w:tcW w:w="10031" w:type="dxa"/>
            <w:gridSpan w:val="2"/>
          </w:tcPr>
          <w:p w14:paraId="29B3DB5C" w14:textId="0D499480" w:rsidR="002A2188" w:rsidRPr="00813E5E" w:rsidRDefault="002A2188" w:rsidP="00464B6C">
            <w:pPr>
              <w:pStyle w:val="Title1"/>
            </w:pPr>
            <w:bookmarkStart w:id="7" w:name="dtitle1" w:colFirst="0" w:colLast="0"/>
            <w:bookmarkEnd w:id="6"/>
          </w:p>
        </w:tc>
      </w:tr>
      <w:bookmarkEnd w:id="7"/>
    </w:tbl>
    <w:p w14:paraId="4FE83389" w14:textId="77777777" w:rsidR="002A2188" w:rsidRPr="00813E5E" w:rsidRDefault="002A2188" w:rsidP="002A2188"/>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A2188" w:rsidRPr="00813E5E" w14:paraId="4E4C3AF4" w14:textId="77777777"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14:paraId="19A26CC0" w14:textId="77777777" w:rsidR="00501AD8" w:rsidRPr="00501AD8" w:rsidRDefault="00501AD8" w:rsidP="00501AD8">
            <w:pPr>
              <w:keepNext/>
              <w:keepLines/>
              <w:spacing w:after="120"/>
              <w:ind w:left="567" w:hanging="567"/>
              <w:jc w:val="both"/>
              <w:outlineLvl w:val="0"/>
              <w:rPr>
                <w:rFonts w:asciiTheme="minorHAnsi" w:hAnsiTheme="minorHAnsi" w:cstheme="minorHAnsi"/>
                <w:b/>
                <w:szCs w:val="24"/>
              </w:rPr>
            </w:pPr>
            <w:r w:rsidRPr="00501AD8">
              <w:rPr>
                <w:rFonts w:asciiTheme="minorHAnsi" w:hAnsiTheme="minorHAnsi" w:cstheme="minorHAnsi"/>
                <w:b/>
                <w:szCs w:val="24"/>
              </w:rPr>
              <w:t>Summary</w:t>
            </w:r>
          </w:p>
          <w:p w14:paraId="0732B741" w14:textId="77777777" w:rsidR="00501AD8" w:rsidRPr="00501AD8" w:rsidRDefault="00501AD8" w:rsidP="00501AD8">
            <w:pPr>
              <w:spacing w:after="120"/>
              <w:jc w:val="both"/>
              <w:rPr>
                <w:rFonts w:asciiTheme="minorHAnsi" w:hAnsiTheme="minorHAnsi" w:cstheme="minorHAnsi"/>
                <w:szCs w:val="24"/>
              </w:rPr>
            </w:pPr>
            <w:r w:rsidRPr="00501AD8">
              <w:rPr>
                <w:rFonts w:asciiTheme="minorHAnsi" w:hAnsiTheme="minorHAnsi" w:cstheme="minorHAnsi"/>
                <w:szCs w:val="24"/>
              </w:rPr>
              <w:t>This document presents a report on the deliberations of the virtual meeting of the CWG-FHR, which was held on 3 June 2021.</w:t>
            </w:r>
          </w:p>
          <w:p w14:paraId="3FACE040" w14:textId="77777777" w:rsidR="00501AD8" w:rsidRPr="00501AD8" w:rsidRDefault="00501AD8" w:rsidP="00501AD8">
            <w:pPr>
              <w:keepNext/>
              <w:keepLines/>
              <w:spacing w:after="120"/>
              <w:ind w:left="567" w:hanging="567"/>
              <w:jc w:val="both"/>
              <w:outlineLvl w:val="0"/>
              <w:rPr>
                <w:rFonts w:asciiTheme="minorHAnsi" w:hAnsiTheme="minorHAnsi" w:cstheme="minorHAnsi"/>
                <w:b/>
                <w:szCs w:val="24"/>
              </w:rPr>
            </w:pPr>
            <w:r w:rsidRPr="00501AD8">
              <w:rPr>
                <w:rFonts w:asciiTheme="minorHAnsi" w:hAnsiTheme="minorHAnsi" w:cstheme="minorHAnsi"/>
                <w:b/>
                <w:szCs w:val="24"/>
              </w:rPr>
              <w:t xml:space="preserve">Action </w:t>
            </w:r>
            <w:proofErr w:type="gramStart"/>
            <w:r w:rsidRPr="00501AD8">
              <w:rPr>
                <w:rFonts w:asciiTheme="minorHAnsi" w:hAnsiTheme="minorHAnsi" w:cstheme="minorHAnsi"/>
                <w:b/>
                <w:szCs w:val="24"/>
              </w:rPr>
              <w:t>required</w:t>
            </w:r>
            <w:proofErr w:type="gramEnd"/>
          </w:p>
          <w:p w14:paraId="6623D475" w14:textId="77777777" w:rsidR="00501AD8" w:rsidRPr="00501AD8" w:rsidRDefault="00501AD8" w:rsidP="00501AD8">
            <w:pPr>
              <w:spacing w:after="120"/>
              <w:jc w:val="both"/>
              <w:rPr>
                <w:rFonts w:asciiTheme="minorHAnsi" w:hAnsiTheme="minorHAnsi" w:cstheme="minorHAnsi"/>
                <w:szCs w:val="24"/>
              </w:rPr>
            </w:pPr>
            <w:r w:rsidRPr="00501AD8">
              <w:rPr>
                <w:rFonts w:asciiTheme="minorHAnsi" w:hAnsiTheme="minorHAnsi" w:cstheme="minorHAnsi"/>
                <w:szCs w:val="24"/>
              </w:rPr>
              <w:t xml:space="preserve">Councillors are invited </w:t>
            </w:r>
            <w:r w:rsidRPr="00501AD8">
              <w:rPr>
                <w:rFonts w:asciiTheme="minorHAnsi" w:hAnsiTheme="minorHAnsi" w:cstheme="minorHAnsi"/>
                <w:b/>
                <w:bCs/>
                <w:szCs w:val="24"/>
              </w:rPr>
              <w:t>to take note</w:t>
            </w:r>
            <w:r w:rsidRPr="00501AD8">
              <w:rPr>
                <w:rFonts w:asciiTheme="minorHAnsi" w:hAnsiTheme="minorHAnsi" w:cstheme="minorHAnsi"/>
                <w:szCs w:val="24"/>
              </w:rPr>
              <w:t xml:space="preserve"> of the work of the CWG-FHR </w:t>
            </w:r>
            <w:proofErr w:type="gramStart"/>
            <w:r w:rsidRPr="00501AD8">
              <w:rPr>
                <w:rFonts w:asciiTheme="minorHAnsi" w:hAnsiTheme="minorHAnsi" w:cstheme="minorHAnsi"/>
                <w:szCs w:val="24"/>
              </w:rPr>
              <w:t>and also</w:t>
            </w:r>
            <w:proofErr w:type="gramEnd"/>
            <w:r w:rsidRPr="00501AD8">
              <w:rPr>
                <w:rFonts w:asciiTheme="minorHAnsi" w:hAnsiTheme="minorHAnsi" w:cstheme="minorHAnsi"/>
                <w:szCs w:val="24"/>
              </w:rPr>
              <w:t xml:space="preserve"> to </w:t>
            </w:r>
            <w:r w:rsidRPr="00501AD8">
              <w:rPr>
                <w:rFonts w:asciiTheme="minorHAnsi" w:hAnsiTheme="minorHAnsi" w:cstheme="minorHAnsi"/>
                <w:b/>
                <w:bCs/>
                <w:szCs w:val="24"/>
              </w:rPr>
              <w:t>consider</w:t>
            </w:r>
            <w:r w:rsidRPr="00501AD8">
              <w:rPr>
                <w:rFonts w:asciiTheme="minorHAnsi" w:hAnsiTheme="minorHAnsi" w:cstheme="minorHAnsi"/>
                <w:szCs w:val="24"/>
              </w:rPr>
              <w:t xml:space="preserve"> and </w:t>
            </w:r>
            <w:r w:rsidRPr="00501AD8">
              <w:rPr>
                <w:rFonts w:asciiTheme="minorHAnsi" w:hAnsiTheme="minorHAnsi" w:cstheme="minorHAnsi"/>
                <w:b/>
                <w:bCs/>
                <w:szCs w:val="24"/>
              </w:rPr>
              <w:t>offer views</w:t>
            </w:r>
            <w:r w:rsidRPr="00501AD8">
              <w:rPr>
                <w:rFonts w:asciiTheme="minorHAnsi" w:hAnsiTheme="minorHAnsi" w:cstheme="minorHAnsi"/>
                <w:szCs w:val="24"/>
              </w:rPr>
              <w:t>, as appropriate, on the actions identified in the report.</w:t>
            </w:r>
          </w:p>
          <w:p w14:paraId="079A8B36" w14:textId="77777777" w:rsidR="00501AD8" w:rsidRPr="00501AD8" w:rsidRDefault="00501AD8" w:rsidP="00501AD8">
            <w:pPr>
              <w:spacing w:after="120"/>
              <w:jc w:val="both"/>
              <w:rPr>
                <w:rFonts w:cs="Calibri"/>
                <w:color w:val="000000" w:themeColor="text1"/>
                <w:szCs w:val="24"/>
              </w:rPr>
            </w:pPr>
            <w:r w:rsidRPr="00501AD8">
              <w:rPr>
                <w:rFonts w:cs="Calibri"/>
                <w:szCs w:val="24"/>
              </w:rPr>
              <w:t>CWG-FHR recommends that the ITU secretariat create a dashboard to enable systematic monitoring of the implementation of the approved PWC’s recommendations and report to CWG-FHR and Council on its progress (including the status of all PWC recommendations).</w:t>
            </w:r>
          </w:p>
          <w:p w14:paraId="4EDB5003" w14:textId="77777777" w:rsidR="00501AD8" w:rsidRPr="00501AD8" w:rsidRDefault="00501AD8" w:rsidP="00501AD8">
            <w:pPr>
              <w:tabs>
                <w:tab w:val="left" w:pos="794"/>
                <w:tab w:val="left" w:pos="1191"/>
                <w:tab w:val="left" w:pos="1588"/>
                <w:tab w:val="left" w:pos="1985"/>
              </w:tabs>
              <w:spacing w:after="120"/>
              <w:jc w:val="center"/>
              <w:rPr>
                <w:rFonts w:asciiTheme="minorHAnsi" w:hAnsiTheme="minorHAnsi" w:cstheme="minorHAnsi"/>
                <w:szCs w:val="24"/>
              </w:rPr>
            </w:pPr>
            <w:r w:rsidRPr="00501AD8">
              <w:rPr>
                <w:rFonts w:asciiTheme="minorHAnsi" w:hAnsiTheme="minorHAnsi" w:cstheme="minorHAnsi"/>
                <w:szCs w:val="24"/>
              </w:rPr>
              <w:t>____________</w:t>
            </w:r>
          </w:p>
          <w:p w14:paraId="4E99622C" w14:textId="77777777" w:rsidR="00501AD8" w:rsidRPr="00501AD8" w:rsidRDefault="00501AD8" w:rsidP="00501AD8">
            <w:pPr>
              <w:keepNext/>
              <w:keepLines/>
              <w:spacing w:after="120"/>
              <w:ind w:left="567" w:hanging="567"/>
              <w:outlineLvl w:val="0"/>
              <w:rPr>
                <w:rFonts w:asciiTheme="minorHAnsi" w:hAnsiTheme="minorHAnsi" w:cstheme="minorHAnsi"/>
                <w:b/>
                <w:szCs w:val="24"/>
              </w:rPr>
            </w:pPr>
            <w:r w:rsidRPr="00501AD8">
              <w:rPr>
                <w:rFonts w:asciiTheme="minorHAnsi" w:hAnsiTheme="minorHAnsi" w:cstheme="minorHAnsi"/>
                <w:b/>
                <w:szCs w:val="24"/>
              </w:rPr>
              <w:t>References</w:t>
            </w:r>
          </w:p>
          <w:p w14:paraId="2E0343C9" w14:textId="156E22BC" w:rsidR="00DE4373" w:rsidRPr="00CF5A9F" w:rsidRDefault="00501AD8" w:rsidP="00501AD8">
            <w:pPr>
              <w:pStyle w:val="NoSpacing"/>
              <w:spacing w:before="120" w:after="120"/>
              <w:rPr>
                <w:sz w:val="24"/>
                <w:szCs w:val="24"/>
              </w:rPr>
            </w:pPr>
            <w:hyperlink r:id="rId9" w:history="1">
              <w:r w:rsidRPr="00501AD8">
                <w:rPr>
                  <w:rFonts w:eastAsia="Times New Roman" w:cstheme="minorHAnsi"/>
                  <w:i/>
                  <w:iCs/>
                  <w:color w:val="0000FF"/>
                  <w:sz w:val="24"/>
                  <w:szCs w:val="24"/>
                  <w:u w:val="single"/>
                  <w:lang w:val="en-GB"/>
                </w:rPr>
                <w:t>C20/50</w:t>
              </w:r>
            </w:hyperlink>
            <w:r w:rsidRPr="00501AD8">
              <w:rPr>
                <w:rFonts w:eastAsia="Times New Roman" w:cstheme="minorHAnsi"/>
                <w:i/>
                <w:iCs/>
                <w:sz w:val="24"/>
                <w:szCs w:val="24"/>
                <w:lang w:val="en-GB"/>
              </w:rPr>
              <w:t xml:space="preserve"> and </w:t>
            </w:r>
            <w:hyperlink r:id="rId10" w:history="1">
              <w:r w:rsidRPr="00501AD8">
                <w:rPr>
                  <w:rFonts w:eastAsia="Times New Roman" w:cstheme="minorHAnsi"/>
                  <w:i/>
                  <w:iCs/>
                  <w:color w:val="0000FF"/>
                  <w:sz w:val="24"/>
                  <w:szCs w:val="24"/>
                  <w:u w:val="single"/>
                  <w:lang w:val="en-GB"/>
                </w:rPr>
                <w:t>Council Decision 563</w:t>
              </w:r>
            </w:hyperlink>
          </w:p>
        </w:tc>
      </w:tr>
    </w:tbl>
    <w:p w14:paraId="591B451D" w14:textId="2B88A947" w:rsidR="00D338E0" w:rsidRPr="00501AD8" w:rsidRDefault="00501AD8" w:rsidP="00501AD8">
      <w:pPr>
        <w:pStyle w:val="PlainText"/>
        <w:spacing w:before="1800" w:after="120"/>
        <w:jc w:val="both"/>
        <w:rPr>
          <w:rFonts w:asciiTheme="minorHAnsi" w:hAnsiTheme="minorHAnsi" w:cstheme="minorHAnsi"/>
          <w:i/>
          <w:iCs/>
          <w:sz w:val="24"/>
          <w:szCs w:val="24"/>
        </w:rPr>
      </w:pPr>
      <w:bookmarkStart w:id="8" w:name="dstart"/>
      <w:bookmarkStart w:id="9" w:name="dbreak"/>
      <w:bookmarkEnd w:id="8"/>
      <w:bookmarkEnd w:id="9"/>
      <w:r w:rsidRPr="00501AD8">
        <w:rPr>
          <w:rFonts w:asciiTheme="minorHAnsi" w:hAnsiTheme="minorHAnsi" w:cstheme="minorHAnsi"/>
          <w:b/>
          <w:bCs/>
          <w:i/>
          <w:iCs/>
          <w:sz w:val="24"/>
          <w:szCs w:val="24"/>
        </w:rPr>
        <w:t>Annexes:</w:t>
      </w:r>
      <w:r w:rsidRPr="00501AD8">
        <w:rPr>
          <w:rFonts w:asciiTheme="minorHAnsi" w:hAnsiTheme="minorHAnsi" w:cstheme="minorHAnsi"/>
          <w:i/>
          <w:iCs/>
          <w:sz w:val="24"/>
          <w:szCs w:val="24"/>
        </w:rPr>
        <w:t xml:space="preserve">  2</w:t>
      </w:r>
      <w:r w:rsidR="00D338E0" w:rsidRPr="00501AD8">
        <w:rPr>
          <w:i/>
          <w:iCs/>
          <w:lang w:val="en-US"/>
        </w:rPr>
        <w:br w:type="page"/>
      </w:r>
    </w:p>
    <w:p w14:paraId="1C5EDF7C" w14:textId="77777777" w:rsidR="006A0FA0" w:rsidRPr="00501AD8" w:rsidRDefault="006A0FA0" w:rsidP="00501AD8">
      <w:pPr>
        <w:pStyle w:val="Heading1"/>
        <w:numPr>
          <w:ilvl w:val="0"/>
          <w:numId w:val="12"/>
        </w:numPr>
        <w:tabs>
          <w:tab w:val="clear" w:pos="567"/>
          <w:tab w:val="clear" w:pos="1134"/>
          <w:tab w:val="clear" w:pos="1701"/>
          <w:tab w:val="clear" w:pos="2268"/>
          <w:tab w:val="clear" w:pos="2835"/>
        </w:tabs>
        <w:spacing w:before="120" w:after="120"/>
        <w:ind w:left="0" w:firstLine="0"/>
        <w:rPr>
          <w:rFonts w:asciiTheme="minorHAnsi" w:hAnsiTheme="minorHAnsi" w:cstheme="minorHAnsi"/>
          <w:color w:val="548DD4" w:themeColor="text2" w:themeTint="99"/>
          <w:sz w:val="24"/>
          <w:szCs w:val="24"/>
        </w:rPr>
      </w:pPr>
      <w:r w:rsidRPr="00501AD8">
        <w:rPr>
          <w:rFonts w:asciiTheme="minorHAnsi" w:hAnsiTheme="minorHAnsi" w:cstheme="minorHAnsi"/>
          <w:color w:val="548DD4" w:themeColor="text2" w:themeTint="99"/>
          <w:sz w:val="24"/>
          <w:szCs w:val="24"/>
        </w:rPr>
        <w:lastRenderedPageBreak/>
        <w:t>Introduction</w:t>
      </w:r>
    </w:p>
    <w:p w14:paraId="7EB05DCD" w14:textId="77777777" w:rsidR="006A0FA0" w:rsidRDefault="006A0FA0" w:rsidP="00501AD8">
      <w:pPr>
        <w:tabs>
          <w:tab w:val="clear" w:pos="567"/>
          <w:tab w:val="clear" w:pos="1134"/>
          <w:tab w:val="clear" w:pos="1701"/>
          <w:tab w:val="clear" w:pos="2268"/>
          <w:tab w:val="clear" w:pos="2835"/>
        </w:tabs>
        <w:snapToGrid w:val="0"/>
        <w:spacing w:after="120"/>
        <w:jc w:val="both"/>
        <w:rPr>
          <w:rFonts w:asciiTheme="minorHAnsi" w:hAnsiTheme="minorHAnsi" w:cstheme="minorHAnsi"/>
        </w:rPr>
      </w:pPr>
      <w:r>
        <w:rPr>
          <w:rFonts w:asciiTheme="minorHAnsi" w:hAnsiTheme="minorHAnsi" w:cstheme="minorHAnsi"/>
        </w:rPr>
        <w:t>1.1</w:t>
      </w:r>
      <w:r>
        <w:rPr>
          <w:rFonts w:asciiTheme="minorHAnsi" w:hAnsiTheme="minorHAnsi" w:cstheme="minorHAnsi"/>
        </w:rPr>
        <w:tab/>
      </w:r>
      <w:r w:rsidRPr="003564B0">
        <w:rPr>
          <w:rFonts w:asciiTheme="minorHAnsi" w:hAnsiTheme="minorHAnsi" w:cstheme="minorHAnsi"/>
        </w:rPr>
        <w:t>Council Decision 616, adopted at the ninth Plenary Meeting of Council 2019, instructed the Secretary-General to recruit and hire an independent external management consultancy to perform a comprehensive programmatic, strategic, and financial assessment and review of ITU’s regional presence programme in accordance with the terms of reference set forth in the Annex, taking into consideration contributions from the ITU membership, and submit a report with recommendations to the 2021 session of the Council for action. In its decision, the Council provided detailed Terms of Reference for guidance of the consultancy.</w:t>
      </w:r>
    </w:p>
    <w:p w14:paraId="4F0B85CC" w14:textId="77777777" w:rsidR="006A0FA0" w:rsidRDefault="006A0FA0" w:rsidP="00501AD8">
      <w:pPr>
        <w:tabs>
          <w:tab w:val="clear" w:pos="567"/>
          <w:tab w:val="clear" w:pos="1134"/>
          <w:tab w:val="clear" w:pos="1701"/>
          <w:tab w:val="clear" w:pos="2268"/>
          <w:tab w:val="clear" w:pos="2835"/>
        </w:tabs>
        <w:spacing w:after="120"/>
        <w:jc w:val="both"/>
        <w:rPr>
          <w:rFonts w:asciiTheme="minorHAnsi" w:hAnsiTheme="minorHAnsi" w:cstheme="minorHAnsi"/>
          <w:lang w:eastAsia="fr-CH"/>
        </w:rPr>
      </w:pPr>
      <w:r>
        <w:rPr>
          <w:rFonts w:asciiTheme="minorHAnsi" w:hAnsiTheme="minorHAnsi" w:cstheme="minorHAnsi"/>
          <w:lang w:eastAsia="fr-CH"/>
        </w:rPr>
        <w:t>1.2</w:t>
      </w:r>
      <w:r>
        <w:rPr>
          <w:rFonts w:asciiTheme="minorHAnsi" w:hAnsiTheme="minorHAnsi" w:cstheme="minorHAnsi"/>
          <w:lang w:eastAsia="fr-CH"/>
        </w:rPr>
        <w:tab/>
      </w:r>
      <w:r w:rsidRPr="003564B0">
        <w:rPr>
          <w:rFonts w:asciiTheme="minorHAnsi" w:hAnsiTheme="minorHAnsi" w:cstheme="minorHAnsi"/>
          <w:lang w:eastAsia="fr-CH"/>
        </w:rPr>
        <w:t xml:space="preserve">Following a competitive bidding process, PWC was selected to perform this independent study. PWC conducted its </w:t>
      </w:r>
      <w:proofErr w:type="gramStart"/>
      <w:r w:rsidRPr="003564B0">
        <w:rPr>
          <w:rFonts w:asciiTheme="minorHAnsi" w:hAnsiTheme="minorHAnsi" w:cstheme="minorHAnsi"/>
          <w:lang w:eastAsia="fr-CH"/>
        </w:rPr>
        <w:t>work</w:t>
      </w:r>
      <w:proofErr w:type="gramEnd"/>
      <w:r w:rsidRPr="003564B0">
        <w:rPr>
          <w:rFonts w:asciiTheme="minorHAnsi" w:hAnsiTheme="minorHAnsi" w:cstheme="minorHAnsi"/>
          <w:lang w:eastAsia="fr-CH"/>
        </w:rPr>
        <w:t xml:space="preserve"> and its final report was delivered to the </w:t>
      </w:r>
      <w:r>
        <w:rPr>
          <w:rFonts w:asciiTheme="minorHAnsi" w:hAnsiTheme="minorHAnsi" w:cstheme="minorHAnsi"/>
          <w:lang w:eastAsia="fr-CH"/>
        </w:rPr>
        <w:t>s</w:t>
      </w:r>
      <w:r w:rsidRPr="003564B0">
        <w:rPr>
          <w:rFonts w:asciiTheme="minorHAnsi" w:hAnsiTheme="minorHAnsi" w:cstheme="minorHAnsi"/>
          <w:lang w:eastAsia="fr-CH"/>
        </w:rPr>
        <w:t>ecretariat in July 2020.</w:t>
      </w:r>
    </w:p>
    <w:p w14:paraId="0818B48F" w14:textId="77777777" w:rsidR="006A0FA0" w:rsidRPr="003564B0" w:rsidRDefault="006A0FA0" w:rsidP="00501AD8">
      <w:pPr>
        <w:tabs>
          <w:tab w:val="clear" w:pos="567"/>
          <w:tab w:val="clear" w:pos="1134"/>
          <w:tab w:val="clear" w:pos="1701"/>
          <w:tab w:val="clear" w:pos="2268"/>
          <w:tab w:val="clear" w:pos="2835"/>
        </w:tabs>
        <w:spacing w:after="120"/>
        <w:jc w:val="both"/>
        <w:rPr>
          <w:rFonts w:asciiTheme="minorHAnsi" w:hAnsiTheme="minorHAnsi" w:cstheme="minorHAnsi"/>
          <w:lang w:eastAsia="fr-CH"/>
        </w:rPr>
      </w:pPr>
      <w:r>
        <w:rPr>
          <w:rFonts w:asciiTheme="minorHAnsi" w:hAnsiTheme="minorHAnsi" w:cstheme="minorHAnsi"/>
          <w:lang w:eastAsia="fr-CH"/>
        </w:rPr>
        <w:t>1.3</w:t>
      </w:r>
      <w:r>
        <w:rPr>
          <w:rFonts w:asciiTheme="minorHAnsi" w:hAnsiTheme="minorHAnsi" w:cstheme="minorHAnsi"/>
          <w:lang w:eastAsia="fr-CH"/>
        </w:rPr>
        <w:tab/>
      </w:r>
      <w:r w:rsidRPr="003564B0">
        <w:rPr>
          <w:rFonts w:asciiTheme="minorHAnsi" w:hAnsiTheme="minorHAnsi" w:cstheme="minorHAnsi"/>
          <w:lang w:eastAsia="fr-CH"/>
        </w:rPr>
        <w:t>The PWC report was presented to the Second Virtual Consultation of Council (VCC2) in November</w:t>
      </w:r>
      <w:r>
        <w:rPr>
          <w:rFonts w:asciiTheme="minorHAnsi" w:hAnsiTheme="minorHAnsi" w:cstheme="minorHAnsi"/>
          <w:lang w:eastAsia="fr-CH"/>
        </w:rPr>
        <w:t> </w:t>
      </w:r>
      <w:r w:rsidRPr="003564B0">
        <w:rPr>
          <w:rFonts w:asciiTheme="minorHAnsi" w:hAnsiTheme="minorHAnsi" w:cstheme="minorHAnsi"/>
          <w:lang w:eastAsia="fr-CH"/>
        </w:rPr>
        <w:t xml:space="preserve">2020 in </w:t>
      </w:r>
      <w:hyperlink r:id="rId11" w:history="1">
        <w:r w:rsidRPr="003564B0">
          <w:rPr>
            <w:rStyle w:val="Hyperlink"/>
            <w:rFonts w:asciiTheme="minorHAnsi" w:hAnsiTheme="minorHAnsi" w:cstheme="minorHAnsi"/>
            <w:lang w:eastAsia="fr-CH"/>
          </w:rPr>
          <w:t>Document C20/74</w:t>
        </w:r>
      </w:hyperlink>
      <w:r w:rsidRPr="003564B0">
        <w:rPr>
          <w:rFonts w:asciiTheme="minorHAnsi" w:hAnsiTheme="minorHAnsi" w:cstheme="minorHAnsi"/>
          <w:lang w:eastAsia="fr-CH"/>
        </w:rPr>
        <w:t>, together with a Secretariat Note on the PWC Report providing initial view on PWC’s report and the recommendations made (</w:t>
      </w:r>
      <w:hyperlink r:id="rId12" w:history="1">
        <w:r w:rsidRPr="003564B0">
          <w:rPr>
            <w:rStyle w:val="Hyperlink"/>
            <w:rFonts w:asciiTheme="minorHAnsi" w:hAnsiTheme="minorHAnsi" w:cstheme="minorHAnsi"/>
            <w:lang w:eastAsia="fr-CH"/>
          </w:rPr>
          <w:t>Document C20/75</w:t>
        </w:r>
      </w:hyperlink>
      <w:r w:rsidRPr="003564B0">
        <w:rPr>
          <w:rFonts w:asciiTheme="minorHAnsi" w:hAnsiTheme="minorHAnsi" w:cstheme="minorHAnsi"/>
          <w:lang w:eastAsia="fr-CH"/>
        </w:rPr>
        <w:t>).</w:t>
      </w:r>
    </w:p>
    <w:p w14:paraId="36D3966F" w14:textId="77777777" w:rsidR="006A0FA0" w:rsidRDefault="006A0FA0" w:rsidP="00501AD8">
      <w:pPr>
        <w:tabs>
          <w:tab w:val="clear" w:pos="567"/>
          <w:tab w:val="clear" w:pos="1134"/>
          <w:tab w:val="clear" w:pos="1701"/>
          <w:tab w:val="clear" w:pos="2268"/>
          <w:tab w:val="clear" w:pos="2835"/>
        </w:tabs>
        <w:spacing w:after="120"/>
        <w:jc w:val="both"/>
        <w:rPr>
          <w:rFonts w:asciiTheme="minorHAnsi" w:hAnsiTheme="minorHAnsi" w:cstheme="minorHAnsi"/>
          <w:lang w:eastAsia="fr-CH"/>
        </w:rPr>
      </w:pPr>
      <w:r>
        <w:rPr>
          <w:rFonts w:asciiTheme="minorHAnsi" w:hAnsiTheme="minorHAnsi" w:cstheme="minorHAnsi"/>
          <w:lang w:eastAsia="fr-CH"/>
        </w:rPr>
        <w:t>1.4</w:t>
      </w:r>
      <w:r>
        <w:rPr>
          <w:rFonts w:asciiTheme="minorHAnsi" w:hAnsiTheme="minorHAnsi" w:cstheme="minorHAnsi"/>
          <w:lang w:eastAsia="fr-CH"/>
        </w:rPr>
        <w:tab/>
      </w:r>
      <w:r w:rsidRPr="003564B0">
        <w:rPr>
          <w:rFonts w:asciiTheme="minorHAnsi" w:hAnsiTheme="minorHAnsi" w:cstheme="minorHAnsi"/>
          <w:lang w:eastAsia="fr-CH"/>
        </w:rPr>
        <w:t>Council referred the consideration of the PWC review to CWG-FHR.</w:t>
      </w:r>
    </w:p>
    <w:p w14:paraId="6E3EFAE9" w14:textId="77777777" w:rsidR="006A0FA0" w:rsidRDefault="006A0FA0" w:rsidP="00501AD8">
      <w:pPr>
        <w:tabs>
          <w:tab w:val="clear" w:pos="567"/>
          <w:tab w:val="clear" w:pos="1134"/>
          <w:tab w:val="clear" w:pos="1701"/>
          <w:tab w:val="clear" w:pos="2268"/>
          <w:tab w:val="clear" w:pos="2835"/>
        </w:tabs>
        <w:snapToGrid w:val="0"/>
        <w:spacing w:after="120"/>
        <w:jc w:val="both"/>
        <w:rPr>
          <w:rFonts w:asciiTheme="minorHAnsi" w:hAnsiTheme="minorHAnsi" w:cstheme="minorHAnsi"/>
        </w:rPr>
      </w:pPr>
      <w:r>
        <w:rPr>
          <w:rFonts w:asciiTheme="minorHAnsi" w:hAnsiTheme="minorHAnsi" w:cstheme="minorHAnsi"/>
        </w:rPr>
        <w:t>1.5</w:t>
      </w:r>
      <w:r>
        <w:rPr>
          <w:rFonts w:asciiTheme="minorHAnsi" w:hAnsiTheme="minorHAnsi" w:cstheme="minorHAnsi"/>
        </w:rPr>
        <w:tab/>
      </w:r>
      <w:r w:rsidRPr="003564B0">
        <w:rPr>
          <w:rFonts w:asciiTheme="minorHAnsi" w:hAnsiTheme="minorHAnsi" w:cstheme="minorHAnsi"/>
        </w:rPr>
        <w:t xml:space="preserve">At its meeting on 26 January 2021 (see </w:t>
      </w:r>
      <w:r>
        <w:rPr>
          <w:rFonts w:asciiTheme="minorHAnsi" w:hAnsiTheme="minorHAnsi" w:cstheme="minorHAnsi"/>
        </w:rPr>
        <w:t>D</w:t>
      </w:r>
      <w:r w:rsidRPr="003564B0">
        <w:rPr>
          <w:rFonts w:asciiTheme="minorHAnsi" w:hAnsiTheme="minorHAnsi" w:cstheme="minorHAnsi"/>
        </w:rPr>
        <w:t xml:space="preserve">ocument </w:t>
      </w:r>
      <w:hyperlink r:id="rId13" w:history="1">
        <w:r w:rsidRPr="003564B0">
          <w:rPr>
            <w:rStyle w:val="Hyperlink"/>
            <w:rFonts w:asciiTheme="minorHAnsi" w:hAnsiTheme="minorHAnsi" w:cstheme="minorHAnsi"/>
            <w:lang w:eastAsia="fr-CH"/>
          </w:rPr>
          <w:t>CWG-FHR-12/17</w:t>
        </w:r>
      </w:hyperlink>
      <w:r w:rsidRPr="003564B0">
        <w:rPr>
          <w:rFonts w:asciiTheme="minorHAnsi" w:hAnsiTheme="minorHAnsi" w:cstheme="minorHAnsi"/>
          <w:lang w:eastAsia="fr-CH"/>
        </w:rPr>
        <w:t>)</w:t>
      </w:r>
      <w:r w:rsidRPr="003564B0">
        <w:rPr>
          <w:rFonts w:asciiTheme="minorHAnsi" w:hAnsiTheme="minorHAnsi" w:cstheme="minorHAnsi"/>
        </w:rPr>
        <w:t xml:space="preserve">, CWG-FHR decided to convene an Ad Hoc Group to </w:t>
      </w:r>
      <w:r>
        <w:rPr>
          <w:rFonts w:asciiTheme="minorHAnsi" w:hAnsiTheme="minorHAnsi" w:cstheme="minorHAnsi"/>
        </w:rPr>
        <w:t>r</w:t>
      </w:r>
      <w:r w:rsidRPr="003564B0">
        <w:rPr>
          <w:rFonts w:asciiTheme="minorHAnsi" w:hAnsiTheme="minorHAnsi" w:cstheme="minorHAnsi"/>
        </w:rPr>
        <w:t>eview and analyse the recommendations of the PWC Report presented by the Secretary-General in Document C20/74, taking into account proposals of the ITU Member States and the comments of the secretariat, to analyse the possible financial implications of various options for optimizing the structure of the ITU regional presence, and to prepare and submit recommendations to the next CWG-FHR.</w:t>
      </w:r>
    </w:p>
    <w:p w14:paraId="012CADA4" w14:textId="77777777" w:rsidR="006A0FA0" w:rsidRPr="003564B0" w:rsidRDefault="006A0FA0" w:rsidP="00501AD8">
      <w:pPr>
        <w:tabs>
          <w:tab w:val="clear" w:pos="567"/>
          <w:tab w:val="clear" w:pos="1134"/>
          <w:tab w:val="clear" w:pos="1701"/>
          <w:tab w:val="clear" w:pos="2268"/>
          <w:tab w:val="clear" w:pos="2835"/>
        </w:tabs>
        <w:snapToGrid w:val="0"/>
        <w:spacing w:after="120"/>
        <w:jc w:val="both"/>
        <w:rPr>
          <w:rFonts w:asciiTheme="minorHAnsi" w:hAnsiTheme="minorHAnsi" w:cstheme="minorHAnsi"/>
        </w:rPr>
      </w:pPr>
      <w:r>
        <w:rPr>
          <w:rFonts w:asciiTheme="minorHAnsi" w:hAnsiTheme="minorHAnsi" w:cstheme="minorHAnsi"/>
        </w:rPr>
        <w:t>1.6</w:t>
      </w:r>
      <w:r>
        <w:rPr>
          <w:rFonts w:asciiTheme="minorHAnsi" w:hAnsiTheme="minorHAnsi" w:cstheme="minorHAnsi"/>
        </w:rPr>
        <w:tab/>
      </w:r>
      <w:r w:rsidRPr="003564B0">
        <w:rPr>
          <w:rFonts w:asciiTheme="minorHAnsi" w:hAnsiTheme="minorHAnsi" w:cstheme="minorHAnsi"/>
        </w:rPr>
        <w:t xml:space="preserve">Ms. Stella Erebor of Nigeria was appointed as Chairwoman of the Ad Hoc Group, with the six (6) Vice Chairs of CWG-FHR as Vice-Chairs of the Ad Hoc Group. Participation in the Group is open to all Members States and Sector Members. The Terms of Reference of the Ad Hoc Group are contained in document </w:t>
      </w:r>
      <w:hyperlink r:id="rId14" w:history="1">
        <w:r w:rsidRPr="003564B0">
          <w:rPr>
            <w:rStyle w:val="Hyperlink"/>
            <w:rFonts w:asciiTheme="minorHAnsi" w:hAnsiTheme="minorHAnsi" w:cstheme="minorHAnsi"/>
          </w:rPr>
          <w:t>CWG-FHR-AH-RegPres-1/3</w:t>
        </w:r>
      </w:hyperlink>
      <w:r w:rsidRPr="003564B0">
        <w:rPr>
          <w:rFonts w:asciiTheme="minorHAnsi" w:hAnsiTheme="minorHAnsi" w:cstheme="minorHAnsi"/>
        </w:rPr>
        <w:t>.</w:t>
      </w:r>
    </w:p>
    <w:p w14:paraId="2A0E1CC2" w14:textId="77777777" w:rsidR="006A0FA0" w:rsidRPr="00501AD8" w:rsidRDefault="006A0FA0" w:rsidP="00501AD8">
      <w:pPr>
        <w:pStyle w:val="Heading1"/>
        <w:numPr>
          <w:ilvl w:val="0"/>
          <w:numId w:val="12"/>
        </w:numPr>
        <w:tabs>
          <w:tab w:val="clear" w:pos="567"/>
          <w:tab w:val="clear" w:pos="1134"/>
          <w:tab w:val="clear" w:pos="1701"/>
          <w:tab w:val="clear" w:pos="2268"/>
          <w:tab w:val="clear" w:pos="2835"/>
        </w:tabs>
        <w:spacing w:before="360" w:after="120"/>
        <w:ind w:left="0" w:firstLine="0"/>
        <w:rPr>
          <w:rFonts w:asciiTheme="minorHAnsi" w:hAnsiTheme="minorHAnsi" w:cstheme="minorHAnsi"/>
          <w:color w:val="548DD4" w:themeColor="text2" w:themeTint="99"/>
          <w:sz w:val="24"/>
          <w:szCs w:val="24"/>
        </w:rPr>
      </w:pPr>
      <w:r w:rsidRPr="00501AD8">
        <w:rPr>
          <w:rFonts w:asciiTheme="minorHAnsi" w:hAnsiTheme="minorHAnsi" w:cstheme="minorHAnsi"/>
          <w:color w:val="548DD4" w:themeColor="text2" w:themeTint="99"/>
          <w:sz w:val="24"/>
          <w:szCs w:val="24"/>
        </w:rPr>
        <w:t>Deliberations of the Ad Hoc Group</w:t>
      </w:r>
    </w:p>
    <w:p w14:paraId="7A721072" w14:textId="77777777" w:rsidR="006A0FA0" w:rsidRPr="003564B0" w:rsidRDefault="006A0FA0" w:rsidP="00501AD8">
      <w:pPr>
        <w:tabs>
          <w:tab w:val="clear" w:pos="567"/>
          <w:tab w:val="clear" w:pos="1134"/>
          <w:tab w:val="clear" w:pos="1701"/>
          <w:tab w:val="clear" w:pos="2268"/>
          <w:tab w:val="clear" w:pos="2835"/>
        </w:tabs>
        <w:snapToGrid w:val="0"/>
        <w:spacing w:after="120"/>
        <w:jc w:val="both"/>
        <w:rPr>
          <w:rFonts w:asciiTheme="minorHAnsi" w:hAnsiTheme="minorHAnsi" w:cstheme="minorHAnsi"/>
          <w:u w:val="single"/>
        </w:rPr>
      </w:pPr>
      <w:r w:rsidRPr="003564B0">
        <w:rPr>
          <w:rFonts w:asciiTheme="minorHAnsi" w:hAnsiTheme="minorHAnsi" w:cstheme="minorHAnsi"/>
          <w:u w:val="single"/>
        </w:rPr>
        <w:t>First Meeting</w:t>
      </w:r>
    </w:p>
    <w:p w14:paraId="04EDE62F" w14:textId="77777777" w:rsidR="006A0FA0" w:rsidRPr="003564B0" w:rsidRDefault="006A0FA0" w:rsidP="00501AD8">
      <w:pPr>
        <w:tabs>
          <w:tab w:val="clear" w:pos="567"/>
          <w:tab w:val="clear" w:pos="1134"/>
          <w:tab w:val="clear" w:pos="1701"/>
          <w:tab w:val="clear" w:pos="2268"/>
          <w:tab w:val="clear" w:pos="2835"/>
        </w:tabs>
        <w:snapToGrid w:val="0"/>
        <w:spacing w:after="120"/>
        <w:jc w:val="both"/>
        <w:rPr>
          <w:rFonts w:asciiTheme="minorHAnsi" w:hAnsiTheme="minorHAnsi" w:cstheme="minorHAnsi"/>
        </w:rPr>
      </w:pPr>
      <w:r>
        <w:rPr>
          <w:rFonts w:asciiTheme="minorHAnsi" w:hAnsiTheme="minorHAnsi" w:cstheme="minorHAnsi"/>
        </w:rPr>
        <w:t>2.1</w:t>
      </w:r>
      <w:r>
        <w:rPr>
          <w:rFonts w:asciiTheme="minorHAnsi" w:hAnsiTheme="minorHAnsi" w:cstheme="minorHAnsi"/>
        </w:rPr>
        <w:tab/>
      </w:r>
      <w:r w:rsidRPr="003564B0">
        <w:rPr>
          <w:rFonts w:asciiTheme="minorHAnsi" w:hAnsiTheme="minorHAnsi" w:cstheme="minorHAnsi"/>
        </w:rPr>
        <w:t>The first meeting of the Ad Hoc Group was convened on 23 March 2021 and considered the following contributions:</w:t>
      </w:r>
    </w:p>
    <w:p w14:paraId="35A43F37" w14:textId="77777777" w:rsidR="006A0FA0" w:rsidRPr="003564B0" w:rsidRDefault="006A0FA0" w:rsidP="00501AD8">
      <w:pPr>
        <w:pStyle w:val="ListParagraph"/>
        <w:numPr>
          <w:ilvl w:val="0"/>
          <w:numId w:val="16"/>
        </w:numPr>
        <w:snapToGrid w:val="0"/>
        <w:spacing w:before="120" w:after="120"/>
        <w:ind w:left="1134" w:hanging="283"/>
        <w:jc w:val="both"/>
        <w:rPr>
          <w:rFonts w:asciiTheme="minorHAnsi" w:hAnsiTheme="minorHAnsi" w:cstheme="minorHAnsi"/>
          <w:sz w:val="24"/>
        </w:rPr>
      </w:pPr>
      <w:r w:rsidRPr="003564B0">
        <w:rPr>
          <w:rFonts w:asciiTheme="minorHAnsi" w:hAnsiTheme="minorHAnsi" w:cstheme="minorHAnsi"/>
          <w:sz w:val="24"/>
        </w:rPr>
        <w:t xml:space="preserve">Contribution </w:t>
      </w:r>
      <w:r>
        <w:rPr>
          <w:rFonts w:asciiTheme="minorHAnsi" w:hAnsiTheme="minorHAnsi" w:cstheme="minorHAnsi"/>
          <w:sz w:val="24"/>
        </w:rPr>
        <w:t xml:space="preserve">by the </w:t>
      </w:r>
      <w:r w:rsidRPr="003564B0">
        <w:rPr>
          <w:rFonts w:asciiTheme="minorHAnsi" w:hAnsiTheme="minorHAnsi" w:cstheme="minorHAnsi"/>
          <w:color w:val="000000"/>
          <w:sz w:val="24"/>
          <w:shd w:val="clear" w:color="auto" w:fill="FFFFFF"/>
        </w:rPr>
        <w:t xml:space="preserve">Russian Federation on the assessment of the possible financial implications of various options for optimizing the structure of the ITU regional presence by PWC, </w:t>
      </w:r>
      <w:r w:rsidRPr="003564B0">
        <w:rPr>
          <w:rFonts w:asciiTheme="minorHAnsi" w:hAnsiTheme="minorHAnsi" w:cstheme="minorHAnsi"/>
          <w:sz w:val="24"/>
        </w:rPr>
        <w:t xml:space="preserve">contained in </w:t>
      </w:r>
      <w:r>
        <w:rPr>
          <w:rFonts w:asciiTheme="minorHAnsi" w:hAnsiTheme="minorHAnsi" w:cstheme="minorHAnsi"/>
          <w:sz w:val="24"/>
        </w:rPr>
        <w:t>D</w:t>
      </w:r>
      <w:r w:rsidRPr="003564B0">
        <w:rPr>
          <w:rFonts w:asciiTheme="minorHAnsi" w:hAnsiTheme="minorHAnsi" w:cstheme="minorHAnsi"/>
          <w:sz w:val="24"/>
        </w:rPr>
        <w:t xml:space="preserve">ocument </w:t>
      </w:r>
      <w:hyperlink r:id="rId15" w:history="1">
        <w:r w:rsidRPr="003564B0">
          <w:rPr>
            <w:rStyle w:val="Hyperlink"/>
            <w:rFonts w:asciiTheme="minorHAnsi" w:eastAsia="Calibri" w:hAnsiTheme="minorHAnsi" w:cstheme="minorHAnsi"/>
            <w:spacing w:val="-4"/>
            <w:sz w:val="24"/>
            <w:lang w:val="de-CH"/>
          </w:rPr>
          <w:t>CWG-FHR-AH-RegPres-1/2</w:t>
        </w:r>
      </w:hyperlink>
      <w:r w:rsidRPr="003564B0">
        <w:rPr>
          <w:rFonts w:asciiTheme="minorHAnsi" w:hAnsiTheme="minorHAnsi" w:cstheme="minorHAnsi"/>
          <w:sz w:val="24"/>
        </w:rPr>
        <w:t>;</w:t>
      </w:r>
    </w:p>
    <w:p w14:paraId="7919E5E9" w14:textId="77777777" w:rsidR="006A0FA0" w:rsidRPr="003564B0" w:rsidRDefault="006A0FA0" w:rsidP="00501AD8">
      <w:pPr>
        <w:pStyle w:val="ListParagraph"/>
        <w:numPr>
          <w:ilvl w:val="0"/>
          <w:numId w:val="16"/>
        </w:numPr>
        <w:snapToGrid w:val="0"/>
        <w:spacing w:before="120" w:after="120"/>
        <w:ind w:left="714" w:firstLine="137"/>
        <w:jc w:val="both"/>
        <w:rPr>
          <w:rFonts w:asciiTheme="minorHAnsi" w:hAnsiTheme="minorHAnsi" w:cstheme="minorHAnsi"/>
          <w:sz w:val="24"/>
        </w:rPr>
      </w:pPr>
      <w:r w:rsidRPr="003564B0">
        <w:rPr>
          <w:rFonts w:asciiTheme="minorHAnsi" w:hAnsiTheme="minorHAnsi" w:cstheme="minorHAnsi"/>
          <w:sz w:val="24"/>
        </w:rPr>
        <w:t xml:space="preserve">Contribution </w:t>
      </w:r>
      <w:r>
        <w:rPr>
          <w:rFonts w:asciiTheme="minorHAnsi" w:hAnsiTheme="minorHAnsi" w:cstheme="minorHAnsi"/>
          <w:sz w:val="24"/>
        </w:rPr>
        <w:t xml:space="preserve">by </w:t>
      </w:r>
      <w:r w:rsidRPr="003564B0">
        <w:rPr>
          <w:rFonts w:asciiTheme="minorHAnsi" w:hAnsiTheme="minorHAnsi" w:cstheme="minorHAnsi"/>
          <w:sz w:val="24"/>
        </w:rPr>
        <w:t xml:space="preserve">Egypt on ITU Regional Presence </w:t>
      </w:r>
      <w:hyperlink r:id="rId16" w:history="1">
        <w:r w:rsidRPr="003564B0">
          <w:rPr>
            <w:rStyle w:val="Hyperlink"/>
            <w:rFonts w:asciiTheme="minorHAnsi" w:eastAsia="Calibri" w:hAnsiTheme="minorHAnsi" w:cstheme="minorHAnsi"/>
            <w:spacing w:val="-4"/>
            <w:sz w:val="24"/>
            <w:lang w:val="de-CH"/>
          </w:rPr>
          <w:t>CWG-FHR-AH-RegPres-1/5</w:t>
        </w:r>
      </w:hyperlink>
      <w:r w:rsidRPr="003564B0">
        <w:rPr>
          <w:rFonts w:asciiTheme="minorHAnsi" w:hAnsiTheme="minorHAnsi" w:cstheme="minorHAnsi"/>
          <w:sz w:val="24"/>
        </w:rPr>
        <w:t>;</w:t>
      </w:r>
    </w:p>
    <w:p w14:paraId="7196200A" w14:textId="77777777" w:rsidR="006A0FA0" w:rsidRPr="003564B0" w:rsidRDefault="006A0FA0" w:rsidP="00501AD8">
      <w:pPr>
        <w:pStyle w:val="ListParagraph"/>
        <w:numPr>
          <w:ilvl w:val="0"/>
          <w:numId w:val="16"/>
        </w:numPr>
        <w:snapToGrid w:val="0"/>
        <w:spacing w:before="120" w:after="120"/>
        <w:ind w:left="1134" w:hanging="283"/>
        <w:jc w:val="both"/>
        <w:rPr>
          <w:rFonts w:asciiTheme="minorHAnsi" w:hAnsiTheme="minorHAnsi" w:cstheme="minorHAnsi"/>
          <w:sz w:val="24"/>
        </w:rPr>
      </w:pPr>
      <w:r w:rsidRPr="003564B0">
        <w:rPr>
          <w:rFonts w:asciiTheme="minorHAnsi" w:hAnsiTheme="minorHAnsi" w:cstheme="minorHAnsi"/>
          <w:sz w:val="24"/>
        </w:rPr>
        <w:t xml:space="preserve">Submission by the </w:t>
      </w:r>
      <w:r>
        <w:rPr>
          <w:rFonts w:asciiTheme="minorHAnsi" w:hAnsiTheme="minorHAnsi" w:cstheme="minorHAnsi"/>
          <w:sz w:val="24"/>
        </w:rPr>
        <w:t>s</w:t>
      </w:r>
      <w:r w:rsidRPr="003564B0">
        <w:rPr>
          <w:rFonts w:asciiTheme="minorHAnsi" w:hAnsiTheme="minorHAnsi" w:cstheme="minorHAnsi"/>
          <w:sz w:val="24"/>
        </w:rPr>
        <w:t xml:space="preserve">ecretariat on </w:t>
      </w:r>
      <w:r>
        <w:rPr>
          <w:rFonts w:asciiTheme="minorHAnsi" w:hAnsiTheme="minorHAnsi" w:cstheme="minorHAnsi"/>
          <w:sz w:val="24"/>
        </w:rPr>
        <w:t xml:space="preserve">the </w:t>
      </w:r>
      <w:r w:rsidRPr="003564B0">
        <w:rPr>
          <w:rFonts w:asciiTheme="minorHAnsi" w:hAnsiTheme="minorHAnsi" w:cstheme="minorHAnsi"/>
          <w:sz w:val="24"/>
        </w:rPr>
        <w:t xml:space="preserve">Summary of PWC recommendations on ITU regional presence contained in </w:t>
      </w:r>
      <w:r>
        <w:rPr>
          <w:rFonts w:asciiTheme="minorHAnsi" w:hAnsiTheme="minorHAnsi" w:cstheme="minorHAnsi"/>
          <w:sz w:val="24"/>
        </w:rPr>
        <w:t>D</w:t>
      </w:r>
      <w:r w:rsidRPr="003564B0">
        <w:rPr>
          <w:rFonts w:asciiTheme="minorHAnsi" w:hAnsiTheme="minorHAnsi" w:cstheme="minorHAnsi"/>
          <w:sz w:val="24"/>
        </w:rPr>
        <w:t xml:space="preserve">ocument </w:t>
      </w:r>
      <w:hyperlink r:id="rId17" w:history="1">
        <w:r w:rsidRPr="003564B0">
          <w:rPr>
            <w:rStyle w:val="Hyperlink"/>
            <w:rFonts w:asciiTheme="minorHAnsi" w:eastAsia="Calibri" w:hAnsiTheme="minorHAnsi" w:cstheme="minorHAnsi"/>
            <w:spacing w:val="-4"/>
            <w:sz w:val="24"/>
            <w:lang w:val="de-CH"/>
          </w:rPr>
          <w:t>CWG-FHR-AH-RegPres-1/4</w:t>
        </w:r>
      </w:hyperlink>
      <w:r w:rsidRPr="003564B0">
        <w:rPr>
          <w:rFonts w:asciiTheme="minorHAnsi" w:eastAsia="Calibri" w:hAnsiTheme="minorHAnsi" w:cstheme="minorHAnsi"/>
          <w:spacing w:val="-4"/>
          <w:sz w:val="24"/>
          <w:lang w:val="de-CH"/>
        </w:rPr>
        <w:t>.</w:t>
      </w:r>
    </w:p>
    <w:p w14:paraId="27581E57" w14:textId="77777777" w:rsidR="006A0FA0" w:rsidRPr="003564B0" w:rsidRDefault="006A0FA0" w:rsidP="00501AD8">
      <w:pPr>
        <w:tabs>
          <w:tab w:val="clear" w:pos="567"/>
          <w:tab w:val="clear" w:pos="1134"/>
          <w:tab w:val="clear" w:pos="1701"/>
          <w:tab w:val="clear" w:pos="2268"/>
          <w:tab w:val="clear" w:pos="2835"/>
        </w:tabs>
        <w:snapToGrid w:val="0"/>
        <w:spacing w:after="120"/>
        <w:jc w:val="both"/>
        <w:rPr>
          <w:rFonts w:asciiTheme="minorHAnsi" w:hAnsiTheme="minorHAnsi" w:cstheme="minorHAnsi"/>
        </w:rPr>
      </w:pPr>
      <w:r>
        <w:rPr>
          <w:rFonts w:asciiTheme="minorHAnsi" w:hAnsiTheme="minorHAnsi" w:cstheme="minorHAnsi"/>
        </w:rPr>
        <w:t>2.2</w:t>
      </w:r>
      <w:r>
        <w:rPr>
          <w:rFonts w:asciiTheme="minorHAnsi" w:hAnsiTheme="minorHAnsi" w:cstheme="minorHAnsi"/>
        </w:rPr>
        <w:tab/>
      </w:r>
      <w:r w:rsidRPr="003564B0">
        <w:rPr>
          <w:rFonts w:asciiTheme="minorHAnsi" w:hAnsiTheme="minorHAnsi" w:cstheme="minorHAnsi"/>
        </w:rPr>
        <w:t xml:space="preserve">The Group discussed the documents presented, and it was agreed that before considering the detailed recommendations made by PWC, the Group would consider and decide on the Strategic Vision for the Regional Presence. The Chairwoman requested and recommended that members present contributions based on </w:t>
      </w:r>
      <w:r>
        <w:rPr>
          <w:rFonts w:asciiTheme="minorHAnsi" w:hAnsiTheme="minorHAnsi" w:cstheme="minorHAnsi"/>
        </w:rPr>
        <w:t>p</w:t>
      </w:r>
      <w:r w:rsidRPr="003564B0">
        <w:rPr>
          <w:rFonts w:asciiTheme="minorHAnsi" w:hAnsiTheme="minorHAnsi" w:cstheme="minorHAnsi"/>
        </w:rPr>
        <w:t xml:space="preserve">aragraph 6 of the PWC report which deals with the Strategic Implications of the ITU Regional Presence, in preparation for the next meeting. The Summary Record of the first meeting of the Ad Hoc Group is contained in </w:t>
      </w:r>
      <w:r>
        <w:rPr>
          <w:rFonts w:asciiTheme="minorHAnsi" w:hAnsiTheme="minorHAnsi" w:cstheme="minorHAnsi"/>
        </w:rPr>
        <w:t>D</w:t>
      </w:r>
      <w:r w:rsidRPr="003564B0">
        <w:rPr>
          <w:rFonts w:asciiTheme="minorHAnsi" w:hAnsiTheme="minorHAnsi" w:cstheme="minorHAnsi"/>
        </w:rPr>
        <w:t xml:space="preserve">ocument </w:t>
      </w:r>
      <w:hyperlink r:id="rId18" w:history="1">
        <w:hyperlink r:id="rId19" w:history="1">
          <w:r w:rsidRPr="003564B0">
            <w:rPr>
              <w:rStyle w:val="Hyperlink"/>
              <w:rFonts w:asciiTheme="minorHAnsi" w:hAnsiTheme="minorHAnsi" w:cstheme="minorHAnsi"/>
            </w:rPr>
            <w:t>CWG-FHR-AH-RegPres-1/6</w:t>
          </w:r>
        </w:hyperlink>
      </w:hyperlink>
      <w:r w:rsidRPr="003564B0">
        <w:rPr>
          <w:rFonts w:asciiTheme="minorHAnsi" w:hAnsiTheme="minorHAnsi" w:cstheme="minorHAnsi"/>
        </w:rPr>
        <w:t>.</w:t>
      </w:r>
    </w:p>
    <w:p w14:paraId="1AB323F5" w14:textId="77777777" w:rsidR="006A0FA0" w:rsidRPr="003564B0" w:rsidRDefault="006A0FA0" w:rsidP="007C31A6">
      <w:pPr>
        <w:keepNext/>
        <w:keepLines/>
        <w:tabs>
          <w:tab w:val="clear" w:pos="567"/>
          <w:tab w:val="clear" w:pos="1134"/>
          <w:tab w:val="clear" w:pos="1701"/>
          <w:tab w:val="clear" w:pos="2268"/>
          <w:tab w:val="clear" w:pos="2835"/>
        </w:tabs>
        <w:snapToGrid w:val="0"/>
        <w:spacing w:after="120"/>
        <w:jc w:val="both"/>
        <w:rPr>
          <w:rFonts w:asciiTheme="minorHAnsi" w:hAnsiTheme="minorHAnsi" w:cstheme="minorHAnsi"/>
          <w:u w:val="single"/>
        </w:rPr>
      </w:pPr>
      <w:r w:rsidRPr="003564B0">
        <w:rPr>
          <w:rFonts w:asciiTheme="minorHAnsi" w:hAnsiTheme="minorHAnsi" w:cstheme="minorHAnsi"/>
          <w:u w:val="single"/>
        </w:rPr>
        <w:lastRenderedPageBreak/>
        <w:t>Second Meeting</w:t>
      </w:r>
    </w:p>
    <w:p w14:paraId="657730C3" w14:textId="77777777" w:rsidR="006A0FA0" w:rsidRPr="003564B0" w:rsidRDefault="006A0FA0" w:rsidP="007C31A6">
      <w:pPr>
        <w:keepNext/>
        <w:keepLines/>
        <w:tabs>
          <w:tab w:val="clear" w:pos="567"/>
          <w:tab w:val="clear" w:pos="1134"/>
          <w:tab w:val="clear" w:pos="1701"/>
          <w:tab w:val="clear" w:pos="2268"/>
          <w:tab w:val="clear" w:pos="2835"/>
        </w:tabs>
        <w:snapToGrid w:val="0"/>
        <w:spacing w:after="120"/>
        <w:jc w:val="both"/>
        <w:rPr>
          <w:rFonts w:asciiTheme="minorHAnsi" w:hAnsiTheme="minorHAnsi" w:cstheme="minorHAnsi"/>
        </w:rPr>
      </w:pPr>
      <w:r>
        <w:rPr>
          <w:rFonts w:asciiTheme="minorHAnsi" w:hAnsiTheme="minorHAnsi" w:cstheme="minorHAnsi"/>
        </w:rPr>
        <w:t>2.3</w:t>
      </w:r>
      <w:r>
        <w:rPr>
          <w:rFonts w:asciiTheme="minorHAnsi" w:hAnsiTheme="minorHAnsi" w:cstheme="minorHAnsi"/>
        </w:rPr>
        <w:tab/>
      </w:r>
      <w:r w:rsidRPr="003564B0">
        <w:rPr>
          <w:rFonts w:asciiTheme="minorHAnsi" w:hAnsiTheme="minorHAnsi" w:cstheme="minorHAnsi"/>
        </w:rPr>
        <w:t xml:space="preserve">The second meeting of the Ad Hoc Group was convened on 20 April 2021. The following contributions were received from </w:t>
      </w:r>
      <w:r>
        <w:rPr>
          <w:rFonts w:asciiTheme="minorHAnsi" w:hAnsiTheme="minorHAnsi" w:cstheme="minorHAnsi"/>
        </w:rPr>
        <w:t>M</w:t>
      </w:r>
      <w:r w:rsidRPr="003564B0">
        <w:rPr>
          <w:rFonts w:asciiTheme="minorHAnsi" w:hAnsiTheme="minorHAnsi" w:cstheme="minorHAnsi"/>
        </w:rPr>
        <w:t xml:space="preserve">ember </w:t>
      </w:r>
      <w:r>
        <w:rPr>
          <w:rFonts w:asciiTheme="minorHAnsi" w:hAnsiTheme="minorHAnsi" w:cstheme="minorHAnsi"/>
        </w:rPr>
        <w:t>S</w:t>
      </w:r>
      <w:r w:rsidRPr="003564B0">
        <w:rPr>
          <w:rFonts w:asciiTheme="minorHAnsi" w:hAnsiTheme="minorHAnsi" w:cstheme="minorHAnsi"/>
        </w:rPr>
        <w:t>tates:</w:t>
      </w:r>
    </w:p>
    <w:p w14:paraId="2896A2FA" w14:textId="77777777" w:rsidR="006A0FA0" w:rsidRPr="003564B0" w:rsidRDefault="006A0FA0" w:rsidP="007C31A6">
      <w:pPr>
        <w:pStyle w:val="ListParagraph"/>
        <w:numPr>
          <w:ilvl w:val="0"/>
          <w:numId w:val="15"/>
        </w:numPr>
        <w:snapToGrid w:val="0"/>
        <w:spacing w:before="120" w:after="120"/>
        <w:ind w:left="1134" w:hanging="283"/>
        <w:jc w:val="both"/>
        <w:rPr>
          <w:rFonts w:asciiTheme="minorHAnsi" w:hAnsiTheme="minorHAnsi" w:cstheme="minorHAnsi"/>
          <w:sz w:val="24"/>
        </w:rPr>
      </w:pPr>
      <w:r w:rsidRPr="003564B0">
        <w:rPr>
          <w:rFonts w:asciiTheme="minorHAnsi" w:hAnsiTheme="minorHAnsi" w:cstheme="minorHAnsi"/>
          <w:sz w:val="24"/>
        </w:rPr>
        <w:t xml:space="preserve">Contribution </w:t>
      </w:r>
      <w:r>
        <w:rPr>
          <w:rFonts w:asciiTheme="minorHAnsi" w:hAnsiTheme="minorHAnsi" w:cstheme="minorHAnsi"/>
          <w:sz w:val="24"/>
        </w:rPr>
        <w:t xml:space="preserve">by the </w:t>
      </w:r>
      <w:r w:rsidRPr="003564B0">
        <w:rPr>
          <w:rFonts w:asciiTheme="minorHAnsi" w:hAnsiTheme="minorHAnsi" w:cstheme="minorHAnsi"/>
          <w:sz w:val="24"/>
        </w:rPr>
        <w:t xml:space="preserve">United States </w:t>
      </w:r>
      <w:r>
        <w:rPr>
          <w:rFonts w:asciiTheme="minorHAnsi" w:hAnsiTheme="minorHAnsi" w:cstheme="minorHAnsi"/>
          <w:sz w:val="24"/>
        </w:rPr>
        <w:t xml:space="preserve">of America </w:t>
      </w:r>
      <w:r w:rsidRPr="003564B0">
        <w:rPr>
          <w:rFonts w:asciiTheme="minorHAnsi" w:hAnsiTheme="minorHAnsi" w:cstheme="minorHAnsi"/>
          <w:sz w:val="24"/>
        </w:rPr>
        <w:t xml:space="preserve">contained in </w:t>
      </w:r>
      <w:r>
        <w:rPr>
          <w:rFonts w:asciiTheme="minorHAnsi" w:hAnsiTheme="minorHAnsi" w:cstheme="minorHAnsi"/>
          <w:sz w:val="24"/>
        </w:rPr>
        <w:t>D</w:t>
      </w:r>
      <w:r w:rsidRPr="003564B0">
        <w:rPr>
          <w:rFonts w:asciiTheme="minorHAnsi" w:hAnsiTheme="minorHAnsi" w:cstheme="minorHAnsi"/>
          <w:sz w:val="24"/>
        </w:rPr>
        <w:t xml:space="preserve">ocument </w:t>
      </w:r>
      <w:hyperlink r:id="rId20" w:history="1">
        <w:r w:rsidRPr="003564B0">
          <w:rPr>
            <w:rStyle w:val="Hyperlink"/>
            <w:rFonts w:asciiTheme="minorHAnsi" w:eastAsia="Calibri" w:hAnsiTheme="minorHAnsi" w:cstheme="minorHAnsi"/>
            <w:spacing w:val="-4"/>
            <w:sz w:val="24"/>
            <w:lang w:val="de-CH"/>
          </w:rPr>
          <w:t>CWG-FHR-AH-RegPres-2/3</w:t>
        </w:r>
      </w:hyperlink>
      <w:r w:rsidRPr="003564B0">
        <w:rPr>
          <w:rFonts w:asciiTheme="minorHAnsi" w:hAnsiTheme="minorHAnsi" w:cstheme="minorHAnsi"/>
          <w:sz w:val="24"/>
        </w:rPr>
        <w:t>;</w:t>
      </w:r>
    </w:p>
    <w:p w14:paraId="35F70725" w14:textId="77777777" w:rsidR="006A0FA0" w:rsidRPr="003564B0" w:rsidRDefault="006A0FA0" w:rsidP="007C31A6">
      <w:pPr>
        <w:pStyle w:val="ListParagraph"/>
        <w:numPr>
          <w:ilvl w:val="0"/>
          <w:numId w:val="15"/>
        </w:numPr>
        <w:snapToGrid w:val="0"/>
        <w:spacing w:before="120" w:after="120"/>
        <w:ind w:left="1134" w:hanging="283"/>
        <w:jc w:val="both"/>
        <w:rPr>
          <w:rFonts w:asciiTheme="minorHAnsi" w:hAnsiTheme="minorHAnsi" w:cstheme="minorHAnsi"/>
          <w:sz w:val="24"/>
        </w:rPr>
      </w:pPr>
      <w:r w:rsidRPr="003564B0">
        <w:rPr>
          <w:rFonts w:asciiTheme="minorHAnsi" w:hAnsiTheme="minorHAnsi" w:cstheme="minorHAnsi"/>
          <w:sz w:val="24"/>
        </w:rPr>
        <w:t xml:space="preserve">Contribution </w:t>
      </w:r>
      <w:r>
        <w:rPr>
          <w:rFonts w:asciiTheme="minorHAnsi" w:hAnsiTheme="minorHAnsi" w:cstheme="minorHAnsi"/>
          <w:sz w:val="24"/>
        </w:rPr>
        <w:t xml:space="preserve">by </w:t>
      </w:r>
      <w:r w:rsidRPr="003564B0">
        <w:rPr>
          <w:rFonts w:asciiTheme="minorHAnsi" w:hAnsiTheme="minorHAnsi" w:cstheme="minorHAnsi"/>
          <w:sz w:val="24"/>
        </w:rPr>
        <w:t xml:space="preserve">Australia contained in </w:t>
      </w:r>
      <w:r>
        <w:rPr>
          <w:rFonts w:asciiTheme="minorHAnsi" w:hAnsiTheme="minorHAnsi" w:cstheme="minorHAnsi"/>
          <w:sz w:val="24"/>
        </w:rPr>
        <w:t>D</w:t>
      </w:r>
      <w:r w:rsidRPr="003564B0">
        <w:rPr>
          <w:rFonts w:asciiTheme="minorHAnsi" w:hAnsiTheme="minorHAnsi" w:cstheme="minorHAnsi"/>
          <w:sz w:val="24"/>
        </w:rPr>
        <w:t xml:space="preserve">ocument </w:t>
      </w:r>
      <w:hyperlink r:id="rId21" w:history="1">
        <w:r w:rsidRPr="003564B0">
          <w:rPr>
            <w:rStyle w:val="Hyperlink"/>
            <w:rFonts w:asciiTheme="minorHAnsi" w:eastAsia="Calibri" w:hAnsiTheme="minorHAnsi" w:cstheme="minorHAnsi"/>
            <w:spacing w:val="-4"/>
            <w:sz w:val="24"/>
            <w:lang w:val="de-CH"/>
          </w:rPr>
          <w:t>CWG-FHR-AH-RegPres-2/4</w:t>
        </w:r>
      </w:hyperlink>
      <w:r w:rsidRPr="003564B0">
        <w:rPr>
          <w:rFonts w:asciiTheme="minorHAnsi" w:hAnsiTheme="minorHAnsi" w:cstheme="minorHAnsi"/>
          <w:sz w:val="24"/>
        </w:rPr>
        <w:t>;</w:t>
      </w:r>
    </w:p>
    <w:p w14:paraId="60D9E45D" w14:textId="77777777" w:rsidR="006A0FA0" w:rsidRPr="003564B0" w:rsidRDefault="006A0FA0" w:rsidP="007C31A6">
      <w:pPr>
        <w:pStyle w:val="ListParagraph"/>
        <w:numPr>
          <w:ilvl w:val="0"/>
          <w:numId w:val="15"/>
        </w:numPr>
        <w:snapToGrid w:val="0"/>
        <w:spacing w:before="120" w:after="120"/>
        <w:ind w:left="1134" w:hanging="283"/>
        <w:jc w:val="both"/>
        <w:rPr>
          <w:rFonts w:asciiTheme="minorHAnsi" w:hAnsiTheme="minorHAnsi" w:cstheme="minorHAnsi"/>
          <w:sz w:val="24"/>
        </w:rPr>
      </w:pPr>
      <w:r w:rsidRPr="003564B0">
        <w:rPr>
          <w:rFonts w:asciiTheme="minorHAnsi" w:hAnsiTheme="minorHAnsi" w:cstheme="minorHAnsi"/>
          <w:sz w:val="24"/>
        </w:rPr>
        <w:t xml:space="preserve">Contribution </w:t>
      </w:r>
      <w:r>
        <w:rPr>
          <w:rFonts w:asciiTheme="minorHAnsi" w:hAnsiTheme="minorHAnsi" w:cstheme="minorHAnsi"/>
          <w:sz w:val="24"/>
        </w:rPr>
        <w:t>by</w:t>
      </w:r>
      <w:r w:rsidRPr="003564B0">
        <w:rPr>
          <w:rFonts w:asciiTheme="minorHAnsi" w:hAnsiTheme="minorHAnsi" w:cstheme="minorHAnsi"/>
          <w:sz w:val="24"/>
        </w:rPr>
        <w:t xml:space="preserve"> Switzerland contained in </w:t>
      </w:r>
      <w:r>
        <w:rPr>
          <w:rFonts w:asciiTheme="minorHAnsi" w:hAnsiTheme="minorHAnsi" w:cstheme="minorHAnsi"/>
          <w:sz w:val="24"/>
        </w:rPr>
        <w:t>D</w:t>
      </w:r>
      <w:r w:rsidRPr="003564B0">
        <w:rPr>
          <w:rFonts w:asciiTheme="minorHAnsi" w:hAnsiTheme="minorHAnsi" w:cstheme="minorHAnsi"/>
          <w:sz w:val="24"/>
        </w:rPr>
        <w:t xml:space="preserve">ocument </w:t>
      </w:r>
      <w:hyperlink r:id="rId22" w:history="1">
        <w:r w:rsidRPr="003564B0">
          <w:rPr>
            <w:rStyle w:val="Hyperlink"/>
            <w:rFonts w:asciiTheme="minorHAnsi" w:eastAsia="Calibri" w:hAnsiTheme="minorHAnsi" w:cstheme="minorHAnsi"/>
            <w:spacing w:val="-4"/>
            <w:sz w:val="24"/>
            <w:lang w:val="de-CH"/>
          </w:rPr>
          <w:t>CWG-FHR-AH-RegPres-2/5</w:t>
        </w:r>
      </w:hyperlink>
      <w:r w:rsidRPr="003564B0">
        <w:rPr>
          <w:rFonts w:asciiTheme="minorHAnsi" w:hAnsiTheme="minorHAnsi" w:cstheme="minorHAnsi"/>
          <w:sz w:val="24"/>
        </w:rPr>
        <w:t>;</w:t>
      </w:r>
    </w:p>
    <w:p w14:paraId="221AC065" w14:textId="77777777" w:rsidR="006A0FA0" w:rsidRPr="003564B0" w:rsidRDefault="006A0FA0" w:rsidP="007C31A6">
      <w:pPr>
        <w:pStyle w:val="ListParagraph"/>
        <w:numPr>
          <w:ilvl w:val="0"/>
          <w:numId w:val="15"/>
        </w:numPr>
        <w:snapToGrid w:val="0"/>
        <w:spacing w:before="120" w:after="120"/>
        <w:ind w:left="1134" w:hanging="283"/>
        <w:jc w:val="both"/>
        <w:rPr>
          <w:rFonts w:asciiTheme="minorHAnsi" w:hAnsiTheme="minorHAnsi" w:cstheme="minorHAnsi"/>
          <w:sz w:val="24"/>
        </w:rPr>
      </w:pPr>
      <w:r w:rsidRPr="003564B0">
        <w:rPr>
          <w:rFonts w:asciiTheme="minorHAnsi" w:hAnsiTheme="minorHAnsi" w:cstheme="minorHAnsi"/>
          <w:sz w:val="24"/>
        </w:rPr>
        <w:t xml:space="preserve">Multi-country contribution </w:t>
      </w:r>
      <w:r>
        <w:rPr>
          <w:rFonts w:asciiTheme="minorHAnsi" w:hAnsiTheme="minorHAnsi" w:cstheme="minorHAnsi"/>
          <w:sz w:val="24"/>
        </w:rPr>
        <w:t xml:space="preserve">by </w:t>
      </w:r>
      <w:r w:rsidRPr="003564B0">
        <w:rPr>
          <w:rFonts w:asciiTheme="minorHAnsi" w:hAnsiTheme="minorHAnsi" w:cstheme="minorHAnsi"/>
          <w:sz w:val="24"/>
        </w:rPr>
        <w:t xml:space="preserve">the Arab Republic of Egypt, Kuwait and South Africa contained in </w:t>
      </w:r>
      <w:r>
        <w:rPr>
          <w:rFonts w:asciiTheme="minorHAnsi" w:hAnsiTheme="minorHAnsi" w:cstheme="minorHAnsi"/>
          <w:sz w:val="24"/>
        </w:rPr>
        <w:t>D</w:t>
      </w:r>
      <w:r w:rsidRPr="003564B0">
        <w:rPr>
          <w:rFonts w:asciiTheme="minorHAnsi" w:hAnsiTheme="minorHAnsi" w:cstheme="minorHAnsi"/>
          <w:sz w:val="24"/>
        </w:rPr>
        <w:t xml:space="preserve">ocument </w:t>
      </w:r>
      <w:hyperlink r:id="rId23" w:history="1">
        <w:r w:rsidRPr="003564B0">
          <w:rPr>
            <w:rStyle w:val="Hyperlink"/>
            <w:rFonts w:asciiTheme="minorHAnsi" w:eastAsia="Calibri" w:hAnsiTheme="minorHAnsi" w:cstheme="minorHAnsi"/>
            <w:spacing w:val="-4"/>
            <w:sz w:val="24"/>
            <w:lang w:val="de-CH"/>
          </w:rPr>
          <w:t>CWG-FHR-AH-RegPres-2/6</w:t>
        </w:r>
      </w:hyperlink>
      <w:r w:rsidRPr="003564B0">
        <w:rPr>
          <w:rFonts w:asciiTheme="minorHAnsi" w:eastAsia="Calibri" w:hAnsiTheme="minorHAnsi" w:cstheme="minorHAnsi"/>
          <w:spacing w:val="-4"/>
          <w:sz w:val="24"/>
          <w:lang w:val="de-CH"/>
        </w:rPr>
        <w:t>.</w:t>
      </w:r>
    </w:p>
    <w:p w14:paraId="775398C9" w14:textId="77777777" w:rsidR="006A0FA0" w:rsidRPr="003564B0" w:rsidRDefault="006A0FA0" w:rsidP="007C31A6">
      <w:pPr>
        <w:pStyle w:val="Fixed"/>
        <w:spacing w:before="240" w:after="120" w:line="240" w:lineRule="auto"/>
        <w:ind w:right="0"/>
        <w:rPr>
          <w:rFonts w:asciiTheme="minorHAnsi" w:hAnsiTheme="minorHAnsi" w:cstheme="minorHAnsi"/>
        </w:rPr>
      </w:pPr>
      <w:r>
        <w:rPr>
          <w:rFonts w:asciiTheme="minorHAnsi" w:hAnsiTheme="minorHAnsi" w:cstheme="minorHAnsi"/>
        </w:rPr>
        <w:t>2.4</w:t>
      </w:r>
      <w:r>
        <w:rPr>
          <w:rFonts w:asciiTheme="minorHAnsi" w:hAnsiTheme="minorHAnsi" w:cstheme="minorHAnsi"/>
        </w:rPr>
        <w:tab/>
      </w:r>
      <w:r w:rsidRPr="003564B0">
        <w:rPr>
          <w:rFonts w:asciiTheme="minorHAnsi" w:hAnsiTheme="minorHAnsi" w:cstheme="minorHAnsi"/>
        </w:rPr>
        <w:t xml:space="preserve">A submission was also made by the </w:t>
      </w:r>
      <w:r>
        <w:rPr>
          <w:rFonts w:asciiTheme="minorHAnsi" w:hAnsiTheme="minorHAnsi" w:cstheme="minorHAnsi"/>
        </w:rPr>
        <w:t>s</w:t>
      </w:r>
      <w:r w:rsidRPr="003564B0">
        <w:rPr>
          <w:rFonts w:asciiTheme="minorHAnsi" w:hAnsiTheme="minorHAnsi" w:cstheme="minorHAnsi"/>
        </w:rPr>
        <w:t xml:space="preserve">ecretariat on the Financial Implications of the PWC recommendations (see </w:t>
      </w:r>
      <w:r>
        <w:rPr>
          <w:rFonts w:asciiTheme="minorHAnsi" w:hAnsiTheme="minorHAnsi" w:cstheme="minorHAnsi"/>
        </w:rPr>
        <w:t>D</w:t>
      </w:r>
      <w:r w:rsidRPr="003564B0">
        <w:rPr>
          <w:rFonts w:asciiTheme="minorHAnsi" w:hAnsiTheme="minorHAnsi" w:cstheme="minorHAnsi"/>
        </w:rPr>
        <w:t xml:space="preserve">ocument </w:t>
      </w:r>
      <w:hyperlink r:id="rId24" w:history="1">
        <w:r w:rsidRPr="003564B0">
          <w:rPr>
            <w:rStyle w:val="Hyperlink"/>
            <w:rFonts w:asciiTheme="minorHAnsi" w:eastAsia="Calibri" w:hAnsiTheme="minorHAnsi" w:cstheme="minorHAnsi"/>
            <w:spacing w:val="-4"/>
            <w:lang w:val="de-CH"/>
          </w:rPr>
          <w:t>CWG-FHR-AH-RegPres-2/2</w:t>
        </w:r>
      </w:hyperlink>
      <w:r w:rsidRPr="003564B0">
        <w:rPr>
          <w:rFonts w:asciiTheme="minorHAnsi" w:eastAsia="Calibri" w:hAnsiTheme="minorHAnsi" w:cstheme="minorHAnsi"/>
          <w:spacing w:val="-4"/>
          <w:lang w:val="de-CH"/>
        </w:rPr>
        <w:t>)</w:t>
      </w:r>
      <w:r w:rsidRPr="003564B0">
        <w:rPr>
          <w:rFonts w:asciiTheme="minorHAnsi" w:hAnsiTheme="minorHAnsi" w:cstheme="minorHAnsi"/>
        </w:rPr>
        <w:t>.</w:t>
      </w:r>
    </w:p>
    <w:p w14:paraId="5D195CC4" w14:textId="390C0C6B" w:rsidR="006A0FA0" w:rsidRDefault="006A0FA0" w:rsidP="00501AD8">
      <w:pPr>
        <w:pStyle w:val="Fixed"/>
        <w:spacing w:before="120" w:after="120" w:line="240" w:lineRule="auto"/>
        <w:ind w:right="0"/>
        <w:jc w:val="both"/>
        <w:rPr>
          <w:rFonts w:asciiTheme="minorHAnsi" w:hAnsiTheme="minorHAnsi" w:cstheme="minorHAnsi"/>
        </w:rPr>
      </w:pPr>
      <w:r>
        <w:rPr>
          <w:rFonts w:asciiTheme="minorHAnsi" w:hAnsiTheme="minorHAnsi" w:cstheme="minorHAnsi"/>
        </w:rPr>
        <w:t>2.5</w:t>
      </w:r>
      <w:r>
        <w:rPr>
          <w:rFonts w:asciiTheme="minorHAnsi" w:hAnsiTheme="minorHAnsi" w:cstheme="minorHAnsi"/>
        </w:rPr>
        <w:tab/>
      </w:r>
      <w:r w:rsidRPr="003564B0">
        <w:rPr>
          <w:rFonts w:asciiTheme="minorHAnsi" w:hAnsiTheme="minorHAnsi" w:cstheme="minorHAnsi"/>
        </w:rPr>
        <w:t xml:space="preserve">The Chair provided comments seeking to frame the discussion. The Chair outlined the three Annexes provided by the </w:t>
      </w:r>
      <w:r>
        <w:rPr>
          <w:rFonts w:asciiTheme="minorHAnsi" w:hAnsiTheme="minorHAnsi" w:cstheme="minorHAnsi"/>
        </w:rPr>
        <w:t>s</w:t>
      </w:r>
      <w:r w:rsidRPr="003564B0">
        <w:rPr>
          <w:rFonts w:asciiTheme="minorHAnsi" w:hAnsiTheme="minorHAnsi" w:cstheme="minorHAnsi"/>
        </w:rPr>
        <w:t>ecretariat with PWC’s recommendations which divided the recommendations into categories based on the level of decision making required. The Chair noted that at the first meeting it had been agreed to focus on overall strategic directions for regional presence guided by Chapter 6 of PWC’s report, and to restrict discussions on structure to Option 1 (referred to by the group as the “Status Quo” option comprising both Regional Offices and Area Offices)</w:t>
      </w:r>
      <w:r w:rsidRPr="003564B0">
        <w:rPr>
          <w:rStyle w:val="FootnoteReference"/>
          <w:rFonts w:asciiTheme="minorHAnsi" w:eastAsiaTheme="majorEastAsia" w:hAnsiTheme="minorHAnsi" w:cstheme="minorHAnsi"/>
        </w:rPr>
        <w:footnoteReference w:id="1"/>
      </w:r>
      <w:r w:rsidRPr="003564B0">
        <w:rPr>
          <w:rFonts w:asciiTheme="minorHAnsi" w:hAnsiTheme="minorHAnsi" w:cstheme="minorHAnsi"/>
        </w:rPr>
        <w:t xml:space="preserve"> and Option 2, which comprises PWC’s preferred recommended configuration of “Area Offices only”.</w:t>
      </w:r>
    </w:p>
    <w:p w14:paraId="3108ADE3" w14:textId="77777777" w:rsidR="006A0FA0" w:rsidRDefault="006A0FA0" w:rsidP="00501AD8">
      <w:pPr>
        <w:pStyle w:val="Fixed"/>
        <w:spacing w:before="120" w:after="120" w:line="240" w:lineRule="auto"/>
        <w:ind w:right="0"/>
        <w:rPr>
          <w:rFonts w:asciiTheme="minorHAnsi" w:hAnsiTheme="minorHAnsi" w:cstheme="minorHAnsi"/>
        </w:rPr>
      </w:pPr>
      <w:r>
        <w:rPr>
          <w:rFonts w:asciiTheme="minorHAnsi" w:hAnsiTheme="minorHAnsi" w:cstheme="minorHAnsi"/>
        </w:rPr>
        <w:t>2.6</w:t>
      </w:r>
      <w:r>
        <w:rPr>
          <w:rFonts w:asciiTheme="minorHAnsi" w:hAnsiTheme="minorHAnsi" w:cstheme="minorHAnsi"/>
        </w:rPr>
        <w:tab/>
      </w:r>
      <w:r w:rsidRPr="003564B0">
        <w:rPr>
          <w:rFonts w:asciiTheme="minorHAnsi" w:hAnsiTheme="minorHAnsi" w:cstheme="minorHAnsi"/>
        </w:rPr>
        <w:t xml:space="preserve">Each of the </w:t>
      </w:r>
      <w:r>
        <w:rPr>
          <w:rFonts w:asciiTheme="minorHAnsi" w:hAnsiTheme="minorHAnsi" w:cstheme="minorHAnsi"/>
        </w:rPr>
        <w:t>M</w:t>
      </w:r>
      <w:r w:rsidRPr="003564B0">
        <w:rPr>
          <w:rFonts w:asciiTheme="minorHAnsi" w:hAnsiTheme="minorHAnsi" w:cstheme="minorHAnsi"/>
        </w:rPr>
        <w:t xml:space="preserve">ember </w:t>
      </w:r>
      <w:r>
        <w:rPr>
          <w:rFonts w:asciiTheme="minorHAnsi" w:hAnsiTheme="minorHAnsi" w:cstheme="minorHAnsi"/>
        </w:rPr>
        <w:t>S</w:t>
      </w:r>
      <w:r w:rsidRPr="003564B0">
        <w:rPr>
          <w:rFonts w:asciiTheme="minorHAnsi" w:hAnsiTheme="minorHAnsi" w:cstheme="minorHAnsi"/>
        </w:rPr>
        <w:t>tate</w:t>
      </w:r>
      <w:r>
        <w:rPr>
          <w:rFonts w:asciiTheme="minorHAnsi" w:hAnsiTheme="minorHAnsi" w:cstheme="minorHAnsi"/>
        </w:rPr>
        <w:t>s’</w:t>
      </w:r>
      <w:r w:rsidRPr="003564B0">
        <w:rPr>
          <w:rFonts w:asciiTheme="minorHAnsi" w:hAnsiTheme="minorHAnsi" w:cstheme="minorHAnsi"/>
        </w:rPr>
        <w:t xml:space="preserve"> contributions was presented to the Group, and the options were discussed in detail.</w:t>
      </w:r>
    </w:p>
    <w:p w14:paraId="35039969" w14:textId="77777777" w:rsidR="006A0FA0" w:rsidRPr="009F275A" w:rsidRDefault="006A0FA0" w:rsidP="009F275A">
      <w:pPr>
        <w:pStyle w:val="Heading1"/>
        <w:tabs>
          <w:tab w:val="clear" w:pos="567"/>
          <w:tab w:val="clear" w:pos="1134"/>
          <w:tab w:val="clear" w:pos="1701"/>
          <w:tab w:val="clear" w:pos="2268"/>
          <w:tab w:val="clear" w:pos="2835"/>
        </w:tabs>
        <w:spacing w:before="360" w:after="120"/>
        <w:ind w:left="0" w:firstLine="0"/>
        <w:rPr>
          <w:rFonts w:asciiTheme="minorHAnsi" w:hAnsiTheme="minorHAnsi" w:cstheme="minorHAnsi"/>
          <w:color w:val="548DD4" w:themeColor="text2" w:themeTint="99"/>
          <w:sz w:val="24"/>
          <w:szCs w:val="24"/>
        </w:rPr>
      </w:pPr>
      <w:r w:rsidRPr="009F275A">
        <w:rPr>
          <w:rFonts w:asciiTheme="minorHAnsi" w:hAnsiTheme="minorHAnsi" w:cstheme="minorHAnsi"/>
          <w:color w:val="548DD4" w:themeColor="text2" w:themeTint="99"/>
          <w:sz w:val="24"/>
          <w:szCs w:val="24"/>
        </w:rPr>
        <w:t>3</w:t>
      </w:r>
      <w:r w:rsidRPr="009F275A">
        <w:rPr>
          <w:rFonts w:asciiTheme="minorHAnsi" w:hAnsiTheme="minorHAnsi" w:cstheme="minorHAnsi"/>
          <w:color w:val="548DD4" w:themeColor="text2" w:themeTint="99"/>
          <w:sz w:val="24"/>
          <w:szCs w:val="24"/>
        </w:rPr>
        <w:tab/>
        <w:t>Outcomes of the Ad Hoc Group on ITU Regional Presence</w:t>
      </w:r>
    </w:p>
    <w:p w14:paraId="6621109B" w14:textId="77777777" w:rsidR="006A0FA0" w:rsidRPr="003564B0" w:rsidRDefault="006A0FA0" w:rsidP="00501AD8">
      <w:pPr>
        <w:tabs>
          <w:tab w:val="clear" w:pos="567"/>
          <w:tab w:val="clear" w:pos="1134"/>
          <w:tab w:val="clear" w:pos="1701"/>
          <w:tab w:val="clear" w:pos="2268"/>
          <w:tab w:val="clear" w:pos="2835"/>
        </w:tabs>
        <w:spacing w:after="120"/>
        <w:rPr>
          <w:rFonts w:asciiTheme="minorHAnsi" w:hAnsiTheme="minorHAnsi" w:cstheme="minorHAnsi"/>
        </w:rPr>
      </w:pPr>
      <w:r>
        <w:rPr>
          <w:rFonts w:asciiTheme="minorHAnsi" w:hAnsiTheme="minorHAnsi" w:cstheme="minorHAnsi"/>
        </w:rPr>
        <w:t>3.1</w:t>
      </w:r>
      <w:r>
        <w:rPr>
          <w:rFonts w:asciiTheme="minorHAnsi" w:hAnsiTheme="minorHAnsi" w:cstheme="minorHAnsi"/>
        </w:rPr>
        <w:tab/>
      </w:r>
      <w:r w:rsidRPr="003564B0">
        <w:rPr>
          <w:rFonts w:asciiTheme="minorHAnsi" w:hAnsiTheme="minorHAnsi" w:cstheme="minorHAnsi"/>
        </w:rPr>
        <w:t>Based on the contributions made (written and oral) to the meetings of the Ad Hoc Group, the following decisions were reached:</w:t>
      </w:r>
    </w:p>
    <w:p w14:paraId="1D8704BE" w14:textId="2D7569E3" w:rsidR="006A0FA0" w:rsidRPr="003564B0" w:rsidRDefault="006A0FA0" w:rsidP="009F275A">
      <w:pPr>
        <w:pStyle w:val="ListParagraph"/>
        <w:numPr>
          <w:ilvl w:val="0"/>
          <w:numId w:val="13"/>
        </w:numPr>
        <w:overflowPunct w:val="0"/>
        <w:autoSpaceDE w:val="0"/>
        <w:autoSpaceDN w:val="0"/>
        <w:adjustRightInd w:val="0"/>
        <w:spacing w:before="120" w:after="120"/>
        <w:ind w:left="1276" w:hanging="567"/>
        <w:textAlignment w:val="baseline"/>
        <w:rPr>
          <w:rFonts w:asciiTheme="minorHAnsi" w:hAnsiTheme="minorHAnsi" w:cstheme="minorHAnsi"/>
          <w:sz w:val="24"/>
        </w:rPr>
      </w:pPr>
      <w:r w:rsidRPr="003564B0">
        <w:rPr>
          <w:rFonts w:asciiTheme="minorHAnsi" w:hAnsiTheme="minorHAnsi" w:cstheme="minorHAnsi"/>
          <w:sz w:val="24"/>
        </w:rPr>
        <w:t>The high-level strategic principles for the regional presence proposed in the PWC Report were agreed, subject to the need to also consider the views and needs of ITU</w:t>
      </w:r>
      <w:r w:rsidR="009F275A">
        <w:rPr>
          <w:rFonts w:asciiTheme="minorHAnsi" w:hAnsiTheme="minorHAnsi" w:cstheme="minorHAnsi"/>
          <w:sz w:val="24"/>
        </w:rPr>
        <w:t xml:space="preserve"> </w:t>
      </w:r>
      <w:r w:rsidRPr="003564B0">
        <w:rPr>
          <w:rFonts w:asciiTheme="minorHAnsi" w:hAnsiTheme="minorHAnsi" w:cstheme="minorHAnsi"/>
          <w:sz w:val="24"/>
        </w:rPr>
        <w:t>membership, as follows:</w:t>
      </w:r>
    </w:p>
    <w:p w14:paraId="5FCDBF38" w14:textId="77777777" w:rsidR="006A0FA0" w:rsidRPr="003564B0" w:rsidRDefault="006A0FA0" w:rsidP="007C31A6">
      <w:pPr>
        <w:pStyle w:val="ListParagraph"/>
        <w:numPr>
          <w:ilvl w:val="1"/>
          <w:numId w:val="13"/>
        </w:numPr>
        <w:overflowPunct w:val="0"/>
        <w:autoSpaceDE w:val="0"/>
        <w:autoSpaceDN w:val="0"/>
        <w:adjustRightInd w:val="0"/>
        <w:spacing w:before="60" w:after="60"/>
        <w:ind w:left="1843" w:hanging="425"/>
        <w:textAlignment w:val="baseline"/>
        <w:rPr>
          <w:rFonts w:asciiTheme="minorHAnsi" w:hAnsiTheme="minorHAnsi" w:cstheme="minorHAnsi"/>
          <w:sz w:val="24"/>
        </w:rPr>
      </w:pPr>
      <w:r w:rsidRPr="003564B0">
        <w:rPr>
          <w:rFonts w:asciiTheme="minorHAnsi" w:hAnsiTheme="minorHAnsi" w:cstheme="minorHAnsi"/>
          <w:sz w:val="24"/>
        </w:rPr>
        <w:t xml:space="preserve">clarity of </w:t>
      </w:r>
      <w:proofErr w:type="gramStart"/>
      <w:r w:rsidRPr="003564B0">
        <w:rPr>
          <w:rFonts w:asciiTheme="minorHAnsi" w:hAnsiTheme="minorHAnsi" w:cstheme="minorHAnsi"/>
          <w:sz w:val="24"/>
        </w:rPr>
        <w:t>purpose;</w:t>
      </w:r>
      <w:proofErr w:type="gramEnd"/>
    </w:p>
    <w:p w14:paraId="732DAB25" w14:textId="77777777" w:rsidR="006A0FA0" w:rsidRPr="003564B0" w:rsidRDefault="006A0FA0" w:rsidP="007C31A6">
      <w:pPr>
        <w:pStyle w:val="ListParagraph"/>
        <w:numPr>
          <w:ilvl w:val="1"/>
          <w:numId w:val="13"/>
        </w:numPr>
        <w:overflowPunct w:val="0"/>
        <w:autoSpaceDE w:val="0"/>
        <w:autoSpaceDN w:val="0"/>
        <w:adjustRightInd w:val="0"/>
        <w:spacing w:before="60" w:after="60"/>
        <w:ind w:left="1843" w:hanging="425"/>
        <w:textAlignment w:val="baseline"/>
        <w:rPr>
          <w:rFonts w:asciiTheme="minorHAnsi" w:hAnsiTheme="minorHAnsi" w:cstheme="minorHAnsi"/>
          <w:sz w:val="24"/>
        </w:rPr>
      </w:pPr>
      <w:r w:rsidRPr="003564B0">
        <w:rPr>
          <w:rFonts w:asciiTheme="minorHAnsi" w:hAnsiTheme="minorHAnsi" w:cstheme="minorHAnsi"/>
          <w:sz w:val="24"/>
        </w:rPr>
        <w:t xml:space="preserve">drive for </w:t>
      </w:r>
      <w:proofErr w:type="gramStart"/>
      <w:r w:rsidRPr="003564B0">
        <w:rPr>
          <w:rFonts w:asciiTheme="minorHAnsi" w:hAnsiTheme="minorHAnsi" w:cstheme="minorHAnsi"/>
          <w:sz w:val="24"/>
        </w:rPr>
        <w:t>impact;</w:t>
      </w:r>
      <w:proofErr w:type="gramEnd"/>
    </w:p>
    <w:p w14:paraId="3A0BA88C" w14:textId="77777777" w:rsidR="006A0FA0" w:rsidRPr="003564B0" w:rsidRDefault="006A0FA0" w:rsidP="007C31A6">
      <w:pPr>
        <w:pStyle w:val="ListParagraph"/>
        <w:numPr>
          <w:ilvl w:val="1"/>
          <w:numId w:val="13"/>
        </w:numPr>
        <w:overflowPunct w:val="0"/>
        <w:autoSpaceDE w:val="0"/>
        <w:autoSpaceDN w:val="0"/>
        <w:adjustRightInd w:val="0"/>
        <w:spacing w:before="60" w:after="60"/>
        <w:ind w:left="1843" w:hanging="425"/>
        <w:textAlignment w:val="baseline"/>
        <w:rPr>
          <w:rFonts w:asciiTheme="minorHAnsi" w:hAnsiTheme="minorHAnsi" w:cstheme="minorHAnsi"/>
          <w:sz w:val="24"/>
        </w:rPr>
      </w:pPr>
      <w:proofErr w:type="gramStart"/>
      <w:r w:rsidRPr="003564B0">
        <w:rPr>
          <w:rFonts w:asciiTheme="minorHAnsi" w:hAnsiTheme="minorHAnsi" w:cstheme="minorHAnsi"/>
          <w:sz w:val="24"/>
        </w:rPr>
        <w:t>accountability;</w:t>
      </w:r>
      <w:proofErr w:type="gramEnd"/>
    </w:p>
    <w:p w14:paraId="6C4DD14F" w14:textId="77777777" w:rsidR="006A0FA0" w:rsidRPr="003564B0" w:rsidRDefault="006A0FA0" w:rsidP="007C31A6">
      <w:pPr>
        <w:pStyle w:val="ListParagraph"/>
        <w:numPr>
          <w:ilvl w:val="1"/>
          <w:numId w:val="13"/>
        </w:numPr>
        <w:overflowPunct w:val="0"/>
        <w:autoSpaceDE w:val="0"/>
        <w:autoSpaceDN w:val="0"/>
        <w:adjustRightInd w:val="0"/>
        <w:spacing w:before="60" w:after="60"/>
        <w:ind w:left="1843" w:hanging="425"/>
        <w:textAlignment w:val="baseline"/>
        <w:rPr>
          <w:rFonts w:asciiTheme="minorHAnsi" w:hAnsiTheme="minorHAnsi" w:cstheme="minorHAnsi"/>
          <w:sz w:val="24"/>
        </w:rPr>
      </w:pPr>
      <w:r w:rsidRPr="003564B0">
        <w:rPr>
          <w:rFonts w:asciiTheme="minorHAnsi" w:hAnsiTheme="minorHAnsi" w:cstheme="minorHAnsi"/>
          <w:sz w:val="24"/>
        </w:rPr>
        <w:t xml:space="preserve">One </w:t>
      </w:r>
      <w:proofErr w:type="gramStart"/>
      <w:r w:rsidRPr="003564B0">
        <w:rPr>
          <w:rFonts w:asciiTheme="minorHAnsi" w:hAnsiTheme="minorHAnsi" w:cstheme="minorHAnsi"/>
          <w:sz w:val="24"/>
        </w:rPr>
        <w:t>ITU;</w:t>
      </w:r>
      <w:proofErr w:type="gramEnd"/>
    </w:p>
    <w:p w14:paraId="0063A45C" w14:textId="77777777" w:rsidR="006A0FA0" w:rsidRPr="003564B0" w:rsidRDefault="006A0FA0" w:rsidP="007C31A6">
      <w:pPr>
        <w:pStyle w:val="ListParagraph"/>
        <w:numPr>
          <w:ilvl w:val="1"/>
          <w:numId w:val="13"/>
        </w:numPr>
        <w:overflowPunct w:val="0"/>
        <w:autoSpaceDE w:val="0"/>
        <w:autoSpaceDN w:val="0"/>
        <w:adjustRightInd w:val="0"/>
        <w:spacing w:before="60" w:after="60"/>
        <w:ind w:left="1843" w:hanging="425"/>
        <w:textAlignment w:val="baseline"/>
        <w:rPr>
          <w:rFonts w:asciiTheme="minorHAnsi" w:hAnsiTheme="minorHAnsi" w:cstheme="minorHAnsi"/>
          <w:sz w:val="24"/>
        </w:rPr>
      </w:pPr>
      <w:r w:rsidRPr="003564B0">
        <w:rPr>
          <w:rFonts w:asciiTheme="minorHAnsi" w:hAnsiTheme="minorHAnsi" w:cstheme="minorHAnsi"/>
          <w:sz w:val="24"/>
        </w:rPr>
        <w:t>part and parcel of the UN family; and,</w:t>
      </w:r>
    </w:p>
    <w:p w14:paraId="09A51D31" w14:textId="77777777" w:rsidR="006A0FA0" w:rsidRPr="003564B0" w:rsidRDefault="006A0FA0" w:rsidP="007C31A6">
      <w:pPr>
        <w:pStyle w:val="ListParagraph"/>
        <w:numPr>
          <w:ilvl w:val="1"/>
          <w:numId w:val="13"/>
        </w:numPr>
        <w:overflowPunct w:val="0"/>
        <w:autoSpaceDE w:val="0"/>
        <w:autoSpaceDN w:val="0"/>
        <w:adjustRightInd w:val="0"/>
        <w:spacing w:before="60" w:after="60"/>
        <w:ind w:left="1843" w:hanging="425"/>
        <w:textAlignment w:val="baseline"/>
        <w:rPr>
          <w:rFonts w:asciiTheme="minorHAnsi" w:hAnsiTheme="minorHAnsi" w:cstheme="minorHAnsi"/>
          <w:sz w:val="24"/>
        </w:rPr>
      </w:pPr>
      <w:r w:rsidRPr="003564B0">
        <w:rPr>
          <w:rFonts w:asciiTheme="minorHAnsi" w:hAnsiTheme="minorHAnsi" w:cstheme="minorHAnsi"/>
          <w:sz w:val="24"/>
        </w:rPr>
        <w:t>managed transition.</w:t>
      </w:r>
    </w:p>
    <w:p w14:paraId="1E5D8405" w14:textId="2B8A3B99" w:rsidR="006A0FA0" w:rsidRPr="003564B0" w:rsidRDefault="006A0FA0" w:rsidP="009F275A">
      <w:pPr>
        <w:pStyle w:val="ListParagraph"/>
        <w:numPr>
          <w:ilvl w:val="0"/>
          <w:numId w:val="13"/>
        </w:numPr>
        <w:overflowPunct w:val="0"/>
        <w:autoSpaceDE w:val="0"/>
        <w:autoSpaceDN w:val="0"/>
        <w:adjustRightInd w:val="0"/>
        <w:spacing w:before="120" w:after="120"/>
        <w:ind w:left="1276" w:hanging="578"/>
        <w:textAlignment w:val="baseline"/>
        <w:rPr>
          <w:rFonts w:asciiTheme="minorHAnsi" w:hAnsiTheme="minorHAnsi" w:cstheme="minorHAnsi"/>
          <w:sz w:val="24"/>
        </w:rPr>
      </w:pPr>
      <w:r w:rsidRPr="003564B0">
        <w:rPr>
          <w:rFonts w:asciiTheme="minorHAnsi" w:hAnsiTheme="minorHAnsi" w:cstheme="minorHAnsi"/>
          <w:sz w:val="24"/>
        </w:rPr>
        <w:lastRenderedPageBreak/>
        <w:t>The Ad Hoc Group supported maintaining the current structure of ITU’s Regional Presence which would include both Regional and Area Offices, noting that the details of the configuration should be consistent with the strategic principles, and it was noted that any changes would need further detailed consideration.</w:t>
      </w:r>
    </w:p>
    <w:p w14:paraId="049E83E9" w14:textId="6C59CE3F" w:rsidR="006A0FA0" w:rsidRPr="003564B0" w:rsidRDefault="006A0FA0" w:rsidP="009F275A">
      <w:pPr>
        <w:pStyle w:val="ListParagraph"/>
        <w:numPr>
          <w:ilvl w:val="0"/>
          <w:numId w:val="13"/>
        </w:numPr>
        <w:overflowPunct w:val="0"/>
        <w:autoSpaceDE w:val="0"/>
        <w:autoSpaceDN w:val="0"/>
        <w:adjustRightInd w:val="0"/>
        <w:spacing w:before="120" w:after="120"/>
        <w:ind w:left="1276" w:hanging="578"/>
        <w:textAlignment w:val="baseline"/>
        <w:rPr>
          <w:rFonts w:asciiTheme="minorHAnsi" w:hAnsiTheme="minorHAnsi" w:cstheme="minorHAnsi"/>
          <w:sz w:val="24"/>
        </w:rPr>
      </w:pPr>
      <w:r w:rsidRPr="003564B0">
        <w:rPr>
          <w:rFonts w:asciiTheme="minorHAnsi" w:hAnsiTheme="minorHAnsi" w:cstheme="minorHAnsi"/>
          <w:sz w:val="24"/>
        </w:rPr>
        <w:t xml:space="preserve">The Ad Hoc Group noted and endorsed the work in progress and already completed by the </w:t>
      </w:r>
      <w:r>
        <w:rPr>
          <w:rFonts w:asciiTheme="minorHAnsi" w:hAnsiTheme="minorHAnsi" w:cstheme="minorHAnsi"/>
          <w:sz w:val="24"/>
        </w:rPr>
        <w:t>s</w:t>
      </w:r>
      <w:r w:rsidRPr="003564B0">
        <w:rPr>
          <w:rFonts w:asciiTheme="minorHAnsi" w:hAnsiTheme="minorHAnsi" w:cstheme="minorHAnsi"/>
          <w:sz w:val="24"/>
        </w:rPr>
        <w:t xml:space="preserve">ecretariat, and supported the </w:t>
      </w:r>
      <w:r>
        <w:rPr>
          <w:rFonts w:asciiTheme="minorHAnsi" w:hAnsiTheme="minorHAnsi" w:cstheme="minorHAnsi"/>
          <w:sz w:val="24"/>
        </w:rPr>
        <w:t>s</w:t>
      </w:r>
      <w:r w:rsidRPr="003564B0">
        <w:rPr>
          <w:rFonts w:asciiTheme="minorHAnsi" w:hAnsiTheme="minorHAnsi" w:cstheme="minorHAnsi"/>
          <w:sz w:val="24"/>
        </w:rPr>
        <w:t>ecretariat continuing to implement those recommendations that can be implemented based on the previous decisions and that will enhance and strengthen the regional presence.</w:t>
      </w:r>
    </w:p>
    <w:p w14:paraId="50372C8A" w14:textId="4C4A3555" w:rsidR="006A0FA0" w:rsidRPr="003564B0" w:rsidRDefault="006A0FA0" w:rsidP="009F275A">
      <w:pPr>
        <w:pStyle w:val="ListParagraph"/>
        <w:numPr>
          <w:ilvl w:val="0"/>
          <w:numId w:val="13"/>
        </w:numPr>
        <w:overflowPunct w:val="0"/>
        <w:autoSpaceDE w:val="0"/>
        <w:autoSpaceDN w:val="0"/>
        <w:adjustRightInd w:val="0"/>
        <w:spacing w:before="120" w:after="120"/>
        <w:ind w:left="1276" w:hanging="578"/>
        <w:textAlignment w:val="baseline"/>
        <w:rPr>
          <w:rFonts w:asciiTheme="minorHAnsi" w:hAnsiTheme="minorHAnsi" w:cstheme="minorHAnsi"/>
          <w:sz w:val="24"/>
        </w:rPr>
      </w:pPr>
      <w:r w:rsidRPr="003564B0">
        <w:rPr>
          <w:rFonts w:asciiTheme="minorHAnsi" w:hAnsiTheme="minorHAnsi" w:cstheme="minorHAnsi"/>
          <w:sz w:val="24"/>
        </w:rPr>
        <w:t xml:space="preserve">The </w:t>
      </w:r>
      <w:r>
        <w:rPr>
          <w:rFonts w:asciiTheme="minorHAnsi" w:hAnsiTheme="minorHAnsi" w:cstheme="minorHAnsi"/>
          <w:sz w:val="24"/>
        </w:rPr>
        <w:t>s</w:t>
      </w:r>
      <w:r w:rsidRPr="003564B0">
        <w:rPr>
          <w:rFonts w:asciiTheme="minorHAnsi" w:hAnsiTheme="minorHAnsi" w:cstheme="minorHAnsi"/>
          <w:sz w:val="24"/>
        </w:rPr>
        <w:t>ecretariat should continue to report regularly to CWG-FHR and Council on its progress (including the status of all PWC recommendations).</w:t>
      </w:r>
    </w:p>
    <w:p w14:paraId="6FB496BD" w14:textId="55ECCDD4" w:rsidR="006A0FA0" w:rsidRPr="003564B0" w:rsidRDefault="006A0FA0" w:rsidP="009F275A">
      <w:pPr>
        <w:pStyle w:val="ListParagraph"/>
        <w:numPr>
          <w:ilvl w:val="0"/>
          <w:numId w:val="13"/>
        </w:numPr>
        <w:overflowPunct w:val="0"/>
        <w:autoSpaceDE w:val="0"/>
        <w:autoSpaceDN w:val="0"/>
        <w:adjustRightInd w:val="0"/>
        <w:spacing w:before="120" w:after="120"/>
        <w:ind w:left="1276" w:hanging="578"/>
        <w:textAlignment w:val="baseline"/>
        <w:rPr>
          <w:rFonts w:asciiTheme="minorHAnsi" w:hAnsiTheme="minorHAnsi" w:cstheme="minorHAnsi"/>
          <w:sz w:val="24"/>
        </w:rPr>
      </w:pPr>
      <w:r>
        <w:rPr>
          <w:rFonts w:asciiTheme="minorHAnsi" w:hAnsiTheme="minorHAnsi" w:cstheme="minorHAnsi"/>
          <w:sz w:val="24"/>
        </w:rPr>
        <w:t>T</w:t>
      </w:r>
      <w:r w:rsidRPr="003564B0">
        <w:rPr>
          <w:rFonts w:asciiTheme="minorHAnsi" w:hAnsiTheme="minorHAnsi" w:cstheme="minorHAnsi"/>
          <w:sz w:val="24"/>
        </w:rPr>
        <w:t xml:space="preserve">he </w:t>
      </w:r>
      <w:r>
        <w:rPr>
          <w:rFonts w:asciiTheme="minorHAnsi" w:hAnsiTheme="minorHAnsi" w:cstheme="minorHAnsi"/>
          <w:sz w:val="24"/>
        </w:rPr>
        <w:t>s</w:t>
      </w:r>
      <w:r w:rsidRPr="003564B0">
        <w:rPr>
          <w:rFonts w:asciiTheme="minorHAnsi" w:hAnsiTheme="minorHAnsi" w:cstheme="minorHAnsi"/>
          <w:sz w:val="24"/>
        </w:rPr>
        <w:t>ecretariat was asked to provide the following further inputs as part of the report of the Ad Hoc Group to CWG-FHR:</w:t>
      </w:r>
    </w:p>
    <w:p w14:paraId="7E07C8B1" w14:textId="354B20DD" w:rsidR="006A0FA0" w:rsidRPr="003564B0" w:rsidRDefault="006A0FA0" w:rsidP="009F275A">
      <w:pPr>
        <w:pStyle w:val="ListParagraph"/>
        <w:numPr>
          <w:ilvl w:val="0"/>
          <w:numId w:val="14"/>
        </w:numPr>
        <w:snapToGrid w:val="0"/>
        <w:spacing w:before="120" w:after="120"/>
        <w:ind w:left="2127" w:hanging="567"/>
        <w:jc w:val="both"/>
        <w:rPr>
          <w:rFonts w:asciiTheme="minorHAnsi" w:hAnsiTheme="minorHAnsi" w:cstheme="minorHAnsi"/>
          <w:sz w:val="24"/>
        </w:rPr>
      </w:pPr>
      <w:r w:rsidRPr="003564B0">
        <w:rPr>
          <w:rFonts w:asciiTheme="minorHAnsi" w:hAnsiTheme="minorHAnsi" w:cstheme="minorHAnsi"/>
          <w:sz w:val="24"/>
        </w:rPr>
        <w:t xml:space="preserve">Responses by the </w:t>
      </w:r>
      <w:r>
        <w:rPr>
          <w:rFonts w:asciiTheme="minorHAnsi" w:hAnsiTheme="minorHAnsi" w:cstheme="minorHAnsi"/>
          <w:sz w:val="24"/>
        </w:rPr>
        <w:t>s</w:t>
      </w:r>
      <w:r w:rsidRPr="003564B0">
        <w:rPr>
          <w:rFonts w:asciiTheme="minorHAnsi" w:hAnsiTheme="minorHAnsi" w:cstheme="minorHAnsi"/>
          <w:sz w:val="24"/>
        </w:rPr>
        <w:t xml:space="preserve">ecretariat to the specific requests contained in the contributions by Switzerland and </w:t>
      </w:r>
      <w:proofErr w:type="gramStart"/>
      <w:r w:rsidRPr="003564B0">
        <w:rPr>
          <w:rFonts w:asciiTheme="minorHAnsi" w:hAnsiTheme="minorHAnsi" w:cstheme="minorHAnsi"/>
          <w:sz w:val="24"/>
        </w:rPr>
        <w:t>Australia</w:t>
      </w:r>
      <w:r>
        <w:rPr>
          <w:rFonts w:asciiTheme="minorHAnsi" w:hAnsiTheme="minorHAnsi" w:cstheme="minorHAnsi"/>
          <w:sz w:val="24"/>
        </w:rPr>
        <w:t>;</w:t>
      </w:r>
      <w:proofErr w:type="gramEnd"/>
    </w:p>
    <w:p w14:paraId="0BAB2E35" w14:textId="3630B3D3" w:rsidR="006A0FA0" w:rsidRPr="003564B0" w:rsidRDefault="006A0FA0" w:rsidP="009F275A">
      <w:pPr>
        <w:pStyle w:val="ListParagraph"/>
        <w:numPr>
          <w:ilvl w:val="0"/>
          <w:numId w:val="14"/>
        </w:numPr>
        <w:snapToGrid w:val="0"/>
        <w:spacing w:before="120" w:after="120"/>
        <w:ind w:left="2127" w:hanging="567"/>
        <w:jc w:val="both"/>
        <w:rPr>
          <w:rFonts w:asciiTheme="minorHAnsi" w:hAnsiTheme="minorHAnsi" w:cstheme="minorHAnsi"/>
          <w:sz w:val="24"/>
        </w:rPr>
      </w:pPr>
      <w:r w:rsidRPr="003564B0">
        <w:rPr>
          <w:rFonts w:asciiTheme="minorHAnsi" w:hAnsiTheme="minorHAnsi" w:cstheme="minorHAnsi"/>
          <w:sz w:val="24"/>
        </w:rPr>
        <w:t>An updated status report and workplan for the PWC recommendations, based on the decisions of the Ad Hoc Group.</w:t>
      </w:r>
    </w:p>
    <w:p w14:paraId="41185D21" w14:textId="77777777" w:rsidR="006A0FA0" w:rsidRDefault="006A0FA0" w:rsidP="00501AD8">
      <w:pPr>
        <w:tabs>
          <w:tab w:val="clear" w:pos="567"/>
          <w:tab w:val="clear" w:pos="1134"/>
          <w:tab w:val="clear" w:pos="1701"/>
          <w:tab w:val="clear" w:pos="2268"/>
          <w:tab w:val="clear" w:pos="2835"/>
        </w:tabs>
        <w:snapToGrid w:val="0"/>
        <w:spacing w:after="120"/>
        <w:jc w:val="both"/>
        <w:rPr>
          <w:rFonts w:asciiTheme="minorHAnsi" w:hAnsiTheme="minorHAnsi" w:cstheme="minorHAnsi"/>
        </w:rPr>
      </w:pPr>
      <w:r>
        <w:rPr>
          <w:rFonts w:asciiTheme="minorHAnsi" w:hAnsiTheme="minorHAnsi" w:cstheme="minorHAnsi"/>
        </w:rPr>
        <w:t>3.2</w:t>
      </w:r>
      <w:r>
        <w:rPr>
          <w:rFonts w:asciiTheme="minorHAnsi" w:hAnsiTheme="minorHAnsi" w:cstheme="minorHAnsi"/>
        </w:rPr>
        <w:tab/>
      </w:r>
      <w:r w:rsidRPr="003564B0">
        <w:rPr>
          <w:rFonts w:asciiTheme="minorHAnsi" w:hAnsiTheme="minorHAnsi" w:cstheme="minorHAnsi"/>
        </w:rPr>
        <w:t xml:space="preserve">The above documents have been prepared by the </w:t>
      </w:r>
      <w:r>
        <w:rPr>
          <w:rFonts w:asciiTheme="minorHAnsi" w:hAnsiTheme="minorHAnsi" w:cstheme="minorHAnsi"/>
        </w:rPr>
        <w:t>s</w:t>
      </w:r>
      <w:r w:rsidRPr="003564B0">
        <w:rPr>
          <w:rFonts w:asciiTheme="minorHAnsi" w:hAnsiTheme="minorHAnsi" w:cstheme="minorHAnsi"/>
        </w:rPr>
        <w:t>ecretariat and are provided as Annexes</w:t>
      </w:r>
      <w:r>
        <w:rPr>
          <w:rFonts w:asciiTheme="minorHAnsi" w:hAnsiTheme="minorHAnsi" w:cstheme="minorHAnsi"/>
        </w:rPr>
        <w:t> </w:t>
      </w:r>
      <w:r w:rsidRPr="003564B0">
        <w:rPr>
          <w:rFonts w:asciiTheme="minorHAnsi" w:hAnsiTheme="minorHAnsi" w:cstheme="minorHAnsi"/>
        </w:rPr>
        <w:t>1 and 2, respectively.</w:t>
      </w:r>
    </w:p>
    <w:p w14:paraId="18341FBE" w14:textId="77777777" w:rsidR="006A0FA0" w:rsidRDefault="006A0FA0" w:rsidP="00501AD8">
      <w:pPr>
        <w:spacing w:after="120"/>
        <w:jc w:val="center"/>
        <w:rPr>
          <w:rFonts w:asciiTheme="minorHAnsi" w:hAnsiTheme="minorHAnsi" w:cstheme="minorHAnsi"/>
          <w:color w:val="000000" w:themeColor="text1"/>
          <w:sz w:val="28"/>
          <w:szCs w:val="28"/>
        </w:rPr>
      </w:pPr>
      <w:r>
        <w:rPr>
          <w:rFonts w:asciiTheme="minorHAnsi" w:hAnsiTheme="minorHAnsi" w:cstheme="minorHAnsi"/>
          <w:color w:val="000000" w:themeColor="text1"/>
        </w:rPr>
        <w:br w:type="page"/>
      </w:r>
      <w:r w:rsidRPr="00342B7D">
        <w:rPr>
          <w:rFonts w:asciiTheme="minorHAnsi" w:hAnsiTheme="minorHAnsi" w:cstheme="minorHAnsi"/>
          <w:color w:val="000000" w:themeColor="text1"/>
          <w:sz w:val="28"/>
          <w:szCs w:val="28"/>
        </w:rPr>
        <w:lastRenderedPageBreak/>
        <w:t>ANNEX 1</w:t>
      </w:r>
    </w:p>
    <w:p w14:paraId="366BA522" w14:textId="77777777" w:rsidR="006A0FA0" w:rsidRPr="007E6E71" w:rsidRDefault="006A0FA0" w:rsidP="009F275A">
      <w:pPr>
        <w:spacing w:before="480" w:after="120"/>
        <w:jc w:val="center"/>
        <w:rPr>
          <w:rFonts w:cs="Calibri"/>
          <w:b/>
          <w:bCs/>
          <w:color w:val="000000" w:themeColor="text1"/>
          <w:sz w:val="28"/>
          <w:szCs w:val="28"/>
        </w:rPr>
      </w:pPr>
      <w:r w:rsidRPr="007E6E71">
        <w:rPr>
          <w:rFonts w:cs="Calibri"/>
          <w:b/>
          <w:bCs/>
          <w:caps/>
          <w:sz w:val="28"/>
          <w:szCs w:val="28"/>
        </w:rPr>
        <w:t>secretariat reponses to member contributions</w:t>
      </w:r>
    </w:p>
    <w:p w14:paraId="6764F148" w14:textId="77777777" w:rsidR="006A0FA0" w:rsidRPr="009F275A" w:rsidRDefault="006A0FA0" w:rsidP="009F275A">
      <w:pPr>
        <w:pStyle w:val="Heading1"/>
        <w:spacing w:before="360" w:after="120"/>
        <w:rPr>
          <w:b w:val="0"/>
          <w:bCs/>
          <w:color w:val="548DD4" w:themeColor="text2" w:themeTint="99"/>
        </w:rPr>
      </w:pPr>
      <w:bookmarkStart w:id="10" w:name="_Hlk73630261"/>
      <w:r w:rsidRPr="009F275A">
        <w:rPr>
          <w:b w:val="0"/>
          <w:bCs/>
          <w:color w:val="548DD4" w:themeColor="text2" w:themeTint="99"/>
        </w:rPr>
        <w:t>1</w:t>
      </w:r>
      <w:r w:rsidRPr="009F275A">
        <w:rPr>
          <w:b w:val="0"/>
          <w:bCs/>
          <w:color w:val="548DD4" w:themeColor="text2" w:themeTint="99"/>
        </w:rPr>
        <w:tab/>
        <w:t>Contribution by Switzerland</w:t>
      </w:r>
    </w:p>
    <w:p w14:paraId="26895590" w14:textId="77777777" w:rsidR="006A0FA0" w:rsidRPr="00EB6896" w:rsidRDefault="006A0FA0" w:rsidP="009F275A">
      <w:pPr>
        <w:spacing w:before="240" w:after="120"/>
        <w:jc w:val="both"/>
        <w:rPr>
          <w:rFonts w:asciiTheme="minorHAnsi" w:hAnsiTheme="minorHAnsi" w:cstheme="minorHAnsi"/>
        </w:rPr>
      </w:pPr>
      <w:r w:rsidRPr="00EB6896">
        <w:rPr>
          <w:rFonts w:asciiTheme="minorHAnsi" w:hAnsiTheme="minorHAnsi" w:cstheme="minorHAnsi"/>
        </w:rPr>
        <w:t xml:space="preserve">Switzerland’s contribution </w:t>
      </w:r>
      <w:r>
        <w:rPr>
          <w:rFonts w:asciiTheme="minorHAnsi" w:hAnsiTheme="minorHAnsi" w:cstheme="minorHAnsi"/>
        </w:rPr>
        <w:t>(</w:t>
      </w:r>
      <w:r w:rsidRPr="00B339D9">
        <w:rPr>
          <w:rFonts w:asciiTheme="minorHAnsi" w:hAnsiTheme="minorHAnsi" w:cstheme="minorHAnsi"/>
        </w:rPr>
        <w:t xml:space="preserve">document </w:t>
      </w:r>
      <w:hyperlink r:id="rId25" w:history="1">
        <w:r w:rsidRPr="00E333E7">
          <w:rPr>
            <w:rStyle w:val="Hyperlink"/>
            <w:rFonts w:eastAsia="Calibri" w:cs="Times New Roman Bold"/>
            <w:spacing w:val="-4"/>
            <w:szCs w:val="22"/>
            <w:lang w:val="de-CH"/>
          </w:rPr>
          <w:t>CWG-FHR-AH-RegPres-2/5</w:t>
        </w:r>
      </w:hyperlink>
      <w:r>
        <w:rPr>
          <w:rFonts w:asciiTheme="minorHAnsi" w:hAnsiTheme="minorHAnsi" w:cstheme="minorHAnsi"/>
        </w:rPr>
        <w:t xml:space="preserve">) </w:t>
      </w:r>
      <w:r w:rsidRPr="00EB6896">
        <w:rPr>
          <w:rFonts w:asciiTheme="minorHAnsi" w:hAnsiTheme="minorHAnsi" w:cstheme="minorHAnsi"/>
        </w:rPr>
        <w:t>highlighted the following matters:</w:t>
      </w:r>
    </w:p>
    <w:p w14:paraId="7DA43932" w14:textId="77777777" w:rsidR="006A0FA0" w:rsidRPr="009F275A" w:rsidRDefault="006A0FA0" w:rsidP="009F275A">
      <w:pPr>
        <w:spacing w:before="240" w:after="120" w:line="320" w:lineRule="atLeast"/>
        <w:jc w:val="both"/>
        <w:rPr>
          <w:rFonts w:asciiTheme="minorHAnsi" w:hAnsiTheme="minorHAnsi" w:cstheme="minorHAnsi"/>
          <w:b/>
          <w:bCs/>
          <w:sz w:val="23"/>
          <w:szCs w:val="23"/>
          <w:u w:val="single"/>
        </w:rPr>
      </w:pPr>
      <w:r w:rsidRPr="009F275A">
        <w:rPr>
          <w:rFonts w:asciiTheme="minorHAnsi" w:hAnsiTheme="minorHAnsi" w:cstheme="minorHAnsi"/>
          <w:b/>
          <w:bCs/>
          <w:sz w:val="23"/>
          <w:szCs w:val="23"/>
          <w:u w:val="single"/>
        </w:rPr>
        <w:t>Strategic Planning</w:t>
      </w:r>
    </w:p>
    <w:p w14:paraId="203322BC" w14:textId="77777777" w:rsidR="006A0FA0" w:rsidRPr="009F275A" w:rsidRDefault="006A0FA0" w:rsidP="00B15F1B">
      <w:pPr>
        <w:spacing w:before="240" w:after="120" w:line="320" w:lineRule="atLeast"/>
        <w:jc w:val="both"/>
        <w:rPr>
          <w:rFonts w:asciiTheme="minorHAnsi" w:hAnsiTheme="minorHAnsi" w:cstheme="minorHAnsi"/>
          <w:b/>
          <w:bCs/>
          <w:color w:val="1F497D" w:themeColor="text2"/>
          <w:spacing w:val="-4"/>
          <w:sz w:val="23"/>
          <w:szCs w:val="23"/>
        </w:rPr>
      </w:pPr>
      <w:r w:rsidRPr="009F275A">
        <w:rPr>
          <w:rFonts w:asciiTheme="minorHAnsi" w:hAnsiTheme="minorHAnsi" w:cstheme="minorHAnsi"/>
          <w:b/>
          <w:bCs/>
          <w:color w:val="1F497D" w:themeColor="text2"/>
          <w:sz w:val="23"/>
          <w:szCs w:val="23"/>
        </w:rPr>
        <w:t xml:space="preserve">Switzerland: Switzerland notes that in its comment in </w:t>
      </w:r>
      <w:r w:rsidRPr="009F275A">
        <w:rPr>
          <w:rFonts w:asciiTheme="minorHAnsi" w:hAnsiTheme="minorHAnsi" w:cstheme="minorHAnsi"/>
          <w:b/>
          <w:bCs/>
          <w:i/>
          <w:color w:val="1F497D" w:themeColor="text2"/>
          <w:sz w:val="23"/>
          <w:szCs w:val="23"/>
        </w:rPr>
        <w:t>Annex 3</w:t>
      </w:r>
      <w:r w:rsidRPr="009F275A">
        <w:rPr>
          <w:rFonts w:asciiTheme="minorHAnsi" w:hAnsiTheme="minorHAnsi" w:cstheme="minorHAnsi"/>
          <w:b/>
          <w:bCs/>
          <w:color w:val="1F497D" w:themeColor="text2"/>
          <w:sz w:val="23"/>
          <w:szCs w:val="23"/>
        </w:rPr>
        <w:t xml:space="preserve"> of Document </w:t>
      </w:r>
      <w:r w:rsidRPr="009F275A">
        <w:rPr>
          <w:rFonts w:asciiTheme="minorHAnsi" w:hAnsiTheme="minorHAnsi" w:cstheme="minorHAnsi"/>
          <w:b/>
          <w:bCs/>
          <w:i/>
          <w:color w:val="1F497D" w:themeColor="text2"/>
          <w:spacing w:val="-4"/>
          <w:sz w:val="23"/>
          <w:szCs w:val="23"/>
        </w:rPr>
        <w:t xml:space="preserve">CWG-FHR-AH-RegPres-1/4, the Secretariat </w:t>
      </w:r>
      <w:r w:rsidRPr="009F275A">
        <w:rPr>
          <w:rFonts w:asciiTheme="minorHAnsi" w:hAnsiTheme="minorHAnsi" w:cstheme="minorHAnsi"/>
          <w:b/>
          <w:bCs/>
          <w:color w:val="1F497D" w:themeColor="text2"/>
          <w:sz w:val="23"/>
          <w:szCs w:val="23"/>
        </w:rPr>
        <w:t>lays out “</w:t>
      </w:r>
      <w:r w:rsidRPr="009F275A">
        <w:rPr>
          <w:rFonts w:asciiTheme="minorHAnsi" w:hAnsiTheme="minorHAnsi" w:cstheme="minorHAnsi"/>
          <w:b/>
          <w:bCs/>
          <w:i/>
          <w:color w:val="1F497D" w:themeColor="text2"/>
          <w:spacing w:val="-4"/>
          <w:sz w:val="23"/>
          <w:szCs w:val="23"/>
        </w:rPr>
        <w:t xml:space="preserve">that these matters would require significant revision of Council working methods related to the ITU Strategic and Operational Plans”. </w:t>
      </w:r>
      <w:r w:rsidRPr="009F275A">
        <w:rPr>
          <w:rFonts w:asciiTheme="minorHAnsi" w:hAnsiTheme="minorHAnsi" w:cstheme="minorHAnsi"/>
          <w:b/>
          <w:bCs/>
          <w:color w:val="1F497D" w:themeColor="text2"/>
          <w:spacing w:val="-4"/>
          <w:sz w:val="23"/>
          <w:szCs w:val="23"/>
        </w:rPr>
        <w:t>Switzerland sought more information from the Secretariat on how the interplay of strategic and operational planning processes at all levels could be improved, with the aim of supporting a coherent programmatic focus in the Union’s mandate delivery through its regional presence.</w:t>
      </w:r>
    </w:p>
    <w:p w14:paraId="64C84B9B"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pacing w:val="-4"/>
          <w:sz w:val="23"/>
          <w:szCs w:val="23"/>
        </w:rPr>
        <w:t xml:space="preserve">ITU is committed to further integrate and enhance the mandate, </w:t>
      </w:r>
      <w:proofErr w:type="gramStart"/>
      <w:r w:rsidRPr="009F275A">
        <w:rPr>
          <w:rFonts w:asciiTheme="minorHAnsi" w:hAnsiTheme="minorHAnsi" w:cstheme="minorHAnsi"/>
          <w:spacing w:val="-4"/>
          <w:sz w:val="23"/>
          <w:szCs w:val="23"/>
        </w:rPr>
        <w:t>role</w:t>
      </w:r>
      <w:proofErr w:type="gramEnd"/>
      <w:r w:rsidRPr="009F275A">
        <w:rPr>
          <w:rFonts w:asciiTheme="minorHAnsi" w:hAnsiTheme="minorHAnsi" w:cstheme="minorHAnsi"/>
          <w:spacing w:val="-4"/>
          <w:sz w:val="23"/>
          <w:szCs w:val="23"/>
        </w:rPr>
        <w:t xml:space="preserve"> and objectives for the regional presence in the development of the new Strategic Plan. The Secretariat has already begun assessing how the overall strategic and operational planning process can be improved at all levels and will provide this input to Member States within the Council Working Group on Strategic and Financial Plans (CWG-SFP).</w:t>
      </w:r>
    </w:p>
    <w:p w14:paraId="730953D2"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 xml:space="preserve">The Secretariat agrees that a review of the Strategic and Planning Framework would result in better alignment with the RBM approach already being implemented by BDT, and would make for more effective, </w:t>
      </w:r>
      <w:proofErr w:type="gramStart"/>
      <w:r w:rsidRPr="009F275A">
        <w:rPr>
          <w:rFonts w:asciiTheme="minorHAnsi" w:hAnsiTheme="minorHAnsi" w:cstheme="minorHAnsi"/>
          <w:sz w:val="23"/>
          <w:szCs w:val="23"/>
        </w:rPr>
        <w:t>focussed</w:t>
      </w:r>
      <w:proofErr w:type="gramEnd"/>
      <w:r w:rsidRPr="009F275A">
        <w:rPr>
          <w:rFonts w:asciiTheme="minorHAnsi" w:hAnsiTheme="minorHAnsi" w:cstheme="minorHAnsi"/>
          <w:sz w:val="23"/>
          <w:szCs w:val="23"/>
        </w:rPr>
        <w:t xml:space="preserve"> and achievable targets for the ROs. From a BDT perspective, the discussions underway by membership in the TDAG Working Group on the ITU-D Contributions to the ITU Strategic and Operational Plans, could help in achieving these reforms. Strategic Planning is conducted ITU wide, and the PwC recommendations propose effective alignment of Strategy not only for the BDT, but for the whole of the ITU. </w:t>
      </w:r>
    </w:p>
    <w:p w14:paraId="47E18950" w14:textId="77777777" w:rsidR="006A0FA0" w:rsidRPr="009F275A" w:rsidRDefault="006A0FA0" w:rsidP="009F275A">
      <w:pPr>
        <w:spacing w:after="120" w:line="320" w:lineRule="atLeast"/>
        <w:jc w:val="both"/>
        <w:rPr>
          <w:rFonts w:asciiTheme="minorHAnsi" w:hAnsiTheme="minorHAnsi" w:cstheme="minorHAnsi"/>
          <w:sz w:val="23"/>
          <w:szCs w:val="23"/>
          <w:lang w:eastAsia="en-GB"/>
        </w:rPr>
      </w:pPr>
      <w:r w:rsidRPr="009F275A">
        <w:rPr>
          <w:rFonts w:asciiTheme="minorHAnsi" w:hAnsiTheme="minorHAnsi" w:cstheme="minorHAnsi"/>
          <w:sz w:val="23"/>
          <w:szCs w:val="23"/>
        </w:rPr>
        <w:t>The process for the development of the new strategic plan -and the framework, will officially be initiated by the 2021 Session of Council (see document C21/64 on the proposal for the establishment of CWG-SFP).</w:t>
      </w:r>
      <w:r w:rsidRPr="009F275A">
        <w:rPr>
          <w:rFonts w:asciiTheme="minorHAnsi" w:hAnsiTheme="minorHAnsi" w:cstheme="minorHAnsi"/>
          <w:sz w:val="23"/>
          <w:szCs w:val="23"/>
          <w:lang w:eastAsia="en-GB"/>
        </w:rPr>
        <w:t xml:space="preserve"> </w:t>
      </w:r>
      <w:r w:rsidRPr="009F275A">
        <w:rPr>
          <w:rFonts w:asciiTheme="minorHAnsi" w:hAnsiTheme="minorHAnsi" w:cstheme="minorHAnsi"/>
          <w:sz w:val="23"/>
          <w:szCs w:val="23"/>
        </w:rPr>
        <w:t>Regarding the new strategic framework, indeed the aim of the Secretariat is to assist membership in its review of the RBM implementation and lessons learned, and assist membership to adjust the components of the overall framework (i.e. review the mission statement, redesign the “architecture” of the framework and the different levels -strategic goals/objectives/targets, including the consideration of any related proposals from the PWC Report -e.g. attaching effective/focused/achievable targets at the RO level), while following best practice and experience from other UN/development agencies as well.</w:t>
      </w:r>
    </w:p>
    <w:p w14:paraId="325D9CCD" w14:textId="77777777" w:rsidR="006A0FA0" w:rsidRPr="009F275A" w:rsidRDefault="006A0FA0" w:rsidP="009F275A">
      <w:pPr>
        <w:spacing w:after="120" w:line="320" w:lineRule="atLeast"/>
        <w:jc w:val="both"/>
        <w:rPr>
          <w:rFonts w:asciiTheme="minorHAnsi" w:hAnsiTheme="minorHAnsi" w:cstheme="minorHAnsi"/>
          <w:spacing w:val="-4"/>
          <w:sz w:val="23"/>
          <w:szCs w:val="23"/>
        </w:rPr>
      </w:pPr>
      <w:r w:rsidRPr="009F275A">
        <w:rPr>
          <w:rFonts w:asciiTheme="minorHAnsi" w:hAnsiTheme="minorHAnsi" w:cstheme="minorHAnsi"/>
          <w:spacing w:val="-4"/>
          <w:sz w:val="23"/>
          <w:szCs w:val="23"/>
        </w:rPr>
        <w:t>At the BDT level, in line with the strategic priorities recommended by the TDAG Working Groups, BDT has initiated a refinement of its Theory of Change (</w:t>
      </w:r>
      <w:proofErr w:type="spellStart"/>
      <w:r w:rsidRPr="009F275A">
        <w:rPr>
          <w:rFonts w:asciiTheme="minorHAnsi" w:hAnsiTheme="minorHAnsi" w:cstheme="minorHAnsi"/>
          <w:spacing w:val="-4"/>
          <w:sz w:val="23"/>
          <w:szCs w:val="23"/>
        </w:rPr>
        <w:t>ToC</w:t>
      </w:r>
      <w:proofErr w:type="spellEnd"/>
      <w:r w:rsidRPr="009F275A">
        <w:rPr>
          <w:rFonts w:asciiTheme="minorHAnsi" w:hAnsiTheme="minorHAnsi" w:cstheme="minorHAnsi"/>
          <w:spacing w:val="-4"/>
          <w:sz w:val="23"/>
          <w:szCs w:val="23"/>
        </w:rPr>
        <w:t xml:space="preserve">) model to begin conceptualizing how its results-based management (RBM) framework and service-delivery model will need to reposition for the future. This </w:t>
      </w:r>
      <w:proofErr w:type="spellStart"/>
      <w:r w:rsidRPr="009F275A">
        <w:rPr>
          <w:rFonts w:asciiTheme="minorHAnsi" w:hAnsiTheme="minorHAnsi" w:cstheme="minorHAnsi"/>
          <w:spacing w:val="-4"/>
          <w:sz w:val="23"/>
          <w:szCs w:val="23"/>
        </w:rPr>
        <w:t>ToC</w:t>
      </w:r>
      <w:proofErr w:type="spellEnd"/>
      <w:r w:rsidRPr="009F275A">
        <w:rPr>
          <w:rFonts w:asciiTheme="minorHAnsi" w:hAnsiTheme="minorHAnsi" w:cstheme="minorHAnsi"/>
          <w:spacing w:val="-4"/>
          <w:sz w:val="23"/>
          <w:szCs w:val="23"/>
        </w:rPr>
        <w:t xml:space="preserve"> design will continue adjusting as needed to align with the direction of the CWG-SFP as the future priorities are finalized during the drafting of the new ITU Strategy. </w:t>
      </w:r>
    </w:p>
    <w:p w14:paraId="4C553D0A" w14:textId="77777777" w:rsidR="006A0FA0" w:rsidRPr="009F275A" w:rsidRDefault="006A0FA0" w:rsidP="009F275A">
      <w:pPr>
        <w:tabs>
          <w:tab w:val="left" w:pos="7550"/>
        </w:tabs>
        <w:spacing w:after="120" w:line="320" w:lineRule="atLeast"/>
        <w:jc w:val="both"/>
        <w:rPr>
          <w:rFonts w:asciiTheme="minorHAnsi" w:hAnsiTheme="minorHAnsi" w:cstheme="minorHAnsi"/>
          <w:spacing w:val="-4"/>
          <w:sz w:val="23"/>
          <w:szCs w:val="23"/>
        </w:rPr>
      </w:pPr>
      <w:r w:rsidRPr="009F275A">
        <w:rPr>
          <w:rFonts w:asciiTheme="minorHAnsi" w:hAnsiTheme="minorHAnsi" w:cstheme="minorHAnsi"/>
          <w:spacing w:val="-4"/>
          <w:sz w:val="23"/>
          <w:szCs w:val="23"/>
        </w:rPr>
        <w:lastRenderedPageBreak/>
        <w:t xml:space="preserve">This </w:t>
      </w:r>
      <w:proofErr w:type="spellStart"/>
      <w:r w:rsidRPr="009F275A">
        <w:rPr>
          <w:rFonts w:asciiTheme="minorHAnsi" w:hAnsiTheme="minorHAnsi" w:cstheme="minorHAnsi"/>
          <w:spacing w:val="-4"/>
          <w:sz w:val="23"/>
          <w:szCs w:val="23"/>
        </w:rPr>
        <w:t>ToC</w:t>
      </w:r>
      <w:proofErr w:type="spellEnd"/>
      <w:r w:rsidRPr="009F275A">
        <w:rPr>
          <w:rFonts w:asciiTheme="minorHAnsi" w:hAnsiTheme="minorHAnsi" w:cstheme="minorHAnsi"/>
          <w:spacing w:val="-4"/>
          <w:sz w:val="23"/>
          <w:szCs w:val="23"/>
        </w:rPr>
        <w:t xml:space="preserve"> model is applying an increased client-driven approach to the Thematic Priorities defined by Membership to enhance BDT’s efficiency in focusing products, support and results along these strategic pathways towards the longer-term goals of the </w:t>
      </w:r>
      <w:hyperlink r:id="rId26" w:history="1">
        <w:r w:rsidRPr="009F275A">
          <w:rPr>
            <w:rStyle w:val="Hyperlink"/>
            <w:rFonts w:asciiTheme="minorHAnsi" w:hAnsiTheme="minorHAnsi" w:cstheme="minorHAnsi"/>
            <w:spacing w:val="-4"/>
            <w:sz w:val="23"/>
            <w:szCs w:val="23"/>
          </w:rPr>
          <w:t>Connect 2030 Agenda</w:t>
        </w:r>
      </w:hyperlink>
      <w:r w:rsidRPr="009F275A">
        <w:rPr>
          <w:rFonts w:asciiTheme="minorHAnsi" w:hAnsiTheme="minorHAnsi" w:cstheme="minorHAnsi"/>
          <w:spacing w:val="-4"/>
          <w:sz w:val="23"/>
          <w:szCs w:val="23"/>
        </w:rPr>
        <w:t xml:space="preserve">. This </w:t>
      </w:r>
      <w:proofErr w:type="spellStart"/>
      <w:r w:rsidRPr="009F275A">
        <w:rPr>
          <w:rFonts w:asciiTheme="minorHAnsi" w:hAnsiTheme="minorHAnsi" w:cstheme="minorHAnsi"/>
          <w:spacing w:val="-4"/>
          <w:sz w:val="23"/>
          <w:szCs w:val="23"/>
        </w:rPr>
        <w:t>ToC</w:t>
      </w:r>
      <w:proofErr w:type="spellEnd"/>
      <w:r w:rsidRPr="009F275A">
        <w:rPr>
          <w:rFonts w:asciiTheme="minorHAnsi" w:hAnsiTheme="minorHAnsi" w:cstheme="minorHAnsi"/>
          <w:spacing w:val="-4"/>
          <w:sz w:val="23"/>
          <w:szCs w:val="23"/>
        </w:rPr>
        <w:t xml:space="preserve"> model for the new Thematic Priorities will serve as the framework for future planning and evaluation, enforcing a common structure between Strategic and Operational Plans. </w:t>
      </w:r>
    </w:p>
    <w:p w14:paraId="6EC6818B" w14:textId="77777777" w:rsidR="006A0FA0" w:rsidRPr="009F275A" w:rsidRDefault="006A0FA0" w:rsidP="00B15F1B">
      <w:pPr>
        <w:keepNext/>
        <w:tabs>
          <w:tab w:val="left" w:pos="7550"/>
        </w:tabs>
        <w:spacing w:before="480" w:after="120" w:line="320" w:lineRule="atLeast"/>
        <w:jc w:val="both"/>
        <w:rPr>
          <w:rFonts w:asciiTheme="minorHAnsi" w:hAnsiTheme="minorHAnsi" w:cstheme="minorHAnsi"/>
          <w:spacing w:val="-4"/>
          <w:sz w:val="23"/>
          <w:szCs w:val="23"/>
        </w:rPr>
      </w:pPr>
      <w:r w:rsidRPr="009F275A">
        <w:rPr>
          <w:rFonts w:asciiTheme="minorHAnsi" w:hAnsiTheme="minorHAnsi" w:cstheme="minorHAnsi"/>
          <w:b/>
          <w:bCs/>
          <w:spacing w:val="-4"/>
          <w:sz w:val="23"/>
          <w:szCs w:val="23"/>
        </w:rPr>
        <w:t xml:space="preserve">Figure 1: TDAG recommendations on Thematic Priorities and corresponding </w:t>
      </w:r>
      <w:proofErr w:type="spellStart"/>
      <w:r w:rsidRPr="009F275A">
        <w:rPr>
          <w:rFonts w:asciiTheme="minorHAnsi" w:hAnsiTheme="minorHAnsi" w:cstheme="minorHAnsi"/>
          <w:b/>
          <w:bCs/>
          <w:spacing w:val="-4"/>
          <w:sz w:val="23"/>
          <w:szCs w:val="23"/>
        </w:rPr>
        <w:t>ToC</w:t>
      </w:r>
      <w:proofErr w:type="spellEnd"/>
      <w:r w:rsidRPr="009F275A">
        <w:rPr>
          <w:rFonts w:asciiTheme="minorHAnsi" w:hAnsiTheme="minorHAnsi" w:cstheme="minorHAnsi"/>
          <w:b/>
          <w:bCs/>
          <w:spacing w:val="-4"/>
          <w:sz w:val="23"/>
          <w:szCs w:val="23"/>
        </w:rPr>
        <w:t xml:space="preserve"> for BDT RBM</w:t>
      </w:r>
    </w:p>
    <w:p w14:paraId="50649FB7" w14:textId="77777777" w:rsidR="006A0FA0" w:rsidRPr="009F275A" w:rsidRDefault="006A0FA0" w:rsidP="009F275A">
      <w:pPr>
        <w:tabs>
          <w:tab w:val="left" w:pos="7550"/>
        </w:tabs>
        <w:spacing w:after="120" w:line="320" w:lineRule="atLeast"/>
        <w:jc w:val="both"/>
        <w:rPr>
          <w:rFonts w:asciiTheme="minorHAnsi" w:hAnsiTheme="minorHAnsi" w:cstheme="minorHAnsi"/>
          <w:spacing w:val="-4"/>
          <w:sz w:val="23"/>
          <w:szCs w:val="23"/>
        </w:rPr>
      </w:pPr>
      <w:r w:rsidRPr="009F275A">
        <w:rPr>
          <w:rFonts w:asciiTheme="minorHAnsi" w:hAnsiTheme="minorHAnsi" w:cstheme="minorHAnsi"/>
          <w:noProof/>
          <w:spacing w:val="-4"/>
          <w:sz w:val="23"/>
          <w:szCs w:val="23"/>
        </w:rPr>
        <w:drawing>
          <wp:inline distT="0" distB="0" distL="0" distR="0" wp14:anchorId="4D1B8A79" wp14:editId="349C10E9">
            <wp:extent cx="5842000" cy="1544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9746" cy="1554712"/>
                    </a:xfrm>
                    <a:prstGeom prst="rect">
                      <a:avLst/>
                    </a:prstGeom>
                    <a:noFill/>
                  </pic:spPr>
                </pic:pic>
              </a:graphicData>
            </a:graphic>
          </wp:inline>
        </w:drawing>
      </w:r>
    </w:p>
    <w:p w14:paraId="3F5010D0" w14:textId="77777777" w:rsidR="006A0FA0" w:rsidRPr="009F275A" w:rsidRDefault="006A0FA0" w:rsidP="00B15F1B">
      <w:pPr>
        <w:spacing w:before="480"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 xml:space="preserve">As part of this effort BDT is also refining the sequencing and integration of its products and services, mapping the most logical order for technical support and conditions for success along the new Thematic Priority </w:t>
      </w:r>
      <w:proofErr w:type="spellStart"/>
      <w:r w:rsidRPr="009F275A">
        <w:rPr>
          <w:rFonts w:asciiTheme="minorHAnsi" w:hAnsiTheme="minorHAnsi" w:cstheme="minorHAnsi"/>
          <w:sz w:val="23"/>
          <w:szCs w:val="23"/>
        </w:rPr>
        <w:t>ToC</w:t>
      </w:r>
      <w:proofErr w:type="spellEnd"/>
      <w:r w:rsidRPr="009F275A">
        <w:rPr>
          <w:rFonts w:asciiTheme="minorHAnsi" w:hAnsiTheme="minorHAnsi" w:cstheme="minorHAnsi"/>
          <w:sz w:val="23"/>
          <w:szCs w:val="23"/>
        </w:rPr>
        <w:t xml:space="preserve"> pathways for more evidence-driven matching of services with need. </w:t>
      </w:r>
    </w:p>
    <w:p w14:paraId="7DA1D386"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 xml:space="preserve">Additionally, to strengthen the client-driven focus of BDT’s operational planning, the </w:t>
      </w:r>
      <w:proofErr w:type="spellStart"/>
      <w:r w:rsidRPr="009F275A">
        <w:rPr>
          <w:rFonts w:asciiTheme="minorHAnsi" w:hAnsiTheme="minorHAnsi" w:cstheme="minorHAnsi"/>
          <w:sz w:val="23"/>
          <w:szCs w:val="23"/>
        </w:rPr>
        <w:t>ToC</w:t>
      </w:r>
      <w:proofErr w:type="spellEnd"/>
      <w:r w:rsidRPr="009F275A">
        <w:rPr>
          <w:rFonts w:asciiTheme="minorHAnsi" w:hAnsiTheme="minorHAnsi" w:cstheme="minorHAnsi"/>
          <w:sz w:val="23"/>
          <w:szCs w:val="23"/>
        </w:rPr>
        <w:t xml:space="preserve"> data model includes more dynamic integration of the country statistics and survey data provided by Members. This innovation will improve BDT’s operational planning through automated data feeds of key trends at regional and country level, as well as by LDC, LLDC and SIDS groups. Through this overlay of data feeds onto the new </w:t>
      </w:r>
      <w:proofErr w:type="spellStart"/>
      <w:r w:rsidRPr="009F275A">
        <w:rPr>
          <w:rFonts w:asciiTheme="minorHAnsi" w:hAnsiTheme="minorHAnsi" w:cstheme="minorHAnsi"/>
          <w:sz w:val="23"/>
          <w:szCs w:val="23"/>
        </w:rPr>
        <w:t>ToC</w:t>
      </w:r>
      <w:proofErr w:type="spellEnd"/>
      <w:r w:rsidRPr="009F275A">
        <w:rPr>
          <w:rFonts w:asciiTheme="minorHAnsi" w:hAnsiTheme="minorHAnsi" w:cstheme="minorHAnsi"/>
          <w:sz w:val="23"/>
          <w:szCs w:val="23"/>
        </w:rPr>
        <w:t xml:space="preserve"> model’s Thematic Priority pathways, BDT aims to be more agile in adapting our support and service offering to evolving trends and changing needs of our </w:t>
      </w:r>
      <w:proofErr w:type="gramStart"/>
      <w:r w:rsidRPr="009F275A">
        <w:rPr>
          <w:rFonts w:asciiTheme="minorHAnsi" w:hAnsiTheme="minorHAnsi" w:cstheme="minorHAnsi"/>
          <w:sz w:val="23"/>
          <w:szCs w:val="23"/>
        </w:rPr>
        <w:t>Members</w:t>
      </w:r>
      <w:proofErr w:type="gramEnd"/>
      <w:r w:rsidRPr="009F275A">
        <w:rPr>
          <w:rFonts w:asciiTheme="minorHAnsi" w:hAnsiTheme="minorHAnsi" w:cstheme="minorHAnsi"/>
          <w:sz w:val="23"/>
          <w:szCs w:val="23"/>
        </w:rPr>
        <w:t>.</w:t>
      </w:r>
    </w:p>
    <w:p w14:paraId="6A6ACE8D" w14:textId="48C2E8E0"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 xml:space="preserve">To further guide coherent programmatic focus in the mandate delivery at all levels and through ITU’s regional presence, the BDT </w:t>
      </w:r>
      <w:proofErr w:type="spellStart"/>
      <w:r w:rsidRPr="009F275A">
        <w:rPr>
          <w:rFonts w:asciiTheme="minorHAnsi" w:hAnsiTheme="minorHAnsi" w:cstheme="minorHAnsi"/>
          <w:sz w:val="23"/>
          <w:szCs w:val="23"/>
        </w:rPr>
        <w:t>ToC</w:t>
      </w:r>
      <w:proofErr w:type="spellEnd"/>
      <w:r w:rsidRPr="009F275A">
        <w:rPr>
          <w:rFonts w:asciiTheme="minorHAnsi" w:hAnsiTheme="minorHAnsi" w:cstheme="minorHAnsi"/>
          <w:sz w:val="23"/>
          <w:szCs w:val="23"/>
        </w:rPr>
        <w:t xml:space="preserve"> framework is designed for full regional-level synchronization of RBM, Thematic Priority pathways, operational planning, sequenced technical support offerings and portfolio performance assessments. This regional </w:t>
      </w:r>
      <w:proofErr w:type="spellStart"/>
      <w:r w:rsidRPr="009F275A">
        <w:rPr>
          <w:rFonts w:asciiTheme="minorHAnsi" w:hAnsiTheme="minorHAnsi" w:cstheme="minorHAnsi"/>
          <w:sz w:val="23"/>
          <w:szCs w:val="23"/>
        </w:rPr>
        <w:t>ToC</w:t>
      </w:r>
      <w:proofErr w:type="spellEnd"/>
      <w:r w:rsidRPr="009F275A">
        <w:rPr>
          <w:rFonts w:asciiTheme="minorHAnsi" w:hAnsiTheme="minorHAnsi" w:cstheme="minorHAnsi"/>
          <w:sz w:val="23"/>
          <w:szCs w:val="23"/>
        </w:rPr>
        <w:t xml:space="preserve"> synchronization will help regions to strategically match BDT technical support according to their Regional Initiatives and specific local trends, while also maintaining alignment with the global vision and mission defined in the ITU Strategic Plan.</w:t>
      </w:r>
    </w:p>
    <w:p w14:paraId="1E82E96A" w14:textId="77777777" w:rsidR="006A0FA0" w:rsidRPr="009F275A" w:rsidRDefault="006A0FA0" w:rsidP="007C31A6">
      <w:pPr>
        <w:keepNext/>
        <w:spacing w:after="240" w:line="320" w:lineRule="atLeast"/>
        <w:jc w:val="both"/>
        <w:rPr>
          <w:rFonts w:asciiTheme="minorHAnsi" w:hAnsiTheme="minorHAnsi" w:cstheme="minorHAnsi"/>
          <w:b/>
          <w:bCs/>
          <w:sz w:val="23"/>
          <w:szCs w:val="23"/>
        </w:rPr>
      </w:pPr>
      <w:r w:rsidRPr="009F275A">
        <w:rPr>
          <w:rFonts w:asciiTheme="minorHAnsi" w:hAnsiTheme="minorHAnsi" w:cstheme="minorHAnsi"/>
          <w:b/>
          <w:bCs/>
          <w:sz w:val="23"/>
          <w:szCs w:val="23"/>
        </w:rPr>
        <w:lastRenderedPageBreak/>
        <w:t xml:space="preserve">Figure 2: Regional </w:t>
      </w:r>
      <w:proofErr w:type="spellStart"/>
      <w:r w:rsidRPr="009F275A">
        <w:rPr>
          <w:rFonts w:asciiTheme="minorHAnsi" w:hAnsiTheme="minorHAnsi" w:cstheme="minorHAnsi"/>
          <w:b/>
          <w:bCs/>
          <w:sz w:val="23"/>
          <w:szCs w:val="23"/>
        </w:rPr>
        <w:t>ToC</w:t>
      </w:r>
      <w:proofErr w:type="spellEnd"/>
      <w:r w:rsidRPr="009F275A">
        <w:rPr>
          <w:rFonts w:asciiTheme="minorHAnsi" w:hAnsiTheme="minorHAnsi" w:cstheme="minorHAnsi"/>
          <w:b/>
          <w:bCs/>
          <w:sz w:val="23"/>
          <w:szCs w:val="23"/>
        </w:rPr>
        <w:t xml:space="preserve"> synchronization with global vision and mandate</w:t>
      </w:r>
    </w:p>
    <w:p w14:paraId="1F415A75"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noProof/>
          <w:sz w:val="23"/>
          <w:szCs w:val="23"/>
        </w:rPr>
        <w:drawing>
          <wp:inline distT="0" distB="0" distL="0" distR="0" wp14:anchorId="62418306" wp14:editId="064C68DB">
            <wp:extent cx="5941060" cy="2261187"/>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0673" cy="2272458"/>
                    </a:xfrm>
                    <a:prstGeom prst="rect">
                      <a:avLst/>
                    </a:prstGeom>
                    <a:noFill/>
                  </pic:spPr>
                </pic:pic>
              </a:graphicData>
            </a:graphic>
          </wp:inline>
        </w:drawing>
      </w:r>
    </w:p>
    <w:p w14:paraId="6221A2CF" w14:textId="77777777" w:rsidR="006A0FA0" w:rsidRPr="009F275A" w:rsidRDefault="006A0FA0" w:rsidP="00B15F1B">
      <w:pPr>
        <w:spacing w:before="600" w:after="120" w:line="320" w:lineRule="atLeast"/>
        <w:jc w:val="both"/>
        <w:rPr>
          <w:rFonts w:asciiTheme="minorHAnsi" w:hAnsiTheme="minorHAnsi" w:cstheme="minorHAnsi"/>
          <w:b/>
          <w:bCs/>
          <w:spacing w:val="-4"/>
          <w:sz w:val="23"/>
          <w:szCs w:val="23"/>
        </w:rPr>
      </w:pPr>
      <w:r w:rsidRPr="009F275A">
        <w:rPr>
          <w:rFonts w:asciiTheme="minorHAnsi" w:hAnsiTheme="minorHAnsi" w:cstheme="minorHAnsi"/>
          <w:b/>
          <w:bCs/>
          <w:sz w:val="23"/>
          <w:szCs w:val="23"/>
          <w:u w:val="single"/>
        </w:rPr>
        <w:t>Opportunities in context of UN processes</w:t>
      </w:r>
      <w:r w:rsidRPr="009F275A">
        <w:rPr>
          <w:rFonts w:asciiTheme="minorHAnsi" w:hAnsiTheme="minorHAnsi" w:cstheme="minorHAnsi"/>
          <w:b/>
          <w:bCs/>
          <w:spacing w:val="-4"/>
          <w:sz w:val="23"/>
          <w:szCs w:val="23"/>
        </w:rPr>
        <w:t xml:space="preserve"> </w:t>
      </w:r>
    </w:p>
    <w:p w14:paraId="3F6FD7AF" w14:textId="77777777" w:rsidR="006A0FA0" w:rsidRPr="009F275A" w:rsidRDefault="006A0FA0" w:rsidP="00B15F1B">
      <w:pPr>
        <w:spacing w:before="240" w:after="120" w:line="320" w:lineRule="atLeast"/>
        <w:jc w:val="both"/>
        <w:rPr>
          <w:rFonts w:asciiTheme="minorHAnsi" w:hAnsiTheme="minorHAnsi" w:cstheme="minorHAnsi"/>
          <w:b/>
          <w:bCs/>
          <w:color w:val="1F497D" w:themeColor="text2"/>
          <w:spacing w:val="-4"/>
          <w:sz w:val="23"/>
          <w:szCs w:val="23"/>
        </w:rPr>
      </w:pPr>
      <w:r w:rsidRPr="009F275A">
        <w:rPr>
          <w:rFonts w:asciiTheme="minorHAnsi" w:hAnsiTheme="minorHAnsi" w:cstheme="minorHAnsi"/>
          <w:b/>
          <w:bCs/>
          <w:color w:val="1F497D" w:themeColor="text2"/>
          <w:spacing w:val="-4"/>
          <w:sz w:val="23"/>
          <w:szCs w:val="23"/>
        </w:rPr>
        <w:t xml:space="preserve">Switzerland: It is Switzerland’s view that collaboration within the multilateral system and the reform of the UN Development system (UNDS) offers opportunities for increased impact, </w:t>
      </w:r>
      <w:proofErr w:type="gramStart"/>
      <w:r w:rsidRPr="009F275A">
        <w:rPr>
          <w:rFonts w:asciiTheme="minorHAnsi" w:hAnsiTheme="minorHAnsi" w:cstheme="minorHAnsi"/>
          <w:b/>
          <w:bCs/>
          <w:color w:val="1F497D" w:themeColor="text2"/>
          <w:spacing w:val="-4"/>
          <w:sz w:val="23"/>
          <w:szCs w:val="23"/>
        </w:rPr>
        <w:t>effectiveness</w:t>
      </w:r>
      <w:proofErr w:type="gramEnd"/>
      <w:r w:rsidRPr="009F275A">
        <w:rPr>
          <w:rFonts w:asciiTheme="minorHAnsi" w:hAnsiTheme="minorHAnsi" w:cstheme="minorHAnsi"/>
          <w:b/>
          <w:bCs/>
          <w:color w:val="1F497D" w:themeColor="text2"/>
          <w:spacing w:val="-4"/>
          <w:sz w:val="23"/>
          <w:szCs w:val="23"/>
        </w:rPr>
        <w:t xml:space="preserve"> and efficiency. Switzerland would welcome the Secretariat’s views on potential avenues for collaboration as well as opportunities the Secretariat sees in the current UNDS reform for the ITU’s mandate delivery in the regions.</w:t>
      </w:r>
    </w:p>
    <w:p w14:paraId="40B23169" w14:textId="77777777" w:rsidR="006A0FA0" w:rsidRPr="007C31A6" w:rsidRDefault="006A0FA0" w:rsidP="00B15F1B">
      <w:pPr>
        <w:spacing w:before="240" w:after="120" w:line="320" w:lineRule="atLeast"/>
        <w:jc w:val="both"/>
        <w:rPr>
          <w:rFonts w:asciiTheme="minorHAnsi" w:hAnsiTheme="minorHAnsi" w:cstheme="minorHAnsi"/>
          <w:spacing w:val="-4"/>
          <w:sz w:val="23"/>
          <w:szCs w:val="23"/>
        </w:rPr>
      </w:pPr>
      <w:r w:rsidRPr="007C31A6">
        <w:rPr>
          <w:rFonts w:asciiTheme="minorHAnsi" w:hAnsiTheme="minorHAnsi" w:cstheme="minorHAnsi"/>
          <w:spacing w:val="-4"/>
          <w:sz w:val="23"/>
          <w:szCs w:val="23"/>
        </w:rPr>
        <w:t xml:space="preserve">ITU, through the BDT, has already embarked upon enhanced engagement with the UN Development System. </w:t>
      </w:r>
    </w:p>
    <w:p w14:paraId="0F1E6503"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 xml:space="preserve">ITU has developed a phased approach to engagement with UNDCO in which ITU has identified and agreed with UNDCO the ITU offerings by region, shared a joint commitment (between ITU and UNDCO) with all RCs globally, and agreed on a list of focal countries for initial engagement. Awareness of ITU’s work is being raised through webinars with RCs in each region, and we have already begun our engagement through CCAs and Country Frameworks in many of the focal countries. </w:t>
      </w:r>
    </w:p>
    <w:p w14:paraId="1C15CBBB"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 xml:space="preserve">We have also engaged in the UNSG’s Digital Cooperation </w:t>
      </w:r>
      <w:proofErr w:type="gramStart"/>
      <w:r w:rsidRPr="009F275A">
        <w:rPr>
          <w:rFonts w:asciiTheme="minorHAnsi" w:hAnsiTheme="minorHAnsi" w:cstheme="minorHAnsi"/>
          <w:sz w:val="23"/>
          <w:szCs w:val="23"/>
        </w:rPr>
        <w:t>Roadmap</w:t>
      </w:r>
      <w:proofErr w:type="gramEnd"/>
      <w:r w:rsidRPr="009F275A">
        <w:rPr>
          <w:rFonts w:asciiTheme="minorHAnsi" w:hAnsiTheme="minorHAnsi" w:cstheme="minorHAnsi"/>
          <w:sz w:val="23"/>
          <w:szCs w:val="23"/>
        </w:rPr>
        <w:t xml:space="preserve"> and we are actively involved in the Roadmap Response Team. Currently BDT is working, through our statistics department to assist the UN in defining the KPIs which will underpin the achievement and measurement of the </w:t>
      </w:r>
      <w:proofErr w:type="gramStart"/>
      <w:r w:rsidRPr="009F275A">
        <w:rPr>
          <w:rFonts w:asciiTheme="minorHAnsi" w:hAnsiTheme="minorHAnsi" w:cstheme="minorHAnsi"/>
          <w:sz w:val="23"/>
          <w:szCs w:val="23"/>
        </w:rPr>
        <w:t>Roadmap’s</w:t>
      </w:r>
      <w:proofErr w:type="gramEnd"/>
      <w:r w:rsidRPr="009F275A">
        <w:rPr>
          <w:rFonts w:asciiTheme="minorHAnsi" w:hAnsiTheme="minorHAnsi" w:cstheme="minorHAnsi"/>
          <w:sz w:val="23"/>
          <w:szCs w:val="23"/>
        </w:rPr>
        <w:t xml:space="preserve"> targets, and ITU leads two of the focus areas for the roadmap in implementation efforts with UNDCO.</w:t>
      </w:r>
    </w:p>
    <w:p w14:paraId="0B357BC9"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ITU engages on an increasing basis in the various UN level assessments, including the Quadrennial review, but perhaps more importantly, BDT has increasingly begun to use the findings of these reviews as criteria for improved performance through internal monitoring and evaluation.</w:t>
      </w:r>
    </w:p>
    <w:p w14:paraId="1DDA8000"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Finally, the BDT Liaison Office was established in the ITU’s office in New York from 1 May 2021, which will provide an additional layer of coordination and engagement with the UN and significantly strengthen our ability to participate fully in the UNDS globally and will fully connect the web of our regional offices, with the UN system. This office has been specifically focussed on engagement within LDCs, LLDCs, and SIDS, so will also enhance ITU’s effectiveness in providing support to those countries most in need, through better engagement with the UN system.</w:t>
      </w:r>
    </w:p>
    <w:p w14:paraId="626D3965" w14:textId="77777777" w:rsidR="006A0FA0" w:rsidRPr="009F275A" w:rsidRDefault="006A0FA0" w:rsidP="009F275A">
      <w:pPr>
        <w:spacing w:after="120" w:line="320" w:lineRule="atLeast"/>
        <w:jc w:val="both"/>
        <w:rPr>
          <w:rFonts w:asciiTheme="minorHAnsi" w:hAnsiTheme="minorHAnsi" w:cstheme="minorHAnsi"/>
          <w:b/>
          <w:bCs/>
          <w:sz w:val="23"/>
          <w:szCs w:val="23"/>
        </w:rPr>
      </w:pPr>
      <w:r w:rsidRPr="009F275A">
        <w:rPr>
          <w:rFonts w:asciiTheme="minorHAnsi" w:hAnsiTheme="minorHAnsi" w:cstheme="minorHAnsi"/>
          <w:b/>
          <w:bCs/>
          <w:sz w:val="23"/>
          <w:szCs w:val="23"/>
          <w:u w:val="single"/>
        </w:rPr>
        <w:lastRenderedPageBreak/>
        <w:t>Coordination, Coherence and Oversight</w:t>
      </w:r>
      <w:r w:rsidRPr="009F275A">
        <w:rPr>
          <w:rFonts w:asciiTheme="minorHAnsi" w:hAnsiTheme="minorHAnsi" w:cstheme="minorHAnsi"/>
          <w:b/>
          <w:bCs/>
          <w:sz w:val="23"/>
          <w:szCs w:val="23"/>
        </w:rPr>
        <w:t xml:space="preserve">: </w:t>
      </w:r>
    </w:p>
    <w:p w14:paraId="133FB6C7" w14:textId="77777777" w:rsidR="006A0FA0" w:rsidRPr="009F275A" w:rsidRDefault="006A0FA0" w:rsidP="00B15F1B">
      <w:pPr>
        <w:spacing w:before="240" w:after="120" w:line="320" w:lineRule="atLeast"/>
        <w:jc w:val="both"/>
        <w:rPr>
          <w:rFonts w:asciiTheme="minorHAnsi" w:hAnsiTheme="minorHAnsi" w:cstheme="minorHAnsi"/>
          <w:b/>
          <w:bCs/>
          <w:color w:val="1F497D" w:themeColor="text2"/>
          <w:sz w:val="23"/>
          <w:szCs w:val="23"/>
        </w:rPr>
      </w:pPr>
      <w:r w:rsidRPr="009F275A">
        <w:rPr>
          <w:rFonts w:asciiTheme="minorHAnsi" w:hAnsiTheme="minorHAnsi" w:cstheme="minorHAnsi"/>
          <w:b/>
          <w:bCs/>
          <w:color w:val="1F497D" w:themeColor="text2"/>
          <w:sz w:val="23"/>
          <w:szCs w:val="23"/>
        </w:rPr>
        <w:t xml:space="preserve">Switzerland: While it does not seem advisable to redeploy TSB and BR staff to regional offices, Switzerland is of the view that </w:t>
      </w:r>
      <w:r w:rsidRPr="009F275A">
        <w:rPr>
          <w:rFonts w:asciiTheme="minorHAnsi" w:hAnsiTheme="minorHAnsi" w:cstheme="minorHAnsi"/>
          <w:b/>
          <w:bCs/>
          <w:color w:val="1F497D" w:themeColor="text2"/>
          <w:spacing w:val="-4"/>
          <w:sz w:val="23"/>
          <w:szCs w:val="23"/>
        </w:rPr>
        <w:t>it is important that field offices can benefit as much as possible from the specific technical expertise at headquarters. Direct contact and communication between staff at regional offices and headquarters should be supported best possibly. A small coordination team could support mandate delivery also in the long-term.</w:t>
      </w:r>
    </w:p>
    <w:p w14:paraId="0E53B707" w14:textId="77777777" w:rsidR="006A0FA0" w:rsidRPr="009F275A" w:rsidRDefault="006A0FA0" w:rsidP="00B15F1B">
      <w:pPr>
        <w:spacing w:before="240"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 xml:space="preserve">The issue of more effective collaboration with the BR and TSB within the regional presence is one part of the ongoing efforts to coordinate between the Bureaux across ITU. The suggestions made in the PWC report are noted in this regard and the Secretariat continues to review these options. </w:t>
      </w:r>
    </w:p>
    <w:p w14:paraId="3CA14D01" w14:textId="77777777" w:rsidR="006A0FA0" w:rsidRPr="009F275A" w:rsidRDefault="006A0FA0" w:rsidP="009F275A">
      <w:pPr>
        <w:spacing w:after="120" w:line="320" w:lineRule="atLeast"/>
        <w:jc w:val="both"/>
        <w:rPr>
          <w:rFonts w:asciiTheme="minorHAnsi" w:hAnsiTheme="minorHAnsi" w:cstheme="minorHAnsi"/>
          <w:spacing w:val="-4"/>
          <w:sz w:val="23"/>
          <w:szCs w:val="23"/>
        </w:rPr>
      </w:pPr>
      <w:r w:rsidRPr="009F275A">
        <w:rPr>
          <w:rFonts w:asciiTheme="minorHAnsi" w:hAnsiTheme="minorHAnsi" w:cstheme="minorHAnsi"/>
          <w:spacing w:val="-4"/>
          <w:sz w:val="23"/>
          <w:szCs w:val="23"/>
        </w:rPr>
        <w:t xml:space="preserve">The Secretariat notes the comments submitted by Switzerland on the implementation of a One ITU approach to the regional presence. It is noted that the PwC recommendations (1.1-1.3) propose a significant increase in the presence of BR and TSB in regional and area offices, including proposals for the reassignment of members of staff from BR and TSB (a total of 8 staff) to regional offices. The Secretariat has reviewed this proposal, and the BR and TSB consider that the approach would not be practical. There are concerns that it would detract from the highly specialized technical nature of the work and staff of the BR and TSB and would (particularly over-time) result in reducing the effectiveness and added technical value of such assignments to the regions. </w:t>
      </w:r>
    </w:p>
    <w:p w14:paraId="1313E174" w14:textId="77777777" w:rsidR="006A0FA0" w:rsidRPr="009F275A" w:rsidRDefault="006A0FA0" w:rsidP="009F275A">
      <w:pPr>
        <w:spacing w:after="120" w:line="320" w:lineRule="atLeast"/>
        <w:jc w:val="both"/>
        <w:rPr>
          <w:rFonts w:asciiTheme="minorHAnsi" w:hAnsiTheme="minorHAnsi" w:cstheme="minorHAnsi"/>
          <w:spacing w:val="-4"/>
          <w:sz w:val="23"/>
          <w:szCs w:val="23"/>
        </w:rPr>
      </w:pPr>
      <w:r w:rsidRPr="009F275A">
        <w:rPr>
          <w:rFonts w:asciiTheme="minorHAnsi" w:hAnsiTheme="minorHAnsi" w:cstheme="minorHAnsi"/>
          <w:spacing w:val="-4"/>
          <w:sz w:val="23"/>
          <w:szCs w:val="23"/>
        </w:rPr>
        <w:t>The Secretariat considers the form of arrangement proposed by Switzerland of a coordination team being responsible for optimal provision of BR and TSB support to regional offices, may be an appropriate way forward. It is noted that this would essentially be an enhancement of the current methods of working which comprises regular coordination between BDT regional staff, and BR and TSB, and which has been improved over the last year. The Secretariat proposes to develop this concept and fully implement it over the next 12 months, as reflected in the workplan submitted to the Ad Hoc Group.</w:t>
      </w:r>
    </w:p>
    <w:p w14:paraId="7CBCDA8E" w14:textId="77777777" w:rsidR="006A0FA0" w:rsidRPr="009F275A" w:rsidRDefault="006A0FA0" w:rsidP="009F275A">
      <w:pPr>
        <w:spacing w:after="120" w:line="320" w:lineRule="atLeast"/>
        <w:jc w:val="both"/>
        <w:rPr>
          <w:rFonts w:asciiTheme="minorHAnsi" w:hAnsiTheme="minorHAnsi" w:cstheme="minorHAnsi"/>
          <w:spacing w:val="-4"/>
          <w:sz w:val="23"/>
          <w:szCs w:val="23"/>
        </w:rPr>
      </w:pPr>
      <w:r w:rsidRPr="009F275A">
        <w:rPr>
          <w:rFonts w:asciiTheme="minorHAnsi" w:hAnsiTheme="minorHAnsi" w:cstheme="minorHAnsi"/>
          <w:spacing w:val="-4"/>
          <w:sz w:val="23"/>
          <w:szCs w:val="23"/>
        </w:rPr>
        <w:t>The Secretariat will consider the following issues in determining the optimal way to implement improvements in this critical area:</w:t>
      </w:r>
    </w:p>
    <w:p w14:paraId="74197B5C" w14:textId="77777777" w:rsidR="006A0FA0" w:rsidRPr="009F275A" w:rsidRDefault="006A0FA0" w:rsidP="009F275A">
      <w:pPr>
        <w:pStyle w:val="ListParagraph"/>
        <w:numPr>
          <w:ilvl w:val="0"/>
          <w:numId w:val="17"/>
        </w:numPr>
        <w:spacing w:before="120" w:after="120" w:line="320" w:lineRule="atLeast"/>
        <w:ind w:left="567" w:hanging="283"/>
        <w:jc w:val="both"/>
        <w:rPr>
          <w:rFonts w:asciiTheme="minorHAnsi" w:hAnsiTheme="minorHAnsi" w:cstheme="minorHAnsi"/>
          <w:sz w:val="23"/>
          <w:szCs w:val="23"/>
        </w:rPr>
      </w:pPr>
      <w:r w:rsidRPr="009F275A">
        <w:rPr>
          <w:rFonts w:asciiTheme="minorHAnsi" w:hAnsiTheme="minorHAnsi" w:cstheme="minorHAnsi"/>
          <w:spacing w:val="-4"/>
          <w:sz w:val="23"/>
          <w:szCs w:val="23"/>
        </w:rPr>
        <w:t xml:space="preserve">Convening of a coordinating committee, with clear Terms of Reference, an appropriate periodic meeting schedule, and effective electronic monitoring and evaluation </w:t>
      </w:r>
      <w:proofErr w:type="gramStart"/>
      <w:r w:rsidRPr="009F275A">
        <w:rPr>
          <w:rFonts w:asciiTheme="minorHAnsi" w:hAnsiTheme="minorHAnsi" w:cstheme="minorHAnsi"/>
          <w:spacing w:val="-4"/>
          <w:sz w:val="23"/>
          <w:szCs w:val="23"/>
        </w:rPr>
        <w:t>methods;</w:t>
      </w:r>
      <w:proofErr w:type="gramEnd"/>
    </w:p>
    <w:p w14:paraId="109E6958" w14:textId="77777777" w:rsidR="006A0FA0" w:rsidRPr="009F275A" w:rsidRDefault="006A0FA0" w:rsidP="009F275A">
      <w:pPr>
        <w:pStyle w:val="ListParagraph"/>
        <w:numPr>
          <w:ilvl w:val="0"/>
          <w:numId w:val="17"/>
        </w:numPr>
        <w:spacing w:before="120" w:after="120" w:line="320" w:lineRule="atLeast"/>
        <w:ind w:left="567" w:hanging="283"/>
        <w:jc w:val="both"/>
        <w:rPr>
          <w:rFonts w:asciiTheme="minorHAnsi" w:hAnsiTheme="minorHAnsi" w:cstheme="minorHAnsi"/>
          <w:sz w:val="23"/>
          <w:szCs w:val="23"/>
        </w:rPr>
      </w:pPr>
      <w:r w:rsidRPr="009F275A">
        <w:rPr>
          <w:rFonts w:asciiTheme="minorHAnsi" w:hAnsiTheme="minorHAnsi" w:cstheme="minorHAnsi"/>
          <w:spacing w:val="-4"/>
          <w:sz w:val="23"/>
          <w:szCs w:val="23"/>
        </w:rPr>
        <w:t xml:space="preserve">Ensuring engagement by Regional and Area Offices with member states on needs for assistance on matters pertaining to BR, TSB and the General </w:t>
      </w:r>
      <w:proofErr w:type="gramStart"/>
      <w:r w:rsidRPr="009F275A">
        <w:rPr>
          <w:rFonts w:asciiTheme="minorHAnsi" w:hAnsiTheme="minorHAnsi" w:cstheme="minorHAnsi"/>
          <w:spacing w:val="-4"/>
          <w:sz w:val="23"/>
          <w:szCs w:val="23"/>
        </w:rPr>
        <w:t>Secretariat;</w:t>
      </w:r>
      <w:proofErr w:type="gramEnd"/>
    </w:p>
    <w:p w14:paraId="283BFE42" w14:textId="77777777" w:rsidR="006A0FA0" w:rsidRPr="009F275A" w:rsidRDefault="006A0FA0" w:rsidP="009F275A">
      <w:pPr>
        <w:pStyle w:val="ListParagraph"/>
        <w:numPr>
          <w:ilvl w:val="0"/>
          <w:numId w:val="17"/>
        </w:numPr>
        <w:spacing w:before="120" w:after="120" w:line="320" w:lineRule="atLeast"/>
        <w:ind w:left="567" w:hanging="283"/>
        <w:jc w:val="both"/>
        <w:rPr>
          <w:rFonts w:asciiTheme="minorHAnsi" w:hAnsiTheme="minorHAnsi" w:cstheme="minorHAnsi"/>
          <w:sz w:val="23"/>
          <w:szCs w:val="23"/>
        </w:rPr>
      </w:pPr>
      <w:r w:rsidRPr="009F275A">
        <w:rPr>
          <w:rFonts w:asciiTheme="minorHAnsi" w:hAnsiTheme="minorHAnsi" w:cstheme="minorHAnsi"/>
          <w:spacing w:val="-4"/>
          <w:sz w:val="23"/>
          <w:szCs w:val="23"/>
        </w:rPr>
        <w:t xml:space="preserve">Providing a clear framework for provision of assistance from all </w:t>
      </w:r>
      <w:proofErr w:type="spellStart"/>
      <w:r w:rsidRPr="009F275A">
        <w:rPr>
          <w:rFonts w:asciiTheme="minorHAnsi" w:hAnsiTheme="minorHAnsi" w:cstheme="minorHAnsi"/>
          <w:spacing w:val="-4"/>
          <w:sz w:val="23"/>
          <w:szCs w:val="23"/>
        </w:rPr>
        <w:t>Bureaux</w:t>
      </w:r>
      <w:proofErr w:type="spellEnd"/>
      <w:r w:rsidRPr="009F275A">
        <w:rPr>
          <w:rFonts w:asciiTheme="minorHAnsi" w:hAnsiTheme="minorHAnsi" w:cstheme="minorHAnsi"/>
          <w:spacing w:val="-4"/>
          <w:sz w:val="23"/>
          <w:szCs w:val="23"/>
        </w:rPr>
        <w:t xml:space="preserve"> and the General Secretariat to meet member needs.</w:t>
      </w:r>
    </w:p>
    <w:p w14:paraId="2095E0AD" w14:textId="77777777" w:rsidR="006A0FA0" w:rsidRPr="009F275A" w:rsidRDefault="006A0FA0" w:rsidP="009F275A">
      <w:pPr>
        <w:spacing w:after="120" w:line="320" w:lineRule="atLeast"/>
        <w:jc w:val="both"/>
        <w:rPr>
          <w:rFonts w:asciiTheme="minorHAnsi" w:hAnsiTheme="minorHAnsi" w:cstheme="minorHAnsi"/>
          <w:sz w:val="23"/>
          <w:szCs w:val="23"/>
        </w:rPr>
      </w:pPr>
      <w:r w:rsidRPr="009F275A">
        <w:rPr>
          <w:rFonts w:asciiTheme="minorHAnsi" w:hAnsiTheme="minorHAnsi" w:cstheme="minorHAnsi"/>
          <w:sz w:val="23"/>
          <w:szCs w:val="23"/>
        </w:rPr>
        <w:t>The Secretariat will continue to report on progress in this area, together with the other recommendations made by PWC.</w:t>
      </w:r>
    </w:p>
    <w:p w14:paraId="30D91741" w14:textId="77777777" w:rsidR="006A0FA0" w:rsidRPr="009F275A" w:rsidRDefault="006A0FA0" w:rsidP="00B15F1B">
      <w:pPr>
        <w:pStyle w:val="Heading1"/>
        <w:spacing w:before="120" w:after="120" w:line="320" w:lineRule="atLeast"/>
        <w:rPr>
          <w:rFonts w:asciiTheme="minorHAnsi" w:hAnsiTheme="minorHAnsi" w:cstheme="minorHAnsi"/>
          <w:sz w:val="23"/>
          <w:szCs w:val="23"/>
        </w:rPr>
      </w:pPr>
      <w:r w:rsidRPr="009F275A">
        <w:rPr>
          <w:rFonts w:asciiTheme="minorHAnsi" w:hAnsiTheme="minorHAnsi" w:cstheme="minorHAnsi"/>
          <w:sz w:val="23"/>
          <w:szCs w:val="23"/>
        </w:rPr>
        <w:lastRenderedPageBreak/>
        <w:t>2</w:t>
      </w:r>
      <w:r w:rsidRPr="009F275A">
        <w:rPr>
          <w:rFonts w:asciiTheme="minorHAnsi" w:hAnsiTheme="minorHAnsi" w:cstheme="minorHAnsi"/>
          <w:sz w:val="23"/>
          <w:szCs w:val="23"/>
        </w:rPr>
        <w:tab/>
        <w:t>Contribution by Australia</w:t>
      </w:r>
    </w:p>
    <w:p w14:paraId="135DDA41" w14:textId="77777777" w:rsidR="006A0FA0" w:rsidRPr="009F275A" w:rsidRDefault="006A0FA0" w:rsidP="00B15F1B">
      <w:pPr>
        <w:keepNext/>
        <w:keepLines/>
        <w:snapToGrid w:val="0"/>
        <w:spacing w:before="240" w:after="120" w:line="320" w:lineRule="atLeast"/>
        <w:jc w:val="both"/>
        <w:rPr>
          <w:rFonts w:asciiTheme="minorHAnsi" w:hAnsiTheme="minorHAnsi" w:cstheme="minorHAnsi"/>
          <w:b/>
          <w:bCs/>
          <w:color w:val="1F497D" w:themeColor="text2"/>
          <w:sz w:val="23"/>
          <w:szCs w:val="23"/>
        </w:rPr>
      </w:pPr>
      <w:r w:rsidRPr="009F275A">
        <w:rPr>
          <w:rFonts w:asciiTheme="minorHAnsi" w:hAnsiTheme="minorHAnsi" w:cstheme="minorHAnsi"/>
          <w:b/>
          <w:bCs/>
          <w:color w:val="1F497D" w:themeColor="text2"/>
          <w:sz w:val="23"/>
          <w:szCs w:val="23"/>
        </w:rPr>
        <w:t xml:space="preserve">In its contribution (document </w:t>
      </w:r>
      <w:hyperlink r:id="rId29" w:history="1">
        <w:r w:rsidRPr="009F275A">
          <w:rPr>
            <w:rStyle w:val="Hyperlink"/>
            <w:rFonts w:asciiTheme="minorHAnsi" w:eastAsia="Calibri" w:hAnsiTheme="minorHAnsi" w:cstheme="minorHAnsi"/>
            <w:b/>
            <w:bCs/>
            <w:color w:val="1F497D" w:themeColor="text2"/>
            <w:spacing w:val="-4"/>
            <w:sz w:val="23"/>
            <w:szCs w:val="23"/>
            <w:lang w:val="de-CH"/>
          </w:rPr>
          <w:t>CWG-FHR-AH-RegPres-2/4</w:t>
        </w:r>
      </w:hyperlink>
      <w:r w:rsidRPr="009F275A">
        <w:rPr>
          <w:rFonts w:asciiTheme="minorHAnsi" w:hAnsiTheme="minorHAnsi" w:cstheme="minorHAnsi"/>
          <w:b/>
          <w:bCs/>
          <w:color w:val="1F497D" w:themeColor="text2"/>
          <w:sz w:val="23"/>
          <w:szCs w:val="23"/>
        </w:rPr>
        <w:t>) Australia requested that the Secretariat outline its further reflections on how the regional presence can best support mandate delivery in a coherent and coordinated manner.</w:t>
      </w:r>
    </w:p>
    <w:p w14:paraId="128AA796" w14:textId="77777777" w:rsidR="006A0FA0" w:rsidRPr="009F275A" w:rsidRDefault="006A0FA0" w:rsidP="00B15F1B">
      <w:pPr>
        <w:keepNext/>
        <w:keepLines/>
        <w:snapToGrid w:val="0"/>
        <w:spacing w:before="240" w:after="120" w:line="320" w:lineRule="atLeast"/>
        <w:jc w:val="both"/>
        <w:rPr>
          <w:rFonts w:asciiTheme="minorHAnsi" w:hAnsiTheme="minorHAnsi" w:cstheme="minorHAnsi"/>
          <w:sz w:val="23"/>
          <w:szCs w:val="23"/>
          <w:lang w:val="en-AU"/>
        </w:rPr>
      </w:pPr>
      <w:r w:rsidRPr="009F275A">
        <w:rPr>
          <w:rFonts w:asciiTheme="minorHAnsi" w:hAnsiTheme="minorHAnsi" w:cstheme="minorHAnsi"/>
          <w:sz w:val="23"/>
          <w:szCs w:val="23"/>
          <w:lang w:val="en-AU"/>
        </w:rPr>
        <w:t xml:space="preserve">The Secretariat considers that the PWC report provides valuable insights on methods for improving mandate delivery by the ITU regional presence and considers that the significant extent to which the recommendations made by PWC had already been commenced by the Secretariat, underscores the Secretariat’s effective positioning to assess and improve delivery of ITU’s mandate. The Secretariat repeats the points made above in the context of the questions from Switzerland and notes that the overall approach by the Ad Hoc Group, to establish the core strategic principles against which implementation should be taken, and to have the Secretariat embark on a process of implementation of the PWC recommendations with frequent reporting to council for advice and review, is perhaps most effective. In that framework, the Secretariat would address implementation of each PWC recommendation considering the relevant strategic criteria based on current and relevant information. </w:t>
      </w:r>
    </w:p>
    <w:p w14:paraId="6C4BF344" w14:textId="77777777" w:rsidR="006A0FA0" w:rsidRPr="009F275A" w:rsidRDefault="006A0FA0" w:rsidP="009F275A">
      <w:pPr>
        <w:snapToGrid w:val="0"/>
        <w:spacing w:after="120" w:line="320" w:lineRule="atLeast"/>
        <w:jc w:val="both"/>
        <w:rPr>
          <w:rFonts w:asciiTheme="minorHAnsi" w:hAnsiTheme="minorHAnsi" w:cstheme="minorHAnsi"/>
          <w:sz w:val="23"/>
          <w:szCs w:val="23"/>
          <w:lang w:val="en-AU"/>
        </w:rPr>
      </w:pPr>
      <w:r w:rsidRPr="009F275A">
        <w:rPr>
          <w:rFonts w:asciiTheme="minorHAnsi" w:hAnsiTheme="minorHAnsi" w:cstheme="minorHAnsi"/>
          <w:sz w:val="23"/>
          <w:szCs w:val="23"/>
          <w:lang w:val="en-AU"/>
        </w:rPr>
        <w:t>In this regard, the Secretariat notes that where necessary recommendations could be presented for Council and member state consideration on a case-by-case basis where they are outside the Secretariat’s competency or mandate. This would apply, as currently, to matters such as the opening or closure of offices and significant changes in structure or operation of offices.</w:t>
      </w:r>
    </w:p>
    <w:p w14:paraId="38C0665F" w14:textId="77777777" w:rsidR="006A0FA0" w:rsidRPr="009F275A" w:rsidRDefault="006A0FA0" w:rsidP="009F275A">
      <w:pPr>
        <w:snapToGrid w:val="0"/>
        <w:spacing w:after="120" w:line="320" w:lineRule="atLeast"/>
        <w:jc w:val="both"/>
        <w:rPr>
          <w:rFonts w:asciiTheme="minorHAnsi" w:hAnsiTheme="minorHAnsi" w:cstheme="minorHAnsi"/>
          <w:sz w:val="23"/>
          <w:szCs w:val="23"/>
          <w:lang w:val="en-AU"/>
        </w:rPr>
      </w:pPr>
      <w:r w:rsidRPr="009F275A">
        <w:rPr>
          <w:rFonts w:asciiTheme="minorHAnsi" w:hAnsiTheme="minorHAnsi" w:cstheme="minorHAnsi"/>
          <w:sz w:val="23"/>
          <w:szCs w:val="23"/>
          <w:lang w:val="en-AU"/>
        </w:rPr>
        <w:t>The implementation plan being developed by the Secretariat (see Annex 2 of the Report of the Ad Hoc Group) provides a clear framework for oversight for Council regarding the recommendations and the efforts to strengthen the regional presence.</w:t>
      </w:r>
    </w:p>
    <w:p w14:paraId="48242F4A" w14:textId="77777777" w:rsidR="006A0FA0" w:rsidRDefault="006A0FA0" w:rsidP="009F275A">
      <w:pPr>
        <w:spacing w:after="120" w:line="320" w:lineRule="atLeast"/>
        <w:rPr>
          <w:lang w:val="en-AU"/>
        </w:rPr>
      </w:pPr>
    </w:p>
    <w:bookmarkEnd w:id="10"/>
    <w:p w14:paraId="6E59ED92" w14:textId="77777777" w:rsidR="006A0FA0" w:rsidRDefault="006A0FA0" w:rsidP="006A0FA0">
      <w:pPr>
        <w:rPr>
          <w:rFonts w:asciiTheme="minorHAnsi" w:hAnsiTheme="minorHAnsi" w:cstheme="minorHAnsi"/>
          <w:color w:val="000000" w:themeColor="text1"/>
          <w:sz w:val="28"/>
          <w:szCs w:val="28"/>
        </w:rPr>
        <w:sectPr w:rsidR="006A0FA0" w:rsidSect="00501AD8">
          <w:headerReference w:type="default" r:id="rId30"/>
          <w:footerReference w:type="first" r:id="rId31"/>
          <w:pgSz w:w="11906" w:h="16838" w:code="9"/>
          <w:pgMar w:top="1418" w:right="1134" w:bottom="1418" w:left="1134" w:header="289" w:footer="289" w:gutter="0"/>
          <w:cols w:space="708"/>
          <w:titlePg/>
          <w:docGrid w:linePitch="360"/>
        </w:sectPr>
      </w:pPr>
    </w:p>
    <w:p w14:paraId="0AFBFEF7" w14:textId="77777777" w:rsidR="006A0FA0" w:rsidRDefault="006A0FA0" w:rsidP="00501AD8">
      <w:pPr>
        <w:spacing w:after="120"/>
        <w:jc w:val="cente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lastRenderedPageBreak/>
        <w:t>ANNEX 2</w:t>
      </w:r>
    </w:p>
    <w:p w14:paraId="0B079C69" w14:textId="77777777" w:rsidR="006A0FA0" w:rsidRPr="00D72A88" w:rsidRDefault="006A0FA0" w:rsidP="00B15F1B">
      <w:pPr>
        <w:spacing w:before="480" w:after="120"/>
        <w:jc w:val="center"/>
        <w:rPr>
          <w:rFonts w:cs="Calibri"/>
          <w:color w:val="000000" w:themeColor="text1"/>
          <w:sz w:val="28"/>
          <w:szCs w:val="28"/>
        </w:rPr>
      </w:pPr>
      <w:r w:rsidRPr="00D72A88">
        <w:rPr>
          <w:rFonts w:cs="Calibri"/>
          <w:sz w:val="28"/>
          <w:szCs w:val="28"/>
        </w:rPr>
        <w:t>UPDATE ON STATUS OF PWC RECOMMENDATIONS</w:t>
      </w:r>
    </w:p>
    <w:p w14:paraId="3E081F5E" w14:textId="77777777" w:rsidR="006A0FA0" w:rsidRPr="00B15F1B" w:rsidRDefault="006A0FA0" w:rsidP="00B15F1B">
      <w:pPr>
        <w:pStyle w:val="Heading1"/>
        <w:spacing w:after="120"/>
        <w:rPr>
          <w:rFonts w:asciiTheme="minorHAnsi" w:hAnsiTheme="minorHAnsi" w:cstheme="minorHAnsi"/>
          <w:b w:val="0"/>
          <w:bCs/>
          <w:sz w:val="24"/>
          <w:szCs w:val="24"/>
        </w:rPr>
      </w:pPr>
      <w:r w:rsidRPr="00B15F1B">
        <w:rPr>
          <w:rFonts w:asciiTheme="minorHAnsi" w:hAnsiTheme="minorHAnsi" w:cstheme="minorHAnsi"/>
          <w:bCs/>
          <w:sz w:val="24"/>
          <w:szCs w:val="24"/>
        </w:rPr>
        <w:t>1</w:t>
      </w:r>
      <w:r w:rsidRPr="00B15F1B">
        <w:rPr>
          <w:rFonts w:asciiTheme="minorHAnsi" w:hAnsiTheme="minorHAnsi" w:cstheme="minorHAnsi"/>
          <w:bCs/>
          <w:sz w:val="24"/>
          <w:szCs w:val="24"/>
        </w:rPr>
        <w:tab/>
        <w:t>Introduction</w:t>
      </w:r>
    </w:p>
    <w:p w14:paraId="58A83978" w14:textId="77777777" w:rsidR="006A0FA0" w:rsidRPr="00B15F1B" w:rsidRDefault="006A0FA0" w:rsidP="00501AD8">
      <w:pPr>
        <w:spacing w:after="120"/>
        <w:jc w:val="both"/>
        <w:rPr>
          <w:rFonts w:asciiTheme="minorHAnsi" w:hAnsiTheme="minorHAnsi" w:cstheme="minorHAnsi"/>
          <w:b/>
          <w:bCs/>
          <w:szCs w:val="24"/>
        </w:rPr>
      </w:pPr>
      <w:r w:rsidRPr="00B15F1B">
        <w:rPr>
          <w:rFonts w:asciiTheme="minorHAnsi" w:hAnsiTheme="minorHAnsi" w:cstheme="minorHAnsi"/>
          <w:szCs w:val="24"/>
        </w:rPr>
        <w:t xml:space="preserve">This document sets out the update on the status of the implementation of the recommended improvements and enhancements proposed by PWC, by the Secretariat. </w:t>
      </w:r>
      <w:r w:rsidRPr="00B15F1B">
        <w:rPr>
          <w:rFonts w:asciiTheme="minorHAnsi" w:hAnsiTheme="minorHAnsi" w:cstheme="minorHAnsi"/>
          <w:color w:val="000000"/>
          <w:szCs w:val="24"/>
          <w:lang w:eastAsia="fr-CH"/>
        </w:rPr>
        <w:t>PwC recommended an action plan for the strengthening of ITU’s Regional Presence with four implementation streams, broken down into fifteen recommendations and 50 supporting actions.</w:t>
      </w:r>
      <w:r w:rsidRPr="00B15F1B">
        <w:rPr>
          <w:rFonts w:asciiTheme="minorHAnsi" w:hAnsiTheme="minorHAnsi" w:cstheme="minorHAnsi"/>
          <w:b/>
          <w:bCs/>
          <w:szCs w:val="24"/>
        </w:rPr>
        <w:t xml:space="preserve"> </w:t>
      </w:r>
    </w:p>
    <w:p w14:paraId="5E15B620" w14:textId="77777777" w:rsidR="006A0FA0" w:rsidRPr="00B15F1B" w:rsidRDefault="006A0FA0" w:rsidP="00501AD8">
      <w:pPr>
        <w:spacing w:after="120"/>
        <w:jc w:val="both"/>
        <w:rPr>
          <w:rFonts w:asciiTheme="minorHAnsi" w:hAnsiTheme="minorHAnsi" w:cstheme="minorHAnsi"/>
          <w:szCs w:val="24"/>
        </w:rPr>
      </w:pPr>
      <w:r w:rsidRPr="00B15F1B">
        <w:rPr>
          <w:rFonts w:asciiTheme="minorHAnsi" w:hAnsiTheme="minorHAnsi" w:cstheme="minorHAnsi"/>
          <w:szCs w:val="24"/>
        </w:rPr>
        <w:t xml:space="preserve">It should be noted that many of the recommendations have already been implemented or are in the progress of being implemented by the BDT and ITU in pursuit of other efforts at improving ITU’s effectiveness, or addressing recommendations made by previous assessments of ITU, including Audit recommendations, IMAC recommendations or Council decisions. </w:t>
      </w:r>
    </w:p>
    <w:p w14:paraId="3FFC5791" w14:textId="77777777" w:rsidR="006A0FA0" w:rsidRPr="00B15F1B" w:rsidRDefault="006A0FA0" w:rsidP="00B15F1B">
      <w:pPr>
        <w:spacing w:before="360" w:after="120"/>
        <w:jc w:val="both"/>
        <w:rPr>
          <w:rFonts w:asciiTheme="minorHAnsi" w:hAnsiTheme="minorHAnsi" w:cstheme="minorHAnsi"/>
          <w:b/>
          <w:bCs/>
          <w:szCs w:val="24"/>
        </w:rPr>
      </w:pPr>
      <w:r w:rsidRPr="00B15F1B">
        <w:rPr>
          <w:rFonts w:asciiTheme="minorHAnsi" w:hAnsiTheme="minorHAnsi" w:cstheme="minorHAnsi"/>
          <w:b/>
          <w:bCs/>
          <w:szCs w:val="24"/>
        </w:rPr>
        <w:t>2</w:t>
      </w:r>
      <w:r w:rsidRPr="00B15F1B">
        <w:rPr>
          <w:rFonts w:asciiTheme="minorHAnsi" w:hAnsiTheme="minorHAnsi" w:cstheme="minorHAnsi"/>
          <w:b/>
          <w:bCs/>
          <w:szCs w:val="24"/>
        </w:rPr>
        <w:tab/>
        <w:t>Workplan</w:t>
      </w:r>
    </w:p>
    <w:p w14:paraId="096E75DE" w14:textId="77777777" w:rsidR="006A0FA0" w:rsidRPr="00B15F1B" w:rsidRDefault="006A0FA0" w:rsidP="00501AD8">
      <w:pPr>
        <w:spacing w:after="120"/>
        <w:jc w:val="both"/>
        <w:rPr>
          <w:rFonts w:asciiTheme="minorHAnsi" w:hAnsiTheme="minorHAnsi" w:cstheme="minorHAnsi"/>
          <w:szCs w:val="24"/>
        </w:rPr>
      </w:pPr>
      <w:r w:rsidRPr="00B15F1B">
        <w:rPr>
          <w:rFonts w:asciiTheme="minorHAnsi" w:hAnsiTheme="minorHAnsi" w:cstheme="minorHAnsi"/>
          <w:szCs w:val="24"/>
        </w:rPr>
        <w:t xml:space="preserve">The Secretariat has created a workplan which plans for full implementation of the sections of the PWC report which are within the Secretariat’s ability to implement (based on the decisions made by the Ad Hoc Group) by the end of 2023. </w:t>
      </w:r>
    </w:p>
    <w:p w14:paraId="0C1A1906" w14:textId="77777777" w:rsidR="006A0FA0" w:rsidRPr="00B15F1B" w:rsidRDefault="006A0FA0" w:rsidP="00501AD8">
      <w:pPr>
        <w:spacing w:after="120"/>
        <w:jc w:val="both"/>
        <w:rPr>
          <w:rFonts w:asciiTheme="minorHAnsi" w:hAnsiTheme="minorHAnsi" w:cstheme="minorHAnsi"/>
          <w:b/>
          <w:bCs/>
          <w:szCs w:val="24"/>
        </w:rPr>
      </w:pPr>
      <w:r w:rsidRPr="00B15F1B">
        <w:rPr>
          <w:rFonts w:asciiTheme="minorHAnsi" w:hAnsiTheme="minorHAnsi" w:cstheme="minorHAnsi"/>
          <w:szCs w:val="24"/>
        </w:rPr>
        <w:t>The proposed workplan is divided into three charts, separating 60 actions derived from the PWC report into the following categories:</w:t>
      </w:r>
    </w:p>
    <w:p w14:paraId="603EC4D5" w14:textId="77777777" w:rsidR="006A0FA0" w:rsidRPr="00B15F1B" w:rsidRDefault="006A0FA0" w:rsidP="00501AD8">
      <w:pPr>
        <w:pStyle w:val="ListParagraph"/>
        <w:numPr>
          <w:ilvl w:val="0"/>
          <w:numId w:val="18"/>
        </w:numPr>
        <w:overflowPunct w:val="0"/>
        <w:autoSpaceDE w:val="0"/>
        <w:autoSpaceDN w:val="0"/>
        <w:adjustRightInd w:val="0"/>
        <w:spacing w:before="120" w:after="120"/>
        <w:textAlignment w:val="baseline"/>
        <w:rPr>
          <w:rFonts w:asciiTheme="minorHAnsi" w:hAnsiTheme="minorHAnsi" w:cstheme="minorHAnsi"/>
          <w:sz w:val="24"/>
        </w:rPr>
      </w:pPr>
      <w:r w:rsidRPr="00B15F1B">
        <w:rPr>
          <w:rFonts w:asciiTheme="minorHAnsi" w:hAnsiTheme="minorHAnsi" w:cstheme="minorHAnsi"/>
          <w:sz w:val="24"/>
        </w:rPr>
        <w:t>Actions in progress:</w:t>
      </w:r>
    </w:p>
    <w:p w14:paraId="63120E6C" w14:textId="77777777" w:rsidR="006A0FA0" w:rsidRPr="00B15F1B" w:rsidRDefault="006A0FA0" w:rsidP="00501AD8">
      <w:pPr>
        <w:pStyle w:val="ListParagraph"/>
        <w:numPr>
          <w:ilvl w:val="0"/>
          <w:numId w:val="18"/>
        </w:numPr>
        <w:overflowPunct w:val="0"/>
        <w:autoSpaceDE w:val="0"/>
        <w:autoSpaceDN w:val="0"/>
        <w:adjustRightInd w:val="0"/>
        <w:spacing w:before="120" w:after="120"/>
        <w:textAlignment w:val="baseline"/>
        <w:rPr>
          <w:rFonts w:asciiTheme="minorHAnsi" w:hAnsiTheme="minorHAnsi" w:cstheme="minorHAnsi"/>
          <w:sz w:val="24"/>
        </w:rPr>
      </w:pPr>
      <w:r w:rsidRPr="00B15F1B">
        <w:rPr>
          <w:rFonts w:asciiTheme="minorHAnsi" w:hAnsiTheme="minorHAnsi" w:cstheme="minorHAnsi"/>
          <w:sz w:val="24"/>
        </w:rPr>
        <w:t>Completed recommendations; and</w:t>
      </w:r>
    </w:p>
    <w:p w14:paraId="46C0266B" w14:textId="77777777" w:rsidR="006A0FA0" w:rsidRPr="00B15F1B" w:rsidRDefault="006A0FA0" w:rsidP="00501AD8">
      <w:pPr>
        <w:pStyle w:val="ListParagraph"/>
        <w:numPr>
          <w:ilvl w:val="0"/>
          <w:numId w:val="18"/>
        </w:numPr>
        <w:overflowPunct w:val="0"/>
        <w:autoSpaceDE w:val="0"/>
        <w:autoSpaceDN w:val="0"/>
        <w:adjustRightInd w:val="0"/>
        <w:spacing w:before="120" w:after="120"/>
        <w:textAlignment w:val="baseline"/>
        <w:rPr>
          <w:rFonts w:asciiTheme="minorHAnsi" w:hAnsiTheme="minorHAnsi" w:cstheme="minorHAnsi"/>
          <w:sz w:val="24"/>
        </w:rPr>
      </w:pPr>
      <w:r w:rsidRPr="00B15F1B">
        <w:rPr>
          <w:rFonts w:asciiTheme="minorHAnsi" w:hAnsiTheme="minorHAnsi" w:cstheme="minorHAnsi"/>
          <w:sz w:val="24"/>
        </w:rPr>
        <w:t>Recommendations requiring council decisions.</w:t>
      </w:r>
    </w:p>
    <w:p w14:paraId="548EA0E6" w14:textId="77777777" w:rsidR="006A0FA0" w:rsidRPr="00B15F1B" w:rsidRDefault="006A0FA0" w:rsidP="00501AD8">
      <w:pPr>
        <w:spacing w:after="120"/>
        <w:jc w:val="both"/>
        <w:rPr>
          <w:rFonts w:asciiTheme="minorHAnsi" w:hAnsiTheme="minorHAnsi" w:cstheme="minorHAnsi"/>
          <w:szCs w:val="24"/>
        </w:rPr>
      </w:pPr>
      <w:r w:rsidRPr="00B15F1B">
        <w:rPr>
          <w:rFonts w:asciiTheme="minorHAnsi" w:hAnsiTheme="minorHAnsi" w:cstheme="minorHAnsi"/>
          <w:szCs w:val="24"/>
        </w:rPr>
        <w:t>It should be noted that the third category has not been scheduled, and the timeline for completion will depend on the nature and timeline of Council’s decisions on their subject matter.</w:t>
      </w:r>
    </w:p>
    <w:p w14:paraId="141462D8" w14:textId="77777777" w:rsidR="006A0FA0" w:rsidRPr="00B15F1B" w:rsidRDefault="006A0FA0" w:rsidP="00501AD8">
      <w:pPr>
        <w:spacing w:after="120"/>
        <w:jc w:val="both"/>
        <w:rPr>
          <w:rFonts w:asciiTheme="minorHAnsi" w:hAnsiTheme="minorHAnsi" w:cstheme="minorHAnsi"/>
          <w:szCs w:val="24"/>
        </w:rPr>
      </w:pPr>
      <w:r w:rsidRPr="00B15F1B">
        <w:rPr>
          <w:rFonts w:asciiTheme="minorHAnsi" w:hAnsiTheme="minorHAnsi" w:cstheme="minorHAnsi"/>
          <w:szCs w:val="24"/>
        </w:rPr>
        <w:t xml:space="preserve">The chart below summaries the </w:t>
      </w:r>
      <w:proofErr w:type="gramStart"/>
      <w:r w:rsidRPr="00B15F1B">
        <w:rPr>
          <w:rFonts w:asciiTheme="minorHAnsi" w:hAnsiTheme="minorHAnsi" w:cstheme="minorHAnsi"/>
          <w:szCs w:val="24"/>
        </w:rPr>
        <w:t>current status</w:t>
      </w:r>
      <w:proofErr w:type="gramEnd"/>
      <w:r w:rsidRPr="00B15F1B">
        <w:rPr>
          <w:rFonts w:asciiTheme="minorHAnsi" w:hAnsiTheme="minorHAnsi" w:cstheme="minorHAnsi"/>
          <w:szCs w:val="24"/>
        </w:rPr>
        <w:t xml:space="preserve"> of the actions. </w:t>
      </w:r>
    </w:p>
    <w:p w14:paraId="1D200A2B" w14:textId="77777777" w:rsidR="006A0FA0" w:rsidRDefault="006A0FA0" w:rsidP="00B15F1B">
      <w:pPr>
        <w:spacing w:before="360"/>
        <w:jc w:val="both"/>
        <w:rPr>
          <w:rFonts w:cs="Arial"/>
          <w:b/>
          <w:bCs/>
          <w:sz w:val="20"/>
        </w:rPr>
      </w:pPr>
      <w:r w:rsidRPr="00FF461A">
        <w:rPr>
          <w:rFonts w:cs="Arial"/>
          <w:b/>
          <w:bCs/>
          <w:sz w:val="20"/>
        </w:rPr>
        <w:t xml:space="preserve">Chart 1 – Summary </w:t>
      </w:r>
      <w:r>
        <w:rPr>
          <w:rFonts w:cs="Arial"/>
          <w:b/>
          <w:bCs/>
          <w:sz w:val="20"/>
        </w:rPr>
        <w:t>status</w:t>
      </w:r>
      <w:r w:rsidRPr="00FF461A">
        <w:rPr>
          <w:rFonts w:cs="Arial"/>
          <w:b/>
          <w:bCs/>
          <w:sz w:val="20"/>
        </w:rPr>
        <w:t xml:space="preserve"> of regional presence </w:t>
      </w:r>
      <w:r>
        <w:rPr>
          <w:rFonts w:cs="Arial"/>
          <w:b/>
          <w:bCs/>
          <w:sz w:val="20"/>
        </w:rPr>
        <w:t>actions</w:t>
      </w:r>
    </w:p>
    <w:p w14:paraId="48682993" w14:textId="77777777" w:rsidR="006A0FA0" w:rsidRPr="00CE78B9" w:rsidRDefault="006A0FA0" w:rsidP="00501AD8">
      <w:pPr>
        <w:spacing w:after="120"/>
        <w:jc w:val="both"/>
        <w:rPr>
          <w:rFonts w:cs="Arial"/>
          <w:sz w:val="20"/>
        </w:rPr>
      </w:pPr>
      <w:r>
        <w:rPr>
          <w:noProof/>
        </w:rPr>
        <w:drawing>
          <wp:inline distT="0" distB="0" distL="0" distR="0" wp14:anchorId="3C5F4DB6" wp14:editId="2F3502C7">
            <wp:extent cx="2962275" cy="1109896"/>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2"/>
                    <a:stretch>
                      <a:fillRect/>
                    </a:stretch>
                  </pic:blipFill>
                  <pic:spPr>
                    <a:xfrm>
                      <a:off x="0" y="0"/>
                      <a:ext cx="2981960" cy="1117272"/>
                    </a:xfrm>
                    <a:prstGeom prst="rect">
                      <a:avLst/>
                    </a:prstGeom>
                  </pic:spPr>
                </pic:pic>
              </a:graphicData>
            </a:graphic>
          </wp:inline>
        </w:drawing>
      </w:r>
    </w:p>
    <w:p w14:paraId="28D72810" w14:textId="665F5C50" w:rsidR="006A0FA0" w:rsidRDefault="006A0FA0" w:rsidP="00B15F1B">
      <w:pPr>
        <w:spacing w:before="360" w:after="120"/>
        <w:jc w:val="both"/>
        <w:rPr>
          <w:rFonts w:cs="Arial"/>
          <w:sz w:val="20"/>
        </w:rPr>
      </w:pPr>
      <w:r w:rsidRPr="00B15F1B">
        <w:rPr>
          <w:rFonts w:cs="Arial"/>
          <w:szCs w:val="24"/>
        </w:rPr>
        <w:t>Charts 2 to 4 provide further detail on the recommendations in each category, with Chart 2 providing proposed timelines for implementation.</w:t>
      </w:r>
    </w:p>
    <w:p w14:paraId="6128AB54" w14:textId="77777777" w:rsidR="006A0FA0" w:rsidRPr="00E3162B" w:rsidRDefault="006A0FA0" w:rsidP="006A0FA0">
      <w:pPr>
        <w:spacing w:before="240"/>
        <w:rPr>
          <w:rFonts w:cs="Arial"/>
          <w:sz w:val="20"/>
        </w:rPr>
        <w:sectPr w:rsidR="006A0FA0" w:rsidRPr="00E3162B" w:rsidSect="00501AD8">
          <w:headerReference w:type="default" r:id="rId33"/>
          <w:headerReference w:type="first" r:id="rId34"/>
          <w:footerReference w:type="first" r:id="rId35"/>
          <w:pgSz w:w="11907" w:h="16834"/>
          <w:pgMar w:top="1418" w:right="1134" w:bottom="1418" w:left="1134" w:header="720" w:footer="720" w:gutter="0"/>
          <w:cols w:space="720"/>
          <w:titlePg/>
        </w:sectPr>
      </w:pPr>
    </w:p>
    <w:p w14:paraId="70419439" w14:textId="77777777" w:rsidR="006A0FA0" w:rsidRPr="00B15F1B" w:rsidRDefault="006A0FA0" w:rsidP="006A0FA0">
      <w:pPr>
        <w:spacing w:before="240"/>
        <w:rPr>
          <w:rFonts w:cs="Arial"/>
          <w:b/>
          <w:bCs/>
          <w:szCs w:val="24"/>
        </w:rPr>
      </w:pPr>
      <w:r w:rsidRPr="00B15F1B">
        <w:rPr>
          <w:rFonts w:cs="Arial"/>
          <w:b/>
          <w:bCs/>
          <w:szCs w:val="24"/>
        </w:rPr>
        <w:lastRenderedPageBreak/>
        <w:t xml:space="preserve">Chart 2 – Recommendations in progress </w:t>
      </w:r>
    </w:p>
    <w:p w14:paraId="1EE03F54" w14:textId="77777777" w:rsidR="006A0FA0" w:rsidRPr="00B15F1B" w:rsidRDefault="006A0FA0" w:rsidP="006A0FA0">
      <w:pPr>
        <w:spacing w:before="240"/>
        <w:rPr>
          <w:rFonts w:cs="Arial"/>
          <w:szCs w:val="24"/>
        </w:rPr>
      </w:pPr>
      <w:r w:rsidRPr="00B15F1B">
        <w:rPr>
          <w:rFonts w:cs="Arial"/>
          <w:szCs w:val="24"/>
        </w:rPr>
        <w:t xml:space="preserve">This chart contains the recommendations that are currently under implementation by ITU and includes currently proposed timelines for implementation of each recommendation. </w:t>
      </w:r>
    </w:p>
    <w:p w14:paraId="1BEA2D4B" w14:textId="177208F8" w:rsidR="007C31A6" w:rsidRDefault="007C31A6">
      <w:pPr>
        <w:tabs>
          <w:tab w:val="clear" w:pos="567"/>
          <w:tab w:val="clear" w:pos="1134"/>
          <w:tab w:val="clear" w:pos="1701"/>
          <w:tab w:val="clear" w:pos="2268"/>
          <w:tab w:val="clear" w:pos="2835"/>
        </w:tabs>
        <w:overflowPunct/>
        <w:autoSpaceDE/>
        <w:autoSpaceDN/>
        <w:adjustRightInd/>
        <w:spacing w:before="0"/>
        <w:textAlignment w:val="auto"/>
        <w:rPr>
          <w:rFonts w:cs="Arial"/>
          <w:b/>
          <w:bCs/>
          <w:sz w:val="20"/>
        </w:rPr>
      </w:pPr>
      <w:r>
        <w:rPr>
          <w:noProof/>
        </w:rPr>
        <w:drawing>
          <wp:anchor distT="0" distB="0" distL="114300" distR="114300" simplePos="0" relativeHeight="251658240" behindDoc="0" locked="0" layoutInCell="1" allowOverlap="1" wp14:anchorId="1FB866F5" wp14:editId="60BF61C8">
            <wp:simplePos x="0" y="0"/>
            <wp:positionH relativeFrom="margin">
              <wp:align>left</wp:align>
            </wp:positionH>
            <wp:positionV relativeFrom="page">
              <wp:posOffset>1987236</wp:posOffset>
            </wp:positionV>
            <wp:extent cx="9447292" cy="482117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454290" cy="4824747"/>
                    </a:xfrm>
                    <a:prstGeom prst="rect">
                      <a:avLst/>
                    </a:prstGeom>
                  </pic:spPr>
                </pic:pic>
              </a:graphicData>
            </a:graphic>
            <wp14:sizeRelH relativeFrom="margin">
              <wp14:pctWidth>0</wp14:pctWidth>
            </wp14:sizeRelH>
            <wp14:sizeRelV relativeFrom="margin">
              <wp14:pctHeight>0</wp14:pctHeight>
            </wp14:sizeRelV>
          </wp:anchor>
        </w:drawing>
      </w:r>
      <w:r>
        <w:rPr>
          <w:rFonts w:cs="Arial"/>
          <w:b/>
          <w:bCs/>
          <w:sz w:val="20"/>
        </w:rPr>
        <w:br w:type="page"/>
      </w:r>
    </w:p>
    <w:p w14:paraId="64850DDD" w14:textId="01BBA9E9" w:rsidR="006A0FA0" w:rsidRPr="001F25AF" w:rsidRDefault="006A0FA0" w:rsidP="006A0FA0">
      <w:pPr>
        <w:spacing w:before="240"/>
        <w:rPr>
          <w:rFonts w:cs="Arial"/>
          <w:b/>
          <w:bCs/>
          <w:sz w:val="20"/>
        </w:rPr>
      </w:pPr>
      <w:r>
        <w:rPr>
          <w:noProof/>
        </w:rPr>
        <w:lastRenderedPageBreak/>
        <w:drawing>
          <wp:inline distT="0" distB="0" distL="0" distR="0" wp14:anchorId="7B68645D" wp14:editId="67014849">
            <wp:extent cx="9438238" cy="1774643"/>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37"/>
                    <a:stretch>
                      <a:fillRect/>
                    </a:stretch>
                  </pic:blipFill>
                  <pic:spPr>
                    <a:xfrm>
                      <a:off x="0" y="0"/>
                      <a:ext cx="9503676" cy="1786947"/>
                    </a:xfrm>
                    <a:prstGeom prst="rect">
                      <a:avLst/>
                    </a:prstGeom>
                  </pic:spPr>
                </pic:pic>
              </a:graphicData>
            </a:graphic>
          </wp:inline>
        </w:drawing>
      </w:r>
    </w:p>
    <w:p w14:paraId="2BE0B08C" w14:textId="77777777" w:rsidR="006A0FA0" w:rsidRPr="00B15F1B" w:rsidRDefault="006A0FA0" w:rsidP="007C31A6">
      <w:pPr>
        <w:spacing w:before="480"/>
        <w:rPr>
          <w:rFonts w:cs="Arial"/>
          <w:b/>
          <w:bCs/>
          <w:szCs w:val="24"/>
        </w:rPr>
      </w:pPr>
      <w:r w:rsidRPr="00B15F1B">
        <w:rPr>
          <w:rFonts w:cs="Arial"/>
          <w:b/>
          <w:bCs/>
          <w:szCs w:val="24"/>
        </w:rPr>
        <w:t>Chart 3 – Completed recommendations</w:t>
      </w:r>
    </w:p>
    <w:p w14:paraId="65E1A813" w14:textId="33152DB8" w:rsidR="009C4C78" w:rsidRDefault="006A0FA0" w:rsidP="00B15F1B">
      <w:pPr>
        <w:rPr>
          <w:rFonts w:cs="Arial"/>
          <w:szCs w:val="24"/>
        </w:rPr>
      </w:pPr>
      <w:r w:rsidRPr="00B15F1B">
        <w:rPr>
          <w:rFonts w:cs="Arial"/>
          <w:szCs w:val="24"/>
        </w:rPr>
        <w:t>This chart contains recommendations that ITU has already fully implemented.</w:t>
      </w:r>
    </w:p>
    <w:p w14:paraId="4E87AC6E" w14:textId="043066CF" w:rsidR="009C4C78" w:rsidRDefault="009C4C78">
      <w:pPr>
        <w:tabs>
          <w:tab w:val="clear" w:pos="567"/>
          <w:tab w:val="clear" w:pos="1134"/>
          <w:tab w:val="clear" w:pos="1701"/>
          <w:tab w:val="clear" w:pos="2268"/>
          <w:tab w:val="clear" w:pos="2835"/>
        </w:tabs>
        <w:overflowPunct/>
        <w:autoSpaceDE/>
        <w:autoSpaceDN/>
        <w:adjustRightInd/>
        <w:spacing w:before="0"/>
        <w:textAlignment w:val="auto"/>
        <w:rPr>
          <w:rFonts w:cs="Arial"/>
          <w:szCs w:val="24"/>
        </w:rPr>
      </w:pPr>
      <w:r>
        <w:rPr>
          <w:noProof/>
        </w:rPr>
        <w:drawing>
          <wp:anchor distT="0" distB="0" distL="114300" distR="114300" simplePos="0" relativeHeight="251659264" behindDoc="0" locked="0" layoutInCell="1" allowOverlap="1" wp14:anchorId="0520ADFB" wp14:editId="0CEB5716">
            <wp:simplePos x="0" y="0"/>
            <wp:positionH relativeFrom="margin">
              <wp:align>left</wp:align>
            </wp:positionH>
            <wp:positionV relativeFrom="margin">
              <wp:posOffset>2731770</wp:posOffset>
            </wp:positionV>
            <wp:extent cx="9462884" cy="3219450"/>
            <wp:effectExtent l="0" t="0" r="5080" b="0"/>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9462884" cy="3219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br w:type="page"/>
      </w:r>
    </w:p>
    <w:p w14:paraId="1CF9CA1B" w14:textId="61DA064B" w:rsidR="006A0FA0" w:rsidRDefault="006A0FA0" w:rsidP="00B15F1B">
      <w:pPr>
        <w:rPr>
          <w:rFonts w:cs="Arial"/>
          <w:sz w:val="20"/>
        </w:rPr>
      </w:pPr>
    </w:p>
    <w:p w14:paraId="4CEB3DA4" w14:textId="77777777" w:rsidR="006A0FA0" w:rsidRPr="00B15F1B" w:rsidRDefault="006A0FA0" w:rsidP="00B15F1B">
      <w:pPr>
        <w:rPr>
          <w:rFonts w:cs="Arial"/>
          <w:szCs w:val="24"/>
        </w:rPr>
      </w:pPr>
      <w:r w:rsidRPr="00B15F1B">
        <w:rPr>
          <w:rFonts w:cs="Arial"/>
          <w:b/>
          <w:bCs/>
          <w:szCs w:val="24"/>
        </w:rPr>
        <w:t xml:space="preserve">Chart 4 – Recommendations requiring Council </w:t>
      </w:r>
      <w:proofErr w:type="gramStart"/>
      <w:r w:rsidRPr="00B15F1B">
        <w:rPr>
          <w:rFonts w:cs="Arial"/>
          <w:b/>
          <w:bCs/>
          <w:szCs w:val="24"/>
        </w:rPr>
        <w:t>Decisions</w:t>
      </w:r>
      <w:proofErr w:type="gramEnd"/>
    </w:p>
    <w:p w14:paraId="77A88AE0" w14:textId="77777777" w:rsidR="006A0FA0" w:rsidRPr="00B15F1B" w:rsidRDefault="006A0FA0" w:rsidP="009C4C78">
      <w:pPr>
        <w:spacing w:after="240"/>
        <w:rPr>
          <w:rFonts w:cs="Arial"/>
          <w:szCs w:val="24"/>
        </w:rPr>
      </w:pPr>
      <w:r w:rsidRPr="00B15F1B">
        <w:rPr>
          <w:rFonts w:cs="Arial"/>
          <w:szCs w:val="24"/>
        </w:rPr>
        <w:t>This chart contains those recommendations which require decisions by Council prior to implementation.</w:t>
      </w:r>
    </w:p>
    <w:p w14:paraId="17E4AC76" w14:textId="77777777" w:rsidR="006A0FA0" w:rsidRDefault="006A0FA0" w:rsidP="00B15F1B">
      <w:r>
        <w:rPr>
          <w:noProof/>
        </w:rPr>
        <w:drawing>
          <wp:inline distT="0" distB="0" distL="0" distR="0" wp14:anchorId="2C779809" wp14:editId="02917322">
            <wp:extent cx="9403445" cy="3016250"/>
            <wp:effectExtent l="0" t="0" r="762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39"/>
                    <a:stretch>
                      <a:fillRect/>
                    </a:stretch>
                  </pic:blipFill>
                  <pic:spPr>
                    <a:xfrm>
                      <a:off x="0" y="0"/>
                      <a:ext cx="9406643" cy="3017276"/>
                    </a:xfrm>
                    <a:prstGeom prst="rect">
                      <a:avLst/>
                    </a:prstGeom>
                  </pic:spPr>
                </pic:pic>
              </a:graphicData>
            </a:graphic>
          </wp:inline>
        </w:drawing>
      </w:r>
    </w:p>
    <w:p w14:paraId="40975FDC" w14:textId="63BB7303" w:rsidR="00CF134B" w:rsidRPr="00B15F1B" w:rsidRDefault="006A0FA0" w:rsidP="00B15F1B">
      <w:pPr>
        <w:spacing w:before="840"/>
        <w:jc w:val="center"/>
      </w:pPr>
      <w:r>
        <w:t>___________________</w:t>
      </w:r>
    </w:p>
    <w:sectPr w:rsidR="00CF134B" w:rsidRPr="00B15F1B" w:rsidSect="00501AD8">
      <w:headerReference w:type="default" r:id="rId40"/>
      <w:footerReference w:type="default" r:id="rId41"/>
      <w:footerReference w:type="first" r:id="rId42"/>
      <w:pgSz w:w="16834" w:h="11907" w:orient="landscape"/>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E493F" w14:textId="77777777" w:rsidR="00793188" w:rsidRDefault="00793188">
      <w:r>
        <w:separator/>
      </w:r>
    </w:p>
  </w:endnote>
  <w:endnote w:type="continuationSeparator" w:id="0">
    <w:p w14:paraId="64D9C322" w14:textId="77777777" w:rsidR="00793188" w:rsidRDefault="00793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296D" w14:textId="77777777" w:rsidR="006A0FA0" w:rsidRPr="00D4375D" w:rsidRDefault="006A0FA0" w:rsidP="002A1458">
    <w:pPr>
      <w:jc w:val="center"/>
      <w:rPr>
        <w:szCs w:val="22"/>
      </w:rPr>
    </w:pPr>
    <w:r w:rsidRPr="00D4375D">
      <w:rPr>
        <w:szCs w:val="22"/>
      </w:rPr>
      <w:t xml:space="preserve">• </w:t>
    </w:r>
    <w:hyperlink r:id="rId1" w:history="1">
      <w:r w:rsidRPr="00D4375D">
        <w:rPr>
          <w:rStyle w:val="Hyperlink"/>
          <w:szCs w:val="22"/>
        </w:rPr>
        <w:t>http://www.itu.int/council</w:t>
      </w:r>
    </w:hyperlink>
    <w:r w:rsidRPr="00D4375D">
      <w:rPr>
        <w:szCs w:val="22"/>
      </w:rPr>
      <w:t xml:space="preserve"> •</w:t>
    </w:r>
  </w:p>
  <w:p w14:paraId="4D3A01B4" w14:textId="77777777" w:rsidR="006A0FA0" w:rsidRPr="00756E92" w:rsidRDefault="006A0FA0" w:rsidP="00756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B567" w14:textId="77777777" w:rsidR="006A0FA0" w:rsidRDefault="006A0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FCCC" w14:textId="45198FEE" w:rsidR="00CB18FF" w:rsidRPr="006848DD" w:rsidRDefault="00A93619">
    <w:pPr>
      <w:pStyle w:val="Footer"/>
      <w:rPr>
        <w:color w:val="D9D9D9" w:themeColor="background1" w:themeShade="D9"/>
      </w:rPr>
    </w:pPr>
    <w:r w:rsidRPr="006848DD">
      <w:rPr>
        <w:color w:val="D9D9D9" w:themeColor="background1" w:themeShade="D9"/>
      </w:rPr>
      <w:fldChar w:fldCharType="begin"/>
    </w:r>
    <w:r w:rsidRPr="006848DD">
      <w:rPr>
        <w:color w:val="D9D9D9" w:themeColor="background1" w:themeShade="D9"/>
      </w:rPr>
      <w:instrText xml:space="preserve"> FILENAME \p  \* MERGEFORMAT </w:instrText>
    </w:r>
    <w:r w:rsidRPr="006848DD">
      <w:rPr>
        <w:color w:val="D9D9D9" w:themeColor="background1" w:themeShade="D9"/>
      </w:rPr>
      <w:fldChar w:fldCharType="separate"/>
    </w:r>
    <w:r w:rsidR="005F3269" w:rsidRPr="006848DD">
      <w:rPr>
        <w:color w:val="D9D9D9" w:themeColor="background1" w:themeShade="D9"/>
      </w:rPr>
      <w:t>Document1</w:t>
    </w:r>
    <w:r w:rsidRPr="006848DD">
      <w:rPr>
        <w:color w:val="D9D9D9" w:themeColor="background1" w:themeShade="D9"/>
      </w:rPr>
      <w:fldChar w:fldCharType="end"/>
    </w:r>
    <w:r w:rsidR="00CB18FF" w:rsidRPr="006848DD">
      <w:rPr>
        <w:color w:val="D9D9D9" w:themeColor="background1" w:themeShade="D9"/>
      </w:rPr>
      <w:tab/>
    </w:r>
    <w:r w:rsidR="00864AFF" w:rsidRPr="006848DD">
      <w:rPr>
        <w:color w:val="D9D9D9" w:themeColor="background1" w:themeShade="D9"/>
      </w:rPr>
      <w:fldChar w:fldCharType="begin"/>
    </w:r>
    <w:r w:rsidR="00CB18FF" w:rsidRPr="006848DD">
      <w:rPr>
        <w:color w:val="D9D9D9" w:themeColor="background1" w:themeShade="D9"/>
      </w:rPr>
      <w:instrText xml:space="preserve"> SAVEDATE \@ DD.MM.YY </w:instrText>
    </w:r>
    <w:r w:rsidR="00864AFF" w:rsidRPr="006848DD">
      <w:rPr>
        <w:color w:val="D9D9D9" w:themeColor="background1" w:themeShade="D9"/>
      </w:rPr>
      <w:fldChar w:fldCharType="separate"/>
    </w:r>
    <w:r w:rsidR="006A0FA0">
      <w:rPr>
        <w:color w:val="D9D9D9" w:themeColor="background1" w:themeShade="D9"/>
      </w:rPr>
      <w:t>10.05.21</w:t>
    </w:r>
    <w:r w:rsidR="00864AFF" w:rsidRPr="006848DD">
      <w:rPr>
        <w:color w:val="D9D9D9" w:themeColor="background1" w:themeShade="D9"/>
      </w:rPr>
      <w:fldChar w:fldCharType="end"/>
    </w:r>
    <w:r w:rsidR="00CB18FF" w:rsidRPr="006848DD">
      <w:rPr>
        <w:color w:val="D9D9D9" w:themeColor="background1" w:themeShade="D9"/>
      </w:rPr>
      <w:tab/>
    </w:r>
    <w:r w:rsidR="00864AFF" w:rsidRPr="006848DD">
      <w:rPr>
        <w:color w:val="D9D9D9" w:themeColor="background1" w:themeShade="D9"/>
      </w:rPr>
      <w:fldChar w:fldCharType="begin"/>
    </w:r>
    <w:r w:rsidR="00CB18FF" w:rsidRPr="006848DD">
      <w:rPr>
        <w:color w:val="D9D9D9" w:themeColor="background1" w:themeShade="D9"/>
      </w:rPr>
      <w:instrText xml:space="preserve"> PRINTDATE \@ DD.MM.YY </w:instrText>
    </w:r>
    <w:r w:rsidR="00864AFF" w:rsidRPr="006848DD">
      <w:rPr>
        <w:color w:val="D9D9D9" w:themeColor="background1" w:themeShade="D9"/>
      </w:rPr>
      <w:fldChar w:fldCharType="separate"/>
    </w:r>
    <w:r w:rsidR="005F3269" w:rsidRPr="006848DD">
      <w:rPr>
        <w:color w:val="D9D9D9" w:themeColor="background1" w:themeShade="D9"/>
      </w:rPr>
      <w:t>18.07.00</w:t>
    </w:r>
    <w:r w:rsidR="00864AFF" w:rsidRPr="006848DD">
      <w:rPr>
        <w:color w:val="D9D9D9" w:themeColor="background1" w:themeShade="D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CDDD" w14:textId="56557492" w:rsidR="00322D0D" w:rsidRPr="00B15F1B" w:rsidRDefault="00322D0D" w:rsidP="00B1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829A2" w14:textId="77777777" w:rsidR="00793188" w:rsidRDefault="00793188">
      <w:r>
        <w:t>____________________</w:t>
      </w:r>
    </w:p>
  </w:footnote>
  <w:footnote w:type="continuationSeparator" w:id="0">
    <w:p w14:paraId="69A82C43" w14:textId="77777777" w:rsidR="00793188" w:rsidRDefault="00793188">
      <w:r>
        <w:continuationSeparator/>
      </w:r>
    </w:p>
  </w:footnote>
  <w:footnote w:id="1">
    <w:p w14:paraId="258E3E01" w14:textId="77777777" w:rsidR="006A0FA0" w:rsidRPr="00C445B8" w:rsidRDefault="006A0FA0" w:rsidP="009F275A">
      <w:pPr>
        <w:pStyle w:val="FootnoteText"/>
        <w:tabs>
          <w:tab w:val="clear" w:pos="256"/>
          <w:tab w:val="clear" w:pos="567"/>
          <w:tab w:val="clear" w:pos="1134"/>
          <w:tab w:val="clear" w:pos="1701"/>
          <w:tab w:val="clear" w:pos="2268"/>
          <w:tab w:val="clear" w:pos="2835"/>
        </w:tabs>
        <w:ind w:left="284" w:hanging="284"/>
        <w:rPr>
          <w:lang w:val="en-US"/>
        </w:rPr>
      </w:pPr>
      <w:r>
        <w:rPr>
          <w:rStyle w:val="FootnoteReference"/>
        </w:rPr>
        <w:footnoteRef/>
      </w:r>
      <w:r>
        <w:t xml:space="preserve"> </w:t>
      </w:r>
      <w:r>
        <w:tab/>
      </w:r>
      <w:r w:rsidRPr="009F275A">
        <w:rPr>
          <w:sz w:val="20"/>
          <w:lang w:val="en-US"/>
        </w:rPr>
        <w:t>It is noted that the Option 1 in the PWC Report includes new offices and closure of some offices. The Ad Hoc Group neither supports nor opposes the addition of new offices, and there were strong objections by some member states to the closure of specific offices. Therefore, no decision was made on any closure, consolidation or opening of offices. The Ad Hoc Group decision relates only to maintenance of both categories of office (Regional and Area) as in the current 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74D2" w14:textId="77777777" w:rsidR="006A0FA0" w:rsidRPr="00EF4C18" w:rsidRDefault="006A0FA0" w:rsidP="00EF4C18">
    <w:pPr>
      <w:spacing w:before="0"/>
      <w:jc w:val="center"/>
      <w:rPr>
        <w:sz w:val="18"/>
        <w:szCs w:val="18"/>
      </w:rPr>
    </w:pPr>
    <w:r w:rsidRPr="00EF4C18">
      <w:rPr>
        <w:sz w:val="18"/>
        <w:szCs w:val="18"/>
      </w:rPr>
      <w:t xml:space="preserve">- </w:t>
    </w:r>
    <w:r w:rsidRPr="00EF4C18">
      <w:rPr>
        <w:sz w:val="18"/>
        <w:szCs w:val="18"/>
      </w:rPr>
      <w:fldChar w:fldCharType="begin"/>
    </w:r>
    <w:r w:rsidRPr="00EF4C18">
      <w:rPr>
        <w:sz w:val="18"/>
        <w:szCs w:val="18"/>
      </w:rPr>
      <w:instrText>PAGE</w:instrText>
    </w:r>
    <w:r w:rsidRPr="00EF4C18">
      <w:rPr>
        <w:sz w:val="18"/>
        <w:szCs w:val="18"/>
      </w:rPr>
      <w:fldChar w:fldCharType="separate"/>
    </w:r>
    <w:r w:rsidRPr="00EF4C18">
      <w:rPr>
        <w:sz w:val="18"/>
        <w:szCs w:val="18"/>
      </w:rPr>
      <w:t>10</w:t>
    </w:r>
    <w:r w:rsidRPr="00EF4C18">
      <w:rPr>
        <w:sz w:val="18"/>
        <w:szCs w:val="18"/>
      </w:rPr>
      <w:fldChar w:fldCharType="end"/>
    </w:r>
    <w:r w:rsidRPr="00EF4C18">
      <w:rPr>
        <w:sz w:val="18"/>
        <w:szCs w:val="18"/>
      </w:rPr>
      <w:t xml:space="preserve"> -</w:t>
    </w:r>
  </w:p>
  <w:p w14:paraId="60D5D15D" w14:textId="693FD837" w:rsidR="006A0FA0" w:rsidRDefault="006A0FA0" w:rsidP="009F275A">
    <w:pPr>
      <w:spacing w:before="0"/>
      <w:jc w:val="center"/>
    </w:pPr>
    <w:r w:rsidRPr="00EF4C18">
      <w:rPr>
        <w:sz w:val="18"/>
        <w:szCs w:val="18"/>
      </w:rPr>
      <w:t>C21/50 (Add.1)-</w:t>
    </w:r>
    <w:proofErr w:type="gramStart"/>
    <w:r w:rsidRPr="00EF4C18">
      <w:rPr>
        <w:sz w:val="18"/>
        <w:szCs w:val="18"/>
      </w:rPr>
      <w:t>E</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E026" w14:textId="77777777" w:rsidR="006A0FA0" w:rsidRDefault="006A0FA0" w:rsidP="00CE433C">
    <w:pPr>
      <w:pStyle w:val="Header"/>
    </w:pPr>
  </w:p>
  <w:p w14:paraId="1810CF19" w14:textId="77777777" w:rsidR="006A0FA0" w:rsidRPr="00D4375D" w:rsidRDefault="006A0FA0" w:rsidP="007E6E71">
    <w:pPr>
      <w:jc w:val="center"/>
      <w:rPr>
        <w:sz w:val="18"/>
      </w:rPr>
    </w:pPr>
    <w:r w:rsidRPr="00D4375D">
      <w:rPr>
        <w:sz w:val="18"/>
      </w:rPr>
      <w:t xml:space="preserve">- </w:t>
    </w:r>
    <w:r w:rsidRPr="00D4375D">
      <w:rPr>
        <w:sz w:val="18"/>
      </w:rPr>
      <w:fldChar w:fldCharType="begin"/>
    </w:r>
    <w:r w:rsidRPr="00D4375D">
      <w:rPr>
        <w:sz w:val="18"/>
      </w:rPr>
      <w:instrText>PAGE</w:instrText>
    </w:r>
    <w:r w:rsidRPr="00D4375D">
      <w:rPr>
        <w:sz w:val="18"/>
      </w:rPr>
      <w:fldChar w:fldCharType="separate"/>
    </w:r>
    <w:r>
      <w:rPr>
        <w:sz w:val="18"/>
      </w:rPr>
      <w:t>5</w:t>
    </w:r>
    <w:r w:rsidRPr="00D4375D">
      <w:rPr>
        <w:sz w:val="18"/>
      </w:rPr>
      <w:fldChar w:fldCharType="end"/>
    </w:r>
    <w:r w:rsidRPr="00D4375D">
      <w:rPr>
        <w:sz w:val="18"/>
      </w:rPr>
      <w:t xml:space="preserve"> -</w:t>
    </w:r>
  </w:p>
  <w:p w14:paraId="57E5BBE3" w14:textId="77777777" w:rsidR="006A0FA0" w:rsidRPr="00D4375D" w:rsidRDefault="006A0FA0" w:rsidP="007E6E71">
    <w:pPr>
      <w:jc w:val="center"/>
      <w:rPr>
        <w:rFonts w:ascii="Times New Roman" w:hAnsi="Times New Roman"/>
        <w:sz w:val="18"/>
        <w:szCs w:val="18"/>
      </w:rPr>
    </w:pPr>
    <w:r w:rsidRPr="00D4375D">
      <w:rPr>
        <w:sz w:val="20"/>
      </w:rPr>
      <w:t>C2</w:t>
    </w:r>
    <w:r>
      <w:rPr>
        <w:sz w:val="20"/>
      </w:rPr>
      <w:t>1</w:t>
    </w:r>
    <w:r w:rsidRPr="00D4375D">
      <w:rPr>
        <w:sz w:val="20"/>
      </w:rPr>
      <w:t>/</w:t>
    </w:r>
    <w:r>
      <w:rPr>
        <w:sz w:val="20"/>
      </w:rPr>
      <w:t>50 (Add.1)</w:t>
    </w:r>
    <w:r w:rsidRPr="00D4375D">
      <w:rPr>
        <w:sz w:val="20"/>
      </w:rPr>
      <w:t>-</w:t>
    </w:r>
    <w:proofErr w:type="gramStart"/>
    <w:r w:rsidRPr="00D4375D">
      <w:rPr>
        <w:sz w:val="20"/>
      </w:rPr>
      <w:t>E</w:t>
    </w:r>
    <w:proofErr w:type="gramEnd"/>
  </w:p>
  <w:p w14:paraId="2365CA16" w14:textId="77777777" w:rsidR="006A0FA0" w:rsidRPr="00623AE3" w:rsidRDefault="006A0FA0" w:rsidP="00D338E0">
    <w:pPr>
      <w:pStyle w:val="Header"/>
      <w:rPr>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BADA" w14:textId="77777777" w:rsidR="009C4C78" w:rsidRPr="00EF4C18" w:rsidRDefault="009C4C78" w:rsidP="009C4C78">
    <w:pPr>
      <w:spacing w:before="0"/>
      <w:jc w:val="center"/>
      <w:rPr>
        <w:sz w:val="18"/>
        <w:szCs w:val="18"/>
      </w:rPr>
    </w:pPr>
    <w:r w:rsidRPr="00EF4C18">
      <w:rPr>
        <w:sz w:val="18"/>
        <w:szCs w:val="18"/>
      </w:rPr>
      <w:t xml:space="preserve">- </w:t>
    </w:r>
    <w:r w:rsidRPr="00EF4C18">
      <w:rPr>
        <w:sz w:val="18"/>
        <w:szCs w:val="18"/>
      </w:rPr>
      <w:fldChar w:fldCharType="begin"/>
    </w:r>
    <w:r w:rsidRPr="00EF4C18">
      <w:rPr>
        <w:sz w:val="18"/>
        <w:szCs w:val="18"/>
      </w:rPr>
      <w:instrText>PAGE</w:instrText>
    </w:r>
    <w:r w:rsidRPr="00EF4C18">
      <w:rPr>
        <w:sz w:val="18"/>
        <w:szCs w:val="18"/>
      </w:rPr>
      <w:fldChar w:fldCharType="separate"/>
    </w:r>
    <w:r>
      <w:rPr>
        <w:sz w:val="18"/>
        <w:szCs w:val="18"/>
      </w:rPr>
      <w:t>1</w:t>
    </w:r>
    <w:r w:rsidRPr="00EF4C18">
      <w:rPr>
        <w:sz w:val="18"/>
        <w:szCs w:val="18"/>
      </w:rPr>
      <w:fldChar w:fldCharType="end"/>
    </w:r>
    <w:r w:rsidRPr="00EF4C18">
      <w:rPr>
        <w:sz w:val="18"/>
        <w:szCs w:val="18"/>
      </w:rPr>
      <w:t xml:space="preserve"> -</w:t>
    </w:r>
  </w:p>
  <w:p w14:paraId="0C5D379A" w14:textId="58BD28CA" w:rsidR="009C4C78" w:rsidRDefault="009C4C78" w:rsidP="009C4C78">
    <w:pPr>
      <w:spacing w:before="0"/>
      <w:jc w:val="center"/>
    </w:pPr>
    <w:r w:rsidRPr="00EF4C18">
      <w:rPr>
        <w:sz w:val="18"/>
        <w:szCs w:val="18"/>
      </w:rPr>
      <w:t>C21/50 (Add.1)-</w:t>
    </w:r>
    <w:proofErr w:type="gramStart"/>
    <w:r w:rsidRPr="00EF4C18">
      <w:rPr>
        <w:sz w:val="18"/>
        <w:szCs w:val="18"/>
      </w:rPr>
      <w:t>E</w:t>
    </w:r>
    <w:proofErr w:type="gram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0644" w14:textId="77777777" w:rsidR="00B15F1B" w:rsidRPr="00EF4C18" w:rsidRDefault="00B15F1B" w:rsidP="00B15F1B">
    <w:pPr>
      <w:spacing w:before="0"/>
      <w:jc w:val="center"/>
      <w:rPr>
        <w:sz w:val="18"/>
        <w:szCs w:val="18"/>
      </w:rPr>
    </w:pPr>
    <w:r w:rsidRPr="00EF4C18">
      <w:rPr>
        <w:sz w:val="18"/>
        <w:szCs w:val="18"/>
      </w:rPr>
      <w:t xml:space="preserve">- </w:t>
    </w:r>
    <w:r w:rsidRPr="00EF4C18">
      <w:rPr>
        <w:sz w:val="18"/>
        <w:szCs w:val="18"/>
      </w:rPr>
      <w:fldChar w:fldCharType="begin"/>
    </w:r>
    <w:r w:rsidRPr="00EF4C18">
      <w:rPr>
        <w:sz w:val="18"/>
        <w:szCs w:val="18"/>
      </w:rPr>
      <w:instrText>PAGE</w:instrText>
    </w:r>
    <w:r w:rsidRPr="00EF4C18">
      <w:rPr>
        <w:sz w:val="18"/>
        <w:szCs w:val="18"/>
      </w:rPr>
      <w:fldChar w:fldCharType="separate"/>
    </w:r>
    <w:r>
      <w:rPr>
        <w:sz w:val="18"/>
        <w:szCs w:val="18"/>
      </w:rPr>
      <w:t>2</w:t>
    </w:r>
    <w:r w:rsidRPr="00EF4C18">
      <w:rPr>
        <w:sz w:val="18"/>
        <w:szCs w:val="18"/>
      </w:rPr>
      <w:fldChar w:fldCharType="end"/>
    </w:r>
    <w:r w:rsidRPr="00EF4C18">
      <w:rPr>
        <w:sz w:val="18"/>
        <w:szCs w:val="18"/>
      </w:rPr>
      <w:t xml:space="preserve"> -</w:t>
    </w:r>
  </w:p>
  <w:p w14:paraId="34EC98F4" w14:textId="75727550" w:rsidR="00322D0D" w:rsidRPr="00B15F1B" w:rsidRDefault="00B15F1B" w:rsidP="00B15F1B">
    <w:pPr>
      <w:spacing w:before="0"/>
      <w:jc w:val="center"/>
    </w:pPr>
    <w:r w:rsidRPr="00EF4C18">
      <w:rPr>
        <w:sz w:val="18"/>
        <w:szCs w:val="18"/>
      </w:rPr>
      <w:t>C21/50 (Add.1)-</w:t>
    </w:r>
    <w:proofErr w:type="gramStart"/>
    <w:r w:rsidRPr="00EF4C18">
      <w:rPr>
        <w:sz w:val="18"/>
        <w:szCs w:val="18"/>
      </w:rPr>
      <w:t>E</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7B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F831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4434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E2DF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6081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C14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06E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0D5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9E40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C2F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13B78"/>
    <w:multiLevelType w:val="hybridMultilevel"/>
    <w:tmpl w:val="614CF962"/>
    <w:lvl w:ilvl="0" w:tplc="08090001">
      <w:start w:val="1"/>
      <w:numFmt w:val="bullet"/>
      <w:lvlText w:val=""/>
      <w:lvlJc w:val="left"/>
      <w:pPr>
        <w:ind w:left="1595" w:hanging="360"/>
      </w:pPr>
      <w:rPr>
        <w:rFonts w:ascii="Symbol" w:hAnsi="Symbol" w:hint="default"/>
      </w:rPr>
    </w:lvl>
    <w:lvl w:ilvl="1" w:tplc="08090003">
      <w:start w:val="1"/>
      <w:numFmt w:val="bullet"/>
      <w:lvlText w:val="o"/>
      <w:lvlJc w:val="left"/>
      <w:pPr>
        <w:ind w:left="2315" w:hanging="360"/>
      </w:pPr>
      <w:rPr>
        <w:rFonts w:ascii="Courier New" w:hAnsi="Courier New" w:cs="Courier New" w:hint="default"/>
      </w:rPr>
    </w:lvl>
    <w:lvl w:ilvl="2" w:tplc="08090005" w:tentative="1">
      <w:start w:val="1"/>
      <w:numFmt w:val="bullet"/>
      <w:lvlText w:val=""/>
      <w:lvlJc w:val="left"/>
      <w:pPr>
        <w:ind w:left="3035" w:hanging="360"/>
      </w:pPr>
      <w:rPr>
        <w:rFonts w:ascii="Wingdings" w:hAnsi="Wingdings" w:hint="default"/>
      </w:rPr>
    </w:lvl>
    <w:lvl w:ilvl="3" w:tplc="08090001" w:tentative="1">
      <w:start w:val="1"/>
      <w:numFmt w:val="bullet"/>
      <w:lvlText w:val=""/>
      <w:lvlJc w:val="left"/>
      <w:pPr>
        <w:ind w:left="3755" w:hanging="360"/>
      </w:pPr>
      <w:rPr>
        <w:rFonts w:ascii="Symbol" w:hAnsi="Symbol" w:hint="default"/>
      </w:rPr>
    </w:lvl>
    <w:lvl w:ilvl="4" w:tplc="08090003" w:tentative="1">
      <w:start w:val="1"/>
      <w:numFmt w:val="bullet"/>
      <w:lvlText w:val="o"/>
      <w:lvlJc w:val="left"/>
      <w:pPr>
        <w:ind w:left="4475" w:hanging="360"/>
      </w:pPr>
      <w:rPr>
        <w:rFonts w:ascii="Courier New" w:hAnsi="Courier New" w:cs="Courier New" w:hint="default"/>
      </w:rPr>
    </w:lvl>
    <w:lvl w:ilvl="5" w:tplc="08090005" w:tentative="1">
      <w:start w:val="1"/>
      <w:numFmt w:val="bullet"/>
      <w:lvlText w:val=""/>
      <w:lvlJc w:val="left"/>
      <w:pPr>
        <w:ind w:left="5195" w:hanging="360"/>
      </w:pPr>
      <w:rPr>
        <w:rFonts w:ascii="Wingdings" w:hAnsi="Wingdings" w:hint="default"/>
      </w:rPr>
    </w:lvl>
    <w:lvl w:ilvl="6" w:tplc="08090001" w:tentative="1">
      <w:start w:val="1"/>
      <w:numFmt w:val="bullet"/>
      <w:lvlText w:val=""/>
      <w:lvlJc w:val="left"/>
      <w:pPr>
        <w:ind w:left="5915" w:hanging="360"/>
      </w:pPr>
      <w:rPr>
        <w:rFonts w:ascii="Symbol" w:hAnsi="Symbol" w:hint="default"/>
      </w:rPr>
    </w:lvl>
    <w:lvl w:ilvl="7" w:tplc="08090003" w:tentative="1">
      <w:start w:val="1"/>
      <w:numFmt w:val="bullet"/>
      <w:lvlText w:val="o"/>
      <w:lvlJc w:val="left"/>
      <w:pPr>
        <w:ind w:left="6635" w:hanging="360"/>
      </w:pPr>
      <w:rPr>
        <w:rFonts w:ascii="Courier New" w:hAnsi="Courier New" w:cs="Courier New" w:hint="default"/>
      </w:rPr>
    </w:lvl>
    <w:lvl w:ilvl="8" w:tplc="08090005" w:tentative="1">
      <w:start w:val="1"/>
      <w:numFmt w:val="bullet"/>
      <w:lvlText w:val=""/>
      <w:lvlJc w:val="left"/>
      <w:pPr>
        <w:ind w:left="7355" w:hanging="360"/>
      </w:pPr>
      <w:rPr>
        <w:rFonts w:ascii="Wingdings" w:hAnsi="Wingdings" w:hint="default"/>
      </w:rPr>
    </w:lvl>
  </w:abstractNum>
  <w:abstractNum w:abstractNumId="11" w15:restartNumberingAfterBreak="0">
    <w:nsid w:val="1F385F83"/>
    <w:multiLevelType w:val="hybridMultilevel"/>
    <w:tmpl w:val="EF24F686"/>
    <w:lvl w:ilvl="0" w:tplc="0809001B">
      <w:start w:val="1"/>
      <w:numFmt w:val="lowerRoman"/>
      <w:lvlText w:val="%1."/>
      <w:lvlJc w:val="righ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15:restartNumberingAfterBreak="0">
    <w:nsid w:val="205B0D4D"/>
    <w:multiLevelType w:val="hybridMultilevel"/>
    <w:tmpl w:val="EFE4A71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76910"/>
    <w:multiLevelType w:val="hybridMultilevel"/>
    <w:tmpl w:val="AE56C8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BC4CDB"/>
    <w:multiLevelType w:val="hybridMultilevel"/>
    <w:tmpl w:val="8828D7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2C7CB6"/>
    <w:multiLevelType w:val="hybridMultilevel"/>
    <w:tmpl w:val="A9662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205EFC"/>
    <w:multiLevelType w:val="hybridMultilevel"/>
    <w:tmpl w:val="70EA2BF2"/>
    <w:lvl w:ilvl="0" w:tplc="72B064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183EBB"/>
    <w:multiLevelType w:val="hybridMultilevel"/>
    <w:tmpl w:val="CBB0D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2"/>
  </w:num>
  <w:num w:numId="14">
    <w:abstractNumId w:val="11"/>
  </w:num>
  <w:num w:numId="15">
    <w:abstractNumId w:val="13"/>
  </w:num>
  <w:num w:numId="16">
    <w:abstractNumId w:val="14"/>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69"/>
    <w:rsid w:val="000210D4"/>
    <w:rsid w:val="00063016"/>
    <w:rsid w:val="00066795"/>
    <w:rsid w:val="00076AF6"/>
    <w:rsid w:val="00085CF2"/>
    <w:rsid w:val="000B1705"/>
    <w:rsid w:val="000D75B2"/>
    <w:rsid w:val="001121F5"/>
    <w:rsid w:val="001400DC"/>
    <w:rsid w:val="00140CE1"/>
    <w:rsid w:val="0017539C"/>
    <w:rsid w:val="00175AC2"/>
    <w:rsid w:val="0017609F"/>
    <w:rsid w:val="001C628E"/>
    <w:rsid w:val="001E0F7B"/>
    <w:rsid w:val="002119FD"/>
    <w:rsid w:val="002130E0"/>
    <w:rsid w:val="00264425"/>
    <w:rsid w:val="00265875"/>
    <w:rsid w:val="0027303B"/>
    <w:rsid w:val="0028109B"/>
    <w:rsid w:val="002A2188"/>
    <w:rsid w:val="002B1F58"/>
    <w:rsid w:val="002C1C7A"/>
    <w:rsid w:val="0030160F"/>
    <w:rsid w:val="00322D0D"/>
    <w:rsid w:val="003942D4"/>
    <w:rsid w:val="003958A8"/>
    <w:rsid w:val="003C2533"/>
    <w:rsid w:val="0040435A"/>
    <w:rsid w:val="00416A24"/>
    <w:rsid w:val="00431D9E"/>
    <w:rsid w:val="00433CE8"/>
    <w:rsid w:val="00434A5C"/>
    <w:rsid w:val="004544D9"/>
    <w:rsid w:val="00490E72"/>
    <w:rsid w:val="00491157"/>
    <w:rsid w:val="004921C8"/>
    <w:rsid w:val="004D1851"/>
    <w:rsid w:val="004D599D"/>
    <w:rsid w:val="004E2EA5"/>
    <w:rsid w:val="004E3AEB"/>
    <w:rsid w:val="00501AD8"/>
    <w:rsid w:val="0050223C"/>
    <w:rsid w:val="005243FF"/>
    <w:rsid w:val="00564FBC"/>
    <w:rsid w:val="00582442"/>
    <w:rsid w:val="005F3269"/>
    <w:rsid w:val="00623AE3"/>
    <w:rsid w:val="0064737F"/>
    <w:rsid w:val="006535F1"/>
    <w:rsid w:val="0065557D"/>
    <w:rsid w:val="00662984"/>
    <w:rsid w:val="006716BB"/>
    <w:rsid w:val="006848DD"/>
    <w:rsid w:val="006A0FA0"/>
    <w:rsid w:val="006B6680"/>
    <w:rsid w:val="006B6DCC"/>
    <w:rsid w:val="00702DEF"/>
    <w:rsid w:val="00706861"/>
    <w:rsid w:val="00722181"/>
    <w:rsid w:val="00740FE3"/>
    <w:rsid w:val="0075051B"/>
    <w:rsid w:val="007865CB"/>
    <w:rsid w:val="00793188"/>
    <w:rsid w:val="00794D34"/>
    <w:rsid w:val="007C31A6"/>
    <w:rsid w:val="00813E5E"/>
    <w:rsid w:val="0083581B"/>
    <w:rsid w:val="00864AFF"/>
    <w:rsid w:val="008B4A6A"/>
    <w:rsid w:val="008C7E27"/>
    <w:rsid w:val="009173EF"/>
    <w:rsid w:val="00932906"/>
    <w:rsid w:val="00961B0B"/>
    <w:rsid w:val="009B38C3"/>
    <w:rsid w:val="009C4C78"/>
    <w:rsid w:val="009E17BD"/>
    <w:rsid w:val="009E485A"/>
    <w:rsid w:val="009F275A"/>
    <w:rsid w:val="009F66A3"/>
    <w:rsid w:val="00A04CEC"/>
    <w:rsid w:val="00A27F92"/>
    <w:rsid w:val="00A32257"/>
    <w:rsid w:val="00A36D20"/>
    <w:rsid w:val="00A55622"/>
    <w:rsid w:val="00A83502"/>
    <w:rsid w:val="00A8382F"/>
    <w:rsid w:val="00A93619"/>
    <w:rsid w:val="00AC47C8"/>
    <w:rsid w:val="00AD15B3"/>
    <w:rsid w:val="00AD39A0"/>
    <w:rsid w:val="00AF6E49"/>
    <w:rsid w:val="00B04A67"/>
    <w:rsid w:val="00B0583C"/>
    <w:rsid w:val="00B15F1B"/>
    <w:rsid w:val="00B40A81"/>
    <w:rsid w:val="00B44910"/>
    <w:rsid w:val="00B72267"/>
    <w:rsid w:val="00B76EB6"/>
    <w:rsid w:val="00B7737B"/>
    <w:rsid w:val="00B824C8"/>
    <w:rsid w:val="00BC251A"/>
    <w:rsid w:val="00BD032B"/>
    <w:rsid w:val="00BE2640"/>
    <w:rsid w:val="00C01189"/>
    <w:rsid w:val="00C374DE"/>
    <w:rsid w:val="00C47AD4"/>
    <w:rsid w:val="00C52D81"/>
    <w:rsid w:val="00C55198"/>
    <w:rsid w:val="00CA6393"/>
    <w:rsid w:val="00CB18FF"/>
    <w:rsid w:val="00CD0C08"/>
    <w:rsid w:val="00CE03FB"/>
    <w:rsid w:val="00CE433C"/>
    <w:rsid w:val="00CF134B"/>
    <w:rsid w:val="00CF33F3"/>
    <w:rsid w:val="00CF5A9F"/>
    <w:rsid w:val="00D06183"/>
    <w:rsid w:val="00D22C42"/>
    <w:rsid w:val="00D338E0"/>
    <w:rsid w:val="00D65041"/>
    <w:rsid w:val="00D8774A"/>
    <w:rsid w:val="00DB384B"/>
    <w:rsid w:val="00DE4373"/>
    <w:rsid w:val="00E10E80"/>
    <w:rsid w:val="00E124F0"/>
    <w:rsid w:val="00E60F04"/>
    <w:rsid w:val="00E854E4"/>
    <w:rsid w:val="00EA2120"/>
    <w:rsid w:val="00EB0D6F"/>
    <w:rsid w:val="00EB2232"/>
    <w:rsid w:val="00EC5337"/>
    <w:rsid w:val="00EF4C18"/>
    <w:rsid w:val="00F2150A"/>
    <w:rsid w:val="00F231D8"/>
    <w:rsid w:val="00F46C5F"/>
    <w:rsid w:val="00F56668"/>
    <w:rsid w:val="00F94A63"/>
    <w:rsid w:val="00FA1C28"/>
    <w:rsid w:val="00FB1279"/>
    <w:rsid w:val="00FB7596"/>
    <w:rsid w:val="00FE4077"/>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E04E449"/>
  <w15:docId w15:val="{A767549E-D165-4988-9E2E-E5CFDB3A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813E5E"/>
    <w:rPr>
      <w:rFonts w:ascii="Calibri" w:hAnsi="Calibri"/>
      <w:position w:val="6"/>
      <w:sz w:val="16"/>
    </w:rPr>
  </w:style>
  <w:style w:type="paragraph" w:styleId="FootnoteText">
    <w:name w:val="footnote text"/>
    <w:basedOn w:val="Normal"/>
    <w:link w:val="FootnoteTextChar"/>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aliases w:val="CEO_Hyperlink"/>
    <w:basedOn w:val="DefaultParagraphFont"/>
    <w:uiPriority w:val="99"/>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NoSpacing">
    <w:name w:val="No Spacing"/>
    <w:uiPriority w:val="1"/>
    <w:qFormat/>
    <w:rsid w:val="00CF5A9F"/>
    <w:rPr>
      <w:rFonts w:asciiTheme="minorHAnsi" w:eastAsiaTheme="minorHAnsi" w:hAnsiTheme="minorHAnsi" w:cstheme="minorBidi"/>
      <w:sz w:val="22"/>
      <w:szCs w:val="22"/>
      <w:lang w:eastAsia="en-US"/>
    </w:rPr>
  </w:style>
  <w:style w:type="paragraph" w:customStyle="1" w:styleId="Default">
    <w:name w:val="Default"/>
    <w:rsid w:val="00CF134B"/>
    <w:pPr>
      <w:autoSpaceDE w:val="0"/>
      <w:autoSpaceDN w:val="0"/>
      <w:adjustRightInd w:val="0"/>
    </w:pPr>
    <w:rPr>
      <w:rFonts w:ascii="Calibri" w:eastAsiaTheme="minorHAnsi" w:hAnsi="Calibri" w:cs="Calibri"/>
      <w:color w:val="000000"/>
      <w:sz w:val="24"/>
      <w:szCs w:val="24"/>
      <w:lang w:eastAsia="en-US"/>
    </w:rPr>
  </w:style>
  <w:style w:type="character" w:customStyle="1" w:styleId="FootnoteTextChar">
    <w:name w:val="Footnote Text Char"/>
    <w:basedOn w:val="DefaultParagraphFont"/>
    <w:link w:val="FootnoteText"/>
    <w:uiPriority w:val="99"/>
    <w:rsid w:val="00CF134B"/>
    <w:rPr>
      <w:rFonts w:ascii="Calibri" w:hAnsi="Calibri"/>
      <w:sz w:val="24"/>
      <w:lang w:val="en-GB" w:eastAsia="en-US"/>
    </w:rPr>
  </w:style>
  <w:style w:type="character" w:styleId="UnresolvedMention">
    <w:name w:val="Unresolved Mention"/>
    <w:basedOn w:val="DefaultParagraphFont"/>
    <w:uiPriority w:val="99"/>
    <w:semiHidden/>
    <w:unhideWhenUsed/>
    <w:rsid w:val="006848DD"/>
    <w:rPr>
      <w:color w:val="605E5C"/>
      <w:shd w:val="clear" w:color="auto" w:fill="E1DFDD"/>
    </w:rPr>
  </w:style>
  <w:style w:type="paragraph" w:styleId="ListParagraph">
    <w:name w:val="List Paragraph"/>
    <w:aliases w:val="Recommendation,List Paragraph11,List Paragraph 1,List Paragraph1"/>
    <w:basedOn w:val="Normal"/>
    <w:link w:val="ListParagraphChar"/>
    <w:uiPriority w:val="34"/>
    <w:qFormat/>
    <w:rsid w:val="006A0FA0"/>
    <w:pPr>
      <w:tabs>
        <w:tab w:val="clear" w:pos="567"/>
        <w:tab w:val="clear" w:pos="1134"/>
        <w:tab w:val="clear" w:pos="1701"/>
        <w:tab w:val="clear" w:pos="2268"/>
        <w:tab w:val="clear" w:pos="2835"/>
      </w:tabs>
      <w:overflowPunct/>
      <w:autoSpaceDE/>
      <w:autoSpaceDN/>
      <w:adjustRightInd/>
      <w:spacing w:before="0"/>
      <w:ind w:left="720"/>
      <w:textAlignment w:val="auto"/>
    </w:pPr>
    <w:rPr>
      <w:rFonts w:ascii="Arial" w:eastAsia="SimSun" w:hAnsi="Arial"/>
      <w:sz w:val="22"/>
      <w:szCs w:val="24"/>
      <w:lang w:val="en-US" w:eastAsia="zh-CN"/>
    </w:rPr>
  </w:style>
  <w:style w:type="character" w:customStyle="1" w:styleId="HeaderChar">
    <w:name w:val="Header Char"/>
    <w:basedOn w:val="DefaultParagraphFont"/>
    <w:link w:val="Header"/>
    <w:rsid w:val="006A0FA0"/>
    <w:rPr>
      <w:rFonts w:ascii="Calibri" w:hAnsi="Calibri"/>
      <w:sz w:val="18"/>
      <w:lang w:val="en-GB" w:eastAsia="en-US"/>
    </w:rPr>
  </w:style>
  <w:style w:type="character" w:customStyle="1" w:styleId="FooterChar">
    <w:name w:val="Footer Char"/>
    <w:basedOn w:val="DefaultParagraphFont"/>
    <w:link w:val="Footer"/>
    <w:rsid w:val="006A0FA0"/>
    <w:rPr>
      <w:rFonts w:ascii="Calibri" w:hAnsi="Calibri"/>
      <w:caps/>
      <w:noProof/>
      <w:sz w:val="16"/>
      <w:lang w:val="en-GB" w:eastAsia="en-US"/>
    </w:rPr>
  </w:style>
  <w:style w:type="paragraph" w:customStyle="1" w:styleId="Fixed">
    <w:name w:val="Fixed"/>
    <w:rsid w:val="006A0FA0"/>
    <w:pPr>
      <w:widowControl w:val="0"/>
      <w:autoSpaceDE w:val="0"/>
      <w:autoSpaceDN w:val="0"/>
      <w:adjustRightInd w:val="0"/>
      <w:spacing w:line="285" w:lineRule="atLeast"/>
      <w:ind w:right="676"/>
    </w:pPr>
    <w:rPr>
      <w:rFonts w:ascii="Courier New" w:hAnsi="Courier New" w:cs="Courier New"/>
      <w:sz w:val="24"/>
      <w:szCs w:val="24"/>
      <w:lang w:eastAsia="en-US"/>
    </w:rPr>
  </w:style>
  <w:style w:type="character" w:customStyle="1" w:styleId="ListParagraphChar">
    <w:name w:val="List Paragraph Char"/>
    <w:aliases w:val="Recommendation Char,List Paragraph11 Char,List Paragraph 1 Char,List Paragraph1 Char"/>
    <w:link w:val="ListParagraph"/>
    <w:uiPriority w:val="34"/>
    <w:locked/>
    <w:rsid w:val="006A0FA0"/>
    <w:rPr>
      <w:rFonts w:ascii="Arial" w:eastAsia="SimSun" w:hAnsi="Arial"/>
      <w:sz w:val="22"/>
      <w:szCs w:val="24"/>
    </w:rPr>
  </w:style>
  <w:style w:type="paragraph" w:styleId="PlainText">
    <w:name w:val="Plain Text"/>
    <w:basedOn w:val="Normal"/>
    <w:link w:val="PlainTextChar"/>
    <w:uiPriority w:val="99"/>
    <w:unhideWhenUsed/>
    <w:rsid w:val="00501AD8"/>
    <w:pPr>
      <w:tabs>
        <w:tab w:val="clear" w:pos="567"/>
        <w:tab w:val="clear" w:pos="1134"/>
        <w:tab w:val="clear" w:pos="1701"/>
        <w:tab w:val="clear" w:pos="2268"/>
        <w:tab w:val="clear" w:pos="2835"/>
      </w:tabs>
      <w:overflowPunct/>
      <w:autoSpaceDE/>
      <w:autoSpaceDN/>
      <w:adjustRightInd/>
      <w:spacing w:before="0"/>
      <w:textAlignment w:val="auto"/>
    </w:pPr>
    <w:rPr>
      <w:rFonts w:cstheme="minorBidi"/>
      <w:sz w:val="28"/>
      <w:szCs w:val="21"/>
    </w:rPr>
  </w:style>
  <w:style w:type="character" w:customStyle="1" w:styleId="PlainTextChar">
    <w:name w:val="Plain Text Char"/>
    <w:basedOn w:val="DefaultParagraphFont"/>
    <w:link w:val="PlainText"/>
    <w:uiPriority w:val="99"/>
    <w:rsid w:val="00501AD8"/>
    <w:rPr>
      <w:rFonts w:ascii="Calibri" w:hAnsi="Calibri" w:cstheme="minorBidi"/>
      <w:sz w:val="28"/>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S21-CWGFHR12-C-0017/en" TargetMode="External"/><Relationship Id="rId18" Type="http://schemas.openxmlformats.org/officeDocument/2006/relationships/hyperlink" Target="https://www.itu.int/md/S21-AHGFHR1-C-0006/en" TargetMode="External"/><Relationship Id="rId26" Type="http://schemas.openxmlformats.org/officeDocument/2006/relationships/hyperlink" Target="https://itu.foleon.com/itu/connect-2030-agenda/home/" TargetMode="External"/><Relationship Id="rId39" Type="http://schemas.openxmlformats.org/officeDocument/2006/relationships/image" Target="media/image8.png"/><Relationship Id="rId21" Type="http://schemas.openxmlformats.org/officeDocument/2006/relationships/hyperlink" Target="https://www.itu.int/md/S21-AHGFHR2-C-0004/en" TargetMode="External"/><Relationship Id="rId34" Type="http://schemas.openxmlformats.org/officeDocument/2006/relationships/header" Target="header3.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md/S21-AHGFHR1-C-0005/en" TargetMode="External"/><Relationship Id="rId20" Type="http://schemas.openxmlformats.org/officeDocument/2006/relationships/hyperlink" Target="https://www.itu.int/md/S21-AHGFHR2-C-0003/en" TargetMode="External"/><Relationship Id="rId29" Type="http://schemas.openxmlformats.org/officeDocument/2006/relationships/hyperlink" Target="https://www.itu.int/md/S21-AHGFHR2-C-0004/e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S20-CL-C-0074/en" TargetMode="External"/><Relationship Id="rId24" Type="http://schemas.openxmlformats.org/officeDocument/2006/relationships/hyperlink" Target="https://www.itu.int/md/S21-AHGFHR2-C-0002/en"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itu.int/md/S21-AHGFHR1-C-0002/en" TargetMode="External"/><Relationship Id="rId23" Type="http://schemas.openxmlformats.org/officeDocument/2006/relationships/hyperlink" Target="https://www.itu.int/md/S21-AHGFHR2-C-0006/en" TargetMode="External"/><Relationship Id="rId28" Type="http://schemas.openxmlformats.org/officeDocument/2006/relationships/image" Target="media/image3.png"/><Relationship Id="rId36" Type="http://schemas.openxmlformats.org/officeDocument/2006/relationships/image" Target="media/image5.png"/><Relationship Id="rId10" Type="http://schemas.openxmlformats.org/officeDocument/2006/relationships/hyperlink" Target="https://www.itu.int/md/S19-CL-C-0142/en" TargetMode="External"/><Relationship Id="rId19" Type="http://schemas.openxmlformats.org/officeDocument/2006/relationships/hyperlink" Target="https://www.itu.int/md/S21-AHGFHR1-C-0006/en" TargetMode="External"/><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md/S20-CL-C-0050/en" TargetMode="External"/><Relationship Id="rId14" Type="http://schemas.openxmlformats.org/officeDocument/2006/relationships/hyperlink" Target="https://www.itu.int/md/S21-AHGFHR1-C-0003/en" TargetMode="External"/><Relationship Id="rId22" Type="http://schemas.openxmlformats.org/officeDocument/2006/relationships/hyperlink" Target="https://www.itu.int/md/S21-AHGFHR2-C-0005/en" TargetMode="External"/><Relationship Id="rId27"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tu.int/md/S20-CL-C-0075/en" TargetMode="External"/><Relationship Id="rId17" Type="http://schemas.openxmlformats.org/officeDocument/2006/relationships/hyperlink" Target="https://www.itu.int/md/S21-AHGFHR1-C-0004/en" TargetMode="External"/><Relationship Id="rId25" Type="http://schemas.openxmlformats.org/officeDocument/2006/relationships/hyperlink" Target="https://www.itu.int/md/S21-AHGFHR2-C-0005/en" TargetMode="External"/><Relationship Id="rId33" Type="http://schemas.openxmlformats.org/officeDocument/2006/relationships/header" Target="header2.xml"/><Relationship Id="rId3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4963E-0BE0-44B2-8BB2-30F54277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13</Pages>
  <Words>3272</Words>
  <Characters>19339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C21 Template</vt:lpstr>
    </vt:vector>
  </TitlesOfParts>
  <Manager>General Secretariat - Pool</Manager>
  <Company>International Telecommunication Union (ITU)</Company>
  <LinksUpToDate>false</LinksUpToDate>
  <CharactersWithSpaces>22566</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C21 Template</dc:title>
  <dc:subject>Council 2021, Virtual consultation of councillors</dc:subject>
  <dc:creator>Brouard, Ricarda</dc:creator>
  <cp:keywords>C2021, C21, VCC, C21-VCC-1</cp:keywords>
  <dc:description/>
  <cp:lastModifiedBy>Brouard, Ricarda</cp:lastModifiedBy>
  <cp:revision>3</cp:revision>
  <cp:lastPrinted>2000-07-18T13:30:00Z</cp:lastPrinted>
  <dcterms:created xsi:type="dcterms:W3CDTF">2021-06-04T11:27:00Z</dcterms:created>
  <dcterms:modified xsi:type="dcterms:W3CDTF">2021-06-04T12:35:00Z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