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67C05" w14:paraId="72DBAFC1" w14:textId="77777777">
        <w:trPr>
          <w:cantSplit/>
        </w:trPr>
        <w:tc>
          <w:tcPr>
            <w:tcW w:w="6912" w:type="dxa"/>
          </w:tcPr>
          <w:p w14:paraId="408AC36F" w14:textId="77777777" w:rsidR="00093EEB" w:rsidRPr="00467C05" w:rsidRDefault="00093EEB" w:rsidP="00C2727F">
            <w:pPr>
              <w:spacing w:before="360"/>
              <w:rPr>
                <w:szCs w:val="24"/>
                <w:lang w:val="es-ES"/>
              </w:rPr>
            </w:pPr>
            <w:bookmarkStart w:id="0" w:name="dc06"/>
            <w:bookmarkStart w:id="1" w:name="dbluepink" w:colFirst="0" w:colLast="0"/>
            <w:bookmarkEnd w:id="0"/>
            <w:r w:rsidRPr="00467C05">
              <w:rPr>
                <w:b/>
                <w:bCs/>
                <w:sz w:val="30"/>
                <w:szCs w:val="30"/>
                <w:lang w:val="es-ES"/>
              </w:rPr>
              <w:t>Consejo 20</w:t>
            </w:r>
            <w:r w:rsidR="007955DA" w:rsidRPr="00467C05">
              <w:rPr>
                <w:b/>
                <w:bCs/>
                <w:sz w:val="30"/>
                <w:szCs w:val="30"/>
                <w:lang w:val="es-ES"/>
              </w:rPr>
              <w:t>2</w:t>
            </w:r>
            <w:r w:rsidR="000007D1" w:rsidRPr="00467C05">
              <w:rPr>
                <w:b/>
                <w:bCs/>
                <w:sz w:val="30"/>
                <w:szCs w:val="30"/>
                <w:lang w:val="es-ES"/>
              </w:rPr>
              <w:t>1</w:t>
            </w:r>
            <w:r w:rsidRPr="00467C05">
              <w:rPr>
                <w:b/>
                <w:bCs/>
                <w:sz w:val="26"/>
                <w:szCs w:val="26"/>
                <w:lang w:val="es-ES"/>
              </w:rPr>
              <w:br/>
            </w:r>
            <w:bookmarkStart w:id="2" w:name="lt_pId446"/>
            <w:r w:rsidR="000007D1" w:rsidRPr="00467C05">
              <w:rPr>
                <w:b/>
                <w:bCs/>
                <w:sz w:val="26"/>
                <w:szCs w:val="26"/>
                <w:lang w:val="es-ES"/>
              </w:rPr>
              <w:t>Consulta virtual de los consejeros</w:t>
            </w:r>
            <w:bookmarkEnd w:id="2"/>
            <w:r w:rsidRPr="00467C05">
              <w:rPr>
                <w:b/>
                <w:bCs/>
                <w:sz w:val="26"/>
                <w:szCs w:val="26"/>
                <w:lang w:val="es-ES"/>
              </w:rPr>
              <w:t xml:space="preserve">, </w:t>
            </w:r>
            <w:r w:rsidR="000007D1" w:rsidRPr="00467C05">
              <w:rPr>
                <w:b/>
                <w:bCs/>
                <w:sz w:val="26"/>
                <w:szCs w:val="26"/>
                <w:lang w:val="es-ES"/>
              </w:rPr>
              <w:t>8</w:t>
            </w:r>
            <w:r w:rsidRPr="00467C05">
              <w:rPr>
                <w:b/>
                <w:bCs/>
                <w:sz w:val="26"/>
                <w:szCs w:val="26"/>
                <w:lang w:val="es-ES"/>
              </w:rPr>
              <w:t>-</w:t>
            </w:r>
            <w:r w:rsidR="007955DA" w:rsidRPr="00467C05">
              <w:rPr>
                <w:b/>
                <w:bCs/>
                <w:sz w:val="26"/>
                <w:szCs w:val="26"/>
                <w:lang w:val="es-ES"/>
              </w:rPr>
              <w:t>1</w:t>
            </w:r>
            <w:r w:rsidR="000007D1" w:rsidRPr="00467C05">
              <w:rPr>
                <w:b/>
                <w:bCs/>
                <w:sz w:val="26"/>
                <w:szCs w:val="26"/>
                <w:lang w:val="es-ES"/>
              </w:rPr>
              <w:t>8</w:t>
            </w:r>
            <w:r w:rsidRPr="00467C05">
              <w:rPr>
                <w:b/>
                <w:bCs/>
                <w:sz w:val="26"/>
                <w:szCs w:val="26"/>
                <w:lang w:val="es-ES"/>
              </w:rPr>
              <w:t xml:space="preserve"> de </w:t>
            </w:r>
            <w:r w:rsidR="00C2727F" w:rsidRPr="00467C05">
              <w:rPr>
                <w:b/>
                <w:bCs/>
                <w:sz w:val="26"/>
                <w:szCs w:val="26"/>
                <w:lang w:val="es-ES"/>
              </w:rPr>
              <w:t>junio</w:t>
            </w:r>
            <w:r w:rsidRPr="00467C05">
              <w:rPr>
                <w:b/>
                <w:bCs/>
                <w:sz w:val="26"/>
                <w:szCs w:val="26"/>
                <w:lang w:val="es-ES"/>
              </w:rPr>
              <w:t xml:space="preserve"> de 20</w:t>
            </w:r>
            <w:r w:rsidR="007955DA" w:rsidRPr="00467C05">
              <w:rPr>
                <w:b/>
                <w:bCs/>
                <w:sz w:val="26"/>
                <w:szCs w:val="26"/>
                <w:lang w:val="es-ES"/>
              </w:rPr>
              <w:t>2</w:t>
            </w:r>
            <w:r w:rsidR="000007D1" w:rsidRPr="00467C05">
              <w:rPr>
                <w:b/>
                <w:bCs/>
                <w:sz w:val="26"/>
                <w:szCs w:val="26"/>
                <w:lang w:val="es-ES"/>
              </w:rPr>
              <w:t>1</w:t>
            </w:r>
          </w:p>
        </w:tc>
        <w:tc>
          <w:tcPr>
            <w:tcW w:w="3261" w:type="dxa"/>
          </w:tcPr>
          <w:p w14:paraId="26785EDB" w14:textId="77777777" w:rsidR="00093EEB" w:rsidRPr="00467C05" w:rsidRDefault="007955DA" w:rsidP="007955DA">
            <w:pPr>
              <w:spacing w:before="0"/>
              <w:rPr>
                <w:szCs w:val="24"/>
                <w:lang w:val="es-ES"/>
              </w:rPr>
            </w:pPr>
            <w:bookmarkStart w:id="3" w:name="ditulogo"/>
            <w:bookmarkEnd w:id="3"/>
            <w:r w:rsidRPr="00467C05">
              <w:rPr>
                <w:noProof/>
                <w:lang w:val="en-US"/>
              </w:rPr>
              <w:drawing>
                <wp:inline distT="0" distB="0" distL="0" distR="0" wp14:anchorId="2CD8B25D" wp14:editId="103F6B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67C05" w14:paraId="1D9E8B21" w14:textId="77777777">
        <w:trPr>
          <w:cantSplit/>
          <w:trHeight w:val="20"/>
        </w:trPr>
        <w:tc>
          <w:tcPr>
            <w:tcW w:w="10173" w:type="dxa"/>
            <w:gridSpan w:val="2"/>
            <w:tcBorders>
              <w:bottom w:val="single" w:sz="12" w:space="0" w:color="auto"/>
            </w:tcBorders>
          </w:tcPr>
          <w:p w14:paraId="70F261CB" w14:textId="77777777" w:rsidR="00093EEB" w:rsidRPr="00467C05" w:rsidRDefault="00093EEB">
            <w:pPr>
              <w:spacing w:before="0"/>
              <w:rPr>
                <w:b/>
                <w:bCs/>
                <w:szCs w:val="24"/>
                <w:lang w:val="es-ES"/>
              </w:rPr>
            </w:pPr>
          </w:p>
        </w:tc>
      </w:tr>
      <w:tr w:rsidR="00093EEB" w:rsidRPr="00467C05" w14:paraId="502F1989" w14:textId="77777777">
        <w:trPr>
          <w:cantSplit/>
          <w:trHeight w:val="20"/>
        </w:trPr>
        <w:tc>
          <w:tcPr>
            <w:tcW w:w="6912" w:type="dxa"/>
            <w:tcBorders>
              <w:top w:val="single" w:sz="12" w:space="0" w:color="auto"/>
            </w:tcBorders>
          </w:tcPr>
          <w:p w14:paraId="664C377E" w14:textId="77777777" w:rsidR="00093EEB" w:rsidRPr="00467C05"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4F9DA0E" w14:textId="77777777" w:rsidR="00093EEB" w:rsidRPr="00467C05" w:rsidRDefault="00093EEB">
            <w:pPr>
              <w:spacing w:before="0"/>
              <w:rPr>
                <w:b/>
                <w:bCs/>
                <w:szCs w:val="24"/>
                <w:lang w:val="es-ES"/>
              </w:rPr>
            </w:pPr>
          </w:p>
        </w:tc>
      </w:tr>
      <w:tr w:rsidR="00093EEB" w:rsidRPr="00467C05" w14:paraId="51F97D68" w14:textId="77777777">
        <w:trPr>
          <w:cantSplit/>
          <w:trHeight w:val="20"/>
        </w:trPr>
        <w:tc>
          <w:tcPr>
            <w:tcW w:w="6912" w:type="dxa"/>
            <w:shd w:val="clear" w:color="auto" w:fill="auto"/>
          </w:tcPr>
          <w:p w14:paraId="39F37D6D" w14:textId="77777777" w:rsidR="00093EEB" w:rsidRPr="00467C05" w:rsidRDefault="000C67EA">
            <w:pPr>
              <w:tabs>
                <w:tab w:val="clear" w:pos="2268"/>
                <w:tab w:val="left" w:pos="1560"/>
                <w:tab w:val="left" w:pos="2269"/>
                <w:tab w:val="left" w:pos="3544"/>
                <w:tab w:val="left" w:pos="3969"/>
              </w:tabs>
              <w:spacing w:before="0" w:line="240" w:lineRule="atLeast"/>
              <w:rPr>
                <w:rFonts w:cs="Times"/>
                <w:b/>
                <w:szCs w:val="24"/>
                <w:lang w:val="es-ES"/>
              </w:rPr>
            </w:pPr>
            <w:bookmarkStart w:id="4" w:name="lt_pId007"/>
            <w:bookmarkStart w:id="5" w:name="dnum" w:colFirst="1" w:colLast="1"/>
            <w:bookmarkStart w:id="6" w:name="dmeeting" w:colFirst="0" w:colLast="0"/>
            <w:r w:rsidRPr="00467C05">
              <w:rPr>
                <w:rFonts w:cs="Times"/>
                <w:b/>
                <w:szCs w:val="24"/>
                <w:lang w:val="es-ES"/>
              </w:rPr>
              <w:t>P</w:t>
            </w:r>
            <w:r w:rsidR="005F222A" w:rsidRPr="00467C05">
              <w:rPr>
                <w:rFonts w:cs="Times"/>
                <w:b/>
                <w:szCs w:val="24"/>
                <w:lang w:val="es-ES"/>
              </w:rPr>
              <w:t>unto del orden del día</w:t>
            </w:r>
            <w:r w:rsidR="00431C9B" w:rsidRPr="00467C05">
              <w:rPr>
                <w:rFonts w:cs="Times"/>
                <w:b/>
                <w:szCs w:val="24"/>
                <w:lang w:val="es-ES"/>
              </w:rPr>
              <w:t>: ADM 4</w:t>
            </w:r>
            <w:bookmarkEnd w:id="4"/>
          </w:p>
        </w:tc>
        <w:tc>
          <w:tcPr>
            <w:tcW w:w="3261" w:type="dxa"/>
          </w:tcPr>
          <w:p w14:paraId="4D1FA493" w14:textId="77777777" w:rsidR="00093EEB" w:rsidRPr="00467C05" w:rsidRDefault="00093EEB" w:rsidP="00C2727F">
            <w:pPr>
              <w:spacing w:before="0"/>
              <w:rPr>
                <w:b/>
                <w:bCs/>
                <w:szCs w:val="24"/>
                <w:lang w:val="es-ES"/>
              </w:rPr>
            </w:pPr>
            <w:r w:rsidRPr="00467C05">
              <w:rPr>
                <w:b/>
                <w:bCs/>
                <w:szCs w:val="24"/>
                <w:lang w:val="es-ES"/>
              </w:rPr>
              <w:t>Documento C</w:t>
            </w:r>
            <w:r w:rsidR="007955DA" w:rsidRPr="00467C05">
              <w:rPr>
                <w:b/>
                <w:bCs/>
                <w:szCs w:val="24"/>
                <w:lang w:val="es-ES"/>
              </w:rPr>
              <w:t>2</w:t>
            </w:r>
            <w:r w:rsidR="000007D1" w:rsidRPr="00467C05">
              <w:rPr>
                <w:b/>
                <w:bCs/>
                <w:szCs w:val="24"/>
                <w:lang w:val="es-ES"/>
              </w:rPr>
              <w:t>1</w:t>
            </w:r>
            <w:r w:rsidRPr="00467C05">
              <w:rPr>
                <w:b/>
                <w:bCs/>
                <w:szCs w:val="24"/>
                <w:lang w:val="es-ES"/>
              </w:rPr>
              <w:t>/</w:t>
            </w:r>
            <w:r w:rsidR="00431C9B" w:rsidRPr="00467C05">
              <w:rPr>
                <w:b/>
                <w:bCs/>
                <w:szCs w:val="24"/>
                <w:lang w:val="es-ES"/>
              </w:rPr>
              <w:t>50</w:t>
            </w:r>
            <w:r w:rsidRPr="00467C05">
              <w:rPr>
                <w:b/>
                <w:bCs/>
                <w:szCs w:val="24"/>
                <w:lang w:val="es-ES"/>
              </w:rPr>
              <w:t>-S</w:t>
            </w:r>
          </w:p>
        </w:tc>
      </w:tr>
      <w:tr w:rsidR="00093EEB" w:rsidRPr="00467C05" w14:paraId="453D1C10" w14:textId="77777777">
        <w:trPr>
          <w:cantSplit/>
          <w:trHeight w:val="20"/>
        </w:trPr>
        <w:tc>
          <w:tcPr>
            <w:tcW w:w="6912" w:type="dxa"/>
            <w:shd w:val="clear" w:color="auto" w:fill="auto"/>
          </w:tcPr>
          <w:p w14:paraId="6B4CEF19" w14:textId="77777777" w:rsidR="00093EEB" w:rsidRPr="00467C05" w:rsidRDefault="00093EEB">
            <w:pPr>
              <w:shd w:val="solid" w:color="FFFFFF" w:fill="FFFFFF"/>
              <w:spacing w:before="0"/>
              <w:rPr>
                <w:smallCaps/>
                <w:szCs w:val="24"/>
                <w:lang w:val="es-ES"/>
              </w:rPr>
            </w:pPr>
            <w:bookmarkStart w:id="7" w:name="ddate" w:colFirst="1" w:colLast="1"/>
            <w:bookmarkEnd w:id="5"/>
            <w:bookmarkEnd w:id="6"/>
          </w:p>
        </w:tc>
        <w:tc>
          <w:tcPr>
            <w:tcW w:w="3261" w:type="dxa"/>
          </w:tcPr>
          <w:p w14:paraId="017D76A4" w14:textId="77777777" w:rsidR="00093EEB" w:rsidRPr="00467C05" w:rsidRDefault="00431C9B" w:rsidP="00C2727F">
            <w:pPr>
              <w:spacing w:before="0"/>
              <w:rPr>
                <w:b/>
                <w:bCs/>
                <w:szCs w:val="24"/>
                <w:lang w:val="es-ES"/>
              </w:rPr>
            </w:pPr>
            <w:r w:rsidRPr="00467C05">
              <w:rPr>
                <w:b/>
                <w:bCs/>
                <w:szCs w:val="24"/>
                <w:lang w:val="es-ES"/>
              </w:rPr>
              <w:t>5 de marzo</w:t>
            </w:r>
            <w:r w:rsidR="00093EEB" w:rsidRPr="00467C05">
              <w:rPr>
                <w:b/>
                <w:bCs/>
                <w:szCs w:val="24"/>
                <w:lang w:val="es-ES"/>
              </w:rPr>
              <w:t xml:space="preserve"> de 20</w:t>
            </w:r>
            <w:r w:rsidR="007955DA" w:rsidRPr="00467C05">
              <w:rPr>
                <w:b/>
                <w:bCs/>
                <w:szCs w:val="24"/>
                <w:lang w:val="es-ES"/>
              </w:rPr>
              <w:t>2</w:t>
            </w:r>
            <w:r w:rsidR="000007D1" w:rsidRPr="00467C05">
              <w:rPr>
                <w:b/>
                <w:bCs/>
                <w:szCs w:val="24"/>
                <w:lang w:val="es-ES"/>
              </w:rPr>
              <w:t>1</w:t>
            </w:r>
          </w:p>
        </w:tc>
      </w:tr>
      <w:tr w:rsidR="00093EEB" w:rsidRPr="00467C05" w14:paraId="1DCE18C2" w14:textId="77777777">
        <w:trPr>
          <w:cantSplit/>
          <w:trHeight w:val="20"/>
        </w:trPr>
        <w:tc>
          <w:tcPr>
            <w:tcW w:w="6912" w:type="dxa"/>
            <w:shd w:val="clear" w:color="auto" w:fill="auto"/>
          </w:tcPr>
          <w:p w14:paraId="546A6B47" w14:textId="77777777" w:rsidR="00093EEB" w:rsidRPr="00467C05" w:rsidRDefault="00093EEB">
            <w:pPr>
              <w:shd w:val="solid" w:color="FFFFFF" w:fill="FFFFFF"/>
              <w:spacing w:before="0"/>
              <w:rPr>
                <w:smallCaps/>
                <w:szCs w:val="24"/>
                <w:lang w:val="es-ES"/>
              </w:rPr>
            </w:pPr>
            <w:bookmarkStart w:id="8" w:name="dorlang" w:colFirst="1" w:colLast="1"/>
            <w:bookmarkEnd w:id="7"/>
          </w:p>
        </w:tc>
        <w:tc>
          <w:tcPr>
            <w:tcW w:w="3261" w:type="dxa"/>
          </w:tcPr>
          <w:p w14:paraId="11A26374" w14:textId="77777777" w:rsidR="00093EEB" w:rsidRPr="00467C05" w:rsidRDefault="00093EEB" w:rsidP="00093EEB">
            <w:pPr>
              <w:spacing w:before="0"/>
              <w:rPr>
                <w:b/>
                <w:bCs/>
                <w:szCs w:val="24"/>
                <w:lang w:val="es-ES"/>
              </w:rPr>
            </w:pPr>
            <w:r w:rsidRPr="00467C05">
              <w:rPr>
                <w:b/>
                <w:bCs/>
                <w:szCs w:val="24"/>
                <w:lang w:val="es-ES"/>
              </w:rPr>
              <w:t>Original: inglés</w:t>
            </w:r>
          </w:p>
        </w:tc>
      </w:tr>
      <w:tr w:rsidR="00093EEB" w:rsidRPr="00467C05" w14:paraId="245E1D38" w14:textId="77777777">
        <w:trPr>
          <w:cantSplit/>
        </w:trPr>
        <w:tc>
          <w:tcPr>
            <w:tcW w:w="10173" w:type="dxa"/>
            <w:gridSpan w:val="2"/>
          </w:tcPr>
          <w:p w14:paraId="06988620" w14:textId="77777777" w:rsidR="00093EEB" w:rsidRPr="00467C05" w:rsidRDefault="00431C9B" w:rsidP="005F222A">
            <w:pPr>
              <w:pStyle w:val="Source"/>
              <w:rPr>
                <w:lang w:val="es-ES"/>
              </w:rPr>
            </w:pPr>
            <w:bookmarkStart w:id="9" w:name="dsource" w:colFirst="0" w:colLast="0"/>
            <w:bookmarkEnd w:id="1"/>
            <w:bookmarkEnd w:id="8"/>
            <w:r w:rsidRPr="00467C05">
              <w:rPr>
                <w:lang w:val="es-ES"/>
              </w:rPr>
              <w:t>Informe de</w:t>
            </w:r>
            <w:r w:rsidR="005F222A" w:rsidRPr="00467C05">
              <w:rPr>
                <w:lang w:val="es-ES"/>
              </w:rPr>
              <w:t xml:space="preserve"> </w:t>
            </w:r>
            <w:r w:rsidRPr="00467C05">
              <w:rPr>
                <w:lang w:val="es-ES"/>
              </w:rPr>
              <w:t>l</w:t>
            </w:r>
            <w:r w:rsidR="005F222A" w:rsidRPr="00467C05">
              <w:rPr>
                <w:lang w:val="es-ES"/>
              </w:rPr>
              <w:t>a</w:t>
            </w:r>
            <w:r w:rsidRPr="00467C05">
              <w:rPr>
                <w:lang w:val="es-ES"/>
              </w:rPr>
              <w:t xml:space="preserve"> President</w:t>
            </w:r>
            <w:r w:rsidR="005F222A" w:rsidRPr="00467C05">
              <w:rPr>
                <w:lang w:val="es-ES"/>
              </w:rPr>
              <w:t>a</w:t>
            </w:r>
            <w:r w:rsidRPr="00467C05">
              <w:rPr>
                <w:lang w:val="es-ES"/>
              </w:rPr>
              <w:t xml:space="preserve"> del Grupo de Trabajo del Consejo</w:t>
            </w:r>
            <w:r w:rsidRPr="00467C05">
              <w:rPr>
                <w:lang w:val="es-ES"/>
              </w:rPr>
              <w:br/>
              <w:t>sobre Recursos Humanos y Financieros (GTC-RHF)</w:t>
            </w:r>
          </w:p>
        </w:tc>
      </w:tr>
      <w:tr w:rsidR="00093EEB" w:rsidRPr="00467C05" w14:paraId="41287778" w14:textId="77777777">
        <w:trPr>
          <w:cantSplit/>
        </w:trPr>
        <w:tc>
          <w:tcPr>
            <w:tcW w:w="10173" w:type="dxa"/>
            <w:gridSpan w:val="2"/>
          </w:tcPr>
          <w:p w14:paraId="4993AB89" w14:textId="77777777" w:rsidR="00093EEB" w:rsidRPr="00467C05" w:rsidRDefault="00093EEB" w:rsidP="005F222A">
            <w:pPr>
              <w:pStyle w:val="Title1"/>
              <w:jc w:val="left"/>
              <w:rPr>
                <w:lang w:val="es-ES"/>
              </w:rPr>
            </w:pPr>
            <w:bookmarkStart w:id="10" w:name="dtitle1" w:colFirst="0" w:colLast="0"/>
            <w:bookmarkEnd w:id="9"/>
          </w:p>
        </w:tc>
      </w:tr>
      <w:bookmarkEnd w:id="10"/>
    </w:tbl>
    <w:p w14:paraId="487C021F" w14:textId="77777777" w:rsidR="00093EEB" w:rsidRPr="00467C05" w:rsidRDefault="00093EEB" w:rsidP="005F222A">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67C05" w14:paraId="2469E05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6A3CB2" w14:textId="77777777" w:rsidR="00093EEB" w:rsidRPr="00467C05" w:rsidRDefault="00093EEB" w:rsidP="005F222A">
            <w:pPr>
              <w:pStyle w:val="Headingb"/>
              <w:rPr>
                <w:lang w:val="es-ES"/>
              </w:rPr>
            </w:pPr>
            <w:r w:rsidRPr="00467C05">
              <w:rPr>
                <w:lang w:val="es-ES"/>
              </w:rPr>
              <w:t>Resumen</w:t>
            </w:r>
          </w:p>
          <w:p w14:paraId="7EA765E8" w14:textId="1CF3578E" w:rsidR="00093EEB" w:rsidRPr="00467C05" w:rsidRDefault="00431C9B" w:rsidP="005F222A">
            <w:pPr>
              <w:rPr>
                <w:lang w:val="es-ES"/>
              </w:rPr>
            </w:pPr>
            <w:r w:rsidRPr="00467C05">
              <w:rPr>
                <w:lang w:val="es-ES"/>
              </w:rPr>
              <w:t>El presente documento contiene un informe sobre las deliberaciones de las reun</w:t>
            </w:r>
            <w:r w:rsidR="005F222A" w:rsidRPr="00467C05">
              <w:rPr>
                <w:lang w:val="es-ES"/>
              </w:rPr>
              <w:t xml:space="preserve">iones que el GTC-RHF celebró el 25 </w:t>
            </w:r>
            <w:r w:rsidRPr="00467C05">
              <w:rPr>
                <w:lang w:val="es-ES"/>
              </w:rPr>
              <w:t xml:space="preserve">y </w:t>
            </w:r>
            <w:r w:rsidR="005F222A" w:rsidRPr="00467C05">
              <w:rPr>
                <w:lang w:val="es-ES"/>
              </w:rPr>
              <w:t>el 26</w:t>
            </w:r>
            <w:r w:rsidRPr="00467C05">
              <w:rPr>
                <w:lang w:val="es-ES"/>
              </w:rPr>
              <w:t xml:space="preserve"> de </w:t>
            </w:r>
            <w:r w:rsidR="005F222A" w:rsidRPr="00467C05">
              <w:rPr>
                <w:lang w:val="es-ES"/>
              </w:rPr>
              <w:t>enero</w:t>
            </w:r>
            <w:r w:rsidRPr="00467C05">
              <w:rPr>
                <w:lang w:val="es-ES"/>
              </w:rPr>
              <w:t xml:space="preserve"> de 202</w:t>
            </w:r>
            <w:r w:rsidR="00191259">
              <w:rPr>
                <w:lang w:val="es-ES"/>
              </w:rPr>
              <w:t>1</w:t>
            </w:r>
            <w:r w:rsidRPr="00467C05">
              <w:rPr>
                <w:lang w:val="es-ES"/>
              </w:rPr>
              <w:t>.</w:t>
            </w:r>
          </w:p>
          <w:p w14:paraId="76FD6F09" w14:textId="77777777" w:rsidR="00093EEB" w:rsidRPr="00467C05" w:rsidRDefault="00093EEB" w:rsidP="005F222A">
            <w:pPr>
              <w:pStyle w:val="Headingb"/>
              <w:rPr>
                <w:lang w:val="es-ES"/>
              </w:rPr>
            </w:pPr>
            <w:r w:rsidRPr="00467C05">
              <w:rPr>
                <w:lang w:val="es-ES"/>
              </w:rPr>
              <w:t>Acción solicitada</w:t>
            </w:r>
          </w:p>
          <w:p w14:paraId="7399B2EA" w14:textId="77777777" w:rsidR="00093EEB" w:rsidRPr="00467C05" w:rsidRDefault="00431C9B" w:rsidP="005F222A">
            <w:pPr>
              <w:rPr>
                <w:lang w:val="es-ES"/>
              </w:rPr>
            </w:pPr>
            <w:r w:rsidRPr="00467C05">
              <w:rPr>
                <w:lang w:val="es-ES"/>
              </w:rPr>
              <w:t xml:space="preserve">Se invita </w:t>
            </w:r>
            <w:r w:rsidR="007A16C8">
              <w:rPr>
                <w:lang w:val="es-ES"/>
              </w:rPr>
              <w:t>a los consejeros</w:t>
            </w:r>
            <w:r w:rsidRPr="00467C05">
              <w:rPr>
                <w:lang w:val="es-ES"/>
              </w:rPr>
              <w:t xml:space="preserve"> a </w:t>
            </w:r>
            <w:r w:rsidRPr="00467C05">
              <w:rPr>
                <w:b/>
                <w:bCs/>
                <w:lang w:val="es-ES"/>
              </w:rPr>
              <w:t>tomar nota</w:t>
            </w:r>
            <w:r w:rsidRPr="00467C05">
              <w:rPr>
                <w:lang w:val="es-ES"/>
              </w:rPr>
              <w:t xml:space="preserve"> de </w:t>
            </w:r>
            <w:r w:rsidR="007A16C8">
              <w:rPr>
                <w:lang w:val="es-ES"/>
              </w:rPr>
              <w:t>los trabajos</w:t>
            </w:r>
            <w:r w:rsidRPr="00467C05">
              <w:rPr>
                <w:lang w:val="es-ES"/>
              </w:rPr>
              <w:t xml:space="preserve"> del GTC-RHF, a </w:t>
            </w:r>
            <w:r w:rsidRPr="00467C05">
              <w:rPr>
                <w:b/>
                <w:bCs/>
                <w:lang w:val="es-ES"/>
              </w:rPr>
              <w:t xml:space="preserve">considerar </w:t>
            </w:r>
            <w:r w:rsidRPr="00467C05">
              <w:rPr>
                <w:bCs/>
                <w:lang w:val="es-ES"/>
              </w:rPr>
              <w:t>las medidas señaladas en el informe</w:t>
            </w:r>
            <w:r w:rsidRPr="00467C05">
              <w:rPr>
                <w:lang w:val="es-ES"/>
              </w:rPr>
              <w:t xml:space="preserve"> </w:t>
            </w:r>
            <w:r w:rsidRPr="00467C05">
              <w:rPr>
                <w:bCs/>
                <w:lang w:val="es-ES"/>
              </w:rPr>
              <w:t xml:space="preserve">y </w:t>
            </w:r>
            <w:r w:rsidRPr="00467C05">
              <w:rPr>
                <w:b/>
                <w:lang w:val="es-ES"/>
              </w:rPr>
              <w:t>formular observaciones</w:t>
            </w:r>
            <w:r w:rsidRPr="00467C05">
              <w:rPr>
                <w:bCs/>
                <w:lang w:val="es-ES"/>
              </w:rPr>
              <w:t xml:space="preserve"> al respecto, según proceda.</w:t>
            </w:r>
          </w:p>
          <w:p w14:paraId="6A71A494" w14:textId="77777777" w:rsidR="00093EEB" w:rsidRPr="00467C05" w:rsidRDefault="00093EEB" w:rsidP="005F222A">
            <w:pPr>
              <w:pStyle w:val="Table"/>
              <w:keepNext w:val="0"/>
              <w:spacing w:before="0" w:after="0"/>
              <w:rPr>
                <w:caps w:val="0"/>
                <w:sz w:val="22"/>
                <w:lang w:val="es-ES"/>
              </w:rPr>
            </w:pPr>
            <w:r w:rsidRPr="00467C05">
              <w:rPr>
                <w:caps w:val="0"/>
                <w:sz w:val="22"/>
                <w:lang w:val="es-ES"/>
              </w:rPr>
              <w:t>____________</w:t>
            </w:r>
          </w:p>
          <w:p w14:paraId="24C3BF6C" w14:textId="77777777" w:rsidR="00093EEB" w:rsidRPr="00467C05" w:rsidRDefault="00093EEB" w:rsidP="005F222A">
            <w:pPr>
              <w:pStyle w:val="Headingb"/>
              <w:rPr>
                <w:lang w:val="es-ES"/>
              </w:rPr>
            </w:pPr>
            <w:r w:rsidRPr="00467C05">
              <w:rPr>
                <w:lang w:val="es-ES"/>
              </w:rPr>
              <w:t>Referencia</w:t>
            </w:r>
            <w:r w:rsidR="007A16C8">
              <w:rPr>
                <w:lang w:val="es-ES"/>
              </w:rPr>
              <w:t>s</w:t>
            </w:r>
          </w:p>
          <w:p w14:paraId="04935D2B" w14:textId="25A6472A" w:rsidR="00093EEB" w:rsidRPr="00467C05" w:rsidRDefault="00431C9B" w:rsidP="005F222A">
            <w:pPr>
              <w:spacing w:after="120"/>
              <w:rPr>
                <w:i/>
                <w:iCs/>
                <w:lang w:val="es-ES"/>
              </w:rPr>
            </w:pPr>
            <w:r w:rsidRPr="00467C05">
              <w:rPr>
                <w:i/>
                <w:iCs/>
                <w:lang w:val="es-ES"/>
              </w:rPr>
              <w:t xml:space="preserve">Documento </w:t>
            </w:r>
            <w:hyperlink r:id="rId9" w:history="1">
              <w:r w:rsidR="00516B69" w:rsidRPr="00516B69">
                <w:rPr>
                  <w:rStyle w:val="Hyperlink"/>
                  <w:i/>
                  <w:iCs/>
                  <w:lang w:val="en-GB"/>
                </w:rPr>
                <w:t>C20/50</w:t>
              </w:r>
            </w:hyperlink>
            <w:r w:rsidRPr="00467C05">
              <w:rPr>
                <w:i/>
                <w:iCs/>
                <w:lang w:val="es-ES"/>
              </w:rPr>
              <w:t xml:space="preserve"> y </w:t>
            </w:r>
            <w:bookmarkStart w:id="11" w:name="_Hlk37335559"/>
            <w:r w:rsidRPr="00467C05">
              <w:rPr>
                <w:i/>
                <w:iCs/>
                <w:lang w:val="es-ES"/>
              </w:rPr>
              <w:fldChar w:fldCharType="begin"/>
            </w:r>
            <w:r w:rsidR="004D1648">
              <w:rPr>
                <w:i/>
                <w:iCs/>
                <w:lang w:val="es-ES"/>
              </w:rPr>
              <w:instrText>HYPERLINK "https://www.itu.int/md/S19-CL-C-0142/es"</w:instrText>
            </w:r>
            <w:r w:rsidRPr="00467C05">
              <w:rPr>
                <w:i/>
                <w:iCs/>
                <w:lang w:val="es-ES"/>
              </w:rPr>
              <w:fldChar w:fldCharType="separate"/>
            </w:r>
            <w:r w:rsidR="004D1648">
              <w:rPr>
                <w:rStyle w:val="Hyperlink"/>
                <w:i/>
                <w:iCs/>
                <w:lang w:val="es-ES"/>
              </w:rPr>
              <w:t>Acuerdo 563 del Consejo</w:t>
            </w:r>
            <w:r w:rsidRPr="00467C05">
              <w:rPr>
                <w:i/>
                <w:iCs/>
                <w:lang w:val="es-ES"/>
              </w:rPr>
              <w:fldChar w:fldCharType="end"/>
            </w:r>
            <w:bookmarkEnd w:id="11"/>
          </w:p>
        </w:tc>
      </w:tr>
    </w:tbl>
    <w:p w14:paraId="6C8BAA6E" w14:textId="3852E0D9" w:rsidR="007D1296" w:rsidRDefault="00431C9B" w:rsidP="007D1296">
      <w:pPr>
        <w:pStyle w:val="Normalaftertitle"/>
        <w:rPr>
          <w:lang w:val="es-ES"/>
        </w:rPr>
      </w:pPr>
      <w:r w:rsidRPr="00467C05">
        <w:rPr>
          <w:lang w:val="es-ES"/>
        </w:rPr>
        <w:t>Desde la</w:t>
      </w:r>
      <w:r w:rsidR="005F222A" w:rsidRPr="00467C05">
        <w:rPr>
          <w:lang w:val="es-ES"/>
        </w:rPr>
        <w:t>s</w:t>
      </w:r>
      <w:r w:rsidRPr="00467C05">
        <w:rPr>
          <w:lang w:val="es-ES"/>
        </w:rPr>
        <w:t xml:space="preserve"> </w:t>
      </w:r>
      <w:r w:rsidR="00821920">
        <w:rPr>
          <w:lang w:val="es-ES"/>
        </w:rPr>
        <w:t>c</w:t>
      </w:r>
      <w:r w:rsidR="005F222A" w:rsidRPr="00467C05">
        <w:rPr>
          <w:lang w:val="es-ES"/>
        </w:rPr>
        <w:t xml:space="preserve">onsultas virtuales de los consejeros de 2020, </w:t>
      </w:r>
      <w:r w:rsidRPr="00467C05">
        <w:rPr>
          <w:lang w:val="es-ES"/>
        </w:rPr>
        <w:t xml:space="preserve">el Grupo de Trabajo del Consejo sobre Recursos Humanos y Financieros (GTC-RHF) ha celebrado </w:t>
      </w:r>
      <w:r w:rsidR="005F222A" w:rsidRPr="00467C05">
        <w:rPr>
          <w:lang w:val="es-ES"/>
        </w:rPr>
        <w:t>una</w:t>
      </w:r>
      <w:r w:rsidRPr="00467C05">
        <w:rPr>
          <w:lang w:val="es-ES"/>
        </w:rPr>
        <w:t xml:space="preserve"> reuni</w:t>
      </w:r>
      <w:r w:rsidR="005F222A" w:rsidRPr="00467C05">
        <w:rPr>
          <w:lang w:val="es-ES"/>
        </w:rPr>
        <w:t>ón</w:t>
      </w:r>
      <w:r w:rsidR="007A16C8">
        <w:rPr>
          <w:lang w:val="es-ES"/>
        </w:rPr>
        <w:t xml:space="preserve"> virtual. La</w:t>
      </w:r>
      <w:r w:rsidR="005F222A" w:rsidRPr="00467C05">
        <w:rPr>
          <w:lang w:val="es-ES"/>
        </w:rPr>
        <w:t xml:space="preserve"> reunión se celebró el 2</w:t>
      </w:r>
      <w:r w:rsidRPr="00467C05">
        <w:rPr>
          <w:lang w:val="es-ES"/>
        </w:rPr>
        <w:t>5 </w:t>
      </w:r>
      <w:r w:rsidR="005F222A" w:rsidRPr="00467C05">
        <w:rPr>
          <w:lang w:val="es-ES"/>
        </w:rPr>
        <w:t>y el</w:t>
      </w:r>
      <w:r w:rsidRPr="00467C05">
        <w:rPr>
          <w:lang w:val="es-ES"/>
        </w:rPr>
        <w:t xml:space="preserve"> 26 </w:t>
      </w:r>
      <w:r w:rsidR="005F222A" w:rsidRPr="00467C05">
        <w:rPr>
          <w:lang w:val="es-ES"/>
        </w:rPr>
        <w:t>de enero de 20</w:t>
      </w:r>
      <w:r w:rsidRPr="00467C05">
        <w:rPr>
          <w:lang w:val="es-ES"/>
        </w:rPr>
        <w:t xml:space="preserve">21 </w:t>
      </w:r>
      <w:r w:rsidR="005F222A" w:rsidRPr="00467C05">
        <w:rPr>
          <w:lang w:val="es-ES"/>
        </w:rPr>
        <w:t>bajo la presidencia de la Sra. V</w:t>
      </w:r>
      <w:r w:rsidRPr="00467C05">
        <w:rPr>
          <w:lang w:val="es-ES"/>
        </w:rPr>
        <w:t>ernita Harris (Estados Unidos</w:t>
      </w:r>
      <w:r w:rsidR="00516B69">
        <w:rPr>
          <w:lang w:val="es-ES"/>
        </w:rPr>
        <w:t xml:space="preserve"> de América</w:t>
      </w:r>
      <w:r w:rsidRPr="00467C05">
        <w:rPr>
          <w:lang w:val="es-ES"/>
        </w:rPr>
        <w:t xml:space="preserve">) </w:t>
      </w:r>
      <w:r w:rsidR="005F222A" w:rsidRPr="00467C05">
        <w:rPr>
          <w:lang w:val="es-ES"/>
        </w:rPr>
        <w:t xml:space="preserve">y con la </w:t>
      </w:r>
      <w:r w:rsidR="007A16C8">
        <w:rPr>
          <w:lang w:val="es-ES"/>
        </w:rPr>
        <w:t>ayuda</w:t>
      </w:r>
      <w:r w:rsidR="005F222A" w:rsidRPr="00467C05">
        <w:rPr>
          <w:lang w:val="es-ES"/>
        </w:rPr>
        <w:t xml:space="preserve"> de los </w:t>
      </w:r>
      <w:r w:rsidR="007A16C8" w:rsidRPr="00467C05">
        <w:rPr>
          <w:lang w:val="es-ES"/>
        </w:rPr>
        <w:t xml:space="preserve">Vicepresidentes </w:t>
      </w:r>
      <w:r w:rsidR="005F222A" w:rsidRPr="00467C05">
        <w:rPr>
          <w:lang w:val="es-ES"/>
        </w:rPr>
        <w:t>S</w:t>
      </w:r>
      <w:r w:rsidRPr="00467C05">
        <w:rPr>
          <w:lang w:val="es-ES"/>
        </w:rPr>
        <w:t xml:space="preserve">ra. Seynabou Seck Cisse (Senegal), Sra. Xian Persaud (Bahamas), Sr. Mohamed </w:t>
      </w:r>
      <w:r w:rsidR="006741B7" w:rsidRPr="00467C05">
        <w:rPr>
          <w:lang w:val="es-ES"/>
        </w:rPr>
        <w:t>S. Ali Al Muathen Al Mazroei</w:t>
      </w:r>
      <w:r w:rsidRPr="00467C05">
        <w:rPr>
          <w:lang w:val="es-ES"/>
        </w:rPr>
        <w:t xml:space="preserve"> (Emiratos Árabes Unidos), Sra.</w:t>
      </w:r>
      <w:r w:rsidR="00516B69">
        <w:rPr>
          <w:lang w:val="es-ES"/>
        </w:rPr>
        <w:t> </w:t>
      </w:r>
      <w:r w:rsidRPr="00467C05">
        <w:rPr>
          <w:lang w:val="es-ES"/>
        </w:rPr>
        <w:t xml:space="preserve">Archana Goyal Gulati (India), Sra. D.V. Kalyuga (Federación de Rusia) y Sr. Vilem Vesely (República Checa). </w:t>
      </w:r>
      <w:r w:rsidR="006741B7" w:rsidRPr="00467C05">
        <w:rPr>
          <w:lang w:val="es-ES"/>
        </w:rPr>
        <w:t xml:space="preserve">El </w:t>
      </w:r>
      <w:r w:rsidR="00516B69">
        <w:rPr>
          <w:lang w:val="es-ES"/>
        </w:rPr>
        <w:t>i</w:t>
      </w:r>
      <w:r w:rsidR="006741B7" w:rsidRPr="00467C05">
        <w:rPr>
          <w:lang w:val="es-ES"/>
        </w:rPr>
        <w:t>nforme</w:t>
      </w:r>
      <w:r w:rsidRPr="00467C05">
        <w:rPr>
          <w:lang w:val="es-ES"/>
        </w:rPr>
        <w:t xml:space="preserve"> completo de esta </w:t>
      </w:r>
      <w:r w:rsidR="006741B7" w:rsidRPr="00467C05">
        <w:rPr>
          <w:lang w:val="es-ES"/>
        </w:rPr>
        <w:t>reunión</w:t>
      </w:r>
      <w:r w:rsidRPr="00467C05">
        <w:rPr>
          <w:lang w:val="es-ES"/>
        </w:rPr>
        <w:t xml:space="preserve"> puede consultarse en la siguiente </w:t>
      </w:r>
      <w:r w:rsidR="007A16C8" w:rsidRPr="00467C05">
        <w:rPr>
          <w:lang w:val="es-ES"/>
        </w:rPr>
        <w:t>dirección</w:t>
      </w:r>
      <w:r w:rsidRPr="00467C05">
        <w:rPr>
          <w:lang w:val="es-ES"/>
        </w:rPr>
        <w:t xml:space="preserve">: </w:t>
      </w:r>
      <w:hyperlink r:id="rId10" w:history="1">
        <w:r w:rsidRPr="00467C05">
          <w:rPr>
            <w:rStyle w:val="Hyperlink"/>
            <w:lang w:val="es-ES"/>
          </w:rPr>
          <w:t>https://www.itu.int/md/S21-CWGFHR12-C-0017/en</w:t>
        </w:r>
      </w:hyperlink>
      <w:r w:rsidRPr="00467C05">
        <w:rPr>
          <w:lang w:val="es-ES"/>
        </w:rPr>
        <w:t xml:space="preserve">. Los delegados del Consejo deberían consultar estos </w:t>
      </w:r>
      <w:r w:rsidR="00516B69">
        <w:rPr>
          <w:lang w:val="es-ES"/>
        </w:rPr>
        <w:t>i</w:t>
      </w:r>
      <w:r w:rsidRPr="00467C05">
        <w:rPr>
          <w:lang w:val="es-ES"/>
        </w:rPr>
        <w:t>nformes para conocer con mayor detalle las diferentes opiniones expresadas durante los debates</w:t>
      </w:r>
      <w:r w:rsidR="006741B7" w:rsidRPr="00467C05">
        <w:rPr>
          <w:lang w:val="es-ES"/>
        </w:rPr>
        <w:t>.</w:t>
      </w:r>
    </w:p>
    <w:p w14:paraId="0CCF1E8E" w14:textId="6D8A4526" w:rsidR="007955DA" w:rsidRPr="00467C05" w:rsidRDefault="006741B7" w:rsidP="007D1296">
      <w:pPr>
        <w:pStyle w:val="Normalaftertitle"/>
        <w:rPr>
          <w:lang w:val="es-ES"/>
        </w:rPr>
      </w:pPr>
      <w:r w:rsidRPr="00467C05">
        <w:rPr>
          <w:rFonts w:asciiTheme="minorHAnsi" w:hAnsiTheme="minorHAnsi" w:cstheme="minorHAnsi"/>
          <w:szCs w:val="24"/>
          <w:lang w:val="es-ES"/>
        </w:rPr>
        <w:br w:type="page"/>
      </w:r>
    </w:p>
    <w:p w14:paraId="00D3D7A0" w14:textId="77777777" w:rsidR="00431C9B" w:rsidRPr="00467C05" w:rsidRDefault="00431C9B" w:rsidP="007D1296">
      <w:pPr>
        <w:pStyle w:val="Heading1"/>
        <w:rPr>
          <w:lang w:val="es-ES"/>
        </w:rPr>
      </w:pPr>
      <w:r w:rsidRPr="00467C05">
        <w:rPr>
          <w:lang w:val="es-ES"/>
        </w:rPr>
        <w:lastRenderedPageBreak/>
        <w:t>1</w:t>
      </w:r>
      <w:r w:rsidRPr="00467C05">
        <w:rPr>
          <w:lang w:val="es-ES"/>
        </w:rPr>
        <w:tab/>
      </w:r>
      <w:r w:rsidR="006741B7" w:rsidRPr="00467C05">
        <w:rPr>
          <w:lang w:val="es-ES"/>
        </w:rPr>
        <w:t>Presupuesto y asuntos financieros</w:t>
      </w:r>
    </w:p>
    <w:p w14:paraId="5A03C4C7" w14:textId="12E75176" w:rsidR="00431C9B" w:rsidRPr="00467C05" w:rsidRDefault="00C750FE" w:rsidP="00C750FE">
      <w:pPr>
        <w:pStyle w:val="Headingb"/>
        <w:rPr>
          <w:lang w:val="es-ES"/>
        </w:rPr>
      </w:pPr>
      <w:r>
        <w:rPr>
          <w:lang w:val="es-ES"/>
        </w:rPr>
        <w:t>a</w:t>
      </w:r>
      <w:r w:rsidR="004D1648">
        <w:rPr>
          <w:lang w:val="es-ES"/>
        </w:rPr>
        <w:t>)</w:t>
      </w:r>
      <w:r w:rsidR="00431C9B" w:rsidRPr="00467C05">
        <w:rPr>
          <w:lang w:val="es-ES"/>
        </w:rPr>
        <w:tab/>
        <w:t>Elaboración del proyecto de presupuesto bienal de la Unión para 202</w:t>
      </w:r>
      <w:r w:rsidR="006741B7" w:rsidRPr="00467C05">
        <w:rPr>
          <w:lang w:val="es-ES"/>
        </w:rPr>
        <w:t>2</w:t>
      </w:r>
      <w:r w:rsidR="00431C9B" w:rsidRPr="00467C05">
        <w:rPr>
          <w:lang w:val="es-ES"/>
        </w:rPr>
        <w:t>-202</w:t>
      </w:r>
      <w:r w:rsidR="006741B7" w:rsidRPr="00467C05">
        <w:rPr>
          <w:lang w:val="es-ES"/>
        </w:rPr>
        <w:t>3</w:t>
      </w:r>
      <w:r w:rsidR="00431C9B" w:rsidRPr="00467C05">
        <w:rPr>
          <w:lang w:val="es-ES"/>
        </w:rPr>
        <w:t xml:space="preserve"> </w:t>
      </w:r>
      <w:r w:rsidR="000A48A3">
        <w:rPr>
          <w:lang w:val="es-ES"/>
        </w:rPr>
        <w:br/>
      </w:r>
      <w:r w:rsidR="00431C9B" w:rsidRPr="00467C05">
        <w:rPr>
          <w:lang w:val="es-ES"/>
        </w:rPr>
        <w:t xml:space="preserve">(Documento </w:t>
      </w:r>
      <w:hyperlink r:id="rId11" w:history="1">
        <w:r w:rsidR="00E12B7D" w:rsidRPr="008600F6">
          <w:rPr>
            <w:rStyle w:val="Hyperlink"/>
            <w:rFonts w:asciiTheme="minorHAnsi" w:hAnsiTheme="minorHAnsi" w:cstheme="minorHAnsi"/>
          </w:rPr>
          <w:t>CWG-FHR-12/2</w:t>
        </w:r>
      </w:hyperlink>
      <w:r w:rsidR="00431C9B" w:rsidRPr="00467C05">
        <w:rPr>
          <w:lang w:val="es-ES"/>
        </w:rPr>
        <w:t>)</w:t>
      </w:r>
    </w:p>
    <w:p w14:paraId="5DA0F436" w14:textId="77777777" w:rsidR="00431C9B" w:rsidRPr="00467C05" w:rsidRDefault="00431C9B" w:rsidP="00165BE2">
      <w:pPr>
        <w:rPr>
          <w:lang w:val="es-ES"/>
        </w:rPr>
      </w:pPr>
      <w:r w:rsidRPr="00467C05">
        <w:rPr>
          <w:lang w:val="es-ES"/>
        </w:rPr>
        <w:t>1.1</w:t>
      </w:r>
      <w:r w:rsidRPr="00467C05">
        <w:rPr>
          <w:lang w:val="es-ES"/>
        </w:rPr>
        <w:tab/>
      </w:r>
      <w:r w:rsidR="0061655F" w:rsidRPr="00467C05">
        <w:rPr>
          <w:lang w:val="es-ES"/>
        </w:rPr>
        <w:t>La Secretaría presentó el proyecto de presupuesto bienal de la Unión para 202</w:t>
      </w:r>
      <w:r w:rsidR="006741B7" w:rsidRPr="00467C05">
        <w:rPr>
          <w:lang w:val="es-ES"/>
        </w:rPr>
        <w:t>2</w:t>
      </w:r>
      <w:r w:rsidR="0061655F" w:rsidRPr="00467C05">
        <w:rPr>
          <w:lang w:val="es-ES"/>
        </w:rPr>
        <w:t>-202</w:t>
      </w:r>
      <w:r w:rsidR="006741B7" w:rsidRPr="00467C05">
        <w:rPr>
          <w:lang w:val="es-ES"/>
        </w:rPr>
        <w:t>3</w:t>
      </w:r>
      <w:r w:rsidR="0061655F" w:rsidRPr="00467C05">
        <w:rPr>
          <w:lang w:val="es-ES"/>
        </w:rPr>
        <w:t>, conforme a lo estipulado en la Decisión 5 (Rev. Dubái, 2018) y las directrices conexas.</w:t>
      </w:r>
    </w:p>
    <w:p w14:paraId="02C5B2D5" w14:textId="77777777" w:rsidR="0061655F" w:rsidRPr="00467C05" w:rsidRDefault="0061655F" w:rsidP="00165BE2">
      <w:pPr>
        <w:rPr>
          <w:lang w:val="es-ES"/>
        </w:rPr>
      </w:pPr>
      <w:r w:rsidRPr="00467C05">
        <w:rPr>
          <w:lang w:val="es-ES"/>
        </w:rPr>
        <w:t>1.2</w:t>
      </w:r>
      <w:r w:rsidRPr="00467C05">
        <w:rPr>
          <w:lang w:val="es-ES"/>
        </w:rPr>
        <w:tab/>
        <w:t xml:space="preserve">El importe de la unidad contributiva que han de abonar los Estados Miembros se ha mantenido en 318 000 CHF, lo que supone un crecimiento nominal cero desde 2016. </w:t>
      </w:r>
      <w:r w:rsidR="00165BE2" w:rsidRPr="00467C05">
        <w:rPr>
          <w:lang w:val="es-ES"/>
        </w:rPr>
        <w:t>Los gastos y los ingresos están equilibrados y n</w:t>
      </w:r>
      <w:r w:rsidRPr="00467C05">
        <w:rPr>
          <w:lang w:val="es-ES"/>
        </w:rPr>
        <w:t>o se prevén detracciones de la Cuenta de Provisión.</w:t>
      </w:r>
    </w:p>
    <w:p w14:paraId="756A487A" w14:textId="77777777" w:rsidR="0061655F" w:rsidRPr="00467C05" w:rsidRDefault="0061655F" w:rsidP="00677E45">
      <w:pPr>
        <w:rPr>
          <w:lang w:val="es-ES"/>
        </w:rPr>
      </w:pPr>
      <w:r w:rsidRPr="00467C05">
        <w:rPr>
          <w:lang w:val="es-ES"/>
        </w:rPr>
        <w:t>1.3</w:t>
      </w:r>
      <w:r w:rsidRPr="00467C05">
        <w:rPr>
          <w:lang w:val="es-ES"/>
        </w:rPr>
        <w:tab/>
        <w:t>Al igual que en presupuestos anteriores, se ha aplicado una tasa de vacantes del 5%, que comprende demoras en la contratación, servicios a tiempo parcial y licencias sin sueldo. No obstante, la aplicación de la tasa de vacantes supondrá un reto importante para la gestión de los puestos vacantes y el proceso de contratación.</w:t>
      </w:r>
    </w:p>
    <w:p w14:paraId="096B6BE2" w14:textId="24E7DA73" w:rsidR="0061655F" w:rsidRPr="00467C05" w:rsidRDefault="0061655F" w:rsidP="00C750FE">
      <w:pPr>
        <w:rPr>
          <w:lang w:val="es-ES"/>
        </w:rPr>
      </w:pPr>
      <w:r w:rsidRPr="00467C05">
        <w:rPr>
          <w:lang w:val="es-ES"/>
        </w:rPr>
        <w:t>1.4</w:t>
      </w:r>
      <w:r w:rsidRPr="00467C05">
        <w:rPr>
          <w:lang w:val="es-ES"/>
        </w:rPr>
        <w:tab/>
      </w:r>
      <w:bookmarkStart w:id="12" w:name="lt_pId037"/>
      <w:r w:rsidR="00165BE2" w:rsidRPr="00467C05">
        <w:rPr>
          <w:lang w:val="es-ES"/>
        </w:rPr>
        <w:t xml:space="preserve">El proyecto de presupuesto </w:t>
      </w:r>
      <w:r w:rsidR="005367AA">
        <w:rPr>
          <w:lang w:val="es-ES"/>
        </w:rPr>
        <w:t xml:space="preserve">para 2022-2023 </w:t>
      </w:r>
      <w:r w:rsidR="00165BE2" w:rsidRPr="00467C05">
        <w:rPr>
          <w:lang w:val="es-ES"/>
        </w:rPr>
        <w:t>alcanza los 326,186 millones</w:t>
      </w:r>
      <w:r w:rsidR="00781C1D">
        <w:rPr>
          <w:lang w:val="es-ES"/>
        </w:rPr>
        <w:t> </w:t>
      </w:r>
      <w:r w:rsidR="00165BE2" w:rsidRPr="00467C05">
        <w:rPr>
          <w:lang w:val="es-ES"/>
        </w:rPr>
        <w:t>CHF lo que supone una reducción de</w:t>
      </w:r>
      <w:r w:rsidRPr="00467C05">
        <w:rPr>
          <w:lang w:val="es-ES"/>
        </w:rPr>
        <w:t xml:space="preserve"> 5</w:t>
      </w:r>
      <w:r w:rsidR="00165BE2" w:rsidRPr="00467C05">
        <w:rPr>
          <w:lang w:val="es-ES"/>
        </w:rPr>
        <w:t>,827 mill</w:t>
      </w:r>
      <w:r w:rsidRPr="00467C05">
        <w:rPr>
          <w:lang w:val="es-ES"/>
        </w:rPr>
        <w:t>on</w:t>
      </w:r>
      <w:r w:rsidR="00165BE2" w:rsidRPr="00467C05">
        <w:rPr>
          <w:lang w:val="es-ES"/>
        </w:rPr>
        <w:t>es</w:t>
      </w:r>
      <w:r w:rsidRPr="00467C05">
        <w:rPr>
          <w:lang w:val="es-ES"/>
        </w:rPr>
        <w:t xml:space="preserve"> </w:t>
      </w:r>
      <w:r w:rsidR="00165BE2" w:rsidRPr="00467C05">
        <w:rPr>
          <w:lang w:val="es-ES"/>
        </w:rPr>
        <w:t>CHF respecto del presupuesto de</w:t>
      </w:r>
      <w:r w:rsidRPr="00467C05">
        <w:rPr>
          <w:lang w:val="es-ES"/>
        </w:rPr>
        <w:t xml:space="preserve"> 2020-2021.</w:t>
      </w:r>
      <w:bookmarkEnd w:id="12"/>
      <w:r w:rsidRPr="00467C05">
        <w:rPr>
          <w:lang w:val="es-ES"/>
        </w:rPr>
        <w:t xml:space="preserve"> </w:t>
      </w:r>
      <w:bookmarkStart w:id="13" w:name="lt_pId038"/>
      <w:r w:rsidR="00165BE2" w:rsidRPr="00467C05">
        <w:rPr>
          <w:lang w:val="es-ES"/>
        </w:rPr>
        <w:t xml:space="preserve">En comparación con el Plan </w:t>
      </w:r>
      <w:r w:rsidR="009D0381" w:rsidRPr="00467C05">
        <w:rPr>
          <w:lang w:val="es-ES"/>
        </w:rPr>
        <w:t xml:space="preserve">Financiero </w:t>
      </w:r>
      <w:r w:rsidR="00165BE2" w:rsidRPr="00467C05">
        <w:rPr>
          <w:lang w:val="es-ES"/>
        </w:rPr>
        <w:t xml:space="preserve">el proyecto de presupuesto para 2022-2023 es </w:t>
      </w:r>
      <w:r w:rsidRPr="00467C05">
        <w:rPr>
          <w:lang w:val="es-ES"/>
        </w:rPr>
        <w:t>3</w:t>
      </w:r>
      <w:r w:rsidR="00165BE2" w:rsidRPr="00467C05">
        <w:rPr>
          <w:lang w:val="es-ES"/>
        </w:rPr>
        <w:t>,</w:t>
      </w:r>
      <w:r w:rsidRPr="00467C05">
        <w:rPr>
          <w:lang w:val="es-ES"/>
        </w:rPr>
        <w:t>768</w:t>
      </w:r>
      <w:r w:rsidR="00781C1D">
        <w:rPr>
          <w:lang w:val="es-ES"/>
        </w:rPr>
        <w:t> </w:t>
      </w:r>
      <w:r w:rsidR="00165BE2" w:rsidRPr="00467C05">
        <w:rPr>
          <w:lang w:val="es-ES"/>
        </w:rPr>
        <w:t>millones</w:t>
      </w:r>
      <w:r w:rsidR="00781C1D">
        <w:rPr>
          <w:lang w:val="es-ES"/>
        </w:rPr>
        <w:t> </w:t>
      </w:r>
      <w:r w:rsidR="00165BE2" w:rsidRPr="00467C05">
        <w:rPr>
          <w:lang w:val="es-ES"/>
        </w:rPr>
        <w:t>CHF inferior</w:t>
      </w:r>
      <w:r w:rsidRPr="00467C05">
        <w:rPr>
          <w:lang w:val="es-ES"/>
        </w:rPr>
        <w:t>.</w:t>
      </w:r>
      <w:bookmarkEnd w:id="13"/>
    </w:p>
    <w:p w14:paraId="7916755F" w14:textId="56802BAD" w:rsidR="0061655F" w:rsidRPr="00467C05" w:rsidRDefault="00677E45" w:rsidP="00C750FE">
      <w:pPr>
        <w:rPr>
          <w:lang w:val="es-ES"/>
        </w:rPr>
      </w:pPr>
      <w:bookmarkStart w:id="14" w:name="lt_pId040"/>
      <w:r w:rsidRPr="009D0381">
        <w:rPr>
          <w:lang w:val="es-ES"/>
        </w:rPr>
        <w:t>1.5</w:t>
      </w:r>
      <w:r w:rsidRPr="009D0381">
        <w:rPr>
          <w:lang w:val="es-ES"/>
        </w:rPr>
        <w:tab/>
        <w:t xml:space="preserve">El proyecto de presupuesto está basado en el </w:t>
      </w:r>
      <w:r w:rsidR="00467C05" w:rsidRPr="009D0381">
        <w:rPr>
          <w:lang w:val="es-ES"/>
        </w:rPr>
        <w:t>programa</w:t>
      </w:r>
      <w:r w:rsidRPr="009D0381">
        <w:rPr>
          <w:lang w:val="es-ES"/>
        </w:rPr>
        <w:t xml:space="preserve"> de actividades de la Unión que incluye tres grandes eventos:</w:t>
      </w:r>
      <w:bookmarkEnd w:id="14"/>
    </w:p>
    <w:p w14:paraId="6DA1A728" w14:textId="5B4C483A" w:rsidR="0061655F" w:rsidRPr="00467C05" w:rsidRDefault="007D1296" w:rsidP="007D1296">
      <w:pPr>
        <w:pStyle w:val="enumlev1"/>
        <w:rPr>
          <w:lang w:val="es-ES"/>
        </w:rPr>
      </w:pPr>
      <w:bookmarkStart w:id="15" w:name="lt_pId041"/>
      <w:r>
        <w:rPr>
          <w:lang w:val="es-ES"/>
        </w:rPr>
        <w:t>–</w:t>
      </w:r>
      <w:r>
        <w:rPr>
          <w:lang w:val="es-ES"/>
        </w:rPr>
        <w:tab/>
      </w:r>
      <w:r w:rsidR="00C750FE">
        <w:rPr>
          <w:lang w:val="es-ES"/>
        </w:rPr>
        <w:t>l</w:t>
      </w:r>
      <w:r w:rsidR="00677E45" w:rsidRPr="00467C05">
        <w:rPr>
          <w:lang w:val="es-ES"/>
        </w:rPr>
        <w:t>a Conferencia de Plenipotenciarios</w:t>
      </w:r>
      <w:r w:rsidR="0061655F" w:rsidRPr="00467C05">
        <w:rPr>
          <w:lang w:val="es-ES"/>
        </w:rPr>
        <w:t xml:space="preserve"> (PP-22);</w:t>
      </w:r>
      <w:bookmarkEnd w:id="15"/>
    </w:p>
    <w:p w14:paraId="6D96AE3A" w14:textId="5CF8A167" w:rsidR="0061655F" w:rsidRPr="00467C05" w:rsidRDefault="007D1296" w:rsidP="007D1296">
      <w:pPr>
        <w:pStyle w:val="enumlev1"/>
        <w:rPr>
          <w:lang w:val="es-ES"/>
        </w:rPr>
      </w:pPr>
      <w:bookmarkStart w:id="16" w:name="lt_pId042"/>
      <w:r>
        <w:rPr>
          <w:lang w:val="es-ES"/>
        </w:rPr>
        <w:t>–</w:t>
      </w:r>
      <w:r>
        <w:rPr>
          <w:lang w:val="es-ES"/>
        </w:rPr>
        <w:tab/>
      </w:r>
      <w:r w:rsidR="00C750FE">
        <w:rPr>
          <w:lang w:val="es-ES"/>
        </w:rPr>
        <w:t>l</w:t>
      </w:r>
      <w:r w:rsidR="00677E45" w:rsidRPr="00467C05">
        <w:rPr>
          <w:lang w:val="es-ES"/>
        </w:rPr>
        <w:t>a Conferencia Mundial de Radiocomunicaciones</w:t>
      </w:r>
      <w:r w:rsidR="0061655F" w:rsidRPr="00467C05">
        <w:rPr>
          <w:lang w:val="es-ES"/>
        </w:rPr>
        <w:t xml:space="preserve"> (</w:t>
      </w:r>
      <w:r w:rsidR="00677E45" w:rsidRPr="00467C05">
        <w:rPr>
          <w:lang w:val="es-ES"/>
        </w:rPr>
        <w:t>CMR</w:t>
      </w:r>
      <w:r w:rsidR="0061655F" w:rsidRPr="00467C05">
        <w:rPr>
          <w:lang w:val="es-ES"/>
        </w:rPr>
        <w:t>-23);</w:t>
      </w:r>
      <w:bookmarkEnd w:id="16"/>
    </w:p>
    <w:p w14:paraId="48A6DB49" w14:textId="53BCA9DB" w:rsidR="0061655F" w:rsidRPr="00467C05" w:rsidRDefault="007D1296" w:rsidP="007D1296">
      <w:pPr>
        <w:pStyle w:val="enumlev1"/>
        <w:rPr>
          <w:lang w:val="es-ES"/>
        </w:rPr>
      </w:pPr>
      <w:bookmarkStart w:id="17" w:name="lt_pId043"/>
      <w:r>
        <w:rPr>
          <w:lang w:val="es-ES"/>
        </w:rPr>
        <w:t>–</w:t>
      </w:r>
      <w:r>
        <w:rPr>
          <w:lang w:val="es-ES"/>
        </w:rPr>
        <w:tab/>
      </w:r>
      <w:r w:rsidR="00C750FE">
        <w:rPr>
          <w:lang w:val="es-ES"/>
        </w:rPr>
        <w:t>l</w:t>
      </w:r>
      <w:r w:rsidR="00677E45" w:rsidRPr="00467C05">
        <w:rPr>
          <w:lang w:val="es-ES"/>
        </w:rPr>
        <w:t>a Asamblea Mundial de Normalización de las Telecomunicaciones (AMNT)</w:t>
      </w:r>
      <w:r w:rsidR="0061655F" w:rsidRPr="00467C05">
        <w:rPr>
          <w:lang w:val="es-ES"/>
        </w:rPr>
        <w:t xml:space="preserve">, </w:t>
      </w:r>
      <w:r w:rsidR="00677E45" w:rsidRPr="00467C05">
        <w:rPr>
          <w:lang w:val="es-ES"/>
        </w:rPr>
        <w:t xml:space="preserve">originalmente prevista en </w:t>
      </w:r>
      <w:r w:rsidR="005367AA" w:rsidRPr="00467C05">
        <w:rPr>
          <w:lang w:val="es-ES"/>
        </w:rPr>
        <w:t xml:space="preserve">2020 </w:t>
      </w:r>
      <w:r w:rsidR="005367AA">
        <w:rPr>
          <w:lang w:val="es-ES"/>
        </w:rPr>
        <w:t>y</w:t>
      </w:r>
      <w:r w:rsidR="00677E45" w:rsidRPr="00467C05">
        <w:rPr>
          <w:lang w:val="es-ES"/>
        </w:rPr>
        <w:t xml:space="preserve"> aplazada a </w:t>
      </w:r>
      <w:r w:rsidR="00467C05" w:rsidRPr="00467C05">
        <w:rPr>
          <w:lang w:val="es-ES"/>
        </w:rPr>
        <w:t xml:space="preserve">2022, </w:t>
      </w:r>
      <w:r w:rsidR="005367AA" w:rsidRPr="005367AA">
        <w:rPr>
          <w:lang w:val="es-ES"/>
        </w:rPr>
        <w:t>financiad</w:t>
      </w:r>
      <w:r w:rsidR="005367AA">
        <w:rPr>
          <w:lang w:val="es-ES"/>
        </w:rPr>
        <w:t>a</w:t>
      </w:r>
      <w:r w:rsidR="005367AA" w:rsidRPr="005367AA">
        <w:rPr>
          <w:lang w:val="es-ES"/>
        </w:rPr>
        <w:t xml:space="preserve"> con fondos diferidos del presupuesto </w:t>
      </w:r>
      <w:r w:rsidR="005367AA">
        <w:rPr>
          <w:lang w:val="es-ES"/>
        </w:rPr>
        <w:t xml:space="preserve">para </w:t>
      </w:r>
      <w:r w:rsidR="005367AA" w:rsidRPr="005367AA">
        <w:rPr>
          <w:lang w:val="es-ES"/>
        </w:rPr>
        <w:t>2020-2021</w:t>
      </w:r>
      <w:r w:rsidR="00677E45" w:rsidRPr="00467C05">
        <w:rPr>
          <w:lang w:val="es-ES"/>
        </w:rPr>
        <w:t>.</w:t>
      </w:r>
      <w:bookmarkEnd w:id="17"/>
    </w:p>
    <w:p w14:paraId="44374EDE" w14:textId="37A81005" w:rsidR="0061655F" w:rsidRPr="00467C05" w:rsidRDefault="0061655F" w:rsidP="007D1296">
      <w:pPr>
        <w:rPr>
          <w:lang w:val="es-ES"/>
        </w:rPr>
      </w:pPr>
      <w:r w:rsidRPr="00467C05">
        <w:rPr>
          <w:lang w:val="es-ES"/>
        </w:rPr>
        <w:t>1.6</w:t>
      </w:r>
      <w:r w:rsidRPr="00467C05">
        <w:rPr>
          <w:lang w:val="es-ES"/>
        </w:rPr>
        <w:tab/>
      </w:r>
      <w:bookmarkStart w:id="18" w:name="lt_pId045"/>
      <w:r w:rsidR="00677E45" w:rsidRPr="00467C05">
        <w:rPr>
          <w:lang w:val="es-ES"/>
        </w:rPr>
        <w:t xml:space="preserve">En el presupuesto para 2022-2023 se </w:t>
      </w:r>
      <w:r w:rsidR="005367AA">
        <w:rPr>
          <w:lang w:val="es-ES"/>
        </w:rPr>
        <w:t xml:space="preserve">ha </w:t>
      </w:r>
      <w:r w:rsidR="00677E45" w:rsidRPr="00467C05">
        <w:rPr>
          <w:lang w:val="es-ES"/>
        </w:rPr>
        <w:t>contempla</w:t>
      </w:r>
      <w:r w:rsidR="005367AA">
        <w:rPr>
          <w:lang w:val="es-ES"/>
        </w:rPr>
        <w:t>do</w:t>
      </w:r>
      <w:r w:rsidR="00677E45" w:rsidRPr="00467C05">
        <w:rPr>
          <w:lang w:val="es-ES"/>
        </w:rPr>
        <w:t xml:space="preserve"> la consignación de créditos por valor de </w:t>
      </w:r>
      <w:r w:rsidRPr="00467C05">
        <w:rPr>
          <w:lang w:val="es-ES"/>
        </w:rPr>
        <w:t>840</w:t>
      </w:r>
      <w:r w:rsidR="009D0381">
        <w:rPr>
          <w:lang w:val="es-ES"/>
        </w:rPr>
        <w:t> </w:t>
      </w:r>
      <w:r w:rsidR="00677E45" w:rsidRPr="00467C05">
        <w:rPr>
          <w:lang w:val="es-ES"/>
        </w:rPr>
        <w:t>000</w:t>
      </w:r>
      <w:r w:rsidRPr="00467C05">
        <w:rPr>
          <w:lang w:val="es-ES"/>
        </w:rPr>
        <w:t xml:space="preserve"> </w:t>
      </w:r>
      <w:r w:rsidR="00677E45" w:rsidRPr="00467C05">
        <w:rPr>
          <w:lang w:val="es-ES"/>
        </w:rPr>
        <w:t>CHF para los gastos recurrentes de la COVID-19.</w:t>
      </w:r>
      <w:bookmarkEnd w:id="18"/>
    </w:p>
    <w:p w14:paraId="18D98234" w14:textId="3A95FD6D" w:rsidR="00276384" w:rsidRPr="00467C05" w:rsidRDefault="0061655F" w:rsidP="007D1296">
      <w:pPr>
        <w:rPr>
          <w:lang w:val="es-ES"/>
        </w:rPr>
      </w:pPr>
      <w:r w:rsidRPr="00467C05">
        <w:rPr>
          <w:lang w:val="es-ES"/>
        </w:rPr>
        <w:t>1.7</w:t>
      </w:r>
      <w:r w:rsidRPr="00467C05">
        <w:rPr>
          <w:lang w:val="es-ES"/>
        </w:rPr>
        <w:tab/>
      </w:r>
      <w:bookmarkStart w:id="19" w:name="lt_pId047"/>
      <w:r w:rsidR="005367AA">
        <w:rPr>
          <w:lang w:val="es-ES"/>
        </w:rPr>
        <w:t>En</w:t>
      </w:r>
      <w:r w:rsidR="00276384" w:rsidRPr="00467C05">
        <w:rPr>
          <w:lang w:val="es-ES"/>
        </w:rPr>
        <w:t xml:space="preserve"> cuanto a ingresos, las contribuciones previstas aumentaron en aproximadamente 1</w:t>
      </w:r>
      <w:r w:rsidR="00C750FE">
        <w:rPr>
          <w:lang w:val="es-ES"/>
        </w:rPr>
        <w:t> </w:t>
      </w:r>
      <w:r w:rsidR="00276384" w:rsidRPr="00467C05">
        <w:rPr>
          <w:lang w:val="es-ES"/>
        </w:rPr>
        <w:t xml:space="preserve">millón CHF, principalmente debido a los Miembros de Sector y Asociados del Sector de Normalización. También se </w:t>
      </w:r>
      <w:r w:rsidR="005367AA">
        <w:rPr>
          <w:lang w:val="es-ES"/>
        </w:rPr>
        <w:t>produce</w:t>
      </w:r>
      <w:r w:rsidR="00276384" w:rsidRPr="00467C05">
        <w:rPr>
          <w:lang w:val="es-ES"/>
        </w:rPr>
        <w:t xml:space="preserve"> un leve incremento de las Instituciones Académicas.</w:t>
      </w:r>
    </w:p>
    <w:bookmarkEnd w:id="19"/>
    <w:p w14:paraId="6B64B96A" w14:textId="3C3C4361" w:rsidR="00B07F71" w:rsidRPr="00467C05" w:rsidRDefault="0061655F" w:rsidP="007D1296">
      <w:pPr>
        <w:rPr>
          <w:lang w:val="es-ES"/>
        </w:rPr>
      </w:pPr>
      <w:r w:rsidRPr="00467C05">
        <w:rPr>
          <w:lang w:val="es-ES"/>
        </w:rPr>
        <w:t>1.8</w:t>
      </w:r>
      <w:r w:rsidRPr="00467C05">
        <w:rPr>
          <w:lang w:val="es-ES"/>
        </w:rPr>
        <w:tab/>
      </w:r>
      <w:bookmarkStart w:id="20" w:name="lt_pId050"/>
      <w:r w:rsidR="00276384" w:rsidRPr="00467C05">
        <w:rPr>
          <w:lang w:val="es-ES"/>
        </w:rPr>
        <w:t>Los</w:t>
      </w:r>
      <w:r w:rsidR="00B07F71" w:rsidRPr="00467C05">
        <w:rPr>
          <w:lang w:val="es-ES"/>
        </w:rPr>
        <w:t xml:space="preserve"> ingresos en concepto de recuperación de costes disminuirán</w:t>
      </w:r>
      <w:r w:rsidR="003B220B" w:rsidRPr="00467C05">
        <w:rPr>
          <w:lang w:val="es-ES"/>
        </w:rPr>
        <w:t xml:space="preserve"> </w:t>
      </w:r>
      <w:r w:rsidR="00B07F71" w:rsidRPr="00467C05">
        <w:rPr>
          <w:lang w:val="es-ES"/>
        </w:rPr>
        <w:t>en 5,8 millones</w:t>
      </w:r>
      <w:r w:rsidR="00C258C7">
        <w:rPr>
          <w:lang w:val="es-ES"/>
        </w:rPr>
        <w:t> </w:t>
      </w:r>
      <w:r w:rsidR="00B07F71" w:rsidRPr="00467C05">
        <w:rPr>
          <w:lang w:val="es-ES"/>
        </w:rPr>
        <w:t xml:space="preserve">CHF aproximadamente respecto a 2020-2021, </w:t>
      </w:r>
      <w:r w:rsidR="005367AA">
        <w:rPr>
          <w:lang w:val="es-ES"/>
        </w:rPr>
        <w:t xml:space="preserve">principalmente </w:t>
      </w:r>
      <w:r w:rsidR="00B07F71" w:rsidRPr="00467C05">
        <w:rPr>
          <w:lang w:val="es-ES"/>
        </w:rPr>
        <w:t xml:space="preserve">debido a una previsión de ventas </w:t>
      </w:r>
      <w:r w:rsidR="00D0663B">
        <w:rPr>
          <w:lang w:val="es-ES"/>
        </w:rPr>
        <w:t>por lanzamiento</w:t>
      </w:r>
      <w:r w:rsidR="00B07F71" w:rsidRPr="00467C05">
        <w:rPr>
          <w:lang w:val="es-ES"/>
        </w:rPr>
        <w:t xml:space="preserve"> de nuevas publicaciones </w:t>
      </w:r>
      <w:r w:rsidR="00C81F7A" w:rsidRPr="00467C05">
        <w:rPr>
          <w:lang w:val="es-ES"/>
        </w:rPr>
        <w:t xml:space="preserve">más baja </w:t>
      </w:r>
      <w:r w:rsidR="00D0663B">
        <w:rPr>
          <w:lang w:val="es-ES"/>
        </w:rPr>
        <w:t>en</w:t>
      </w:r>
      <w:r w:rsidR="00B07F71" w:rsidRPr="00467C05">
        <w:rPr>
          <w:lang w:val="es-ES"/>
        </w:rPr>
        <w:t xml:space="preserve"> 2022-2023</w:t>
      </w:r>
      <w:r w:rsidR="00C81F7A">
        <w:rPr>
          <w:lang w:val="es-ES"/>
        </w:rPr>
        <w:t xml:space="preserve">. Esta bajada estará compensada </w:t>
      </w:r>
      <w:r w:rsidR="00B07F71" w:rsidRPr="00467C05">
        <w:rPr>
          <w:lang w:val="es-ES"/>
        </w:rPr>
        <w:t>en parte por el aumento previsto de los ingresos en concepto de recuperación de costes de las notificaciones de redes de satélites.</w:t>
      </w:r>
    </w:p>
    <w:bookmarkEnd w:id="20"/>
    <w:p w14:paraId="1229FE03" w14:textId="457B66F5" w:rsidR="0061655F" w:rsidRPr="00467C05" w:rsidRDefault="0061655F" w:rsidP="007D1296">
      <w:pPr>
        <w:rPr>
          <w:lang w:val="es-ES"/>
        </w:rPr>
      </w:pPr>
      <w:r w:rsidRPr="00467C05">
        <w:rPr>
          <w:lang w:val="es-ES"/>
        </w:rPr>
        <w:t>1.9</w:t>
      </w:r>
      <w:r w:rsidRPr="00467C05">
        <w:rPr>
          <w:lang w:val="es-ES"/>
        </w:rPr>
        <w:tab/>
      </w:r>
      <w:bookmarkStart w:id="21" w:name="lt_pId053"/>
      <w:r w:rsidR="003B220B" w:rsidRPr="00467C05">
        <w:rPr>
          <w:lang w:val="es-ES"/>
        </w:rPr>
        <w:t>Después de la reunión del GTC-RHF, se revisará y actualizará el presupuesto para reflejar:</w:t>
      </w:r>
      <w:bookmarkEnd w:id="21"/>
    </w:p>
    <w:p w14:paraId="70027F25" w14:textId="685746DB" w:rsidR="0061655F" w:rsidRPr="00467C05" w:rsidRDefault="007D1296" w:rsidP="007D1296">
      <w:pPr>
        <w:pStyle w:val="enumlev1"/>
        <w:rPr>
          <w:lang w:val="es-ES"/>
        </w:rPr>
      </w:pPr>
      <w:r>
        <w:rPr>
          <w:lang w:val="es-ES"/>
        </w:rPr>
        <w:t>–</w:t>
      </w:r>
      <w:r w:rsidR="0061655F" w:rsidRPr="00467C05">
        <w:rPr>
          <w:lang w:val="es-ES"/>
        </w:rPr>
        <w:tab/>
      </w:r>
      <w:bookmarkStart w:id="22" w:name="lt_pId055"/>
      <w:r w:rsidR="004D1648">
        <w:rPr>
          <w:lang w:val="es-ES"/>
        </w:rPr>
        <w:t>l</w:t>
      </w:r>
      <w:r w:rsidR="003B220B" w:rsidRPr="00467C05">
        <w:rPr>
          <w:lang w:val="es-ES"/>
        </w:rPr>
        <w:t xml:space="preserve">os resultados del </w:t>
      </w:r>
      <w:bookmarkStart w:id="23" w:name="_Hlk67471162"/>
      <w:r w:rsidR="003B220B" w:rsidRPr="00467C05">
        <w:rPr>
          <w:lang w:val="es-ES"/>
        </w:rPr>
        <w:t>GTC-RHF</w:t>
      </w:r>
      <w:bookmarkEnd w:id="23"/>
      <w:r w:rsidR="0061655F" w:rsidRPr="00467C05">
        <w:rPr>
          <w:lang w:val="es-ES"/>
        </w:rPr>
        <w:t>;</w:t>
      </w:r>
      <w:bookmarkEnd w:id="22"/>
    </w:p>
    <w:p w14:paraId="2AD4A847" w14:textId="5A400D95" w:rsidR="0061655F" w:rsidRPr="00467C05" w:rsidRDefault="007D1296" w:rsidP="007D1296">
      <w:pPr>
        <w:pStyle w:val="enumlev1"/>
        <w:rPr>
          <w:lang w:val="es-ES"/>
        </w:rPr>
      </w:pPr>
      <w:r>
        <w:rPr>
          <w:lang w:val="es-ES"/>
        </w:rPr>
        <w:t>–</w:t>
      </w:r>
      <w:r w:rsidR="0061655F" w:rsidRPr="00467C05">
        <w:rPr>
          <w:lang w:val="es-ES"/>
        </w:rPr>
        <w:tab/>
      </w:r>
      <w:bookmarkStart w:id="24" w:name="lt_pId057"/>
      <w:r w:rsidR="004D1648">
        <w:rPr>
          <w:lang w:val="es-ES"/>
        </w:rPr>
        <w:t>l</w:t>
      </w:r>
      <w:r w:rsidR="003B220B" w:rsidRPr="00467C05">
        <w:rPr>
          <w:lang w:val="es-ES"/>
        </w:rPr>
        <w:t>os tipos de cambio del presupuesto a fecha de enero de 2021</w:t>
      </w:r>
      <w:r w:rsidR="0061655F" w:rsidRPr="00467C05">
        <w:rPr>
          <w:lang w:val="es-ES"/>
        </w:rPr>
        <w:t>;</w:t>
      </w:r>
      <w:bookmarkEnd w:id="24"/>
    </w:p>
    <w:p w14:paraId="3B486CC2" w14:textId="7FBB6C85" w:rsidR="0061655F" w:rsidRPr="00467C05" w:rsidRDefault="007D1296" w:rsidP="007D1296">
      <w:pPr>
        <w:pStyle w:val="enumlev1"/>
        <w:rPr>
          <w:lang w:val="es-ES"/>
        </w:rPr>
      </w:pPr>
      <w:r>
        <w:rPr>
          <w:lang w:val="es-ES"/>
        </w:rPr>
        <w:t>–</w:t>
      </w:r>
      <w:r w:rsidR="0061655F" w:rsidRPr="00467C05">
        <w:rPr>
          <w:lang w:val="es-ES"/>
        </w:rPr>
        <w:tab/>
      </w:r>
      <w:bookmarkStart w:id="25" w:name="lt_pId059"/>
      <w:r w:rsidR="004D1648">
        <w:rPr>
          <w:lang w:val="es-ES"/>
        </w:rPr>
        <w:t>l</w:t>
      </w:r>
      <w:r w:rsidR="003B220B" w:rsidRPr="00467C05">
        <w:rPr>
          <w:lang w:val="es-ES"/>
        </w:rPr>
        <w:t>a parte b</w:t>
      </w:r>
      <w:r w:rsidR="00C81F7A">
        <w:rPr>
          <w:lang w:val="es-ES"/>
        </w:rPr>
        <w:t>asada en resultados en base a la atribución completa</w:t>
      </w:r>
      <w:r w:rsidR="003B220B" w:rsidRPr="00467C05">
        <w:rPr>
          <w:lang w:val="es-ES"/>
        </w:rPr>
        <w:t xml:space="preserve"> de costes.</w:t>
      </w:r>
      <w:bookmarkEnd w:id="25"/>
    </w:p>
    <w:p w14:paraId="64811475" w14:textId="77777777" w:rsidR="0061655F" w:rsidRPr="00467C05" w:rsidRDefault="0061655F" w:rsidP="004D1648">
      <w:pPr>
        <w:rPr>
          <w:lang w:val="es-ES"/>
        </w:rPr>
      </w:pPr>
      <w:r w:rsidRPr="009D0381">
        <w:rPr>
          <w:lang w:val="es-ES"/>
        </w:rPr>
        <w:t>1.10</w:t>
      </w:r>
      <w:r w:rsidRPr="009D0381">
        <w:rPr>
          <w:lang w:val="es-ES"/>
        </w:rPr>
        <w:tab/>
        <w:t>El documento contiene asimismo dos anexos:</w:t>
      </w:r>
    </w:p>
    <w:p w14:paraId="46FABF5E" w14:textId="77777777" w:rsidR="0061655F" w:rsidRPr="00467C05" w:rsidRDefault="0061655F" w:rsidP="007D1296">
      <w:pPr>
        <w:pStyle w:val="enumlev1"/>
        <w:rPr>
          <w:lang w:val="es-ES"/>
        </w:rPr>
      </w:pPr>
      <w:r w:rsidRPr="00467C05">
        <w:rPr>
          <w:lang w:val="es-ES"/>
        </w:rPr>
        <w:t>•</w:t>
      </w:r>
      <w:r w:rsidRPr="00467C05">
        <w:rPr>
          <w:lang w:val="es-ES"/>
        </w:rPr>
        <w:tab/>
        <w:t>Anexo 1 – Proyecto de presupuesto para 202</w:t>
      </w:r>
      <w:r w:rsidR="003B220B" w:rsidRPr="00467C05">
        <w:rPr>
          <w:lang w:val="es-ES"/>
        </w:rPr>
        <w:t>2</w:t>
      </w:r>
      <w:r w:rsidRPr="00467C05">
        <w:rPr>
          <w:lang w:val="es-ES"/>
        </w:rPr>
        <w:t>-202</w:t>
      </w:r>
      <w:r w:rsidR="003B220B" w:rsidRPr="00467C05">
        <w:rPr>
          <w:lang w:val="es-ES"/>
        </w:rPr>
        <w:t>3, d</w:t>
      </w:r>
      <w:r w:rsidRPr="00467C05">
        <w:rPr>
          <w:lang w:val="es-ES"/>
        </w:rPr>
        <w:t>esglose</w:t>
      </w:r>
      <w:r w:rsidR="003B220B" w:rsidRPr="00467C05">
        <w:rPr>
          <w:lang w:val="es-ES"/>
        </w:rPr>
        <w:t xml:space="preserve"> de gastos por Sector y sección;</w:t>
      </w:r>
    </w:p>
    <w:p w14:paraId="1C8C6473" w14:textId="77777777" w:rsidR="0061655F" w:rsidRPr="00467C05" w:rsidRDefault="0061655F" w:rsidP="007D1296">
      <w:pPr>
        <w:pStyle w:val="enumlev1"/>
        <w:rPr>
          <w:lang w:val="es-ES"/>
        </w:rPr>
      </w:pPr>
      <w:r w:rsidRPr="00467C05">
        <w:rPr>
          <w:lang w:val="es-ES"/>
        </w:rPr>
        <w:lastRenderedPageBreak/>
        <w:t>•</w:t>
      </w:r>
      <w:r w:rsidRPr="00467C05">
        <w:rPr>
          <w:lang w:val="es-ES"/>
        </w:rPr>
        <w:tab/>
        <w:t>Anexo 2 – Volúmenes de documentación en traducción, composición y reprografía.</w:t>
      </w:r>
    </w:p>
    <w:p w14:paraId="50F64773" w14:textId="792D24A5" w:rsidR="00B26D1D" w:rsidRPr="00467C05" w:rsidRDefault="0061655F" w:rsidP="00B26D1D">
      <w:pPr>
        <w:rPr>
          <w:lang w:val="es-ES"/>
        </w:rPr>
      </w:pPr>
      <w:r w:rsidRPr="009D0381">
        <w:rPr>
          <w:lang w:val="es-ES"/>
        </w:rPr>
        <w:t>1.11</w:t>
      </w:r>
      <w:r w:rsidRPr="00467C05">
        <w:rPr>
          <w:lang w:val="es-ES"/>
        </w:rPr>
        <w:tab/>
      </w:r>
      <w:bookmarkStart w:id="26" w:name="lt_pId067"/>
      <w:r w:rsidR="00B26D1D" w:rsidRPr="00467C05">
        <w:rPr>
          <w:lang w:val="es-ES"/>
        </w:rPr>
        <w:t xml:space="preserve">El Director de la BR ofreció aclaraciones sobre las previsiones de ventas de publicaciones para 2022-2023. En este sentido, comunicó al grupo que el UIT-R no ha modificado el calendario de sus publicaciones principales. Las previsiones de ingresos para 2022-2023 no alcanzan los ingresos de 2020-2021 a consecuencia del lanzamiento de </w:t>
      </w:r>
      <w:r w:rsidR="00C81F7A" w:rsidRPr="00467C05">
        <w:rPr>
          <w:lang w:val="es-ES"/>
        </w:rPr>
        <w:t xml:space="preserve">nuevas </w:t>
      </w:r>
      <w:r w:rsidR="00B26D1D" w:rsidRPr="00467C05">
        <w:rPr>
          <w:lang w:val="es-ES"/>
        </w:rPr>
        <w:t>publicaciones en los años posteriores a la CMR (</w:t>
      </w:r>
      <w:r w:rsidR="00C81F7A" w:rsidRPr="00467C05">
        <w:rPr>
          <w:lang w:val="es-ES"/>
        </w:rPr>
        <w:t xml:space="preserve">nuevas </w:t>
      </w:r>
      <w:r w:rsidR="00B26D1D" w:rsidRPr="00467C05">
        <w:rPr>
          <w:lang w:val="es-ES"/>
        </w:rPr>
        <w:t xml:space="preserve">ediciones de cinco publicaciones principales </w:t>
      </w:r>
      <w:r w:rsidR="00C81F7A">
        <w:rPr>
          <w:lang w:val="es-ES"/>
        </w:rPr>
        <w:t xml:space="preserve">lanzadas </w:t>
      </w:r>
      <w:r w:rsidR="00B26D1D" w:rsidRPr="00467C05">
        <w:rPr>
          <w:lang w:val="es-ES"/>
        </w:rPr>
        <w:t>en 2020-2021, de tres publicaciones principales en 2022-2023, para volver a cinco publicaciones principales en 2024-2025).</w:t>
      </w:r>
    </w:p>
    <w:bookmarkEnd w:id="26"/>
    <w:p w14:paraId="131FDF0C" w14:textId="77777777" w:rsidR="0061655F" w:rsidRPr="00467C05" w:rsidRDefault="0061655F" w:rsidP="00B26D1D">
      <w:pPr>
        <w:rPr>
          <w:lang w:val="es-ES"/>
        </w:rPr>
      </w:pPr>
      <w:r w:rsidRPr="00BB5978">
        <w:rPr>
          <w:lang w:val="es-ES"/>
        </w:rPr>
        <w:t>1.12</w:t>
      </w:r>
      <w:r w:rsidRPr="00467C05">
        <w:rPr>
          <w:lang w:val="es-ES"/>
        </w:rPr>
        <w:tab/>
        <w:t>Varios delegados expresaron su agradecimiento y valoraron el esfuerzo realizado por la Secretaría con miras a la preparación del proyecto de presupuesto para 202</w:t>
      </w:r>
      <w:r w:rsidR="00B26D1D" w:rsidRPr="00467C05">
        <w:rPr>
          <w:lang w:val="es-ES"/>
        </w:rPr>
        <w:t>2</w:t>
      </w:r>
      <w:r w:rsidRPr="00467C05">
        <w:rPr>
          <w:lang w:val="es-ES"/>
        </w:rPr>
        <w:t>-202</w:t>
      </w:r>
      <w:r w:rsidR="00B26D1D" w:rsidRPr="00467C05">
        <w:rPr>
          <w:lang w:val="es-ES"/>
        </w:rPr>
        <w:t>3</w:t>
      </w:r>
      <w:r w:rsidRPr="00467C05">
        <w:rPr>
          <w:lang w:val="es-ES"/>
        </w:rPr>
        <w:t xml:space="preserve">. </w:t>
      </w:r>
      <w:r w:rsidR="00B26D1D" w:rsidRPr="00467C05">
        <w:rPr>
          <w:lang w:val="es-ES"/>
        </w:rPr>
        <w:t xml:space="preserve">También vieron con </w:t>
      </w:r>
      <w:r w:rsidR="000677A6" w:rsidRPr="00467C05">
        <w:rPr>
          <w:lang w:val="es-ES"/>
        </w:rPr>
        <w:t>b</w:t>
      </w:r>
      <w:r w:rsidR="00B26D1D" w:rsidRPr="00467C05">
        <w:rPr>
          <w:lang w:val="es-ES"/>
        </w:rPr>
        <w:t xml:space="preserve">uenos ojos el </w:t>
      </w:r>
      <w:r w:rsidR="000677A6" w:rsidRPr="00467C05">
        <w:rPr>
          <w:lang w:val="es-ES"/>
        </w:rPr>
        <w:t>hecho</w:t>
      </w:r>
      <w:r w:rsidR="00B26D1D" w:rsidRPr="00467C05">
        <w:rPr>
          <w:lang w:val="es-ES"/>
        </w:rPr>
        <w:t xml:space="preserve"> de que no </w:t>
      </w:r>
      <w:r w:rsidR="000677A6" w:rsidRPr="00467C05">
        <w:rPr>
          <w:lang w:val="es-ES"/>
        </w:rPr>
        <w:t>sea</w:t>
      </w:r>
      <w:r w:rsidR="00B26D1D" w:rsidRPr="00467C05">
        <w:rPr>
          <w:lang w:val="es-ES"/>
        </w:rPr>
        <w:t xml:space="preserve"> necesario retraer</w:t>
      </w:r>
      <w:r w:rsidR="000677A6" w:rsidRPr="00467C05">
        <w:rPr>
          <w:lang w:val="es-ES"/>
        </w:rPr>
        <w:t xml:space="preserve"> fondos de la Cuenta de Provisión para equilibrar el presupuesto 2022-2023</w:t>
      </w:r>
      <w:r w:rsidRPr="00467C05">
        <w:rPr>
          <w:lang w:val="es-ES"/>
        </w:rPr>
        <w:t>.</w:t>
      </w:r>
    </w:p>
    <w:p w14:paraId="48BC81C9" w14:textId="77777777" w:rsidR="0061655F" w:rsidRPr="00467C05" w:rsidRDefault="0061655F" w:rsidP="0027281F">
      <w:pPr>
        <w:rPr>
          <w:lang w:val="es-ES"/>
        </w:rPr>
      </w:pPr>
      <w:r w:rsidRPr="00467C05">
        <w:rPr>
          <w:lang w:val="es-ES"/>
        </w:rPr>
        <w:t>1.13</w:t>
      </w:r>
      <w:r w:rsidRPr="00467C05">
        <w:rPr>
          <w:lang w:val="es-ES"/>
        </w:rPr>
        <w:tab/>
        <w:t>En respuesta a preguntas de los delegados, la Secretaría hizo las siguientes aclaraciones:</w:t>
      </w:r>
    </w:p>
    <w:p w14:paraId="02CBDF3B" w14:textId="7D8308FA" w:rsidR="000677A6" w:rsidRPr="00467C05" w:rsidRDefault="007D1296" w:rsidP="007D1296">
      <w:pPr>
        <w:pStyle w:val="enumlev1"/>
        <w:rPr>
          <w:lang w:val="es-ES"/>
        </w:rPr>
      </w:pPr>
      <w:bookmarkStart w:id="27" w:name="lt_pId075"/>
      <w:r w:rsidRPr="007D1296">
        <w:rPr>
          <w:lang w:val="es-ES"/>
        </w:rPr>
        <w:t>•</w:t>
      </w:r>
      <w:r>
        <w:rPr>
          <w:lang w:val="es-ES"/>
        </w:rPr>
        <w:tab/>
      </w:r>
      <w:r w:rsidR="000677A6" w:rsidRPr="00467C05">
        <w:rPr>
          <w:lang w:val="es-ES"/>
        </w:rPr>
        <w:t>De</w:t>
      </w:r>
      <w:r w:rsidR="006301BE" w:rsidRPr="00467C05">
        <w:rPr>
          <w:lang w:val="es-ES"/>
        </w:rPr>
        <w:t>bido al aplazamiento de la AMNT</w:t>
      </w:r>
      <w:r w:rsidR="000677A6" w:rsidRPr="00467C05">
        <w:rPr>
          <w:lang w:val="es-ES"/>
        </w:rPr>
        <w:t xml:space="preserve"> y</w:t>
      </w:r>
      <w:r w:rsidR="00C81F7A">
        <w:rPr>
          <w:lang w:val="es-ES"/>
        </w:rPr>
        <w:t>,</w:t>
      </w:r>
      <w:r w:rsidR="000677A6" w:rsidRPr="00467C05">
        <w:rPr>
          <w:lang w:val="es-ES"/>
        </w:rPr>
        <w:t xml:space="preserve"> de acuerdo con el Reglamento Financiero y las Reglas Financieras, se transfiere su presupuesto (698</w:t>
      </w:r>
      <w:r w:rsidR="00781C1D">
        <w:rPr>
          <w:lang w:val="es-ES"/>
        </w:rPr>
        <w:t> </w:t>
      </w:r>
      <w:r w:rsidR="000677A6" w:rsidRPr="00467C05">
        <w:rPr>
          <w:lang w:val="es-ES"/>
        </w:rPr>
        <w:t>000</w:t>
      </w:r>
      <w:r w:rsidR="00781C1D">
        <w:rPr>
          <w:lang w:val="es-ES"/>
        </w:rPr>
        <w:t> </w:t>
      </w:r>
      <w:r w:rsidR="000677A6" w:rsidRPr="00467C05">
        <w:rPr>
          <w:lang w:val="es-ES"/>
        </w:rPr>
        <w:t>CHF para gastos directos y 700</w:t>
      </w:r>
      <w:r w:rsidR="00781C1D">
        <w:rPr>
          <w:lang w:val="es-ES"/>
        </w:rPr>
        <w:t> </w:t>
      </w:r>
      <w:r w:rsidR="000677A6" w:rsidRPr="00467C05">
        <w:rPr>
          <w:lang w:val="es-ES"/>
        </w:rPr>
        <w:t>000</w:t>
      </w:r>
      <w:r w:rsidR="00781C1D">
        <w:rPr>
          <w:lang w:val="es-ES"/>
        </w:rPr>
        <w:t> </w:t>
      </w:r>
      <w:r w:rsidR="000677A6" w:rsidRPr="00467C05">
        <w:rPr>
          <w:lang w:val="es-ES"/>
        </w:rPr>
        <w:t>CHF para documentación) a la Cuenta de Provisión. Esta cantidad se añadirá al presupuesto del UIT-T en 2022. No existen solicitudes de recursos adicionales incluidas en el proyecto de presupuesto para 2022-2023.</w:t>
      </w:r>
      <w:r w:rsidR="0027281F" w:rsidRPr="00467C05">
        <w:rPr>
          <w:lang w:val="es-ES"/>
        </w:rPr>
        <w:t xml:space="preserve"> En el caso de que se produzca también un aplazamiento de la CMDT-21, se aplicará el mismo </w:t>
      </w:r>
      <w:r w:rsidR="00C81F7A">
        <w:rPr>
          <w:lang w:val="es-ES"/>
        </w:rPr>
        <w:t>planteamiento</w:t>
      </w:r>
      <w:r w:rsidR="0027281F" w:rsidRPr="00467C05">
        <w:rPr>
          <w:lang w:val="es-ES"/>
        </w:rPr>
        <w:t>.</w:t>
      </w:r>
    </w:p>
    <w:p w14:paraId="623F7A6D" w14:textId="15F30634" w:rsidR="006301BE" w:rsidRPr="00467C05" w:rsidRDefault="007D1296" w:rsidP="007D1296">
      <w:pPr>
        <w:pStyle w:val="enumlev1"/>
        <w:rPr>
          <w:lang w:val="es-ES"/>
        </w:rPr>
      </w:pPr>
      <w:bookmarkStart w:id="28" w:name="lt_pId079"/>
      <w:bookmarkEnd w:id="27"/>
      <w:r w:rsidRPr="007D1296">
        <w:rPr>
          <w:lang w:val="es-ES"/>
        </w:rPr>
        <w:t>•</w:t>
      </w:r>
      <w:r>
        <w:rPr>
          <w:lang w:val="es-ES"/>
        </w:rPr>
        <w:tab/>
      </w:r>
      <w:r w:rsidR="006301BE" w:rsidRPr="00467C05">
        <w:rPr>
          <w:lang w:val="es-ES"/>
        </w:rPr>
        <w:t xml:space="preserve">La Directora de la BDT informó </w:t>
      </w:r>
      <w:r w:rsidR="00C81F7A">
        <w:rPr>
          <w:lang w:val="es-ES"/>
        </w:rPr>
        <w:t xml:space="preserve">a </w:t>
      </w:r>
      <w:r w:rsidR="006301BE" w:rsidRPr="00467C05">
        <w:rPr>
          <w:lang w:val="es-ES"/>
        </w:rPr>
        <w:t xml:space="preserve">los delegados de que la preparación de la CMDT está en curso y que la Secretaría está </w:t>
      </w:r>
      <w:r w:rsidR="00C81F7A">
        <w:rPr>
          <w:lang w:val="es-ES"/>
        </w:rPr>
        <w:t>siguiendo</w:t>
      </w:r>
      <w:r w:rsidR="00C81F7A" w:rsidRPr="00467C05">
        <w:rPr>
          <w:lang w:val="es-ES"/>
        </w:rPr>
        <w:t xml:space="preserve"> </w:t>
      </w:r>
      <w:r w:rsidR="006301BE" w:rsidRPr="00467C05">
        <w:rPr>
          <w:lang w:val="es-ES"/>
        </w:rPr>
        <w:t>con mucha atención la situación de la COVID-19.</w:t>
      </w:r>
    </w:p>
    <w:bookmarkEnd w:id="28"/>
    <w:p w14:paraId="384896F2" w14:textId="33042EA4" w:rsidR="0061655F" w:rsidRPr="00467C05" w:rsidRDefault="007D1296" w:rsidP="007D1296">
      <w:pPr>
        <w:pStyle w:val="enumlev1"/>
        <w:rPr>
          <w:lang w:val="es-ES"/>
        </w:rPr>
      </w:pPr>
      <w:r w:rsidRPr="007D1296">
        <w:rPr>
          <w:lang w:val="es-ES"/>
        </w:rPr>
        <w:t>•</w:t>
      </w:r>
      <w:r>
        <w:rPr>
          <w:lang w:val="es-ES"/>
        </w:rPr>
        <w:tab/>
      </w:r>
      <w:r w:rsidR="0061655F" w:rsidRPr="00467C05">
        <w:rPr>
          <w:lang w:val="es-ES"/>
        </w:rPr>
        <w:t>La versión revisada del proyecto de presupuesto para 202</w:t>
      </w:r>
      <w:r w:rsidR="006301BE" w:rsidRPr="00467C05">
        <w:rPr>
          <w:lang w:val="es-ES"/>
        </w:rPr>
        <w:t>2</w:t>
      </w:r>
      <w:r w:rsidR="0061655F" w:rsidRPr="00467C05">
        <w:rPr>
          <w:lang w:val="es-ES"/>
        </w:rPr>
        <w:t>-202</w:t>
      </w:r>
      <w:r w:rsidR="006301BE" w:rsidRPr="00467C05">
        <w:rPr>
          <w:lang w:val="es-ES"/>
        </w:rPr>
        <w:t>3</w:t>
      </w:r>
      <w:r w:rsidR="0061655F" w:rsidRPr="00467C05">
        <w:rPr>
          <w:lang w:val="es-ES"/>
        </w:rPr>
        <w:t xml:space="preserve"> que se presentará al Consejo en 20</w:t>
      </w:r>
      <w:r w:rsidR="006301BE" w:rsidRPr="00467C05">
        <w:rPr>
          <w:lang w:val="es-ES"/>
        </w:rPr>
        <w:t>21</w:t>
      </w:r>
      <w:r w:rsidR="0061655F" w:rsidRPr="00467C05">
        <w:rPr>
          <w:lang w:val="es-ES"/>
        </w:rPr>
        <w:t xml:space="preserve"> contendrá información más detallada.</w:t>
      </w:r>
    </w:p>
    <w:p w14:paraId="53D3893F" w14:textId="71C35176" w:rsidR="006301BE" w:rsidRPr="00467C05" w:rsidRDefault="007D1296" w:rsidP="007D1296">
      <w:pPr>
        <w:pStyle w:val="enumlev1"/>
        <w:rPr>
          <w:lang w:val="es-ES"/>
        </w:rPr>
      </w:pPr>
      <w:bookmarkStart w:id="29" w:name="lt_pId081"/>
      <w:r w:rsidRPr="007D1296">
        <w:rPr>
          <w:lang w:val="es-ES"/>
        </w:rPr>
        <w:t>•</w:t>
      </w:r>
      <w:r>
        <w:rPr>
          <w:lang w:val="es-ES"/>
        </w:rPr>
        <w:tab/>
      </w:r>
      <w:r w:rsidR="006301BE" w:rsidRPr="00467C05">
        <w:rPr>
          <w:lang w:val="es-ES"/>
        </w:rPr>
        <w:t>Se ofreció información adicional sobre la consignación de créditos por valor de 840</w:t>
      </w:r>
      <w:r w:rsidR="00781C1D">
        <w:rPr>
          <w:lang w:val="es-ES"/>
        </w:rPr>
        <w:t> </w:t>
      </w:r>
      <w:r w:rsidR="006301BE" w:rsidRPr="00467C05">
        <w:rPr>
          <w:lang w:val="es-ES"/>
        </w:rPr>
        <w:t>000</w:t>
      </w:r>
      <w:r w:rsidR="00781C1D">
        <w:rPr>
          <w:lang w:val="es-ES"/>
        </w:rPr>
        <w:t> </w:t>
      </w:r>
      <w:r w:rsidR="006301BE" w:rsidRPr="00467C05">
        <w:rPr>
          <w:lang w:val="es-ES"/>
        </w:rPr>
        <w:t>CHF para los gastos recurrentes de la COVID-19.</w:t>
      </w:r>
    </w:p>
    <w:p w14:paraId="75450CBA" w14:textId="20FC5B9A" w:rsidR="006301BE" w:rsidRPr="00467C05" w:rsidRDefault="007D1296" w:rsidP="007D1296">
      <w:pPr>
        <w:pStyle w:val="enumlev1"/>
        <w:rPr>
          <w:lang w:val="es-ES"/>
        </w:rPr>
      </w:pPr>
      <w:bookmarkStart w:id="30" w:name="lt_pId082"/>
      <w:bookmarkEnd w:id="29"/>
      <w:r w:rsidRPr="007D1296">
        <w:rPr>
          <w:lang w:val="es-ES"/>
        </w:rPr>
        <w:t>•</w:t>
      </w:r>
      <w:r>
        <w:rPr>
          <w:lang w:val="es-ES"/>
        </w:rPr>
        <w:tab/>
      </w:r>
      <w:r w:rsidR="006301BE" w:rsidRPr="00467C05">
        <w:rPr>
          <w:lang w:val="es-ES"/>
        </w:rPr>
        <w:t>El reajuste de las condiciones de empleo a fecha de 1 de enero de 2021 no tendrá repercusiones significativas sobre el presupuesto global.</w:t>
      </w:r>
      <w:bookmarkStart w:id="31" w:name="lt_pId083"/>
      <w:bookmarkEnd w:id="30"/>
    </w:p>
    <w:p w14:paraId="7506296A" w14:textId="23700281" w:rsidR="0061655F" w:rsidRPr="00467C05" w:rsidRDefault="007D1296" w:rsidP="007D1296">
      <w:pPr>
        <w:pStyle w:val="enumlev1"/>
        <w:rPr>
          <w:lang w:val="es-ES"/>
        </w:rPr>
      </w:pPr>
      <w:r w:rsidRPr="007D1296">
        <w:rPr>
          <w:lang w:val="es-ES"/>
        </w:rPr>
        <w:t>•</w:t>
      </w:r>
      <w:r>
        <w:rPr>
          <w:lang w:val="es-ES"/>
        </w:rPr>
        <w:tab/>
      </w:r>
      <w:r w:rsidR="006301BE" w:rsidRPr="00467C05">
        <w:rPr>
          <w:lang w:val="es-ES"/>
        </w:rPr>
        <w:t>Como se contempla en el Acuerdo 1396 del Consejo, se ha transferido 1 millón CHF al fondo ASHI</w:t>
      </w:r>
      <w:r w:rsidR="0061655F" w:rsidRPr="00467C05">
        <w:rPr>
          <w:lang w:val="es-ES"/>
        </w:rPr>
        <w:t>.</w:t>
      </w:r>
      <w:bookmarkEnd w:id="31"/>
      <w:r w:rsidR="0061655F" w:rsidRPr="00467C05">
        <w:rPr>
          <w:lang w:val="es-ES"/>
        </w:rPr>
        <w:t xml:space="preserve"> </w:t>
      </w:r>
      <w:bookmarkStart w:id="32" w:name="lt_pId084"/>
      <w:r w:rsidR="006301BE" w:rsidRPr="00467C05">
        <w:rPr>
          <w:lang w:val="es-ES"/>
        </w:rPr>
        <w:t>Con el fin de reaprovisionar el fondo</w:t>
      </w:r>
      <w:r w:rsidR="00C81F7A">
        <w:rPr>
          <w:lang w:val="es-ES"/>
        </w:rPr>
        <w:t>,</w:t>
      </w:r>
      <w:r w:rsidR="006301BE" w:rsidRPr="00467C05">
        <w:rPr>
          <w:lang w:val="es-ES"/>
        </w:rPr>
        <w:t xml:space="preserve"> se h</w:t>
      </w:r>
      <w:r w:rsidR="00984571" w:rsidRPr="00467C05">
        <w:rPr>
          <w:lang w:val="es-ES"/>
        </w:rPr>
        <w:t xml:space="preserve">a previsto </w:t>
      </w:r>
      <w:r w:rsidR="00C81F7A" w:rsidRPr="00467C05">
        <w:rPr>
          <w:lang w:val="es-ES"/>
        </w:rPr>
        <w:t xml:space="preserve">también </w:t>
      </w:r>
      <w:r w:rsidR="00984571" w:rsidRPr="00467C05">
        <w:rPr>
          <w:lang w:val="es-ES"/>
        </w:rPr>
        <w:t>que, a partir de en enero de 2022, se incrementen las contribuciones al fondo de los nuevos empleados.</w:t>
      </w:r>
      <w:bookmarkEnd w:id="32"/>
    </w:p>
    <w:p w14:paraId="086FAC71" w14:textId="5B38757B" w:rsidR="00417D8C" w:rsidRPr="00467C05" w:rsidRDefault="0061655F" w:rsidP="007D1296">
      <w:pPr>
        <w:rPr>
          <w:lang w:val="es-ES"/>
        </w:rPr>
      </w:pPr>
      <w:r w:rsidRPr="00467C05">
        <w:rPr>
          <w:lang w:val="es-ES"/>
        </w:rPr>
        <w:t>1.14</w:t>
      </w:r>
      <w:r w:rsidRPr="00467C05">
        <w:rPr>
          <w:lang w:val="es-ES"/>
        </w:rPr>
        <w:tab/>
      </w:r>
      <w:bookmarkStart w:id="33" w:name="lt_pId086"/>
      <w:r w:rsidR="00FD5D98" w:rsidRPr="00467C05">
        <w:rPr>
          <w:lang w:val="es-ES"/>
        </w:rPr>
        <w:t>E</w:t>
      </w:r>
      <w:r w:rsidR="00C81F7A">
        <w:rPr>
          <w:lang w:val="es-ES"/>
        </w:rPr>
        <w:t>l</w:t>
      </w:r>
      <w:r w:rsidR="00FD5D98" w:rsidRPr="00467C05">
        <w:rPr>
          <w:lang w:val="es-ES"/>
        </w:rPr>
        <w:t xml:space="preserve"> </w:t>
      </w:r>
      <w:r w:rsidR="00BB5978" w:rsidRPr="00BB5978">
        <w:rPr>
          <w:lang w:val="es-ES"/>
        </w:rPr>
        <w:t xml:space="preserve">GTC-RHF </w:t>
      </w:r>
      <w:r w:rsidR="002774F6" w:rsidRPr="00467C05">
        <w:rPr>
          <w:lang w:val="es-ES"/>
        </w:rPr>
        <w:t xml:space="preserve">tomó nota del documento. El proyecto de presupuesto bienal de la Unión para 2022-2023 se someterá a la reunión del Consejo de </w:t>
      </w:r>
      <w:r w:rsidR="00467C05" w:rsidRPr="00467C05">
        <w:rPr>
          <w:lang w:val="es-ES"/>
        </w:rPr>
        <w:t>2021 para</w:t>
      </w:r>
      <w:r w:rsidR="002774F6" w:rsidRPr="00467C05">
        <w:rPr>
          <w:lang w:val="es-ES"/>
        </w:rPr>
        <w:t xml:space="preserve"> su aprobación</w:t>
      </w:r>
      <w:bookmarkStart w:id="34" w:name="lt_pId087"/>
      <w:bookmarkEnd w:id="33"/>
      <w:r w:rsidRPr="00467C05">
        <w:rPr>
          <w:lang w:val="es-ES"/>
        </w:rPr>
        <w:t>.</w:t>
      </w:r>
      <w:bookmarkStart w:id="35" w:name="lt_pId088"/>
      <w:bookmarkEnd w:id="34"/>
    </w:p>
    <w:p w14:paraId="3F3711F0" w14:textId="6DDA56CE" w:rsidR="00417D8C" w:rsidRPr="00467C05" w:rsidRDefault="00417D8C" w:rsidP="00C750FE">
      <w:pPr>
        <w:pStyle w:val="Headingb"/>
        <w:rPr>
          <w:lang w:val="es-ES"/>
        </w:rPr>
      </w:pPr>
      <w:r w:rsidRPr="000A5A9F">
        <w:rPr>
          <w:lang w:val="es-ES"/>
        </w:rPr>
        <w:t>b</w:t>
      </w:r>
      <w:r w:rsidR="004D1648" w:rsidRPr="000A5A9F">
        <w:rPr>
          <w:lang w:val="es-ES"/>
        </w:rPr>
        <w:t>)</w:t>
      </w:r>
      <w:r w:rsidRPr="000A5A9F">
        <w:rPr>
          <w:lang w:val="es-ES"/>
        </w:rPr>
        <w:tab/>
      </w:r>
      <w:r w:rsidR="002774F6" w:rsidRPr="000A5A9F">
        <w:rPr>
          <w:lang w:val="es-ES"/>
        </w:rPr>
        <w:t xml:space="preserve">Continuidad de las actividades – Gestión de la información </w:t>
      </w:r>
      <w:r w:rsidRPr="000A5A9F">
        <w:rPr>
          <w:lang w:val="es-ES"/>
        </w:rPr>
        <w:t>(Document</w:t>
      </w:r>
      <w:r w:rsidR="002774F6" w:rsidRPr="000A5A9F">
        <w:rPr>
          <w:lang w:val="es-ES"/>
        </w:rPr>
        <w:t>o</w:t>
      </w:r>
      <w:r w:rsidRPr="000A5A9F">
        <w:rPr>
          <w:lang w:val="es-ES"/>
        </w:rPr>
        <w:t xml:space="preserve"> </w:t>
      </w:r>
      <w:hyperlink r:id="rId12" w:history="1">
        <w:r w:rsidRPr="000A5A9F">
          <w:rPr>
            <w:rStyle w:val="Hyperlink"/>
            <w:rFonts w:asciiTheme="minorHAnsi" w:hAnsiTheme="minorHAnsi" w:cstheme="minorHAnsi"/>
            <w:bCs/>
            <w:lang w:val="es-ES"/>
          </w:rPr>
          <w:t>CWG-FHR-12/3</w:t>
        </w:r>
      </w:hyperlink>
      <w:r w:rsidRPr="000A5A9F">
        <w:rPr>
          <w:lang w:val="es-ES"/>
        </w:rPr>
        <w:t>)</w:t>
      </w:r>
      <w:bookmarkEnd w:id="35"/>
    </w:p>
    <w:p w14:paraId="3EB80871" w14:textId="6D190896" w:rsidR="00417D8C" w:rsidRPr="00467C05" w:rsidRDefault="00417D8C" w:rsidP="007D1296">
      <w:pPr>
        <w:rPr>
          <w:lang w:val="es-ES"/>
        </w:rPr>
      </w:pPr>
      <w:r w:rsidRPr="00467C05">
        <w:rPr>
          <w:lang w:val="es-ES"/>
        </w:rPr>
        <w:t>1.15</w:t>
      </w:r>
      <w:r w:rsidRPr="00467C05">
        <w:rPr>
          <w:lang w:val="es-ES"/>
        </w:rPr>
        <w:tab/>
      </w:r>
      <w:bookmarkStart w:id="36" w:name="lt_pId090"/>
      <w:r w:rsidR="002774F6" w:rsidRPr="00467C05">
        <w:rPr>
          <w:lang w:val="es-ES"/>
        </w:rPr>
        <w:t>La Secretaría presentó el Doc</w:t>
      </w:r>
      <w:r w:rsidRPr="00467C05">
        <w:rPr>
          <w:lang w:val="es-ES"/>
        </w:rPr>
        <w:t>ument</w:t>
      </w:r>
      <w:r w:rsidR="002774F6" w:rsidRPr="00467C05">
        <w:rPr>
          <w:lang w:val="es-ES"/>
        </w:rPr>
        <w:t>o</w:t>
      </w:r>
      <w:r w:rsidRPr="00467C05">
        <w:rPr>
          <w:lang w:val="es-ES"/>
        </w:rPr>
        <w:t xml:space="preserve"> </w:t>
      </w:r>
      <w:r w:rsidRPr="00467C05">
        <w:rPr>
          <w:b/>
          <w:bCs/>
          <w:lang w:val="es-ES"/>
        </w:rPr>
        <w:t>CWG-FHR 12/3</w:t>
      </w:r>
      <w:r w:rsidRPr="00467C05">
        <w:rPr>
          <w:lang w:val="es-ES"/>
        </w:rPr>
        <w:t xml:space="preserve"> </w:t>
      </w:r>
      <w:r w:rsidR="002774F6" w:rsidRPr="00467C05">
        <w:rPr>
          <w:lang w:val="es-ES"/>
        </w:rPr>
        <w:t>que se ha preparado en respuesta a la solicitud de los delegados</w:t>
      </w:r>
      <w:r w:rsidR="00C81F7A">
        <w:rPr>
          <w:lang w:val="es-ES"/>
        </w:rPr>
        <w:t>,</w:t>
      </w:r>
      <w:r w:rsidR="002774F6" w:rsidRPr="00467C05">
        <w:rPr>
          <w:lang w:val="es-ES"/>
        </w:rPr>
        <w:t xml:space="preserve"> </w:t>
      </w:r>
      <w:r w:rsidR="00C81F7A">
        <w:rPr>
          <w:lang w:val="es-ES"/>
        </w:rPr>
        <w:t>durante</w:t>
      </w:r>
      <w:r w:rsidR="002774F6" w:rsidRPr="00467C05">
        <w:rPr>
          <w:lang w:val="es-ES"/>
        </w:rPr>
        <w:t xml:space="preserve"> la segunda consulta virtual de </w:t>
      </w:r>
      <w:r w:rsidR="007A16C8">
        <w:rPr>
          <w:lang w:val="es-ES"/>
        </w:rPr>
        <w:t xml:space="preserve">los </w:t>
      </w:r>
      <w:r w:rsidR="002774F6" w:rsidRPr="00467C05">
        <w:rPr>
          <w:lang w:val="es-ES"/>
        </w:rPr>
        <w:t xml:space="preserve">consejeros (CVC-2), de una mayor información sobre el Documento </w:t>
      </w:r>
      <w:hyperlink r:id="rId13" w:history="1">
        <w:r w:rsidRPr="00467C05">
          <w:rPr>
            <w:rStyle w:val="Hyperlink"/>
            <w:rFonts w:asciiTheme="minorHAnsi" w:hAnsiTheme="minorHAnsi" w:cstheme="minorHAnsi"/>
            <w:b/>
            <w:bCs/>
            <w:lang w:val="es-ES"/>
          </w:rPr>
          <w:t>C20/53</w:t>
        </w:r>
      </w:hyperlink>
      <w:r w:rsidRPr="00467C05">
        <w:rPr>
          <w:lang w:val="es-ES"/>
        </w:rPr>
        <w:t xml:space="preserve"> </w:t>
      </w:r>
      <w:r w:rsidR="00C81F7A">
        <w:rPr>
          <w:lang w:val="es-ES"/>
        </w:rPr>
        <w:t>s</w:t>
      </w:r>
      <w:r w:rsidR="002774F6" w:rsidRPr="00467C05">
        <w:rPr>
          <w:lang w:val="es-ES"/>
        </w:rPr>
        <w:t>obre continuidad de las actividades. La información adicional trata</w:t>
      </w:r>
      <w:r w:rsidR="000A48A3">
        <w:rPr>
          <w:lang w:val="es-ES"/>
        </w:rPr>
        <w:t xml:space="preserve"> de</w:t>
      </w:r>
      <w:r w:rsidR="002774F6" w:rsidRPr="00467C05">
        <w:rPr>
          <w:lang w:val="es-ES"/>
        </w:rPr>
        <w:t>:</w:t>
      </w:r>
      <w:bookmarkEnd w:id="36"/>
    </w:p>
    <w:p w14:paraId="3528B23D" w14:textId="2D394143" w:rsidR="00417D8C" w:rsidRPr="00467C05" w:rsidRDefault="007D1296" w:rsidP="007D1296">
      <w:pPr>
        <w:pStyle w:val="enumlev1"/>
        <w:rPr>
          <w:lang w:val="es-ES"/>
        </w:rPr>
      </w:pPr>
      <w:bookmarkStart w:id="37" w:name="lt_pId092"/>
      <w:r>
        <w:rPr>
          <w:lang w:val="es-ES"/>
        </w:rPr>
        <w:t>a)</w:t>
      </w:r>
      <w:r>
        <w:rPr>
          <w:lang w:val="es-ES"/>
        </w:rPr>
        <w:tab/>
      </w:r>
      <w:r w:rsidR="00B81C48" w:rsidRPr="00467C05">
        <w:rPr>
          <w:lang w:val="es-ES"/>
        </w:rPr>
        <w:t>una propuesta de calendario de financiación durante los próximos siete años; y</w:t>
      </w:r>
      <w:bookmarkEnd w:id="37"/>
    </w:p>
    <w:p w14:paraId="754AAA2B" w14:textId="4C75F019" w:rsidR="00417D8C" w:rsidRPr="00467C05" w:rsidRDefault="007D1296" w:rsidP="007D1296">
      <w:pPr>
        <w:pStyle w:val="enumlev1"/>
        <w:rPr>
          <w:lang w:val="es-ES"/>
        </w:rPr>
      </w:pPr>
      <w:bookmarkStart w:id="38" w:name="lt_pId093"/>
      <w:r>
        <w:rPr>
          <w:lang w:val="es-ES"/>
        </w:rPr>
        <w:t>b)</w:t>
      </w:r>
      <w:r>
        <w:rPr>
          <w:lang w:val="es-ES"/>
        </w:rPr>
        <w:tab/>
      </w:r>
      <w:r w:rsidR="00B81C48" w:rsidRPr="00467C05">
        <w:rPr>
          <w:lang w:val="es-ES"/>
        </w:rPr>
        <w:t>detalles sobre cada uno de los tres proyectos</w:t>
      </w:r>
      <w:r w:rsidR="00417D8C" w:rsidRPr="00467C05">
        <w:rPr>
          <w:lang w:val="es-ES"/>
        </w:rPr>
        <w:t>.</w:t>
      </w:r>
      <w:bookmarkEnd w:id="38"/>
    </w:p>
    <w:p w14:paraId="4C6F35EC" w14:textId="5A558A3F" w:rsidR="00417D8C" w:rsidRPr="00467C05" w:rsidRDefault="00417D8C" w:rsidP="007D1296">
      <w:pPr>
        <w:rPr>
          <w:lang w:val="es-ES"/>
        </w:rPr>
      </w:pPr>
      <w:r w:rsidRPr="00C73829">
        <w:rPr>
          <w:lang w:val="es-ES"/>
        </w:rPr>
        <w:t>1.16</w:t>
      </w:r>
      <w:r w:rsidRPr="00467C05">
        <w:rPr>
          <w:lang w:val="es-ES"/>
        </w:rPr>
        <w:tab/>
      </w:r>
      <w:bookmarkStart w:id="39" w:name="lt_pId095"/>
      <w:r w:rsidR="00B81C48" w:rsidRPr="00467C05">
        <w:rPr>
          <w:lang w:val="es-ES"/>
        </w:rPr>
        <w:t>Se record</w:t>
      </w:r>
      <w:r w:rsidR="003C0701" w:rsidRPr="00467C05">
        <w:rPr>
          <w:lang w:val="es-ES"/>
        </w:rPr>
        <w:t>ó</w:t>
      </w:r>
      <w:r w:rsidR="00B81C48" w:rsidRPr="00467C05">
        <w:rPr>
          <w:lang w:val="es-ES"/>
        </w:rPr>
        <w:t xml:space="preserve"> a los delegados que la continuidad de las actividades forma parte del desarrollo de</w:t>
      </w:r>
      <w:r w:rsidR="003C0701" w:rsidRPr="00467C05">
        <w:rPr>
          <w:lang w:val="es-ES"/>
        </w:rPr>
        <w:t xml:space="preserve">l Sistema de Gestión de la Resiliencia Institucional </w:t>
      </w:r>
      <w:r w:rsidR="00C81F7A">
        <w:rPr>
          <w:lang w:val="es-ES"/>
        </w:rPr>
        <w:t>de la UIT q</w:t>
      </w:r>
      <w:r w:rsidR="003C0701" w:rsidRPr="00467C05">
        <w:rPr>
          <w:lang w:val="es-ES"/>
        </w:rPr>
        <w:t>ue aprobó el Consejo en</w:t>
      </w:r>
      <w:r w:rsidR="00C73829">
        <w:rPr>
          <w:lang w:val="es-ES"/>
        </w:rPr>
        <w:t> </w:t>
      </w:r>
      <w:r w:rsidR="003C0701" w:rsidRPr="00467C05">
        <w:rPr>
          <w:lang w:val="es-ES"/>
        </w:rPr>
        <w:t xml:space="preserve">2017. El </w:t>
      </w:r>
      <w:r w:rsidR="00C73829">
        <w:rPr>
          <w:lang w:val="es-ES"/>
        </w:rPr>
        <w:t>i</w:t>
      </w:r>
      <w:r w:rsidR="003C0701" w:rsidRPr="00467C05">
        <w:rPr>
          <w:lang w:val="es-ES"/>
        </w:rPr>
        <w:t>nforme sobre el estado del SGRI se encuentr</w:t>
      </w:r>
      <w:r w:rsidR="00C73829">
        <w:rPr>
          <w:lang w:val="es-ES"/>
        </w:rPr>
        <w:t>a</w:t>
      </w:r>
      <w:r w:rsidR="003C0701" w:rsidRPr="00467C05">
        <w:rPr>
          <w:lang w:val="es-ES"/>
        </w:rPr>
        <w:t xml:space="preserve"> en el Documento </w:t>
      </w:r>
      <w:bookmarkStart w:id="40" w:name="lt_pId096"/>
      <w:bookmarkEnd w:id="39"/>
      <w:r w:rsidR="003C0701" w:rsidRPr="00467C05">
        <w:fldChar w:fldCharType="begin"/>
      </w:r>
      <w:r w:rsidR="004D1648">
        <w:instrText>HYPERLINK "https://www.itu.int/md/S20-CL-C-0015/es"</w:instrText>
      </w:r>
      <w:r w:rsidR="003C0701" w:rsidRPr="00467C05">
        <w:fldChar w:fldCharType="separate"/>
      </w:r>
      <w:r w:rsidRPr="00467C05">
        <w:rPr>
          <w:rStyle w:val="Hyperlink"/>
          <w:rFonts w:asciiTheme="minorHAnsi" w:hAnsiTheme="minorHAnsi" w:cstheme="minorHAnsi"/>
          <w:b/>
          <w:bCs/>
          <w:lang w:val="es-ES"/>
        </w:rPr>
        <w:t>C20/15</w:t>
      </w:r>
      <w:r w:rsidR="003C0701" w:rsidRPr="00467C05">
        <w:rPr>
          <w:rStyle w:val="Hyperlink"/>
          <w:rFonts w:asciiTheme="minorHAnsi" w:hAnsiTheme="minorHAnsi" w:cstheme="minorHAnsi"/>
          <w:b/>
          <w:bCs/>
          <w:lang w:val="es-ES"/>
        </w:rPr>
        <w:fldChar w:fldCharType="end"/>
      </w:r>
      <w:r w:rsidRPr="00467C05">
        <w:rPr>
          <w:lang w:val="es-ES"/>
        </w:rPr>
        <w:t>.</w:t>
      </w:r>
      <w:bookmarkEnd w:id="40"/>
    </w:p>
    <w:p w14:paraId="617473C7" w14:textId="746B51E8" w:rsidR="00417D8C" w:rsidRPr="00467C05" w:rsidRDefault="00417D8C" w:rsidP="007D1296">
      <w:pPr>
        <w:rPr>
          <w:lang w:val="es-ES"/>
        </w:rPr>
      </w:pPr>
      <w:r w:rsidRPr="00467C05">
        <w:rPr>
          <w:lang w:val="es-ES"/>
        </w:rPr>
        <w:lastRenderedPageBreak/>
        <w:t>1.17</w:t>
      </w:r>
      <w:r w:rsidRPr="00467C05">
        <w:rPr>
          <w:lang w:val="es-ES"/>
        </w:rPr>
        <w:tab/>
      </w:r>
      <w:bookmarkStart w:id="41" w:name="lt_pId098"/>
      <w:r w:rsidR="003C0701" w:rsidRPr="00467C05">
        <w:rPr>
          <w:lang w:val="es-ES"/>
        </w:rPr>
        <w:t>Los tres proyectos abarcan servicios corporativos utilizados por las tres Oficinas y la Secretaría General para prestar servicios a los Estados Miembros.</w:t>
      </w:r>
      <w:bookmarkEnd w:id="41"/>
    </w:p>
    <w:p w14:paraId="4B8A795A" w14:textId="1E5A9A5A" w:rsidR="002705D9" w:rsidRPr="00467C05" w:rsidRDefault="003C0701" w:rsidP="007D1296">
      <w:pPr>
        <w:rPr>
          <w:lang w:val="es-ES"/>
        </w:rPr>
      </w:pPr>
      <w:bookmarkStart w:id="42" w:name="lt_pId099"/>
      <w:r w:rsidRPr="00467C05">
        <w:rPr>
          <w:b/>
          <w:bCs/>
          <w:lang w:val="es-ES"/>
        </w:rPr>
        <w:t>Proyecto</w:t>
      </w:r>
      <w:r w:rsidR="00417D8C" w:rsidRPr="00467C05">
        <w:rPr>
          <w:b/>
          <w:bCs/>
          <w:lang w:val="es-ES"/>
        </w:rPr>
        <w:t xml:space="preserve"> 1</w:t>
      </w:r>
      <w:r w:rsidR="00417D8C" w:rsidRPr="00467C05">
        <w:rPr>
          <w:lang w:val="es-ES"/>
        </w:rPr>
        <w:t>:</w:t>
      </w:r>
      <w:bookmarkStart w:id="43" w:name="lt_pId100"/>
      <w:bookmarkEnd w:id="42"/>
      <w:r w:rsidR="00C81F7A">
        <w:rPr>
          <w:lang w:val="es-ES"/>
        </w:rPr>
        <w:tab/>
      </w:r>
      <w:r w:rsidR="00D74DC0">
        <w:rPr>
          <w:lang w:val="es-ES"/>
        </w:rPr>
        <w:t xml:space="preserve"> </w:t>
      </w:r>
      <w:r w:rsidR="00D64396" w:rsidRPr="00467C05">
        <w:rPr>
          <w:lang w:val="es-ES"/>
        </w:rPr>
        <w:t xml:space="preserve">Gestión de la información y los registros </w:t>
      </w:r>
      <w:r w:rsidR="00417D8C" w:rsidRPr="00467C05">
        <w:rPr>
          <w:lang w:val="es-ES"/>
        </w:rPr>
        <w:t>(8 millon</w:t>
      </w:r>
      <w:r w:rsidR="00D64396" w:rsidRPr="00467C05">
        <w:rPr>
          <w:lang w:val="es-ES"/>
        </w:rPr>
        <w:t>es</w:t>
      </w:r>
      <w:r w:rsidR="00417D8C" w:rsidRPr="00467C05">
        <w:rPr>
          <w:lang w:val="es-ES"/>
        </w:rPr>
        <w:t xml:space="preserve"> </w:t>
      </w:r>
      <w:r w:rsidR="00D64396" w:rsidRPr="00467C05">
        <w:rPr>
          <w:lang w:val="es-ES"/>
        </w:rPr>
        <w:t xml:space="preserve">CHF). </w:t>
      </w:r>
      <w:r w:rsidR="00C81F7A">
        <w:rPr>
          <w:lang w:val="es-ES"/>
        </w:rPr>
        <w:t>Es</w:t>
      </w:r>
      <w:r w:rsidR="00D64396" w:rsidRPr="00467C05">
        <w:rPr>
          <w:lang w:val="es-ES"/>
        </w:rPr>
        <w:t xml:space="preserve"> necesario iniciar este </w:t>
      </w:r>
      <w:r w:rsidR="00C81F7A">
        <w:rPr>
          <w:lang w:val="es-ES"/>
        </w:rPr>
        <w:t>p</w:t>
      </w:r>
      <w:r w:rsidR="00D64396" w:rsidRPr="00467C05">
        <w:rPr>
          <w:lang w:val="es-ES"/>
        </w:rPr>
        <w:t>royecto de manera urgente y con un calendario muy apretado para garantizar que el personal pued</w:t>
      </w:r>
      <w:r w:rsidR="00C81F7A">
        <w:rPr>
          <w:lang w:val="es-ES"/>
        </w:rPr>
        <w:t>a</w:t>
      </w:r>
      <w:r w:rsidR="00D64396" w:rsidRPr="00467C05">
        <w:rPr>
          <w:lang w:val="es-ES"/>
        </w:rPr>
        <w:t xml:space="preserve"> seguir trabajando sin interrupciones mientras se preparan los edificios de la Torre y Montbrillant para la reubicación del personal, y durante el periodo 2023-2025 de la reubicación </w:t>
      </w:r>
      <w:r w:rsidR="00C81F7A">
        <w:rPr>
          <w:lang w:val="es-ES"/>
        </w:rPr>
        <w:t>real</w:t>
      </w:r>
      <w:r w:rsidR="00D64396" w:rsidRPr="00467C05">
        <w:rPr>
          <w:lang w:val="es-ES"/>
        </w:rPr>
        <w:t xml:space="preserve"> del personal. Es importante reducir la </w:t>
      </w:r>
      <w:r w:rsidR="002705D9" w:rsidRPr="00467C05">
        <w:rPr>
          <w:lang w:val="es-ES"/>
        </w:rPr>
        <w:t xml:space="preserve">probabilidad de que se concreticen </w:t>
      </w:r>
      <w:bookmarkStart w:id="44" w:name="lt_pId101"/>
      <w:bookmarkEnd w:id="43"/>
      <w:r w:rsidR="002705D9" w:rsidRPr="00467C05">
        <w:rPr>
          <w:lang w:val="es-ES"/>
        </w:rPr>
        <w:t>los</w:t>
      </w:r>
      <w:r w:rsidR="00417D8C" w:rsidRPr="00467C05">
        <w:rPr>
          <w:lang w:val="es-ES"/>
        </w:rPr>
        <w:t xml:space="preserve"> </w:t>
      </w:r>
      <w:hyperlink r:id="rId14" w:history="1">
        <w:r w:rsidR="002705D9" w:rsidRPr="00467C05">
          <w:rPr>
            <w:rStyle w:val="Hyperlink"/>
            <w:rFonts w:asciiTheme="minorHAnsi" w:hAnsiTheme="minorHAnsi" w:cstheme="minorHAnsi"/>
            <w:lang w:val="es-ES"/>
          </w:rPr>
          <w:t>riesgos del proyecto de nuevo edificio</w:t>
        </w:r>
      </w:hyperlink>
      <w:r w:rsidR="00417D8C" w:rsidRPr="00467C05">
        <w:rPr>
          <w:lang w:val="es-ES"/>
        </w:rPr>
        <w:t xml:space="preserve"> </w:t>
      </w:r>
      <w:r w:rsidR="002705D9" w:rsidRPr="00467C05">
        <w:rPr>
          <w:lang w:val="es-ES"/>
        </w:rPr>
        <w:t xml:space="preserve">y tengan repercusiones sobre el fondo del </w:t>
      </w:r>
      <w:r w:rsidR="00BA1C01" w:rsidRPr="00467C05">
        <w:rPr>
          <w:lang w:val="es-ES"/>
        </w:rPr>
        <w:t>registro de riesgos</w:t>
      </w:r>
      <w:r w:rsidR="002705D9" w:rsidRPr="00467C05">
        <w:rPr>
          <w:lang w:val="es-ES"/>
        </w:rPr>
        <w:t xml:space="preserve"> del nuevo edificio</w:t>
      </w:r>
      <w:r w:rsidR="00417D8C" w:rsidRPr="00467C05">
        <w:rPr>
          <w:lang w:val="es-ES"/>
        </w:rPr>
        <w:t>.</w:t>
      </w:r>
      <w:bookmarkEnd w:id="44"/>
      <w:r w:rsidR="002705D9" w:rsidRPr="00467C05">
        <w:rPr>
          <w:lang w:val="es-ES"/>
        </w:rPr>
        <w:t xml:space="preserve"> Se recordó a los delegados que ya se han iniciado </w:t>
      </w:r>
      <w:r w:rsidR="0093525C">
        <w:rPr>
          <w:lang w:val="es-ES"/>
        </w:rPr>
        <w:t>los trabajos con l</w:t>
      </w:r>
      <w:r w:rsidR="002705D9" w:rsidRPr="00467C05">
        <w:rPr>
          <w:lang w:val="es-ES"/>
        </w:rPr>
        <w:t xml:space="preserve">as labores de salvaguarda de los archivos de la BR ubicados en el edificio de Varembé, un proyecto para el cual el Consejo </w:t>
      </w:r>
      <w:r w:rsidR="00C81F7A">
        <w:rPr>
          <w:lang w:val="es-ES"/>
        </w:rPr>
        <w:t xml:space="preserve">ya </w:t>
      </w:r>
      <w:r w:rsidR="002705D9" w:rsidRPr="00467C05">
        <w:rPr>
          <w:lang w:val="es-ES"/>
        </w:rPr>
        <w:t xml:space="preserve">aprobó </w:t>
      </w:r>
      <w:r w:rsidR="00C81F7A">
        <w:rPr>
          <w:lang w:val="es-ES"/>
        </w:rPr>
        <w:t xml:space="preserve">específicamente </w:t>
      </w:r>
      <w:r w:rsidR="002705D9" w:rsidRPr="00467C05">
        <w:rPr>
          <w:lang w:val="es-ES"/>
        </w:rPr>
        <w:t xml:space="preserve">1,07 </w:t>
      </w:r>
      <w:r w:rsidR="00781C1D">
        <w:rPr>
          <w:lang w:val="es-ES"/>
        </w:rPr>
        <w:t>m</w:t>
      </w:r>
      <w:r w:rsidR="002705D9" w:rsidRPr="00467C05">
        <w:rPr>
          <w:lang w:val="es-ES"/>
        </w:rPr>
        <w:t>illones CHF (Acuerdo 619). Las lecciones aprendid</w:t>
      </w:r>
      <w:r w:rsidR="001A75E4" w:rsidRPr="00467C05">
        <w:rPr>
          <w:lang w:val="es-ES"/>
        </w:rPr>
        <w:t xml:space="preserve">as en </w:t>
      </w:r>
      <w:r w:rsidR="0093525C" w:rsidRPr="00467C05">
        <w:rPr>
          <w:lang w:val="es-ES"/>
        </w:rPr>
        <w:t xml:space="preserve">los proyectos </w:t>
      </w:r>
      <w:r w:rsidR="0093525C">
        <w:rPr>
          <w:lang w:val="es-ES"/>
        </w:rPr>
        <w:t>d</w:t>
      </w:r>
      <w:r w:rsidR="001A75E4" w:rsidRPr="00467C05">
        <w:rPr>
          <w:lang w:val="es-ES"/>
        </w:rPr>
        <w:t>el</w:t>
      </w:r>
      <w:r w:rsidR="002705D9" w:rsidRPr="00467C05">
        <w:rPr>
          <w:lang w:val="es-ES"/>
        </w:rPr>
        <w:t xml:space="preserve"> </w:t>
      </w:r>
      <w:r w:rsidR="001A75E4" w:rsidRPr="00467C05">
        <w:rPr>
          <w:lang w:val="es-ES"/>
        </w:rPr>
        <w:t>plan maestro de mejoras de infraestructura</w:t>
      </w:r>
      <w:r w:rsidR="00417D8C" w:rsidRPr="00467C05">
        <w:rPr>
          <w:lang w:val="es-ES"/>
        </w:rPr>
        <w:t xml:space="preserve"> </w:t>
      </w:r>
      <w:bookmarkStart w:id="45" w:name="lt_pId102"/>
      <w:r w:rsidR="001A75E4" w:rsidRPr="00467C05">
        <w:rPr>
          <w:lang w:val="es-ES"/>
        </w:rPr>
        <w:t>de la Sede de las Naciones Unidas en Nueva York y de renovación de la Oficina de las Naciones Unidas en Ginebra, muestran que existe un riesgo significativo de pérdida de registros oficiales de la organización si no se gestionan y ponen a salvo a tiempo.</w:t>
      </w:r>
    </w:p>
    <w:p w14:paraId="1A5E464B" w14:textId="3840B803" w:rsidR="003B7869" w:rsidRPr="00467C05" w:rsidRDefault="00417D8C" w:rsidP="00D74DC0">
      <w:pPr>
        <w:tabs>
          <w:tab w:val="clear" w:pos="1134"/>
          <w:tab w:val="left" w:pos="1276"/>
        </w:tabs>
        <w:rPr>
          <w:lang w:val="es-ES"/>
        </w:rPr>
      </w:pPr>
      <w:bookmarkStart w:id="46" w:name="lt_pId104"/>
      <w:bookmarkEnd w:id="45"/>
      <w:r w:rsidRPr="00467C05">
        <w:rPr>
          <w:b/>
          <w:bCs/>
          <w:lang w:val="es-ES"/>
        </w:rPr>
        <w:t>Pro</w:t>
      </w:r>
      <w:r w:rsidR="00D64396" w:rsidRPr="00467C05">
        <w:rPr>
          <w:b/>
          <w:bCs/>
          <w:lang w:val="es-ES"/>
        </w:rPr>
        <w:t>yecto</w:t>
      </w:r>
      <w:r w:rsidRPr="00467C05">
        <w:rPr>
          <w:b/>
          <w:bCs/>
          <w:lang w:val="es-ES"/>
        </w:rPr>
        <w:t xml:space="preserve"> 2</w:t>
      </w:r>
      <w:r w:rsidRPr="00467C05">
        <w:rPr>
          <w:lang w:val="es-ES"/>
        </w:rPr>
        <w:t>:</w:t>
      </w:r>
      <w:bookmarkStart w:id="47" w:name="lt_pId105"/>
      <w:bookmarkEnd w:id="46"/>
      <w:r w:rsidR="00D74DC0">
        <w:rPr>
          <w:lang w:val="es-ES"/>
        </w:rPr>
        <w:t xml:space="preserve"> </w:t>
      </w:r>
      <w:r w:rsidR="00D64396" w:rsidRPr="00467C05">
        <w:rPr>
          <w:lang w:val="es-ES"/>
        </w:rPr>
        <w:t xml:space="preserve">Herramientas informáticas de trabajo de la Unión </w:t>
      </w:r>
      <w:r w:rsidRPr="00467C05">
        <w:rPr>
          <w:lang w:val="es-ES"/>
        </w:rPr>
        <w:t xml:space="preserve">(3 </w:t>
      </w:r>
      <w:r w:rsidR="003B7869" w:rsidRPr="00467C05">
        <w:rPr>
          <w:lang w:val="es-ES"/>
        </w:rPr>
        <w:t>millones CHF</w:t>
      </w:r>
      <w:r w:rsidRPr="00467C05">
        <w:rPr>
          <w:lang w:val="es-ES"/>
        </w:rPr>
        <w:t>)</w:t>
      </w:r>
      <w:r w:rsidR="001A75E4" w:rsidRPr="00467C05">
        <w:rPr>
          <w:lang w:val="es-ES"/>
        </w:rPr>
        <w:t>. El proyecto es necesario para garantizar la continuidad de las actividades después del final de la vida útil de algunos productos de TI que la UIT ha</w:t>
      </w:r>
      <w:r w:rsidR="0093525C">
        <w:rPr>
          <w:lang w:val="es-ES"/>
        </w:rPr>
        <w:t xml:space="preserve"> venido</w:t>
      </w:r>
      <w:r w:rsidR="001A75E4" w:rsidRPr="00467C05">
        <w:rPr>
          <w:lang w:val="es-ES"/>
        </w:rPr>
        <w:t xml:space="preserve"> utiliza</w:t>
      </w:r>
      <w:r w:rsidR="0093525C">
        <w:rPr>
          <w:lang w:val="es-ES"/>
        </w:rPr>
        <w:t>n</w:t>
      </w:r>
      <w:r w:rsidR="001A75E4" w:rsidRPr="00467C05">
        <w:rPr>
          <w:lang w:val="es-ES"/>
        </w:rPr>
        <w:t xml:space="preserve">do </w:t>
      </w:r>
      <w:r w:rsidR="00C81F7A">
        <w:rPr>
          <w:lang w:val="es-ES"/>
        </w:rPr>
        <w:t>durante</w:t>
      </w:r>
      <w:r w:rsidR="001A75E4" w:rsidRPr="00467C05">
        <w:rPr>
          <w:lang w:val="es-ES"/>
        </w:rPr>
        <w:t xml:space="preserve"> decenios. En este caso se encuentran a) los sistemas administrativos de la UIT (ERP/CRM) que </w:t>
      </w:r>
      <w:r w:rsidR="0093525C">
        <w:rPr>
          <w:lang w:val="es-ES"/>
        </w:rPr>
        <w:t>será</w:t>
      </w:r>
      <w:r w:rsidR="001A75E4" w:rsidRPr="00467C05">
        <w:rPr>
          <w:lang w:val="es-ES"/>
        </w:rPr>
        <w:t xml:space="preserve"> necesario sustituir en</w:t>
      </w:r>
      <w:r w:rsidR="00837A85">
        <w:rPr>
          <w:lang w:val="es-ES"/>
        </w:rPr>
        <w:t> </w:t>
      </w:r>
      <w:r w:rsidR="001A75E4" w:rsidRPr="00467C05">
        <w:rPr>
          <w:lang w:val="es-ES"/>
        </w:rPr>
        <w:t xml:space="preserve">2025 pues el </w:t>
      </w:r>
      <w:r w:rsidR="00C81F7A">
        <w:rPr>
          <w:lang w:val="es-ES"/>
        </w:rPr>
        <w:t>suministrador</w:t>
      </w:r>
      <w:r w:rsidR="001A75E4" w:rsidRPr="00467C05">
        <w:rPr>
          <w:lang w:val="es-ES"/>
        </w:rPr>
        <w:t xml:space="preserve"> (SAP) </w:t>
      </w:r>
      <w:r w:rsidR="003B7869" w:rsidRPr="00467C05">
        <w:rPr>
          <w:lang w:val="es-ES"/>
        </w:rPr>
        <w:t>dejará de dar</w:t>
      </w:r>
      <w:r w:rsidR="001A75E4" w:rsidRPr="00467C05">
        <w:rPr>
          <w:lang w:val="es-ES"/>
        </w:rPr>
        <w:t xml:space="preserve"> soporte </w:t>
      </w:r>
      <w:r w:rsidR="003B7869" w:rsidRPr="00467C05">
        <w:rPr>
          <w:lang w:val="es-ES"/>
        </w:rPr>
        <w:t>de la plataforma actual, y b) el sistema de gestión de documentos de la UIT</w:t>
      </w:r>
      <w:bookmarkStart w:id="48" w:name="lt_pId106"/>
      <w:bookmarkEnd w:id="47"/>
      <w:r w:rsidR="003B7869" w:rsidRPr="00467C05">
        <w:rPr>
          <w:lang w:val="es-ES"/>
        </w:rPr>
        <w:t xml:space="preserve"> </w:t>
      </w:r>
      <w:r w:rsidRPr="00467C05">
        <w:rPr>
          <w:lang w:val="es-ES"/>
        </w:rPr>
        <w:t xml:space="preserve">(Documentum </w:t>
      </w:r>
      <w:r w:rsidR="003B7869" w:rsidRPr="00467C05">
        <w:rPr>
          <w:lang w:val="es-ES"/>
        </w:rPr>
        <w:t>y</w:t>
      </w:r>
      <w:r w:rsidRPr="00467C05">
        <w:rPr>
          <w:lang w:val="es-ES"/>
        </w:rPr>
        <w:t xml:space="preserve"> SharePoint</w:t>
      </w:r>
      <w:r w:rsidR="003B7869" w:rsidRPr="00467C05">
        <w:rPr>
          <w:lang w:val="es-ES"/>
        </w:rPr>
        <w:t xml:space="preserve"> de Microsoft</w:t>
      </w:r>
      <w:r w:rsidRPr="00467C05">
        <w:rPr>
          <w:lang w:val="es-ES"/>
        </w:rPr>
        <w:t xml:space="preserve">) </w:t>
      </w:r>
      <w:r w:rsidR="003B7869" w:rsidRPr="00467C05">
        <w:rPr>
          <w:lang w:val="es-ES"/>
        </w:rPr>
        <w:t xml:space="preserve">pues los </w:t>
      </w:r>
      <w:r w:rsidR="00C81F7A">
        <w:rPr>
          <w:lang w:val="es-ES"/>
        </w:rPr>
        <w:t>suministradores</w:t>
      </w:r>
      <w:r w:rsidR="003B7869" w:rsidRPr="00467C05">
        <w:rPr>
          <w:lang w:val="es-ES"/>
        </w:rPr>
        <w:t xml:space="preserve"> han dejado de dar soporte a las versiones actuales</w:t>
      </w:r>
      <w:r w:rsidRPr="00467C05">
        <w:rPr>
          <w:lang w:val="es-ES"/>
        </w:rPr>
        <w:t>.</w:t>
      </w:r>
      <w:bookmarkEnd w:id="48"/>
      <w:r w:rsidRPr="00467C05">
        <w:rPr>
          <w:lang w:val="es-ES"/>
        </w:rPr>
        <w:t xml:space="preserve"> </w:t>
      </w:r>
      <w:bookmarkStart w:id="49" w:name="lt_pId107"/>
      <w:r w:rsidR="003B7869" w:rsidRPr="00467C05">
        <w:rPr>
          <w:lang w:val="es-ES"/>
        </w:rPr>
        <w:t xml:space="preserve">La utilización de plataformas obsoletas no solo es un </w:t>
      </w:r>
      <w:r w:rsidR="0014379A" w:rsidRPr="00467C05">
        <w:rPr>
          <w:lang w:val="es-ES"/>
        </w:rPr>
        <w:t>riesgo,</w:t>
      </w:r>
      <w:r w:rsidR="003B7869" w:rsidRPr="00467C05">
        <w:rPr>
          <w:lang w:val="es-ES"/>
        </w:rPr>
        <w:t xml:space="preserve"> sino que también impide que la UIT se beneficie de nuevos desarrollos tecnológicos (introducción de procesos soportados por </w:t>
      </w:r>
      <w:r w:rsidR="00C81F7A">
        <w:rPr>
          <w:lang w:val="es-ES"/>
        </w:rPr>
        <w:t>inteligencia artificial o aprendizaje automático)</w:t>
      </w:r>
      <w:r w:rsidR="003B7869" w:rsidRPr="00467C05">
        <w:rPr>
          <w:lang w:val="es-ES"/>
        </w:rPr>
        <w:t xml:space="preserve"> y pueda mejorar la eficiencia.</w:t>
      </w:r>
    </w:p>
    <w:p w14:paraId="2DBB617F" w14:textId="6BB9190F" w:rsidR="0014379A" w:rsidRPr="00467C05" w:rsidRDefault="00417D8C" w:rsidP="007D1296">
      <w:pPr>
        <w:rPr>
          <w:lang w:val="es-ES"/>
        </w:rPr>
      </w:pPr>
      <w:bookmarkStart w:id="50" w:name="lt_pId108"/>
      <w:bookmarkEnd w:id="49"/>
      <w:r w:rsidRPr="00467C05">
        <w:rPr>
          <w:b/>
          <w:bCs/>
          <w:lang w:val="es-ES"/>
        </w:rPr>
        <w:t>Pro</w:t>
      </w:r>
      <w:r w:rsidR="00D64396" w:rsidRPr="00467C05">
        <w:rPr>
          <w:b/>
          <w:bCs/>
          <w:lang w:val="es-ES"/>
        </w:rPr>
        <w:t>yecto</w:t>
      </w:r>
      <w:r w:rsidRPr="00467C05">
        <w:rPr>
          <w:b/>
          <w:bCs/>
          <w:lang w:val="es-ES"/>
        </w:rPr>
        <w:t xml:space="preserve"> 3</w:t>
      </w:r>
      <w:r w:rsidRPr="00467C05">
        <w:rPr>
          <w:lang w:val="es-ES"/>
        </w:rPr>
        <w:t>:</w:t>
      </w:r>
      <w:bookmarkEnd w:id="50"/>
      <w:r w:rsidRPr="00467C05">
        <w:rPr>
          <w:lang w:val="es-ES"/>
        </w:rPr>
        <w:t xml:space="preserve"> </w:t>
      </w:r>
      <w:bookmarkStart w:id="51" w:name="lt_pId109"/>
      <w:r w:rsidR="00D64396" w:rsidRPr="00467C05">
        <w:rPr>
          <w:lang w:val="es-ES"/>
        </w:rPr>
        <w:t xml:space="preserve">Sitio web de la UIT </w:t>
      </w:r>
      <w:r w:rsidRPr="00467C05">
        <w:rPr>
          <w:lang w:val="es-ES"/>
        </w:rPr>
        <w:t xml:space="preserve">(2 </w:t>
      </w:r>
      <w:r w:rsidR="003B7869" w:rsidRPr="00467C05">
        <w:rPr>
          <w:lang w:val="es-ES"/>
        </w:rPr>
        <w:t>millones CHF</w:t>
      </w:r>
      <w:r w:rsidRPr="00467C05">
        <w:rPr>
          <w:lang w:val="es-ES"/>
        </w:rPr>
        <w:t>)</w:t>
      </w:r>
      <w:r w:rsidR="003B7869" w:rsidRPr="00467C05">
        <w:rPr>
          <w:lang w:val="es-ES"/>
        </w:rPr>
        <w:t>. El proyecto es necesario para la migración de todo el sitio web a una nueva plataforma</w:t>
      </w:r>
      <w:r w:rsidR="00C81F7A">
        <w:rPr>
          <w:lang w:val="es-ES"/>
        </w:rPr>
        <w:t xml:space="preserve"> para asegurar</w:t>
      </w:r>
      <w:r w:rsidR="007A3729" w:rsidRPr="00467C05">
        <w:rPr>
          <w:lang w:val="es-ES"/>
        </w:rPr>
        <w:t xml:space="preserve"> la continuidad de las actividades, dar respuesta a las solicitudes de los Estados Miembros de una implantación completa de los seis idiomas en todo el sitio web, así como </w:t>
      </w:r>
      <w:r w:rsidR="00C81F7A">
        <w:rPr>
          <w:lang w:val="es-ES"/>
        </w:rPr>
        <w:t xml:space="preserve">para </w:t>
      </w:r>
      <w:r w:rsidR="007A3729" w:rsidRPr="00467C05">
        <w:rPr>
          <w:lang w:val="es-ES"/>
        </w:rPr>
        <w:t>una armonización y mejora de la usabilidad para los delegados y los visitantes</w:t>
      </w:r>
      <w:r w:rsidR="0014379A" w:rsidRPr="00467C05">
        <w:rPr>
          <w:lang w:val="es-ES"/>
        </w:rPr>
        <w:t xml:space="preserve"> (Resolución 154)</w:t>
      </w:r>
      <w:r w:rsidR="007A3729" w:rsidRPr="00467C05">
        <w:rPr>
          <w:lang w:val="es-ES"/>
        </w:rPr>
        <w:t>.</w:t>
      </w:r>
    </w:p>
    <w:bookmarkEnd w:id="51"/>
    <w:p w14:paraId="08980C19" w14:textId="1F9A16CE" w:rsidR="0014379A" w:rsidRPr="00467C05" w:rsidRDefault="00417D8C" w:rsidP="007D1296">
      <w:pPr>
        <w:rPr>
          <w:lang w:val="es-ES"/>
        </w:rPr>
      </w:pPr>
      <w:r w:rsidRPr="00467C05">
        <w:rPr>
          <w:lang w:val="es-ES"/>
        </w:rPr>
        <w:t>1.18</w:t>
      </w:r>
      <w:r w:rsidRPr="00467C05">
        <w:rPr>
          <w:lang w:val="es-ES"/>
        </w:rPr>
        <w:tab/>
      </w:r>
      <w:bookmarkStart w:id="52" w:name="lt_pId112"/>
      <w:r w:rsidR="0014379A" w:rsidRPr="00467C05">
        <w:rPr>
          <w:lang w:val="es-ES"/>
        </w:rPr>
        <w:t>El GTC-RHF tom</w:t>
      </w:r>
      <w:r w:rsidR="00C81F7A">
        <w:rPr>
          <w:lang w:val="es-ES"/>
        </w:rPr>
        <w:t>ó</w:t>
      </w:r>
      <w:r w:rsidR="0014379A" w:rsidRPr="00467C05">
        <w:rPr>
          <w:lang w:val="es-ES"/>
        </w:rPr>
        <w:t xml:space="preserve"> nota de la importancia de los proyectos y solicitó que todas las solicitudes sin financiación de la UIT se junten en un documento para su </w:t>
      </w:r>
      <w:r w:rsidR="00C81F7A">
        <w:rPr>
          <w:lang w:val="es-ES"/>
        </w:rPr>
        <w:t>examen</w:t>
      </w:r>
      <w:r w:rsidR="0014379A" w:rsidRPr="00467C05">
        <w:rPr>
          <w:lang w:val="es-ES"/>
        </w:rPr>
        <w:t xml:space="preserve"> en la reunión de</w:t>
      </w:r>
      <w:r w:rsidR="00837A85">
        <w:rPr>
          <w:lang w:val="es-ES"/>
        </w:rPr>
        <w:t> </w:t>
      </w:r>
      <w:r w:rsidR="0014379A" w:rsidRPr="00467C05">
        <w:rPr>
          <w:lang w:val="es-ES"/>
        </w:rPr>
        <w:t xml:space="preserve">2021 del Consejo. La Secretaría añadió que </w:t>
      </w:r>
      <w:r w:rsidR="0048120C" w:rsidRPr="00467C05">
        <w:rPr>
          <w:lang w:val="es-ES"/>
        </w:rPr>
        <w:t>ninguna de estas solicitudes estaba</w:t>
      </w:r>
      <w:r w:rsidR="0014379A" w:rsidRPr="00467C05">
        <w:rPr>
          <w:lang w:val="es-ES"/>
        </w:rPr>
        <w:t xml:space="preserve"> </w:t>
      </w:r>
      <w:r w:rsidR="00467C05" w:rsidRPr="00467C05">
        <w:rPr>
          <w:lang w:val="es-ES"/>
        </w:rPr>
        <w:t>incluida</w:t>
      </w:r>
      <w:r w:rsidR="0014379A" w:rsidRPr="00467C05">
        <w:rPr>
          <w:lang w:val="es-ES"/>
        </w:rPr>
        <w:t xml:space="preserve"> en los presupuestos bienales </w:t>
      </w:r>
      <w:r w:rsidR="0048120C" w:rsidRPr="00467C05">
        <w:rPr>
          <w:lang w:val="es-ES"/>
        </w:rPr>
        <w:t xml:space="preserve">de </w:t>
      </w:r>
      <w:r w:rsidR="0014379A" w:rsidRPr="00467C05">
        <w:rPr>
          <w:lang w:val="es-ES"/>
        </w:rPr>
        <w:t>2020-2021 y 2022-2023 y, por tanto, necesita</w:t>
      </w:r>
      <w:r w:rsidR="00C81F7A">
        <w:rPr>
          <w:lang w:val="es-ES"/>
        </w:rPr>
        <w:t>ría</w:t>
      </w:r>
      <w:r w:rsidR="0014379A" w:rsidRPr="00467C05">
        <w:rPr>
          <w:lang w:val="es-ES"/>
        </w:rPr>
        <w:t>n un Acuerdo del Consejo. Un delegado alent</w:t>
      </w:r>
      <w:r w:rsidR="0048120C" w:rsidRPr="00467C05">
        <w:rPr>
          <w:lang w:val="es-ES"/>
        </w:rPr>
        <w:t>ó a la UIT a implementar</w:t>
      </w:r>
      <w:r w:rsidR="00467C05">
        <w:rPr>
          <w:lang w:val="es-ES"/>
        </w:rPr>
        <w:t xml:space="preserve"> </w:t>
      </w:r>
      <w:r w:rsidR="00781C1D">
        <w:rPr>
          <w:lang w:val="es-ES"/>
        </w:rPr>
        <w:t>"</w:t>
      </w:r>
      <w:r w:rsidR="00467C05">
        <w:rPr>
          <w:lang w:val="es-ES"/>
        </w:rPr>
        <w:t>Una UIT</w:t>
      </w:r>
      <w:r w:rsidR="00781C1D">
        <w:rPr>
          <w:lang w:val="es-ES"/>
        </w:rPr>
        <w:t>"</w:t>
      </w:r>
      <w:r w:rsidR="0048120C" w:rsidRPr="00467C05">
        <w:rPr>
          <w:lang w:val="es-ES"/>
        </w:rPr>
        <w:t xml:space="preserve"> para evitar duplicaciones y solapamientos entre las Oficinas y los Departamentos de la Secretaría General.</w:t>
      </w:r>
    </w:p>
    <w:p w14:paraId="4C14CF15" w14:textId="34DA48F6" w:rsidR="00417D8C" w:rsidRPr="00467C05" w:rsidRDefault="00417D8C" w:rsidP="004D1648">
      <w:pPr>
        <w:pStyle w:val="Headingb"/>
        <w:rPr>
          <w:u w:val="single"/>
          <w:lang w:val="es-ES"/>
        </w:rPr>
      </w:pPr>
      <w:bookmarkStart w:id="53" w:name="_Hlk67906915"/>
      <w:bookmarkEnd w:id="52"/>
      <w:r w:rsidRPr="00D613A1">
        <w:rPr>
          <w:lang w:val="es-ES"/>
        </w:rPr>
        <w:t>c</w:t>
      </w:r>
      <w:r w:rsidR="00D74DC0" w:rsidRPr="00D613A1">
        <w:rPr>
          <w:lang w:val="es-ES"/>
        </w:rPr>
        <w:t>)</w:t>
      </w:r>
      <w:r w:rsidRPr="00D613A1">
        <w:rPr>
          <w:lang w:val="es-ES"/>
        </w:rPr>
        <w:tab/>
      </w:r>
      <w:r w:rsidR="00D613A1" w:rsidRPr="00D613A1">
        <w:rPr>
          <w:lang w:val="es-ES"/>
        </w:rPr>
        <w:t>Previsión provisional del superávit financiero de 2020 (presentación verbal)</w:t>
      </w:r>
    </w:p>
    <w:bookmarkEnd w:id="53"/>
    <w:p w14:paraId="555934B7" w14:textId="283A0258" w:rsidR="0048120C" w:rsidRPr="00467C05" w:rsidRDefault="00417D8C" w:rsidP="007D1296">
      <w:pPr>
        <w:rPr>
          <w:lang w:val="es-ES"/>
        </w:rPr>
      </w:pPr>
      <w:r w:rsidRPr="00467C05">
        <w:rPr>
          <w:lang w:val="es-ES"/>
        </w:rPr>
        <w:t>1.19</w:t>
      </w:r>
      <w:r w:rsidRPr="00467C05">
        <w:rPr>
          <w:lang w:val="es-ES"/>
        </w:rPr>
        <w:tab/>
      </w:r>
      <w:bookmarkStart w:id="54" w:name="lt_pId117"/>
      <w:r w:rsidR="0048120C" w:rsidRPr="00467C05">
        <w:rPr>
          <w:lang w:val="es-ES"/>
        </w:rPr>
        <w:t xml:space="preserve">La Secretaría hizo una </w:t>
      </w:r>
      <w:r w:rsidR="00E12B7D" w:rsidRPr="00E12B7D">
        <w:rPr>
          <w:lang w:val="es-ES"/>
        </w:rPr>
        <w:t xml:space="preserve">presentación verbal </w:t>
      </w:r>
      <w:r w:rsidR="0048120C" w:rsidRPr="00467C05">
        <w:rPr>
          <w:lang w:val="es-ES"/>
        </w:rPr>
        <w:t>de los resultados preliminares de la ejecución del presupuesto de 2020 antes del cierre oficial de cuentas en marzo de 2021.</w:t>
      </w:r>
    </w:p>
    <w:bookmarkEnd w:id="54"/>
    <w:p w14:paraId="5A483362" w14:textId="3B232A2F" w:rsidR="00417D8C" w:rsidRPr="00467C05" w:rsidRDefault="00417D8C" w:rsidP="007D1296">
      <w:pPr>
        <w:rPr>
          <w:lang w:val="es-ES"/>
        </w:rPr>
      </w:pPr>
      <w:r w:rsidRPr="00467C05">
        <w:rPr>
          <w:lang w:val="es-ES"/>
        </w:rPr>
        <w:t>1.20</w:t>
      </w:r>
      <w:r w:rsidRPr="00467C05">
        <w:rPr>
          <w:lang w:val="es-ES"/>
        </w:rPr>
        <w:tab/>
      </w:r>
      <w:bookmarkStart w:id="55" w:name="lt_pId119"/>
      <w:r w:rsidR="008347FB" w:rsidRPr="00467C05">
        <w:rPr>
          <w:lang w:val="es-ES"/>
        </w:rPr>
        <w:t>Los puntos más destacados fueron los siguientes:</w:t>
      </w:r>
      <w:bookmarkEnd w:id="55"/>
    </w:p>
    <w:p w14:paraId="1EE82DD1" w14:textId="68384A6A" w:rsidR="008347FB" w:rsidRPr="00467C05" w:rsidRDefault="007D1296" w:rsidP="007D1296">
      <w:pPr>
        <w:pStyle w:val="enumlev1"/>
        <w:rPr>
          <w:lang w:val="es-ES"/>
        </w:rPr>
      </w:pPr>
      <w:r>
        <w:rPr>
          <w:lang w:val="es-ES"/>
        </w:rPr>
        <w:t>–</w:t>
      </w:r>
      <w:r w:rsidR="00417D8C" w:rsidRPr="00467C05">
        <w:rPr>
          <w:lang w:val="es-ES"/>
        </w:rPr>
        <w:tab/>
      </w:r>
      <w:bookmarkStart w:id="56" w:name="lt_pId121"/>
      <w:r w:rsidR="008347FB" w:rsidRPr="00467C05">
        <w:rPr>
          <w:lang w:val="es-ES"/>
        </w:rPr>
        <w:t xml:space="preserve">En </w:t>
      </w:r>
      <w:r w:rsidR="00C81F7A">
        <w:rPr>
          <w:lang w:val="es-ES"/>
        </w:rPr>
        <w:t xml:space="preserve">los </w:t>
      </w:r>
      <w:r w:rsidR="008347FB" w:rsidRPr="00467C05">
        <w:rPr>
          <w:lang w:val="es-ES"/>
        </w:rPr>
        <w:t>gastos, se han producido unos ahorros significativos en costes de viajes y de becas, parcialmente compensados por los gastos relativos a la COVID-19 (1,7 millones CHF) así como el pago anual de la UNSMIS (nuevo seguro médico para la UIT)</w:t>
      </w:r>
      <w:r w:rsidR="00C81F7A" w:rsidRPr="00C81F7A">
        <w:rPr>
          <w:lang w:val="es-ES"/>
        </w:rPr>
        <w:t xml:space="preserve"> </w:t>
      </w:r>
      <w:r w:rsidR="00C81F7A" w:rsidRPr="00467C05">
        <w:rPr>
          <w:lang w:val="es-ES"/>
        </w:rPr>
        <w:t>(1,6 millones CHF)</w:t>
      </w:r>
      <w:r w:rsidR="008347FB" w:rsidRPr="00467C05">
        <w:rPr>
          <w:lang w:val="es-ES"/>
        </w:rPr>
        <w:t>, que total</w:t>
      </w:r>
      <w:r w:rsidR="00C81F7A">
        <w:rPr>
          <w:lang w:val="es-ES"/>
        </w:rPr>
        <w:t xml:space="preserve">izan unos fondos no utilizados de </w:t>
      </w:r>
      <w:r w:rsidR="00C81F7A" w:rsidRPr="00467C05">
        <w:rPr>
          <w:lang w:val="es-ES"/>
        </w:rPr>
        <w:t>aproximadamente</w:t>
      </w:r>
      <w:r w:rsidR="008347FB" w:rsidRPr="00467C05">
        <w:rPr>
          <w:lang w:val="es-ES"/>
        </w:rPr>
        <w:t xml:space="preserve"> 9 millones CHF.</w:t>
      </w:r>
    </w:p>
    <w:bookmarkEnd w:id="56"/>
    <w:p w14:paraId="4C325E07" w14:textId="1B3A9640" w:rsidR="008347FB" w:rsidRPr="00467C05" w:rsidRDefault="007D1296" w:rsidP="007D1296">
      <w:pPr>
        <w:pStyle w:val="enumlev1"/>
        <w:rPr>
          <w:lang w:val="es-ES"/>
        </w:rPr>
      </w:pPr>
      <w:r>
        <w:rPr>
          <w:lang w:val="es-ES"/>
        </w:rPr>
        <w:lastRenderedPageBreak/>
        <w:t>–</w:t>
      </w:r>
      <w:r w:rsidR="00417D8C" w:rsidRPr="00467C05">
        <w:rPr>
          <w:lang w:val="es-ES"/>
        </w:rPr>
        <w:tab/>
      </w:r>
      <w:bookmarkStart w:id="57" w:name="lt_pId123"/>
      <w:r w:rsidR="008347FB" w:rsidRPr="00467C05">
        <w:rPr>
          <w:lang w:val="es-ES"/>
        </w:rPr>
        <w:t xml:space="preserve">En </w:t>
      </w:r>
      <w:r w:rsidR="00C81F7A">
        <w:rPr>
          <w:lang w:val="es-ES"/>
        </w:rPr>
        <w:t xml:space="preserve">los </w:t>
      </w:r>
      <w:r w:rsidR="008347FB" w:rsidRPr="00467C05">
        <w:rPr>
          <w:lang w:val="es-ES"/>
        </w:rPr>
        <w:t>ingresos, un import</w:t>
      </w:r>
      <w:r w:rsidR="000F00AB" w:rsidRPr="00467C05">
        <w:rPr>
          <w:lang w:val="es-ES"/>
        </w:rPr>
        <w:t>an</w:t>
      </w:r>
      <w:r w:rsidR="008347FB" w:rsidRPr="00467C05">
        <w:rPr>
          <w:lang w:val="es-ES"/>
        </w:rPr>
        <w:t xml:space="preserve">te </w:t>
      </w:r>
      <w:r w:rsidR="000F00AB" w:rsidRPr="00467C05">
        <w:rPr>
          <w:lang w:val="es-ES"/>
        </w:rPr>
        <w:t>déficit</w:t>
      </w:r>
      <w:r w:rsidR="008347FB" w:rsidRPr="00467C05">
        <w:rPr>
          <w:lang w:val="es-ES"/>
        </w:rPr>
        <w:t xml:space="preserve"> en la recuperación de cost</w:t>
      </w:r>
      <w:r w:rsidR="000F00AB" w:rsidRPr="00467C05">
        <w:rPr>
          <w:lang w:val="es-ES"/>
        </w:rPr>
        <w:t>e</w:t>
      </w:r>
      <w:r w:rsidR="008347FB" w:rsidRPr="00467C05">
        <w:rPr>
          <w:lang w:val="es-ES"/>
        </w:rPr>
        <w:t>s</w:t>
      </w:r>
      <w:r w:rsidR="000F00AB" w:rsidRPr="00467C05">
        <w:rPr>
          <w:lang w:val="es-ES"/>
        </w:rPr>
        <w:t xml:space="preserve">. </w:t>
      </w:r>
      <w:r w:rsidR="00D74DC0">
        <w:rPr>
          <w:lang w:val="es-ES"/>
        </w:rPr>
        <w:t>–</w:t>
      </w:r>
      <w:r w:rsidR="000F00AB" w:rsidRPr="00467C05">
        <w:rPr>
          <w:lang w:val="es-ES"/>
        </w:rPr>
        <w:t xml:space="preserve">1,5 millones CHF </w:t>
      </w:r>
      <w:r w:rsidR="0093525C">
        <w:rPr>
          <w:lang w:val="es-ES"/>
        </w:rPr>
        <w:t>de</w:t>
      </w:r>
      <w:r w:rsidR="000F00AB" w:rsidRPr="00467C05">
        <w:rPr>
          <w:lang w:val="es-ES"/>
        </w:rPr>
        <w:t xml:space="preserve"> Telecom </w:t>
      </w:r>
      <w:r w:rsidR="0093525C">
        <w:rPr>
          <w:lang w:val="es-ES"/>
        </w:rPr>
        <w:t>que ha sido cancelado</w:t>
      </w:r>
      <w:r w:rsidR="000F00AB" w:rsidRPr="00467C05">
        <w:rPr>
          <w:lang w:val="es-ES"/>
        </w:rPr>
        <w:t xml:space="preserve">, </w:t>
      </w:r>
      <w:r w:rsidR="00D74DC0">
        <w:rPr>
          <w:lang w:val="es-ES"/>
        </w:rPr>
        <w:t>–</w:t>
      </w:r>
      <w:r w:rsidR="000F00AB" w:rsidRPr="00467C05">
        <w:rPr>
          <w:lang w:val="es-ES"/>
        </w:rPr>
        <w:t xml:space="preserve">1,5 millones CHF en notificaciones de redes de satélites, así como aproximadamente 1,5 millones para ventas de publicaciones. Se han asignado los 3,6 millones CHF </w:t>
      </w:r>
      <w:r w:rsidR="00C81F7A" w:rsidRPr="00467C05">
        <w:rPr>
          <w:lang w:val="es-ES"/>
        </w:rPr>
        <w:t xml:space="preserve">de ahorros </w:t>
      </w:r>
      <w:r w:rsidR="000F00AB" w:rsidRPr="00467C05">
        <w:rPr>
          <w:lang w:val="es-ES"/>
        </w:rPr>
        <w:t xml:space="preserve">conseguidos en la ejecución del presupuesto para su pago al fondo del </w:t>
      </w:r>
      <w:r w:rsidR="00BA1C01" w:rsidRPr="00467C05">
        <w:rPr>
          <w:lang w:val="es-ES"/>
        </w:rPr>
        <w:t xml:space="preserve">registro de riesgos </w:t>
      </w:r>
      <w:r w:rsidR="000F00AB" w:rsidRPr="00467C05">
        <w:rPr>
          <w:lang w:val="es-ES"/>
        </w:rPr>
        <w:t>del nuevo edificio, en el caso de que el resultado final de la ejecución del presupuesto</w:t>
      </w:r>
      <w:r w:rsidR="0093525C">
        <w:rPr>
          <w:lang w:val="es-ES"/>
        </w:rPr>
        <w:t xml:space="preserve"> de 2020</w:t>
      </w:r>
      <w:r w:rsidR="000F00AB" w:rsidRPr="00467C05">
        <w:rPr>
          <w:lang w:val="es-ES"/>
        </w:rPr>
        <w:t xml:space="preserve"> lo permita.</w:t>
      </w:r>
    </w:p>
    <w:bookmarkEnd w:id="57"/>
    <w:p w14:paraId="434E07BD" w14:textId="78AFA852" w:rsidR="000F00AB" w:rsidRPr="00467C05" w:rsidRDefault="00417D8C" w:rsidP="007D1296">
      <w:pPr>
        <w:rPr>
          <w:lang w:val="es-ES"/>
        </w:rPr>
      </w:pPr>
      <w:r w:rsidRPr="00467C05">
        <w:rPr>
          <w:lang w:val="es-ES"/>
        </w:rPr>
        <w:t>1.21</w:t>
      </w:r>
      <w:r w:rsidRPr="00467C05">
        <w:rPr>
          <w:lang w:val="es-ES"/>
        </w:rPr>
        <w:tab/>
      </w:r>
      <w:bookmarkStart w:id="58" w:name="lt_pId127"/>
      <w:r w:rsidR="000F00AB" w:rsidRPr="00467C05">
        <w:rPr>
          <w:lang w:val="es-ES"/>
        </w:rPr>
        <w:t>Para concluir, la Secretaría indicó que no se</w:t>
      </w:r>
      <w:r w:rsidR="00DE1EDC" w:rsidRPr="00467C05">
        <w:rPr>
          <w:lang w:val="es-ES"/>
        </w:rPr>
        <w:t xml:space="preserve"> </w:t>
      </w:r>
      <w:r w:rsidR="000F00AB" w:rsidRPr="00467C05">
        <w:rPr>
          <w:lang w:val="es-ES"/>
        </w:rPr>
        <w:t xml:space="preserve">producirán ahorros significativos, si es que se producen, durante este periodo. </w:t>
      </w:r>
      <w:r w:rsidR="00FA1738" w:rsidRPr="00467C05">
        <w:rPr>
          <w:lang w:val="es-ES"/>
        </w:rPr>
        <w:t xml:space="preserve">Faltan por conocer algunos datos </w:t>
      </w:r>
      <w:r w:rsidR="000F00AB" w:rsidRPr="00467C05">
        <w:rPr>
          <w:lang w:val="es-ES"/>
        </w:rPr>
        <w:t xml:space="preserve">que pueden </w:t>
      </w:r>
      <w:r w:rsidR="00FA1738" w:rsidRPr="00467C05">
        <w:rPr>
          <w:lang w:val="es-ES"/>
        </w:rPr>
        <w:t>influir en el</w:t>
      </w:r>
      <w:r w:rsidR="000F00AB" w:rsidRPr="00467C05">
        <w:rPr>
          <w:lang w:val="es-ES"/>
        </w:rPr>
        <w:t xml:space="preserve"> resultado de 2020 como ingresos diferidos </w:t>
      </w:r>
      <w:r w:rsidR="00FA1738" w:rsidRPr="00467C05">
        <w:rPr>
          <w:lang w:val="es-ES"/>
        </w:rPr>
        <w:t xml:space="preserve">o </w:t>
      </w:r>
      <w:r w:rsidR="00DE1EDC" w:rsidRPr="00467C05">
        <w:rPr>
          <w:lang w:val="es-ES"/>
        </w:rPr>
        <w:t>provisiones</w:t>
      </w:r>
      <w:r w:rsidR="000F00AB" w:rsidRPr="00467C05">
        <w:rPr>
          <w:lang w:val="es-ES"/>
        </w:rPr>
        <w:t xml:space="preserve"> por </w:t>
      </w:r>
      <w:r w:rsidR="00DE1EDC" w:rsidRPr="00467C05">
        <w:rPr>
          <w:lang w:val="es-ES"/>
        </w:rPr>
        <w:t>repatriación</w:t>
      </w:r>
      <w:r w:rsidR="000F00AB" w:rsidRPr="00467C05">
        <w:rPr>
          <w:lang w:val="es-ES"/>
        </w:rPr>
        <w:t xml:space="preserve"> </w:t>
      </w:r>
      <w:r w:rsidR="00DE1EDC" w:rsidRPr="00467C05">
        <w:rPr>
          <w:lang w:val="es-ES"/>
        </w:rPr>
        <w:t xml:space="preserve">que deben estimarse con un estudio actuarial. En el caso de que queden fondos disponibles, se daría prioridad a la aplicación de los requisitos del Acuerdo 619 para 2021, que </w:t>
      </w:r>
      <w:r w:rsidR="00A65FC4" w:rsidRPr="00467C05">
        <w:rPr>
          <w:lang w:val="es-ES"/>
        </w:rPr>
        <w:t>ascienden a</w:t>
      </w:r>
      <w:r w:rsidR="00DE1EDC" w:rsidRPr="00467C05">
        <w:rPr>
          <w:lang w:val="es-ES"/>
        </w:rPr>
        <w:t xml:space="preserve"> 735</w:t>
      </w:r>
      <w:r w:rsidR="00781C1D">
        <w:rPr>
          <w:lang w:val="es-ES"/>
        </w:rPr>
        <w:t> </w:t>
      </w:r>
      <w:r w:rsidR="00DE1EDC" w:rsidRPr="00467C05">
        <w:rPr>
          <w:lang w:val="es-ES"/>
        </w:rPr>
        <w:t>000</w:t>
      </w:r>
      <w:r w:rsidR="00781C1D">
        <w:rPr>
          <w:lang w:val="es-ES"/>
        </w:rPr>
        <w:t> </w:t>
      </w:r>
      <w:r w:rsidR="00DE1EDC" w:rsidRPr="00467C05">
        <w:rPr>
          <w:lang w:val="es-ES"/>
        </w:rPr>
        <w:t>CHF</w:t>
      </w:r>
      <w:r w:rsidR="00781C1D">
        <w:rPr>
          <w:lang w:val="es-ES"/>
        </w:rPr>
        <w:t>.</w:t>
      </w:r>
    </w:p>
    <w:bookmarkEnd w:id="58"/>
    <w:p w14:paraId="238BA54B" w14:textId="05D9434F" w:rsidR="00DE1EDC" w:rsidRPr="00467C05" w:rsidRDefault="00417D8C" w:rsidP="007D1296">
      <w:pPr>
        <w:rPr>
          <w:lang w:val="es-ES"/>
        </w:rPr>
      </w:pPr>
      <w:r w:rsidRPr="00467C05">
        <w:rPr>
          <w:lang w:val="es-ES"/>
        </w:rPr>
        <w:t>1.22</w:t>
      </w:r>
      <w:r w:rsidRPr="00467C05">
        <w:rPr>
          <w:lang w:val="es-ES"/>
        </w:rPr>
        <w:tab/>
      </w:r>
      <w:bookmarkStart w:id="59" w:name="lt_pId131"/>
      <w:r w:rsidR="00DE1EDC" w:rsidRPr="00467C05">
        <w:rPr>
          <w:lang w:val="es-ES"/>
        </w:rPr>
        <w:t>El GTC-RHF tomó nota de la presentación y solicitó que se prepare un documento</w:t>
      </w:r>
      <w:r w:rsidR="001262B5" w:rsidRPr="00467C05">
        <w:rPr>
          <w:lang w:val="es-ES"/>
        </w:rPr>
        <w:t xml:space="preserve"> informativo para resumir la </w:t>
      </w:r>
      <w:r w:rsidR="00E12B7D" w:rsidRPr="00E12B7D">
        <w:rPr>
          <w:lang w:val="es-ES"/>
        </w:rPr>
        <w:t>presentación verbal</w:t>
      </w:r>
      <w:r w:rsidR="00DE1EDC" w:rsidRPr="00467C05">
        <w:rPr>
          <w:lang w:val="es-ES"/>
        </w:rPr>
        <w:t xml:space="preserve">, así como toda </w:t>
      </w:r>
      <w:r w:rsidR="00E12B7D" w:rsidRPr="00E12B7D">
        <w:rPr>
          <w:lang w:val="es-ES"/>
        </w:rPr>
        <w:t xml:space="preserve">presentación verbal </w:t>
      </w:r>
      <w:r w:rsidR="00DE1EDC" w:rsidRPr="00467C05">
        <w:rPr>
          <w:lang w:val="es-ES"/>
        </w:rPr>
        <w:t>futura, cuando sea posible.</w:t>
      </w:r>
    </w:p>
    <w:bookmarkEnd w:id="59"/>
    <w:p w14:paraId="3F50FA99" w14:textId="4F1E01FB" w:rsidR="00417D8C" w:rsidRPr="00467C05" w:rsidRDefault="00417D8C" w:rsidP="007D1296">
      <w:pPr>
        <w:rPr>
          <w:lang w:val="es-ES"/>
        </w:rPr>
      </w:pPr>
      <w:r w:rsidRPr="00467C05">
        <w:rPr>
          <w:lang w:val="es-ES"/>
        </w:rPr>
        <w:t>1.23</w:t>
      </w:r>
      <w:r w:rsidRPr="00467C05">
        <w:rPr>
          <w:lang w:val="es-ES"/>
        </w:rPr>
        <w:tab/>
      </w:r>
      <w:bookmarkStart w:id="60" w:name="lt_pId133"/>
      <w:r w:rsidR="00DE1EDC" w:rsidRPr="00467C05">
        <w:rPr>
          <w:lang w:val="es-ES"/>
        </w:rPr>
        <w:t xml:space="preserve">La Secretaría indicó que es difícil preparar un documento adicional </w:t>
      </w:r>
      <w:r w:rsidR="008E5270" w:rsidRPr="00467C05">
        <w:rPr>
          <w:lang w:val="es-ES"/>
        </w:rPr>
        <w:t xml:space="preserve">sobre </w:t>
      </w:r>
      <w:r w:rsidR="00FA1738" w:rsidRPr="00467C05">
        <w:rPr>
          <w:lang w:val="es-ES"/>
        </w:rPr>
        <w:t>el superávit</w:t>
      </w:r>
      <w:r w:rsidR="008E5270" w:rsidRPr="00467C05">
        <w:rPr>
          <w:lang w:val="es-ES"/>
        </w:rPr>
        <w:t xml:space="preserve"> </w:t>
      </w:r>
      <w:r w:rsidR="00DE1EDC" w:rsidRPr="00467C05">
        <w:rPr>
          <w:lang w:val="es-ES"/>
        </w:rPr>
        <w:t xml:space="preserve">cuando las cuentas no están cerradas. Por ello, se ha hecho una </w:t>
      </w:r>
      <w:r w:rsidR="00E12B7D" w:rsidRPr="00E12B7D">
        <w:rPr>
          <w:lang w:val="es-ES"/>
        </w:rPr>
        <w:t xml:space="preserve">presentación verbal </w:t>
      </w:r>
      <w:r w:rsidR="00DE1EDC" w:rsidRPr="00467C05">
        <w:rPr>
          <w:lang w:val="es-ES"/>
        </w:rPr>
        <w:t xml:space="preserve">a falta de los resultados del estudio actuarial que </w:t>
      </w:r>
      <w:r w:rsidR="001262B5" w:rsidRPr="00467C05">
        <w:rPr>
          <w:lang w:val="es-ES"/>
        </w:rPr>
        <w:t>est</w:t>
      </w:r>
      <w:r w:rsidR="008E5270" w:rsidRPr="00467C05">
        <w:rPr>
          <w:lang w:val="es-ES"/>
        </w:rPr>
        <w:t>ar</w:t>
      </w:r>
      <w:r w:rsidR="001262B5" w:rsidRPr="00467C05">
        <w:rPr>
          <w:lang w:val="es-ES"/>
        </w:rPr>
        <w:t>á</w:t>
      </w:r>
      <w:r w:rsidR="00C81F7A">
        <w:rPr>
          <w:lang w:val="es-ES"/>
        </w:rPr>
        <w:t>n</w:t>
      </w:r>
      <w:r w:rsidR="00DE1EDC" w:rsidRPr="00467C05">
        <w:rPr>
          <w:lang w:val="es-ES"/>
        </w:rPr>
        <w:t xml:space="preserve"> disponible</w:t>
      </w:r>
      <w:r w:rsidR="00C81F7A">
        <w:rPr>
          <w:lang w:val="es-ES"/>
        </w:rPr>
        <w:t xml:space="preserve">s </w:t>
      </w:r>
      <w:r w:rsidR="00DE1EDC" w:rsidRPr="00467C05">
        <w:rPr>
          <w:lang w:val="es-ES"/>
        </w:rPr>
        <w:t xml:space="preserve">solo a finales de febrero o principios de marzo de 2021. A pesar de la dificultad, </w:t>
      </w:r>
      <w:r w:rsidR="001262B5" w:rsidRPr="00467C05">
        <w:rPr>
          <w:lang w:val="es-ES"/>
        </w:rPr>
        <w:t xml:space="preserve">la Secretaría publicó un documento informativo sobre este </w:t>
      </w:r>
      <w:bookmarkStart w:id="61" w:name="lt_pId135"/>
      <w:bookmarkEnd w:id="60"/>
      <w:r w:rsidR="001262B5" w:rsidRPr="00467C05">
        <w:rPr>
          <w:lang w:val="es-ES"/>
        </w:rPr>
        <w:t>asunto</w:t>
      </w:r>
      <w:r w:rsidRPr="00467C05">
        <w:rPr>
          <w:lang w:val="es-ES"/>
        </w:rPr>
        <w:t xml:space="preserve"> (Document</w:t>
      </w:r>
      <w:r w:rsidR="00F965A5" w:rsidRPr="00467C05">
        <w:rPr>
          <w:lang w:val="es-ES"/>
        </w:rPr>
        <w:t>o</w:t>
      </w:r>
      <w:r w:rsidRPr="00467C05">
        <w:rPr>
          <w:lang w:val="es-ES"/>
        </w:rPr>
        <w:t xml:space="preserve"> </w:t>
      </w:r>
      <w:hyperlink r:id="rId15" w:history="1">
        <w:r w:rsidRPr="00C258C7">
          <w:rPr>
            <w:rStyle w:val="Hyperlink"/>
            <w:rFonts w:asciiTheme="minorHAnsi" w:hAnsiTheme="minorHAnsi" w:cstheme="minorHAnsi"/>
            <w:b/>
            <w:bCs/>
            <w:lang w:val="es-ES"/>
          </w:rPr>
          <w:t>CWG-FHR-INF-12/3</w:t>
        </w:r>
      </w:hyperlink>
      <w:bookmarkEnd w:id="61"/>
      <w:r w:rsidR="00D74DC0">
        <w:rPr>
          <w:lang w:val="es-ES"/>
        </w:rPr>
        <w:t>).</w:t>
      </w:r>
    </w:p>
    <w:p w14:paraId="20AA9CF2" w14:textId="0FDD62C7" w:rsidR="00417D8C" w:rsidRPr="00D74DC0" w:rsidRDefault="00417D8C" w:rsidP="007D1296">
      <w:pPr>
        <w:pStyle w:val="Heading1"/>
      </w:pPr>
      <w:r w:rsidRPr="0056606A">
        <w:rPr>
          <w:lang w:val="es-ES"/>
        </w:rPr>
        <w:t>2</w:t>
      </w:r>
      <w:r w:rsidRPr="0056606A">
        <w:rPr>
          <w:lang w:val="es-ES"/>
        </w:rPr>
        <w:tab/>
      </w:r>
      <w:bookmarkStart w:id="62" w:name="lt_pId137"/>
      <w:r w:rsidR="00A65FC4" w:rsidRPr="0056606A">
        <w:rPr>
          <w:lang w:val="es-ES"/>
        </w:rPr>
        <w:t xml:space="preserve">Examen de la presencia Regional de la UIT </w:t>
      </w:r>
      <w:r w:rsidRPr="0056606A">
        <w:rPr>
          <w:lang w:val="es-ES"/>
        </w:rPr>
        <w:t xml:space="preserve">– </w:t>
      </w:r>
      <w:r w:rsidR="00A65FC4" w:rsidRPr="0056606A">
        <w:rPr>
          <w:lang w:val="es-ES"/>
        </w:rPr>
        <w:t>Informe de</w:t>
      </w:r>
      <w:r w:rsidRPr="0056606A">
        <w:rPr>
          <w:lang w:val="es-ES"/>
        </w:rPr>
        <w:t xml:space="preserve"> PWC (Document</w:t>
      </w:r>
      <w:r w:rsidR="00A65FC4" w:rsidRPr="0056606A">
        <w:rPr>
          <w:lang w:val="es-ES"/>
        </w:rPr>
        <w:t>o</w:t>
      </w:r>
      <w:r w:rsidRPr="0056606A">
        <w:rPr>
          <w:lang w:val="es-ES"/>
        </w:rPr>
        <w:t>s</w:t>
      </w:r>
      <w:r w:rsidR="00781C1D" w:rsidRPr="0056606A">
        <w:rPr>
          <w:lang w:val="es-ES"/>
        </w:rPr>
        <w:t> </w:t>
      </w:r>
      <w:r w:rsidRPr="0056606A">
        <w:rPr>
          <w:lang w:val="es-ES"/>
        </w:rPr>
        <w:t xml:space="preserve">CWG-FHR-12/4 </w:t>
      </w:r>
      <w:bookmarkEnd w:id="62"/>
      <w:r w:rsidR="00A65FC4" w:rsidRPr="0056606A">
        <w:rPr>
          <w:lang w:val="es-ES"/>
        </w:rPr>
        <w:t>y</w:t>
      </w:r>
      <w:r w:rsidR="00C81F7A" w:rsidRPr="0056606A">
        <w:rPr>
          <w:lang w:val="es-ES"/>
        </w:rPr>
        <w:t xml:space="preserve"> </w:t>
      </w:r>
      <w:hyperlink r:id="rId16" w:history="1">
        <w:r w:rsidR="00D74DC0" w:rsidRPr="0056606A">
          <w:rPr>
            <w:rStyle w:val="Hyperlink"/>
            <w:rFonts w:asciiTheme="minorHAnsi" w:hAnsiTheme="minorHAnsi" w:cstheme="minorHAnsi"/>
            <w:bCs/>
            <w:lang w:val="es-ES"/>
          </w:rPr>
          <w:t>CWG-FHR-12/9</w:t>
        </w:r>
      </w:hyperlink>
      <w:r w:rsidR="00D74DC0" w:rsidRPr="0056606A">
        <w:t>)</w:t>
      </w:r>
    </w:p>
    <w:p w14:paraId="4C53AFD4" w14:textId="7106DB0B" w:rsidR="007727F4" w:rsidRPr="00467C05" w:rsidRDefault="00417D8C" w:rsidP="007D1296">
      <w:pPr>
        <w:rPr>
          <w:lang w:val="es-ES"/>
        </w:rPr>
      </w:pPr>
      <w:r w:rsidRPr="00467C05">
        <w:rPr>
          <w:lang w:val="es-ES"/>
        </w:rPr>
        <w:t>2.1</w:t>
      </w:r>
      <w:r w:rsidRPr="00467C05">
        <w:rPr>
          <w:lang w:val="es-ES"/>
        </w:rPr>
        <w:tab/>
      </w:r>
      <w:bookmarkStart w:id="63" w:name="lt_pId140"/>
      <w:r w:rsidR="00A65FC4" w:rsidRPr="00467C05">
        <w:rPr>
          <w:lang w:val="es-ES"/>
        </w:rPr>
        <w:t xml:space="preserve">La Secretaría presentó el Documento </w:t>
      </w:r>
      <w:r w:rsidRPr="00467C05">
        <w:rPr>
          <w:lang w:val="es-ES"/>
        </w:rPr>
        <w:t xml:space="preserve">CWG-FHR-12/9, </w:t>
      </w:r>
      <w:r w:rsidR="00A65FC4" w:rsidRPr="00467C05">
        <w:rPr>
          <w:lang w:val="es-ES"/>
        </w:rPr>
        <w:t>indica</w:t>
      </w:r>
      <w:r w:rsidR="007727F4" w:rsidRPr="00467C05">
        <w:rPr>
          <w:lang w:val="es-ES"/>
        </w:rPr>
        <w:t>n</w:t>
      </w:r>
      <w:r w:rsidR="00A65FC4" w:rsidRPr="00467C05">
        <w:rPr>
          <w:lang w:val="es-ES"/>
        </w:rPr>
        <w:t xml:space="preserve">do que PWC había presentado el </w:t>
      </w:r>
      <w:r w:rsidR="007727F4" w:rsidRPr="00467C05">
        <w:rPr>
          <w:lang w:val="es-ES"/>
        </w:rPr>
        <w:t>Documento</w:t>
      </w:r>
      <w:r w:rsidR="00A65FC4" w:rsidRPr="00467C05">
        <w:rPr>
          <w:lang w:val="es-ES"/>
        </w:rPr>
        <w:t xml:space="preserve"> </w:t>
      </w:r>
      <w:r w:rsidRPr="00467C05">
        <w:rPr>
          <w:lang w:val="es-ES"/>
        </w:rPr>
        <w:t xml:space="preserve">CWG-FHR-12/4 </w:t>
      </w:r>
      <w:r w:rsidR="00C81F7A">
        <w:rPr>
          <w:lang w:val="es-ES"/>
        </w:rPr>
        <w:t>en</w:t>
      </w:r>
      <w:r w:rsidR="00A65FC4" w:rsidRPr="00467C05">
        <w:rPr>
          <w:lang w:val="es-ES"/>
        </w:rPr>
        <w:t xml:space="preserve"> la segunda </w:t>
      </w:r>
      <w:r w:rsidR="00821920" w:rsidRPr="00467C05">
        <w:rPr>
          <w:lang w:val="es-ES"/>
        </w:rPr>
        <w:t>consulta virtual de los consejeros</w:t>
      </w:r>
      <w:r w:rsidRPr="00467C05">
        <w:rPr>
          <w:lang w:val="es-ES"/>
        </w:rPr>
        <w:t>.</w:t>
      </w:r>
      <w:bookmarkEnd w:id="63"/>
      <w:r w:rsidRPr="00467C05">
        <w:rPr>
          <w:lang w:val="es-ES"/>
        </w:rPr>
        <w:t xml:space="preserve"> </w:t>
      </w:r>
      <w:bookmarkStart w:id="64" w:name="lt_pId141"/>
      <w:r w:rsidR="00A65FC4" w:rsidRPr="00467C05">
        <w:rPr>
          <w:lang w:val="es-ES"/>
        </w:rPr>
        <w:t>La Secretaría aclaró que el D</w:t>
      </w:r>
      <w:r w:rsidRPr="00467C05">
        <w:rPr>
          <w:lang w:val="es-ES"/>
        </w:rPr>
        <w:t>ocument</w:t>
      </w:r>
      <w:r w:rsidR="00A65FC4" w:rsidRPr="00467C05">
        <w:rPr>
          <w:lang w:val="es-ES"/>
        </w:rPr>
        <w:t>o</w:t>
      </w:r>
      <w:r w:rsidRPr="00467C05">
        <w:rPr>
          <w:lang w:val="es-ES"/>
        </w:rPr>
        <w:t xml:space="preserve"> CWG-FHR-12/9 </w:t>
      </w:r>
      <w:r w:rsidR="00A65FC4" w:rsidRPr="00467C05">
        <w:rPr>
          <w:lang w:val="es-ES"/>
        </w:rPr>
        <w:t>se centra en el Plan de Acción</w:t>
      </w:r>
      <w:r w:rsidRPr="00467C05">
        <w:rPr>
          <w:lang w:val="es-ES"/>
        </w:rPr>
        <w:t xml:space="preserve"> </w:t>
      </w:r>
      <w:r w:rsidR="00A65FC4" w:rsidRPr="00467C05">
        <w:rPr>
          <w:lang w:val="es-ES"/>
        </w:rPr>
        <w:t xml:space="preserve">definido en el párrafo </w:t>
      </w:r>
      <w:r w:rsidRPr="00467C05">
        <w:rPr>
          <w:lang w:val="es-ES"/>
        </w:rPr>
        <w:t xml:space="preserve">7 </w:t>
      </w:r>
      <w:r w:rsidR="00A65FC4" w:rsidRPr="00467C05">
        <w:rPr>
          <w:lang w:val="es-ES"/>
        </w:rPr>
        <w:t>del Informe de</w:t>
      </w:r>
      <w:r w:rsidRPr="00467C05">
        <w:rPr>
          <w:lang w:val="es-ES"/>
        </w:rPr>
        <w:t xml:space="preserve"> PWC</w:t>
      </w:r>
      <w:r w:rsidR="007727F4" w:rsidRPr="00467C05">
        <w:rPr>
          <w:lang w:val="es-ES"/>
        </w:rPr>
        <w:t>,</w:t>
      </w:r>
      <w:r w:rsidR="00A65FC4" w:rsidRPr="00467C05">
        <w:rPr>
          <w:lang w:val="es-ES"/>
        </w:rPr>
        <w:t xml:space="preserve"> que consiste en </w:t>
      </w:r>
      <w:r w:rsidR="007727F4" w:rsidRPr="00467C05">
        <w:rPr>
          <w:lang w:val="es-ES"/>
        </w:rPr>
        <w:t>una hoja de ruta de tres fases</w:t>
      </w:r>
      <w:r w:rsidRPr="00467C05">
        <w:rPr>
          <w:lang w:val="es-ES"/>
        </w:rPr>
        <w:t xml:space="preserve"> </w:t>
      </w:r>
      <w:r w:rsidR="007727F4" w:rsidRPr="00467C05">
        <w:rPr>
          <w:lang w:val="es-ES"/>
        </w:rPr>
        <w:t xml:space="preserve">con una propuesta de ejecución en tres años a partir de la aceptación del </w:t>
      </w:r>
      <w:r w:rsidR="0056606A">
        <w:rPr>
          <w:lang w:val="es-ES"/>
        </w:rPr>
        <w:t>i</w:t>
      </w:r>
      <w:r w:rsidR="007727F4" w:rsidRPr="00467C05">
        <w:rPr>
          <w:lang w:val="es-ES"/>
        </w:rPr>
        <w:t xml:space="preserve">nforme. </w:t>
      </w:r>
      <w:bookmarkStart w:id="65" w:name="lt_pId142"/>
      <w:bookmarkEnd w:id="64"/>
      <w:r w:rsidR="007727F4" w:rsidRPr="00467C05">
        <w:rPr>
          <w:lang w:val="es-ES"/>
        </w:rPr>
        <w:t xml:space="preserve">Está dividido en cuatro componentes funcionales que son </w:t>
      </w:r>
      <w:r w:rsidR="00CE195E" w:rsidRPr="00467C05">
        <w:rPr>
          <w:lang w:val="es-ES"/>
        </w:rPr>
        <w:t>P</w:t>
      </w:r>
      <w:r w:rsidR="007727F4" w:rsidRPr="00467C05">
        <w:rPr>
          <w:lang w:val="es-ES"/>
        </w:rPr>
        <w:t xml:space="preserve">osicionamiento estratégico, </w:t>
      </w:r>
      <w:r w:rsidR="00CE195E" w:rsidRPr="00467C05">
        <w:rPr>
          <w:lang w:val="es-ES"/>
        </w:rPr>
        <w:t>C</w:t>
      </w:r>
      <w:r w:rsidR="007727F4" w:rsidRPr="00467C05">
        <w:rPr>
          <w:lang w:val="es-ES"/>
        </w:rPr>
        <w:t xml:space="preserve">oordinación interna, </w:t>
      </w:r>
      <w:r w:rsidR="00CE195E" w:rsidRPr="00467C05">
        <w:rPr>
          <w:lang w:val="es-ES"/>
        </w:rPr>
        <w:t>Despliegue del futuro modelo regional de funcionamiento y Gestión del cambio</w:t>
      </w:r>
      <w:r w:rsidR="007727F4" w:rsidRPr="00467C05">
        <w:rPr>
          <w:lang w:val="es-ES"/>
        </w:rPr>
        <w:t xml:space="preserve">, </w:t>
      </w:r>
      <w:r w:rsidR="00CE195E" w:rsidRPr="00467C05">
        <w:rPr>
          <w:lang w:val="es-ES"/>
        </w:rPr>
        <w:t>con un total de 50</w:t>
      </w:r>
      <w:r w:rsidR="00781C1D">
        <w:rPr>
          <w:lang w:val="es-ES"/>
        </w:rPr>
        <w:t> </w:t>
      </w:r>
      <w:r w:rsidR="00CE195E" w:rsidRPr="00467C05">
        <w:rPr>
          <w:lang w:val="es-ES"/>
        </w:rPr>
        <w:t xml:space="preserve">recomendaciones. La Secretaría también indicó que el Informe de PWC y todas sus recomendaciones están basadas en una </w:t>
      </w:r>
      <w:r w:rsidR="000348A2" w:rsidRPr="00467C05">
        <w:rPr>
          <w:lang w:val="es-ES"/>
        </w:rPr>
        <w:t>propuesta de financiación neutra, es decir</w:t>
      </w:r>
      <w:r w:rsidR="0056606A">
        <w:rPr>
          <w:lang w:val="es-ES"/>
        </w:rPr>
        <w:t>,</w:t>
      </w:r>
      <w:r w:rsidR="000348A2" w:rsidRPr="00467C05">
        <w:rPr>
          <w:lang w:val="es-ES"/>
        </w:rPr>
        <w:t xml:space="preserve"> que lo</w:t>
      </w:r>
      <w:r w:rsidR="00C81F7A">
        <w:rPr>
          <w:lang w:val="es-ES"/>
        </w:rPr>
        <w:t>s</w:t>
      </w:r>
      <w:r w:rsidR="000348A2" w:rsidRPr="00467C05">
        <w:rPr>
          <w:lang w:val="es-ES"/>
        </w:rPr>
        <w:t xml:space="preserve"> cambios están diseñados para producirse dentro del marco actual de recursos destinados a la presencia regional de la UIT, sin necesidad de financiación adicional proveniente de los Miembros.</w:t>
      </w:r>
    </w:p>
    <w:bookmarkEnd w:id="65"/>
    <w:p w14:paraId="418D2F88" w14:textId="150FAC71" w:rsidR="000348A2" w:rsidRPr="00467C05" w:rsidRDefault="00417D8C" w:rsidP="007D1296">
      <w:pPr>
        <w:rPr>
          <w:lang w:val="es-ES"/>
        </w:rPr>
      </w:pPr>
      <w:r w:rsidRPr="007C459A">
        <w:rPr>
          <w:lang w:val="es-ES"/>
        </w:rPr>
        <w:t>2.2</w:t>
      </w:r>
      <w:r w:rsidRPr="00467C05">
        <w:rPr>
          <w:lang w:val="es-ES"/>
        </w:rPr>
        <w:tab/>
      </w:r>
      <w:bookmarkStart w:id="66" w:name="lt_pId145"/>
      <w:r w:rsidR="000348A2" w:rsidRPr="00467C05">
        <w:rPr>
          <w:lang w:val="es-ES"/>
        </w:rPr>
        <w:t xml:space="preserve">El análisis del Plan de Acción realizado por la Secretaría </w:t>
      </w:r>
      <w:r w:rsidR="00E52DA9" w:rsidRPr="00467C05">
        <w:rPr>
          <w:lang w:val="es-ES"/>
        </w:rPr>
        <w:t>divid</w:t>
      </w:r>
      <w:r w:rsidR="008218AA" w:rsidRPr="00467C05">
        <w:rPr>
          <w:lang w:val="es-ES"/>
        </w:rPr>
        <w:t>ió</w:t>
      </w:r>
      <w:r w:rsidR="000348A2" w:rsidRPr="00467C05">
        <w:rPr>
          <w:lang w:val="es-ES"/>
        </w:rPr>
        <w:t xml:space="preserve"> las recomendaciones en tres grandes categorías:</w:t>
      </w:r>
    </w:p>
    <w:p w14:paraId="6065543D" w14:textId="4C227863" w:rsidR="000348A2" w:rsidRPr="00467C05" w:rsidRDefault="007D1296" w:rsidP="007D1296">
      <w:pPr>
        <w:pStyle w:val="enumlev1"/>
        <w:rPr>
          <w:lang w:val="es-ES"/>
        </w:rPr>
      </w:pPr>
      <w:bookmarkStart w:id="67" w:name="lt_pId146"/>
      <w:bookmarkEnd w:id="66"/>
      <w:r>
        <w:rPr>
          <w:lang w:val="es-ES"/>
        </w:rPr>
        <w:t>i)</w:t>
      </w:r>
      <w:r>
        <w:rPr>
          <w:lang w:val="es-ES"/>
        </w:rPr>
        <w:tab/>
      </w:r>
      <w:r w:rsidR="000348A2" w:rsidRPr="00467C05">
        <w:rPr>
          <w:lang w:val="es-ES"/>
        </w:rPr>
        <w:t xml:space="preserve">Recomendaciones </w:t>
      </w:r>
      <w:r w:rsidR="00E52DA9" w:rsidRPr="00467C05">
        <w:rPr>
          <w:lang w:val="es-ES"/>
        </w:rPr>
        <w:t xml:space="preserve">que </w:t>
      </w:r>
      <w:r w:rsidR="008218AA" w:rsidRPr="00467C05">
        <w:rPr>
          <w:lang w:val="es-ES"/>
        </w:rPr>
        <w:t xml:space="preserve">están dentro del ámbito de autoridad y competencia </w:t>
      </w:r>
      <w:r w:rsidR="00E52DA9" w:rsidRPr="00467C05">
        <w:rPr>
          <w:lang w:val="es-ES"/>
        </w:rPr>
        <w:t xml:space="preserve">de la </w:t>
      </w:r>
      <w:r w:rsidR="00EC282D" w:rsidRPr="00467C05">
        <w:rPr>
          <w:lang w:val="es-ES"/>
        </w:rPr>
        <w:t xml:space="preserve">Dirección </w:t>
      </w:r>
      <w:r w:rsidR="00E52DA9" w:rsidRPr="00467C05">
        <w:rPr>
          <w:lang w:val="es-ES"/>
        </w:rPr>
        <w:t xml:space="preserve">de la UIT y que ya están </w:t>
      </w:r>
      <w:r w:rsidR="00C81F7A">
        <w:rPr>
          <w:lang w:val="es-ES"/>
        </w:rPr>
        <w:t>implementadas</w:t>
      </w:r>
      <w:r w:rsidR="00E52DA9" w:rsidRPr="00467C05">
        <w:rPr>
          <w:lang w:val="es-ES"/>
        </w:rPr>
        <w:t xml:space="preserve"> o en fase de </w:t>
      </w:r>
      <w:r w:rsidR="00C81F7A">
        <w:rPr>
          <w:lang w:val="es-ES"/>
        </w:rPr>
        <w:t>implementación</w:t>
      </w:r>
      <w:r w:rsidR="00E52DA9" w:rsidRPr="00467C05">
        <w:rPr>
          <w:lang w:val="es-ES"/>
        </w:rPr>
        <w:t>;</w:t>
      </w:r>
    </w:p>
    <w:p w14:paraId="2A5D8E37" w14:textId="5D7C3B2B" w:rsidR="00417D8C" w:rsidRPr="00467C05" w:rsidRDefault="007D1296" w:rsidP="007D1296">
      <w:pPr>
        <w:pStyle w:val="enumlev1"/>
        <w:rPr>
          <w:lang w:val="es-ES"/>
        </w:rPr>
      </w:pPr>
      <w:bookmarkStart w:id="68" w:name="lt_pId147"/>
      <w:bookmarkEnd w:id="67"/>
      <w:r>
        <w:rPr>
          <w:lang w:val="es-ES"/>
        </w:rPr>
        <w:t>ii)</w:t>
      </w:r>
      <w:r>
        <w:rPr>
          <w:lang w:val="es-ES"/>
        </w:rPr>
        <w:tab/>
      </w:r>
      <w:r w:rsidR="008218AA" w:rsidRPr="00467C05">
        <w:rPr>
          <w:lang w:val="es-ES"/>
        </w:rPr>
        <w:t xml:space="preserve">Recomendaciones que están dentro del ámbito de autoridad y competencia de la </w:t>
      </w:r>
      <w:r w:rsidR="00EC282D" w:rsidRPr="00467C05">
        <w:rPr>
          <w:lang w:val="es-ES"/>
        </w:rPr>
        <w:t xml:space="preserve">Dirección </w:t>
      </w:r>
      <w:r w:rsidR="008218AA" w:rsidRPr="00467C05">
        <w:rPr>
          <w:lang w:val="es-ES"/>
        </w:rPr>
        <w:t xml:space="preserve">de la UIT </w:t>
      </w:r>
      <w:r w:rsidR="00E52DA9" w:rsidRPr="00467C05">
        <w:rPr>
          <w:lang w:val="es-ES"/>
        </w:rPr>
        <w:t xml:space="preserve">que no se han </w:t>
      </w:r>
      <w:r w:rsidR="00C81F7A">
        <w:rPr>
          <w:lang w:val="es-ES"/>
        </w:rPr>
        <w:t>implementado</w:t>
      </w:r>
      <w:r w:rsidR="00E52DA9" w:rsidRPr="00467C05">
        <w:rPr>
          <w:lang w:val="es-ES"/>
        </w:rPr>
        <w:t xml:space="preserve"> todavía;</w:t>
      </w:r>
      <w:bookmarkEnd w:id="68"/>
    </w:p>
    <w:p w14:paraId="62259697" w14:textId="55AA9CAF" w:rsidR="00E52DA9" w:rsidRPr="00467C05" w:rsidRDefault="007D1296" w:rsidP="007D1296">
      <w:pPr>
        <w:pStyle w:val="enumlev1"/>
        <w:rPr>
          <w:lang w:val="es-ES"/>
        </w:rPr>
      </w:pPr>
      <w:bookmarkStart w:id="69" w:name="lt_pId148"/>
      <w:r>
        <w:rPr>
          <w:lang w:val="es-ES"/>
        </w:rPr>
        <w:t>iii)</w:t>
      </w:r>
      <w:r>
        <w:rPr>
          <w:lang w:val="es-ES"/>
        </w:rPr>
        <w:tab/>
      </w:r>
      <w:r w:rsidR="00E52DA9" w:rsidRPr="00467C05">
        <w:rPr>
          <w:lang w:val="es-ES"/>
        </w:rPr>
        <w:t xml:space="preserve">Recomendaciones que no están dentro del ámbito de competencia de la </w:t>
      </w:r>
      <w:r w:rsidR="00EC282D" w:rsidRPr="00467C05">
        <w:rPr>
          <w:lang w:val="es-ES"/>
        </w:rPr>
        <w:t xml:space="preserve">Dirección </w:t>
      </w:r>
      <w:r w:rsidR="00E52DA9" w:rsidRPr="00467C05">
        <w:rPr>
          <w:lang w:val="es-ES"/>
        </w:rPr>
        <w:t>de la</w:t>
      </w:r>
      <w:r w:rsidR="00781C1D">
        <w:rPr>
          <w:lang w:val="es-ES"/>
        </w:rPr>
        <w:t> </w:t>
      </w:r>
      <w:r w:rsidR="00E52DA9" w:rsidRPr="00467C05">
        <w:rPr>
          <w:lang w:val="es-ES"/>
        </w:rPr>
        <w:t>UIT, por ser cuestiones que deben tratarse en el Consejo o en una conferencia de Estados Miembros.</w:t>
      </w:r>
    </w:p>
    <w:bookmarkEnd w:id="69"/>
    <w:p w14:paraId="570F0B0D" w14:textId="6BE9D2A0" w:rsidR="008218AA" w:rsidRPr="00467C05" w:rsidRDefault="00417D8C" w:rsidP="007D1296">
      <w:pPr>
        <w:rPr>
          <w:lang w:val="es-ES"/>
        </w:rPr>
      </w:pPr>
      <w:r w:rsidRPr="00467C05">
        <w:rPr>
          <w:lang w:val="es-ES"/>
        </w:rPr>
        <w:lastRenderedPageBreak/>
        <w:t>2.3</w:t>
      </w:r>
      <w:r w:rsidRPr="00467C05">
        <w:rPr>
          <w:lang w:val="es-ES"/>
        </w:rPr>
        <w:tab/>
      </w:r>
      <w:bookmarkStart w:id="70" w:name="lt_pId150"/>
      <w:r w:rsidR="008218AA" w:rsidRPr="00467C05">
        <w:rPr>
          <w:lang w:val="es-ES"/>
        </w:rPr>
        <w:t xml:space="preserve">La Secretaría propuso que el GTC-RHF verifique la </w:t>
      </w:r>
      <w:r w:rsidR="00C81F7A">
        <w:rPr>
          <w:lang w:val="es-ES"/>
        </w:rPr>
        <w:t>implementación</w:t>
      </w:r>
      <w:r w:rsidR="008218AA" w:rsidRPr="00467C05">
        <w:rPr>
          <w:lang w:val="es-ES"/>
        </w:rPr>
        <w:t xml:space="preserve"> de las recomendaciones de la categoría 1, que se incluya</w:t>
      </w:r>
      <w:r w:rsidR="007C459A">
        <w:rPr>
          <w:lang w:val="es-ES"/>
        </w:rPr>
        <w:t>n</w:t>
      </w:r>
      <w:r w:rsidR="008218AA" w:rsidRPr="00467C05">
        <w:rPr>
          <w:lang w:val="es-ES"/>
        </w:rPr>
        <w:t xml:space="preserve"> en un plan de acción las recomendaciones de categoría 2 mientras que las recomendaciones de categoría 3 necesitarán un examen detallado por parte del GTC-RHF con la ayuda de la Secretar</w:t>
      </w:r>
      <w:r w:rsidR="007C459A">
        <w:rPr>
          <w:lang w:val="es-ES"/>
        </w:rPr>
        <w:t>í</w:t>
      </w:r>
      <w:r w:rsidR="008218AA" w:rsidRPr="00467C05">
        <w:rPr>
          <w:lang w:val="es-ES"/>
        </w:rPr>
        <w:t>a.</w:t>
      </w:r>
    </w:p>
    <w:bookmarkEnd w:id="70"/>
    <w:p w14:paraId="7727D6A6" w14:textId="7B89702D" w:rsidR="00417D8C" w:rsidRPr="00467C05" w:rsidRDefault="00417D8C" w:rsidP="007D1296">
      <w:pPr>
        <w:rPr>
          <w:lang w:val="es-ES"/>
        </w:rPr>
      </w:pPr>
      <w:r w:rsidRPr="00467C05">
        <w:rPr>
          <w:lang w:val="es-ES"/>
        </w:rPr>
        <w:t>2.4</w:t>
      </w:r>
      <w:r w:rsidRPr="00467C05">
        <w:rPr>
          <w:lang w:val="es-ES"/>
        </w:rPr>
        <w:tab/>
      </w:r>
      <w:bookmarkStart w:id="71" w:name="lt_pId152"/>
      <w:r w:rsidR="008218AA" w:rsidRPr="00467C05">
        <w:rPr>
          <w:lang w:val="es-ES"/>
        </w:rPr>
        <w:t xml:space="preserve">La Secretaría indicó que el </w:t>
      </w:r>
      <w:r w:rsidR="007C459A">
        <w:rPr>
          <w:lang w:val="es-ES"/>
        </w:rPr>
        <w:t>i</w:t>
      </w:r>
      <w:r w:rsidR="008218AA" w:rsidRPr="00467C05">
        <w:rPr>
          <w:lang w:val="es-ES"/>
        </w:rPr>
        <w:t xml:space="preserve">nforme es largo y requerirá un esfuerzo importante por parte de los delegados involucrados en este trabajo y, por tanto, </w:t>
      </w:r>
      <w:r w:rsidR="00DF4074" w:rsidRPr="00467C05">
        <w:rPr>
          <w:lang w:val="es-ES"/>
        </w:rPr>
        <w:t xml:space="preserve">sugirió </w:t>
      </w:r>
      <w:r w:rsidR="008218AA" w:rsidRPr="00467C05">
        <w:rPr>
          <w:lang w:val="es-ES"/>
        </w:rPr>
        <w:t xml:space="preserve">que quizá debería considerarse la creación de un </w:t>
      </w:r>
      <w:r w:rsidR="00683A80" w:rsidRPr="00467C05">
        <w:rPr>
          <w:lang w:val="es-ES"/>
        </w:rPr>
        <w:t xml:space="preserve">Grupo </w:t>
      </w:r>
      <w:r w:rsidR="008218AA" w:rsidRPr="00781C1D">
        <w:rPr>
          <w:i/>
          <w:iCs/>
          <w:lang w:val="es-ES"/>
        </w:rPr>
        <w:t>ad hoc</w:t>
      </w:r>
      <w:r w:rsidR="008218AA" w:rsidRPr="00467C05">
        <w:rPr>
          <w:lang w:val="es-ES"/>
        </w:rPr>
        <w:t xml:space="preserve"> más reducido</w:t>
      </w:r>
      <w:r w:rsidR="00DF4074" w:rsidRPr="00467C05">
        <w:rPr>
          <w:lang w:val="es-ES"/>
        </w:rPr>
        <w:t>, indicando que esta propuesta figuraba en la contribución de los Estados Unidos.</w:t>
      </w:r>
      <w:bookmarkEnd w:id="71"/>
    </w:p>
    <w:p w14:paraId="4E6291D8" w14:textId="74A6D055" w:rsidR="00DF4074" w:rsidRPr="00467C05" w:rsidRDefault="00417D8C" w:rsidP="000A5A9F">
      <w:pPr>
        <w:pStyle w:val="Headingb"/>
        <w:ind w:left="0" w:firstLine="0"/>
        <w:rPr>
          <w:lang w:val="es-ES"/>
        </w:rPr>
      </w:pPr>
      <w:bookmarkStart w:id="72" w:name="lt_pId153"/>
      <w:r w:rsidRPr="00577A7D">
        <w:rPr>
          <w:lang w:val="es-ES"/>
        </w:rPr>
        <w:t>Contribu</w:t>
      </w:r>
      <w:r w:rsidR="00DF4074" w:rsidRPr="00577A7D">
        <w:rPr>
          <w:lang w:val="es-ES"/>
        </w:rPr>
        <w:t>ción</w:t>
      </w:r>
      <w:r w:rsidRPr="00577A7D">
        <w:rPr>
          <w:lang w:val="es-ES"/>
        </w:rPr>
        <w:t xml:space="preserve"> </w:t>
      </w:r>
      <w:r w:rsidR="00DF4074" w:rsidRPr="00577A7D">
        <w:rPr>
          <w:lang w:val="es-ES"/>
        </w:rPr>
        <w:t>de los Estados Unidos de América</w:t>
      </w:r>
      <w:r w:rsidRPr="00577A7D">
        <w:rPr>
          <w:lang w:val="es-ES"/>
        </w:rPr>
        <w:t xml:space="preserve">: </w:t>
      </w:r>
      <w:r w:rsidR="00DF4074" w:rsidRPr="00577A7D">
        <w:rPr>
          <w:lang w:val="es-ES"/>
        </w:rPr>
        <w:t xml:space="preserve">Mandato del Grupo </w:t>
      </w:r>
      <w:r w:rsidR="00DF4074" w:rsidRPr="00577A7D">
        <w:rPr>
          <w:i/>
          <w:iCs/>
          <w:lang w:val="es-ES"/>
        </w:rPr>
        <w:t>ad hoc</w:t>
      </w:r>
      <w:r w:rsidR="00DF4074" w:rsidRPr="00577A7D">
        <w:rPr>
          <w:lang w:val="es-ES"/>
        </w:rPr>
        <w:t xml:space="preserve"> </w:t>
      </w:r>
      <w:r w:rsidR="00F57238" w:rsidRPr="00577A7D">
        <w:rPr>
          <w:lang w:val="es-ES"/>
        </w:rPr>
        <w:t>del Grupo de Trabajo del Consejo sobre Recursos Humanos y Financieros, relativo a</w:t>
      </w:r>
      <w:r w:rsidR="00DF4074" w:rsidRPr="00577A7D">
        <w:rPr>
          <w:lang w:val="es-ES"/>
        </w:rPr>
        <w:t xml:space="preserve">l Informe externo de PWC sobre la presencia regional </w:t>
      </w:r>
      <w:r w:rsidRPr="00577A7D">
        <w:rPr>
          <w:lang w:val="es-ES"/>
        </w:rPr>
        <w:t>(Document</w:t>
      </w:r>
      <w:r w:rsidR="00DF4074" w:rsidRPr="00577A7D">
        <w:rPr>
          <w:lang w:val="es-ES"/>
        </w:rPr>
        <w:t>o</w:t>
      </w:r>
      <w:r w:rsidRPr="00577A7D">
        <w:rPr>
          <w:lang w:val="es-ES"/>
        </w:rPr>
        <w:t xml:space="preserve">s </w:t>
      </w:r>
      <w:hyperlink r:id="rId17" w:history="1">
        <w:r w:rsidRPr="00577A7D">
          <w:rPr>
            <w:rStyle w:val="Hyperlink"/>
            <w:rFonts w:asciiTheme="minorHAnsi" w:hAnsiTheme="minorHAnsi" w:cstheme="minorHAnsi"/>
            <w:bCs/>
            <w:lang w:val="es-ES"/>
          </w:rPr>
          <w:t>CWG-FHR-12/16</w:t>
        </w:r>
      </w:hyperlink>
      <w:r w:rsidR="00DF4074" w:rsidRPr="00577A7D">
        <w:rPr>
          <w:lang w:val="es-ES"/>
        </w:rPr>
        <w:t xml:space="preserve"> y </w:t>
      </w:r>
      <w:hyperlink r:id="rId18" w:history="1">
        <w:r w:rsidRPr="00577A7D">
          <w:rPr>
            <w:rStyle w:val="Hyperlink"/>
            <w:rFonts w:asciiTheme="minorHAnsi" w:hAnsiTheme="minorHAnsi" w:cstheme="minorHAnsi"/>
            <w:bCs/>
            <w:lang w:val="es-ES"/>
          </w:rPr>
          <w:t>CWG</w:t>
        </w:r>
        <w:r w:rsidR="00D74DC0" w:rsidRPr="00577A7D">
          <w:rPr>
            <w:rStyle w:val="Hyperlink"/>
            <w:rFonts w:asciiTheme="minorHAnsi" w:hAnsiTheme="minorHAnsi" w:cstheme="minorHAnsi"/>
            <w:bCs/>
            <w:lang w:val="es-ES"/>
          </w:rPr>
          <w:noBreakHyphen/>
        </w:r>
        <w:r w:rsidRPr="00577A7D">
          <w:rPr>
            <w:rStyle w:val="Hyperlink"/>
            <w:rFonts w:asciiTheme="minorHAnsi" w:hAnsiTheme="minorHAnsi" w:cstheme="minorHAnsi"/>
            <w:bCs/>
            <w:lang w:val="es-ES"/>
          </w:rPr>
          <w:t>FHR</w:t>
        </w:r>
        <w:r w:rsidR="00D74DC0" w:rsidRPr="00577A7D">
          <w:rPr>
            <w:rStyle w:val="Hyperlink"/>
            <w:rFonts w:asciiTheme="minorHAnsi" w:hAnsiTheme="minorHAnsi" w:cstheme="minorHAnsi"/>
            <w:bCs/>
            <w:lang w:val="es-ES"/>
          </w:rPr>
          <w:noBreakHyphen/>
        </w:r>
        <w:r w:rsidRPr="00577A7D">
          <w:rPr>
            <w:rStyle w:val="Hyperlink"/>
            <w:rFonts w:asciiTheme="minorHAnsi" w:hAnsiTheme="minorHAnsi" w:cstheme="minorHAnsi"/>
            <w:bCs/>
            <w:lang w:val="es-ES"/>
          </w:rPr>
          <w:t>12/DL-2</w:t>
        </w:r>
      </w:hyperlink>
      <w:bookmarkEnd w:id="72"/>
      <w:r w:rsidR="00DF4074" w:rsidRPr="00577A7D">
        <w:rPr>
          <w:lang w:val="es-ES"/>
        </w:rPr>
        <w:t>)</w:t>
      </w:r>
    </w:p>
    <w:p w14:paraId="3681E8E8" w14:textId="5D380E43" w:rsidR="00DF4074" w:rsidRPr="00467C05" w:rsidRDefault="00417D8C" w:rsidP="007D1296">
      <w:pPr>
        <w:rPr>
          <w:lang w:val="es-ES"/>
        </w:rPr>
      </w:pPr>
      <w:r w:rsidRPr="00467C05">
        <w:rPr>
          <w:lang w:val="es-ES"/>
        </w:rPr>
        <w:t>2.5</w:t>
      </w:r>
      <w:r w:rsidRPr="00467C05">
        <w:rPr>
          <w:lang w:val="es-ES"/>
        </w:rPr>
        <w:tab/>
      </w:r>
      <w:bookmarkStart w:id="73" w:name="lt_pId155"/>
      <w:r w:rsidR="00DF4074" w:rsidRPr="00467C05">
        <w:rPr>
          <w:lang w:val="es-ES"/>
        </w:rPr>
        <w:t xml:space="preserve">El delegado de los Estados Unidos presentó la contribución e indicó que el Informe de PWC </w:t>
      </w:r>
      <w:r w:rsidR="00610306" w:rsidRPr="00467C05">
        <w:rPr>
          <w:lang w:val="es-ES"/>
        </w:rPr>
        <w:t xml:space="preserve">es muy largo y que no se dispondría del tiempo adecuado para examinar </w:t>
      </w:r>
      <w:r w:rsidR="00F57238" w:rsidRPr="00467C05">
        <w:rPr>
          <w:lang w:val="es-ES"/>
        </w:rPr>
        <w:t>convenientemente</w:t>
      </w:r>
      <w:r w:rsidR="00610306" w:rsidRPr="00467C05">
        <w:rPr>
          <w:lang w:val="es-ES"/>
        </w:rPr>
        <w:t xml:space="preserve"> las recomendaciones en el GTC-RHF, proponiendo por tanto la creación de un </w:t>
      </w:r>
      <w:r w:rsidR="00683A80" w:rsidRPr="00467C05">
        <w:rPr>
          <w:lang w:val="es-ES"/>
        </w:rPr>
        <w:t xml:space="preserve">Grupo </w:t>
      </w:r>
      <w:r w:rsidR="00610306" w:rsidRPr="00781C1D">
        <w:rPr>
          <w:i/>
          <w:iCs/>
          <w:lang w:val="es-ES"/>
        </w:rPr>
        <w:t>ad hoc</w:t>
      </w:r>
      <w:r w:rsidR="00610306" w:rsidRPr="00467C05">
        <w:rPr>
          <w:lang w:val="es-ES"/>
        </w:rPr>
        <w:t xml:space="preserve"> para analizar la presencia regional de la UIT e informar sobre la cuestión. Se indicó que, debido a los plazos, sería deseable que el Consejo analizará esta cuestión en su reunión de 2021 a fin de poder tener resultados a tiempo para la CMDT-21. Se produjo un debate entre los delegados.</w:t>
      </w:r>
    </w:p>
    <w:bookmarkEnd w:id="73"/>
    <w:p w14:paraId="30D0D32A" w14:textId="1ADFAE8D" w:rsidR="005E22FA" w:rsidRPr="00467C05" w:rsidRDefault="00417D8C" w:rsidP="007D1296">
      <w:pPr>
        <w:rPr>
          <w:lang w:val="es-ES"/>
        </w:rPr>
      </w:pPr>
      <w:r w:rsidRPr="00467C05">
        <w:rPr>
          <w:lang w:val="es-ES"/>
        </w:rPr>
        <w:t>2.6</w:t>
      </w:r>
      <w:r w:rsidRPr="00467C05">
        <w:rPr>
          <w:lang w:val="es-ES"/>
        </w:rPr>
        <w:tab/>
      </w:r>
      <w:bookmarkStart w:id="74" w:name="lt_pId159"/>
      <w:r w:rsidR="00610306" w:rsidRPr="00467C05">
        <w:rPr>
          <w:lang w:val="es-ES"/>
        </w:rPr>
        <w:t xml:space="preserve">Después del debate, la Presidenta </w:t>
      </w:r>
      <w:r w:rsidR="00C81F7A">
        <w:rPr>
          <w:lang w:val="es-ES"/>
        </w:rPr>
        <w:t>indicó</w:t>
      </w:r>
      <w:r w:rsidR="00610306" w:rsidRPr="00467C05">
        <w:rPr>
          <w:lang w:val="es-ES"/>
        </w:rPr>
        <w:t xml:space="preserve"> que existía un consenso para la creación del </w:t>
      </w:r>
      <w:r w:rsidR="00683A80" w:rsidRPr="00467C05">
        <w:rPr>
          <w:lang w:val="es-ES"/>
        </w:rPr>
        <w:t xml:space="preserve">Grupo </w:t>
      </w:r>
      <w:r w:rsidR="00610306" w:rsidRPr="00781C1D">
        <w:rPr>
          <w:i/>
          <w:iCs/>
          <w:lang w:val="es-ES"/>
        </w:rPr>
        <w:t>ad hoc</w:t>
      </w:r>
      <w:r w:rsidR="00610306" w:rsidRPr="00467C05">
        <w:rPr>
          <w:lang w:val="es-ES"/>
        </w:rPr>
        <w:t xml:space="preserve"> </w:t>
      </w:r>
      <w:r w:rsidR="00F57238" w:rsidRPr="00467C05">
        <w:rPr>
          <w:lang w:val="es-ES"/>
        </w:rPr>
        <w:t>dedicado a</w:t>
      </w:r>
      <w:r w:rsidR="00610306" w:rsidRPr="00467C05">
        <w:rPr>
          <w:lang w:val="es-ES"/>
        </w:rPr>
        <w:t xml:space="preserve"> analizar la presencia regional de la UIT y el Informe de PWC. La Presidenta </w:t>
      </w:r>
      <w:r w:rsidR="005E22FA" w:rsidRPr="00467C05">
        <w:rPr>
          <w:lang w:val="es-ES"/>
        </w:rPr>
        <w:t>indicó que</w:t>
      </w:r>
      <w:r w:rsidR="00F57238" w:rsidRPr="00467C05">
        <w:rPr>
          <w:lang w:val="es-ES"/>
        </w:rPr>
        <w:t>,</w:t>
      </w:r>
      <w:r w:rsidR="005E22FA" w:rsidRPr="00467C05">
        <w:rPr>
          <w:lang w:val="es-ES"/>
        </w:rPr>
        <w:t xml:space="preserve"> en base a los debates en el GTC-RHF, había contactado a la Sra. </w:t>
      </w:r>
      <w:bookmarkStart w:id="75" w:name="lt_pId160"/>
      <w:bookmarkEnd w:id="74"/>
      <w:r w:rsidRPr="00467C05">
        <w:rPr>
          <w:lang w:val="es-ES"/>
        </w:rPr>
        <w:t>Stella Erebor</w:t>
      </w:r>
      <w:r w:rsidR="005E22FA" w:rsidRPr="00467C05">
        <w:rPr>
          <w:lang w:val="es-ES"/>
        </w:rPr>
        <w:t xml:space="preserve"> de Nigeria, para presidir el </w:t>
      </w:r>
      <w:r w:rsidR="00683A80" w:rsidRPr="00467C05">
        <w:rPr>
          <w:lang w:val="es-ES"/>
        </w:rPr>
        <w:t xml:space="preserve">Grupo </w:t>
      </w:r>
      <w:r w:rsidR="005E22FA" w:rsidRPr="00781C1D">
        <w:rPr>
          <w:i/>
          <w:iCs/>
          <w:lang w:val="es-ES"/>
        </w:rPr>
        <w:t>ad hoc</w:t>
      </w:r>
      <w:r w:rsidR="005E22FA" w:rsidRPr="00467C05">
        <w:rPr>
          <w:lang w:val="es-ES"/>
        </w:rPr>
        <w:t xml:space="preserve"> e invitó a la Sra. </w:t>
      </w:r>
      <w:r w:rsidRPr="00467C05">
        <w:rPr>
          <w:lang w:val="es-ES"/>
        </w:rPr>
        <w:t xml:space="preserve">Erebor </w:t>
      </w:r>
      <w:r w:rsidR="005E22FA" w:rsidRPr="00467C05">
        <w:rPr>
          <w:lang w:val="es-ES"/>
        </w:rPr>
        <w:t>a tomar la palabra</w:t>
      </w:r>
      <w:r w:rsidRPr="00467C05">
        <w:rPr>
          <w:lang w:val="es-ES"/>
        </w:rPr>
        <w:t>.</w:t>
      </w:r>
      <w:bookmarkEnd w:id="75"/>
      <w:r w:rsidRPr="00467C05">
        <w:rPr>
          <w:lang w:val="es-ES"/>
        </w:rPr>
        <w:t xml:space="preserve"> </w:t>
      </w:r>
      <w:bookmarkStart w:id="76" w:name="lt_pId161"/>
      <w:r w:rsidR="005E22FA" w:rsidRPr="00467C05">
        <w:rPr>
          <w:lang w:val="es-ES"/>
        </w:rPr>
        <w:t>Después de la intervención de la Sra.</w:t>
      </w:r>
      <w:r w:rsidRPr="00467C05">
        <w:rPr>
          <w:lang w:val="es-ES"/>
        </w:rPr>
        <w:t xml:space="preserve"> Erebor, </w:t>
      </w:r>
      <w:r w:rsidR="005E22FA" w:rsidRPr="00467C05">
        <w:rPr>
          <w:lang w:val="es-ES"/>
        </w:rPr>
        <w:t xml:space="preserve">la Presidenta solicitó a los delegados que contribuían a los debates que participaran en la elaboración del mandato del </w:t>
      </w:r>
      <w:r w:rsidR="00683A80" w:rsidRPr="00467C05">
        <w:rPr>
          <w:lang w:val="es-ES"/>
        </w:rPr>
        <w:t xml:space="preserve">Grupo </w:t>
      </w:r>
      <w:r w:rsidR="005E22FA" w:rsidRPr="00781C1D">
        <w:rPr>
          <w:i/>
          <w:iCs/>
          <w:lang w:val="es-ES"/>
        </w:rPr>
        <w:t>ad hoc</w:t>
      </w:r>
      <w:r w:rsidR="005E22FA" w:rsidRPr="00467C05">
        <w:rPr>
          <w:lang w:val="es-ES"/>
        </w:rPr>
        <w:t xml:space="preserve"> e informaran durante el segundo día de la reunión del GTC-RHF para finalizar la creación del </w:t>
      </w:r>
      <w:r w:rsidR="00683A80" w:rsidRPr="00467C05">
        <w:rPr>
          <w:lang w:val="es-ES"/>
        </w:rPr>
        <w:t xml:space="preserve">Grupo </w:t>
      </w:r>
      <w:r w:rsidR="005E22FA" w:rsidRPr="00E0333B">
        <w:rPr>
          <w:i/>
          <w:iCs/>
          <w:lang w:val="es-ES"/>
        </w:rPr>
        <w:t>ad hoc</w:t>
      </w:r>
      <w:r w:rsidR="005E22FA" w:rsidRPr="00467C05">
        <w:rPr>
          <w:lang w:val="es-ES"/>
        </w:rPr>
        <w:t>.</w:t>
      </w:r>
    </w:p>
    <w:bookmarkEnd w:id="76"/>
    <w:p w14:paraId="5641C5A7" w14:textId="77777777" w:rsidR="00417D8C" w:rsidRPr="00467C05" w:rsidRDefault="00417D8C" w:rsidP="007D1296">
      <w:pPr>
        <w:rPr>
          <w:lang w:val="es-ES"/>
        </w:rPr>
      </w:pPr>
      <w:r w:rsidRPr="00467C05">
        <w:rPr>
          <w:lang w:val="es-ES"/>
        </w:rPr>
        <w:t>2.7</w:t>
      </w:r>
      <w:r w:rsidRPr="00467C05">
        <w:rPr>
          <w:lang w:val="es-ES"/>
        </w:rPr>
        <w:tab/>
      </w:r>
      <w:bookmarkStart w:id="77" w:name="lt_pId163"/>
      <w:r w:rsidR="005E22FA" w:rsidRPr="00467C05">
        <w:rPr>
          <w:lang w:val="es-ES"/>
        </w:rPr>
        <w:t>Después de consultas entre los delegados</w:t>
      </w:r>
      <w:r w:rsidRPr="00467C05">
        <w:rPr>
          <w:lang w:val="es-ES"/>
        </w:rPr>
        <w:t xml:space="preserve">, </w:t>
      </w:r>
      <w:r w:rsidR="00F57238" w:rsidRPr="00467C05">
        <w:rPr>
          <w:lang w:val="es-ES"/>
        </w:rPr>
        <w:t xml:space="preserve">la reunión aprobó el siguiente mandato y la composición del </w:t>
      </w:r>
      <w:r w:rsidR="00683A80" w:rsidRPr="00467C05">
        <w:rPr>
          <w:lang w:val="es-ES"/>
        </w:rPr>
        <w:t xml:space="preserve">Grupo </w:t>
      </w:r>
      <w:r w:rsidR="00F57238" w:rsidRPr="00781C1D">
        <w:rPr>
          <w:i/>
          <w:iCs/>
          <w:lang w:val="es-ES"/>
        </w:rPr>
        <w:t>ad hoc</w:t>
      </w:r>
      <w:r w:rsidR="00F57238" w:rsidRPr="00467C05">
        <w:rPr>
          <w:lang w:val="es-ES"/>
        </w:rPr>
        <w:t xml:space="preserve"> sobre el examen de la presencia regional</w:t>
      </w:r>
      <w:r w:rsidRPr="00467C05">
        <w:rPr>
          <w:lang w:val="es-ES"/>
        </w:rPr>
        <w:t>:</w:t>
      </w:r>
      <w:bookmarkEnd w:id="77"/>
    </w:p>
    <w:p w14:paraId="344877E0" w14:textId="77777777" w:rsidR="00417D8C" w:rsidRPr="004D1648" w:rsidRDefault="00417D8C" w:rsidP="00D74DC0">
      <w:pPr>
        <w:keepNext/>
        <w:keepLines/>
        <w:rPr>
          <w:u w:val="single"/>
          <w:lang w:val="es-ES"/>
        </w:rPr>
      </w:pPr>
      <w:bookmarkStart w:id="78" w:name="lt_pId164"/>
      <w:r w:rsidRPr="004D1648">
        <w:rPr>
          <w:u w:val="single"/>
          <w:lang w:val="es-ES"/>
        </w:rPr>
        <w:t>Mandat</w:t>
      </w:r>
      <w:bookmarkEnd w:id="78"/>
      <w:r w:rsidR="00F57238" w:rsidRPr="004D1648">
        <w:rPr>
          <w:u w:val="single"/>
          <w:lang w:val="es-ES"/>
        </w:rPr>
        <w:t>o</w:t>
      </w:r>
    </w:p>
    <w:p w14:paraId="5B2BAEE8" w14:textId="47BA9832" w:rsidR="00417D8C" w:rsidRPr="00467C05" w:rsidRDefault="00372E36" w:rsidP="007D1296">
      <w:pPr>
        <w:rPr>
          <w:lang w:val="es-ES"/>
        </w:rPr>
      </w:pPr>
      <w:bookmarkStart w:id="79" w:name="lt_pId165"/>
      <w:r w:rsidRPr="00467C05">
        <w:rPr>
          <w:lang w:val="es-ES"/>
        </w:rPr>
        <w:t>Se convoca el</w:t>
      </w:r>
      <w:r w:rsidR="00F57238" w:rsidRPr="00467C05">
        <w:rPr>
          <w:lang w:val="es-ES"/>
        </w:rPr>
        <w:t xml:space="preserve"> </w:t>
      </w:r>
      <w:r w:rsidR="00683A80" w:rsidRPr="00467C05">
        <w:rPr>
          <w:lang w:val="es-ES"/>
        </w:rPr>
        <w:t xml:space="preserve">Grupo </w:t>
      </w:r>
      <w:r w:rsidR="00F57238" w:rsidRPr="00781C1D">
        <w:rPr>
          <w:i/>
          <w:iCs/>
          <w:lang w:val="es-ES"/>
        </w:rPr>
        <w:t>ad hoc</w:t>
      </w:r>
      <w:r w:rsidR="00F57238" w:rsidRPr="00467C05">
        <w:rPr>
          <w:lang w:val="es-ES"/>
        </w:rPr>
        <w:t xml:space="preserve"> del</w:t>
      </w:r>
      <w:r w:rsidR="00417D8C" w:rsidRPr="00467C05">
        <w:rPr>
          <w:lang w:val="es-ES"/>
        </w:rPr>
        <w:t xml:space="preserve"> </w:t>
      </w:r>
      <w:r w:rsidR="00577A7D" w:rsidRPr="00577A7D">
        <w:rPr>
          <w:lang w:val="es-ES"/>
        </w:rPr>
        <w:t xml:space="preserve">GTC-RHF </w:t>
      </w:r>
      <w:r w:rsidR="00F57238" w:rsidRPr="00467C05">
        <w:rPr>
          <w:lang w:val="es-ES"/>
        </w:rPr>
        <w:t>sobre el examen de la presencia regional de la UIT</w:t>
      </w:r>
      <w:r w:rsidRPr="00467C05">
        <w:rPr>
          <w:lang w:val="es-ES"/>
        </w:rPr>
        <w:t xml:space="preserve"> para</w:t>
      </w:r>
      <w:r w:rsidR="00417D8C" w:rsidRPr="00467C05">
        <w:rPr>
          <w:lang w:val="es-ES"/>
        </w:rPr>
        <w:t>:</w:t>
      </w:r>
      <w:bookmarkEnd w:id="79"/>
    </w:p>
    <w:p w14:paraId="35E1CEA7" w14:textId="3B6E3B7A" w:rsidR="00417D8C" w:rsidRPr="00467C05" w:rsidRDefault="007D1296" w:rsidP="007D1296">
      <w:pPr>
        <w:pStyle w:val="enumlev1"/>
        <w:rPr>
          <w:lang w:val="es-ES"/>
        </w:rPr>
      </w:pPr>
      <w:bookmarkStart w:id="80" w:name="lt_pId166"/>
      <w:r>
        <w:rPr>
          <w:lang w:val="es-ES"/>
        </w:rPr>
        <w:t>1)</w:t>
      </w:r>
      <w:r>
        <w:rPr>
          <w:lang w:val="es-ES"/>
        </w:rPr>
        <w:tab/>
      </w:r>
      <w:r w:rsidR="00372E36" w:rsidRPr="00467C05">
        <w:rPr>
          <w:lang w:val="es-ES"/>
        </w:rPr>
        <w:t xml:space="preserve">Examinar y analizar las recomendaciones del Informe de PWC presentadas por el Secretario General en el Documento </w:t>
      </w:r>
      <w:hyperlink r:id="rId19" w:history="1">
        <w:r w:rsidR="00417D8C" w:rsidRPr="00467C05">
          <w:rPr>
            <w:rStyle w:val="Hyperlink"/>
            <w:rFonts w:asciiTheme="minorHAnsi" w:hAnsiTheme="minorHAnsi" w:cstheme="minorHAnsi"/>
            <w:lang w:val="es-ES"/>
          </w:rPr>
          <w:t>C20/74</w:t>
        </w:r>
      </w:hyperlink>
      <w:r w:rsidR="00417D8C" w:rsidRPr="00467C05">
        <w:rPr>
          <w:lang w:val="es-ES"/>
        </w:rPr>
        <w:t>.</w:t>
      </w:r>
      <w:bookmarkEnd w:id="80"/>
    </w:p>
    <w:p w14:paraId="32C1A460" w14:textId="4B4BC583" w:rsidR="00372E36" w:rsidRPr="00467C05" w:rsidRDefault="00417D8C" w:rsidP="007D1296">
      <w:pPr>
        <w:pStyle w:val="enumlev1"/>
        <w:rPr>
          <w:lang w:val="es-ES"/>
        </w:rPr>
      </w:pPr>
      <w:r w:rsidRPr="00467C05">
        <w:rPr>
          <w:lang w:val="es-ES"/>
        </w:rPr>
        <w:t>2</w:t>
      </w:r>
      <w:r w:rsidR="007D1296">
        <w:rPr>
          <w:lang w:val="es-ES"/>
        </w:rPr>
        <w:t>)</w:t>
      </w:r>
      <w:r w:rsidRPr="00467C05">
        <w:rPr>
          <w:lang w:val="es-ES"/>
        </w:rPr>
        <w:tab/>
      </w:r>
      <w:bookmarkStart w:id="81" w:name="lt_pId168"/>
      <w:r w:rsidR="00372E36" w:rsidRPr="00467C05">
        <w:rPr>
          <w:lang w:val="es-ES"/>
        </w:rPr>
        <w:t>Considerar y tener en cuenta las propuestas de los Estados Miembros de la UIT y los comentarios de la Secretaría, incluidos los de las Oficinas de Radiocomunicaciones, de Normalización y de Desarrollo, relativos a la mejora de la organización y la eficacia de la presencia regional de la Unión</w:t>
      </w:r>
      <w:r w:rsidR="00C81F7A">
        <w:rPr>
          <w:lang w:val="es-ES"/>
        </w:rPr>
        <w:t>,</w:t>
      </w:r>
      <w:r w:rsidR="00372E36" w:rsidRPr="00467C05">
        <w:rPr>
          <w:lang w:val="es-ES"/>
        </w:rPr>
        <w:t xml:space="preserve"> con el fin de desarrollar, utilizar y promover la disponibilidad de telecomunicaciones/TIC en todo el mundo y, en especial, en los países en desarrollo en el marco/formato de Una UIT.</w:t>
      </w:r>
    </w:p>
    <w:bookmarkEnd w:id="81"/>
    <w:p w14:paraId="49CBCA32" w14:textId="44D5708E" w:rsidR="001C1253" w:rsidRPr="00467C05" w:rsidRDefault="00417D8C" w:rsidP="007D1296">
      <w:pPr>
        <w:pStyle w:val="enumlev1"/>
        <w:rPr>
          <w:lang w:val="es-ES"/>
        </w:rPr>
      </w:pPr>
      <w:r w:rsidRPr="00467C05">
        <w:rPr>
          <w:lang w:val="es-ES"/>
        </w:rPr>
        <w:t>3</w:t>
      </w:r>
      <w:r w:rsidR="007D1296">
        <w:rPr>
          <w:lang w:val="es-ES"/>
        </w:rPr>
        <w:t>)</w:t>
      </w:r>
      <w:r w:rsidRPr="00467C05">
        <w:rPr>
          <w:lang w:val="es-ES"/>
        </w:rPr>
        <w:tab/>
      </w:r>
      <w:bookmarkStart w:id="82" w:name="lt_pId170"/>
      <w:r w:rsidR="001C1253" w:rsidRPr="00467C05">
        <w:rPr>
          <w:lang w:val="es-ES"/>
        </w:rPr>
        <w:t>Analizar las posibles implicaciones financieras de las diferentes opciones de optimización de la estructura de la presencia regional de la UIT.</w:t>
      </w:r>
    </w:p>
    <w:bookmarkEnd w:id="82"/>
    <w:p w14:paraId="2A18B968" w14:textId="0902F6B6" w:rsidR="001C1253" w:rsidRPr="00467C05" w:rsidRDefault="00417D8C" w:rsidP="007D1296">
      <w:pPr>
        <w:pStyle w:val="enumlev1"/>
        <w:rPr>
          <w:lang w:val="es-ES"/>
        </w:rPr>
      </w:pPr>
      <w:r w:rsidRPr="00467C05">
        <w:rPr>
          <w:lang w:val="es-ES"/>
        </w:rPr>
        <w:t>4</w:t>
      </w:r>
      <w:r w:rsidR="007D1296">
        <w:rPr>
          <w:lang w:val="es-ES"/>
        </w:rPr>
        <w:t>)</w:t>
      </w:r>
      <w:r w:rsidRPr="00467C05">
        <w:rPr>
          <w:lang w:val="es-ES"/>
        </w:rPr>
        <w:tab/>
      </w:r>
      <w:bookmarkStart w:id="83" w:name="lt_pId172"/>
      <w:r w:rsidR="001C1253" w:rsidRPr="00467C05">
        <w:rPr>
          <w:lang w:val="es-ES"/>
        </w:rPr>
        <w:t>Elaborar y presentar recomendaciones en la próxima reunión del GTC-RHF, prevista para mayo de 2021, relativas a la optimización de la estructura y los métodos/enfoques para aumentar la eficiencia de la presencia regional.</w:t>
      </w:r>
    </w:p>
    <w:p w14:paraId="118D8B13" w14:textId="77777777" w:rsidR="00417D8C" w:rsidRPr="004D1648" w:rsidRDefault="00417D8C" w:rsidP="00D74DC0">
      <w:pPr>
        <w:keepNext/>
        <w:keepLines/>
        <w:rPr>
          <w:u w:val="single"/>
          <w:lang w:val="es-ES"/>
        </w:rPr>
      </w:pPr>
      <w:bookmarkStart w:id="84" w:name="lt_pId173"/>
      <w:bookmarkEnd w:id="83"/>
      <w:r w:rsidRPr="004D1648">
        <w:rPr>
          <w:u w:val="single"/>
          <w:lang w:val="es-ES"/>
        </w:rPr>
        <w:lastRenderedPageBreak/>
        <w:t>Compo</w:t>
      </w:r>
      <w:r w:rsidR="001C1253" w:rsidRPr="004D1648">
        <w:rPr>
          <w:u w:val="single"/>
          <w:lang w:val="es-ES"/>
        </w:rPr>
        <w:t>sición y métodos de trabajo</w:t>
      </w:r>
      <w:bookmarkEnd w:id="84"/>
    </w:p>
    <w:p w14:paraId="7E1D0588" w14:textId="109D4032" w:rsidR="00417D8C" w:rsidRPr="00467C05" w:rsidRDefault="007D1296" w:rsidP="007D1296">
      <w:pPr>
        <w:pStyle w:val="enumlev1"/>
        <w:rPr>
          <w:lang w:val="es-ES"/>
        </w:rPr>
      </w:pPr>
      <w:bookmarkStart w:id="85" w:name="lt_pId174"/>
      <w:r w:rsidRPr="007D1296">
        <w:rPr>
          <w:lang w:val="es-ES"/>
        </w:rPr>
        <w:t>•</w:t>
      </w:r>
      <w:r>
        <w:rPr>
          <w:lang w:val="es-ES"/>
        </w:rPr>
        <w:tab/>
      </w:r>
      <w:r w:rsidR="00577A7D">
        <w:rPr>
          <w:lang w:val="es-ES"/>
        </w:rPr>
        <w:t>E</w:t>
      </w:r>
      <w:r w:rsidR="00577A7D" w:rsidRPr="00467C05">
        <w:rPr>
          <w:lang w:val="es-ES"/>
        </w:rPr>
        <w:t xml:space="preserve">l </w:t>
      </w:r>
      <w:r w:rsidR="00683A80" w:rsidRPr="00467C05">
        <w:rPr>
          <w:lang w:val="es-ES"/>
        </w:rPr>
        <w:t xml:space="preserve">Grupo </w:t>
      </w:r>
      <w:r w:rsidR="00C81F7A" w:rsidRPr="007D1296">
        <w:rPr>
          <w:i/>
          <w:iCs/>
          <w:lang w:val="es-ES"/>
        </w:rPr>
        <w:t>ad hoc</w:t>
      </w:r>
      <w:r w:rsidR="00C81F7A">
        <w:rPr>
          <w:lang w:val="es-ES"/>
        </w:rPr>
        <w:t xml:space="preserve"> está presidido por </w:t>
      </w:r>
      <w:r w:rsidR="00577A7D">
        <w:rPr>
          <w:lang w:val="es-ES"/>
        </w:rPr>
        <w:t>la Sra. </w:t>
      </w:r>
      <w:r w:rsidR="001C1253" w:rsidRPr="00467C05">
        <w:rPr>
          <w:lang w:val="es-ES"/>
        </w:rPr>
        <w:t>Stella Erebor de</w:t>
      </w:r>
      <w:r w:rsidR="00417D8C" w:rsidRPr="00467C05">
        <w:rPr>
          <w:lang w:val="es-ES"/>
        </w:rPr>
        <w:t xml:space="preserve"> Nigeria </w:t>
      </w:r>
      <w:r w:rsidR="001C1253" w:rsidRPr="00467C05">
        <w:rPr>
          <w:lang w:val="es-ES"/>
        </w:rPr>
        <w:t>con seis</w:t>
      </w:r>
      <w:r w:rsidR="00417D8C" w:rsidRPr="00467C05">
        <w:rPr>
          <w:lang w:val="es-ES"/>
        </w:rPr>
        <w:t xml:space="preserve"> (6) </w:t>
      </w:r>
      <w:r w:rsidR="00683A80" w:rsidRPr="00467C05">
        <w:rPr>
          <w:lang w:val="es-ES"/>
        </w:rPr>
        <w:t>Vicepresidentes del GTC-RHF</w:t>
      </w:r>
      <w:bookmarkEnd w:id="85"/>
      <w:r w:rsidR="00577A7D">
        <w:rPr>
          <w:lang w:val="es-ES"/>
        </w:rPr>
        <w:t>.</w:t>
      </w:r>
    </w:p>
    <w:p w14:paraId="3A6A2400" w14:textId="23A18294" w:rsidR="00417D8C" w:rsidRPr="00467C05" w:rsidRDefault="007D1296" w:rsidP="007D1296">
      <w:pPr>
        <w:pStyle w:val="enumlev1"/>
        <w:rPr>
          <w:lang w:val="es-ES"/>
        </w:rPr>
      </w:pPr>
      <w:bookmarkStart w:id="86" w:name="lt_pId175"/>
      <w:r w:rsidRPr="007D1296">
        <w:rPr>
          <w:lang w:val="es-ES"/>
        </w:rPr>
        <w:t>•</w:t>
      </w:r>
      <w:r>
        <w:rPr>
          <w:lang w:val="es-ES"/>
        </w:rPr>
        <w:tab/>
      </w:r>
      <w:r w:rsidR="00577A7D">
        <w:rPr>
          <w:lang w:val="es-ES"/>
        </w:rPr>
        <w:t>E</w:t>
      </w:r>
      <w:r w:rsidR="00577A7D" w:rsidRPr="00467C05">
        <w:rPr>
          <w:lang w:val="es-ES"/>
        </w:rPr>
        <w:t xml:space="preserve">l </w:t>
      </w:r>
      <w:r w:rsidR="00683A80" w:rsidRPr="00467C05">
        <w:rPr>
          <w:lang w:val="es-ES"/>
        </w:rPr>
        <w:t xml:space="preserve">Grupo </w:t>
      </w:r>
      <w:r w:rsidR="00683A80" w:rsidRPr="007D1296">
        <w:rPr>
          <w:i/>
          <w:iCs/>
          <w:lang w:val="es-ES"/>
        </w:rPr>
        <w:t>ad hoc</w:t>
      </w:r>
      <w:r w:rsidR="00683A80" w:rsidRPr="00467C05">
        <w:rPr>
          <w:lang w:val="es-ES"/>
        </w:rPr>
        <w:t xml:space="preserve"> está abierto a todos los Estados Miembros y Miembros de Sector</w:t>
      </w:r>
      <w:bookmarkEnd w:id="86"/>
      <w:r w:rsidR="00577A7D">
        <w:rPr>
          <w:lang w:val="es-ES"/>
        </w:rPr>
        <w:t>.</w:t>
      </w:r>
    </w:p>
    <w:p w14:paraId="14F3D591" w14:textId="56B5072B" w:rsidR="00417D8C" w:rsidRPr="00467C05" w:rsidRDefault="007D1296" w:rsidP="007D1296">
      <w:pPr>
        <w:pStyle w:val="enumlev1"/>
        <w:rPr>
          <w:lang w:val="es-ES"/>
        </w:rPr>
      </w:pPr>
      <w:bookmarkStart w:id="87" w:name="lt_pId176"/>
      <w:r w:rsidRPr="007D1296">
        <w:rPr>
          <w:lang w:val="es-ES"/>
        </w:rPr>
        <w:t>•</w:t>
      </w:r>
      <w:r>
        <w:rPr>
          <w:lang w:val="es-ES"/>
        </w:rPr>
        <w:tab/>
      </w:r>
      <w:r w:rsidR="00577A7D">
        <w:rPr>
          <w:lang w:val="es-ES"/>
        </w:rPr>
        <w:t>E</w:t>
      </w:r>
      <w:r w:rsidR="00577A7D" w:rsidRPr="00467C05">
        <w:rPr>
          <w:lang w:val="es-ES"/>
        </w:rPr>
        <w:t xml:space="preserve">l </w:t>
      </w:r>
      <w:r w:rsidR="00683A80" w:rsidRPr="00467C05">
        <w:rPr>
          <w:lang w:val="es-ES"/>
        </w:rPr>
        <w:t xml:space="preserve">Grupo </w:t>
      </w:r>
      <w:r w:rsidR="00683A80" w:rsidRPr="007D1296">
        <w:rPr>
          <w:i/>
          <w:iCs/>
          <w:lang w:val="es-ES"/>
        </w:rPr>
        <w:t>ad hoc</w:t>
      </w:r>
      <w:r w:rsidR="00683A80" w:rsidRPr="00467C05">
        <w:rPr>
          <w:lang w:val="es-ES"/>
        </w:rPr>
        <w:t xml:space="preserve"> desarrollará su actividad por medios y métodos electrónicos</w:t>
      </w:r>
      <w:r w:rsidR="00417D8C" w:rsidRPr="00467C05">
        <w:rPr>
          <w:lang w:val="es-ES"/>
        </w:rPr>
        <w:t>.</w:t>
      </w:r>
      <w:bookmarkEnd w:id="87"/>
    </w:p>
    <w:p w14:paraId="5B96D749" w14:textId="77777777" w:rsidR="007D1296" w:rsidRDefault="00417D8C" w:rsidP="007D1296">
      <w:pPr>
        <w:rPr>
          <w:lang w:val="es-ES" w:eastAsia="en-AU"/>
        </w:rPr>
      </w:pPr>
      <w:r w:rsidRPr="00467C05">
        <w:rPr>
          <w:lang w:val="es-ES" w:eastAsia="en-AU"/>
        </w:rPr>
        <w:t>2.8</w:t>
      </w:r>
      <w:r w:rsidRPr="00467C05">
        <w:rPr>
          <w:lang w:val="es-ES" w:eastAsia="en-AU"/>
        </w:rPr>
        <w:tab/>
      </w:r>
      <w:bookmarkStart w:id="88" w:name="lt_pId178"/>
      <w:r w:rsidR="00683A80" w:rsidRPr="00467C05">
        <w:rPr>
          <w:lang w:val="es-ES" w:eastAsia="en-AU"/>
        </w:rPr>
        <w:t xml:space="preserve">El Informe del Grupo </w:t>
      </w:r>
      <w:r w:rsidR="00683A80" w:rsidRPr="007D1296">
        <w:rPr>
          <w:i/>
          <w:iCs/>
          <w:lang w:val="es-ES" w:eastAsia="en-AU"/>
        </w:rPr>
        <w:t>ad hoc</w:t>
      </w:r>
      <w:r w:rsidR="00683A80" w:rsidRPr="00467C05">
        <w:rPr>
          <w:lang w:val="es-ES" w:eastAsia="en-AU"/>
        </w:rPr>
        <w:t xml:space="preserve"> </w:t>
      </w:r>
      <w:r w:rsidR="000F1B89" w:rsidRPr="00467C05">
        <w:rPr>
          <w:lang w:val="es-ES" w:eastAsia="en-AU"/>
        </w:rPr>
        <w:t xml:space="preserve">está incluido como Addéndum al presente Informe (véase el Addéndum 1 al </w:t>
      </w:r>
      <w:r w:rsidRPr="00467C05">
        <w:rPr>
          <w:lang w:val="es-ES" w:eastAsia="en-AU"/>
        </w:rPr>
        <w:t>Document</w:t>
      </w:r>
      <w:r w:rsidR="000F1B89" w:rsidRPr="00467C05">
        <w:rPr>
          <w:lang w:val="es-ES" w:eastAsia="en-AU"/>
        </w:rPr>
        <w:t>o</w:t>
      </w:r>
      <w:r w:rsidRPr="00467C05">
        <w:rPr>
          <w:lang w:val="es-ES" w:eastAsia="en-AU"/>
        </w:rPr>
        <w:t xml:space="preserve"> C21/50).</w:t>
      </w:r>
      <w:bookmarkEnd w:id="88"/>
    </w:p>
    <w:p w14:paraId="753D011B" w14:textId="798C9792" w:rsidR="00417D8C" w:rsidRPr="00467C05" w:rsidRDefault="00417D8C" w:rsidP="00E0333B">
      <w:pPr>
        <w:pStyle w:val="Heading1"/>
        <w:rPr>
          <w:lang w:val="es-ES"/>
        </w:rPr>
      </w:pPr>
      <w:r w:rsidRPr="00B325B9">
        <w:rPr>
          <w:lang w:val="es-ES"/>
        </w:rPr>
        <w:t>3</w:t>
      </w:r>
      <w:r w:rsidRPr="00B325B9">
        <w:rPr>
          <w:lang w:val="es-ES"/>
        </w:rPr>
        <w:tab/>
      </w:r>
      <w:r w:rsidR="000F1B89" w:rsidRPr="00B325B9">
        <w:rPr>
          <w:lang w:val="es-ES"/>
        </w:rPr>
        <w:t>Recursos humanos</w:t>
      </w:r>
    </w:p>
    <w:p w14:paraId="4060571A" w14:textId="6E4F1329" w:rsidR="00417D8C" w:rsidRPr="00467C05" w:rsidRDefault="000F1B89" w:rsidP="004D1648">
      <w:pPr>
        <w:pStyle w:val="Headingb"/>
        <w:rPr>
          <w:lang w:val="es-ES"/>
        </w:rPr>
      </w:pPr>
      <w:bookmarkStart w:id="89" w:name="lt_pId181"/>
      <w:r w:rsidRPr="00467C05">
        <w:rPr>
          <w:lang w:val="es-ES"/>
        </w:rPr>
        <w:t xml:space="preserve">Informes y estadísticas </w:t>
      </w:r>
      <w:r w:rsidR="00417D8C" w:rsidRPr="00467C05">
        <w:rPr>
          <w:lang w:val="es-ES"/>
        </w:rPr>
        <w:t xml:space="preserve">– </w:t>
      </w:r>
      <w:r w:rsidR="00577A7D" w:rsidRPr="00467C05">
        <w:rPr>
          <w:lang w:val="es-ES"/>
        </w:rPr>
        <w:t xml:space="preserve">Actualizado </w:t>
      </w:r>
      <w:r w:rsidRPr="00467C05">
        <w:rPr>
          <w:lang w:val="es-ES"/>
        </w:rPr>
        <w:t>al</w:t>
      </w:r>
      <w:r w:rsidR="00417D8C" w:rsidRPr="00467C05">
        <w:rPr>
          <w:lang w:val="es-ES"/>
        </w:rPr>
        <w:t xml:space="preserve"> 31 </w:t>
      </w:r>
      <w:r w:rsidRPr="00467C05">
        <w:rPr>
          <w:lang w:val="es-ES"/>
        </w:rPr>
        <w:t>de diciembre de</w:t>
      </w:r>
      <w:r w:rsidR="00417D8C" w:rsidRPr="00467C05">
        <w:rPr>
          <w:lang w:val="es-ES"/>
        </w:rPr>
        <w:t xml:space="preserve"> 2019 (Document</w:t>
      </w:r>
      <w:r w:rsidRPr="00467C05">
        <w:rPr>
          <w:lang w:val="es-ES"/>
        </w:rPr>
        <w:t>o</w:t>
      </w:r>
      <w:r w:rsidR="00D74DC0">
        <w:rPr>
          <w:lang w:val="es-ES"/>
        </w:rPr>
        <w:t> </w:t>
      </w:r>
      <w:hyperlink r:id="rId20" w:history="1">
        <w:r w:rsidR="00417D8C" w:rsidRPr="00467C05">
          <w:rPr>
            <w:rStyle w:val="Hyperlink"/>
            <w:rFonts w:asciiTheme="minorHAnsi" w:hAnsiTheme="minorHAnsi" w:cstheme="minorHAnsi"/>
            <w:bCs/>
            <w:lang w:val="es-ES"/>
          </w:rPr>
          <w:t>CWG</w:t>
        </w:r>
        <w:r w:rsidR="00D74DC0">
          <w:rPr>
            <w:rStyle w:val="Hyperlink"/>
            <w:rFonts w:asciiTheme="minorHAnsi" w:hAnsiTheme="minorHAnsi" w:cstheme="minorHAnsi"/>
            <w:bCs/>
            <w:lang w:val="es-ES"/>
          </w:rPr>
          <w:noBreakHyphen/>
        </w:r>
        <w:r w:rsidR="00417D8C" w:rsidRPr="00467C05">
          <w:rPr>
            <w:rStyle w:val="Hyperlink"/>
            <w:rFonts w:asciiTheme="minorHAnsi" w:hAnsiTheme="minorHAnsi" w:cstheme="minorHAnsi"/>
            <w:bCs/>
            <w:lang w:val="es-ES"/>
          </w:rPr>
          <w:t>FHR</w:t>
        </w:r>
        <w:r w:rsidR="00D74DC0">
          <w:rPr>
            <w:rStyle w:val="Hyperlink"/>
            <w:rFonts w:asciiTheme="minorHAnsi" w:hAnsiTheme="minorHAnsi" w:cstheme="minorHAnsi"/>
            <w:bCs/>
            <w:lang w:val="es-ES"/>
          </w:rPr>
          <w:noBreakHyphen/>
        </w:r>
        <w:r w:rsidR="00417D8C" w:rsidRPr="00467C05">
          <w:rPr>
            <w:rStyle w:val="Hyperlink"/>
            <w:rFonts w:asciiTheme="minorHAnsi" w:hAnsiTheme="minorHAnsi" w:cstheme="minorHAnsi"/>
            <w:bCs/>
            <w:lang w:val="es-ES"/>
          </w:rPr>
          <w:t>12/13</w:t>
        </w:r>
      </w:hyperlink>
      <w:r w:rsidR="00417D8C" w:rsidRPr="00D74DC0">
        <w:t>)</w:t>
      </w:r>
      <w:bookmarkEnd w:id="89"/>
    </w:p>
    <w:p w14:paraId="4AFA68AC" w14:textId="33DB1C0A" w:rsidR="000F1B89" w:rsidRPr="00467C05" w:rsidRDefault="00417D8C" w:rsidP="00E0333B">
      <w:pPr>
        <w:rPr>
          <w:lang w:val="es-ES"/>
        </w:rPr>
      </w:pPr>
      <w:r w:rsidRPr="00467C05">
        <w:rPr>
          <w:lang w:val="es-ES"/>
        </w:rPr>
        <w:t>3.1</w:t>
      </w:r>
      <w:r w:rsidRPr="00467C05">
        <w:rPr>
          <w:lang w:val="es-ES"/>
        </w:rPr>
        <w:tab/>
      </w:r>
      <w:bookmarkStart w:id="90" w:name="lt_pId183"/>
      <w:r w:rsidR="000F1B89" w:rsidRPr="00467C05">
        <w:rPr>
          <w:lang w:val="es-ES"/>
        </w:rPr>
        <w:t xml:space="preserve">La Secretaría explicó que todavía </w:t>
      </w:r>
      <w:r w:rsidR="00C81F7A">
        <w:rPr>
          <w:lang w:val="es-ES"/>
        </w:rPr>
        <w:t>estaban por publicar l</w:t>
      </w:r>
      <w:r w:rsidR="000F1B89" w:rsidRPr="00467C05">
        <w:rPr>
          <w:lang w:val="es-ES"/>
        </w:rPr>
        <w:t>os datos de 2019 debido a cambios de prioridad y el Departamento de Gestión de Recursos Humanos (HRDM) proporciona</w:t>
      </w:r>
      <w:r w:rsidR="00C81F7A">
        <w:rPr>
          <w:lang w:val="es-ES"/>
        </w:rPr>
        <w:t>rá</w:t>
      </w:r>
      <w:r w:rsidR="000F1B89" w:rsidRPr="00467C05">
        <w:rPr>
          <w:lang w:val="es-ES"/>
        </w:rPr>
        <w:t xml:space="preserve"> los datos de 2020 en la reunión de junio de 2021 del Consejo.</w:t>
      </w:r>
    </w:p>
    <w:bookmarkEnd w:id="90"/>
    <w:p w14:paraId="038E5B5D" w14:textId="0BADFE0E" w:rsidR="000F1B89" w:rsidRPr="00467C05" w:rsidRDefault="00417D8C" w:rsidP="00E0333B">
      <w:pPr>
        <w:rPr>
          <w:lang w:val="es-ES"/>
        </w:rPr>
      </w:pPr>
      <w:r w:rsidRPr="00467C05">
        <w:rPr>
          <w:lang w:val="es-ES"/>
        </w:rPr>
        <w:t>3.2</w:t>
      </w:r>
      <w:r w:rsidRPr="00467C05">
        <w:rPr>
          <w:lang w:val="es-ES"/>
        </w:rPr>
        <w:tab/>
      </w:r>
      <w:bookmarkStart w:id="91" w:name="lt_pId185"/>
      <w:r w:rsidR="000F1B89" w:rsidRPr="00467C05">
        <w:rPr>
          <w:lang w:val="es-ES"/>
        </w:rPr>
        <w:t xml:space="preserve">El </w:t>
      </w:r>
      <w:r w:rsidR="004B6810">
        <w:rPr>
          <w:lang w:val="es-ES"/>
        </w:rPr>
        <w:t>i</w:t>
      </w:r>
      <w:r w:rsidR="000F1B89" w:rsidRPr="00467C05">
        <w:rPr>
          <w:lang w:val="es-ES"/>
        </w:rPr>
        <w:t xml:space="preserve">nforme actualizado proporcionará las </w:t>
      </w:r>
      <w:r w:rsidR="007660D8" w:rsidRPr="00467C05">
        <w:rPr>
          <w:lang w:val="es-ES"/>
        </w:rPr>
        <w:t>tendencias</w:t>
      </w:r>
      <w:r w:rsidR="000F1B89" w:rsidRPr="00467C05">
        <w:rPr>
          <w:lang w:val="es-ES"/>
        </w:rPr>
        <w:t xml:space="preserve"> </w:t>
      </w:r>
      <w:r w:rsidR="00C81F7A">
        <w:rPr>
          <w:lang w:val="es-ES"/>
        </w:rPr>
        <w:t>actuales</w:t>
      </w:r>
      <w:r w:rsidR="000F1B89" w:rsidRPr="00467C05">
        <w:rPr>
          <w:lang w:val="es-ES"/>
        </w:rPr>
        <w:t xml:space="preserve"> de los recursos humanos en diferentes cuadros, </w:t>
      </w:r>
      <w:r w:rsidR="007660D8" w:rsidRPr="00467C05">
        <w:rPr>
          <w:lang w:val="es-ES"/>
        </w:rPr>
        <w:t>con información importante como la plantilla por Sector, grado, nacionalidad, género, jubilaciones, etc.</w:t>
      </w:r>
    </w:p>
    <w:bookmarkEnd w:id="91"/>
    <w:p w14:paraId="0753C034" w14:textId="77777777" w:rsidR="00417D8C" w:rsidRPr="00467C05" w:rsidRDefault="00417D8C" w:rsidP="00E0333B">
      <w:pPr>
        <w:rPr>
          <w:rFonts w:eastAsia="Calibri"/>
          <w:lang w:val="es-ES" w:eastAsia="en-GB"/>
        </w:rPr>
      </w:pPr>
      <w:r w:rsidRPr="00467C05">
        <w:rPr>
          <w:lang w:val="es-ES"/>
        </w:rPr>
        <w:t>3.3</w:t>
      </w:r>
      <w:r w:rsidRPr="00467C05">
        <w:rPr>
          <w:lang w:val="es-ES"/>
        </w:rPr>
        <w:tab/>
      </w:r>
      <w:bookmarkStart w:id="92" w:name="lt_pId187"/>
      <w:r w:rsidR="007660D8" w:rsidRPr="00467C05">
        <w:rPr>
          <w:lang w:val="es-ES"/>
        </w:rPr>
        <w:t>Aunque la actualización de datos solo estará disponible en junio, puede ofrecerse un resumen de las principales tendencias</w:t>
      </w:r>
      <w:r w:rsidR="00C81F7A">
        <w:rPr>
          <w:lang w:val="es-ES"/>
        </w:rPr>
        <w:t xml:space="preserve"> de 2020</w:t>
      </w:r>
      <w:r w:rsidR="007660D8" w:rsidRPr="00467C05">
        <w:rPr>
          <w:lang w:val="es-ES"/>
        </w:rPr>
        <w:t xml:space="preserve"> </w:t>
      </w:r>
      <w:r w:rsidR="007660D8" w:rsidRPr="00467C05">
        <w:rPr>
          <w:rFonts w:eastAsia="Calibri"/>
          <w:lang w:val="es-ES" w:eastAsia="en-GB"/>
        </w:rPr>
        <w:t>con los siguientes puntos</w:t>
      </w:r>
      <w:r w:rsidRPr="00467C05">
        <w:rPr>
          <w:rFonts w:eastAsia="Calibri"/>
          <w:lang w:val="es-ES" w:eastAsia="en-GB"/>
        </w:rPr>
        <w:t>:</w:t>
      </w:r>
      <w:bookmarkEnd w:id="92"/>
    </w:p>
    <w:p w14:paraId="33012DF5" w14:textId="705B46F3" w:rsidR="00417D8C" w:rsidRPr="00E0333B" w:rsidRDefault="00417D8C" w:rsidP="00E0333B">
      <w:pPr>
        <w:pStyle w:val="enumlev1"/>
        <w:rPr>
          <w:lang w:val="es-ES"/>
        </w:rPr>
      </w:pPr>
      <w:bookmarkStart w:id="93" w:name="lt_pId188"/>
      <w:r w:rsidRPr="00E0333B">
        <w:rPr>
          <w:lang w:val="es-ES"/>
        </w:rPr>
        <w:t>a</w:t>
      </w:r>
      <w:bookmarkEnd w:id="93"/>
      <w:r w:rsidR="00E0333B">
        <w:rPr>
          <w:lang w:val="es-ES"/>
        </w:rPr>
        <w:t>)</w:t>
      </w:r>
      <w:r w:rsidRPr="00E0333B">
        <w:rPr>
          <w:lang w:val="es-ES"/>
        </w:rPr>
        <w:tab/>
      </w:r>
      <w:bookmarkStart w:id="94" w:name="lt_pId189"/>
      <w:r w:rsidR="007660D8" w:rsidRPr="00E0333B">
        <w:rPr>
          <w:lang w:val="es-ES"/>
        </w:rPr>
        <w:t>El total de empleados ha sido estable a lo largo de los años</w:t>
      </w:r>
      <w:r w:rsidRPr="00E0333B">
        <w:rPr>
          <w:lang w:val="es-ES"/>
        </w:rPr>
        <w:t xml:space="preserve"> (</w:t>
      </w:r>
      <w:r w:rsidR="00577A7D">
        <w:rPr>
          <w:lang w:val="es-ES"/>
        </w:rPr>
        <w:t>p</w:t>
      </w:r>
      <w:r w:rsidR="007660D8" w:rsidRPr="00E0333B">
        <w:rPr>
          <w:lang w:val="es-ES"/>
        </w:rPr>
        <w:t>lantilla total: 68</w:t>
      </w:r>
      <w:r w:rsidRPr="00E0333B">
        <w:rPr>
          <w:lang w:val="es-ES"/>
        </w:rPr>
        <w:t xml:space="preserve">4 </w:t>
      </w:r>
      <w:r w:rsidR="007660D8" w:rsidRPr="00E0333B">
        <w:rPr>
          <w:lang w:val="es-ES"/>
        </w:rPr>
        <w:t>e</w:t>
      </w:r>
      <w:r w:rsidRPr="00E0333B">
        <w:rPr>
          <w:lang w:val="es-ES"/>
        </w:rPr>
        <w:t xml:space="preserve">n 2019 </w:t>
      </w:r>
      <w:r w:rsidR="007660D8" w:rsidRPr="00E0333B">
        <w:rPr>
          <w:lang w:val="es-ES"/>
        </w:rPr>
        <w:t>y</w:t>
      </w:r>
      <w:r w:rsidRPr="00E0333B">
        <w:rPr>
          <w:lang w:val="es-ES"/>
        </w:rPr>
        <w:t xml:space="preserve"> 691</w:t>
      </w:r>
      <w:bookmarkEnd w:id="94"/>
      <w:r w:rsidR="007660D8" w:rsidRPr="00E0333B">
        <w:rPr>
          <w:lang w:val="es-ES"/>
        </w:rPr>
        <w:t xml:space="preserve"> en</w:t>
      </w:r>
      <w:bookmarkStart w:id="95" w:name="lt_pId190"/>
      <w:r w:rsidR="00577A7D">
        <w:rPr>
          <w:lang w:val="es-ES"/>
        </w:rPr>
        <w:t xml:space="preserve"> </w:t>
      </w:r>
      <w:r w:rsidRPr="00E0333B">
        <w:rPr>
          <w:lang w:val="es-ES"/>
        </w:rPr>
        <w:t>2020).</w:t>
      </w:r>
      <w:bookmarkEnd w:id="95"/>
    </w:p>
    <w:p w14:paraId="4F4CEA24" w14:textId="25D3C9A8" w:rsidR="00A85AB5" w:rsidRPr="00E0333B" w:rsidRDefault="00417D8C" w:rsidP="00E0333B">
      <w:pPr>
        <w:pStyle w:val="enumlev1"/>
        <w:rPr>
          <w:lang w:val="es-ES"/>
        </w:rPr>
      </w:pPr>
      <w:bookmarkStart w:id="96" w:name="lt_pId191"/>
      <w:r w:rsidRPr="00E0333B">
        <w:rPr>
          <w:lang w:val="es-ES"/>
        </w:rPr>
        <w:t>b</w:t>
      </w:r>
      <w:bookmarkEnd w:id="96"/>
      <w:r w:rsidR="00E0333B">
        <w:rPr>
          <w:lang w:val="es-ES"/>
        </w:rPr>
        <w:t>)</w:t>
      </w:r>
      <w:r w:rsidRPr="00E0333B">
        <w:rPr>
          <w:lang w:val="es-ES"/>
        </w:rPr>
        <w:tab/>
      </w:r>
      <w:bookmarkStart w:id="97" w:name="lt_pId192"/>
      <w:r w:rsidR="00D74DC0">
        <w:rPr>
          <w:lang w:val="es-ES"/>
        </w:rPr>
        <w:t>E</w:t>
      </w:r>
      <w:r w:rsidRPr="00E0333B">
        <w:rPr>
          <w:lang w:val="es-ES"/>
        </w:rPr>
        <w:t xml:space="preserve">n 2012, </w:t>
      </w:r>
      <w:r w:rsidR="007660D8" w:rsidRPr="00E0333B">
        <w:rPr>
          <w:lang w:val="es-ES"/>
        </w:rPr>
        <w:t xml:space="preserve">existía un reparto </w:t>
      </w:r>
      <w:r w:rsidR="00A85AB5" w:rsidRPr="00E0333B">
        <w:rPr>
          <w:lang w:val="es-ES"/>
        </w:rPr>
        <w:t>equilibrado</w:t>
      </w:r>
      <w:r w:rsidR="007660D8" w:rsidRPr="00E0333B">
        <w:rPr>
          <w:lang w:val="es-ES"/>
        </w:rPr>
        <w:t xml:space="preserve"> entre </w:t>
      </w:r>
      <w:r w:rsidR="00A85AB5" w:rsidRPr="00E0333B">
        <w:rPr>
          <w:lang w:val="es-ES"/>
        </w:rPr>
        <w:t>el personal de categoría profesional y superior y el personal de categoría de servicios generales, y desde 2012 se ha producido una reducción de personal de categoría de servicios generales y un aumento del personal de categoría profesional y superior. Esta tendencia se mantiene: en 2020, un 59 por ciento era personal de categoría profesional y superior</w:t>
      </w:r>
      <w:r w:rsidR="00C81F7A" w:rsidRPr="00E0333B">
        <w:rPr>
          <w:lang w:val="es-ES"/>
        </w:rPr>
        <w:t>,</w:t>
      </w:r>
      <w:r w:rsidR="00A85AB5" w:rsidRPr="00E0333B">
        <w:rPr>
          <w:lang w:val="es-ES"/>
        </w:rPr>
        <w:t xml:space="preserve"> frente a un 58 por ciento en 2019.</w:t>
      </w:r>
    </w:p>
    <w:p w14:paraId="54BF549F" w14:textId="763B13CA" w:rsidR="00A85AB5" w:rsidRPr="00E0333B" w:rsidRDefault="00417D8C" w:rsidP="00E0333B">
      <w:pPr>
        <w:pStyle w:val="enumlev1"/>
        <w:rPr>
          <w:lang w:val="es-ES"/>
        </w:rPr>
      </w:pPr>
      <w:bookmarkStart w:id="98" w:name="lt_pId194"/>
      <w:bookmarkEnd w:id="97"/>
      <w:r w:rsidRPr="00E0333B">
        <w:rPr>
          <w:lang w:val="es-ES"/>
        </w:rPr>
        <w:t>c</w:t>
      </w:r>
      <w:bookmarkEnd w:id="98"/>
      <w:r w:rsidR="00E0333B">
        <w:rPr>
          <w:lang w:val="es-ES"/>
        </w:rPr>
        <w:t>)</w:t>
      </w:r>
      <w:r w:rsidRPr="00E0333B">
        <w:rPr>
          <w:lang w:val="es-ES"/>
        </w:rPr>
        <w:tab/>
      </w:r>
      <w:bookmarkStart w:id="99" w:name="lt_pId195"/>
      <w:r w:rsidR="00A85AB5" w:rsidRPr="00E0333B">
        <w:rPr>
          <w:lang w:val="es-ES"/>
        </w:rPr>
        <w:t xml:space="preserve">Hay </w:t>
      </w:r>
      <w:r w:rsidR="00C81F7A" w:rsidRPr="00E0333B">
        <w:rPr>
          <w:lang w:val="es-ES"/>
        </w:rPr>
        <w:t xml:space="preserve">un </w:t>
      </w:r>
      <w:r w:rsidR="00A85AB5" w:rsidRPr="00E0333B">
        <w:rPr>
          <w:lang w:val="es-ES"/>
        </w:rPr>
        <w:t>53 por ciento de mujeres en la UIT, con 69,3 por ciento en la categoría de servicios generales y solo 40,7 por ciento de mujeres en la categor</w:t>
      </w:r>
      <w:r w:rsidR="00A31622" w:rsidRPr="00E0333B">
        <w:rPr>
          <w:lang w:val="es-ES"/>
        </w:rPr>
        <w:t>ía profesional y superior. Son necesarios, por tanto, más esfuerzos para atraer mujeres a las vacantes de la categoría profesional y superior y hombre</w:t>
      </w:r>
      <w:r w:rsidR="00B325B9">
        <w:rPr>
          <w:lang w:val="es-ES"/>
        </w:rPr>
        <w:t>s</w:t>
      </w:r>
      <w:r w:rsidR="00A31622" w:rsidRPr="00E0333B">
        <w:rPr>
          <w:lang w:val="es-ES"/>
        </w:rPr>
        <w:t xml:space="preserve"> a la categoría de servicios generales.</w:t>
      </w:r>
    </w:p>
    <w:p w14:paraId="4B1E4708" w14:textId="2019D127" w:rsidR="00417D8C" w:rsidRPr="00E0333B" w:rsidRDefault="00417D8C" w:rsidP="00E0333B">
      <w:pPr>
        <w:pStyle w:val="enumlev1"/>
        <w:rPr>
          <w:lang w:val="es-ES"/>
        </w:rPr>
      </w:pPr>
      <w:bookmarkStart w:id="100" w:name="lt_pId196"/>
      <w:bookmarkEnd w:id="99"/>
      <w:r w:rsidRPr="00E0333B">
        <w:rPr>
          <w:lang w:val="es-ES"/>
        </w:rPr>
        <w:t>d</w:t>
      </w:r>
      <w:bookmarkEnd w:id="100"/>
      <w:r w:rsidR="00E0333B">
        <w:rPr>
          <w:lang w:val="es-ES"/>
        </w:rPr>
        <w:t>)</w:t>
      </w:r>
      <w:r w:rsidRPr="00E0333B">
        <w:rPr>
          <w:lang w:val="es-ES"/>
        </w:rPr>
        <w:tab/>
      </w:r>
      <w:bookmarkStart w:id="101" w:name="lt_pId197"/>
      <w:r w:rsidR="00A31622" w:rsidRPr="00E0333B">
        <w:rPr>
          <w:lang w:val="es-ES"/>
        </w:rPr>
        <w:t xml:space="preserve">El </w:t>
      </w:r>
      <w:r w:rsidRPr="00E0333B">
        <w:rPr>
          <w:lang w:val="es-ES"/>
        </w:rPr>
        <w:t xml:space="preserve">40 </w:t>
      </w:r>
      <w:r w:rsidR="00A31622" w:rsidRPr="00E0333B">
        <w:rPr>
          <w:lang w:val="es-ES"/>
        </w:rPr>
        <w:t>por ciento de los empleados se encuentra en el rango de 50 a 59 años</w:t>
      </w:r>
      <w:r w:rsidRPr="00E0333B">
        <w:rPr>
          <w:lang w:val="es-ES"/>
        </w:rPr>
        <w:t>.</w:t>
      </w:r>
      <w:bookmarkEnd w:id="101"/>
    </w:p>
    <w:p w14:paraId="6397CDA1" w14:textId="6284C183" w:rsidR="00417D8C" w:rsidRPr="00E0333B" w:rsidRDefault="00417D8C" w:rsidP="00E0333B">
      <w:pPr>
        <w:pStyle w:val="enumlev1"/>
        <w:rPr>
          <w:lang w:val="es-ES"/>
        </w:rPr>
      </w:pPr>
      <w:bookmarkStart w:id="102" w:name="lt_pId198"/>
      <w:r w:rsidRPr="00E0333B">
        <w:rPr>
          <w:lang w:val="es-ES"/>
        </w:rPr>
        <w:t>e</w:t>
      </w:r>
      <w:bookmarkEnd w:id="102"/>
      <w:r w:rsidR="00E0333B">
        <w:rPr>
          <w:lang w:val="es-ES"/>
        </w:rPr>
        <w:t>)</w:t>
      </w:r>
      <w:r w:rsidRPr="00E0333B">
        <w:rPr>
          <w:lang w:val="es-ES"/>
        </w:rPr>
        <w:tab/>
      </w:r>
      <w:bookmarkStart w:id="103" w:name="lt_pId199"/>
      <w:r w:rsidR="00A31622" w:rsidRPr="00E0333B">
        <w:rPr>
          <w:lang w:val="es-ES"/>
        </w:rPr>
        <w:t>En cuanto a las jubilaciones, en los próximos cinco años, entre 2021 y 2025, se prevé que se jubilarán 124 empleados de la UIT.</w:t>
      </w:r>
      <w:bookmarkEnd w:id="103"/>
    </w:p>
    <w:p w14:paraId="51B87D84" w14:textId="7B20F0CA" w:rsidR="00417D8C" w:rsidRPr="004D1648" w:rsidRDefault="00A31622" w:rsidP="000A5A9F">
      <w:pPr>
        <w:pStyle w:val="Headingb"/>
        <w:ind w:left="0" w:firstLine="0"/>
        <w:rPr>
          <w:lang w:val="es-ES"/>
        </w:rPr>
      </w:pPr>
      <w:r w:rsidRPr="004D1648">
        <w:rPr>
          <w:lang w:val="es-ES"/>
        </w:rPr>
        <w:t>E</w:t>
      </w:r>
      <w:r w:rsidR="00417D8C" w:rsidRPr="004D1648">
        <w:rPr>
          <w:lang w:val="es-ES"/>
        </w:rPr>
        <w:t>strategia relativa a las condiciones de trabajo</w:t>
      </w:r>
      <w:r w:rsidR="00C70502" w:rsidRPr="004D1648">
        <w:rPr>
          <w:lang w:val="es-ES"/>
        </w:rPr>
        <w:t xml:space="preserve"> del</w:t>
      </w:r>
      <w:r w:rsidR="00417D8C" w:rsidRPr="004D1648">
        <w:rPr>
          <w:lang w:val="es-ES"/>
        </w:rPr>
        <w:t xml:space="preserve"> personal y plan de ejecución</w:t>
      </w:r>
      <w:r w:rsidR="00C81F7A" w:rsidRPr="004D1648">
        <w:rPr>
          <w:lang w:val="es-ES"/>
        </w:rPr>
        <w:t xml:space="preserve"> (</w:t>
      </w:r>
      <w:r w:rsidR="00E12B7D" w:rsidRPr="004D1648">
        <w:rPr>
          <w:lang w:val="es-ES"/>
        </w:rPr>
        <w:t>presentación</w:t>
      </w:r>
      <w:r w:rsidR="000A5A9F">
        <w:rPr>
          <w:lang w:val="es-ES"/>
        </w:rPr>
        <w:t> </w:t>
      </w:r>
      <w:r w:rsidR="00E12B7D" w:rsidRPr="004D1648">
        <w:rPr>
          <w:lang w:val="es-ES"/>
        </w:rPr>
        <w:t>verbal</w:t>
      </w:r>
      <w:r w:rsidR="00C81F7A" w:rsidRPr="004D1648">
        <w:rPr>
          <w:lang w:val="es-ES"/>
        </w:rPr>
        <w:t>)</w:t>
      </w:r>
    </w:p>
    <w:p w14:paraId="2DB41D9A" w14:textId="6E78426E" w:rsidR="00A31622" w:rsidRPr="00467C05" w:rsidRDefault="00417D8C" w:rsidP="00E5141E">
      <w:pPr>
        <w:rPr>
          <w:lang w:val="es-ES"/>
        </w:rPr>
      </w:pPr>
      <w:r w:rsidRPr="00467C05">
        <w:rPr>
          <w:lang w:val="es-ES"/>
        </w:rPr>
        <w:t>3.4</w:t>
      </w:r>
      <w:r w:rsidRPr="00467C05">
        <w:rPr>
          <w:lang w:val="es-ES"/>
        </w:rPr>
        <w:tab/>
      </w:r>
      <w:bookmarkStart w:id="104" w:name="lt_pId202"/>
      <w:r w:rsidR="00A31622" w:rsidRPr="00467C05">
        <w:rPr>
          <w:lang w:val="es-ES"/>
        </w:rPr>
        <w:t xml:space="preserve">El </w:t>
      </w:r>
      <w:r w:rsidRPr="00467C05">
        <w:rPr>
          <w:lang w:val="es-ES"/>
        </w:rPr>
        <w:t>Document</w:t>
      </w:r>
      <w:r w:rsidR="00A31622" w:rsidRPr="00467C05">
        <w:rPr>
          <w:lang w:val="es-ES"/>
        </w:rPr>
        <w:t xml:space="preserve">o </w:t>
      </w:r>
      <w:hyperlink r:id="rId21" w:history="1">
        <w:r w:rsidRPr="00467C05">
          <w:rPr>
            <w:rStyle w:val="Hyperlink"/>
            <w:lang w:val="es-ES"/>
          </w:rPr>
          <w:t>C20/INF/13</w:t>
        </w:r>
      </w:hyperlink>
      <w:r w:rsidRPr="00467C05">
        <w:rPr>
          <w:lang w:val="es-ES"/>
        </w:rPr>
        <w:t xml:space="preserve"> </w:t>
      </w:r>
      <w:r w:rsidR="00A31622" w:rsidRPr="00467C05">
        <w:rPr>
          <w:lang w:val="es-ES"/>
        </w:rPr>
        <w:t xml:space="preserve">se presentó en la última </w:t>
      </w:r>
      <w:r w:rsidR="00821920" w:rsidRPr="00467C05">
        <w:rPr>
          <w:lang w:val="es-ES"/>
        </w:rPr>
        <w:t>consulta virtual de los consejeros</w:t>
      </w:r>
      <w:r w:rsidRPr="00467C05">
        <w:rPr>
          <w:lang w:val="es-ES"/>
        </w:rPr>
        <w:t>.</w:t>
      </w:r>
      <w:bookmarkEnd w:id="104"/>
      <w:r w:rsidRPr="00467C05">
        <w:rPr>
          <w:lang w:val="es-ES"/>
        </w:rPr>
        <w:t xml:space="preserve"> </w:t>
      </w:r>
      <w:bookmarkStart w:id="105" w:name="_Hlk54256074"/>
      <w:r w:rsidR="00A31622" w:rsidRPr="00467C05">
        <w:rPr>
          <w:lang w:val="es-ES"/>
        </w:rPr>
        <w:t xml:space="preserve">En el documento, se </w:t>
      </w:r>
      <w:r w:rsidRPr="00467C05">
        <w:rPr>
          <w:lang w:val="es-ES"/>
        </w:rPr>
        <w:t>describ</w:t>
      </w:r>
      <w:r w:rsidR="00C81F7A">
        <w:rPr>
          <w:lang w:val="es-ES"/>
        </w:rPr>
        <w:t>e</w:t>
      </w:r>
      <w:r w:rsidRPr="00467C05">
        <w:rPr>
          <w:lang w:val="es-ES"/>
        </w:rPr>
        <w:t xml:space="preserve"> un proceso y las medidas subsiguientes para transformar las condiciones y </w:t>
      </w:r>
      <w:r w:rsidR="00C81F7A">
        <w:rPr>
          <w:lang w:val="es-ES"/>
        </w:rPr>
        <w:t xml:space="preserve">los </w:t>
      </w:r>
      <w:r w:rsidRPr="00467C05">
        <w:rPr>
          <w:lang w:val="es-ES"/>
        </w:rPr>
        <w:t xml:space="preserve">métodos de trabajo actuales de la </w:t>
      </w:r>
      <w:r w:rsidR="00C81F7A" w:rsidRPr="00467C05">
        <w:rPr>
          <w:lang w:val="es-ES"/>
        </w:rPr>
        <w:t xml:space="preserve">Sede </w:t>
      </w:r>
      <w:r w:rsidRPr="00467C05">
        <w:rPr>
          <w:lang w:val="es-ES"/>
        </w:rPr>
        <w:t xml:space="preserve">en prácticas contemporáneas, </w:t>
      </w:r>
      <w:bookmarkEnd w:id="105"/>
      <w:r w:rsidRPr="00467C05">
        <w:rPr>
          <w:lang w:val="es-ES"/>
        </w:rPr>
        <w:t xml:space="preserve">como preparación para el periodo intermedio y posterior en el nuevo edificio de la Sede de la UIT. </w:t>
      </w:r>
      <w:r w:rsidR="00A31622" w:rsidRPr="00467C05">
        <w:rPr>
          <w:lang w:val="es-ES"/>
        </w:rPr>
        <w:t xml:space="preserve">Este proceso está constituido por dos fases de reubicación del personal: la primera es la reubicación de los tres edificios actuales en la Torre y Montbrillant (finales de 2022). El segundo movimiento </w:t>
      </w:r>
      <w:r w:rsidR="00CB074B">
        <w:rPr>
          <w:lang w:val="es-ES"/>
        </w:rPr>
        <w:t>se producirá</w:t>
      </w:r>
      <w:r w:rsidR="00A31622" w:rsidRPr="00467C05">
        <w:rPr>
          <w:lang w:val="es-ES"/>
        </w:rPr>
        <w:t xml:space="preserve"> desde estos dos edificios hacia la nueva sede en 2026.</w:t>
      </w:r>
    </w:p>
    <w:p w14:paraId="71E05EF4" w14:textId="0496676A" w:rsidR="00C70502" w:rsidRPr="00467C05" w:rsidRDefault="00417D8C" w:rsidP="00E5141E">
      <w:pPr>
        <w:rPr>
          <w:lang w:val="es-ES"/>
        </w:rPr>
      </w:pPr>
      <w:r w:rsidRPr="00467C05">
        <w:rPr>
          <w:lang w:val="es-ES"/>
        </w:rPr>
        <w:lastRenderedPageBreak/>
        <w:t>3.5</w:t>
      </w:r>
      <w:r w:rsidRPr="00467C05">
        <w:rPr>
          <w:lang w:val="es-ES"/>
        </w:rPr>
        <w:tab/>
      </w:r>
      <w:bookmarkStart w:id="106" w:name="lt_pId207"/>
      <w:r w:rsidR="00C70502" w:rsidRPr="00467C05">
        <w:rPr>
          <w:lang w:val="es-ES"/>
        </w:rPr>
        <w:t>Se identificaron las prioridades mediante consultas realizadas en diferentes niveles</w:t>
      </w:r>
      <w:r w:rsidR="00C81F7A" w:rsidRPr="00C81F7A">
        <w:rPr>
          <w:lang w:val="es-ES"/>
        </w:rPr>
        <w:t xml:space="preserve"> </w:t>
      </w:r>
      <w:r w:rsidR="00C81F7A" w:rsidRPr="00467C05">
        <w:rPr>
          <w:lang w:val="es-ES"/>
        </w:rPr>
        <w:t>con el personal</w:t>
      </w:r>
      <w:r w:rsidR="00C70502" w:rsidRPr="00467C05">
        <w:rPr>
          <w:lang w:val="es-ES"/>
        </w:rPr>
        <w:t>. La estrategia y el plan están relacionad</w:t>
      </w:r>
      <w:r w:rsidR="00B325B9">
        <w:rPr>
          <w:lang w:val="es-ES"/>
        </w:rPr>
        <w:t>o</w:t>
      </w:r>
      <w:r w:rsidR="00C70502" w:rsidRPr="00467C05">
        <w:rPr>
          <w:lang w:val="es-ES"/>
        </w:rPr>
        <w:t xml:space="preserve">s con el punto 67 del </w:t>
      </w:r>
      <w:r w:rsidR="00BA1C01" w:rsidRPr="00467C05">
        <w:rPr>
          <w:lang w:val="es-ES"/>
        </w:rPr>
        <w:t>registro de riesgos</w:t>
      </w:r>
      <w:r w:rsidR="00C70502" w:rsidRPr="00467C05">
        <w:rPr>
          <w:lang w:val="es-ES"/>
        </w:rPr>
        <w:t xml:space="preserve"> y siguen las recomendaciones de la Dependencia Común de Inspección (DCI) relativas a la gestión del cambio. El Acuerdo 61</w:t>
      </w:r>
      <w:r w:rsidR="00CB074B">
        <w:rPr>
          <w:lang w:val="es-ES"/>
        </w:rPr>
        <w:t>9</w:t>
      </w:r>
      <w:r w:rsidR="00C70502" w:rsidRPr="00467C05">
        <w:rPr>
          <w:lang w:val="es-ES"/>
        </w:rPr>
        <w:t xml:space="preserve"> proporciona la asignación de los costes indirectos necesarios</w:t>
      </w:r>
      <w:r w:rsidR="00C81F7A">
        <w:rPr>
          <w:lang w:val="es-ES"/>
        </w:rPr>
        <w:t>,</w:t>
      </w:r>
      <w:r w:rsidR="00C70502" w:rsidRPr="00467C05">
        <w:rPr>
          <w:lang w:val="es-ES"/>
        </w:rPr>
        <w:t xml:space="preserve"> sin pago de financiación adicional</w:t>
      </w:r>
      <w:r w:rsidR="00C81F7A">
        <w:rPr>
          <w:lang w:val="es-ES"/>
        </w:rPr>
        <w:t>,</w:t>
      </w:r>
      <w:r w:rsidR="00C70502" w:rsidRPr="00467C05">
        <w:rPr>
          <w:lang w:val="es-ES"/>
        </w:rPr>
        <w:t xml:space="preserve"> para el análisis de los espacios de trabajo y las </w:t>
      </w:r>
      <w:r w:rsidR="00395E15" w:rsidRPr="00467C05">
        <w:rPr>
          <w:lang w:val="es-ES"/>
        </w:rPr>
        <w:t xml:space="preserve">consiguientes </w:t>
      </w:r>
      <w:r w:rsidR="00C70502" w:rsidRPr="00467C05">
        <w:rPr>
          <w:lang w:val="es-ES"/>
        </w:rPr>
        <w:t xml:space="preserve">prácticas </w:t>
      </w:r>
      <w:r w:rsidR="00395E15" w:rsidRPr="00467C05">
        <w:rPr>
          <w:lang w:val="es-ES"/>
        </w:rPr>
        <w:t>de gestión del cambio. En la actualidad, se ha finalizado un proceso de adquisición y se ha identificado una empresa consultora experta en estrategias de espacios de trabajo, el contrato se establecerá en las próximas semanas. Las cuestiones tratadas en la estrategia relativa a las condiciones de trabajo del personal y el plan de ejecución pueden tener repercusiones sobre el diseño del nuevo edificio y la asignación del espacio. La UIT mantendrá a los delegados informados de los avances realizados.</w:t>
      </w:r>
    </w:p>
    <w:bookmarkEnd w:id="106"/>
    <w:p w14:paraId="0843AC77" w14:textId="77777777" w:rsidR="00417D8C" w:rsidRPr="00467C05" w:rsidRDefault="00417D8C" w:rsidP="00E5141E">
      <w:pPr>
        <w:pStyle w:val="Heading1"/>
        <w:rPr>
          <w:lang w:val="es-ES"/>
        </w:rPr>
      </w:pPr>
      <w:r w:rsidRPr="000A1FBB">
        <w:rPr>
          <w:lang w:val="es-ES"/>
        </w:rPr>
        <w:t>4</w:t>
      </w:r>
      <w:r w:rsidRPr="000A1FBB">
        <w:rPr>
          <w:lang w:val="es-ES"/>
        </w:rPr>
        <w:tab/>
      </w:r>
      <w:r w:rsidR="00395E15" w:rsidRPr="000A1FBB">
        <w:rPr>
          <w:lang w:val="es-ES"/>
        </w:rPr>
        <w:t xml:space="preserve">Fraude </w:t>
      </w:r>
      <w:r w:rsidR="00383A87" w:rsidRPr="000A1FBB">
        <w:rPr>
          <w:lang w:val="es-ES"/>
        </w:rPr>
        <w:t xml:space="preserve">y asuntos conexos </w:t>
      </w:r>
      <w:r w:rsidR="00395E15" w:rsidRPr="000A1FBB">
        <w:rPr>
          <w:lang w:val="es-ES"/>
        </w:rPr>
        <w:t>(p</w:t>
      </w:r>
      <w:r w:rsidR="00383A87" w:rsidRPr="000A1FBB">
        <w:rPr>
          <w:lang w:val="es-ES"/>
        </w:rPr>
        <w:t>unto permanente del orden del día</w:t>
      </w:r>
      <w:r w:rsidR="00395E15" w:rsidRPr="000A1FBB">
        <w:rPr>
          <w:lang w:val="es-ES"/>
        </w:rPr>
        <w:t>)</w:t>
      </w:r>
    </w:p>
    <w:p w14:paraId="273BF50C" w14:textId="4524BE02" w:rsidR="00383A87" w:rsidRPr="00E12B7D" w:rsidRDefault="00383A87" w:rsidP="004D1648">
      <w:pPr>
        <w:pStyle w:val="Headingb"/>
        <w:rPr>
          <w:lang w:val="es-ES"/>
        </w:rPr>
      </w:pPr>
      <w:r w:rsidRPr="00467C05">
        <w:rPr>
          <w:lang w:val="es-ES"/>
        </w:rPr>
        <w:t>a</w:t>
      </w:r>
      <w:r w:rsidR="00D74DC0">
        <w:rPr>
          <w:lang w:val="es-ES"/>
        </w:rPr>
        <w:t>)</w:t>
      </w:r>
      <w:r w:rsidRPr="00467C05">
        <w:rPr>
          <w:lang w:val="es-ES"/>
        </w:rPr>
        <w:tab/>
      </w:r>
      <w:r w:rsidR="00DF1B18" w:rsidRPr="00E12B7D">
        <w:rPr>
          <w:lang w:val="es-ES"/>
        </w:rPr>
        <w:t xml:space="preserve">Informe </w:t>
      </w:r>
      <w:r w:rsidR="00C81F7A" w:rsidRPr="00E12B7D">
        <w:rPr>
          <w:lang w:val="es-ES"/>
        </w:rPr>
        <w:t xml:space="preserve">del </w:t>
      </w:r>
      <w:r w:rsidR="00DF1B18" w:rsidRPr="00E12B7D">
        <w:rPr>
          <w:lang w:val="es-ES"/>
        </w:rPr>
        <w:t xml:space="preserve">Grupo de Trabajo de la UIT encargado de los controles internos </w:t>
      </w:r>
      <w:r w:rsidRPr="00E12B7D">
        <w:rPr>
          <w:lang w:val="es-ES"/>
        </w:rPr>
        <w:t>(Document</w:t>
      </w:r>
      <w:r w:rsidR="00DF1B18" w:rsidRPr="00E12B7D">
        <w:rPr>
          <w:lang w:val="es-ES"/>
        </w:rPr>
        <w:t>o</w:t>
      </w:r>
      <w:r w:rsidRPr="00E12B7D">
        <w:rPr>
          <w:lang w:val="es-ES"/>
        </w:rPr>
        <w:t xml:space="preserve"> </w:t>
      </w:r>
      <w:hyperlink r:id="rId22" w:history="1">
        <w:r w:rsidRPr="00E12B7D">
          <w:rPr>
            <w:rStyle w:val="Hyperlink"/>
            <w:rFonts w:asciiTheme="minorHAnsi" w:hAnsiTheme="minorHAnsi"/>
            <w:bCs/>
          </w:rPr>
          <w:t>CWG-FHR-12/11</w:t>
        </w:r>
      </w:hyperlink>
      <w:r w:rsidRPr="00E12B7D">
        <w:rPr>
          <w:lang w:val="es-ES"/>
        </w:rPr>
        <w:t>)</w:t>
      </w:r>
    </w:p>
    <w:p w14:paraId="4234A074" w14:textId="11BC5A7C" w:rsidR="00395E15" w:rsidRPr="00467C05" w:rsidRDefault="00383A87" w:rsidP="00E5141E">
      <w:pPr>
        <w:rPr>
          <w:lang w:val="es-ES"/>
        </w:rPr>
      </w:pPr>
      <w:r w:rsidRPr="00467C05">
        <w:rPr>
          <w:lang w:val="es-ES"/>
        </w:rPr>
        <w:t>4.1</w:t>
      </w:r>
      <w:r w:rsidRPr="00467C05">
        <w:rPr>
          <w:lang w:val="es-ES"/>
        </w:rPr>
        <w:tab/>
      </w:r>
      <w:bookmarkStart w:id="107" w:name="lt_pId217"/>
      <w:r w:rsidR="00395E15" w:rsidRPr="00467C05">
        <w:rPr>
          <w:lang w:val="es-ES"/>
        </w:rPr>
        <w:t xml:space="preserve">La Directora de la BDT presentó el </w:t>
      </w:r>
      <w:r w:rsidRPr="00467C05">
        <w:rPr>
          <w:lang w:val="es-ES"/>
        </w:rPr>
        <w:t>Document</w:t>
      </w:r>
      <w:r w:rsidR="00395E15" w:rsidRPr="00467C05">
        <w:rPr>
          <w:lang w:val="es-ES"/>
        </w:rPr>
        <w:t>o</w:t>
      </w:r>
      <w:r w:rsidRPr="00467C05">
        <w:rPr>
          <w:lang w:val="es-ES"/>
        </w:rPr>
        <w:t xml:space="preserve"> CWG-FHR</w:t>
      </w:r>
      <w:r w:rsidR="000A1FBB">
        <w:rPr>
          <w:lang w:val="es-ES"/>
        </w:rPr>
        <w:t>-</w:t>
      </w:r>
      <w:r w:rsidRPr="00467C05">
        <w:rPr>
          <w:lang w:val="es-ES"/>
        </w:rPr>
        <w:t xml:space="preserve">12/11 </w:t>
      </w:r>
      <w:r w:rsidR="00395E15" w:rsidRPr="00467C05">
        <w:rPr>
          <w:lang w:val="es-ES"/>
        </w:rPr>
        <w:t>que contiene un resumen de las acciones llevadas a cabo por el Grupo de Trabajo de la UIT encargado de los controles internos hasta la fecha.</w:t>
      </w:r>
    </w:p>
    <w:bookmarkEnd w:id="107"/>
    <w:p w14:paraId="77FC6CD6" w14:textId="77777777" w:rsidR="00EC282D" w:rsidRPr="00467C05" w:rsidRDefault="00383A87" w:rsidP="00E5141E">
      <w:pPr>
        <w:rPr>
          <w:lang w:val="es-ES"/>
        </w:rPr>
      </w:pPr>
      <w:r w:rsidRPr="00467C05">
        <w:rPr>
          <w:lang w:val="es-ES"/>
        </w:rPr>
        <w:t>4.2</w:t>
      </w:r>
      <w:r w:rsidRPr="00467C05">
        <w:rPr>
          <w:lang w:val="es-ES"/>
        </w:rPr>
        <w:tab/>
      </w:r>
      <w:bookmarkStart w:id="108" w:name="lt_pId219"/>
      <w:r w:rsidR="00EA2FDF" w:rsidRPr="00467C05">
        <w:rPr>
          <w:lang w:val="es-ES"/>
        </w:rPr>
        <w:t>El porcentaje</w:t>
      </w:r>
      <w:r w:rsidR="00395E15" w:rsidRPr="00467C05">
        <w:rPr>
          <w:lang w:val="es-ES"/>
        </w:rPr>
        <w:t xml:space="preserve"> de aplicación de todas las recomendaciones</w:t>
      </w:r>
      <w:r w:rsidR="00C81F7A">
        <w:rPr>
          <w:lang w:val="es-ES"/>
        </w:rPr>
        <w:t xml:space="preserve"> relacionadas</w:t>
      </w:r>
      <w:r w:rsidR="00395E15" w:rsidRPr="00467C05">
        <w:rPr>
          <w:lang w:val="es-ES"/>
        </w:rPr>
        <w:t xml:space="preserve"> </w:t>
      </w:r>
      <w:r w:rsidR="00EC282D" w:rsidRPr="00467C05">
        <w:rPr>
          <w:lang w:val="es-ES"/>
        </w:rPr>
        <w:t>de</w:t>
      </w:r>
      <w:r w:rsidR="00395E15" w:rsidRPr="00467C05">
        <w:rPr>
          <w:lang w:val="es-ES"/>
        </w:rPr>
        <w:t xml:space="preserve"> la Auditoría Interna, la Auditoría Externa y el CAIG </w:t>
      </w:r>
      <w:r w:rsidR="00EC282D" w:rsidRPr="00467C05">
        <w:rPr>
          <w:lang w:val="es-ES"/>
        </w:rPr>
        <w:t>es del 80 por ciento.</w:t>
      </w:r>
    </w:p>
    <w:bookmarkEnd w:id="108"/>
    <w:p w14:paraId="29E840C2" w14:textId="25B14010" w:rsidR="00EC282D" w:rsidRPr="00467C05" w:rsidRDefault="00383A87" w:rsidP="00E5141E">
      <w:pPr>
        <w:rPr>
          <w:lang w:val="es-ES"/>
        </w:rPr>
      </w:pPr>
      <w:r w:rsidRPr="00467C05">
        <w:rPr>
          <w:lang w:val="es-ES"/>
        </w:rPr>
        <w:t>4.3</w:t>
      </w:r>
      <w:r w:rsidRPr="00467C05">
        <w:rPr>
          <w:lang w:val="es-ES"/>
        </w:rPr>
        <w:tab/>
      </w:r>
      <w:bookmarkStart w:id="109" w:name="lt_pId221"/>
      <w:r w:rsidR="00EC282D" w:rsidRPr="00467C05">
        <w:rPr>
          <w:lang w:val="es-ES"/>
        </w:rPr>
        <w:t xml:space="preserve">La Dirección de la UIT decidió en noviembre de 2020 </w:t>
      </w:r>
      <w:r w:rsidR="00C81F7A">
        <w:rPr>
          <w:lang w:val="es-ES"/>
        </w:rPr>
        <w:t>establecer</w:t>
      </w:r>
      <w:r w:rsidR="00EC282D" w:rsidRPr="00467C05">
        <w:rPr>
          <w:lang w:val="es-ES"/>
        </w:rPr>
        <w:t xml:space="preserve"> un tablero de control del cumplimiento institucional</w:t>
      </w:r>
      <w:r w:rsidR="004F7C91" w:rsidRPr="00467C05">
        <w:rPr>
          <w:lang w:val="es-ES"/>
        </w:rPr>
        <w:t>, incluyendo</w:t>
      </w:r>
      <w:r w:rsidR="00EC282D" w:rsidRPr="00467C05">
        <w:rPr>
          <w:lang w:val="es-ES"/>
        </w:rPr>
        <w:t xml:space="preserve"> las recomendaciones de </w:t>
      </w:r>
      <w:r w:rsidR="004F7C91" w:rsidRPr="00467C05">
        <w:rPr>
          <w:lang w:val="es-ES"/>
        </w:rPr>
        <w:t xml:space="preserve">la </w:t>
      </w:r>
      <w:r w:rsidR="000A1FBB" w:rsidRPr="00467C05">
        <w:rPr>
          <w:lang w:val="es-ES"/>
        </w:rPr>
        <w:t>Auditoría Externa</w:t>
      </w:r>
      <w:r w:rsidR="00EC282D" w:rsidRPr="00467C05">
        <w:rPr>
          <w:lang w:val="es-ES"/>
        </w:rPr>
        <w:t xml:space="preserve">, el CAIG, la DCI y </w:t>
      </w:r>
      <w:r w:rsidR="004F7C91" w:rsidRPr="00467C05">
        <w:rPr>
          <w:lang w:val="es-ES"/>
        </w:rPr>
        <w:t xml:space="preserve">la </w:t>
      </w:r>
      <w:r w:rsidR="000A1FBB" w:rsidRPr="00467C05">
        <w:rPr>
          <w:lang w:val="es-ES"/>
        </w:rPr>
        <w:t>Auditoría Interna</w:t>
      </w:r>
      <w:r w:rsidR="00EC282D" w:rsidRPr="00467C05">
        <w:rPr>
          <w:lang w:val="es-ES"/>
        </w:rPr>
        <w:t xml:space="preserve">. Esta herramienta permite a la Dirección de la UIT y los organismos de supervisión (la </w:t>
      </w:r>
      <w:r w:rsidR="000A1FBB" w:rsidRPr="00467C05">
        <w:rPr>
          <w:lang w:val="es-ES"/>
        </w:rPr>
        <w:t>Auditoría Externa</w:t>
      </w:r>
      <w:r w:rsidR="00EC282D" w:rsidRPr="00467C05">
        <w:rPr>
          <w:lang w:val="es-ES"/>
        </w:rPr>
        <w:t xml:space="preserve">, la </w:t>
      </w:r>
      <w:r w:rsidR="000A1FBB" w:rsidRPr="00467C05">
        <w:rPr>
          <w:lang w:val="es-ES"/>
        </w:rPr>
        <w:t>Auditoría Interna</w:t>
      </w:r>
      <w:r w:rsidR="000A1FBB" w:rsidRPr="00C81F7A">
        <w:rPr>
          <w:lang w:val="es-ES"/>
        </w:rPr>
        <w:t xml:space="preserve"> </w:t>
      </w:r>
      <w:r w:rsidR="00C81F7A" w:rsidRPr="00467C05">
        <w:rPr>
          <w:lang w:val="es-ES"/>
        </w:rPr>
        <w:t>y el CAIG</w:t>
      </w:r>
      <w:r w:rsidR="00EC282D" w:rsidRPr="00467C05">
        <w:rPr>
          <w:lang w:val="es-ES"/>
        </w:rPr>
        <w:t>)</w:t>
      </w:r>
      <w:r w:rsidR="004F7C91" w:rsidRPr="00467C05">
        <w:rPr>
          <w:lang w:val="es-ES"/>
        </w:rPr>
        <w:t xml:space="preserve"> tener una visión clara de las recomendaciones en curso, los riesgos asociados con esas recomendaciones, la información en tiempo real relativa a los avances realizados </w:t>
      </w:r>
      <w:r w:rsidR="00C81F7A">
        <w:rPr>
          <w:lang w:val="es-ES"/>
        </w:rPr>
        <w:t>para</w:t>
      </w:r>
      <w:r w:rsidR="004F7C91" w:rsidRPr="00467C05">
        <w:rPr>
          <w:lang w:val="es-ES"/>
        </w:rPr>
        <w:t xml:space="preserve"> la </w:t>
      </w:r>
      <w:r w:rsidR="00C81F7A">
        <w:rPr>
          <w:lang w:val="es-ES"/>
        </w:rPr>
        <w:t>implementación</w:t>
      </w:r>
      <w:r w:rsidR="004F7C91" w:rsidRPr="00467C05">
        <w:rPr>
          <w:lang w:val="es-ES"/>
        </w:rPr>
        <w:t xml:space="preserve"> de las recomendaciones o </w:t>
      </w:r>
      <w:r w:rsidR="00C81F7A">
        <w:rPr>
          <w:lang w:val="es-ES"/>
        </w:rPr>
        <w:t>para</w:t>
      </w:r>
      <w:r w:rsidR="004F7C91" w:rsidRPr="00467C05">
        <w:rPr>
          <w:lang w:val="es-ES"/>
        </w:rPr>
        <w:t xml:space="preserve"> </w:t>
      </w:r>
      <w:r w:rsidR="00C81F7A">
        <w:rPr>
          <w:lang w:val="es-ES"/>
        </w:rPr>
        <w:t>mitigar</w:t>
      </w:r>
      <w:r w:rsidR="004F7C91" w:rsidRPr="00467C05">
        <w:rPr>
          <w:lang w:val="es-ES"/>
        </w:rPr>
        <w:t xml:space="preserve"> los riesgos residuales o enviar notificaciones o recordatorios automáticos por correo electrónico, cuando sea necesario.</w:t>
      </w:r>
    </w:p>
    <w:bookmarkEnd w:id="109"/>
    <w:p w14:paraId="4E09256C" w14:textId="77777777" w:rsidR="00383A87" w:rsidRPr="00467C05" w:rsidRDefault="00383A87" w:rsidP="00E5141E">
      <w:pPr>
        <w:rPr>
          <w:lang w:val="es-ES"/>
        </w:rPr>
      </w:pPr>
      <w:r w:rsidRPr="00467C05">
        <w:rPr>
          <w:lang w:val="es-ES"/>
        </w:rPr>
        <w:t>4.4</w:t>
      </w:r>
      <w:r w:rsidRPr="00467C05">
        <w:rPr>
          <w:lang w:val="es-ES"/>
        </w:rPr>
        <w:tab/>
      </w:r>
      <w:bookmarkStart w:id="110" w:name="lt_pId224"/>
      <w:r w:rsidR="004F7C91" w:rsidRPr="00467C05">
        <w:rPr>
          <w:lang w:val="es-ES"/>
        </w:rPr>
        <w:t>La Directora de la BDT también informó a los delegados de que se están implementando los siguientes sistemas y mediciones</w:t>
      </w:r>
      <w:bookmarkEnd w:id="110"/>
      <w:r w:rsidR="004F7C91" w:rsidRPr="00467C05">
        <w:rPr>
          <w:lang w:val="es-ES"/>
        </w:rPr>
        <w:t>:</w:t>
      </w:r>
    </w:p>
    <w:p w14:paraId="4FED7CFF" w14:textId="025E9239" w:rsidR="004F7C91" w:rsidRPr="00467C05" w:rsidRDefault="00E5141E" w:rsidP="00E5141E">
      <w:pPr>
        <w:pStyle w:val="enumlev1"/>
        <w:rPr>
          <w:lang w:val="es-ES"/>
        </w:rPr>
      </w:pPr>
      <w:bookmarkStart w:id="111" w:name="lt_pId225"/>
      <w:r w:rsidRPr="00E5141E">
        <w:rPr>
          <w:lang w:val="es-ES"/>
        </w:rPr>
        <w:t>•</w:t>
      </w:r>
      <w:r>
        <w:rPr>
          <w:lang w:val="es-ES"/>
        </w:rPr>
        <w:tab/>
      </w:r>
      <w:r w:rsidR="00577A7D">
        <w:rPr>
          <w:lang w:val="es-ES"/>
        </w:rPr>
        <w:t>n</w:t>
      </w:r>
      <w:r w:rsidR="004F7C91" w:rsidRPr="00467C05">
        <w:rPr>
          <w:lang w:val="es-ES"/>
        </w:rPr>
        <w:t>uevo sistema de cibercontratación y procedimientos competitivos para la selección de consultores;</w:t>
      </w:r>
    </w:p>
    <w:p w14:paraId="64E11787" w14:textId="1BF35B2B" w:rsidR="00383A87" w:rsidRPr="00467C05" w:rsidRDefault="00E5141E" w:rsidP="00E5141E">
      <w:pPr>
        <w:pStyle w:val="enumlev1"/>
        <w:rPr>
          <w:lang w:val="es-ES"/>
        </w:rPr>
      </w:pPr>
      <w:bookmarkStart w:id="112" w:name="lt_pId226"/>
      <w:bookmarkEnd w:id="111"/>
      <w:r w:rsidRPr="00E5141E">
        <w:rPr>
          <w:lang w:val="es-ES"/>
        </w:rPr>
        <w:t>•</w:t>
      </w:r>
      <w:r>
        <w:rPr>
          <w:lang w:val="es-ES"/>
        </w:rPr>
        <w:tab/>
      </w:r>
      <w:r w:rsidR="00577A7D">
        <w:rPr>
          <w:lang w:val="es-ES"/>
        </w:rPr>
        <w:t>m</w:t>
      </w:r>
      <w:r w:rsidR="004F7C91" w:rsidRPr="00467C05">
        <w:rPr>
          <w:lang w:val="es-ES"/>
        </w:rPr>
        <w:t>ejora de la gestión y el control de la utilización de consultores;</w:t>
      </w:r>
      <w:bookmarkEnd w:id="112"/>
    </w:p>
    <w:p w14:paraId="2A508E88" w14:textId="4370AD1D" w:rsidR="004F7C91" w:rsidRPr="00467C05" w:rsidRDefault="00E5141E" w:rsidP="00E5141E">
      <w:pPr>
        <w:pStyle w:val="enumlev1"/>
        <w:rPr>
          <w:lang w:val="es-ES"/>
        </w:rPr>
      </w:pPr>
      <w:bookmarkStart w:id="113" w:name="lt_pId227"/>
      <w:r w:rsidRPr="00E5141E">
        <w:rPr>
          <w:lang w:val="es-ES"/>
        </w:rPr>
        <w:t>•</w:t>
      </w:r>
      <w:r>
        <w:rPr>
          <w:lang w:val="es-ES"/>
        </w:rPr>
        <w:tab/>
      </w:r>
      <w:r w:rsidR="00577A7D">
        <w:rPr>
          <w:lang w:val="es-ES"/>
        </w:rPr>
        <w:t>s</w:t>
      </w:r>
      <w:r w:rsidR="004F7C91" w:rsidRPr="00467C05">
        <w:rPr>
          <w:lang w:val="es-ES"/>
        </w:rPr>
        <w:t>istemas TI comunes para la BDT;</w:t>
      </w:r>
      <w:bookmarkStart w:id="114" w:name="lt_pId228"/>
      <w:bookmarkEnd w:id="113"/>
    </w:p>
    <w:p w14:paraId="6F78ADE0" w14:textId="34F2B845" w:rsidR="00383A87" w:rsidRPr="00467C05" w:rsidRDefault="00E5141E" w:rsidP="00E5141E">
      <w:pPr>
        <w:pStyle w:val="enumlev1"/>
        <w:rPr>
          <w:lang w:val="es-ES"/>
        </w:rPr>
      </w:pPr>
      <w:r w:rsidRPr="00E5141E">
        <w:rPr>
          <w:lang w:val="es-ES"/>
        </w:rPr>
        <w:t>•</w:t>
      </w:r>
      <w:r>
        <w:rPr>
          <w:lang w:val="es-ES"/>
        </w:rPr>
        <w:tab/>
      </w:r>
      <w:r w:rsidR="00577A7D">
        <w:rPr>
          <w:lang w:val="es-ES"/>
        </w:rPr>
        <w:t>m</w:t>
      </w:r>
      <w:r w:rsidR="004F7C91" w:rsidRPr="00467C05">
        <w:rPr>
          <w:lang w:val="es-ES"/>
        </w:rPr>
        <w:t>arco de rendición de cuentas</w:t>
      </w:r>
      <w:r w:rsidR="00383A87" w:rsidRPr="00467C05">
        <w:rPr>
          <w:lang w:val="es-ES"/>
        </w:rPr>
        <w:t>.</w:t>
      </w:r>
      <w:bookmarkEnd w:id="114"/>
    </w:p>
    <w:p w14:paraId="03B36C9B" w14:textId="17D2C8AC" w:rsidR="00DF1B18" w:rsidRPr="00467C05" w:rsidRDefault="00383A87" w:rsidP="00E5141E">
      <w:pPr>
        <w:rPr>
          <w:lang w:val="es-ES"/>
        </w:rPr>
      </w:pPr>
      <w:r w:rsidRPr="00467C05">
        <w:rPr>
          <w:lang w:val="es-ES"/>
        </w:rPr>
        <w:t>4.5</w:t>
      </w:r>
      <w:r w:rsidRPr="00467C05">
        <w:rPr>
          <w:lang w:val="es-ES"/>
        </w:rPr>
        <w:tab/>
      </w:r>
      <w:bookmarkStart w:id="115" w:name="lt_pId230"/>
      <w:r w:rsidR="00DF1B18" w:rsidRPr="00467C05">
        <w:rPr>
          <w:lang w:val="es-ES"/>
        </w:rPr>
        <w:t>En relación con el caso de fraude de Bangkok, el Asesor Jurídico de la UIT informó a los delegados que se habían aplicado las sanciones disciplinarias. En paralelo, también se han iniciado acciones legales en Tailandia y se ha contratado a un bufete de abogados para representar a la</w:t>
      </w:r>
      <w:r w:rsidR="00E5141E">
        <w:rPr>
          <w:lang w:val="es-ES"/>
        </w:rPr>
        <w:t> </w:t>
      </w:r>
      <w:r w:rsidR="00DF1B18" w:rsidRPr="00467C05">
        <w:rPr>
          <w:lang w:val="es-ES"/>
        </w:rPr>
        <w:t>UIT.</w:t>
      </w:r>
    </w:p>
    <w:bookmarkEnd w:id="115"/>
    <w:p w14:paraId="155A1E19" w14:textId="77777777" w:rsidR="00383A87" w:rsidRPr="00467C05" w:rsidRDefault="00383A87" w:rsidP="00E5141E">
      <w:pPr>
        <w:rPr>
          <w:lang w:val="es-ES"/>
        </w:rPr>
      </w:pPr>
      <w:r w:rsidRPr="00467C05">
        <w:rPr>
          <w:lang w:val="es-ES"/>
        </w:rPr>
        <w:t>4.6</w:t>
      </w:r>
      <w:r w:rsidRPr="00467C05">
        <w:rPr>
          <w:lang w:val="es-ES"/>
        </w:rPr>
        <w:tab/>
      </w:r>
      <w:bookmarkStart w:id="116" w:name="lt_pId233"/>
      <w:r w:rsidR="00DF1B18" w:rsidRPr="00467C05">
        <w:rPr>
          <w:lang w:val="es-ES"/>
        </w:rPr>
        <w:t>Los delegados agradecieron la información y reconocieron los esfuerzos realizados por la Secretaría</w:t>
      </w:r>
      <w:r w:rsidRPr="00467C05">
        <w:rPr>
          <w:lang w:val="es-ES"/>
        </w:rPr>
        <w:t>.</w:t>
      </w:r>
      <w:bookmarkEnd w:id="116"/>
    </w:p>
    <w:p w14:paraId="3D4169DE" w14:textId="5FB75B96" w:rsidR="00383A87" w:rsidRPr="00467C05" w:rsidRDefault="00383A87" w:rsidP="004D1648">
      <w:pPr>
        <w:pStyle w:val="Headingb"/>
        <w:rPr>
          <w:lang w:val="es-ES"/>
        </w:rPr>
      </w:pPr>
      <w:r w:rsidRPr="00923365">
        <w:rPr>
          <w:lang w:val="es-ES"/>
        </w:rPr>
        <w:lastRenderedPageBreak/>
        <w:t>b</w:t>
      </w:r>
      <w:r w:rsidR="00D74DC0" w:rsidRPr="00923365">
        <w:rPr>
          <w:lang w:val="es-ES"/>
        </w:rPr>
        <w:t>)</w:t>
      </w:r>
      <w:r w:rsidRPr="00923365">
        <w:rPr>
          <w:lang w:val="es-ES"/>
        </w:rPr>
        <w:tab/>
        <w:t>Información actualizada sobre el proceso de selección de una empresa externa especializada en la investigación de delitos financieros tras el caso de fraude en una Oficina Regional</w:t>
      </w:r>
      <w:r w:rsidR="00C81F7A" w:rsidRPr="00923365">
        <w:rPr>
          <w:lang w:val="es-ES"/>
        </w:rPr>
        <w:t xml:space="preserve"> (</w:t>
      </w:r>
      <w:r w:rsidR="00E12B7D" w:rsidRPr="00923365">
        <w:rPr>
          <w:lang w:val="es-ES"/>
        </w:rPr>
        <w:t>presentación verbal</w:t>
      </w:r>
      <w:r w:rsidR="00C81F7A" w:rsidRPr="00923365">
        <w:rPr>
          <w:lang w:val="es-ES"/>
        </w:rPr>
        <w:t>)</w:t>
      </w:r>
    </w:p>
    <w:p w14:paraId="118739C0" w14:textId="523DE09C" w:rsidR="00DF1B18" w:rsidRPr="00467C05" w:rsidRDefault="00383A87" w:rsidP="00E5141E">
      <w:pPr>
        <w:rPr>
          <w:lang w:val="es-ES"/>
        </w:rPr>
      </w:pPr>
      <w:r w:rsidRPr="00467C05">
        <w:rPr>
          <w:lang w:val="es-ES"/>
        </w:rPr>
        <w:t>4.7</w:t>
      </w:r>
      <w:r w:rsidRPr="00467C05">
        <w:rPr>
          <w:lang w:val="es-ES"/>
        </w:rPr>
        <w:tab/>
      </w:r>
      <w:bookmarkStart w:id="117" w:name="lt_pId236"/>
      <w:r w:rsidR="00DF1B18" w:rsidRPr="00467C05">
        <w:rPr>
          <w:lang w:val="es-ES"/>
        </w:rPr>
        <w:t xml:space="preserve">La Secretaría realizó una </w:t>
      </w:r>
      <w:r w:rsidR="00E12B7D" w:rsidRPr="00E12B7D">
        <w:rPr>
          <w:lang w:val="es-ES"/>
        </w:rPr>
        <w:t xml:space="preserve">presentación verbal </w:t>
      </w:r>
      <w:r w:rsidR="00DF1B18" w:rsidRPr="00467C05">
        <w:rPr>
          <w:lang w:val="es-ES"/>
        </w:rPr>
        <w:t xml:space="preserve">sobre el proceso de selección de una empresa externa especializada en la investigación de delitos financieros tras el caso de fraude en una Oficina Regional. Desde la reunión de 2020 del GTC-RHF, y siguiendo una recomendación del </w:t>
      </w:r>
      <w:r w:rsidR="006D5E47" w:rsidRPr="00467C05">
        <w:rPr>
          <w:lang w:val="es-ES"/>
        </w:rPr>
        <w:t xml:space="preserve">CAIG, se contrató un consultor para ajustar los términos de la solicitud de propuestas (RFP). Dicha </w:t>
      </w:r>
      <w:r w:rsidR="004314D3" w:rsidRPr="00467C05">
        <w:rPr>
          <w:lang w:val="es-ES"/>
        </w:rPr>
        <w:t>solicitud</w:t>
      </w:r>
      <w:r w:rsidR="006D5E47" w:rsidRPr="00467C05">
        <w:rPr>
          <w:lang w:val="es-ES"/>
        </w:rPr>
        <w:t xml:space="preserve"> de propuestas </w:t>
      </w:r>
      <w:r w:rsidR="00923365">
        <w:rPr>
          <w:lang w:val="es-ES"/>
        </w:rPr>
        <w:t>s</w:t>
      </w:r>
      <w:r w:rsidR="006D5E47" w:rsidRPr="00467C05">
        <w:rPr>
          <w:lang w:val="es-ES"/>
        </w:rPr>
        <w:t xml:space="preserve">e publicó y en abril de 2020 se recibieron diez propuestas. El Grupo de Evaluación Técnica, presidido por el Vicesecretario General evaluó las propuestas y, en noviembre de 2020, los ofertantes que superaron los criterios de aceptación, presentaron sus propuestas a dicho Grupo. </w:t>
      </w:r>
      <w:r w:rsidR="00ED1124" w:rsidRPr="00467C05">
        <w:rPr>
          <w:lang w:val="es-ES"/>
        </w:rPr>
        <w:t xml:space="preserve">A principios de </w:t>
      </w:r>
      <w:r w:rsidR="00C81F7A">
        <w:rPr>
          <w:lang w:val="es-ES"/>
        </w:rPr>
        <w:t xml:space="preserve">enero de </w:t>
      </w:r>
      <w:r w:rsidR="00ED1124" w:rsidRPr="00467C05">
        <w:rPr>
          <w:lang w:val="es-ES"/>
        </w:rPr>
        <w:t xml:space="preserve">2021, se firmó el contrato con el ofertante ganador, PWC, una empresa de consultoría importante. El equipo de PWC que realiza la auditoría forense no es el mismo que llevó a cabo el examen de la presencia regional. El trabajo se ha iniciado y se ha acordado que el 1 de mayo de 2021, se entregue el Informe final a la Secretaría de la UIT, a tiempo para </w:t>
      </w:r>
      <w:r w:rsidR="00C81F7A">
        <w:rPr>
          <w:lang w:val="es-ES"/>
        </w:rPr>
        <w:t>informar al Consejo en su reunión de 2</w:t>
      </w:r>
      <w:r w:rsidR="00ED1124" w:rsidRPr="00467C05">
        <w:rPr>
          <w:lang w:val="es-ES"/>
        </w:rPr>
        <w:t>021.</w:t>
      </w:r>
    </w:p>
    <w:p w14:paraId="0BBF34E6" w14:textId="77777777" w:rsidR="00383A87" w:rsidRPr="00467C05" w:rsidRDefault="00ED1124" w:rsidP="00E5141E">
      <w:pPr>
        <w:rPr>
          <w:lang w:val="es-ES"/>
        </w:rPr>
      </w:pPr>
      <w:bookmarkStart w:id="118" w:name="lt_pId243"/>
      <w:bookmarkEnd w:id="117"/>
      <w:r w:rsidRPr="00467C05">
        <w:rPr>
          <w:lang w:val="es-ES"/>
        </w:rPr>
        <w:t>L</w:t>
      </w:r>
      <w:r w:rsidR="007B0572" w:rsidRPr="00467C05">
        <w:rPr>
          <w:lang w:val="es-ES"/>
        </w:rPr>
        <w:t>o</w:t>
      </w:r>
      <w:r w:rsidRPr="00467C05">
        <w:rPr>
          <w:lang w:val="es-ES"/>
        </w:rPr>
        <w:t xml:space="preserve">s </w:t>
      </w:r>
      <w:r w:rsidR="007B0572" w:rsidRPr="00467C05">
        <w:rPr>
          <w:lang w:val="es-ES"/>
        </w:rPr>
        <w:t>productos</w:t>
      </w:r>
      <w:r w:rsidRPr="00467C05">
        <w:rPr>
          <w:lang w:val="es-ES"/>
        </w:rPr>
        <w:t xml:space="preserve"> </w:t>
      </w:r>
      <w:r w:rsidR="007B0572" w:rsidRPr="00467C05">
        <w:rPr>
          <w:lang w:val="es-ES"/>
        </w:rPr>
        <w:t>comprometidos en el marco d</w:t>
      </w:r>
      <w:r w:rsidRPr="00467C05">
        <w:rPr>
          <w:lang w:val="es-ES"/>
        </w:rPr>
        <w:t>el contrato son</w:t>
      </w:r>
      <w:r w:rsidR="00383A87" w:rsidRPr="00467C05">
        <w:rPr>
          <w:lang w:val="es-ES"/>
        </w:rPr>
        <w:t>:</w:t>
      </w:r>
      <w:bookmarkEnd w:id="118"/>
    </w:p>
    <w:p w14:paraId="415D0D3B" w14:textId="269C564A" w:rsidR="00ED1124" w:rsidRPr="00467C05" w:rsidRDefault="00E5141E" w:rsidP="00E5141E">
      <w:pPr>
        <w:pStyle w:val="enumlev1"/>
        <w:rPr>
          <w:lang w:val="es-ES"/>
        </w:rPr>
      </w:pPr>
      <w:bookmarkStart w:id="119" w:name="lt_pId244"/>
      <w:r>
        <w:rPr>
          <w:lang w:val="es-ES"/>
        </w:rPr>
        <w:t>a)</w:t>
      </w:r>
      <w:r>
        <w:rPr>
          <w:lang w:val="es-ES"/>
        </w:rPr>
        <w:tab/>
      </w:r>
      <w:r w:rsidR="00ED1124" w:rsidRPr="00467C05">
        <w:rPr>
          <w:lang w:val="es-ES"/>
        </w:rPr>
        <w:t xml:space="preserve">Un Informe final con todas las exposiciones a riesgos de fraude, conductas de fraude, </w:t>
      </w:r>
      <w:r w:rsidR="00ED1124" w:rsidRPr="00E5141E">
        <w:t>conductas</w:t>
      </w:r>
      <w:r w:rsidR="00ED1124" w:rsidRPr="00467C05">
        <w:rPr>
          <w:lang w:val="es-ES"/>
        </w:rPr>
        <w:t xml:space="preserve"> financieras inapropiadas y vulnerabilidades detectadas. También debe incluir todas las tareas </w:t>
      </w:r>
      <w:r w:rsidR="003B7388" w:rsidRPr="00467C05">
        <w:rPr>
          <w:lang w:val="es-ES"/>
        </w:rPr>
        <w:t>realizadas, junto con una evaluación y recomendaciones y conclusiones relativas a dichas tareas.</w:t>
      </w:r>
    </w:p>
    <w:bookmarkEnd w:id="119"/>
    <w:p w14:paraId="29D17AAF" w14:textId="25FF82DF" w:rsidR="00383A87" w:rsidRPr="00467C05" w:rsidRDefault="00E5141E" w:rsidP="00E5141E">
      <w:pPr>
        <w:pStyle w:val="enumlev1"/>
        <w:rPr>
          <w:lang w:val="es-ES"/>
        </w:rPr>
      </w:pPr>
      <w:r>
        <w:rPr>
          <w:lang w:val="es-ES"/>
        </w:rPr>
        <w:t>b)</w:t>
      </w:r>
      <w:r>
        <w:rPr>
          <w:lang w:val="es-ES"/>
        </w:rPr>
        <w:tab/>
      </w:r>
      <w:r w:rsidR="003B7388" w:rsidRPr="00467C05">
        <w:rPr>
          <w:lang w:val="es-ES"/>
        </w:rPr>
        <w:t>Un</w:t>
      </w:r>
      <w:r w:rsidR="00383A87" w:rsidRPr="00467C05">
        <w:rPr>
          <w:lang w:val="es-ES"/>
        </w:rPr>
        <w:t xml:space="preserve"> </w:t>
      </w:r>
      <w:r w:rsidR="00383A87" w:rsidRPr="00467C05">
        <w:rPr>
          <w:u w:val="single"/>
          <w:lang w:val="es-ES"/>
        </w:rPr>
        <w:t>plan de acción</w:t>
      </w:r>
      <w:r w:rsidR="00383A87" w:rsidRPr="00467C05">
        <w:rPr>
          <w:lang w:val="es-ES"/>
        </w:rPr>
        <w:t xml:space="preserve"> para el cambio</w:t>
      </w:r>
      <w:r w:rsidR="003B7388" w:rsidRPr="00467C05">
        <w:rPr>
          <w:lang w:val="es-ES"/>
        </w:rPr>
        <w:t xml:space="preserve">, que aborde </w:t>
      </w:r>
      <w:r w:rsidR="007B0572" w:rsidRPr="00467C05">
        <w:rPr>
          <w:lang w:val="es-ES"/>
        </w:rPr>
        <w:t>todas las</w:t>
      </w:r>
      <w:r w:rsidR="003B7388" w:rsidRPr="00467C05">
        <w:rPr>
          <w:lang w:val="es-ES"/>
        </w:rPr>
        <w:t xml:space="preserve"> conclusiones y las recomendaciones del </w:t>
      </w:r>
      <w:r w:rsidR="00923365" w:rsidRPr="00467C05">
        <w:rPr>
          <w:lang w:val="es-ES"/>
        </w:rPr>
        <w:t xml:space="preserve">Auditor </w:t>
      </w:r>
      <w:r w:rsidR="00923365" w:rsidRPr="00E5141E">
        <w:t>Externo</w:t>
      </w:r>
      <w:r w:rsidR="003B7388" w:rsidRPr="00467C05">
        <w:rPr>
          <w:lang w:val="es-ES"/>
        </w:rPr>
        <w:t xml:space="preserve">, el </w:t>
      </w:r>
      <w:r w:rsidR="00923365" w:rsidRPr="00467C05">
        <w:rPr>
          <w:lang w:val="es-ES"/>
        </w:rPr>
        <w:t xml:space="preserve">Auditor Interno </w:t>
      </w:r>
      <w:r w:rsidR="003B7388" w:rsidRPr="00467C05">
        <w:rPr>
          <w:lang w:val="es-ES"/>
        </w:rPr>
        <w:t xml:space="preserve">y </w:t>
      </w:r>
      <w:r w:rsidR="00383A87" w:rsidRPr="00467C05">
        <w:rPr>
          <w:lang w:val="es-ES"/>
        </w:rPr>
        <w:t>el Comité Asesor Independiente sobre la Gestión (CAIG).</w:t>
      </w:r>
    </w:p>
    <w:p w14:paraId="645C54C7" w14:textId="77777777" w:rsidR="003B7388" w:rsidRPr="00467C05" w:rsidRDefault="00383A87" w:rsidP="00E5141E">
      <w:pPr>
        <w:rPr>
          <w:lang w:val="es-ES"/>
        </w:rPr>
      </w:pPr>
      <w:r w:rsidRPr="007B2A41">
        <w:rPr>
          <w:lang w:val="es-ES"/>
        </w:rPr>
        <w:t>4.8</w:t>
      </w:r>
      <w:r w:rsidRPr="00467C05">
        <w:rPr>
          <w:lang w:val="es-ES"/>
        </w:rPr>
        <w:tab/>
      </w:r>
      <w:bookmarkStart w:id="120" w:name="lt_pId248"/>
      <w:r w:rsidR="003B7388" w:rsidRPr="00467C05">
        <w:rPr>
          <w:lang w:val="es-ES"/>
        </w:rPr>
        <w:t xml:space="preserve">En el caso de se detecte un caso de fraude en el curso </w:t>
      </w:r>
      <w:r w:rsidR="007B0572" w:rsidRPr="00467C05">
        <w:rPr>
          <w:lang w:val="es-ES"/>
        </w:rPr>
        <w:t>del trabajo principal</w:t>
      </w:r>
      <w:r w:rsidR="003B7388" w:rsidRPr="00467C05">
        <w:rPr>
          <w:lang w:val="es-ES"/>
        </w:rPr>
        <w:t xml:space="preserve"> </w:t>
      </w:r>
      <w:r w:rsidR="007B0572" w:rsidRPr="00467C05">
        <w:rPr>
          <w:lang w:val="es-ES"/>
        </w:rPr>
        <w:t>d</w:t>
      </w:r>
      <w:r w:rsidR="003B7388" w:rsidRPr="00467C05">
        <w:rPr>
          <w:lang w:val="es-ES"/>
        </w:rPr>
        <w:t>e PWC, cualquier investigación individual se realizaría de acuerdo con las publicaciones administrativas de la UIT aplicables, pero no est</w:t>
      </w:r>
      <w:r w:rsidR="007E7809" w:rsidRPr="00467C05">
        <w:rPr>
          <w:lang w:val="es-ES"/>
        </w:rPr>
        <w:t>a</w:t>
      </w:r>
      <w:r w:rsidR="003B7388" w:rsidRPr="00467C05">
        <w:rPr>
          <w:lang w:val="es-ES"/>
        </w:rPr>
        <w:t>ría finalizada el 1 de mayo de 202</w:t>
      </w:r>
      <w:r w:rsidR="00CB074B">
        <w:rPr>
          <w:lang w:val="es-ES"/>
        </w:rPr>
        <w:t>1</w:t>
      </w:r>
      <w:r w:rsidR="003B7388" w:rsidRPr="00467C05">
        <w:rPr>
          <w:lang w:val="es-ES"/>
        </w:rPr>
        <w:t xml:space="preserve">. </w:t>
      </w:r>
      <w:r w:rsidR="007E7809" w:rsidRPr="00467C05">
        <w:rPr>
          <w:lang w:val="es-ES"/>
        </w:rPr>
        <w:t>En principio, PWC llevaría también a cabo es</w:t>
      </w:r>
      <w:r w:rsidR="003B7388" w:rsidRPr="00467C05">
        <w:rPr>
          <w:lang w:val="es-ES"/>
        </w:rPr>
        <w:t>t</w:t>
      </w:r>
      <w:r w:rsidR="007E7809" w:rsidRPr="00467C05">
        <w:rPr>
          <w:lang w:val="es-ES"/>
        </w:rPr>
        <w:t xml:space="preserve">as investigaciones individuales. En contestación a una petición de aclaración, la Secretaría indicó que el mandato abarca </w:t>
      </w:r>
      <w:r w:rsidR="007B0572" w:rsidRPr="00467C05">
        <w:rPr>
          <w:lang w:val="es-ES"/>
        </w:rPr>
        <w:t xml:space="preserve">toda la exposición a riesgos de fraude </w:t>
      </w:r>
      <w:r w:rsidR="00C81F7A">
        <w:rPr>
          <w:lang w:val="es-ES"/>
        </w:rPr>
        <w:t>de</w:t>
      </w:r>
      <w:r w:rsidR="007B0572" w:rsidRPr="00467C05">
        <w:rPr>
          <w:lang w:val="es-ES"/>
        </w:rPr>
        <w:t xml:space="preserve"> la organización, y los posibles casos. El mandato </w:t>
      </w:r>
      <w:r w:rsidR="00C81F7A">
        <w:rPr>
          <w:lang w:val="es-ES"/>
        </w:rPr>
        <w:t>tiene como objetivo</w:t>
      </w:r>
      <w:r w:rsidR="007B0572" w:rsidRPr="00467C05">
        <w:rPr>
          <w:lang w:val="es-ES"/>
        </w:rPr>
        <w:t xml:space="preserve"> volver a analizar el caso de Bangkok, que se ha cerrado </w:t>
      </w:r>
      <w:r w:rsidR="00C81F7A" w:rsidRPr="00467C05">
        <w:rPr>
          <w:lang w:val="es-ES"/>
        </w:rPr>
        <w:t xml:space="preserve">administrativamente </w:t>
      </w:r>
      <w:r w:rsidR="007B0572" w:rsidRPr="00467C05">
        <w:rPr>
          <w:lang w:val="es-ES"/>
        </w:rPr>
        <w:t xml:space="preserve">mientras </w:t>
      </w:r>
      <w:r w:rsidR="00EA2FDF" w:rsidRPr="00467C05">
        <w:rPr>
          <w:lang w:val="es-ES"/>
        </w:rPr>
        <w:t>tanto</w:t>
      </w:r>
      <w:r w:rsidR="007B0572" w:rsidRPr="00467C05">
        <w:rPr>
          <w:lang w:val="es-ES"/>
        </w:rPr>
        <w:t>,</w:t>
      </w:r>
      <w:r w:rsidR="00EA2FDF" w:rsidRPr="00467C05">
        <w:rPr>
          <w:lang w:val="es-ES"/>
        </w:rPr>
        <w:t xml:space="preserve"> </w:t>
      </w:r>
      <w:r w:rsidR="007B0572" w:rsidRPr="00467C05">
        <w:rPr>
          <w:lang w:val="es-ES"/>
        </w:rPr>
        <w:t xml:space="preserve">incluidos los procesos disciplinarios asociados. Como explicó el Asesor Jurídico, </w:t>
      </w:r>
      <w:r w:rsidR="00EA2FDF" w:rsidRPr="00467C05">
        <w:rPr>
          <w:lang w:val="es-ES"/>
        </w:rPr>
        <w:t>la Secretaría de la UIT solo trabaja ya en su remisión a las autoridades nacionales de Tailandia.</w:t>
      </w:r>
    </w:p>
    <w:bookmarkEnd w:id="120"/>
    <w:p w14:paraId="452D41E4" w14:textId="77777777" w:rsidR="00383A87" w:rsidRPr="00467C05" w:rsidRDefault="00383A87" w:rsidP="00C53B43">
      <w:pPr>
        <w:pStyle w:val="Heading1"/>
        <w:rPr>
          <w:lang w:val="es-ES"/>
        </w:rPr>
      </w:pPr>
      <w:r w:rsidRPr="00FC7693">
        <w:rPr>
          <w:lang w:val="es-ES"/>
        </w:rPr>
        <w:t>5</w:t>
      </w:r>
      <w:r w:rsidRPr="00FC7693">
        <w:rPr>
          <w:lang w:val="es-ES"/>
        </w:rPr>
        <w:tab/>
      </w:r>
      <w:r w:rsidR="004314D3" w:rsidRPr="00FC7693">
        <w:rPr>
          <w:lang w:val="es-ES"/>
        </w:rPr>
        <w:t xml:space="preserve">Gestión </w:t>
      </w:r>
      <w:r w:rsidRPr="00FC7693">
        <w:rPr>
          <w:lang w:val="es-ES"/>
        </w:rPr>
        <w:t>de riesgos</w:t>
      </w:r>
    </w:p>
    <w:p w14:paraId="74459B5F" w14:textId="7AD9F684" w:rsidR="00383A87" w:rsidRPr="00467C05" w:rsidRDefault="00383A87" w:rsidP="000A5A9F">
      <w:pPr>
        <w:pStyle w:val="Headingb"/>
        <w:ind w:left="0" w:firstLine="0"/>
        <w:rPr>
          <w:lang w:val="es-ES"/>
        </w:rPr>
      </w:pPr>
      <w:r w:rsidRPr="00467C05">
        <w:rPr>
          <w:lang w:val="es-ES"/>
        </w:rPr>
        <w:t xml:space="preserve">Informe sobre la implementación del plan de acción de gestión de riesgos </w:t>
      </w:r>
      <w:bookmarkStart w:id="121" w:name="lt_pId256"/>
      <w:r w:rsidRPr="00467C05">
        <w:rPr>
          <w:bCs/>
          <w:lang w:val="es-ES"/>
        </w:rPr>
        <w:t>(Document</w:t>
      </w:r>
      <w:r w:rsidR="00EA2FDF" w:rsidRPr="00467C05">
        <w:rPr>
          <w:bCs/>
          <w:lang w:val="es-ES"/>
        </w:rPr>
        <w:t>o</w:t>
      </w:r>
      <w:r w:rsidR="00D74DC0">
        <w:rPr>
          <w:bCs/>
          <w:lang w:val="es-ES"/>
        </w:rPr>
        <w:t> </w:t>
      </w:r>
      <w:hyperlink r:id="rId23" w:history="1">
        <w:r w:rsidRPr="00467C05">
          <w:rPr>
            <w:rStyle w:val="Hyperlink"/>
            <w:bCs/>
            <w:lang w:val="es-ES"/>
          </w:rPr>
          <w:t>CWG</w:t>
        </w:r>
        <w:r w:rsidR="000A5A9F">
          <w:rPr>
            <w:rStyle w:val="Hyperlink"/>
            <w:bCs/>
            <w:lang w:val="es-ES"/>
          </w:rPr>
          <w:noBreakHyphen/>
        </w:r>
        <w:r w:rsidRPr="00467C05">
          <w:rPr>
            <w:rStyle w:val="Hyperlink"/>
            <w:bCs/>
            <w:lang w:val="es-ES"/>
          </w:rPr>
          <w:t>FHR-12/7</w:t>
        </w:r>
      </w:hyperlink>
      <w:r w:rsidRPr="00467C05">
        <w:rPr>
          <w:bCs/>
          <w:lang w:val="es-ES"/>
        </w:rPr>
        <w:t>)</w:t>
      </w:r>
      <w:bookmarkEnd w:id="121"/>
    </w:p>
    <w:p w14:paraId="2D6679A8" w14:textId="054063ED" w:rsidR="00EA2FDF" w:rsidRPr="00113AF6" w:rsidRDefault="00383A87" w:rsidP="00EA2FDF">
      <w:pPr>
        <w:rPr>
          <w:lang w:val="es-ES"/>
        </w:rPr>
      </w:pPr>
      <w:r w:rsidRPr="00467C05">
        <w:rPr>
          <w:lang w:val="es-ES"/>
        </w:rPr>
        <w:t>5.1</w:t>
      </w:r>
      <w:r w:rsidRPr="00467C05">
        <w:rPr>
          <w:lang w:val="es-ES"/>
        </w:rPr>
        <w:tab/>
      </w:r>
      <w:bookmarkStart w:id="122" w:name="lt_pId258"/>
      <w:r w:rsidR="00EA2FDF" w:rsidRPr="00467C05">
        <w:rPr>
          <w:lang w:val="es-ES"/>
        </w:rPr>
        <w:t xml:space="preserve">La Secretaría presentó el Informe final </w:t>
      </w:r>
      <w:r w:rsidR="00C81F7A">
        <w:rPr>
          <w:lang w:val="es-ES"/>
        </w:rPr>
        <w:t xml:space="preserve">del proyecto de </w:t>
      </w:r>
      <w:r w:rsidR="00EA2FDF" w:rsidRPr="00467C05">
        <w:rPr>
          <w:lang w:val="es-ES"/>
        </w:rPr>
        <w:t xml:space="preserve">implementación del plan de acción destinado a reforzar el marco de gestión de riesgos de la UIT. El </w:t>
      </w:r>
      <w:r w:rsidR="00FC7693">
        <w:rPr>
          <w:lang w:val="es-ES"/>
        </w:rPr>
        <w:t>i</w:t>
      </w:r>
      <w:r w:rsidR="00EA2FDF" w:rsidRPr="00467C05">
        <w:rPr>
          <w:lang w:val="es-ES"/>
        </w:rPr>
        <w:t xml:space="preserve">nforme se ha elaborado en base a los informes sobre los avances presentados anteriormente al GTC-RHF y a la </w:t>
      </w:r>
      <w:r w:rsidR="00821920" w:rsidRPr="00467C05">
        <w:rPr>
          <w:lang w:val="es-ES"/>
        </w:rPr>
        <w:t>consulta virtual de los consejeros</w:t>
      </w:r>
      <w:r w:rsidR="00EA2FDF" w:rsidRPr="00467C05">
        <w:rPr>
          <w:lang w:val="es-ES"/>
        </w:rPr>
        <w:t xml:space="preserve">, confirmando el éxito de la ejecución de los diez </w:t>
      </w:r>
      <w:r w:rsidR="00466E8A" w:rsidRPr="00467C05">
        <w:rPr>
          <w:lang w:val="es-ES"/>
        </w:rPr>
        <w:t>puntos de acción identificados anteriormente. Se recordó a los delegados que el Consejo ya había aprobado por correspondencia la Política revisada de gestión de riesgos</w:t>
      </w:r>
      <w:r w:rsidR="00C81F7A">
        <w:rPr>
          <w:lang w:val="es-ES"/>
        </w:rPr>
        <w:t xml:space="preserve"> </w:t>
      </w:r>
      <w:r w:rsidR="00466E8A" w:rsidRPr="00467C05">
        <w:rPr>
          <w:lang w:val="es-ES"/>
        </w:rPr>
        <w:t xml:space="preserve">y la Declaración sobre los riesgos asumibles de la UIT, así como la creación de la </w:t>
      </w:r>
      <w:r w:rsidR="00C81F7A">
        <w:rPr>
          <w:lang w:val="es-ES"/>
        </w:rPr>
        <w:t>f</w:t>
      </w:r>
      <w:r w:rsidR="00466E8A" w:rsidRPr="00467C05">
        <w:rPr>
          <w:lang w:val="es-ES"/>
        </w:rPr>
        <w:t xml:space="preserve">unción de </w:t>
      </w:r>
      <w:r w:rsidR="00C81F7A">
        <w:rPr>
          <w:lang w:val="es-ES"/>
        </w:rPr>
        <w:t xml:space="preserve">gestión de </w:t>
      </w:r>
      <w:r w:rsidR="00466E8A" w:rsidRPr="00467C05">
        <w:rPr>
          <w:lang w:val="es-ES"/>
        </w:rPr>
        <w:t>riesgo</w:t>
      </w:r>
      <w:r w:rsidR="00C81F7A">
        <w:rPr>
          <w:lang w:val="es-ES"/>
        </w:rPr>
        <w:t>s</w:t>
      </w:r>
      <w:r w:rsidR="00466E8A" w:rsidRPr="00467C05">
        <w:rPr>
          <w:lang w:val="es-ES"/>
        </w:rPr>
        <w:t xml:space="preserve"> y control interno dentro del presupuesto disponible. El informe presenta todas las actividades que se</w:t>
      </w:r>
      <w:r w:rsidR="00C81F7A">
        <w:rPr>
          <w:lang w:val="es-ES"/>
        </w:rPr>
        <w:t xml:space="preserve"> h</w:t>
      </w:r>
      <w:r w:rsidR="00466E8A" w:rsidRPr="00467C05">
        <w:rPr>
          <w:lang w:val="es-ES"/>
        </w:rPr>
        <w:t xml:space="preserve">an producido después de la </w:t>
      </w:r>
      <w:r w:rsidR="00466E8A" w:rsidRPr="00467C05">
        <w:rPr>
          <w:lang w:val="es-ES"/>
        </w:rPr>
        <w:lastRenderedPageBreak/>
        <w:t>segunda</w:t>
      </w:r>
      <w:r w:rsidR="004550A6">
        <w:rPr>
          <w:lang w:val="es-ES"/>
        </w:rPr>
        <w:t> </w:t>
      </w:r>
      <w:r w:rsidR="00466E8A" w:rsidRPr="00467C05">
        <w:rPr>
          <w:lang w:val="es-ES"/>
        </w:rPr>
        <w:t>CVC, incluida la elaboración del Manual de gestión de riesgos, las dos rondas de talle</w:t>
      </w:r>
      <w:r w:rsidR="004314D3" w:rsidRPr="00467C05">
        <w:rPr>
          <w:lang w:val="es-ES"/>
        </w:rPr>
        <w:t xml:space="preserve">res internos y el desarrollo del </w:t>
      </w:r>
      <w:r w:rsidR="00466E8A" w:rsidRPr="00467C05">
        <w:rPr>
          <w:lang w:val="es-ES"/>
        </w:rPr>
        <w:t xml:space="preserve">registro de riesgos para toda la UIT </w:t>
      </w:r>
      <w:r w:rsidR="004314D3" w:rsidRPr="00467C05">
        <w:rPr>
          <w:lang w:val="es-ES"/>
        </w:rPr>
        <w:t>y el tablero de gestión de riesgos. Se presentó al Grupo una visión general del registro y del tablero de gestión de riesgos. Con el éxito de la ejecución del proyecto, se ha conseguido la implementación de las recomendaciones correspondientes del CAIG, así como de los nueve criterios de referencia del Informe 2020 de la</w:t>
      </w:r>
      <w:r w:rsidR="004550A6">
        <w:rPr>
          <w:lang w:val="es-ES"/>
        </w:rPr>
        <w:t> </w:t>
      </w:r>
      <w:r w:rsidR="004314D3" w:rsidRPr="00467C05">
        <w:rPr>
          <w:lang w:val="es-ES"/>
        </w:rPr>
        <w:t xml:space="preserve">DCI sobre la gestión del riesgo </w:t>
      </w:r>
      <w:r w:rsidR="004314D3" w:rsidRPr="00C81F7A">
        <w:rPr>
          <w:lang w:val="es-ES"/>
        </w:rPr>
        <w:t>institucional</w:t>
      </w:r>
      <w:r w:rsidR="000C7ADE" w:rsidRPr="00467C05">
        <w:rPr>
          <w:lang w:val="es-ES"/>
        </w:rPr>
        <w:t xml:space="preserve">. Varias delegaciones tomaron la palabra para </w:t>
      </w:r>
      <w:r w:rsidR="000C7ADE" w:rsidRPr="00113AF6">
        <w:rPr>
          <w:lang w:val="es-ES"/>
        </w:rPr>
        <w:t>agradecer el trabajo de la Secretaría en esta cuestión.</w:t>
      </w:r>
    </w:p>
    <w:bookmarkEnd w:id="122"/>
    <w:p w14:paraId="4F55FC78" w14:textId="37AABBB5" w:rsidR="00383A87" w:rsidRPr="00113AF6" w:rsidRDefault="00383A87" w:rsidP="00C53B43">
      <w:pPr>
        <w:pStyle w:val="Heading1"/>
        <w:rPr>
          <w:lang w:val="es-ES"/>
        </w:rPr>
      </w:pPr>
      <w:r w:rsidRPr="00BA597D">
        <w:rPr>
          <w:lang w:val="es-ES"/>
        </w:rPr>
        <w:t>6</w:t>
      </w:r>
      <w:r w:rsidRPr="00BA597D">
        <w:rPr>
          <w:lang w:val="es-ES"/>
        </w:rPr>
        <w:tab/>
        <w:t>Seguimiento de las recomendaciones del Auditor Externo (Documento </w:t>
      </w:r>
      <w:hyperlink r:id="rId24" w:history="1">
        <w:r w:rsidRPr="00BA597D">
          <w:rPr>
            <w:rStyle w:val="Hyperlink"/>
            <w:lang w:val="es-ES"/>
          </w:rPr>
          <w:t>CWG</w:t>
        </w:r>
        <w:r w:rsidRPr="00BA597D">
          <w:rPr>
            <w:rStyle w:val="Hyperlink"/>
            <w:lang w:val="es-ES"/>
          </w:rPr>
          <w:noBreakHyphen/>
          <w:t>FHR-1</w:t>
        </w:r>
        <w:r w:rsidR="004B6CB5" w:rsidRPr="00BA597D">
          <w:rPr>
            <w:rStyle w:val="Hyperlink"/>
            <w:lang w:val="es-ES"/>
          </w:rPr>
          <w:t>2</w:t>
        </w:r>
        <w:r w:rsidRPr="00BA597D">
          <w:rPr>
            <w:rStyle w:val="Hyperlink"/>
            <w:lang w:val="es-ES"/>
          </w:rPr>
          <w:t>/8</w:t>
        </w:r>
      </w:hyperlink>
      <w:r w:rsidRPr="00BA597D">
        <w:rPr>
          <w:lang w:val="es-ES"/>
        </w:rPr>
        <w:t>)</w:t>
      </w:r>
    </w:p>
    <w:p w14:paraId="30C36AA6" w14:textId="754DC33C" w:rsidR="00383A87" w:rsidRPr="00467C05" w:rsidRDefault="00383A87" w:rsidP="00C53B43">
      <w:pPr>
        <w:rPr>
          <w:lang w:val="es-ES"/>
        </w:rPr>
      </w:pPr>
      <w:r w:rsidRPr="00113AF6">
        <w:rPr>
          <w:lang w:val="es-ES"/>
        </w:rPr>
        <w:t>6.1</w:t>
      </w:r>
      <w:r w:rsidRPr="00113AF6">
        <w:rPr>
          <w:lang w:val="es-ES"/>
        </w:rPr>
        <w:tab/>
      </w:r>
      <w:bookmarkStart w:id="123" w:name="lt_pId268"/>
      <w:r w:rsidR="000C7ADE" w:rsidRPr="00113AF6">
        <w:rPr>
          <w:lang w:val="es-ES"/>
        </w:rPr>
        <w:t>Se presentó el D</w:t>
      </w:r>
      <w:r w:rsidRPr="00113AF6">
        <w:rPr>
          <w:lang w:val="es-ES"/>
        </w:rPr>
        <w:t>ocument</w:t>
      </w:r>
      <w:r w:rsidR="000C7ADE" w:rsidRPr="00113AF6">
        <w:rPr>
          <w:lang w:val="es-ES"/>
        </w:rPr>
        <w:t>o</w:t>
      </w:r>
      <w:r w:rsidRPr="00113AF6">
        <w:rPr>
          <w:lang w:val="es-ES"/>
        </w:rPr>
        <w:t xml:space="preserve"> CWG-FHR</w:t>
      </w:r>
      <w:r w:rsidR="00BA597D">
        <w:rPr>
          <w:lang w:val="es-ES"/>
        </w:rPr>
        <w:t>-</w:t>
      </w:r>
      <w:r w:rsidRPr="00113AF6">
        <w:rPr>
          <w:lang w:val="es-ES"/>
        </w:rPr>
        <w:t xml:space="preserve">12/8, </w:t>
      </w:r>
      <w:r w:rsidR="000C7ADE" w:rsidRPr="00113AF6">
        <w:rPr>
          <w:lang w:val="es-ES"/>
        </w:rPr>
        <w:t>donde se muestra la situación</w:t>
      </w:r>
      <w:r w:rsidR="00D12C0C">
        <w:rPr>
          <w:lang w:val="es-ES"/>
        </w:rPr>
        <w:t>,</w:t>
      </w:r>
      <w:r w:rsidR="00D12C0C" w:rsidRPr="00113AF6">
        <w:rPr>
          <w:lang w:val="es-ES"/>
        </w:rPr>
        <w:t xml:space="preserve"> a finales de</w:t>
      </w:r>
      <w:r w:rsidR="00D12C0C" w:rsidRPr="00467C05">
        <w:rPr>
          <w:lang w:val="es-ES"/>
        </w:rPr>
        <w:t xml:space="preserve"> diciembre de 2020</w:t>
      </w:r>
      <w:r w:rsidR="00D12C0C">
        <w:rPr>
          <w:lang w:val="es-ES"/>
        </w:rPr>
        <w:t xml:space="preserve">, </w:t>
      </w:r>
      <w:r w:rsidR="000C7ADE" w:rsidRPr="00467C05">
        <w:rPr>
          <w:lang w:val="es-ES"/>
        </w:rPr>
        <w:t xml:space="preserve">de las recomendaciones </w:t>
      </w:r>
      <w:r w:rsidR="00113AF6">
        <w:rPr>
          <w:lang w:val="es-ES"/>
        </w:rPr>
        <w:t>d</w:t>
      </w:r>
      <w:r w:rsidR="000C7ADE" w:rsidRPr="00467C05">
        <w:rPr>
          <w:lang w:val="es-ES"/>
        </w:rPr>
        <w:t xml:space="preserve">el </w:t>
      </w:r>
      <w:r w:rsidR="007B2A41" w:rsidRPr="00467C05">
        <w:rPr>
          <w:lang w:val="es-ES"/>
        </w:rPr>
        <w:t xml:space="preserve">Auditor Externo </w:t>
      </w:r>
      <w:r w:rsidR="00104A2D" w:rsidRPr="00467C05">
        <w:rPr>
          <w:lang w:val="es-ES"/>
        </w:rPr>
        <w:t>que están pendientes</w:t>
      </w:r>
      <w:r w:rsidR="000C7ADE" w:rsidRPr="00467C05">
        <w:rPr>
          <w:lang w:val="es-ES"/>
        </w:rPr>
        <w:t>.</w:t>
      </w:r>
      <w:bookmarkEnd w:id="123"/>
    </w:p>
    <w:p w14:paraId="53DF4117" w14:textId="763AF62A" w:rsidR="00884DC9" w:rsidRPr="00467C05" w:rsidRDefault="00383A87" w:rsidP="00C53B43">
      <w:pPr>
        <w:rPr>
          <w:lang w:val="es-ES"/>
        </w:rPr>
      </w:pPr>
      <w:r w:rsidRPr="00467C05">
        <w:rPr>
          <w:lang w:val="es-ES"/>
        </w:rPr>
        <w:t>6.2</w:t>
      </w:r>
      <w:r w:rsidRPr="00467C05">
        <w:rPr>
          <w:lang w:val="es-ES"/>
        </w:rPr>
        <w:tab/>
      </w:r>
      <w:bookmarkStart w:id="124" w:name="lt_pId270"/>
      <w:r w:rsidR="000C7ADE" w:rsidRPr="00467C05">
        <w:rPr>
          <w:lang w:val="es-ES"/>
        </w:rPr>
        <w:t xml:space="preserve">Después de </w:t>
      </w:r>
      <w:r w:rsidR="00884DC9" w:rsidRPr="00467C05">
        <w:rPr>
          <w:lang w:val="es-ES"/>
        </w:rPr>
        <w:t>l</w:t>
      </w:r>
      <w:r w:rsidR="000C7ADE" w:rsidRPr="00467C05">
        <w:rPr>
          <w:lang w:val="es-ES"/>
        </w:rPr>
        <w:t xml:space="preserve">a </w:t>
      </w:r>
      <w:r w:rsidR="00884DC9" w:rsidRPr="00467C05">
        <w:rPr>
          <w:lang w:val="es-ES"/>
        </w:rPr>
        <w:t>auditoría</w:t>
      </w:r>
      <w:r w:rsidR="000C7ADE" w:rsidRPr="00467C05">
        <w:rPr>
          <w:lang w:val="es-ES"/>
        </w:rPr>
        <w:t xml:space="preserve"> de las cuentas de 2019, la Secretaría recibió ocho nuevas recomendaciones y actualmente </w:t>
      </w:r>
      <w:r w:rsidR="00884DC9" w:rsidRPr="00467C05">
        <w:rPr>
          <w:lang w:val="es-ES"/>
        </w:rPr>
        <w:t xml:space="preserve">26 recomendaciones se consideran </w:t>
      </w:r>
      <w:r w:rsidR="00D12C0C">
        <w:rPr>
          <w:lang w:val="es-ES"/>
        </w:rPr>
        <w:t xml:space="preserve">todavía </w:t>
      </w:r>
      <w:r w:rsidR="00884DC9" w:rsidRPr="00467C05">
        <w:rPr>
          <w:lang w:val="es-ES"/>
        </w:rPr>
        <w:t>en curso.</w:t>
      </w:r>
      <w:bookmarkEnd w:id="124"/>
    </w:p>
    <w:p w14:paraId="36D0E094" w14:textId="3300F311" w:rsidR="00884DC9" w:rsidRPr="00467C05" w:rsidRDefault="00383A87" w:rsidP="00C53B43">
      <w:pPr>
        <w:rPr>
          <w:lang w:val="es-ES"/>
        </w:rPr>
      </w:pPr>
      <w:r w:rsidRPr="00467C05">
        <w:rPr>
          <w:lang w:val="es-ES"/>
        </w:rPr>
        <w:t>6.3</w:t>
      </w:r>
      <w:r w:rsidRPr="00467C05">
        <w:rPr>
          <w:lang w:val="es-ES"/>
        </w:rPr>
        <w:tab/>
      </w:r>
      <w:bookmarkStart w:id="125" w:name="lt_pId272"/>
      <w:r w:rsidR="00884DC9" w:rsidRPr="00467C05">
        <w:rPr>
          <w:lang w:val="es-ES"/>
        </w:rPr>
        <w:t xml:space="preserve">Globalmente, la tasa de ejecución de las recomendaciones ha sido buena, considerando el alto número de nuevas recomendaciones </w:t>
      </w:r>
      <w:r w:rsidR="00D12C0C">
        <w:rPr>
          <w:lang w:val="es-ES"/>
        </w:rPr>
        <w:t>en</w:t>
      </w:r>
      <w:r w:rsidR="00884DC9" w:rsidRPr="00467C05">
        <w:rPr>
          <w:lang w:val="es-ES"/>
        </w:rPr>
        <w:t xml:space="preserve"> 2018. Los temas </w:t>
      </w:r>
      <w:r w:rsidR="00D12C0C">
        <w:rPr>
          <w:lang w:val="es-ES"/>
        </w:rPr>
        <w:t>trata</w:t>
      </w:r>
      <w:r w:rsidR="00884DC9" w:rsidRPr="00467C05">
        <w:rPr>
          <w:lang w:val="es-ES"/>
        </w:rPr>
        <w:t xml:space="preserve">dos </w:t>
      </w:r>
      <w:r w:rsidR="004B6CB5">
        <w:rPr>
          <w:lang w:val="es-ES"/>
        </w:rPr>
        <w:t>estaban</w:t>
      </w:r>
      <w:r w:rsidR="00884DC9" w:rsidRPr="00467C05">
        <w:rPr>
          <w:lang w:val="es-ES"/>
        </w:rPr>
        <w:t xml:space="preserve"> principalmente relacionados con la presencia regional y el control interno, con un grupo especial creado para el seguimiento de la implementación de estas recomendaciones, como describió anteriormente la Directora de la BDT.</w:t>
      </w:r>
    </w:p>
    <w:bookmarkEnd w:id="125"/>
    <w:p w14:paraId="064463B6" w14:textId="0ED3F5DA" w:rsidR="00383A87" w:rsidRPr="00467C05" w:rsidRDefault="00383A87" w:rsidP="00C53B43">
      <w:pPr>
        <w:rPr>
          <w:lang w:val="es-ES"/>
        </w:rPr>
      </w:pPr>
      <w:r w:rsidRPr="00BA597D">
        <w:rPr>
          <w:lang w:val="es-ES"/>
        </w:rPr>
        <w:t>6.4</w:t>
      </w:r>
      <w:r w:rsidRPr="00467C05">
        <w:rPr>
          <w:lang w:val="es-ES"/>
        </w:rPr>
        <w:tab/>
      </w:r>
      <w:bookmarkStart w:id="126" w:name="lt_pId275"/>
      <w:r w:rsidR="00884DC9" w:rsidRPr="00467C05">
        <w:rPr>
          <w:lang w:val="es-ES"/>
        </w:rPr>
        <w:t xml:space="preserve">Se mencionó que la situación </w:t>
      </w:r>
      <w:r w:rsidR="00104A2D" w:rsidRPr="00467C05">
        <w:rPr>
          <w:lang w:val="es-ES"/>
        </w:rPr>
        <w:t xml:space="preserve">provocada por la COVID-19 y el teletrabajo, desde marzo de 2020, había retrasado algunas implementaciones pues los auditores externos no habían podido realizar </w:t>
      </w:r>
      <w:r w:rsidR="004B6CB5" w:rsidRPr="00467C05">
        <w:rPr>
          <w:lang w:val="es-ES"/>
        </w:rPr>
        <w:t xml:space="preserve">presencialmente </w:t>
      </w:r>
      <w:r w:rsidR="00104A2D" w:rsidRPr="00467C05">
        <w:rPr>
          <w:lang w:val="es-ES"/>
        </w:rPr>
        <w:t>la auditoría y, en consecuencia, no habían podido verificar algunas de las recomendaciones, incluida</w:t>
      </w:r>
      <w:r w:rsidR="00BA597D">
        <w:rPr>
          <w:lang w:val="es-ES"/>
        </w:rPr>
        <w:t>s</w:t>
      </w:r>
      <w:r w:rsidR="00104A2D" w:rsidRPr="00467C05">
        <w:rPr>
          <w:lang w:val="es-ES"/>
        </w:rPr>
        <w:t xml:space="preserve"> nueve del periodo 2015-201</w:t>
      </w:r>
      <w:r w:rsidR="00CB074B">
        <w:rPr>
          <w:lang w:val="es-ES"/>
        </w:rPr>
        <w:t>8</w:t>
      </w:r>
      <w:r w:rsidR="00104A2D" w:rsidRPr="00467C05">
        <w:rPr>
          <w:lang w:val="es-ES"/>
        </w:rPr>
        <w:t xml:space="preserve"> que todavía aparecen como pendientes. Estas recomendaciones ya están implementadas de hecho por la UIT, pero necesitan que el </w:t>
      </w:r>
      <w:r w:rsidR="007B2A41" w:rsidRPr="00467C05">
        <w:rPr>
          <w:lang w:val="es-ES"/>
        </w:rPr>
        <w:t xml:space="preserve">Auditor Externo </w:t>
      </w:r>
      <w:r w:rsidR="00104A2D" w:rsidRPr="00467C05">
        <w:rPr>
          <w:lang w:val="es-ES"/>
        </w:rPr>
        <w:t xml:space="preserve">las verifique en su auditoria de las cuentas de 2020. </w:t>
      </w:r>
      <w:r w:rsidR="004B6CB5">
        <w:rPr>
          <w:lang w:val="es-ES"/>
        </w:rPr>
        <w:t>Solo</w:t>
      </w:r>
      <w:r w:rsidR="00104A2D" w:rsidRPr="00467C05">
        <w:rPr>
          <w:lang w:val="es-ES"/>
        </w:rPr>
        <w:t xml:space="preserve"> </w:t>
      </w:r>
      <w:r w:rsidR="00467C05" w:rsidRPr="00467C05">
        <w:rPr>
          <w:lang w:val="es-ES"/>
        </w:rPr>
        <w:t>esta acción</w:t>
      </w:r>
      <w:r w:rsidR="00104A2D" w:rsidRPr="00467C05">
        <w:rPr>
          <w:lang w:val="es-ES"/>
        </w:rPr>
        <w:t xml:space="preserve"> mejorará significativamente la tasa de ejecución respecto del valor que se muestra actualmente en el </w:t>
      </w:r>
      <w:bookmarkStart w:id="127" w:name="lt_pId277"/>
      <w:bookmarkEnd w:id="126"/>
      <w:r w:rsidR="006F1EA7" w:rsidRPr="00467C05">
        <w:rPr>
          <w:lang w:val="es-ES"/>
        </w:rPr>
        <w:t>Documento CWG</w:t>
      </w:r>
      <w:r w:rsidRPr="00467C05">
        <w:rPr>
          <w:lang w:val="es-ES"/>
        </w:rPr>
        <w:t>-FHR</w:t>
      </w:r>
      <w:r w:rsidR="00BA597D">
        <w:rPr>
          <w:lang w:val="es-ES"/>
        </w:rPr>
        <w:t>-</w:t>
      </w:r>
      <w:r w:rsidRPr="00467C05">
        <w:rPr>
          <w:lang w:val="es-ES"/>
        </w:rPr>
        <w:t>12/8.</w:t>
      </w:r>
      <w:bookmarkEnd w:id="127"/>
    </w:p>
    <w:p w14:paraId="08B1FDB6" w14:textId="467993C4" w:rsidR="00104A2D" w:rsidRPr="00467C05" w:rsidRDefault="00383A87" w:rsidP="00C53B43">
      <w:pPr>
        <w:rPr>
          <w:lang w:val="es-ES"/>
        </w:rPr>
      </w:pPr>
      <w:r w:rsidRPr="00C46D13">
        <w:rPr>
          <w:lang w:val="es-ES"/>
        </w:rPr>
        <w:t>6.5</w:t>
      </w:r>
      <w:r w:rsidRPr="00467C05">
        <w:rPr>
          <w:lang w:val="es-ES"/>
        </w:rPr>
        <w:tab/>
      </w:r>
      <w:bookmarkStart w:id="128" w:name="lt_pId279"/>
      <w:r w:rsidR="00104A2D" w:rsidRPr="00467C05">
        <w:rPr>
          <w:lang w:val="es-ES"/>
        </w:rPr>
        <w:t xml:space="preserve">El GTC-RHF expresó su preocupación respecto de las recomendaciones todavía pendientes y sus posibles repercusiones. </w:t>
      </w:r>
      <w:r w:rsidR="006F1EA7" w:rsidRPr="00467C05">
        <w:rPr>
          <w:lang w:val="es-ES"/>
        </w:rPr>
        <w:t xml:space="preserve">También se debatió sobre la </w:t>
      </w:r>
      <w:r w:rsidR="004B6CB5" w:rsidRPr="00467C05">
        <w:rPr>
          <w:lang w:val="es-ES"/>
        </w:rPr>
        <w:t>conveniencia</w:t>
      </w:r>
      <w:r w:rsidR="006F1EA7" w:rsidRPr="00467C05">
        <w:rPr>
          <w:lang w:val="es-ES"/>
        </w:rPr>
        <w:t xml:space="preserve"> de clasificar las recomendaciones de acuerdo con su urgencia o importancia, la Secretaría aclaró que todas las recomendaciones se consideran importantes y que tienen el compromiso de responder a todas </w:t>
      </w:r>
      <w:r w:rsidR="004B6CB5" w:rsidRPr="004B6CB5">
        <w:rPr>
          <w:lang w:val="es-ES"/>
        </w:rPr>
        <w:t>en el plazo previsto</w:t>
      </w:r>
      <w:r w:rsidR="006F1EA7" w:rsidRPr="00467C05">
        <w:rPr>
          <w:lang w:val="es-ES"/>
        </w:rPr>
        <w:t>.</w:t>
      </w:r>
    </w:p>
    <w:bookmarkEnd w:id="128"/>
    <w:p w14:paraId="2F5ED243" w14:textId="41268FB5" w:rsidR="006F1EA7" w:rsidRPr="00467C05" w:rsidRDefault="00383A87" w:rsidP="00C53B43">
      <w:pPr>
        <w:rPr>
          <w:lang w:val="es-ES"/>
        </w:rPr>
      </w:pPr>
      <w:r w:rsidRPr="00467C05">
        <w:rPr>
          <w:lang w:val="es-ES"/>
        </w:rPr>
        <w:t>6.6</w:t>
      </w:r>
      <w:r w:rsidRPr="00467C05">
        <w:rPr>
          <w:lang w:val="es-ES"/>
        </w:rPr>
        <w:tab/>
      </w:r>
      <w:bookmarkStart w:id="129" w:name="lt_pId282"/>
      <w:r w:rsidR="006F1EA7" w:rsidRPr="00467C05">
        <w:rPr>
          <w:lang w:val="es-ES"/>
        </w:rPr>
        <w:t>Un delegado también mencionó la relevancia para los informes futuros de incluir no solo las recomendaciones pendientes sino también los plazos de implementación y el departamento o unidad encargada del seguimiento de cada recomendación.</w:t>
      </w:r>
    </w:p>
    <w:bookmarkEnd w:id="129"/>
    <w:p w14:paraId="63B50F15" w14:textId="6B00B13D" w:rsidR="00383A87" w:rsidRPr="00467C05" w:rsidRDefault="00383A87" w:rsidP="00C53B43">
      <w:pPr>
        <w:pStyle w:val="Heading1"/>
        <w:rPr>
          <w:u w:val="single"/>
          <w:lang w:val="es-ES"/>
        </w:rPr>
      </w:pPr>
      <w:r w:rsidRPr="007417D7">
        <w:rPr>
          <w:lang w:val="es-ES"/>
        </w:rPr>
        <w:t>7</w:t>
      </w:r>
      <w:r w:rsidRPr="007417D7">
        <w:rPr>
          <w:lang w:val="es-ES"/>
        </w:rPr>
        <w:tab/>
        <w:t>Informe sobre el proyecto de la Sede de la Unión (Documento </w:t>
      </w:r>
      <w:hyperlink r:id="rId25" w:history="1">
        <w:r w:rsidR="006F1EA7" w:rsidRPr="007417D7">
          <w:rPr>
            <w:rStyle w:val="Hyperlink"/>
            <w:rFonts w:asciiTheme="minorHAnsi" w:hAnsiTheme="minorHAnsi" w:cstheme="minorHAnsi"/>
            <w:bCs/>
            <w:lang w:val="es-ES"/>
          </w:rPr>
          <w:t>CWG</w:t>
        </w:r>
        <w:r w:rsidR="00D74DC0" w:rsidRPr="007417D7">
          <w:rPr>
            <w:rStyle w:val="Hyperlink"/>
            <w:rFonts w:asciiTheme="minorHAnsi" w:hAnsiTheme="minorHAnsi" w:cstheme="minorHAnsi"/>
            <w:bCs/>
            <w:lang w:val="es-ES"/>
          </w:rPr>
          <w:noBreakHyphen/>
        </w:r>
        <w:r w:rsidR="006F1EA7" w:rsidRPr="007417D7">
          <w:rPr>
            <w:rStyle w:val="Hyperlink"/>
            <w:rFonts w:asciiTheme="minorHAnsi" w:hAnsiTheme="minorHAnsi" w:cstheme="minorHAnsi"/>
            <w:bCs/>
            <w:lang w:val="es-ES"/>
          </w:rPr>
          <w:t>FHR</w:t>
        </w:r>
        <w:r w:rsidR="00D74DC0" w:rsidRPr="007417D7">
          <w:rPr>
            <w:rStyle w:val="Hyperlink"/>
            <w:rFonts w:asciiTheme="minorHAnsi" w:hAnsiTheme="minorHAnsi" w:cstheme="minorHAnsi"/>
            <w:bCs/>
            <w:lang w:val="es-ES"/>
          </w:rPr>
          <w:noBreakHyphen/>
        </w:r>
        <w:r w:rsidR="006F1EA7" w:rsidRPr="007417D7">
          <w:rPr>
            <w:rStyle w:val="Hyperlink"/>
            <w:rFonts w:asciiTheme="minorHAnsi" w:hAnsiTheme="minorHAnsi" w:cstheme="minorHAnsi"/>
            <w:bCs/>
            <w:lang w:val="es-ES"/>
          </w:rPr>
          <w:t>12/5</w:t>
        </w:r>
      </w:hyperlink>
      <w:r w:rsidRPr="007417D7">
        <w:rPr>
          <w:u w:val="single"/>
          <w:lang w:val="es-ES"/>
        </w:rPr>
        <w:t>)</w:t>
      </w:r>
    </w:p>
    <w:p w14:paraId="3410820E" w14:textId="58C0D6E6" w:rsidR="005D1F9A" w:rsidRPr="00467C05" w:rsidRDefault="00383A87" w:rsidP="00C53B43">
      <w:pPr>
        <w:rPr>
          <w:color w:val="000000"/>
          <w:lang w:val="es-ES"/>
        </w:rPr>
      </w:pPr>
      <w:r w:rsidRPr="00467C05">
        <w:rPr>
          <w:lang w:val="es-ES"/>
        </w:rPr>
        <w:t>7.1</w:t>
      </w:r>
      <w:r w:rsidRPr="00467C05">
        <w:rPr>
          <w:lang w:val="es-ES"/>
        </w:rPr>
        <w:tab/>
      </w:r>
      <w:bookmarkStart w:id="130" w:name="lt_pId287"/>
      <w:r w:rsidR="005D1F9A" w:rsidRPr="00467C05">
        <w:rPr>
          <w:lang w:val="es-ES"/>
        </w:rPr>
        <w:t>La</w:t>
      </w:r>
      <w:r w:rsidR="006F1EA7" w:rsidRPr="00467C05">
        <w:rPr>
          <w:lang w:val="es-ES"/>
        </w:rPr>
        <w:t xml:space="preserve"> representante de la Secretaría presentó el D</w:t>
      </w:r>
      <w:r w:rsidRPr="00467C05">
        <w:rPr>
          <w:lang w:val="es-ES"/>
        </w:rPr>
        <w:t>ocument</w:t>
      </w:r>
      <w:r w:rsidR="006F1EA7" w:rsidRPr="00467C05">
        <w:rPr>
          <w:lang w:val="es-ES"/>
        </w:rPr>
        <w:t>o</w:t>
      </w:r>
      <w:r w:rsidRPr="00467C05">
        <w:rPr>
          <w:b/>
          <w:bCs/>
          <w:lang w:val="es-ES"/>
        </w:rPr>
        <w:t xml:space="preserve"> CWG-FHR-12/5, </w:t>
      </w:r>
      <w:r w:rsidR="006F1EA7" w:rsidRPr="00467C05">
        <w:rPr>
          <w:b/>
          <w:bCs/>
          <w:lang w:val="es-ES"/>
        </w:rPr>
        <w:t>Informe financiero sobre el proyecto de la Sede de la Unión</w:t>
      </w:r>
      <w:r w:rsidRPr="007417D7">
        <w:rPr>
          <w:lang w:val="es-ES"/>
        </w:rPr>
        <w:t>.</w:t>
      </w:r>
      <w:bookmarkStart w:id="131" w:name="lt_pId288"/>
      <w:bookmarkEnd w:id="130"/>
      <w:r w:rsidRPr="007417D7">
        <w:t xml:space="preserve"> </w:t>
      </w:r>
      <w:r w:rsidR="006F1EA7" w:rsidRPr="00467C05">
        <w:rPr>
          <w:lang w:val="es-ES"/>
        </w:rPr>
        <w:t xml:space="preserve">Anunció que el </w:t>
      </w:r>
      <w:r w:rsidR="005D1F9A" w:rsidRPr="00467C05">
        <w:rPr>
          <w:lang w:val="es-ES"/>
        </w:rPr>
        <w:t>p</w:t>
      </w:r>
      <w:r w:rsidR="006F1EA7" w:rsidRPr="00467C05">
        <w:rPr>
          <w:lang w:val="es-ES"/>
        </w:rPr>
        <w:t xml:space="preserve">royecto </w:t>
      </w:r>
      <w:r w:rsidR="005D1F9A" w:rsidRPr="00467C05">
        <w:rPr>
          <w:lang w:val="es-ES"/>
        </w:rPr>
        <w:t xml:space="preserve">está cumpliendo el calendario y </w:t>
      </w:r>
      <w:r w:rsidR="00912636">
        <w:rPr>
          <w:lang w:val="es-ES"/>
        </w:rPr>
        <w:t xml:space="preserve">se mantiene </w:t>
      </w:r>
      <w:r w:rsidR="005D1F9A" w:rsidRPr="00467C05">
        <w:rPr>
          <w:lang w:val="es-ES"/>
        </w:rPr>
        <w:t xml:space="preserve">dentro del presupuesto. También anunció que se ha </w:t>
      </w:r>
      <w:r w:rsidR="00912636">
        <w:rPr>
          <w:lang w:val="es-ES"/>
        </w:rPr>
        <w:t>garantizado</w:t>
      </w:r>
      <w:r w:rsidR="005D1F9A" w:rsidRPr="00467C05">
        <w:rPr>
          <w:lang w:val="es-ES"/>
        </w:rPr>
        <w:t xml:space="preserve"> la financiación del proyecto mediante la aprobación de la segunda parte del préstamo de </w:t>
      </w:r>
      <w:r w:rsidR="005D1F9A" w:rsidRPr="00467C05">
        <w:rPr>
          <w:lang w:val="es-ES"/>
        </w:rPr>
        <w:lastRenderedPageBreak/>
        <w:t>138</w:t>
      </w:r>
      <w:r w:rsidR="007417D7">
        <w:rPr>
          <w:lang w:val="es-ES"/>
        </w:rPr>
        <w:t> </w:t>
      </w:r>
      <w:r w:rsidR="005D1F9A" w:rsidRPr="00467C05">
        <w:rPr>
          <w:lang w:val="es-ES"/>
        </w:rPr>
        <w:t xml:space="preserve">millones CHF de las autoridades suizas. </w:t>
      </w:r>
      <w:bookmarkStart w:id="132" w:name="lt_pId290"/>
      <w:bookmarkEnd w:id="131"/>
      <w:r w:rsidR="005D1F9A" w:rsidRPr="00467C05">
        <w:rPr>
          <w:lang w:val="es-ES"/>
        </w:rPr>
        <w:t xml:space="preserve">El </w:t>
      </w:r>
      <w:r w:rsidRPr="00467C05">
        <w:rPr>
          <w:color w:val="000000"/>
          <w:lang w:val="es-ES"/>
        </w:rPr>
        <w:t>Document</w:t>
      </w:r>
      <w:r w:rsidR="005D1F9A" w:rsidRPr="00467C05">
        <w:rPr>
          <w:color w:val="000000"/>
          <w:lang w:val="es-ES"/>
        </w:rPr>
        <w:t>o</w:t>
      </w:r>
      <w:r w:rsidRPr="00467C05">
        <w:rPr>
          <w:color w:val="000000"/>
          <w:lang w:val="es-ES"/>
        </w:rPr>
        <w:t xml:space="preserve"> </w:t>
      </w:r>
      <w:r w:rsidRPr="00467C05">
        <w:rPr>
          <w:b/>
          <w:bCs/>
          <w:lang w:val="es-ES"/>
        </w:rPr>
        <w:t xml:space="preserve">CWG-FHR-12/5 </w:t>
      </w:r>
      <w:r w:rsidRPr="00467C05">
        <w:rPr>
          <w:color w:val="000000"/>
          <w:lang w:val="es-ES"/>
        </w:rPr>
        <w:t>cont</w:t>
      </w:r>
      <w:r w:rsidR="005D1F9A" w:rsidRPr="00467C05">
        <w:rPr>
          <w:color w:val="000000"/>
          <w:lang w:val="es-ES"/>
        </w:rPr>
        <w:t xml:space="preserve">iene información sobre la estimación de costes del </w:t>
      </w:r>
      <w:r w:rsidR="00C81F7A">
        <w:rPr>
          <w:color w:val="000000"/>
          <w:lang w:val="es-ES"/>
        </w:rPr>
        <w:t>p</w:t>
      </w:r>
      <w:r w:rsidR="005D1F9A" w:rsidRPr="00467C05">
        <w:rPr>
          <w:color w:val="000000"/>
          <w:lang w:val="es-ES"/>
        </w:rPr>
        <w:t>royecto recibida a finales de noviembre.</w:t>
      </w:r>
    </w:p>
    <w:bookmarkEnd w:id="132"/>
    <w:p w14:paraId="785A1C5D" w14:textId="46C12E73" w:rsidR="00C25411" w:rsidRPr="00467C05" w:rsidRDefault="00383A87" w:rsidP="00C53B43">
      <w:pPr>
        <w:rPr>
          <w:lang w:val="es-ES"/>
        </w:rPr>
      </w:pPr>
      <w:r w:rsidRPr="00467C05">
        <w:rPr>
          <w:lang w:val="es-ES"/>
        </w:rPr>
        <w:t>7.2</w:t>
      </w:r>
      <w:r w:rsidRPr="00467C05">
        <w:rPr>
          <w:lang w:val="es-ES"/>
        </w:rPr>
        <w:tab/>
      </w:r>
      <w:bookmarkStart w:id="133" w:name="lt_pId292"/>
      <w:r w:rsidR="005D1F9A" w:rsidRPr="00467C05">
        <w:rPr>
          <w:lang w:val="es-ES"/>
        </w:rPr>
        <w:t>Como se indica en el documento, la diferencia de +1,3 por ciento entre la estimación y el presupuesto asignado está dentro de una precisión de +/</w:t>
      </w:r>
      <w:r w:rsidR="00FE14AD">
        <w:rPr>
          <w:lang w:val="es-ES"/>
        </w:rPr>
        <w:t>–</w:t>
      </w:r>
      <w:r w:rsidR="005D1F9A" w:rsidRPr="00467C05">
        <w:rPr>
          <w:lang w:val="es-ES"/>
        </w:rPr>
        <w:t xml:space="preserve">10 por ciento, lo que es normal en la fase de diseño. </w:t>
      </w:r>
      <w:r w:rsidR="00C25411" w:rsidRPr="00467C05">
        <w:rPr>
          <w:lang w:val="es-ES"/>
        </w:rPr>
        <w:t>La representante de la Secretaría r</w:t>
      </w:r>
      <w:r w:rsidR="005D1F9A" w:rsidRPr="00467C05">
        <w:rPr>
          <w:lang w:val="es-ES"/>
        </w:rPr>
        <w:t xml:space="preserve">ecordó el gráfico explicativo incluido en el </w:t>
      </w:r>
      <w:bookmarkStart w:id="134" w:name="lt_pId293"/>
      <w:bookmarkEnd w:id="133"/>
      <w:r w:rsidRPr="00467C05">
        <w:rPr>
          <w:lang w:val="es-ES"/>
        </w:rPr>
        <w:t>Document</w:t>
      </w:r>
      <w:r w:rsidR="005D1F9A" w:rsidRPr="00467C05">
        <w:rPr>
          <w:lang w:val="es-ES"/>
        </w:rPr>
        <w:t>o</w:t>
      </w:r>
      <w:r w:rsidRPr="00467C05">
        <w:rPr>
          <w:lang w:val="es-ES"/>
        </w:rPr>
        <w:t xml:space="preserve"> </w:t>
      </w:r>
      <w:r w:rsidRPr="00467C05">
        <w:rPr>
          <w:b/>
          <w:bCs/>
          <w:lang w:val="es-ES"/>
        </w:rPr>
        <w:t xml:space="preserve">CWG-FHR-12/5 </w:t>
      </w:r>
      <w:r w:rsidR="00C25411" w:rsidRPr="00467C05">
        <w:rPr>
          <w:lang w:val="es-ES"/>
        </w:rPr>
        <w:t>que se presentó también en la sesión extraordinari</w:t>
      </w:r>
      <w:r w:rsidR="007417D7">
        <w:rPr>
          <w:lang w:val="es-ES"/>
        </w:rPr>
        <w:t>a</w:t>
      </w:r>
      <w:r w:rsidR="00C25411" w:rsidRPr="00467C05">
        <w:rPr>
          <w:lang w:val="es-ES"/>
        </w:rPr>
        <w:t xml:space="preserve"> del Consejo en septiembre de 2019. Confirmó que la Secretaría esperará a disponer de los costes reales después de la oferta para el contrato de la empresa general (GE) que se lanzará en 2022. Se evitará cualquier riesgo de gasto excesivo al incluir </w:t>
      </w:r>
      <w:r w:rsidR="00781C1D">
        <w:rPr>
          <w:lang w:val="es-ES"/>
        </w:rPr>
        <w:t>"</w:t>
      </w:r>
      <w:r w:rsidR="00C25411" w:rsidRPr="00467C05">
        <w:rPr>
          <w:lang w:val="es-ES"/>
        </w:rPr>
        <w:t>opciones de diseño</w:t>
      </w:r>
      <w:r w:rsidR="00781C1D">
        <w:rPr>
          <w:lang w:val="es-ES"/>
        </w:rPr>
        <w:t>"</w:t>
      </w:r>
      <w:r w:rsidR="00C25411" w:rsidRPr="00467C05">
        <w:rPr>
          <w:lang w:val="es-ES"/>
        </w:rPr>
        <w:t xml:space="preserve"> en la solicitud de propuestas. Con ello, los ofertantes deberán cotizar de manera separada los costes de cada opción. La Secretaría eliminará así cualquier opción que lleve a un coste que exceda el presupuesto aprobado. Este procedimiento evita </w:t>
      </w:r>
      <w:r w:rsidR="00E214B6" w:rsidRPr="00467C05">
        <w:rPr>
          <w:lang w:val="es-ES"/>
        </w:rPr>
        <w:t xml:space="preserve">la eliminación, </w:t>
      </w:r>
      <w:r w:rsidR="00C25411" w:rsidRPr="00467C05">
        <w:rPr>
          <w:lang w:val="es-ES"/>
        </w:rPr>
        <w:t>en esta fase</w:t>
      </w:r>
      <w:r w:rsidR="00E214B6" w:rsidRPr="00467C05">
        <w:rPr>
          <w:lang w:val="es-ES"/>
        </w:rPr>
        <w:t>,</w:t>
      </w:r>
      <w:r w:rsidR="00C25411" w:rsidRPr="00467C05">
        <w:rPr>
          <w:lang w:val="es-ES"/>
        </w:rPr>
        <w:t xml:space="preserve"> de opciones que </w:t>
      </w:r>
      <w:r w:rsidR="00B06321" w:rsidRPr="00467C05">
        <w:rPr>
          <w:lang w:val="es-ES"/>
        </w:rPr>
        <w:t>se</w:t>
      </w:r>
      <w:r w:rsidR="00B06321">
        <w:rPr>
          <w:lang w:val="es-ES"/>
        </w:rPr>
        <w:t xml:space="preserve"> </w:t>
      </w:r>
      <w:r w:rsidR="00E214B6" w:rsidRPr="00467C05">
        <w:rPr>
          <w:lang w:val="es-ES"/>
        </w:rPr>
        <w:t>podrían</w:t>
      </w:r>
      <w:r w:rsidR="00C25411" w:rsidRPr="00467C05">
        <w:rPr>
          <w:lang w:val="es-ES"/>
        </w:rPr>
        <w:t xml:space="preserve"> posiblemente/probablemente </w:t>
      </w:r>
      <w:r w:rsidR="00E214B6" w:rsidRPr="00467C05">
        <w:rPr>
          <w:lang w:val="es-ES"/>
        </w:rPr>
        <w:t xml:space="preserve">incluir </w:t>
      </w:r>
      <w:r w:rsidR="00C25411" w:rsidRPr="00467C05">
        <w:rPr>
          <w:lang w:val="es-ES"/>
        </w:rPr>
        <w:t>en el contrato de la empresa general</w:t>
      </w:r>
      <w:r w:rsidR="00912636">
        <w:rPr>
          <w:lang w:val="es-ES"/>
        </w:rPr>
        <w:t xml:space="preserve"> y, sin embargo, mantenerse</w:t>
      </w:r>
      <w:r w:rsidR="0004669A" w:rsidRPr="00467C05">
        <w:rPr>
          <w:lang w:val="es-ES"/>
        </w:rPr>
        <w:t xml:space="preserve"> </w:t>
      </w:r>
      <w:r w:rsidR="00912636">
        <w:rPr>
          <w:lang w:val="es-ES"/>
        </w:rPr>
        <w:t>dentro d</w:t>
      </w:r>
      <w:r w:rsidR="00E214B6" w:rsidRPr="00467C05">
        <w:rPr>
          <w:lang w:val="es-ES"/>
        </w:rPr>
        <w:t>e</w:t>
      </w:r>
      <w:r w:rsidR="0004669A" w:rsidRPr="00467C05">
        <w:rPr>
          <w:lang w:val="es-ES"/>
        </w:rPr>
        <w:t>l presupuesto</w:t>
      </w:r>
      <w:r w:rsidR="00B06321">
        <w:rPr>
          <w:lang w:val="es-ES"/>
        </w:rPr>
        <w:t xml:space="preserve"> aprobado</w:t>
      </w:r>
      <w:r w:rsidR="0004669A" w:rsidRPr="00467C05">
        <w:rPr>
          <w:lang w:val="es-ES"/>
        </w:rPr>
        <w:t>.</w:t>
      </w:r>
      <w:r w:rsidR="00912636">
        <w:rPr>
          <w:lang w:val="es-ES"/>
        </w:rPr>
        <w:t xml:space="preserve"> De esta manera, puede conseguirse un edificio mejor, pero cumpliendo el presupuesto.</w:t>
      </w:r>
    </w:p>
    <w:bookmarkEnd w:id="134"/>
    <w:p w14:paraId="33FF0E5A" w14:textId="626E3248" w:rsidR="0004669A" w:rsidRPr="00C53B43" w:rsidRDefault="00383A87" w:rsidP="00C53B43">
      <w:pPr>
        <w:rPr>
          <w:lang w:val="es-ES"/>
        </w:rPr>
      </w:pPr>
      <w:r w:rsidRPr="005E4B3F">
        <w:rPr>
          <w:lang w:val="es-ES"/>
        </w:rPr>
        <w:t>7.3</w:t>
      </w:r>
      <w:r w:rsidRPr="00C53B43">
        <w:rPr>
          <w:lang w:val="es-ES"/>
        </w:rPr>
        <w:tab/>
      </w:r>
      <w:bookmarkStart w:id="135" w:name="lt_pId301"/>
      <w:r w:rsidR="0004669A" w:rsidRPr="00C53B43">
        <w:rPr>
          <w:lang w:val="es-ES"/>
        </w:rPr>
        <w:t xml:space="preserve">La representante de la Secretaría explicó </w:t>
      </w:r>
      <w:r w:rsidR="00B06321" w:rsidRPr="00C53B43">
        <w:rPr>
          <w:lang w:val="es-ES"/>
        </w:rPr>
        <w:t xml:space="preserve">que se establecerán </w:t>
      </w:r>
      <w:r w:rsidR="0004669A" w:rsidRPr="00C53B43">
        <w:rPr>
          <w:lang w:val="es-ES"/>
        </w:rPr>
        <w:t xml:space="preserve">medidas de mitigación para </w:t>
      </w:r>
      <w:r w:rsidR="00B06321" w:rsidRPr="00C53B43">
        <w:rPr>
          <w:lang w:val="es-ES"/>
        </w:rPr>
        <w:t xml:space="preserve">controlar los costes y </w:t>
      </w:r>
      <w:r w:rsidR="0004669A" w:rsidRPr="00C53B43">
        <w:rPr>
          <w:lang w:val="es-ES"/>
        </w:rPr>
        <w:t>evitar cualquier gasto excesivo</w:t>
      </w:r>
      <w:r w:rsidRPr="00C53B43">
        <w:rPr>
          <w:lang w:val="es-ES"/>
        </w:rPr>
        <w:t>.</w:t>
      </w:r>
      <w:bookmarkEnd w:id="135"/>
      <w:r w:rsidRPr="00C53B43">
        <w:rPr>
          <w:lang w:val="es-ES"/>
        </w:rPr>
        <w:t xml:space="preserve"> </w:t>
      </w:r>
      <w:bookmarkStart w:id="136" w:name="lt_pId302"/>
      <w:r w:rsidR="00E214B6" w:rsidRPr="00C53B43">
        <w:rPr>
          <w:lang w:val="es-ES"/>
        </w:rPr>
        <w:t>Respondiendo</w:t>
      </w:r>
      <w:r w:rsidR="0004669A" w:rsidRPr="00C53B43">
        <w:rPr>
          <w:lang w:val="es-ES"/>
        </w:rPr>
        <w:t xml:space="preserve"> </w:t>
      </w:r>
      <w:r w:rsidR="00E214B6" w:rsidRPr="00C53B43">
        <w:rPr>
          <w:lang w:val="es-ES"/>
        </w:rPr>
        <w:t>a</w:t>
      </w:r>
      <w:r w:rsidR="0004669A" w:rsidRPr="00C53B43">
        <w:rPr>
          <w:lang w:val="es-ES"/>
        </w:rPr>
        <w:t xml:space="preserve"> una pregunta de México, explicó que el equipo de </w:t>
      </w:r>
      <w:r w:rsidR="00E214B6" w:rsidRPr="00C53B43">
        <w:rPr>
          <w:lang w:val="es-ES"/>
        </w:rPr>
        <w:t>p</w:t>
      </w:r>
      <w:r w:rsidR="0004669A" w:rsidRPr="00C53B43">
        <w:rPr>
          <w:lang w:val="es-ES"/>
        </w:rPr>
        <w:t>royecto procederá a identificar soluci</w:t>
      </w:r>
      <w:r w:rsidR="00B06321" w:rsidRPr="00C53B43">
        <w:rPr>
          <w:lang w:val="es-ES"/>
        </w:rPr>
        <w:t>ones</w:t>
      </w:r>
      <w:r w:rsidR="0004669A" w:rsidRPr="00C53B43">
        <w:rPr>
          <w:lang w:val="es-ES"/>
        </w:rPr>
        <w:t xml:space="preserve"> alternativa</w:t>
      </w:r>
      <w:r w:rsidR="00B06321" w:rsidRPr="00C53B43">
        <w:rPr>
          <w:lang w:val="es-ES"/>
        </w:rPr>
        <w:t>s</w:t>
      </w:r>
      <w:r w:rsidR="0004669A" w:rsidRPr="00C53B43">
        <w:rPr>
          <w:lang w:val="es-ES"/>
        </w:rPr>
        <w:t xml:space="preserve"> de diseño técnicamente conforme</w:t>
      </w:r>
      <w:r w:rsidR="00B06321" w:rsidRPr="00C53B43">
        <w:rPr>
          <w:lang w:val="es-ES"/>
        </w:rPr>
        <w:t>s</w:t>
      </w:r>
      <w:r w:rsidR="0004669A" w:rsidRPr="00C53B43">
        <w:rPr>
          <w:lang w:val="es-ES"/>
        </w:rPr>
        <w:t xml:space="preserve"> </w:t>
      </w:r>
      <w:r w:rsidR="00E214B6" w:rsidRPr="00C53B43">
        <w:rPr>
          <w:lang w:val="es-ES"/>
        </w:rPr>
        <w:t xml:space="preserve">y </w:t>
      </w:r>
      <w:r w:rsidR="0004669A" w:rsidRPr="00C53B43">
        <w:rPr>
          <w:lang w:val="es-ES"/>
        </w:rPr>
        <w:t>a un coste menor. Confirmó estar en contacto con otras organizaciones de las Naciones Unidas</w:t>
      </w:r>
      <w:r w:rsidR="00E214B6" w:rsidRPr="00C53B43">
        <w:rPr>
          <w:lang w:val="es-ES"/>
        </w:rPr>
        <w:t>,</w:t>
      </w:r>
      <w:r w:rsidR="0004669A" w:rsidRPr="00C53B43">
        <w:rPr>
          <w:lang w:val="es-ES"/>
        </w:rPr>
        <w:t xml:space="preserve"> como el plan estratégico de conservación del patrimonio de la Oficina de las Naciones Unidas en Ginebra y la OIT</w:t>
      </w:r>
      <w:r w:rsidR="00B06321" w:rsidRPr="00C53B43">
        <w:rPr>
          <w:lang w:val="es-ES"/>
        </w:rPr>
        <w:t>,</w:t>
      </w:r>
      <w:r w:rsidR="0004669A" w:rsidRPr="00C53B43">
        <w:rPr>
          <w:lang w:val="es-ES"/>
        </w:rPr>
        <w:t xml:space="preserve"> para </w:t>
      </w:r>
      <w:r w:rsidR="00E214B6" w:rsidRPr="00C53B43">
        <w:rPr>
          <w:lang w:val="es-ES"/>
        </w:rPr>
        <w:t>realizar consultas y aprovechar las lecciones adquiridas relativas a la estrategia del contrato de la empresa general que se debe elegir. También recordó que existe un fondo de contingencia de 12,6 millones CHF en el presupuesto asignado pero la decisión es mantener esta cantidad a salvo hasta el inicio de los trabajos de construcción.</w:t>
      </w:r>
    </w:p>
    <w:bookmarkEnd w:id="136"/>
    <w:p w14:paraId="5AD66231" w14:textId="08318903" w:rsidR="00993041" w:rsidRPr="00C53B43" w:rsidRDefault="00383A87" w:rsidP="00C53B43">
      <w:pPr>
        <w:rPr>
          <w:lang w:val="es-ES"/>
        </w:rPr>
      </w:pPr>
      <w:r w:rsidRPr="005E4B3F">
        <w:rPr>
          <w:lang w:val="es-ES"/>
        </w:rPr>
        <w:t>7.4</w:t>
      </w:r>
      <w:r w:rsidRPr="00C53B43">
        <w:rPr>
          <w:lang w:val="es-ES"/>
        </w:rPr>
        <w:tab/>
      </w:r>
      <w:bookmarkStart w:id="137" w:name="lt_pId306"/>
      <w:r w:rsidR="00993041" w:rsidRPr="00C53B43">
        <w:rPr>
          <w:lang w:val="es-ES"/>
        </w:rPr>
        <w:t xml:space="preserve">El fondo del </w:t>
      </w:r>
      <w:r w:rsidR="00BA1C01" w:rsidRPr="00C53B43">
        <w:rPr>
          <w:lang w:val="es-ES"/>
        </w:rPr>
        <w:t>registro de riesgos</w:t>
      </w:r>
      <w:r w:rsidR="00993041" w:rsidRPr="00C53B43">
        <w:rPr>
          <w:lang w:val="es-ES"/>
        </w:rPr>
        <w:t xml:space="preserve"> contenía inicialmente 1,42 millones CHF. Se realizó </w:t>
      </w:r>
      <w:r w:rsidR="00B06321" w:rsidRPr="00C53B43">
        <w:rPr>
          <w:lang w:val="es-ES"/>
        </w:rPr>
        <w:t xml:space="preserve">posteriormente </w:t>
      </w:r>
      <w:r w:rsidR="00993041" w:rsidRPr="00C53B43">
        <w:rPr>
          <w:lang w:val="es-ES"/>
        </w:rPr>
        <w:t>una atribución de 3,6 millones CHF a finales del año financiero 2020. E</w:t>
      </w:r>
      <w:r w:rsidR="00BA1C01" w:rsidRPr="00C53B43">
        <w:rPr>
          <w:lang w:val="es-ES"/>
        </w:rPr>
        <w:t>l</w:t>
      </w:r>
      <w:r w:rsidR="00993041" w:rsidRPr="00C53B43">
        <w:rPr>
          <w:lang w:val="es-ES"/>
        </w:rPr>
        <w:t xml:space="preserve"> fondo del registro de </w:t>
      </w:r>
      <w:r w:rsidR="00BA1C01" w:rsidRPr="00C53B43">
        <w:rPr>
          <w:lang w:val="es-ES"/>
        </w:rPr>
        <w:t>r</w:t>
      </w:r>
      <w:r w:rsidR="00993041" w:rsidRPr="00C53B43">
        <w:rPr>
          <w:lang w:val="es-ES"/>
        </w:rPr>
        <w:t xml:space="preserve">iesgos asciende en este momento a 5,02 millones CHF. Si es posible, la Secretaría atribuirá una cantidad adicional a los fondos de manera prioritaria de acuerdo con la Decisión 5. Japón propuso añadir la cantidad correspondiente a la estimación de gastos excesivos al fondo del </w:t>
      </w:r>
      <w:r w:rsidR="00BA1C01" w:rsidRPr="00C53B43">
        <w:rPr>
          <w:lang w:val="es-ES"/>
        </w:rPr>
        <w:t>registro de riesgos,</w:t>
      </w:r>
      <w:r w:rsidR="00993041" w:rsidRPr="00C53B43">
        <w:rPr>
          <w:lang w:val="es-ES"/>
        </w:rPr>
        <w:t xml:space="preserve"> pero la representante de la Secretaría indicó que dichos costes ya están incluidos en el </w:t>
      </w:r>
      <w:r w:rsidR="00BA1C01" w:rsidRPr="00C53B43">
        <w:rPr>
          <w:lang w:val="es-ES"/>
        </w:rPr>
        <w:t>registro de riesgos,</w:t>
      </w:r>
      <w:r w:rsidR="00993041" w:rsidRPr="00C53B43">
        <w:rPr>
          <w:lang w:val="es-ES"/>
        </w:rPr>
        <w:t xml:space="preserve"> pero no en una única línea</w:t>
      </w:r>
      <w:r w:rsidR="00BA1C01" w:rsidRPr="00C53B43">
        <w:rPr>
          <w:lang w:val="es-ES"/>
        </w:rPr>
        <w:t xml:space="preserve">. Un delegado de la Federación de Rusia envió un comentario por el chat considerando que debía </w:t>
      </w:r>
      <w:r w:rsidR="00B06321" w:rsidRPr="00C53B43">
        <w:rPr>
          <w:lang w:val="es-ES"/>
        </w:rPr>
        <w:t>abordarse</w:t>
      </w:r>
      <w:r w:rsidR="00BA1C01" w:rsidRPr="00C53B43">
        <w:rPr>
          <w:lang w:val="es-ES"/>
        </w:rPr>
        <w:t xml:space="preserve"> esta cuestión y se acordó identificar las líneas afectadas para debatirlo en el curso de la próxima reunión del Grupo Asesor de los Estados Miembros (GAEM).</w:t>
      </w:r>
    </w:p>
    <w:bookmarkEnd w:id="137"/>
    <w:p w14:paraId="6D81E749" w14:textId="2ACF8EDF" w:rsidR="00BA1C01" w:rsidRPr="00C53B43" w:rsidRDefault="00383A87" w:rsidP="00C53B43">
      <w:pPr>
        <w:rPr>
          <w:lang w:val="es-ES"/>
        </w:rPr>
      </w:pPr>
      <w:r w:rsidRPr="005E4B3F">
        <w:rPr>
          <w:lang w:val="es-ES"/>
        </w:rPr>
        <w:t>7.5</w:t>
      </w:r>
      <w:r w:rsidRPr="00C53B43">
        <w:rPr>
          <w:lang w:val="es-ES"/>
        </w:rPr>
        <w:tab/>
      </w:r>
      <w:bookmarkStart w:id="138" w:name="lt_pId313"/>
      <w:r w:rsidR="00BA1C01" w:rsidRPr="00C53B43">
        <w:rPr>
          <w:lang w:val="es-ES"/>
        </w:rPr>
        <w:t xml:space="preserve">El Presidente del GAEM tomó la palabra </w:t>
      </w:r>
      <w:r w:rsidR="004B1CAC" w:rsidRPr="00C53B43">
        <w:rPr>
          <w:lang w:val="es-ES"/>
        </w:rPr>
        <w:t xml:space="preserve">indicando que el Grupo </w:t>
      </w:r>
      <w:r w:rsidR="00BA1C01" w:rsidRPr="00C53B43">
        <w:rPr>
          <w:lang w:val="es-ES"/>
        </w:rPr>
        <w:t xml:space="preserve">no </w:t>
      </w:r>
      <w:r w:rsidR="004B1CAC" w:rsidRPr="00C53B43">
        <w:rPr>
          <w:lang w:val="es-ES"/>
        </w:rPr>
        <w:t>había llegado</w:t>
      </w:r>
      <w:r w:rsidR="00BA1C01" w:rsidRPr="00C53B43">
        <w:rPr>
          <w:lang w:val="es-ES"/>
        </w:rPr>
        <w:t xml:space="preserve"> a un acuerdo sobre cómo proceder con la</w:t>
      </w:r>
      <w:r w:rsidR="00B06321" w:rsidRPr="00C53B43">
        <w:rPr>
          <w:lang w:val="es-ES"/>
        </w:rPr>
        <w:t>s</w:t>
      </w:r>
      <w:r w:rsidR="00BA1C01" w:rsidRPr="00C53B43">
        <w:rPr>
          <w:lang w:val="es-ES"/>
        </w:rPr>
        <w:t xml:space="preserve"> estimaci</w:t>
      </w:r>
      <w:r w:rsidR="00B06321" w:rsidRPr="00C53B43">
        <w:rPr>
          <w:lang w:val="es-ES"/>
        </w:rPr>
        <w:t>ones</w:t>
      </w:r>
      <w:r w:rsidR="00BA1C01" w:rsidRPr="00C53B43">
        <w:rPr>
          <w:lang w:val="es-ES"/>
        </w:rPr>
        <w:t xml:space="preserve"> de costes</w:t>
      </w:r>
      <w:r w:rsidR="004B1CAC" w:rsidRPr="00C53B43">
        <w:rPr>
          <w:lang w:val="es-ES"/>
        </w:rPr>
        <w:t>,</w:t>
      </w:r>
      <w:r w:rsidR="00BA1C01" w:rsidRPr="00C53B43">
        <w:rPr>
          <w:lang w:val="es-ES"/>
        </w:rPr>
        <w:t xml:space="preserve"> </w:t>
      </w:r>
      <w:r w:rsidR="004B1CAC" w:rsidRPr="00C53B43">
        <w:rPr>
          <w:lang w:val="es-ES"/>
        </w:rPr>
        <w:t xml:space="preserve">impidiendo que el GAEM tuviera una posición de consenso que ofrecer al GTC-RHF, pero que </w:t>
      </w:r>
      <w:r w:rsidR="00B06321" w:rsidRPr="00C53B43">
        <w:rPr>
          <w:lang w:val="es-ES"/>
        </w:rPr>
        <w:t xml:space="preserve">su opinión personal era que </w:t>
      </w:r>
      <w:r w:rsidR="004B1CAC" w:rsidRPr="00C53B43">
        <w:rPr>
          <w:lang w:val="es-ES"/>
        </w:rPr>
        <w:t xml:space="preserve">la recomendación del personal profesional de la UIT es una recomendación responsable y conservadora que </w:t>
      </w:r>
      <w:r w:rsidR="00B06321" w:rsidRPr="00C53B43">
        <w:rPr>
          <w:lang w:val="es-ES"/>
        </w:rPr>
        <w:t>reafirma</w:t>
      </w:r>
      <w:r w:rsidR="004B1CAC" w:rsidRPr="00C53B43">
        <w:rPr>
          <w:lang w:val="es-ES"/>
        </w:rPr>
        <w:t xml:space="preserve"> la cantidad máxima de gasto para el proyecto del edificio y trata de manera razonable las estimaciones de costes </w:t>
      </w:r>
      <w:r w:rsidR="00B06321" w:rsidRPr="00C53B43">
        <w:rPr>
          <w:lang w:val="es-ES"/>
        </w:rPr>
        <w:t>al reconocer</w:t>
      </w:r>
      <w:r w:rsidR="004B1CAC" w:rsidRPr="00C53B43">
        <w:rPr>
          <w:lang w:val="es-ES"/>
        </w:rPr>
        <w:t xml:space="preserve"> su </w:t>
      </w:r>
      <w:r w:rsidR="00B06321" w:rsidRPr="00C53B43">
        <w:rPr>
          <w:lang w:val="es-ES"/>
        </w:rPr>
        <w:t xml:space="preserve">limitada </w:t>
      </w:r>
      <w:r w:rsidR="004B1CAC" w:rsidRPr="00C53B43">
        <w:rPr>
          <w:lang w:val="es-ES"/>
        </w:rPr>
        <w:t xml:space="preserve">precisión. La </w:t>
      </w:r>
      <w:r w:rsidR="00B06321" w:rsidRPr="00C53B43">
        <w:rPr>
          <w:lang w:val="es-ES"/>
        </w:rPr>
        <w:t xml:space="preserve">Secretaría </w:t>
      </w:r>
      <w:r w:rsidR="004B1CAC" w:rsidRPr="00C53B43">
        <w:rPr>
          <w:lang w:val="es-ES"/>
        </w:rPr>
        <w:t>agradeció al Presidente del GAEM su apoyo.</w:t>
      </w:r>
    </w:p>
    <w:p w14:paraId="2B92D488" w14:textId="5F0AD52B" w:rsidR="00383A87" w:rsidRPr="00467C05" w:rsidRDefault="004B1CAC" w:rsidP="000A5A9F">
      <w:pPr>
        <w:pStyle w:val="Headingb"/>
        <w:ind w:left="0" w:firstLine="0"/>
        <w:rPr>
          <w:lang w:val="es-ES"/>
        </w:rPr>
      </w:pPr>
      <w:bookmarkStart w:id="139" w:name="lt_pId315"/>
      <w:bookmarkEnd w:id="138"/>
      <w:r w:rsidRPr="00593F5A">
        <w:rPr>
          <w:lang w:val="es-ES"/>
        </w:rPr>
        <w:lastRenderedPageBreak/>
        <w:t>Contribución de</w:t>
      </w:r>
      <w:r w:rsidR="00D76F1D" w:rsidRPr="00593F5A">
        <w:rPr>
          <w:lang w:val="es-ES"/>
        </w:rPr>
        <w:t xml:space="preserve"> </w:t>
      </w:r>
      <w:r w:rsidRPr="00593F5A">
        <w:rPr>
          <w:lang w:val="es-ES"/>
        </w:rPr>
        <w:t>l</w:t>
      </w:r>
      <w:r w:rsidR="00D76F1D" w:rsidRPr="00593F5A">
        <w:rPr>
          <w:lang w:val="es-ES"/>
        </w:rPr>
        <w:t>a</w:t>
      </w:r>
      <w:r w:rsidRPr="00593F5A">
        <w:rPr>
          <w:lang w:val="es-ES"/>
        </w:rPr>
        <w:t xml:space="preserve"> President</w:t>
      </w:r>
      <w:r w:rsidR="00D76F1D" w:rsidRPr="00593F5A">
        <w:rPr>
          <w:lang w:val="es-ES"/>
        </w:rPr>
        <w:t>a</w:t>
      </w:r>
      <w:r w:rsidRPr="00593F5A">
        <w:rPr>
          <w:lang w:val="es-ES"/>
        </w:rPr>
        <w:t xml:space="preserve"> del GTC-RHF</w:t>
      </w:r>
      <w:r w:rsidR="00383A87" w:rsidRPr="00593F5A">
        <w:rPr>
          <w:lang w:val="es-ES"/>
        </w:rPr>
        <w:t xml:space="preserve">: </w:t>
      </w:r>
      <w:r w:rsidR="00593F5A" w:rsidRPr="00593F5A">
        <w:rPr>
          <w:lang w:val="es-ES"/>
        </w:rPr>
        <w:t>d</w:t>
      </w:r>
      <w:r w:rsidRPr="00593F5A">
        <w:rPr>
          <w:lang w:val="es-ES"/>
        </w:rPr>
        <w:t>ebates del GAEM sobre la financiación del fondo del registro de riesgos para la nueva Sede de la UIT</w:t>
      </w:r>
      <w:r w:rsidR="00383A87" w:rsidRPr="00593F5A">
        <w:rPr>
          <w:lang w:val="es-ES"/>
        </w:rPr>
        <w:t xml:space="preserve"> (Document</w:t>
      </w:r>
      <w:r w:rsidR="00FE14AD" w:rsidRPr="00593F5A">
        <w:rPr>
          <w:lang w:val="es-ES"/>
        </w:rPr>
        <w:t>o</w:t>
      </w:r>
      <w:r w:rsidR="00383A87" w:rsidRPr="00593F5A">
        <w:rPr>
          <w:lang w:val="es-ES"/>
        </w:rPr>
        <w:t xml:space="preserve"> </w:t>
      </w:r>
      <w:hyperlink r:id="rId26" w:history="1">
        <w:r w:rsidR="00383A87" w:rsidRPr="00593F5A">
          <w:rPr>
            <w:rStyle w:val="Hyperlink"/>
            <w:rFonts w:asciiTheme="minorHAnsi" w:hAnsiTheme="minorHAnsi" w:cstheme="minorHAnsi"/>
            <w:bCs/>
            <w:lang w:val="es-ES"/>
          </w:rPr>
          <w:t>CWG-FHR-12/10</w:t>
        </w:r>
      </w:hyperlink>
      <w:r w:rsidR="00383A87" w:rsidRPr="00593F5A">
        <w:rPr>
          <w:lang w:val="es-ES"/>
        </w:rPr>
        <w:t>)</w:t>
      </w:r>
      <w:bookmarkEnd w:id="139"/>
    </w:p>
    <w:p w14:paraId="3AF0265F" w14:textId="29F992A3" w:rsidR="00383A87" w:rsidRPr="00467C05" w:rsidRDefault="00383A87" w:rsidP="00C53B43">
      <w:pPr>
        <w:rPr>
          <w:lang w:val="es-ES"/>
        </w:rPr>
      </w:pPr>
      <w:r w:rsidRPr="00467C05">
        <w:rPr>
          <w:lang w:val="es-ES"/>
        </w:rPr>
        <w:t>7.6</w:t>
      </w:r>
      <w:r w:rsidRPr="00467C05">
        <w:rPr>
          <w:lang w:val="es-ES"/>
        </w:rPr>
        <w:tab/>
      </w:r>
      <w:bookmarkStart w:id="140" w:name="lt_pId317"/>
      <w:r w:rsidR="004B1CAC" w:rsidRPr="00467C05">
        <w:rPr>
          <w:lang w:val="es-ES"/>
        </w:rPr>
        <w:t>El Presidente del GAEM presentó el</w:t>
      </w:r>
      <w:r w:rsidRPr="00467C05">
        <w:rPr>
          <w:lang w:val="es-ES"/>
        </w:rPr>
        <w:t xml:space="preserve"> </w:t>
      </w:r>
      <w:r w:rsidR="00593F5A" w:rsidRPr="00467C05">
        <w:rPr>
          <w:lang w:val="es-ES"/>
        </w:rPr>
        <w:t xml:space="preserve">Documento </w:t>
      </w:r>
      <w:r w:rsidRPr="00467C05">
        <w:rPr>
          <w:lang w:val="es-ES"/>
        </w:rPr>
        <w:t>CWG-FHR</w:t>
      </w:r>
      <w:r w:rsidR="00593F5A">
        <w:rPr>
          <w:lang w:val="es-ES"/>
        </w:rPr>
        <w:t>-</w:t>
      </w:r>
      <w:r w:rsidRPr="00467C05">
        <w:rPr>
          <w:lang w:val="es-ES"/>
        </w:rPr>
        <w:t xml:space="preserve">12/10 </w:t>
      </w:r>
      <w:r w:rsidR="004B1CAC" w:rsidRPr="00467C05">
        <w:rPr>
          <w:lang w:val="es-ES"/>
        </w:rPr>
        <w:t>que ofrece extractos relevantes de los Informes del GAEM para reuniones donde se ha debatido sobre la importancia de una financiación adecuada del fondo del registro de riesgos</w:t>
      </w:r>
      <w:r w:rsidRPr="00467C05">
        <w:rPr>
          <w:lang w:val="es-ES"/>
        </w:rPr>
        <w:t>.</w:t>
      </w:r>
      <w:bookmarkEnd w:id="140"/>
    </w:p>
    <w:p w14:paraId="29FCD07F" w14:textId="77777777" w:rsidR="00383A87" w:rsidRPr="00467C05" w:rsidRDefault="00383A87" w:rsidP="00C53B43">
      <w:pPr>
        <w:rPr>
          <w:lang w:val="es-ES"/>
        </w:rPr>
      </w:pPr>
      <w:r w:rsidRPr="00467C05">
        <w:rPr>
          <w:lang w:val="es-ES"/>
        </w:rPr>
        <w:t>7.7</w:t>
      </w:r>
      <w:r w:rsidRPr="00467C05">
        <w:rPr>
          <w:lang w:val="es-ES"/>
        </w:rPr>
        <w:tab/>
      </w:r>
      <w:bookmarkStart w:id="141" w:name="lt_pId319"/>
      <w:r w:rsidR="00D76F1D" w:rsidRPr="00467C05">
        <w:rPr>
          <w:lang w:val="es-ES"/>
        </w:rPr>
        <w:t xml:space="preserve">La Secretaría recordó a los participantes que el fondo se creó en </w:t>
      </w:r>
      <w:r w:rsidR="00DE2745" w:rsidRPr="00467C05">
        <w:rPr>
          <w:lang w:val="es-ES"/>
        </w:rPr>
        <w:t>2019, aunque</w:t>
      </w:r>
      <w:r w:rsidR="00D76F1D" w:rsidRPr="00467C05">
        <w:rPr>
          <w:lang w:val="es-ES"/>
        </w:rPr>
        <w:t xml:space="preserve"> no estaba previsto en el Plan Financiero 2020-2023. El </w:t>
      </w:r>
      <w:r w:rsidR="00DE2745" w:rsidRPr="00467C05">
        <w:rPr>
          <w:lang w:val="es-ES"/>
        </w:rPr>
        <w:t>Secretario</w:t>
      </w:r>
      <w:r w:rsidR="00D76F1D" w:rsidRPr="00467C05">
        <w:rPr>
          <w:lang w:val="es-ES"/>
        </w:rPr>
        <w:t xml:space="preserve"> </w:t>
      </w:r>
      <w:r w:rsidR="00DE2745" w:rsidRPr="00467C05">
        <w:rPr>
          <w:lang w:val="es-ES"/>
        </w:rPr>
        <w:t>General ya aprobó la reposición de aproximadamente 1,4 millones CHF a finales de 2019</w:t>
      </w:r>
      <w:r w:rsidR="009715D4">
        <w:rPr>
          <w:lang w:val="es-ES"/>
        </w:rPr>
        <w:t>, está</w:t>
      </w:r>
      <w:r w:rsidR="00DE2745" w:rsidRPr="00467C05">
        <w:rPr>
          <w:lang w:val="es-ES"/>
        </w:rPr>
        <w:t xml:space="preserve"> previsto atribuir 3,6 millones CHF al fondo provenientes del superávit del presupuesto y </w:t>
      </w:r>
      <w:r w:rsidR="002039B5" w:rsidRPr="00467C05">
        <w:rPr>
          <w:lang w:val="es-ES"/>
        </w:rPr>
        <w:t xml:space="preserve">debería seguir </w:t>
      </w:r>
      <w:r w:rsidR="009715D4">
        <w:rPr>
          <w:lang w:val="es-ES"/>
        </w:rPr>
        <w:t>realizándose la reposición del</w:t>
      </w:r>
      <w:r w:rsidR="002039B5" w:rsidRPr="00467C05">
        <w:rPr>
          <w:lang w:val="es-ES"/>
        </w:rPr>
        <w:t xml:space="preserve"> fondo si la situación lo permite. En el futuro, deberá debatirse la inclusión de un crédito presupuestario para </w:t>
      </w:r>
      <w:r w:rsidR="009715D4">
        <w:rPr>
          <w:lang w:val="es-ES"/>
        </w:rPr>
        <w:t>l</w:t>
      </w:r>
      <w:r w:rsidR="002039B5" w:rsidRPr="00467C05">
        <w:rPr>
          <w:lang w:val="es-ES"/>
        </w:rPr>
        <w:t xml:space="preserve">a reposición del fondo del registro de riesgos, durante la preparación del Plan Financiero </w:t>
      </w:r>
      <w:bookmarkStart w:id="142" w:name="lt_pId321"/>
      <w:bookmarkEnd w:id="141"/>
      <w:r w:rsidRPr="00467C05">
        <w:rPr>
          <w:lang w:val="es-ES"/>
        </w:rPr>
        <w:t>2024-2027.</w:t>
      </w:r>
      <w:bookmarkEnd w:id="142"/>
    </w:p>
    <w:p w14:paraId="62D764A3" w14:textId="77777777" w:rsidR="00383A87" w:rsidRPr="00467C05" w:rsidRDefault="00383A87" w:rsidP="00C53B43">
      <w:pPr>
        <w:rPr>
          <w:lang w:val="es-ES"/>
        </w:rPr>
      </w:pPr>
      <w:r w:rsidRPr="00467C05">
        <w:rPr>
          <w:lang w:val="es-ES"/>
        </w:rPr>
        <w:t>7.8</w:t>
      </w:r>
      <w:r w:rsidRPr="00467C05">
        <w:rPr>
          <w:lang w:val="es-ES"/>
        </w:rPr>
        <w:tab/>
      </w:r>
      <w:bookmarkStart w:id="143" w:name="lt_pId323"/>
      <w:r w:rsidR="002039B5" w:rsidRPr="00467C05">
        <w:rPr>
          <w:lang w:val="es-ES"/>
        </w:rPr>
        <w:t>El GTC-RHF tomó nota del documento.</w:t>
      </w:r>
      <w:bookmarkEnd w:id="143"/>
    </w:p>
    <w:p w14:paraId="7C3CAC82" w14:textId="258AC61D" w:rsidR="00383A87" w:rsidRPr="00467C05" w:rsidRDefault="00383A87" w:rsidP="00C53B43">
      <w:pPr>
        <w:pStyle w:val="Heading1"/>
        <w:rPr>
          <w:lang w:val="es-ES" w:eastAsia="en-AU"/>
        </w:rPr>
      </w:pPr>
      <w:r w:rsidRPr="00164F0F">
        <w:rPr>
          <w:lang w:val="es-ES"/>
        </w:rPr>
        <w:t>8</w:t>
      </w:r>
      <w:r w:rsidRPr="00164F0F">
        <w:rPr>
          <w:lang w:val="es-ES"/>
        </w:rPr>
        <w:tab/>
      </w:r>
      <w:bookmarkStart w:id="144" w:name="lt_pId325"/>
      <w:r w:rsidRPr="00164F0F">
        <w:rPr>
          <w:lang w:val="es-ES"/>
        </w:rPr>
        <w:t>Contribu</w:t>
      </w:r>
      <w:r w:rsidR="002039B5" w:rsidRPr="00164F0F">
        <w:rPr>
          <w:lang w:val="es-ES"/>
        </w:rPr>
        <w:t xml:space="preserve">ción de la Federación de Rusia: </w:t>
      </w:r>
      <w:r w:rsidR="00593F5A" w:rsidRPr="00164F0F">
        <w:rPr>
          <w:lang w:val="es-ES"/>
        </w:rPr>
        <w:t>d</w:t>
      </w:r>
      <w:r w:rsidR="002039B5" w:rsidRPr="00164F0F">
        <w:rPr>
          <w:lang w:val="es-ES"/>
        </w:rPr>
        <w:t xml:space="preserve">esarrollo de un método de cálculo de las contribuciones en especie </w:t>
      </w:r>
      <w:r w:rsidRPr="00164F0F">
        <w:rPr>
          <w:lang w:val="es-ES"/>
        </w:rPr>
        <w:t>(Document</w:t>
      </w:r>
      <w:r w:rsidR="002039B5" w:rsidRPr="00164F0F">
        <w:rPr>
          <w:lang w:val="es-ES"/>
        </w:rPr>
        <w:t>o</w:t>
      </w:r>
      <w:r w:rsidRPr="00164F0F">
        <w:rPr>
          <w:lang w:val="es-ES"/>
        </w:rPr>
        <w:t xml:space="preserve"> </w:t>
      </w:r>
      <w:hyperlink r:id="rId27" w:history="1">
        <w:r w:rsidRPr="00164F0F">
          <w:rPr>
            <w:rStyle w:val="Hyperlink"/>
            <w:rFonts w:asciiTheme="minorHAnsi" w:hAnsiTheme="minorHAnsi" w:cstheme="minorHAnsi"/>
            <w:bCs/>
            <w:lang w:val="es-ES"/>
          </w:rPr>
          <w:t>CWG-FHR-12/15</w:t>
        </w:r>
      </w:hyperlink>
      <w:r w:rsidRPr="00164F0F">
        <w:t>)</w:t>
      </w:r>
      <w:bookmarkEnd w:id="144"/>
    </w:p>
    <w:p w14:paraId="3EB2FBA0" w14:textId="22467E73" w:rsidR="00383A87" w:rsidRPr="00467C05" w:rsidRDefault="00383A87" w:rsidP="00C53B43">
      <w:pPr>
        <w:rPr>
          <w:lang w:val="es-ES"/>
        </w:rPr>
      </w:pPr>
      <w:r w:rsidRPr="00467C05">
        <w:rPr>
          <w:lang w:val="es-ES"/>
        </w:rPr>
        <w:t>8.1</w:t>
      </w:r>
      <w:r w:rsidRPr="00467C05">
        <w:rPr>
          <w:lang w:val="es-ES"/>
        </w:rPr>
        <w:tab/>
      </w:r>
      <w:bookmarkStart w:id="145" w:name="lt_pId327"/>
      <w:r w:rsidR="002039B5" w:rsidRPr="00467C05">
        <w:rPr>
          <w:lang w:val="es-ES"/>
        </w:rPr>
        <w:t>La</w:t>
      </w:r>
      <w:r w:rsidR="002039B5" w:rsidRPr="00467C05">
        <w:rPr>
          <w:bCs/>
          <w:lang w:val="es-ES"/>
        </w:rPr>
        <w:t xml:space="preserve"> Federación de Rusia</w:t>
      </w:r>
      <w:r w:rsidRPr="00467C05">
        <w:rPr>
          <w:lang w:val="es-ES"/>
        </w:rPr>
        <w:t xml:space="preserve"> </w:t>
      </w:r>
      <w:r w:rsidR="00E842FF" w:rsidRPr="00467C05">
        <w:rPr>
          <w:lang w:val="es-ES"/>
        </w:rPr>
        <w:t>presentó</w:t>
      </w:r>
      <w:r w:rsidR="002039B5" w:rsidRPr="00467C05">
        <w:rPr>
          <w:lang w:val="es-ES"/>
        </w:rPr>
        <w:t xml:space="preserve"> el</w:t>
      </w:r>
      <w:r w:rsidRPr="00467C05">
        <w:rPr>
          <w:lang w:val="es-ES"/>
        </w:rPr>
        <w:t xml:space="preserve"> Document</w:t>
      </w:r>
      <w:r w:rsidR="002039B5" w:rsidRPr="00467C05">
        <w:rPr>
          <w:lang w:val="es-ES"/>
        </w:rPr>
        <w:t>o</w:t>
      </w:r>
      <w:r w:rsidRPr="00467C05">
        <w:rPr>
          <w:lang w:val="es-ES"/>
        </w:rPr>
        <w:t xml:space="preserve"> CWG-FHR</w:t>
      </w:r>
      <w:r w:rsidR="00593F5A">
        <w:rPr>
          <w:lang w:val="es-ES"/>
        </w:rPr>
        <w:t>-</w:t>
      </w:r>
      <w:r w:rsidRPr="00467C05">
        <w:rPr>
          <w:lang w:val="es-ES"/>
        </w:rPr>
        <w:t xml:space="preserve">12/15, </w:t>
      </w:r>
      <w:r w:rsidR="002039B5" w:rsidRPr="00467C05">
        <w:rPr>
          <w:lang w:val="es-ES"/>
        </w:rPr>
        <w:t>que solicita a la Secretaría</w:t>
      </w:r>
      <w:r w:rsidRPr="00467C05">
        <w:rPr>
          <w:lang w:val="es-ES"/>
        </w:rPr>
        <w:t>:</w:t>
      </w:r>
      <w:bookmarkEnd w:id="145"/>
    </w:p>
    <w:p w14:paraId="736C0176" w14:textId="056DD3AE" w:rsidR="00E842FF" w:rsidRPr="00467C05" w:rsidRDefault="004D1648" w:rsidP="004D1648">
      <w:pPr>
        <w:pStyle w:val="enumlev1"/>
        <w:rPr>
          <w:lang w:val="es-ES"/>
        </w:rPr>
      </w:pPr>
      <w:bookmarkStart w:id="146" w:name="lt_pId328"/>
      <w:r>
        <w:rPr>
          <w:lang w:val="es-ES"/>
        </w:rPr>
        <w:t>–</w:t>
      </w:r>
      <w:r>
        <w:rPr>
          <w:lang w:val="es-ES"/>
        </w:rPr>
        <w:tab/>
      </w:r>
      <w:r w:rsidR="003946EE" w:rsidRPr="00467C05">
        <w:rPr>
          <w:lang w:val="es-ES"/>
        </w:rPr>
        <w:t>e</w:t>
      </w:r>
      <w:r w:rsidR="00E842FF" w:rsidRPr="00467C05">
        <w:rPr>
          <w:lang w:val="es-ES"/>
        </w:rPr>
        <w:t xml:space="preserve">laborar unas directrices generales para las contribuciones financieras y de otro tipo de los Estados Miembros, los Miembros de Sector y otros socios en las iniciativas regionales, que se basen en los principios y criterios de sus mandatos </w:t>
      </w:r>
      <w:r w:rsidR="003946EE" w:rsidRPr="00467C05">
        <w:rPr>
          <w:lang w:val="es-ES"/>
        </w:rPr>
        <w:t xml:space="preserve">definidos </w:t>
      </w:r>
      <w:r w:rsidR="00E842FF" w:rsidRPr="00467C05">
        <w:rPr>
          <w:lang w:val="es-ES"/>
        </w:rPr>
        <w:t xml:space="preserve">en el apartado de </w:t>
      </w:r>
      <w:r w:rsidR="00E842FF" w:rsidRPr="00467C05">
        <w:rPr>
          <w:i/>
          <w:lang w:val="es-ES"/>
        </w:rPr>
        <w:t>resuelve</w:t>
      </w:r>
      <w:r w:rsidR="00E842FF" w:rsidRPr="00467C05">
        <w:rPr>
          <w:lang w:val="es-ES"/>
        </w:rPr>
        <w:t xml:space="preserve"> de la Resolución 17 (Rev. Buenos Aires</w:t>
      </w:r>
      <w:r w:rsidR="00781C1D">
        <w:rPr>
          <w:lang w:val="es-ES"/>
        </w:rPr>
        <w:t>,</w:t>
      </w:r>
      <w:r w:rsidR="00E842FF" w:rsidRPr="00467C05">
        <w:rPr>
          <w:lang w:val="es-ES"/>
        </w:rPr>
        <w:t xml:space="preserve"> 2017) y que contengan disposiciones que </w:t>
      </w:r>
      <w:r w:rsidR="00A866F2" w:rsidRPr="00467C05">
        <w:rPr>
          <w:lang w:val="es-ES"/>
        </w:rPr>
        <w:t>difundan estos principios.</w:t>
      </w:r>
    </w:p>
    <w:bookmarkEnd w:id="146"/>
    <w:p w14:paraId="118111FE" w14:textId="77777777" w:rsidR="00383A87" w:rsidRPr="00467C05" w:rsidRDefault="00383A87" w:rsidP="00C53B43">
      <w:pPr>
        <w:rPr>
          <w:lang w:val="es-ES"/>
        </w:rPr>
      </w:pPr>
      <w:r w:rsidRPr="00467C05">
        <w:rPr>
          <w:lang w:val="es-ES"/>
        </w:rPr>
        <w:t>8.2</w:t>
      </w:r>
      <w:r w:rsidRPr="00467C05">
        <w:rPr>
          <w:lang w:val="es-ES"/>
        </w:rPr>
        <w:tab/>
      </w:r>
      <w:bookmarkStart w:id="147" w:name="lt_pId330"/>
      <w:r w:rsidR="003946EE" w:rsidRPr="00467C05">
        <w:rPr>
          <w:lang w:val="es-ES"/>
        </w:rPr>
        <w:t>Dichas</w:t>
      </w:r>
      <w:r w:rsidR="00A866F2" w:rsidRPr="00467C05">
        <w:rPr>
          <w:lang w:val="es-ES"/>
        </w:rPr>
        <w:t xml:space="preserve"> disposiciones deberían incluir</w:t>
      </w:r>
      <w:r w:rsidRPr="00467C05">
        <w:rPr>
          <w:lang w:val="es-ES"/>
        </w:rPr>
        <w:t>:</w:t>
      </w:r>
      <w:bookmarkEnd w:id="147"/>
    </w:p>
    <w:p w14:paraId="1F9BF625" w14:textId="4FC4007D" w:rsidR="00383A87" w:rsidRPr="00467C05" w:rsidRDefault="00C53B43" w:rsidP="00C53B43">
      <w:pPr>
        <w:pStyle w:val="enumlev1"/>
        <w:rPr>
          <w:lang w:val="es-ES"/>
        </w:rPr>
      </w:pPr>
      <w:bookmarkStart w:id="148" w:name="lt_pId331"/>
      <w:r w:rsidRPr="00C53B43">
        <w:rPr>
          <w:lang w:val="es-ES"/>
        </w:rPr>
        <w:t>•</w:t>
      </w:r>
      <w:r>
        <w:rPr>
          <w:lang w:val="es-ES"/>
        </w:rPr>
        <w:tab/>
      </w:r>
      <w:r w:rsidR="00A866F2" w:rsidRPr="00467C05">
        <w:rPr>
          <w:lang w:val="es-ES"/>
        </w:rPr>
        <w:t xml:space="preserve">Criterios elaborados para la clasificación adecuada </w:t>
      </w:r>
      <w:r w:rsidR="003946EE" w:rsidRPr="00467C05">
        <w:rPr>
          <w:lang w:val="es-ES"/>
        </w:rPr>
        <w:t>por parte</w:t>
      </w:r>
      <w:r w:rsidR="00A866F2" w:rsidRPr="00467C05">
        <w:rPr>
          <w:lang w:val="es-ES"/>
        </w:rPr>
        <w:t xml:space="preserve"> de los Estados Miembros de fondos de </w:t>
      </w:r>
      <w:r w:rsidR="00871278">
        <w:rPr>
          <w:lang w:val="es-ES"/>
        </w:rPr>
        <w:t xml:space="preserve">los </w:t>
      </w:r>
      <w:r w:rsidR="00A866F2" w:rsidRPr="00467C05">
        <w:rPr>
          <w:lang w:val="es-ES"/>
        </w:rPr>
        <w:t>proyectos como contribuciones en especie.</w:t>
      </w:r>
      <w:bookmarkEnd w:id="148"/>
    </w:p>
    <w:p w14:paraId="3D3EBE1C" w14:textId="2F0565EC" w:rsidR="00A866F2" w:rsidRPr="00467C05" w:rsidRDefault="00C53B43" w:rsidP="00C53B43">
      <w:pPr>
        <w:pStyle w:val="enumlev1"/>
        <w:rPr>
          <w:lang w:val="es-ES"/>
        </w:rPr>
      </w:pPr>
      <w:bookmarkStart w:id="149" w:name="lt_pId332"/>
      <w:r w:rsidRPr="00C53B43">
        <w:rPr>
          <w:lang w:val="es-ES"/>
        </w:rPr>
        <w:t>•</w:t>
      </w:r>
      <w:r>
        <w:rPr>
          <w:lang w:val="es-ES"/>
        </w:rPr>
        <w:tab/>
      </w:r>
      <w:r w:rsidR="00A866F2" w:rsidRPr="00467C05">
        <w:rPr>
          <w:lang w:val="es-ES"/>
        </w:rPr>
        <w:t xml:space="preserve">Un método desarrollado para el cálculo de las contribuciones en especie </w:t>
      </w:r>
      <w:r w:rsidR="00871278" w:rsidRPr="00467C05">
        <w:rPr>
          <w:lang w:val="es-ES"/>
        </w:rPr>
        <w:t xml:space="preserve">aportadas </w:t>
      </w:r>
      <w:r w:rsidR="00A866F2" w:rsidRPr="00467C05">
        <w:rPr>
          <w:lang w:val="es-ES"/>
        </w:rPr>
        <w:t xml:space="preserve">al presupuesto de los proyectos </w:t>
      </w:r>
      <w:r w:rsidR="003946EE" w:rsidRPr="00467C05">
        <w:rPr>
          <w:lang w:val="es-ES"/>
        </w:rPr>
        <w:t>para</w:t>
      </w:r>
      <w:r w:rsidR="00A866F2" w:rsidRPr="00467C05">
        <w:rPr>
          <w:lang w:val="es-ES"/>
        </w:rPr>
        <w:t xml:space="preserve"> la implementación de las iniciativas regionales, en base a la combinación, si es posible, de proyectos normalizados con contenidos similares que contengan la estructura general del correspondiente </w:t>
      </w:r>
      <w:r w:rsidR="003946EE" w:rsidRPr="00467C05">
        <w:rPr>
          <w:lang w:val="es-ES"/>
        </w:rPr>
        <w:t xml:space="preserve">acuerdo </w:t>
      </w:r>
      <w:r w:rsidR="00A866F2" w:rsidRPr="00467C05">
        <w:rPr>
          <w:lang w:val="es-ES"/>
        </w:rPr>
        <w:t>entre la UIT, los Estados Miembros y los socios, y teniendo en cuenta la legislación nacional de los países, las disposiciones del Reglamento Financiero y las Reglas Financieras de la UIT, las disposiciones de las IPSAS y otros documentos relevantes</w:t>
      </w:r>
      <w:r w:rsidR="00871278">
        <w:rPr>
          <w:lang w:val="es-ES"/>
        </w:rPr>
        <w:t>,</w:t>
      </w:r>
      <w:r w:rsidR="00A866F2" w:rsidRPr="00467C05">
        <w:rPr>
          <w:lang w:val="es-ES"/>
        </w:rPr>
        <w:t xml:space="preserve"> para facilitar a los Estados Miembros la identificación e implementación de las oportunidades adecuadas.</w:t>
      </w:r>
    </w:p>
    <w:p w14:paraId="2B101BC1" w14:textId="576EC779" w:rsidR="003946EE" w:rsidRPr="00467C05" w:rsidRDefault="00383A87" w:rsidP="00C53B43">
      <w:pPr>
        <w:rPr>
          <w:lang w:val="es-ES"/>
        </w:rPr>
      </w:pPr>
      <w:bookmarkStart w:id="150" w:name="_Hlk63074594"/>
      <w:bookmarkEnd w:id="149"/>
      <w:r w:rsidRPr="00467C05">
        <w:rPr>
          <w:lang w:val="es-ES"/>
        </w:rPr>
        <w:t>8.3</w:t>
      </w:r>
      <w:r w:rsidRPr="00467C05">
        <w:rPr>
          <w:lang w:val="es-ES"/>
        </w:rPr>
        <w:tab/>
      </w:r>
      <w:bookmarkStart w:id="151" w:name="lt_pId334"/>
      <w:r w:rsidR="00164F0F" w:rsidRPr="00467C05">
        <w:rPr>
          <w:lang w:val="es-ES"/>
        </w:rPr>
        <w:t xml:space="preserve">Que </w:t>
      </w:r>
      <w:r w:rsidR="00E860C2" w:rsidRPr="00467C05">
        <w:rPr>
          <w:lang w:val="es-ES"/>
        </w:rPr>
        <w:t>informe</w:t>
      </w:r>
      <w:r w:rsidR="003946EE" w:rsidRPr="00467C05">
        <w:rPr>
          <w:lang w:val="es-ES"/>
        </w:rPr>
        <w:t xml:space="preserve"> cada año</w:t>
      </w:r>
      <w:r w:rsidR="00E860C2" w:rsidRPr="00467C05">
        <w:rPr>
          <w:lang w:val="es-ES"/>
        </w:rPr>
        <w:t xml:space="preserve"> al Consejo de la </w:t>
      </w:r>
      <w:r w:rsidR="00E860C2" w:rsidRPr="00871278">
        <w:rPr>
          <w:lang w:val="es-ES"/>
        </w:rPr>
        <w:t xml:space="preserve">UIT sobre la experiencia de implementación de </w:t>
      </w:r>
      <w:r w:rsidR="00871278">
        <w:rPr>
          <w:lang w:val="es-ES"/>
        </w:rPr>
        <w:t xml:space="preserve">las </w:t>
      </w:r>
      <w:r w:rsidR="00E860C2" w:rsidRPr="00871278">
        <w:rPr>
          <w:lang w:val="es-ES"/>
        </w:rPr>
        <w:t>iniciativas regionales</w:t>
      </w:r>
      <w:r w:rsidR="00871278">
        <w:rPr>
          <w:lang w:val="es-ES"/>
        </w:rPr>
        <w:t xml:space="preserve"> que incluyen</w:t>
      </w:r>
      <w:r w:rsidR="00E860C2" w:rsidRPr="00871278">
        <w:rPr>
          <w:lang w:val="es-ES"/>
        </w:rPr>
        <w:t xml:space="preserve"> proyectos con contribuciones en especie.</w:t>
      </w:r>
    </w:p>
    <w:bookmarkEnd w:id="151"/>
    <w:bookmarkEnd w:id="150"/>
    <w:p w14:paraId="24057DF4" w14:textId="0E983C04" w:rsidR="00383A87" w:rsidRPr="00467C05" w:rsidRDefault="00383A87" w:rsidP="00C53B43">
      <w:pPr>
        <w:rPr>
          <w:lang w:val="es-ES"/>
        </w:rPr>
      </w:pPr>
      <w:r w:rsidRPr="00467C05">
        <w:rPr>
          <w:lang w:val="es-ES"/>
        </w:rPr>
        <w:t>8.4</w:t>
      </w:r>
      <w:r w:rsidRPr="00467C05">
        <w:rPr>
          <w:lang w:val="es-ES"/>
        </w:rPr>
        <w:tab/>
      </w:r>
      <w:bookmarkStart w:id="152" w:name="lt_pId336"/>
      <w:r w:rsidR="00E860C2" w:rsidRPr="00467C05">
        <w:rPr>
          <w:lang w:val="es-ES"/>
        </w:rPr>
        <w:t>Los delegados y la Secretaría agradecieron la contribución.</w:t>
      </w:r>
      <w:bookmarkEnd w:id="152"/>
    </w:p>
    <w:p w14:paraId="01BDAE05" w14:textId="77777777" w:rsidR="00E860C2" w:rsidRPr="00467C05" w:rsidRDefault="00383A87" w:rsidP="00C53B43">
      <w:pPr>
        <w:rPr>
          <w:lang w:val="es-ES"/>
        </w:rPr>
      </w:pPr>
      <w:r w:rsidRPr="00467C05">
        <w:rPr>
          <w:lang w:val="es-ES"/>
        </w:rPr>
        <w:t>8.5</w:t>
      </w:r>
      <w:r w:rsidRPr="00467C05">
        <w:rPr>
          <w:lang w:val="es-ES"/>
        </w:rPr>
        <w:tab/>
      </w:r>
      <w:bookmarkStart w:id="153" w:name="lt_pId338"/>
      <w:r w:rsidR="00871278">
        <w:rPr>
          <w:lang w:val="es-ES"/>
        </w:rPr>
        <w:t>El GTC-RHF acordó</w:t>
      </w:r>
      <w:r w:rsidR="00E860C2" w:rsidRPr="00467C05">
        <w:rPr>
          <w:lang w:val="es-ES"/>
        </w:rPr>
        <w:t xml:space="preserve"> que la Secretaría y la Federación de Rusia </w:t>
      </w:r>
      <w:r w:rsidR="00627E19" w:rsidRPr="00467C05">
        <w:rPr>
          <w:lang w:val="es-ES"/>
        </w:rPr>
        <w:t>trabajarán</w:t>
      </w:r>
      <w:r w:rsidR="00E860C2" w:rsidRPr="00467C05">
        <w:rPr>
          <w:lang w:val="es-ES"/>
        </w:rPr>
        <w:t xml:space="preserve"> </w:t>
      </w:r>
      <w:r w:rsidR="00627E19" w:rsidRPr="00467C05">
        <w:rPr>
          <w:lang w:val="es-ES"/>
        </w:rPr>
        <w:t>conjuntamente</w:t>
      </w:r>
      <w:r w:rsidR="00E860C2" w:rsidRPr="00467C05">
        <w:rPr>
          <w:lang w:val="es-ES"/>
        </w:rPr>
        <w:t xml:space="preserve"> </w:t>
      </w:r>
      <w:r w:rsidR="00627E19" w:rsidRPr="00467C05">
        <w:rPr>
          <w:lang w:val="es-ES"/>
        </w:rPr>
        <w:t>en el establecimiento de</w:t>
      </w:r>
      <w:r w:rsidR="00E860C2" w:rsidRPr="00467C05">
        <w:rPr>
          <w:lang w:val="es-ES"/>
        </w:rPr>
        <w:t xml:space="preserve"> una metodología </w:t>
      </w:r>
      <w:r w:rsidR="00627E19" w:rsidRPr="00467C05">
        <w:rPr>
          <w:lang w:val="es-ES"/>
        </w:rPr>
        <w:t>para el cálculo de las contribuciones en especie e informarán a la próxima reunión del GTC-RHF.</w:t>
      </w:r>
    </w:p>
    <w:bookmarkEnd w:id="153"/>
    <w:p w14:paraId="64C9A804" w14:textId="1F0BA407" w:rsidR="00383A87" w:rsidRPr="00467C05" w:rsidRDefault="001C2B21" w:rsidP="00C53B43">
      <w:pPr>
        <w:pStyle w:val="Heading1"/>
        <w:rPr>
          <w:u w:val="single"/>
          <w:lang w:val="es-ES"/>
        </w:rPr>
      </w:pPr>
      <w:r w:rsidRPr="000C6496">
        <w:rPr>
          <w:lang w:val="es-ES"/>
        </w:rPr>
        <w:lastRenderedPageBreak/>
        <w:t>9</w:t>
      </w:r>
      <w:r w:rsidRPr="00467C05">
        <w:rPr>
          <w:lang w:val="es-ES"/>
        </w:rPr>
        <w:tab/>
      </w:r>
      <w:bookmarkStart w:id="154" w:name="lt_pId340"/>
      <w:r w:rsidR="00627E19" w:rsidRPr="00467C05">
        <w:rPr>
          <w:lang w:val="es-ES"/>
        </w:rPr>
        <w:t>Contribución de la República de Belarús, la República de Uzbekistán y la Federación de Rusia</w:t>
      </w:r>
      <w:r w:rsidRPr="00467C05">
        <w:rPr>
          <w:lang w:val="es-ES"/>
        </w:rPr>
        <w:t xml:space="preserve">: </w:t>
      </w:r>
      <w:r w:rsidR="000C6496" w:rsidRPr="00467C05">
        <w:rPr>
          <w:lang w:val="es-ES"/>
        </w:rPr>
        <w:t>p</w:t>
      </w:r>
      <w:r w:rsidR="00627E19" w:rsidRPr="00467C05">
        <w:rPr>
          <w:lang w:val="es-ES"/>
        </w:rPr>
        <w:t xml:space="preserve">ropuestas destinadas a aclarar las disposiciones del Anexo 2 </w:t>
      </w:r>
      <w:r w:rsidR="00781C1D">
        <w:rPr>
          <w:lang w:val="es-ES"/>
        </w:rPr>
        <w:t>"</w:t>
      </w:r>
      <w:r w:rsidRPr="00467C05">
        <w:rPr>
          <w:lang w:val="es-ES"/>
        </w:rPr>
        <w:t>Reglas, procedimientos y arreglos financieros aplicables a los fondos fiduciarios y contribuciones voluntarias</w:t>
      </w:r>
      <w:r w:rsidR="00781C1D">
        <w:rPr>
          <w:lang w:val="es-ES"/>
        </w:rPr>
        <w:t>"</w:t>
      </w:r>
      <w:r w:rsidRPr="00467C05">
        <w:rPr>
          <w:lang w:val="es-ES"/>
        </w:rPr>
        <w:t xml:space="preserve"> </w:t>
      </w:r>
      <w:r w:rsidR="00627E19" w:rsidRPr="00467C05">
        <w:rPr>
          <w:lang w:val="es-ES"/>
        </w:rPr>
        <w:t>del Reglamento Financiero y las Reglas Financieras de la UIT</w:t>
      </w:r>
      <w:r w:rsidRPr="00467C05">
        <w:rPr>
          <w:lang w:val="es-ES"/>
        </w:rPr>
        <w:t xml:space="preserve"> (Document</w:t>
      </w:r>
      <w:r w:rsidR="00627E19" w:rsidRPr="00467C05">
        <w:rPr>
          <w:lang w:val="es-ES"/>
        </w:rPr>
        <w:t>o</w:t>
      </w:r>
      <w:r w:rsidRPr="00467C05">
        <w:rPr>
          <w:lang w:val="es-ES"/>
        </w:rPr>
        <w:t xml:space="preserve"> </w:t>
      </w:r>
      <w:hyperlink r:id="rId28" w:history="1">
        <w:bookmarkEnd w:id="154"/>
        <w:r w:rsidR="00781C1D">
          <w:rPr>
            <w:rStyle w:val="Hyperlink"/>
            <w:rFonts w:asciiTheme="minorHAnsi" w:hAnsiTheme="minorHAnsi" w:cstheme="minorHAnsi"/>
            <w:bCs/>
            <w:lang w:val="es-ES"/>
          </w:rPr>
          <w:t>CWG-FHR-12/14(Rev.1)</w:t>
        </w:r>
      </w:hyperlink>
      <w:r w:rsidR="00781C1D" w:rsidRPr="00781C1D">
        <w:t>)</w:t>
      </w:r>
    </w:p>
    <w:p w14:paraId="273F961F" w14:textId="4E315093" w:rsidR="00627E19" w:rsidRPr="004D1648" w:rsidRDefault="001C2B21" w:rsidP="00C750FE">
      <w:pPr>
        <w:rPr>
          <w:lang w:val="es-ES"/>
        </w:rPr>
      </w:pPr>
      <w:r w:rsidRPr="004D1648">
        <w:rPr>
          <w:lang w:val="es-ES"/>
        </w:rPr>
        <w:t>9.1</w:t>
      </w:r>
      <w:r w:rsidRPr="004D1648">
        <w:rPr>
          <w:lang w:val="es-ES"/>
        </w:rPr>
        <w:tab/>
      </w:r>
      <w:bookmarkStart w:id="155" w:name="lt_pId342"/>
      <w:r w:rsidR="00627E19" w:rsidRPr="004D1648">
        <w:rPr>
          <w:lang w:val="es-ES"/>
        </w:rPr>
        <w:t xml:space="preserve">La Federación de Rusia presentó el </w:t>
      </w:r>
      <w:r w:rsidR="000C6496" w:rsidRPr="004D1648">
        <w:rPr>
          <w:lang w:val="es-ES"/>
        </w:rPr>
        <w:t xml:space="preserve">Documento </w:t>
      </w:r>
      <w:r w:rsidRPr="004D1648">
        <w:rPr>
          <w:lang w:val="es-ES"/>
        </w:rPr>
        <w:t xml:space="preserve">CWG-FRH-12/14 </w:t>
      </w:r>
      <w:r w:rsidR="00627E19" w:rsidRPr="004D1648">
        <w:rPr>
          <w:lang w:val="es-ES"/>
        </w:rPr>
        <w:t>que es una contribución de la República de Belarús, la República de Uzbekistán y la Federación de Rusia.</w:t>
      </w:r>
    </w:p>
    <w:bookmarkEnd w:id="155"/>
    <w:p w14:paraId="4D6EE69F" w14:textId="0D277308" w:rsidR="001C2B21" w:rsidRPr="004D1648" w:rsidRDefault="001C2B21" w:rsidP="00C750FE">
      <w:pPr>
        <w:rPr>
          <w:lang w:val="es-ES"/>
        </w:rPr>
      </w:pPr>
      <w:r w:rsidRPr="004D1648">
        <w:rPr>
          <w:lang w:val="es-ES"/>
        </w:rPr>
        <w:t>9.2</w:t>
      </w:r>
      <w:r w:rsidRPr="004D1648">
        <w:rPr>
          <w:lang w:val="es-ES"/>
        </w:rPr>
        <w:tab/>
      </w:r>
      <w:bookmarkStart w:id="156" w:name="lt_pId344"/>
      <w:r w:rsidR="00170C22" w:rsidRPr="004D1648">
        <w:rPr>
          <w:lang w:val="es-ES"/>
        </w:rPr>
        <w:t xml:space="preserve">En el documento se describe una propuesta de enmiendas al Anexo 2 </w:t>
      </w:r>
      <w:r w:rsidR="00781C1D">
        <w:rPr>
          <w:lang w:val="es-ES"/>
        </w:rPr>
        <w:t>"</w:t>
      </w:r>
      <w:r w:rsidR="00170C22" w:rsidRPr="004D1648">
        <w:rPr>
          <w:lang w:val="es-ES"/>
        </w:rPr>
        <w:t>Reglas, procedimientos y arreglos financieros aplicables a los fondos fiduciarios y contribuciones voluntarias</w:t>
      </w:r>
      <w:r w:rsidR="00781C1D">
        <w:rPr>
          <w:lang w:val="es-ES"/>
        </w:rPr>
        <w:t>"</w:t>
      </w:r>
      <w:r w:rsidR="00170C22" w:rsidRPr="004D1648">
        <w:rPr>
          <w:lang w:val="es-ES"/>
        </w:rPr>
        <w:t xml:space="preserve"> del Reglamento Financiero y las Reglas Financieras de la UIT</w:t>
      </w:r>
      <w:r w:rsidRPr="004D1648">
        <w:rPr>
          <w:lang w:val="es-ES"/>
        </w:rPr>
        <w:t>.</w:t>
      </w:r>
      <w:bookmarkEnd w:id="156"/>
    </w:p>
    <w:p w14:paraId="329246EB" w14:textId="77777777" w:rsidR="00170C22" w:rsidRPr="004D1648" w:rsidRDefault="001C2B21" w:rsidP="00C750FE">
      <w:pPr>
        <w:rPr>
          <w:lang w:val="es-ES"/>
        </w:rPr>
      </w:pPr>
      <w:r w:rsidRPr="004D1648">
        <w:rPr>
          <w:lang w:val="es-ES"/>
        </w:rPr>
        <w:t>9.3</w:t>
      </w:r>
      <w:r w:rsidRPr="004D1648">
        <w:rPr>
          <w:lang w:val="es-ES"/>
        </w:rPr>
        <w:tab/>
      </w:r>
      <w:bookmarkStart w:id="157" w:name="lt_pId346"/>
      <w:r w:rsidR="00170C22" w:rsidRPr="004D1648">
        <w:rPr>
          <w:lang w:val="es-ES"/>
        </w:rPr>
        <w:t>A propuesta de la Secretaría, el GTC-RHF acordó que dicha contribución se revise en la próxima reunión del GTC-RHF, junto con la metodología de cálculo de las contribuciones en especie (punto 10 del orden del día).</w:t>
      </w:r>
    </w:p>
    <w:bookmarkEnd w:id="157"/>
    <w:p w14:paraId="30B76117" w14:textId="02FBBBC7" w:rsidR="001C2B21" w:rsidRPr="00467C05" w:rsidRDefault="001C2B21" w:rsidP="00C750FE">
      <w:pPr>
        <w:pStyle w:val="Heading1"/>
        <w:rPr>
          <w:lang w:val="es-ES"/>
        </w:rPr>
      </w:pPr>
      <w:r w:rsidRPr="000C6496">
        <w:rPr>
          <w:lang w:val="es-ES"/>
        </w:rPr>
        <w:t>10</w:t>
      </w:r>
      <w:r w:rsidRPr="000C6496">
        <w:rPr>
          <w:lang w:val="es-ES"/>
        </w:rPr>
        <w:tab/>
      </w:r>
      <w:bookmarkStart w:id="158" w:name="lt_pId348"/>
      <w:r w:rsidR="004D1648" w:rsidRPr="000C6496">
        <w:t>Informes</w:t>
      </w:r>
      <w:r w:rsidR="004D1648" w:rsidRPr="000C6496">
        <w:rPr>
          <w:lang w:val="es-ES"/>
        </w:rPr>
        <w:t xml:space="preserve"> </w:t>
      </w:r>
      <w:r w:rsidR="00170C22" w:rsidRPr="000C6496">
        <w:rPr>
          <w:lang w:val="es-ES"/>
        </w:rPr>
        <w:t xml:space="preserve">de la DCI sobre cuestiones que afectan a todo el sistema de Naciones Unidas </w:t>
      </w:r>
      <w:r w:rsidR="00EB79A0" w:rsidRPr="000C6496">
        <w:rPr>
          <w:lang w:val="es-ES"/>
        </w:rPr>
        <w:t xml:space="preserve">en 2019-2020 </w:t>
      </w:r>
      <w:r w:rsidR="00170C22" w:rsidRPr="000C6496">
        <w:rPr>
          <w:lang w:val="es-ES"/>
        </w:rPr>
        <w:t xml:space="preserve">y recomendaciones a </w:t>
      </w:r>
      <w:r w:rsidR="003E1873" w:rsidRPr="000C6496">
        <w:rPr>
          <w:lang w:val="es-ES"/>
        </w:rPr>
        <w:t>los Jefes Ejecutivos y a los órganos legislativos</w:t>
      </w:r>
      <w:r w:rsidR="00170C22" w:rsidRPr="000C6496">
        <w:rPr>
          <w:lang w:val="es-ES"/>
        </w:rPr>
        <w:t xml:space="preserve"> </w:t>
      </w:r>
      <w:r w:rsidRPr="000C6496">
        <w:rPr>
          <w:lang w:val="es-ES"/>
        </w:rPr>
        <w:t>(Document</w:t>
      </w:r>
      <w:r w:rsidR="003E1873" w:rsidRPr="000C6496">
        <w:rPr>
          <w:lang w:val="es-ES"/>
        </w:rPr>
        <w:t>o</w:t>
      </w:r>
      <w:r w:rsidRPr="000C6496">
        <w:rPr>
          <w:lang w:val="es-ES"/>
        </w:rPr>
        <w:t xml:space="preserve"> </w:t>
      </w:r>
      <w:hyperlink r:id="rId29" w:history="1">
        <w:r w:rsidRPr="000C6496">
          <w:rPr>
            <w:rStyle w:val="Hyperlink"/>
            <w:rFonts w:asciiTheme="minorHAnsi" w:hAnsiTheme="minorHAnsi" w:cstheme="minorHAnsi"/>
            <w:bCs/>
            <w:lang w:val="es-ES"/>
          </w:rPr>
          <w:t>CWG-FHR-12/6</w:t>
        </w:r>
      </w:hyperlink>
      <w:r w:rsidRPr="000C6496">
        <w:t>)</w:t>
      </w:r>
      <w:bookmarkEnd w:id="158"/>
    </w:p>
    <w:p w14:paraId="06148048" w14:textId="69E1AD2E" w:rsidR="001C2B21" w:rsidRPr="00467C05" w:rsidRDefault="001C2B21" w:rsidP="00C750FE">
      <w:pPr>
        <w:rPr>
          <w:lang w:val="es-ES"/>
        </w:rPr>
      </w:pPr>
      <w:r w:rsidRPr="00467C05">
        <w:rPr>
          <w:lang w:val="es-ES"/>
        </w:rPr>
        <w:t>10.1</w:t>
      </w:r>
      <w:r w:rsidRPr="00467C05">
        <w:rPr>
          <w:lang w:val="es-ES"/>
        </w:rPr>
        <w:tab/>
      </w:r>
      <w:r w:rsidR="003E1873" w:rsidRPr="00467C05">
        <w:rPr>
          <w:lang w:val="es-ES"/>
        </w:rPr>
        <w:t xml:space="preserve">Los delegados manifestaron su agradecimiento por el informe que merecía un examen detallado del Grupo de Trabajo, en particular en lo relativo a las </w:t>
      </w:r>
      <w:r w:rsidR="000C6496" w:rsidRPr="00467C05">
        <w:rPr>
          <w:lang w:val="es-ES"/>
        </w:rPr>
        <w:t xml:space="preserve">Recomendaciones </w:t>
      </w:r>
      <w:r w:rsidR="003E1873" w:rsidRPr="00467C05">
        <w:rPr>
          <w:lang w:val="es-ES"/>
        </w:rPr>
        <w:t>3 y 4</w:t>
      </w:r>
      <w:r w:rsidR="00B25E8D">
        <w:rPr>
          <w:lang w:val="es-ES"/>
        </w:rPr>
        <w:t xml:space="preserve"> </w:t>
      </w:r>
      <w:r w:rsidR="00EB79A0" w:rsidRPr="00467C05">
        <w:rPr>
          <w:lang w:val="es-ES"/>
        </w:rPr>
        <w:t xml:space="preserve">de </w:t>
      </w:r>
      <w:r w:rsidR="00EB79A0">
        <w:rPr>
          <w:lang w:val="es-ES"/>
        </w:rPr>
        <w:t>la DCI</w:t>
      </w:r>
      <w:r w:rsidR="00EB79A0" w:rsidRPr="00467C05">
        <w:rPr>
          <w:lang w:val="es-ES"/>
        </w:rPr>
        <w:t xml:space="preserve"> </w:t>
      </w:r>
      <w:r w:rsidR="00B25E8D">
        <w:rPr>
          <w:lang w:val="es-ES"/>
        </w:rPr>
        <w:t xml:space="preserve">en el </w:t>
      </w:r>
      <w:r w:rsidR="000C6496">
        <w:rPr>
          <w:lang w:val="es-ES"/>
        </w:rPr>
        <w:t xml:space="preserve">Documento </w:t>
      </w:r>
      <w:r w:rsidRPr="00467C05">
        <w:rPr>
          <w:lang w:val="es-ES"/>
        </w:rPr>
        <w:t xml:space="preserve">JIU/REP/2020/1 </w:t>
      </w:r>
      <w:r w:rsidR="00781C1D">
        <w:rPr>
          <w:lang w:val="es-ES"/>
        </w:rPr>
        <w:t>"</w:t>
      </w:r>
      <w:r w:rsidR="006773C8" w:rsidRPr="00467C05">
        <w:rPr>
          <w:lang w:val="es-ES"/>
        </w:rPr>
        <w:t xml:space="preserve">Examen del estado de la función de investigación: </w:t>
      </w:r>
      <w:r w:rsidR="001614FE" w:rsidRPr="00467C05">
        <w:rPr>
          <w:lang w:val="es-ES"/>
        </w:rPr>
        <w:t>progresos realizados en las organizaciones del sistema de las Naciones Unidas en el fortalecimiento de la función de investigación</w:t>
      </w:r>
      <w:r w:rsidR="00781C1D">
        <w:rPr>
          <w:lang w:val="es-ES"/>
        </w:rPr>
        <w:t>"</w:t>
      </w:r>
      <w:r w:rsidR="001614FE" w:rsidRPr="00467C05">
        <w:rPr>
          <w:lang w:val="es-ES"/>
        </w:rPr>
        <w:t xml:space="preserve"> </w:t>
      </w:r>
      <w:r w:rsidR="006773C8" w:rsidRPr="00467C05">
        <w:rPr>
          <w:lang w:val="es-ES"/>
        </w:rPr>
        <w:t xml:space="preserve">y solicitaron aclaración de por qué la Secretaría había marcado estas dos recomendaciones como </w:t>
      </w:r>
      <w:r w:rsidR="00781C1D">
        <w:rPr>
          <w:lang w:val="es-ES"/>
        </w:rPr>
        <w:t>"</w:t>
      </w:r>
      <w:r w:rsidR="006773C8" w:rsidRPr="00467C05">
        <w:rPr>
          <w:lang w:val="es-ES"/>
        </w:rPr>
        <w:t>no aceptada</w:t>
      </w:r>
      <w:r w:rsidR="00781C1D">
        <w:rPr>
          <w:lang w:val="es-ES"/>
        </w:rPr>
        <w:t>"</w:t>
      </w:r>
      <w:r w:rsidR="001614FE" w:rsidRPr="00467C05">
        <w:rPr>
          <w:lang w:val="es-ES"/>
        </w:rPr>
        <w:t>.</w:t>
      </w:r>
    </w:p>
    <w:p w14:paraId="5B8A0439" w14:textId="11BDB620" w:rsidR="006773C8" w:rsidRPr="00467C05" w:rsidRDefault="001614FE" w:rsidP="00C750FE">
      <w:pPr>
        <w:rPr>
          <w:lang w:val="es-ES"/>
        </w:rPr>
      </w:pPr>
      <w:r w:rsidRPr="00467C05">
        <w:rPr>
          <w:lang w:val="es-ES"/>
        </w:rPr>
        <w:t>10.2</w:t>
      </w:r>
      <w:r w:rsidRPr="00467C05">
        <w:rPr>
          <w:lang w:val="es-ES"/>
        </w:rPr>
        <w:tab/>
      </w:r>
      <w:bookmarkStart w:id="159" w:name="lt_pId352"/>
      <w:r w:rsidR="006773C8" w:rsidRPr="00467C05">
        <w:rPr>
          <w:lang w:val="es-ES"/>
        </w:rPr>
        <w:t>La Secretaría aclaró que las recomendaciones dirigidas a los órganos legislativos eran solo sugerencias para la consideración de los delegados y que podía</w:t>
      </w:r>
      <w:r w:rsidR="000C6496">
        <w:rPr>
          <w:lang w:val="es-ES"/>
        </w:rPr>
        <w:t>n</w:t>
      </w:r>
      <w:r w:rsidR="006773C8" w:rsidRPr="00467C05">
        <w:rPr>
          <w:lang w:val="es-ES"/>
        </w:rPr>
        <w:t xml:space="preserve"> modificarse para indicar que es necesario un examen adicional. La Secretaría explicó también que actualmente la decisión de </w:t>
      </w:r>
      <w:r w:rsidR="006773C8" w:rsidRPr="00C750FE">
        <w:rPr>
          <w:rFonts w:eastAsia="Calibri"/>
          <w:lang w:val="es-ES"/>
        </w:rPr>
        <w:t>iniciar</w:t>
      </w:r>
      <w:r w:rsidR="006773C8" w:rsidRPr="00467C05">
        <w:rPr>
          <w:lang w:val="es-ES"/>
        </w:rPr>
        <w:t xml:space="preserve"> una investigación recae en el Secretario General de la UIT. La Secretaría de la UIT ya ha </w:t>
      </w:r>
      <w:r w:rsidR="00642F46" w:rsidRPr="00467C05">
        <w:rPr>
          <w:lang w:val="es-ES"/>
        </w:rPr>
        <w:t>solicitado</w:t>
      </w:r>
      <w:r w:rsidR="006773C8" w:rsidRPr="00467C05">
        <w:rPr>
          <w:lang w:val="es-ES"/>
        </w:rPr>
        <w:t xml:space="preserve"> al Consejo de la UIT la autorización de que se financie un nuevo puesto de investigador de grado P.4/P.5 </w:t>
      </w:r>
      <w:r w:rsidR="00B25E8D">
        <w:rPr>
          <w:lang w:val="es-ES"/>
        </w:rPr>
        <w:t>a través de</w:t>
      </w:r>
      <w:r w:rsidR="006773C8" w:rsidRPr="00467C05">
        <w:rPr>
          <w:lang w:val="es-ES"/>
        </w:rPr>
        <w:t>l fondo de provisión de la Unión</w:t>
      </w:r>
      <w:r w:rsidR="00642F46" w:rsidRPr="00467C05">
        <w:rPr>
          <w:lang w:val="es-ES"/>
        </w:rPr>
        <w:t xml:space="preserve">, debido a que, en este momento, no hay </w:t>
      </w:r>
      <w:r w:rsidR="00B25E8D">
        <w:rPr>
          <w:lang w:val="es-ES"/>
        </w:rPr>
        <w:t>nadie</w:t>
      </w:r>
      <w:r w:rsidR="00642F46" w:rsidRPr="00467C05">
        <w:rPr>
          <w:lang w:val="es-ES"/>
        </w:rPr>
        <w:t xml:space="preserve"> que se ocup</w:t>
      </w:r>
      <w:r w:rsidR="00B25E8D">
        <w:rPr>
          <w:lang w:val="es-ES"/>
        </w:rPr>
        <w:t>e de es</w:t>
      </w:r>
      <w:r w:rsidR="00642F46" w:rsidRPr="00467C05">
        <w:rPr>
          <w:lang w:val="es-ES"/>
        </w:rPr>
        <w:t xml:space="preserve">a función. Se examinó en la segunda </w:t>
      </w:r>
      <w:r w:rsidR="00821920" w:rsidRPr="00467C05">
        <w:rPr>
          <w:lang w:val="es-ES"/>
        </w:rPr>
        <w:t>consulta virtual de los consejeros</w:t>
      </w:r>
      <w:r w:rsidR="00642F46" w:rsidRPr="00467C05">
        <w:rPr>
          <w:lang w:val="es-ES"/>
        </w:rPr>
        <w:t xml:space="preserve"> y se prevé la aprobación por correspondencia de un puesto de investigador P.5 en las próximas semanas.</w:t>
      </w:r>
    </w:p>
    <w:bookmarkEnd w:id="159"/>
    <w:p w14:paraId="58D0F624" w14:textId="77777777" w:rsidR="001614FE" w:rsidRPr="00467C05" w:rsidRDefault="001614FE" w:rsidP="00C750FE">
      <w:pPr>
        <w:rPr>
          <w:lang w:val="es-ES"/>
        </w:rPr>
      </w:pPr>
      <w:r w:rsidRPr="001E648D">
        <w:rPr>
          <w:lang w:val="es-ES"/>
        </w:rPr>
        <w:t>10.3</w:t>
      </w:r>
      <w:r w:rsidRPr="00467C05">
        <w:rPr>
          <w:lang w:val="es-ES"/>
        </w:rPr>
        <w:tab/>
      </w:r>
      <w:bookmarkStart w:id="160" w:name="lt_pId357"/>
      <w:r w:rsidR="00642F46" w:rsidRPr="00467C05">
        <w:rPr>
          <w:lang w:val="es-ES"/>
        </w:rPr>
        <w:t xml:space="preserve">Los delegados estimaron que parecía existir una cierta desconexión entre la explicación y la decisión de no aceptar las recomendaciones </w:t>
      </w:r>
      <w:r w:rsidR="00B25E8D">
        <w:rPr>
          <w:lang w:val="es-ES"/>
        </w:rPr>
        <w:t>indicadas anteriormente</w:t>
      </w:r>
      <w:r w:rsidR="00642F46" w:rsidRPr="00467C05">
        <w:rPr>
          <w:lang w:val="es-ES"/>
        </w:rPr>
        <w:t xml:space="preserve"> y que era necesario un examen más detallado. Se tomó la decisión de continuar el debate de esta cuestión en un grupo reducido del GTC para presentar un documento revisado, con más información sobre la aceptación </w:t>
      </w:r>
      <w:r w:rsidR="00E1772F" w:rsidRPr="00467C05">
        <w:rPr>
          <w:lang w:val="es-ES"/>
        </w:rPr>
        <w:t>y aclaración sobre la implementación, en la próxima reunión del Consejo</w:t>
      </w:r>
      <w:bookmarkStart w:id="161" w:name="lt_pId358"/>
      <w:bookmarkEnd w:id="160"/>
      <w:r w:rsidRPr="00467C05">
        <w:rPr>
          <w:lang w:val="es-ES"/>
        </w:rPr>
        <w:t>.</w:t>
      </w:r>
      <w:bookmarkEnd w:id="161"/>
    </w:p>
    <w:p w14:paraId="637FB172" w14:textId="3B94E52E" w:rsidR="001614FE" w:rsidRPr="00467C05" w:rsidRDefault="001614FE" w:rsidP="00C750FE">
      <w:pPr>
        <w:pStyle w:val="Heading1"/>
        <w:tabs>
          <w:tab w:val="clear" w:pos="851"/>
          <w:tab w:val="left" w:pos="993"/>
        </w:tabs>
        <w:rPr>
          <w:lang w:val="es-ES"/>
        </w:rPr>
      </w:pPr>
      <w:r w:rsidRPr="00467C05">
        <w:rPr>
          <w:lang w:val="es-ES"/>
        </w:rPr>
        <w:t>11</w:t>
      </w:r>
      <w:r w:rsidRPr="00467C05">
        <w:rPr>
          <w:lang w:val="es-ES"/>
        </w:rPr>
        <w:tab/>
        <w:t xml:space="preserve">Repercusiones de la pandemia de COVID-19 sobre el funcionamiento y las actividades de la UIT </w:t>
      </w:r>
      <w:bookmarkStart w:id="162" w:name="lt_pId361"/>
      <w:r w:rsidRPr="00467C05">
        <w:rPr>
          <w:bCs/>
          <w:lang w:val="es-ES"/>
        </w:rPr>
        <w:t>(Document</w:t>
      </w:r>
      <w:r w:rsidR="00E1772F" w:rsidRPr="00467C05">
        <w:rPr>
          <w:bCs/>
          <w:lang w:val="es-ES"/>
        </w:rPr>
        <w:t>o</w:t>
      </w:r>
      <w:r w:rsidRPr="00467C05">
        <w:rPr>
          <w:bCs/>
          <w:lang w:val="es-ES"/>
        </w:rPr>
        <w:t xml:space="preserve"> </w:t>
      </w:r>
      <w:hyperlink r:id="rId30" w:history="1">
        <w:r w:rsidR="00781C1D">
          <w:rPr>
            <w:rStyle w:val="Hyperlink"/>
            <w:rFonts w:asciiTheme="minorHAnsi" w:hAnsiTheme="minorHAnsi" w:cstheme="minorHAnsi"/>
            <w:bCs/>
            <w:lang w:val="es-ES"/>
          </w:rPr>
          <w:t>CWG-FHR-12/12</w:t>
        </w:r>
      </w:hyperlink>
      <w:bookmarkEnd w:id="162"/>
      <w:r w:rsidR="00781C1D" w:rsidRPr="00781C1D">
        <w:t>)</w:t>
      </w:r>
    </w:p>
    <w:p w14:paraId="34C7519C" w14:textId="5ACF252C" w:rsidR="001614FE" w:rsidRPr="00467C05" w:rsidRDefault="001614FE" w:rsidP="00C750FE">
      <w:pPr>
        <w:rPr>
          <w:lang w:val="es-ES"/>
        </w:rPr>
      </w:pPr>
      <w:r w:rsidRPr="00C750FE">
        <w:rPr>
          <w:rFonts w:eastAsia="Calibri"/>
          <w:lang w:val="es-ES"/>
        </w:rPr>
        <w:t>11</w:t>
      </w:r>
      <w:r w:rsidRPr="00467C05">
        <w:rPr>
          <w:lang w:val="es-ES"/>
        </w:rPr>
        <w:t>.1</w:t>
      </w:r>
      <w:r w:rsidRPr="00467C05">
        <w:rPr>
          <w:lang w:val="es-ES"/>
        </w:rPr>
        <w:tab/>
      </w:r>
      <w:bookmarkStart w:id="163" w:name="lt_pId363"/>
      <w:r w:rsidR="00E1772F" w:rsidRPr="00467C05">
        <w:rPr>
          <w:lang w:val="es-ES"/>
        </w:rPr>
        <w:t xml:space="preserve">La Secretaría presentó el </w:t>
      </w:r>
      <w:r w:rsidR="001E648D" w:rsidRPr="00467C05">
        <w:rPr>
          <w:lang w:val="es-ES"/>
        </w:rPr>
        <w:t xml:space="preserve">Documento </w:t>
      </w:r>
      <w:r w:rsidRPr="00467C05">
        <w:rPr>
          <w:lang w:val="es-ES"/>
        </w:rPr>
        <w:t>CWG-FHR</w:t>
      </w:r>
      <w:r w:rsidR="001E648D">
        <w:rPr>
          <w:lang w:val="es-ES"/>
        </w:rPr>
        <w:t>-</w:t>
      </w:r>
      <w:r w:rsidRPr="00467C05">
        <w:rPr>
          <w:lang w:val="es-ES"/>
        </w:rPr>
        <w:t>12/12.</w:t>
      </w:r>
      <w:bookmarkEnd w:id="163"/>
    </w:p>
    <w:p w14:paraId="5D92966D" w14:textId="57D1FB2D" w:rsidR="00E1772F" w:rsidRPr="00467C05" w:rsidRDefault="001614FE" w:rsidP="00C750FE">
      <w:pPr>
        <w:rPr>
          <w:lang w:val="es-ES"/>
        </w:rPr>
      </w:pPr>
      <w:r w:rsidRPr="001E648D">
        <w:rPr>
          <w:lang w:val="es-ES"/>
        </w:rPr>
        <w:lastRenderedPageBreak/>
        <w:t>11.2</w:t>
      </w:r>
      <w:r w:rsidRPr="00467C05">
        <w:rPr>
          <w:lang w:val="es-ES"/>
        </w:rPr>
        <w:tab/>
      </w:r>
      <w:bookmarkStart w:id="164" w:name="lt_pId365"/>
      <w:r w:rsidR="00E1772F" w:rsidRPr="00467C05">
        <w:rPr>
          <w:lang w:val="es-ES"/>
        </w:rPr>
        <w:t xml:space="preserve">En respuesta a la solicitud de la segunda </w:t>
      </w:r>
      <w:r w:rsidR="00821920" w:rsidRPr="00467C05">
        <w:rPr>
          <w:lang w:val="es-ES"/>
        </w:rPr>
        <w:t xml:space="preserve">consulta virtual de los consejeros </w:t>
      </w:r>
      <w:r w:rsidR="00E1772F" w:rsidRPr="00467C05">
        <w:rPr>
          <w:lang w:val="es-ES"/>
        </w:rPr>
        <w:t xml:space="preserve">(CVC-2), se ha actualizado el </w:t>
      </w:r>
      <w:r w:rsidRPr="00467C05">
        <w:rPr>
          <w:lang w:val="es-ES"/>
        </w:rPr>
        <w:t>Document</w:t>
      </w:r>
      <w:r w:rsidR="00E1772F" w:rsidRPr="00467C05">
        <w:rPr>
          <w:lang w:val="es-ES"/>
        </w:rPr>
        <w:t>o</w:t>
      </w:r>
      <w:r w:rsidRPr="00467C05">
        <w:rPr>
          <w:lang w:val="es-ES"/>
        </w:rPr>
        <w:t xml:space="preserve"> VC\13(Rev.1) </w:t>
      </w:r>
      <w:r w:rsidR="00E1772F" w:rsidRPr="00467C05">
        <w:rPr>
          <w:lang w:val="es-ES"/>
        </w:rPr>
        <w:t>para incluir la evolución desde la CVC-2 de las repercusiones de la pandemia de COVID-19 sobre el funcionamiento y las actividades de la UIT, y las medidas introducidas en respuesta a la COVID-19.</w:t>
      </w:r>
    </w:p>
    <w:bookmarkEnd w:id="164"/>
    <w:p w14:paraId="5BA1BBBF" w14:textId="20FD92E4" w:rsidR="008D314D" w:rsidRPr="00467C05" w:rsidRDefault="001614FE" w:rsidP="00C750FE">
      <w:pPr>
        <w:rPr>
          <w:lang w:val="es-ES"/>
        </w:rPr>
      </w:pPr>
      <w:r w:rsidRPr="001E648D">
        <w:rPr>
          <w:lang w:val="es-ES"/>
        </w:rPr>
        <w:t>11.3</w:t>
      </w:r>
      <w:r w:rsidRPr="00467C05">
        <w:rPr>
          <w:lang w:val="es-ES"/>
        </w:rPr>
        <w:tab/>
        <w:t>La UIT ha introducido un amplio número de medidas para seguir prestando servicios de forma ininterrumpida durante la pandemia</w:t>
      </w:r>
      <w:r w:rsidR="00E1772F" w:rsidRPr="00467C05">
        <w:rPr>
          <w:lang w:val="es-ES"/>
        </w:rPr>
        <w:t xml:space="preserve"> como se indica en el apartado 3</w:t>
      </w:r>
      <w:r w:rsidRPr="00467C05">
        <w:rPr>
          <w:lang w:val="es-ES"/>
        </w:rPr>
        <w:t xml:space="preserve">. </w:t>
      </w:r>
      <w:r w:rsidR="008D314D" w:rsidRPr="00467C05">
        <w:rPr>
          <w:lang w:val="es-ES"/>
        </w:rPr>
        <w:t xml:space="preserve">El personal de la UIT ha </w:t>
      </w:r>
      <w:r w:rsidR="008D314D" w:rsidRPr="004D1648">
        <w:rPr>
          <w:lang w:val="es-ES"/>
        </w:rPr>
        <w:t>trabajado</w:t>
      </w:r>
      <w:r w:rsidR="008D314D" w:rsidRPr="00467C05">
        <w:rPr>
          <w:lang w:val="es-ES"/>
        </w:rPr>
        <w:t xml:space="preserve"> desde casa y el acceso a </w:t>
      </w:r>
      <w:r w:rsidRPr="00467C05">
        <w:rPr>
          <w:lang w:val="es-ES"/>
        </w:rPr>
        <w:t xml:space="preserve">los locales de la </w:t>
      </w:r>
      <w:r w:rsidR="008D314D" w:rsidRPr="00467C05">
        <w:rPr>
          <w:lang w:val="es-ES"/>
        </w:rPr>
        <w:t xml:space="preserve">Sede de la </w:t>
      </w:r>
      <w:r w:rsidRPr="00467C05">
        <w:rPr>
          <w:lang w:val="es-ES"/>
        </w:rPr>
        <w:t xml:space="preserve">UIT está estrictamente reservado a las personas que necesitan estar en ellos para realizar actividades oficiales esenciales que no pueden llevarse a cabo a distancia. </w:t>
      </w:r>
      <w:r w:rsidR="008D314D" w:rsidRPr="00467C05">
        <w:rPr>
          <w:lang w:val="es-ES"/>
        </w:rPr>
        <w:t xml:space="preserve">La UIT ha implementado </w:t>
      </w:r>
      <w:r w:rsidR="00B25E8D">
        <w:rPr>
          <w:lang w:val="es-ES"/>
        </w:rPr>
        <w:t>diferentes</w:t>
      </w:r>
      <w:r w:rsidR="008D314D" w:rsidRPr="00467C05">
        <w:rPr>
          <w:lang w:val="es-ES"/>
        </w:rPr>
        <w:t xml:space="preserve"> medidas de mitigación que han demostrado ser eficaces.</w:t>
      </w:r>
    </w:p>
    <w:p w14:paraId="66AC7AA8" w14:textId="17E6DA03" w:rsidR="008D314D" w:rsidRPr="00467C05" w:rsidRDefault="001614FE" w:rsidP="00C750FE">
      <w:pPr>
        <w:rPr>
          <w:lang w:val="es-ES"/>
        </w:rPr>
      </w:pPr>
      <w:r w:rsidRPr="001E648D">
        <w:rPr>
          <w:lang w:val="es-ES"/>
        </w:rPr>
        <w:t>11.4</w:t>
      </w:r>
      <w:r w:rsidRPr="00467C05">
        <w:rPr>
          <w:lang w:val="es-ES"/>
        </w:rPr>
        <w:tab/>
      </w:r>
      <w:bookmarkStart w:id="165" w:name="lt_pId371"/>
      <w:r w:rsidR="008D314D" w:rsidRPr="00467C05">
        <w:rPr>
          <w:lang w:val="es-ES"/>
        </w:rPr>
        <w:t xml:space="preserve">Se prevé que las campañas de vacunación contra la </w:t>
      </w:r>
      <w:r w:rsidRPr="00467C05">
        <w:rPr>
          <w:lang w:val="es-ES"/>
        </w:rPr>
        <w:t>COVID-19</w:t>
      </w:r>
      <w:r w:rsidR="008D314D" w:rsidRPr="00467C05">
        <w:rPr>
          <w:lang w:val="es-ES"/>
        </w:rPr>
        <w:t xml:space="preserve"> empiecen a principios de</w:t>
      </w:r>
      <w:r w:rsidR="001E648D">
        <w:rPr>
          <w:lang w:val="es-ES"/>
        </w:rPr>
        <w:t> </w:t>
      </w:r>
      <w:r w:rsidR="008D314D" w:rsidRPr="00467C05">
        <w:rPr>
          <w:lang w:val="es-ES"/>
        </w:rPr>
        <w:t>2021. Se invitará a</w:t>
      </w:r>
      <w:r w:rsidR="00B25E8D">
        <w:rPr>
          <w:lang w:val="es-ES"/>
        </w:rPr>
        <w:t xml:space="preserve"> los miembros de</w:t>
      </w:r>
      <w:r w:rsidR="008D314D" w:rsidRPr="00467C05">
        <w:rPr>
          <w:lang w:val="es-ES"/>
        </w:rPr>
        <w:t>l personal de la UIT a participar en las campañas nacionales en sus lugares de destino. En fases posteriores, cuando la</w:t>
      </w:r>
      <w:r w:rsidR="00B25E8D">
        <w:rPr>
          <w:lang w:val="es-ES"/>
        </w:rPr>
        <w:t>s</w:t>
      </w:r>
      <w:r w:rsidR="008D314D" w:rsidRPr="00467C05">
        <w:rPr>
          <w:lang w:val="es-ES"/>
        </w:rPr>
        <w:t xml:space="preserve"> vacuna</w:t>
      </w:r>
      <w:r w:rsidR="00B25E8D">
        <w:rPr>
          <w:lang w:val="es-ES"/>
        </w:rPr>
        <w:t>s</w:t>
      </w:r>
      <w:r w:rsidR="008D314D" w:rsidRPr="00467C05">
        <w:rPr>
          <w:lang w:val="es-ES"/>
        </w:rPr>
        <w:t xml:space="preserve"> de </w:t>
      </w:r>
      <w:r w:rsidR="00467C05" w:rsidRPr="00467C05">
        <w:rPr>
          <w:lang w:val="es-ES"/>
        </w:rPr>
        <w:t>una sola dosis</w:t>
      </w:r>
      <w:r w:rsidR="008D314D" w:rsidRPr="00467C05">
        <w:rPr>
          <w:lang w:val="es-ES"/>
        </w:rPr>
        <w:t xml:space="preserve"> esté</w:t>
      </w:r>
      <w:r w:rsidR="00B25E8D">
        <w:rPr>
          <w:lang w:val="es-ES"/>
        </w:rPr>
        <w:t>n</w:t>
      </w:r>
      <w:r w:rsidR="008D314D" w:rsidRPr="00467C05">
        <w:rPr>
          <w:lang w:val="es-ES"/>
        </w:rPr>
        <w:t xml:space="preserve"> </w:t>
      </w:r>
      <w:r w:rsidR="00B25E8D" w:rsidRPr="00467C05">
        <w:rPr>
          <w:lang w:val="es-ES"/>
        </w:rPr>
        <w:t>disponible</w:t>
      </w:r>
      <w:r w:rsidR="00B25E8D">
        <w:rPr>
          <w:lang w:val="es-ES"/>
        </w:rPr>
        <w:t>s</w:t>
      </w:r>
      <w:r w:rsidR="008D314D" w:rsidRPr="00467C05">
        <w:rPr>
          <w:lang w:val="es-ES"/>
        </w:rPr>
        <w:t xml:space="preserve">, se prevé que la vacunación contra la COVID-19 sea una condición </w:t>
      </w:r>
      <w:r w:rsidR="00B25E8D">
        <w:rPr>
          <w:lang w:val="es-ES"/>
        </w:rPr>
        <w:t xml:space="preserve">necesaria </w:t>
      </w:r>
      <w:r w:rsidR="008D314D" w:rsidRPr="00467C05">
        <w:rPr>
          <w:lang w:val="es-ES"/>
        </w:rPr>
        <w:t xml:space="preserve">para los viajes aéreos internacionales. Para que se reanuden los viajes oficiales de la UIT, la UIT seguirá la evolución de la adquisición de </w:t>
      </w:r>
      <w:r w:rsidR="00DB220D" w:rsidRPr="00467C05">
        <w:rPr>
          <w:lang w:val="es-ES"/>
        </w:rPr>
        <w:t>vacunas contra la COVID-19 y adquirirá vacunas de una dosis, si es posible, u organizará vías de atención para vacunar a los viajeros oficiales.</w:t>
      </w:r>
    </w:p>
    <w:bookmarkEnd w:id="165"/>
    <w:p w14:paraId="01EA6AEF" w14:textId="0494910E" w:rsidR="001614FE" w:rsidRPr="00467C05" w:rsidRDefault="001614FE" w:rsidP="00C750FE">
      <w:pPr>
        <w:rPr>
          <w:lang w:val="es-ES"/>
        </w:rPr>
      </w:pPr>
      <w:r w:rsidRPr="001E648D">
        <w:rPr>
          <w:lang w:val="es-ES"/>
        </w:rPr>
        <w:t>11.5</w:t>
      </w:r>
      <w:r w:rsidRPr="00467C05">
        <w:rPr>
          <w:lang w:val="es-ES"/>
        </w:rPr>
        <w:tab/>
      </w:r>
      <w:bookmarkStart w:id="166" w:name="lt_pId376"/>
      <w:r w:rsidR="00DB220D" w:rsidRPr="00467C05">
        <w:rPr>
          <w:lang w:val="es-ES"/>
        </w:rPr>
        <w:t xml:space="preserve">En diciembre de 2020, </w:t>
      </w:r>
      <w:r w:rsidRPr="00467C05">
        <w:rPr>
          <w:lang w:val="es-ES"/>
        </w:rPr>
        <w:t xml:space="preserve">Zoom Video Communications Inc. </w:t>
      </w:r>
      <w:r w:rsidR="00DB220D" w:rsidRPr="00467C05">
        <w:rPr>
          <w:lang w:val="es-ES"/>
        </w:rPr>
        <w:t xml:space="preserve">informó de que las autoridades de las </w:t>
      </w:r>
      <w:r w:rsidR="00DB220D" w:rsidRPr="00C750FE">
        <w:rPr>
          <w:rFonts w:eastAsia="Calibri"/>
          <w:lang w:val="es-ES"/>
        </w:rPr>
        <w:t>Estados</w:t>
      </w:r>
      <w:r w:rsidR="00DB220D" w:rsidRPr="00467C05">
        <w:rPr>
          <w:lang w:val="es-ES"/>
        </w:rPr>
        <w:t xml:space="preserve"> Unidos habían emitido licencias generales autorizando a que Zoom prestara servicios en los países sancionados para servicios de actividades oficiales de las Naciones Unidas, los organismos especializados, programas, fondos y organizaciones relacionadas. Zoom puede por lo tanto autorizar una utilización sin restricciones de sus plataformas para las reuniones estatutarias y oficiales</w:t>
      </w:r>
      <w:r w:rsidR="00080B2C">
        <w:rPr>
          <w:lang w:val="es-ES"/>
        </w:rPr>
        <w:t xml:space="preserve"> de la UIT</w:t>
      </w:r>
      <w:r w:rsidR="00DB220D" w:rsidRPr="00467C05">
        <w:rPr>
          <w:lang w:val="es-ES"/>
        </w:rPr>
        <w:t xml:space="preserve">. Cisco anunció la nueva versión de </w:t>
      </w:r>
      <w:bookmarkStart w:id="167" w:name="lt_pId378"/>
      <w:bookmarkEnd w:id="166"/>
      <w:r w:rsidRPr="00467C05">
        <w:rPr>
          <w:lang w:val="es-ES"/>
        </w:rPr>
        <w:t xml:space="preserve">WebEx </w:t>
      </w:r>
      <w:r w:rsidR="00DB220D" w:rsidRPr="00467C05">
        <w:rPr>
          <w:lang w:val="es-ES"/>
        </w:rPr>
        <w:t xml:space="preserve">para el primer </w:t>
      </w:r>
      <w:r w:rsidR="003222C3" w:rsidRPr="00467C05">
        <w:rPr>
          <w:lang w:val="es-ES"/>
        </w:rPr>
        <w:t>trimestre</w:t>
      </w:r>
      <w:r w:rsidR="00DB220D" w:rsidRPr="00467C05">
        <w:rPr>
          <w:lang w:val="es-ES"/>
        </w:rPr>
        <w:t xml:space="preserve"> de </w:t>
      </w:r>
      <w:r w:rsidRPr="00467C05">
        <w:rPr>
          <w:lang w:val="es-ES"/>
        </w:rPr>
        <w:t xml:space="preserve">2021 </w:t>
      </w:r>
      <w:r w:rsidR="008A08A3" w:rsidRPr="00467C05">
        <w:rPr>
          <w:lang w:val="es-ES"/>
        </w:rPr>
        <w:t xml:space="preserve">para </w:t>
      </w:r>
      <w:r w:rsidR="003222C3" w:rsidRPr="00467C05">
        <w:rPr>
          <w:lang w:val="es-ES"/>
        </w:rPr>
        <w:t xml:space="preserve">permitir que los órganos legislativos </w:t>
      </w:r>
      <w:r w:rsidR="00080B2C">
        <w:rPr>
          <w:lang w:val="es-ES"/>
        </w:rPr>
        <w:t xml:space="preserve">que funcionan </w:t>
      </w:r>
      <w:r w:rsidR="003222C3" w:rsidRPr="00467C05">
        <w:rPr>
          <w:lang w:val="es-ES"/>
        </w:rPr>
        <w:t xml:space="preserve">totalmente a distancia o </w:t>
      </w:r>
      <w:r w:rsidR="00080B2C">
        <w:rPr>
          <w:lang w:val="es-ES"/>
        </w:rPr>
        <w:t xml:space="preserve">de manera </w:t>
      </w:r>
      <w:r w:rsidR="003222C3" w:rsidRPr="00467C05">
        <w:rPr>
          <w:lang w:val="es-ES"/>
        </w:rPr>
        <w:t>híbrid</w:t>
      </w:r>
      <w:r w:rsidR="00080B2C">
        <w:rPr>
          <w:lang w:val="es-ES"/>
        </w:rPr>
        <w:t>a</w:t>
      </w:r>
      <w:r w:rsidR="003222C3" w:rsidRPr="00467C05">
        <w:rPr>
          <w:lang w:val="es-ES"/>
        </w:rPr>
        <w:t xml:space="preserve"> se reúnan a través de Web</w:t>
      </w:r>
      <w:r w:rsidR="001E648D" w:rsidRPr="00467C05">
        <w:rPr>
          <w:lang w:val="es-ES"/>
        </w:rPr>
        <w:t>E</w:t>
      </w:r>
      <w:r w:rsidR="003222C3" w:rsidRPr="00467C05">
        <w:rPr>
          <w:lang w:val="es-ES"/>
        </w:rPr>
        <w:t>x.</w:t>
      </w:r>
      <w:bookmarkEnd w:id="167"/>
    </w:p>
    <w:p w14:paraId="1914F585" w14:textId="229338B6" w:rsidR="001614FE" w:rsidRPr="00467C05" w:rsidRDefault="001614FE" w:rsidP="00C750FE">
      <w:pPr>
        <w:rPr>
          <w:lang w:val="es-ES"/>
        </w:rPr>
      </w:pPr>
      <w:r w:rsidRPr="00716F84">
        <w:rPr>
          <w:lang w:val="es-ES"/>
        </w:rPr>
        <w:t>11.6</w:t>
      </w:r>
      <w:r w:rsidRPr="00467C05">
        <w:rPr>
          <w:lang w:val="es-ES"/>
        </w:rPr>
        <w:tab/>
      </w:r>
      <w:bookmarkStart w:id="168" w:name="lt_pId380"/>
      <w:r w:rsidR="003222C3" w:rsidRPr="00467C05">
        <w:rPr>
          <w:lang w:val="es-ES"/>
        </w:rPr>
        <w:t xml:space="preserve">Todas las reuniones y eventos de la UIT se han celebrado de manera virtual. Desde el último </w:t>
      </w:r>
      <w:r w:rsidR="00716F84">
        <w:rPr>
          <w:lang w:val="es-ES"/>
        </w:rPr>
        <w:t>i</w:t>
      </w:r>
      <w:r w:rsidR="003222C3" w:rsidRPr="00467C05">
        <w:rPr>
          <w:lang w:val="es-ES"/>
        </w:rPr>
        <w:t xml:space="preserve">nforme, se ha celebrado </w:t>
      </w:r>
      <w:r w:rsidR="000F35CE" w:rsidRPr="00467C05">
        <w:rPr>
          <w:lang w:val="es-ES"/>
        </w:rPr>
        <w:t xml:space="preserve">la </w:t>
      </w:r>
      <w:r w:rsidR="00821920" w:rsidRPr="00467C05">
        <w:rPr>
          <w:lang w:val="es-ES"/>
        </w:rPr>
        <w:t xml:space="preserve">consulta virtual de los consejeros </w:t>
      </w:r>
      <w:r w:rsidR="003222C3" w:rsidRPr="00467C05">
        <w:rPr>
          <w:lang w:val="es-ES"/>
        </w:rPr>
        <w:t>en noviembre de 2020,</w:t>
      </w:r>
      <w:bookmarkStart w:id="169" w:name="lt_pId381"/>
      <w:bookmarkEnd w:id="168"/>
      <w:r w:rsidR="00080B2C">
        <w:rPr>
          <w:lang w:val="es-ES"/>
        </w:rPr>
        <w:t xml:space="preserve"> </w:t>
      </w:r>
      <w:r w:rsidR="00080B2C" w:rsidRPr="00080B2C">
        <w:rPr>
          <w:lang w:val="es-ES"/>
        </w:rPr>
        <w:t>ITU</w:t>
      </w:r>
      <w:r w:rsidR="00716F84">
        <w:rPr>
          <w:lang w:val="es-ES"/>
        </w:rPr>
        <w:t> </w:t>
      </w:r>
      <w:r w:rsidR="00080B2C" w:rsidRPr="00080B2C">
        <w:rPr>
          <w:lang w:val="es-ES"/>
        </w:rPr>
        <w:t xml:space="preserve">Virtual </w:t>
      </w:r>
      <w:r w:rsidR="00080B2C" w:rsidRPr="00C750FE">
        <w:rPr>
          <w:rFonts w:eastAsia="Calibri"/>
          <w:lang w:val="es-ES"/>
        </w:rPr>
        <w:t>Digital</w:t>
      </w:r>
      <w:r w:rsidR="00080B2C" w:rsidRPr="00080B2C">
        <w:rPr>
          <w:lang w:val="es-ES"/>
        </w:rPr>
        <w:t xml:space="preserve"> World 2020, </w:t>
      </w:r>
      <w:r w:rsidR="003222C3" w:rsidRPr="00467C05">
        <w:rPr>
          <w:lang w:val="es-ES"/>
        </w:rPr>
        <w:t>webinarios de la UIT sobre satélites y el GANT</w:t>
      </w:r>
      <w:r w:rsidRPr="00467C05">
        <w:rPr>
          <w:lang w:val="es-ES"/>
        </w:rPr>
        <w:t xml:space="preserve">, </w:t>
      </w:r>
      <w:r w:rsidR="000F35CE" w:rsidRPr="00467C05">
        <w:rPr>
          <w:lang w:val="es-ES"/>
        </w:rPr>
        <w:t xml:space="preserve">un Seminario Regional y </w:t>
      </w:r>
      <w:r w:rsidR="00442502" w:rsidRPr="00467C05">
        <w:rPr>
          <w:lang w:val="es-ES"/>
        </w:rPr>
        <w:t>el Seminario Mundial de Radiocomunicaciones 2020</w:t>
      </w:r>
      <w:r w:rsidR="000F35CE" w:rsidRPr="00467C05">
        <w:rPr>
          <w:lang w:val="es-ES"/>
        </w:rPr>
        <w:t xml:space="preserve">, </w:t>
      </w:r>
      <w:r w:rsidR="00442502" w:rsidRPr="00467C05">
        <w:rPr>
          <w:lang w:val="es-ES"/>
        </w:rPr>
        <w:t>entre otros</w:t>
      </w:r>
      <w:r w:rsidRPr="00467C05">
        <w:rPr>
          <w:lang w:val="es-ES"/>
        </w:rPr>
        <w:t>.</w:t>
      </w:r>
      <w:bookmarkEnd w:id="169"/>
      <w:r w:rsidRPr="00467C05">
        <w:rPr>
          <w:lang w:val="es-ES"/>
        </w:rPr>
        <w:t xml:space="preserve"> </w:t>
      </w:r>
      <w:bookmarkStart w:id="170" w:name="lt_pId382"/>
      <w:r w:rsidR="00442502" w:rsidRPr="00467C05">
        <w:rPr>
          <w:lang w:val="es-ES"/>
        </w:rPr>
        <w:t xml:space="preserve">El SMR 2020 se </w:t>
      </w:r>
      <w:r w:rsidR="00080B2C">
        <w:rPr>
          <w:lang w:val="es-ES"/>
        </w:rPr>
        <w:t>amplió a</w:t>
      </w:r>
      <w:r w:rsidR="00442502" w:rsidRPr="00467C05">
        <w:rPr>
          <w:lang w:val="es-ES"/>
        </w:rPr>
        <w:t xml:space="preserve"> dos semanas y, por primera vez, las sesiones </w:t>
      </w:r>
      <w:r w:rsidR="00860BB2" w:rsidRPr="00467C05">
        <w:rPr>
          <w:lang w:val="es-ES"/>
        </w:rPr>
        <w:t>plenarias</w:t>
      </w:r>
      <w:r w:rsidR="00442502" w:rsidRPr="00467C05">
        <w:rPr>
          <w:lang w:val="es-ES"/>
        </w:rPr>
        <w:t xml:space="preserve"> del SMR estuvieron abiertas a </w:t>
      </w:r>
      <w:r w:rsidR="00860BB2" w:rsidRPr="00467C05">
        <w:rPr>
          <w:lang w:val="es-ES"/>
        </w:rPr>
        <w:t>participantes</w:t>
      </w:r>
      <w:r w:rsidR="00442502" w:rsidRPr="00467C05">
        <w:rPr>
          <w:lang w:val="es-ES"/>
        </w:rPr>
        <w:t xml:space="preserve"> que no fueran </w:t>
      </w:r>
      <w:r w:rsidR="005170D2">
        <w:rPr>
          <w:lang w:val="es-ES"/>
        </w:rPr>
        <w:t>m</w:t>
      </w:r>
      <w:r w:rsidR="00442502" w:rsidRPr="00467C05">
        <w:rPr>
          <w:lang w:val="es-ES"/>
        </w:rPr>
        <w:t xml:space="preserve">iembros de la UIT, mientras </w:t>
      </w:r>
      <w:r w:rsidR="00860BB2" w:rsidRPr="00467C05">
        <w:rPr>
          <w:lang w:val="es-ES"/>
        </w:rPr>
        <w:t>que los talleres se ofrecieron solo para los Miembros del</w:t>
      </w:r>
      <w:r w:rsidR="00C750FE">
        <w:rPr>
          <w:lang w:val="es-ES"/>
        </w:rPr>
        <w:t> </w:t>
      </w:r>
      <w:r w:rsidR="00860BB2" w:rsidRPr="00467C05">
        <w:rPr>
          <w:lang w:val="es-ES"/>
        </w:rPr>
        <w:t>UIT-R.</w:t>
      </w:r>
      <w:bookmarkEnd w:id="170"/>
    </w:p>
    <w:p w14:paraId="541BA69D" w14:textId="774ACFF2" w:rsidR="00860BB2" w:rsidRPr="00467C05" w:rsidRDefault="001614FE" w:rsidP="00C750FE">
      <w:pPr>
        <w:rPr>
          <w:lang w:val="es-ES"/>
        </w:rPr>
      </w:pPr>
      <w:r w:rsidRPr="005170D2">
        <w:rPr>
          <w:lang w:val="es-ES"/>
        </w:rPr>
        <w:t>11.7</w:t>
      </w:r>
      <w:r w:rsidRPr="00467C05">
        <w:rPr>
          <w:lang w:val="es-ES"/>
        </w:rPr>
        <w:tab/>
        <w:t xml:space="preserve">La UIT ha adoptado medidas para que los eventos y reuniones pasen de ser </w:t>
      </w:r>
      <w:r w:rsidR="00860BB2" w:rsidRPr="00467C05">
        <w:rPr>
          <w:lang w:val="es-ES"/>
        </w:rPr>
        <w:t>presenciales</w:t>
      </w:r>
      <w:r w:rsidRPr="00467C05">
        <w:rPr>
          <w:lang w:val="es-ES"/>
        </w:rPr>
        <w:t xml:space="preserve"> a ser totalmente virtuales. </w:t>
      </w:r>
      <w:bookmarkStart w:id="171" w:name="lt_pId385"/>
      <w:r w:rsidR="00860BB2" w:rsidRPr="00467C05">
        <w:rPr>
          <w:lang w:val="es-ES"/>
        </w:rPr>
        <w:t xml:space="preserve">Los eventos se han organizado para adaptarse mejor a una audiencia virtual mundial, incluyendo la reducción </w:t>
      </w:r>
      <w:r w:rsidR="00080B2C">
        <w:rPr>
          <w:lang w:val="es-ES"/>
        </w:rPr>
        <w:t>del número de</w:t>
      </w:r>
      <w:r w:rsidR="00860BB2" w:rsidRPr="00467C05">
        <w:rPr>
          <w:lang w:val="es-ES"/>
        </w:rPr>
        <w:t xml:space="preserve"> horas por día y aumentando el número de días en comparación con los eventos presenciales.</w:t>
      </w:r>
    </w:p>
    <w:bookmarkEnd w:id="171"/>
    <w:p w14:paraId="43D3C7D3" w14:textId="3B02CCE2" w:rsidR="000F35CE" w:rsidRPr="00467C05" w:rsidRDefault="001614FE" w:rsidP="00C750FE">
      <w:pPr>
        <w:rPr>
          <w:lang w:val="es-ES"/>
        </w:rPr>
      </w:pPr>
      <w:r w:rsidRPr="005170D2">
        <w:rPr>
          <w:lang w:val="es-ES"/>
        </w:rPr>
        <w:t>11.8</w:t>
      </w:r>
      <w:r w:rsidRPr="00467C05">
        <w:rPr>
          <w:lang w:val="es-ES"/>
        </w:rPr>
        <w:tab/>
      </w:r>
      <w:r w:rsidR="00860BB2" w:rsidRPr="00467C05">
        <w:rPr>
          <w:lang w:val="es-ES"/>
        </w:rPr>
        <w:t>P</w:t>
      </w:r>
      <w:r w:rsidRPr="00467C05">
        <w:rPr>
          <w:lang w:val="es-ES"/>
        </w:rPr>
        <w:t xml:space="preserve">ara garantizar la continuidad de las actividades de los órganos rectores de la Unión, </w:t>
      </w:r>
      <w:r w:rsidR="00860BB2" w:rsidRPr="00467C05">
        <w:rPr>
          <w:lang w:val="es-ES"/>
        </w:rPr>
        <w:t xml:space="preserve">los consejeros acordaron celebrar las </w:t>
      </w:r>
      <w:r w:rsidR="00821920" w:rsidRPr="00467C05">
        <w:rPr>
          <w:lang w:val="es-ES"/>
        </w:rPr>
        <w:t xml:space="preserve">consultas virtuales a los consejeros </w:t>
      </w:r>
      <w:r w:rsidRPr="00467C05">
        <w:rPr>
          <w:lang w:val="es-ES"/>
        </w:rPr>
        <w:t xml:space="preserve">para debatir los temas más </w:t>
      </w:r>
      <w:r w:rsidRPr="00C750FE">
        <w:rPr>
          <w:rFonts w:eastAsia="Calibri"/>
          <w:lang w:val="es-ES"/>
        </w:rPr>
        <w:t>urgentes</w:t>
      </w:r>
      <w:r w:rsidRPr="00467C05">
        <w:rPr>
          <w:lang w:val="es-ES"/>
        </w:rPr>
        <w:t xml:space="preserve"> para la Unión y </w:t>
      </w:r>
      <w:r w:rsidR="00860BB2" w:rsidRPr="00467C05">
        <w:rPr>
          <w:lang w:val="es-ES"/>
        </w:rPr>
        <w:t>elaborar</w:t>
      </w:r>
      <w:r w:rsidRPr="00467C05">
        <w:rPr>
          <w:lang w:val="es-ES"/>
        </w:rPr>
        <w:t xml:space="preserve"> propuestas de conclusiones </w:t>
      </w:r>
      <w:r w:rsidR="00860BB2" w:rsidRPr="00467C05">
        <w:rPr>
          <w:lang w:val="es-ES"/>
        </w:rPr>
        <w:t>para su aprobación por una próxima reunión presencial del Consejo o</w:t>
      </w:r>
      <w:r w:rsidRPr="00467C05">
        <w:rPr>
          <w:lang w:val="es-ES"/>
        </w:rPr>
        <w:t xml:space="preserve"> por correspondencia</w:t>
      </w:r>
      <w:r w:rsidR="000F35CE" w:rsidRPr="00467C05">
        <w:rPr>
          <w:lang w:val="es-ES"/>
        </w:rPr>
        <w:t>,</w:t>
      </w:r>
      <w:r w:rsidRPr="00467C05">
        <w:rPr>
          <w:lang w:val="es-ES"/>
        </w:rPr>
        <w:t xml:space="preserve"> para aquell</w:t>
      </w:r>
      <w:r w:rsidR="00860BB2" w:rsidRPr="00467C05">
        <w:rPr>
          <w:lang w:val="es-ES"/>
        </w:rPr>
        <w:t>a</w:t>
      </w:r>
      <w:r w:rsidRPr="00467C05">
        <w:rPr>
          <w:lang w:val="es-ES"/>
        </w:rPr>
        <w:t xml:space="preserve">s que requieren una decisión urgente del Consejo. </w:t>
      </w:r>
      <w:bookmarkStart w:id="172" w:name="lt_pId388"/>
      <w:r w:rsidR="000F35CE" w:rsidRPr="00467C05">
        <w:rPr>
          <w:lang w:val="es-ES"/>
        </w:rPr>
        <w:t>La CVC</w:t>
      </w:r>
      <w:r w:rsidRPr="00467C05">
        <w:rPr>
          <w:lang w:val="es-ES"/>
        </w:rPr>
        <w:t xml:space="preserve">-1 </w:t>
      </w:r>
      <w:r w:rsidR="000F35CE" w:rsidRPr="00467C05">
        <w:rPr>
          <w:lang w:val="es-ES"/>
        </w:rPr>
        <w:t>se celebró en junio de</w:t>
      </w:r>
      <w:r w:rsidRPr="00467C05">
        <w:rPr>
          <w:lang w:val="es-ES"/>
        </w:rPr>
        <w:t xml:space="preserve"> 2020 </w:t>
      </w:r>
      <w:r w:rsidR="000F35CE" w:rsidRPr="00467C05">
        <w:rPr>
          <w:lang w:val="es-ES"/>
        </w:rPr>
        <w:t>y la CVC-2 se organizó en noviembre de</w:t>
      </w:r>
      <w:r w:rsidR="001E648D">
        <w:rPr>
          <w:lang w:val="es-ES"/>
        </w:rPr>
        <w:t> </w:t>
      </w:r>
      <w:r w:rsidR="000F35CE" w:rsidRPr="00467C05">
        <w:rPr>
          <w:lang w:val="es-ES"/>
        </w:rPr>
        <w:t>2020. Estas consultas virtuales han permitido que los Estados Miembros traten la mayoría de los temas inicialmente incluidos en el orden del día de la reunión presencial de 2020 del Consejo.</w:t>
      </w:r>
    </w:p>
    <w:bookmarkEnd w:id="172"/>
    <w:p w14:paraId="2EA5CDFC" w14:textId="62FB92BF" w:rsidR="000F35CE" w:rsidRPr="00467C05" w:rsidRDefault="001614FE" w:rsidP="00C750FE">
      <w:pPr>
        <w:rPr>
          <w:lang w:val="es-ES"/>
        </w:rPr>
      </w:pPr>
      <w:r w:rsidRPr="00B90D1C">
        <w:rPr>
          <w:lang w:val="es-ES"/>
        </w:rPr>
        <w:lastRenderedPageBreak/>
        <w:t>11.9</w:t>
      </w:r>
      <w:r w:rsidRPr="00467C05">
        <w:rPr>
          <w:lang w:val="es-ES"/>
        </w:rPr>
        <w:tab/>
      </w:r>
      <w:bookmarkStart w:id="173" w:name="lt_pId391"/>
      <w:r w:rsidR="000F35CE" w:rsidRPr="00467C05">
        <w:rPr>
          <w:lang w:val="es-ES"/>
        </w:rPr>
        <w:t>En relación con los pagos de las contribuciones de los Estados Miembros de la UIT, los datos actuales parecen mostrar un ritmo de pagos similar al de los años anteriores. A diciembre de</w:t>
      </w:r>
      <w:r w:rsidR="00B90D1C">
        <w:rPr>
          <w:lang w:val="es-ES"/>
        </w:rPr>
        <w:t> </w:t>
      </w:r>
      <w:r w:rsidR="000F35CE" w:rsidRPr="00467C05">
        <w:rPr>
          <w:lang w:val="es-ES"/>
        </w:rPr>
        <w:t xml:space="preserve">2020, </w:t>
      </w:r>
      <w:r w:rsidR="00461B30" w:rsidRPr="00467C05">
        <w:rPr>
          <w:lang w:val="es-ES"/>
        </w:rPr>
        <w:t xml:space="preserve">ya </w:t>
      </w:r>
      <w:r w:rsidR="000F35CE" w:rsidRPr="00467C05">
        <w:rPr>
          <w:lang w:val="es-ES"/>
        </w:rPr>
        <w:t xml:space="preserve">se han recibido el 94 por ciento de </w:t>
      </w:r>
      <w:r w:rsidR="00461B30" w:rsidRPr="00467C05">
        <w:rPr>
          <w:lang w:val="es-ES"/>
        </w:rPr>
        <w:t xml:space="preserve">las contribuciones del año </w:t>
      </w:r>
      <w:r w:rsidR="000F35CE" w:rsidRPr="00467C05">
        <w:rPr>
          <w:lang w:val="es-ES"/>
        </w:rPr>
        <w:t xml:space="preserve">de los Estados Miembros y el </w:t>
      </w:r>
      <w:r w:rsidR="00461B30" w:rsidRPr="00467C05">
        <w:rPr>
          <w:lang w:val="es-ES"/>
        </w:rPr>
        <w:t>40 por ciento de las contribuciones de 2021. Siempre se realiza un seguimiento estricto de los deudores.</w:t>
      </w:r>
    </w:p>
    <w:bookmarkEnd w:id="173"/>
    <w:p w14:paraId="29DBF857" w14:textId="77777777" w:rsidR="001614FE" w:rsidRPr="00467C05" w:rsidRDefault="001614FE" w:rsidP="00C750FE">
      <w:pPr>
        <w:rPr>
          <w:lang w:val="es-ES"/>
        </w:rPr>
      </w:pPr>
      <w:r w:rsidRPr="00B90D1C">
        <w:rPr>
          <w:lang w:val="es-ES"/>
        </w:rPr>
        <w:t>11.10</w:t>
      </w:r>
      <w:r w:rsidRPr="00467C05">
        <w:rPr>
          <w:lang w:val="es-ES"/>
        </w:rPr>
        <w:tab/>
        <w:t xml:space="preserve">En resumen, el personal de la UIT </w:t>
      </w:r>
      <w:r w:rsidR="00080B2C">
        <w:rPr>
          <w:lang w:val="es-ES"/>
        </w:rPr>
        <w:t>ha trabajado</w:t>
      </w:r>
      <w:r w:rsidRPr="00467C05">
        <w:rPr>
          <w:lang w:val="es-ES"/>
        </w:rPr>
        <w:t xml:space="preserve"> excepcionalmente bien en estas </w:t>
      </w:r>
      <w:r w:rsidRPr="004D1648">
        <w:rPr>
          <w:lang w:val="es-ES"/>
        </w:rPr>
        <w:t>circunstancias</w:t>
      </w:r>
      <w:r w:rsidRPr="00467C05">
        <w:rPr>
          <w:lang w:val="es-ES"/>
        </w:rPr>
        <w:t xml:space="preserve">. Las medidas de </w:t>
      </w:r>
      <w:r w:rsidR="00461B30" w:rsidRPr="00467C05">
        <w:rPr>
          <w:lang w:val="es-ES"/>
        </w:rPr>
        <w:t>mitigación</w:t>
      </w:r>
      <w:r w:rsidRPr="00467C05">
        <w:rPr>
          <w:lang w:val="es-ES"/>
        </w:rPr>
        <w:t xml:space="preserve"> se introdujeron pronto y han tenido éxito, y se han aprendido muchas lecciones importantes con respecto al trabajo flexible que resultarán particularmente útiles para hacer frente </w:t>
      </w:r>
      <w:r w:rsidR="00461B30" w:rsidRPr="00467C05">
        <w:rPr>
          <w:lang w:val="es-ES"/>
        </w:rPr>
        <w:t>al futuro proyecto de la Sede.</w:t>
      </w:r>
    </w:p>
    <w:p w14:paraId="76D2F97E" w14:textId="399D16B1" w:rsidR="001614FE" w:rsidRPr="00467C05" w:rsidRDefault="009A2BD0" w:rsidP="00C750FE">
      <w:pPr>
        <w:rPr>
          <w:lang w:val="es-ES"/>
        </w:rPr>
      </w:pPr>
      <w:r w:rsidRPr="00467C05">
        <w:rPr>
          <w:lang w:val="es-ES"/>
        </w:rPr>
        <w:t>11.11</w:t>
      </w:r>
      <w:r w:rsidR="00C750FE">
        <w:rPr>
          <w:lang w:val="es-ES"/>
        </w:rPr>
        <w:tab/>
      </w:r>
      <w:r w:rsidRPr="00467C05">
        <w:rPr>
          <w:lang w:val="es-ES"/>
        </w:rPr>
        <w:t>Un delegado expresó su preocupación</w:t>
      </w:r>
      <w:r w:rsidR="001614FE" w:rsidRPr="00467C05">
        <w:rPr>
          <w:lang w:val="es-ES"/>
        </w:rPr>
        <w:t xml:space="preserve"> con respecto a los futuros ingresos de la Unión. </w:t>
      </w:r>
      <w:r w:rsidRPr="00467C05">
        <w:rPr>
          <w:lang w:val="es-ES"/>
        </w:rPr>
        <w:t xml:space="preserve">La </w:t>
      </w:r>
      <w:r w:rsidRPr="004D1648">
        <w:rPr>
          <w:lang w:val="es-ES"/>
        </w:rPr>
        <w:t>Secretaría</w:t>
      </w:r>
      <w:r w:rsidRPr="00467C05">
        <w:rPr>
          <w:lang w:val="es-ES"/>
        </w:rPr>
        <w:t xml:space="preserve"> informó a los participantes </w:t>
      </w:r>
      <w:r w:rsidR="00080B2C">
        <w:rPr>
          <w:lang w:val="es-ES"/>
        </w:rPr>
        <w:t xml:space="preserve">de </w:t>
      </w:r>
      <w:r w:rsidRPr="00467C05">
        <w:rPr>
          <w:lang w:val="es-ES"/>
        </w:rPr>
        <w:t>que la tasa de pago de las contribuciones de los Miembros es similar a la de los años anteriores.</w:t>
      </w:r>
    </w:p>
    <w:p w14:paraId="16BA5974" w14:textId="302CCFE2" w:rsidR="009A2BD0" w:rsidRPr="004D1648" w:rsidRDefault="001614FE" w:rsidP="00C750FE">
      <w:pPr>
        <w:rPr>
          <w:lang w:val="es-ES"/>
        </w:rPr>
      </w:pPr>
      <w:r w:rsidRPr="004D1648">
        <w:rPr>
          <w:lang w:val="es-ES"/>
        </w:rPr>
        <w:t>11.12</w:t>
      </w:r>
      <w:r w:rsidR="009A2BD0" w:rsidRPr="004D1648">
        <w:rPr>
          <w:lang w:val="es-ES"/>
        </w:rPr>
        <w:tab/>
        <w:t xml:space="preserve">En contestación a una pregunta de un </w:t>
      </w:r>
      <w:r w:rsidR="009A5597" w:rsidRPr="004D1648">
        <w:rPr>
          <w:lang w:val="es-ES"/>
        </w:rPr>
        <w:t>dele</w:t>
      </w:r>
      <w:r w:rsidR="009A2BD0" w:rsidRPr="004D1648">
        <w:rPr>
          <w:lang w:val="es-ES"/>
        </w:rPr>
        <w:t xml:space="preserve">gado, la Directora de la BDT </w:t>
      </w:r>
      <w:bookmarkStart w:id="174" w:name="lt_pId401"/>
      <w:r w:rsidR="009A2BD0" w:rsidRPr="004D1648">
        <w:rPr>
          <w:lang w:val="es-ES"/>
        </w:rPr>
        <w:t xml:space="preserve">informó de que recibían muchas solicitudes de apoyo </w:t>
      </w:r>
      <w:r w:rsidR="009A5597" w:rsidRPr="004D1648">
        <w:rPr>
          <w:lang w:val="es-ES"/>
        </w:rPr>
        <w:t xml:space="preserve">a países </w:t>
      </w:r>
      <w:r w:rsidR="009A2BD0" w:rsidRPr="004D1648">
        <w:rPr>
          <w:lang w:val="es-ES"/>
        </w:rPr>
        <w:t>en 2021 para la elaboración de planes nacionales de telecomunicaciones de emergencia.</w:t>
      </w:r>
    </w:p>
    <w:bookmarkEnd w:id="174"/>
    <w:p w14:paraId="0606623A" w14:textId="2FB062E4" w:rsidR="001614FE" w:rsidRPr="004D1648" w:rsidRDefault="001614FE" w:rsidP="00C750FE">
      <w:pPr>
        <w:rPr>
          <w:lang w:val="es-ES"/>
        </w:rPr>
      </w:pPr>
      <w:r w:rsidRPr="004D1648">
        <w:rPr>
          <w:lang w:val="es-ES"/>
        </w:rPr>
        <w:t>11.13</w:t>
      </w:r>
      <w:r w:rsidRPr="004D1648">
        <w:rPr>
          <w:lang w:val="es-ES"/>
        </w:rPr>
        <w:tab/>
      </w:r>
      <w:r w:rsidR="009A5597" w:rsidRPr="004D1648">
        <w:rPr>
          <w:lang w:val="es-ES"/>
        </w:rPr>
        <w:t xml:space="preserve">El GTC-RHF </w:t>
      </w:r>
      <w:r w:rsidR="00080B2C" w:rsidRPr="004D1648">
        <w:rPr>
          <w:lang w:val="es-ES"/>
        </w:rPr>
        <w:t>reconoció</w:t>
      </w:r>
      <w:r w:rsidR="009A5597" w:rsidRPr="004D1648">
        <w:rPr>
          <w:lang w:val="es-ES"/>
        </w:rPr>
        <w:t xml:space="preserve"> los esfuerzos realizados por la Secretaría para </w:t>
      </w:r>
      <w:r w:rsidR="003A5276" w:rsidRPr="004D1648">
        <w:rPr>
          <w:lang w:val="es-ES"/>
        </w:rPr>
        <w:t>un</w:t>
      </w:r>
      <w:r w:rsidR="009A5597" w:rsidRPr="004D1648">
        <w:rPr>
          <w:lang w:val="es-ES"/>
        </w:rPr>
        <w:t xml:space="preserve"> duro y excelente trabajo realizado </w:t>
      </w:r>
      <w:r w:rsidR="00080B2C" w:rsidRPr="004D1648">
        <w:rPr>
          <w:lang w:val="es-ES"/>
        </w:rPr>
        <w:t>a lo largo de</w:t>
      </w:r>
      <w:r w:rsidR="009A5597" w:rsidRPr="004D1648">
        <w:rPr>
          <w:lang w:val="es-ES"/>
        </w:rPr>
        <w:t xml:space="preserve"> toda </w:t>
      </w:r>
      <w:r w:rsidR="00080B2C" w:rsidRPr="004D1648">
        <w:rPr>
          <w:lang w:val="es-ES"/>
        </w:rPr>
        <w:t>la</w:t>
      </w:r>
      <w:r w:rsidR="009A5597" w:rsidRPr="004D1648">
        <w:rPr>
          <w:lang w:val="es-ES"/>
        </w:rPr>
        <w:t xml:space="preserve"> difícil situación.</w:t>
      </w:r>
    </w:p>
    <w:p w14:paraId="3DF30F8E" w14:textId="77777777" w:rsidR="001614FE" w:rsidRPr="00467C05" w:rsidRDefault="001614FE" w:rsidP="003C0701">
      <w:pPr>
        <w:pStyle w:val="Reasons"/>
        <w:rPr>
          <w:lang w:val="es-ES"/>
        </w:rPr>
      </w:pPr>
    </w:p>
    <w:p w14:paraId="30A8952D" w14:textId="77777777" w:rsidR="001614FE" w:rsidRPr="00467C05" w:rsidRDefault="001614FE">
      <w:pPr>
        <w:jc w:val="center"/>
        <w:rPr>
          <w:lang w:val="es-ES"/>
        </w:rPr>
      </w:pPr>
      <w:r w:rsidRPr="00467C05">
        <w:rPr>
          <w:lang w:val="es-ES"/>
        </w:rPr>
        <w:t>______________</w:t>
      </w:r>
    </w:p>
    <w:sectPr w:rsidR="001614FE" w:rsidRPr="00467C05" w:rsidSect="006710F6">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20EF5" w14:textId="77777777" w:rsidR="003E1873" w:rsidRDefault="003E1873">
      <w:r>
        <w:separator/>
      </w:r>
    </w:p>
  </w:endnote>
  <w:endnote w:type="continuationSeparator" w:id="0">
    <w:p w14:paraId="6A67FC79" w14:textId="77777777" w:rsidR="003E1873" w:rsidRDefault="003E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08E5" w14:textId="1E60227B" w:rsidR="003E1873" w:rsidRPr="001614FE" w:rsidRDefault="003E1873" w:rsidP="001614FE">
    <w:pPr>
      <w:pStyle w:val="Footer"/>
      <w:rPr>
        <w:lang w:val="en-US"/>
      </w:rPr>
    </w:pPr>
    <w:r>
      <w:fldChar w:fldCharType="begin"/>
    </w:r>
    <w:r w:rsidRPr="001614FE">
      <w:rPr>
        <w:lang w:val="en-US"/>
      </w:rPr>
      <w:instrText xml:space="preserve"> FILENAME \p  \* MERGEFORMAT </w:instrText>
    </w:r>
    <w:r>
      <w:fldChar w:fldCharType="separate"/>
    </w:r>
    <w:r w:rsidR="007D1296">
      <w:rPr>
        <w:lang w:val="en-US"/>
      </w:rPr>
      <w:t>P:\ESP\SG\CONSEIL\C21\000\050S.docx</w:t>
    </w:r>
    <w:r>
      <w:fldChar w:fldCharType="end"/>
    </w:r>
    <w:r w:rsidRPr="005F222A">
      <w:rPr>
        <w:lang w:val="en-US"/>
      </w:rPr>
      <w:t xml:space="preserve"> </w:t>
    </w:r>
    <w:r w:rsidR="007D1296">
      <w:rPr>
        <w:lang w:val="en-US"/>
      </w:rPr>
      <w:t>(483246)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2796" w14:textId="77777777" w:rsidR="003E1873" w:rsidRDefault="003E187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5C060" w14:textId="77777777" w:rsidR="003E1873" w:rsidRDefault="003E1873">
      <w:r>
        <w:t>____________________</w:t>
      </w:r>
    </w:p>
  </w:footnote>
  <w:footnote w:type="continuationSeparator" w:id="0">
    <w:p w14:paraId="2C529870" w14:textId="77777777" w:rsidR="003E1873" w:rsidRDefault="003E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3C15" w14:textId="77777777" w:rsidR="003E1873" w:rsidRDefault="003E1873" w:rsidP="007657F0">
    <w:pPr>
      <w:pStyle w:val="Header"/>
    </w:pPr>
    <w:r>
      <w:fldChar w:fldCharType="begin"/>
    </w:r>
    <w:r>
      <w:instrText>PAGE</w:instrText>
    </w:r>
    <w:r>
      <w:fldChar w:fldCharType="separate"/>
    </w:r>
    <w:r w:rsidR="00A225D3">
      <w:rPr>
        <w:noProof/>
      </w:rPr>
      <w:t>3</w:t>
    </w:r>
    <w:r>
      <w:rPr>
        <w:noProof/>
      </w:rPr>
      <w:fldChar w:fldCharType="end"/>
    </w:r>
  </w:p>
  <w:p w14:paraId="3AFBED30" w14:textId="77777777" w:rsidR="003E1873" w:rsidRDefault="003E1873" w:rsidP="00C2727F">
    <w:pPr>
      <w:pStyle w:val="Header"/>
    </w:pPr>
    <w:r>
      <w:t>C21/50-S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6A65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16A9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22E1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E475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D0E2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402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1AF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2022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E22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4A5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F7C"/>
    <w:multiLevelType w:val="hybridMultilevel"/>
    <w:tmpl w:val="E04433B6"/>
    <w:lvl w:ilvl="0" w:tplc="0409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9117A52"/>
    <w:multiLevelType w:val="hybridMultilevel"/>
    <w:tmpl w:val="AB9E6848"/>
    <w:lvl w:ilvl="0" w:tplc="9EE405A4">
      <w:start w:val="1"/>
      <w:numFmt w:val="lowerLetter"/>
      <w:lvlText w:val="%1)"/>
      <w:lvlJc w:val="left"/>
      <w:pPr>
        <w:ind w:left="1065" w:hanging="360"/>
      </w:pPr>
      <w:rPr>
        <w:rFonts w:hint="default"/>
      </w:rPr>
    </w:lvl>
    <w:lvl w:ilvl="1" w:tplc="CBD2D27E" w:tentative="1">
      <w:start w:val="1"/>
      <w:numFmt w:val="lowerLetter"/>
      <w:lvlText w:val="%2."/>
      <w:lvlJc w:val="left"/>
      <w:pPr>
        <w:ind w:left="1785" w:hanging="360"/>
      </w:pPr>
    </w:lvl>
    <w:lvl w:ilvl="2" w:tplc="C7BE67E2" w:tentative="1">
      <w:start w:val="1"/>
      <w:numFmt w:val="lowerRoman"/>
      <w:lvlText w:val="%3."/>
      <w:lvlJc w:val="right"/>
      <w:pPr>
        <w:ind w:left="2505" w:hanging="180"/>
      </w:pPr>
    </w:lvl>
    <w:lvl w:ilvl="3" w:tplc="B9F437D0" w:tentative="1">
      <w:start w:val="1"/>
      <w:numFmt w:val="decimal"/>
      <w:lvlText w:val="%4."/>
      <w:lvlJc w:val="left"/>
      <w:pPr>
        <w:ind w:left="3225" w:hanging="360"/>
      </w:pPr>
    </w:lvl>
    <w:lvl w:ilvl="4" w:tplc="7B7C9FDA" w:tentative="1">
      <w:start w:val="1"/>
      <w:numFmt w:val="lowerLetter"/>
      <w:lvlText w:val="%5."/>
      <w:lvlJc w:val="left"/>
      <w:pPr>
        <w:ind w:left="3945" w:hanging="360"/>
      </w:pPr>
    </w:lvl>
    <w:lvl w:ilvl="5" w:tplc="F7C4C9A4" w:tentative="1">
      <w:start w:val="1"/>
      <w:numFmt w:val="lowerRoman"/>
      <w:lvlText w:val="%6."/>
      <w:lvlJc w:val="right"/>
      <w:pPr>
        <w:ind w:left="4665" w:hanging="180"/>
      </w:pPr>
    </w:lvl>
    <w:lvl w:ilvl="6" w:tplc="3FC855B2" w:tentative="1">
      <w:start w:val="1"/>
      <w:numFmt w:val="decimal"/>
      <w:lvlText w:val="%7."/>
      <w:lvlJc w:val="left"/>
      <w:pPr>
        <w:ind w:left="5385" w:hanging="360"/>
      </w:pPr>
    </w:lvl>
    <w:lvl w:ilvl="7" w:tplc="F1D070D2" w:tentative="1">
      <w:start w:val="1"/>
      <w:numFmt w:val="lowerLetter"/>
      <w:lvlText w:val="%8."/>
      <w:lvlJc w:val="left"/>
      <w:pPr>
        <w:ind w:left="6105" w:hanging="360"/>
      </w:pPr>
    </w:lvl>
    <w:lvl w:ilvl="8" w:tplc="B8067218" w:tentative="1">
      <w:start w:val="1"/>
      <w:numFmt w:val="lowerRoman"/>
      <w:lvlText w:val="%9."/>
      <w:lvlJc w:val="right"/>
      <w:pPr>
        <w:ind w:left="6825" w:hanging="180"/>
      </w:pPr>
    </w:lvl>
  </w:abstractNum>
  <w:abstractNum w:abstractNumId="12" w15:restartNumberingAfterBreak="0">
    <w:nsid w:val="0C89077A"/>
    <w:multiLevelType w:val="hybridMultilevel"/>
    <w:tmpl w:val="B77A6C08"/>
    <w:lvl w:ilvl="0" w:tplc="08C24CAA">
      <w:start w:val="2"/>
      <w:numFmt w:val="bullet"/>
      <w:lvlText w:val="•"/>
      <w:lvlJc w:val="left"/>
      <w:pPr>
        <w:ind w:left="1069" w:hanging="360"/>
      </w:pPr>
      <w:rPr>
        <w:rFonts w:ascii="Calibri" w:eastAsia="SimSun" w:hAnsi="Calibri" w:cs="Calibri" w:hint="default"/>
      </w:rPr>
    </w:lvl>
    <w:lvl w:ilvl="1" w:tplc="63BC92BE" w:tentative="1">
      <w:start w:val="1"/>
      <w:numFmt w:val="bullet"/>
      <w:lvlText w:val="o"/>
      <w:lvlJc w:val="left"/>
      <w:pPr>
        <w:ind w:left="1789" w:hanging="360"/>
      </w:pPr>
      <w:rPr>
        <w:rFonts w:ascii="Courier New" w:hAnsi="Courier New" w:cs="Courier New" w:hint="default"/>
      </w:rPr>
    </w:lvl>
    <w:lvl w:ilvl="2" w:tplc="26EA4BC4" w:tentative="1">
      <w:start w:val="1"/>
      <w:numFmt w:val="bullet"/>
      <w:lvlText w:val=""/>
      <w:lvlJc w:val="left"/>
      <w:pPr>
        <w:ind w:left="2509" w:hanging="360"/>
      </w:pPr>
      <w:rPr>
        <w:rFonts w:ascii="Wingdings" w:hAnsi="Wingdings" w:hint="default"/>
      </w:rPr>
    </w:lvl>
    <w:lvl w:ilvl="3" w:tplc="F870A59C" w:tentative="1">
      <w:start w:val="1"/>
      <w:numFmt w:val="bullet"/>
      <w:lvlText w:val=""/>
      <w:lvlJc w:val="left"/>
      <w:pPr>
        <w:ind w:left="3229" w:hanging="360"/>
      </w:pPr>
      <w:rPr>
        <w:rFonts w:ascii="Symbol" w:hAnsi="Symbol" w:hint="default"/>
      </w:rPr>
    </w:lvl>
    <w:lvl w:ilvl="4" w:tplc="CE7A9F5E" w:tentative="1">
      <w:start w:val="1"/>
      <w:numFmt w:val="bullet"/>
      <w:lvlText w:val="o"/>
      <w:lvlJc w:val="left"/>
      <w:pPr>
        <w:ind w:left="3949" w:hanging="360"/>
      </w:pPr>
      <w:rPr>
        <w:rFonts w:ascii="Courier New" w:hAnsi="Courier New" w:cs="Courier New" w:hint="default"/>
      </w:rPr>
    </w:lvl>
    <w:lvl w:ilvl="5" w:tplc="42982618" w:tentative="1">
      <w:start w:val="1"/>
      <w:numFmt w:val="bullet"/>
      <w:lvlText w:val=""/>
      <w:lvlJc w:val="left"/>
      <w:pPr>
        <w:ind w:left="4669" w:hanging="360"/>
      </w:pPr>
      <w:rPr>
        <w:rFonts w:ascii="Wingdings" w:hAnsi="Wingdings" w:hint="default"/>
      </w:rPr>
    </w:lvl>
    <w:lvl w:ilvl="6" w:tplc="EEDAD2B0" w:tentative="1">
      <w:start w:val="1"/>
      <w:numFmt w:val="bullet"/>
      <w:lvlText w:val=""/>
      <w:lvlJc w:val="left"/>
      <w:pPr>
        <w:ind w:left="5389" w:hanging="360"/>
      </w:pPr>
      <w:rPr>
        <w:rFonts w:ascii="Symbol" w:hAnsi="Symbol" w:hint="default"/>
      </w:rPr>
    </w:lvl>
    <w:lvl w:ilvl="7" w:tplc="4A621296" w:tentative="1">
      <w:start w:val="1"/>
      <w:numFmt w:val="bullet"/>
      <w:lvlText w:val="o"/>
      <w:lvlJc w:val="left"/>
      <w:pPr>
        <w:ind w:left="6109" w:hanging="360"/>
      </w:pPr>
      <w:rPr>
        <w:rFonts w:ascii="Courier New" w:hAnsi="Courier New" w:cs="Courier New" w:hint="default"/>
      </w:rPr>
    </w:lvl>
    <w:lvl w:ilvl="8" w:tplc="6EC2A9EA" w:tentative="1">
      <w:start w:val="1"/>
      <w:numFmt w:val="bullet"/>
      <w:lvlText w:val=""/>
      <w:lvlJc w:val="left"/>
      <w:pPr>
        <w:ind w:left="6829" w:hanging="360"/>
      </w:pPr>
      <w:rPr>
        <w:rFonts w:ascii="Wingdings" w:hAnsi="Wingdings" w:hint="default"/>
      </w:rPr>
    </w:lvl>
  </w:abstractNum>
  <w:abstractNum w:abstractNumId="13" w15:restartNumberingAfterBreak="0">
    <w:nsid w:val="0CA250E2"/>
    <w:multiLevelType w:val="hybridMultilevel"/>
    <w:tmpl w:val="4516D500"/>
    <w:lvl w:ilvl="0" w:tplc="B4CECB80">
      <w:start w:val="1"/>
      <w:numFmt w:val="bullet"/>
      <w:lvlText w:val=""/>
      <w:lvlJc w:val="left"/>
      <w:pPr>
        <w:ind w:left="720" w:hanging="360"/>
      </w:pPr>
      <w:rPr>
        <w:rFonts w:ascii="Symbol" w:hAnsi="Symbol" w:hint="default"/>
      </w:rPr>
    </w:lvl>
    <w:lvl w:ilvl="1" w:tplc="93C67A96" w:tentative="1">
      <w:start w:val="1"/>
      <w:numFmt w:val="bullet"/>
      <w:lvlText w:val="o"/>
      <w:lvlJc w:val="left"/>
      <w:pPr>
        <w:ind w:left="1440" w:hanging="360"/>
      </w:pPr>
      <w:rPr>
        <w:rFonts w:ascii="Courier New" w:hAnsi="Courier New" w:cs="Courier New" w:hint="default"/>
      </w:rPr>
    </w:lvl>
    <w:lvl w:ilvl="2" w:tplc="3504661C" w:tentative="1">
      <w:start w:val="1"/>
      <w:numFmt w:val="bullet"/>
      <w:lvlText w:val=""/>
      <w:lvlJc w:val="left"/>
      <w:pPr>
        <w:ind w:left="2160" w:hanging="360"/>
      </w:pPr>
      <w:rPr>
        <w:rFonts w:ascii="Wingdings" w:hAnsi="Wingdings" w:hint="default"/>
      </w:rPr>
    </w:lvl>
    <w:lvl w:ilvl="3" w:tplc="B896DE9E" w:tentative="1">
      <w:start w:val="1"/>
      <w:numFmt w:val="bullet"/>
      <w:lvlText w:val=""/>
      <w:lvlJc w:val="left"/>
      <w:pPr>
        <w:ind w:left="2880" w:hanging="360"/>
      </w:pPr>
      <w:rPr>
        <w:rFonts w:ascii="Symbol" w:hAnsi="Symbol" w:hint="default"/>
      </w:rPr>
    </w:lvl>
    <w:lvl w:ilvl="4" w:tplc="D0CCB43A" w:tentative="1">
      <w:start w:val="1"/>
      <w:numFmt w:val="bullet"/>
      <w:lvlText w:val="o"/>
      <w:lvlJc w:val="left"/>
      <w:pPr>
        <w:ind w:left="3600" w:hanging="360"/>
      </w:pPr>
      <w:rPr>
        <w:rFonts w:ascii="Courier New" w:hAnsi="Courier New" w:cs="Courier New" w:hint="default"/>
      </w:rPr>
    </w:lvl>
    <w:lvl w:ilvl="5" w:tplc="B37E7E40" w:tentative="1">
      <w:start w:val="1"/>
      <w:numFmt w:val="bullet"/>
      <w:lvlText w:val=""/>
      <w:lvlJc w:val="left"/>
      <w:pPr>
        <w:ind w:left="4320" w:hanging="360"/>
      </w:pPr>
      <w:rPr>
        <w:rFonts w:ascii="Wingdings" w:hAnsi="Wingdings" w:hint="default"/>
      </w:rPr>
    </w:lvl>
    <w:lvl w:ilvl="6" w:tplc="C37028AA" w:tentative="1">
      <w:start w:val="1"/>
      <w:numFmt w:val="bullet"/>
      <w:lvlText w:val=""/>
      <w:lvlJc w:val="left"/>
      <w:pPr>
        <w:ind w:left="5040" w:hanging="360"/>
      </w:pPr>
      <w:rPr>
        <w:rFonts w:ascii="Symbol" w:hAnsi="Symbol" w:hint="default"/>
      </w:rPr>
    </w:lvl>
    <w:lvl w:ilvl="7" w:tplc="546C2B76" w:tentative="1">
      <w:start w:val="1"/>
      <w:numFmt w:val="bullet"/>
      <w:lvlText w:val="o"/>
      <w:lvlJc w:val="left"/>
      <w:pPr>
        <w:ind w:left="5760" w:hanging="360"/>
      </w:pPr>
      <w:rPr>
        <w:rFonts w:ascii="Courier New" w:hAnsi="Courier New" w:cs="Courier New" w:hint="default"/>
      </w:rPr>
    </w:lvl>
    <w:lvl w:ilvl="8" w:tplc="BE60101A" w:tentative="1">
      <w:start w:val="1"/>
      <w:numFmt w:val="bullet"/>
      <w:lvlText w:val=""/>
      <w:lvlJc w:val="left"/>
      <w:pPr>
        <w:ind w:left="6480" w:hanging="360"/>
      </w:pPr>
      <w:rPr>
        <w:rFonts w:ascii="Wingdings" w:hAnsi="Wingdings" w:hint="default"/>
      </w:rPr>
    </w:lvl>
  </w:abstractNum>
  <w:abstractNum w:abstractNumId="14" w15:restartNumberingAfterBreak="0">
    <w:nsid w:val="238671C5"/>
    <w:multiLevelType w:val="hybridMultilevel"/>
    <w:tmpl w:val="D5826298"/>
    <w:lvl w:ilvl="0" w:tplc="9208E3C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1E6940"/>
    <w:multiLevelType w:val="hybridMultilevel"/>
    <w:tmpl w:val="FCE2F310"/>
    <w:lvl w:ilvl="0" w:tplc="E692F3D6">
      <w:start w:val="1"/>
      <w:numFmt w:val="bullet"/>
      <w:lvlText w:val=""/>
      <w:lvlJc w:val="left"/>
      <w:pPr>
        <w:ind w:left="720" w:hanging="360"/>
      </w:pPr>
      <w:rPr>
        <w:rFonts w:ascii="Symbol" w:hAnsi="Symbol" w:hint="default"/>
      </w:rPr>
    </w:lvl>
    <w:lvl w:ilvl="1" w:tplc="E434211A" w:tentative="1">
      <w:start w:val="1"/>
      <w:numFmt w:val="bullet"/>
      <w:lvlText w:val="o"/>
      <w:lvlJc w:val="left"/>
      <w:pPr>
        <w:ind w:left="1440" w:hanging="360"/>
      </w:pPr>
      <w:rPr>
        <w:rFonts w:ascii="Courier New" w:hAnsi="Courier New" w:cs="Courier New" w:hint="default"/>
      </w:rPr>
    </w:lvl>
    <w:lvl w:ilvl="2" w:tplc="393E5A8A" w:tentative="1">
      <w:start w:val="1"/>
      <w:numFmt w:val="bullet"/>
      <w:lvlText w:val=""/>
      <w:lvlJc w:val="left"/>
      <w:pPr>
        <w:ind w:left="2160" w:hanging="360"/>
      </w:pPr>
      <w:rPr>
        <w:rFonts w:ascii="Wingdings" w:hAnsi="Wingdings" w:hint="default"/>
      </w:rPr>
    </w:lvl>
    <w:lvl w:ilvl="3" w:tplc="F58226AE" w:tentative="1">
      <w:start w:val="1"/>
      <w:numFmt w:val="bullet"/>
      <w:lvlText w:val=""/>
      <w:lvlJc w:val="left"/>
      <w:pPr>
        <w:ind w:left="2880" w:hanging="360"/>
      </w:pPr>
      <w:rPr>
        <w:rFonts w:ascii="Symbol" w:hAnsi="Symbol" w:hint="default"/>
      </w:rPr>
    </w:lvl>
    <w:lvl w:ilvl="4" w:tplc="62B06CFE" w:tentative="1">
      <w:start w:val="1"/>
      <w:numFmt w:val="bullet"/>
      <w:lvlText w:val="o"/>
      <w:lvlJc w:val="left"/>
      <w:pPr>
        <w:ind w:left="3600" w:hanging="360"/>
      </w:pPr>
      <w:rPr>
        <w:rFonts w:ascii="Courier New" w:hAnsi="Courier New" w:cs="Courier New" w:hint="default"/>
      </w:rPr>
    </w:lvl>
    <w:lvl w:ilvl="5" w:tplc="C2B8BBC2" w:tentative="1">
      <w:start w:val="1"/>
      <w:numFmt w:val="bullet"/>
      <w:lvlText w:val=""/>
      <w:lvlJc w:val="left"/>
      <w:pPr>
        <w:ind w:left="4320" w:hanging="360"/>
      </w:pPr>
      <w:rPr>
        <w:rFonts w:ascii="Wingdings" w:hAnsi="Wingdings" w:hint="default"/>
      </w:rPr>
    </w:lvl>
    <w:lvl w:ilvl="6" w:tplc="9EF6BC40" w:tentative="1">
      <w:start w:val="1"/>
      <w:numFmt w:val="bullet"/>
      <w:lvlText w:val=""/>
      <w:lvlJc w:val="left"/>
      <w:pPr>
        <w:ind w:left="5040" w:hanging="360"/>
      </w:pPr>
      <w:rPr>
        <w:rFonts w:ascii="Symbol" w:hAnsi="Symbol" w:hint="default"/>
      </w:rPr>
    </w:lvl>
    <w:lvl w:ilvl="7" w:tplc="8D88357E" w:tentative="1">
      <w:start w:val="1"/>
      <w:numFmt w:val="bullet"/>
      <w:lvlText w:val="o"/>
      <w:lvlJc w:val="left"/>
      <w:pPr>
        <w:ind w:left="5760" w:hanging="360"/>
      </w:pPr>
      <w:rPr>
        <w:rFonts w:ascii="Courier New" w:hAnsi="Courier New" w:cs="Courier New" w:hint="default"/>
      </w:rPr>
    </w:lvl>
    <w:lvl w:ilvl="8" w:tplc="71066136" w:tentative="1">
      <w:start w:val="1"/>
      <w:numFmt w:val="bullet"/>
      <w:lvlText w:val=""/>
      <w:lvlJc w:val="left"/>
      <w:pPr>
        <w:ind w:left="6480" w:hanging="360"/>
      </w:pPr>
      <w:rPr>
        <w:rFonts w:ascii="Wingdings" w:hAnsi="Wingdings" w:hint="default"/>
      </w:rPr>
    </w:lvl>
  </w:abstractNum>
  <w:abstractNum w:abstractNumId="16" w15:restartNumberingAfterBreak="0">
    <w:nsid w:val="482752C3"/>
    <w:multiLevelType w:val="hybridMultilevel"/>
    <w:tmpl w:val="6F7A1FDC"/>
    <w:lvl w:ilvl="0" w:tplc="AA98063A">
      <w:start w:val="1"/>
      <w:numFmt w:val="lowerRoman"/>
      <w:lvlText w:val="%1."/>
      <w:lvlJc w:val="right"/>
      <w:pPr>
        <w:tabs>
          <w:tab w:val="num" w:pos="720"/>
        </w:tabs>
        <w:ind w:left="720" w:hanging="360"/>
      </w:pPr>
    </w:lvl>
    <w:lvl w:ilvl="1" w:tplc="604E02FA" w:tentative="1">
      <w:start w:val="1"/>
      <w:numFmt w:val="decimal"/>
      <w:lvlText w:val="%2."/>
      <w:lvlJc w:val="left"/>
      <w:pPr>
        <w:tabs>
          <w:tab w:val="num" w:pos="1440"/>
        </w:tabs>
        <w:ind w:left="1440" w:hanging="360"/>
      </w:pPr>
    </w:lvl>
    <w:lvl w:ilvl="2" w:tplc="B20614F4" w:tentative="1">
      <w:start w:val="1"/>
      <w:numFmt w:val="decimal"/>
      <w:lvlText w:val="%3."/>
      <w:lvlJc w:val="left"/>
      <w:pPr>
        <w:tabs>
          <w:tab w:val="num" w:pos="2160"/>
        </w:tabs>
        <w:ind w:left="2160" w:hanging="360"/>
      </w:pPr>
    </w:lvl>
    <w:lvl w:ilvl="3" w:tplc="4BF455BE" w:tentative="1">
      <w:start w:val="1"/>
      <w:numFmt w:val="decimal"/>
      <w:lvlText w:val="%4."/>
      <w:lvlJc w:val="left"/>
      <w:pPr>
        <w:tabs>
          <w:tab w:val="num" w:pos="2880"/>
        </w:tabs>
        <w:ind w:left="2880" w:hanging="360"/>
      </w:pPr>
    </w:lvl>
    <w:lvl w:ilvl="4" w:tplc="BAB8B7F8" w:tentative="1">
      <w:start w:val="1"/>
      <w:numFmt w:val="decimal"/>
      <w:lvlText w:val="%5."/>
      <w:lvlJc w:val="left"/>
      <w:pPr>
        <w:tabs>
          <w:tab w:val="num" w:pos="3600"/>
        </w:tabs>
        <w:ind w:left="3600" w:hanging="360"/>
      </w:pPr>
    </w:lvl>
    <w:lvl w:ilvl="5" w:tplc="162CE7B0" w:tentative="1">
      <w:start w:val="1"/>
      <w:numFmt w:val="decimal"/>
      <w:lvlText w:val="%6."/>
      <w:lvlJc w:val="left"/>
      <w:pPr>
        <w:tabs>
          <w:tab w:val="num" w:pos="4320"/>
        </w:tabs>
        <w:ind w:left="4320" w:hanging="360"/>
      </w:pPr>
    </w:lvl>
    <w:lvl w:ilvl="6" w:tplc="FA1C962A" w:tentative="1">
      <w:start w:val="1"/>
      <w:numFmt w:val="decimal"/>
      <w:lvlText w:val="%7."/>
      <w:lvlJc w:val="left"/>
      <w:pPr>
        <w:tabs>
          <w:tab w:val="num" w:pos="5040"/>
        </w:tabs>
        <w:ind w:left="5040" w:hanging="360"/>
      </w:pPr>
    </w:lvl>
    <w:lvl w:ilvl="7" w:tplc="32DC6EDC" w:tentative="1">
      <w:start w:val="1"/>
      <w:numFmt w:val="decimal"/>
      <w:lvlText w:val="%8."/>
      <w:lvlJc w:val="left"/>
      <w:pPr>
        <w:tabs>
          <w:tab w:val="num" w:pos="5760"/>
        </w:tabs>
        <w:ind w:left="5760" w:hanging="360"/>
      </w:pPr>
    </w:lvl>
    <w:lvl w:ilvl="8" w:tplc="644E9710" w:tentative="1">
      <w:start w:val="1"/>
      <w:numFmt w:val="decimal"/>
      <w:lvlText w:val="%9."/>
      <w:lvlJc w:val="left"/>
      <w:pPr>
        <w:tabs>
          <w:tab w:val="num" w:pos="6480"/>
        </w:tabs>
        <w:ind w:left="6480" w:hanging="360"/>
      </w:pPr>
    </w:lvl>
  </w:abstractNum>
  <w:abstractNum w:abstractNumId="17" w15:restartNumberingAfterBreak="0">
    <w:nsid w:val="4A4C0139"/>
    <w:multiLevelType w:val="hybridMultilevel"/>
    <w:tmpl w:val="296C866A"/>
    <w:lvl w:ilvl="0" w:tplc="ED28CCC6">
      <w:start w:val="1"/>
      <w:numFmt w:val="bullet"/>
      <w:lvlText w:val=""/>
      <w:lvlJc w:val="left"/>
      <w:pPr>
        <w:ind w:left="720" w:hanging="360"/>
      </w:pPr>
      <w:rPr>
        <w:rFonts w:ascii="Symbol" w:hAnsi="Symbol" w:hint="default"/>
      </w:rPr>
    </w:lvl>
    <w:lvl w:ilvl="1" w:tplc="70D65294" w:tentative="1">
      <w:start w:val="1"/>
      <w:numFmt w:val="bullet"/>
      <w:lvlText w:val="o"/>
      <w:lvlJc w:val="left"/>
      <w:pPr>
        <w:ind w:left="1440" w:hanging="360"/>
      </w:pPr>
      <w:rPr>
        <w:rFonts w:ascii="Courier New" w:hAnsi="Courier New" w:cs="Courier New" w:hint="default"/>
      </w:rPr>
    </w:lvl>
    <w:lvl w:ilvl="2" w:tplc="59A22204" w:tentative="1">
      <w:start w:val="1"/>
      <w:numFmt w:val="bullet"/>
      <w:lvlText w:val=""/>
      <w:lvlJc w:val="left"/>
      <w:pPr>
        <w:ind w:left="2160" w:hanging="360"/>
      </w:pPr>
      <w:rPr>
        <w:rFonts w:ascii="Wingdings" w:hAnsi="Wingdings" w:hint="default"/>
      </w:rPr>
    </w:lvl>
    <w:lvl w:ilvl="3" w:tplc="790893B4" w:tentative="1">
      <w:start w:val="1"/>
      <w:numFmt w:val="bullet"/>
      <w:lvlText w:val=""/>
      <w:lvlJc w:val="left"/>
      <w:pPr>
        <w:ind w:left="2880" w:hanging="360"/>
      </w:pPr>
      <w:rPr>
        <w:rFonts w:ascii="Symbol" w:hAnsi="Symbol" w:hint="default"/>
      </w:rPr>
    </w:lvl>
    <w:lvl w:ilvl="4" w:tplc="D80CC6F8" w:tentative="1">
      <w:start w:val="1"/>
      <w:numFmt w:val="bullet"/>
      <w:lvlText w:val="o"/>
      <w:lvlJc w:val="left"/>
      <w:pPr>
        <w:ind w:left="3600" w:hanging="360"/>
      </w:pPr>
      <w:rPr>
        <w:rFonts w:ascii="Courier New" w:hAnsi="Courier New" w:cs="Courier New" w:hint="default"/>
      </w:rPr>
    </w:lvl>
    <w:lvl w:ilvl="5" w:tplc="8CB8EAB0" w:tentative="1">
      <w:start w:val="1"/>
      <w:numFmt w:val="bullet"/>
      <w:lvlText w:val=""/>
      <w:lvlJc w:val="left"/>
      <w:pPr>
        <w:ind w:left="4320" w:hanging="360"/>
      </w:pPr>
      <w:rPr>
        <w:rFonts w:ascii="Wingdings" w:hAnsi="Wingdings" w:hint="default"/>
      </w:rPr>
    </w:lvl>
    <w:lvl w:ilvl="6" w:tplc="03B461C6" w:tentative="1">
      <w:start w:val="1"/>
      <w:numFmt w:val="bullet"/>
      <w:lvlText w:val=""/>
      <w:lvlJc w:val="left"/>
      <w:pPr>
        <w:ind w:left="5040" w:hanging="360"/>
      </w:pPr>
      <w:rPr>
        <w:rFonts w:ascii="Symbol" w:hAnsi="Symbol" w:hint="default"/>
      </w:rPr>
    </w:lvl>
    <w:lvl w:ilvl="7" w:tplc="835E2A9A" w:tentative="1">
      <w:start w:val="1"/>
      <w:numFmt w:val="bullet"/>
      <w:lvlText w:val="o"/>
      <w:lvlJc w:val="left"/>
      <w:pPr>
        <w:ind w:left="5760" w:hanging="360"/>
      </w:pPr>
      <w:rPr>
        <w:rFonts w:ascii="Courier New" w:hAnsi="Courier New" w:cs="Courier New" w:hint="default"/>
      </w:rPr>
    </w:lvl>
    <w:lvl w:ilvl="8" w:tplc="B38804E0" w:tentative="1">
      <w:start w:val="1"/>
      <w:numFmt w:val="bullet"/>
      <w:lvlText w:val=""/>
      <w:lvlJc w:val="left"/>
      <w:pPr>
        <w:ind w:left="6480" w:hanging="360"/>
      </w:pPr>
      <w:rPr>
        <w:rFonts w:ascii="Wingdings" w:hAnsi="Wingdings" w:hint="default"/>
      </w:rPr>
    </w:lvl>
  </w:abstractNum>
  <w:abstractNum w:abstractNumId="18" w15:restartNumberingAfterBreak="0">
    <w:nsid w:val="4AAC7C2C"/>
    <w:multiLevelType w:val="hybridMultilevel"/>
    <w:tmpl w:val="06CC1D6A"/>
    <w:lvl w:ilvl="0" w:tplc="98625E34">
      <w:start w:val="1"/>
      <w:numFmt w:val="lowerLetter"/>
      <w:lvlText w:val="%1."/>
      <w:lvlJc w:val="left"/>
      <w:pPr>
        <w:ind w:left="1065" w:hanging="360"/>
      </w:pPr>
      <w:rPr>
        <w:rFonts w:hint="default"/>
        <w:color w:val="auto"/>
        <w:u w:val="none"/>
      </w:rPr>
    </w:lvl>
    <w:lvl w:ilvl="1" w:tplc="675A5ED4" w:tentative="1">
      <w:start w:val="1"/>
      <w:numFmt w:val="lowerLetter"/>
      <w:lvlText w:val="%2."/>
      <w:lvlJc w:val="left"/>
      <w:pPr>
        <w:ind w:left="1785" w:hanging="360"/>
      </w:pPr>
    </w:lvl>
    <w:lvl w:ilvl="2" w:tplc="496E7234" w:tentative="1">
      <w:start w:val="1"/>
      <w:numFmt w:val="lowerRoman"/>
      <w:lvlText w:val="%3."/>
      <w:lvlJc w:val="right"/>
      <w:pPr>
        <w:ind w:left="2505" w:hanging="180"/>
      </w:pPr>
    </w:lvl>
    <w:lvl w:ilvl="3" w:tplc="B95C8640" w:tentative="1">
      <w:start w:val="1"/>
      <w:numFmt w:val="decimal"/>
      <w:lvlText w:val="%4."/>
      <w:lvlJc w:val="left"/>
      <w:pPr>
        <w:ind w:left="3225" w:hanging="360"/>
      </w:pPr>
    </w:lvl>
    <w:lvl w:ilvl="4" w:tplc="C37CF6C6" w:tentative="1">
      <w:start w:val="1"/>
      <w:numFmt w:val="lowerLetter"/>
      <w:lvlText w:val="%5."/>
      <w:lvlJc w:val="left"/>
      <w:pPr>
        <w:ind w:left="3945" w:hanging="360"/>
      </w:pPr>
    </w:lvl>
    <w:lvl w:ilvl="5" w:tplc="8A64C456" w:tentative="1">
      <w:start w:val="1"/>
      <w:numFmt w:val="lowerRoman"/>
      <w:lvlText w:val="%6."/>
      <w:lvlJc w:val="right"/>
      <w:pPr>
        <w:ind w:left="4665" w:hanging="180"/>
      </w:pPr>
    </w:lvl>
    <w:lvl w:ilvl="6" w:tplc="A9361D4C" w:tentative="1">
      <w:start w:val="1"/>
      <w:numFmt w:val="decimal"/>
      <w:lvlText w:val="%7."/>
      <w:lvlJc w:val="left"/>
      <w:pPr>
        <w:ind w:left="5385" w:hanging="360"/>
      </w:pPr>
    </w:lvl>
    <w:lvl w:ilvl="7" w:tplc="64CA108E" w:tentative="1">
      <w:start w:val="1"/>
      <w:numFmt w:val="lowerLetter"/>
      <w:lvlText w:val="%8."/>
      <w:lvlJc w:val="left"/>
      <w:pPr>
        <w:ind w:left="6105" w:hanging="360"/>
      </w:pPr>
    </w:lvl>
    <w:lvl w:ilvl="8" w:tplc="9EAA871A" w:tentative="1">
      <w:start w:val="1"/>
      <w:numFmt w:val="lowerRoman"/>
      <w:lvlText w:val="%9."/>
      <w:lvlJc w:val="right"/>
      <w:pPr>
        <w:ind w:left="6825" w:hanging="180"/>
      </w:pPr>
    </w:lvl>
  </w:abstractNum>
  <w:abstractNum w:abstractNumId="19" w15:restartNumberingAfterBreak="0">
    <w:nsid w:val="5BAA6597"/>
    <w:multiLevelType w:val="hybridMultilevel"/>
    <w:tmpl w:val="F7749E6E"/>
    <w:lvl w:ilvl="0" w:tplc="CAC0A3A6">
      <w:start w:val="1"/>
      <w:numFmt w:val="decimal"/>
      <w:lvlText w:val="%1."/>
      <w:lvlJc w:val="left"/>
      <w:pPr>
        <w:ind w:left="1069" w:hanging="360"/>
      </w:pPr>
      <w:rPr>
        <w:rFonts w:hint="default"/>
      </w:rPr>
    </w:lvl>
    <w:lvl w:ilvl="1" w:tplc="92FAE74C" w:tentative="1">
      <w:start w:val="1"/>
      <w:numFmt w:val="lowerLetter"/>
      <w:lvlText w:val="%2."/>
      <w:lvlJc w:val="left"/>
      <w:pPr>
        <w:ind w:left="1789" w:hanging="360"/>
      </w:pPr>
    </w:lvl>
    <w:lvl w:ilvl="2" w:tplc="E7623C80" w:tentative="1">
      <w:start w:val="1"/>
      <w:numFmt w:val="lowerRoman"/>
      <w:lvlText w:val="%3."/>
      <w:lvlJc w:val="right"/>
      <w:pPr>
        <w:ind w:left="2509" w:hanging="180"/>
      </w:pPr>
    </w:lvl>
    <w:lvl w:ilvl="3" w:tplc="4CC80024" w:tentative="1">
      <w:start w:val="1"/>
      <w:numFmt w:val="decimal"/>
      <w:lvlText w:val="%4."/>
      <w:lvlJc w:val="left"/>
      <w:pPr>
        <w:ind w:left="3229" w:hanging="360"/>
      </w:pPr>
    </w:lvl>
    <w:lvl w:ilvl="4" w:tplc="AE1C17F0" w:tentative="1">
      <w:start w:val="1"/>
      <w:numFmt w:val="lowerLetter"/>
      <w:lvlText w:val="%5."/>
      <w:lvlJc w:val="left"/>
      <w:pPr>
        <w:ind w:left="3949" w:hanging="360"/>
      </w:pPr>
    </w:lvl>
    <w:lvl w:ilvl="5" w:tplc="D80286A8" w:tentative="1">
      <w:start w:val="1"/>
      <w:numFmt w:val="lowerRoman"/>
      <w:lvlText w:val="%6."/>
      <w:lvlJc w:val="right"/>
      <w:pPr>
        <w:ind w:left="4669" w:hanging="180"/>
      </w:pPr>
    </w:lvl>
    <w:lvl w:ilvl="6" w:tplc="43DA5D54" w:tentative="1">
      <w:start w:val="1"/>
      <w:numFmt w:val="decimal"/>
      <w:lvlText w:val="%7."/>
      <w:lvlJc w:val="left"/>
      <w:pPr>
        <w:ind w:left="5389" w:hanging="360"/>
      </w:pPr>
    </w:lvl>
    <w:lvl w:ilvl="7" w:tplc="C50A8FDC" w:tentative="1">
      <w:start w:val="1"/>
      <w:numFmt w:val="lowerLetter"/>
      <w:lvlText w:val="%8."/>
      <w:lvlJc w:val="left"/>
      <w:pPr>
        <w:ind w:left="6109" w:hanging="360"/>
      </w:pPr>
    </w:lvl>
    <w:lvl w:ilvl="8" w:tplc="68144FB4" w:tentative="1">
      <w:start w:val="1"/>
      <w:numFmt w:val="lowerRoman"/>
      <w:lvlText w:val="%9."/>
      <w:lvlJc w:val="right"/>
      <w:pPr>
        <w:ind w:left="6829" w:hanging="180"/>
      </w:pPr>
    </w:lvl>
  </w:abstractNum>
  <w:abstractNum w:abstractNumId="20" w15:restartNumberingAfterBreak="0">
    <w:nsid w:val="61F37652"/>
    <w:multiLevelType w:val="hybridMultilevel"/>
    <w:tmpl w:val="3CAC089A"/>
    <w:lvl w:ilvl="0" w:tplc="DDE4EE3A">
      <w:start w:val="5"/>
      <w:numFmt w:val="bullet"/>
      <w:lvlText w:val="-"/>
      <w:lvlJc w:val="left"/>
      <w:pPr>
        <w:ind w:left="720" w:hanging="360"/>
      </w:pPr>
      <w:rPr>
        <w:rFonts w:ascii="Calibri" w:eastAsia="Calibri" w:hAnsi="Calibri" w:cs="Calibri" w:hint="default"/>
      </w:rPr>
    </w:lvl>
    <w:lvl w:ilvl="1" w:tplc="CB5896E2" w:tentative="1">
      <w:start w:val="1"/>
      <w:numFmt w:val="bullet"/>
      <w:lvlText w:val="o"/>
      <w:lvlJc w:val="left"/>
      <w:pPr>
        <w:ind w:left="1440" w:hanging="360"/>
      </w:pPr>
      <w:rPr>
        <w:rFonts w:ascii="Courier New" w:hAnsi="Courier New" w:cs="Courier New" w:hint="default"/>
      </w:rPr>
    </w:lvl>
    <w:lvl w:ilvl="2" w:tplc="0A689C9A" w:tentative="1">
      <w:start w:val="1"/>
      <w:numFmt w:val="bullet"/>
      <w:lvlText w:val=""/>
      <w:lvlJc w:val="left"/>
      <w:pPr>
        <w:ind w:left="2160" w:hanging="360"/>
      </w:pPr>
      <w:rPr>
        <w:rFonts w:ascii="Wingdings" w:hAnsi="Wingdings" w:hint="default"/>
      </w:rPr>
    </w:lvl>
    <w:lvl w:ilvl="3" w:tplc="448409F2" w:tentative="1">
      <w:start w:val="1"/>
      <w:numFmt w:val="bullet"/>
      <w:lvlText w:val=""/>
      <w:lvlJc w:val="left"/>
      <w:pPr>
        <w:ind w:left="2880" w:hanging="360"/>
      </w:pPr>
      <w:rPr>
        <w:rFonts w:ascii="Symbol" w:hAnsi="Symbol" w:hint="default"/>
      </w:rPr>
    </w:lvl>
    <w:lvl w:ilvl="4" w:tplc="C7BC1E1E" w:tentative="1">
      <w:start w:val="1"/>
      <w:numFmt w:val="bullet"/>
      <w:lvlText w:val="o"/>
      <w:lvlJc w:val="left"/>
      <w:pPr>
        <w:ind w:left="3600" w:hanging="360"/>
      </w:pPr>
      <w:rPr>
        <w:rFonts w:ascii="Courier New" w:hAnsi="Courier New" w:cs="Courier New" w:hint="default"/>
      </w:rPr>
    </w:lvl>
    <w:lvl w:ilvl="5" w:tplc="E70C5FE4" w:tentative="1">
      <w:start w:val="1"/>
      <w:numFmt w:val="bullet"/>
      <w:lvlText w:val=""/>
      <w:lvlJc w:val="left"/>
      <w:pPr>
        <w:ind w:left="4320" w:hanging="360"/>
      </w:pPr>
      <w:rPr>
        <w:rFonts w:ascii="Wingdings" w:hAnsi="Wingdings" w:hint="default"/>
      </w:rPr>
    </w:lvl>
    <w:lvl w:ilvl="6" w:tplc="366A0B52" w:tentative="1">
      <w:start w:val="1"/>
      <w:numFmt w:val="bullet"/>
      <w:lvlText w:val=""/>
      <w:lvlJc w:val="left"/>
      <w:pPr>
        <w:ind w:left="5040" w:hanging="360"/>
      </w:pPr>
      <w:rPr>
        <w:rFonts w:ascii="Symbol" w:hAnsi="Symbol" w:hint="default"/>
      </w:rPr>
    </w:lvl>
    <w:lvl w:ilvl="7" w:tplc="8A4AE324" w:tentative="1">
      <w:start w:val="1"/>
      <w:numFmt w:val="bullet"/>
      <w:lvlText w:val="o"/>
      <w:lvlJc w:val="left"/>
      <w:pPr>
        <w:ind w:left="5760" w:hanging="360"/>
      </w:pPr>
      <w:rPr>
        <w:rFonts w:ascii="Courier New" w:hAnsi="Courier New" w:cs="Courier New" w:hint="default"/>
      </w:rPr>
    </w:lvl>
    <w:lvl w:ilvl="8" w:tplc="60A28CDE"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11"/>
  </w:num>
  <w:num w:numId="5">
    <w:abstractNumId w:val="19"/>
  </w:num>
  <w:num w:numId="6">
    <w:abstractNumId w:val="12"/>
  </w:num>
  <w:num w:numId="7">
    <w:abstractNumId w:val="16"/>
  </w:num>
  <w:num w:numId="8">
    <w:abstractNumId w:val="15"/>
  </w:num>
  <w:num w:numId="9">
    <w:abstractNumId w:val="10"/>
  </w:num>
  <w:num w:numId="10">
    <w:abstractNumId w:val="1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A3"/>
    <w:rsid w:val="000007D1"/>
    <w:rsid w:val="000348A2"/>
    <w:rsid w:val="0004669A"/>
    <w:rsid w:val="000677A6"/>
    <w:rsid w:val="00080B2C"/>
    <w:rsid w:val="00082FDA"/>
    <w:rsid w:val="00093EEB"/>
    <w:rsid w:val="000A1FBB"/>
    <w:rsid w:val="000A48A3"/>
    <w:rsid w:val="000A5A9F"/>
    <w:rsid w:val="000B0D00"/>
    <w:rsid w:val="000B7C15"/>
    <w:rsid w:val="000C6496"/>
    <w:rsid w:val="000C67EA"/>
    <w:rsid w:val="000C7ADE"/>
    <w:rsid w:val="000D1D0F"/>
    <w:rsid w:val="000E0F07"/>
    <w:rsid w:val="000F00AB"/>
    <w:rsid w:val="000F1B89"/>
    <w:rsid w:val="000F35CE"/>
    <w:rsid w:val="000F5290"/>
    <w:rsid w:val="0010165C"/>
    <w:rsid w:val="00104A2D"/>
    <w:rsid w:val="00110153"/>
    <w:rsid w:val="00113AF6"/>
    <w:rsid w:val="001262B5"/>
    <w:rsid w:val="00126495"/>
    <w:rsid w:val="0014379A"/>
    <w:rsid w:val="00146BFB"/>
    <w:rsid w:val="001614FE"/>
    <w:rsid w:val="00164F0F"/>
    <w:rsid w:val="00165BE2"/>
    <w:rsid w:val="00170C22"/>
    <w:rsid w:val="00191259"/>
    <w:rsid w:val="001A7174"/>
    <w:rsid w:val="001A75E4"/>
    <w:rsid w:val="001C1253"/>
    <w:rsid w:val="001C2B21"/>
    <w:rsid w:val="001E648D"/>
    <w:rsid w:val="001F14A2"/>
    <w:rsid w:val="002039B5"/>
    <w:rsid w:val="002705D9"/>
    <w:rsid w:val="0027281F"/>
    <w:rsid w:val="00276384"/>
    <w:rsid w:val="002774F6"/>
    <w:rsid w:val="002801AA"/>
    <w:rsid w:val="002C4676"/>
    <w:rsid w:val="002C70B0"/>
    <w:rsid w:val="002F3CC4"/>
    <w:rsid w:val="003222C3"/>
    <w:rsid w:val="00372E36"/>
    <w:rsid w:val="00383A87"/>
    <w:rsid w:val="003946EE"/>
    <w:rsid w:val="00395E15"/>
    <w:rsid w:val="003A5276"/>
    <w:rsid w:val="003A56A9"/>
    <w:rsid w:val="003B220B"/>
    <w:rsid w:val="003B7388"/>
    <w:rsid w:val="003B7869"/>
    <w:rsid w:val="003C0701"/>
    <w:rsid w:val="003E1873"/>
    <w:rsid w:val="00417D8C"/>
    <w:rsid w:val="004272CC"/>
    <w:rsid w:val="004314D3"/>
    <w:rsid w:val="00431C9B"/>
    <w:rsid w:val="00442502"/>
    <w:rsid w:val="004550A6"/>
    <w:rsid w:val="00461B30"/>
    <w:rsid w:val="00466E8A"/>
    <w:rsid w:val="00467C05"/>
    <w:rsid w:val="0048120C"/>
    <w:rsid w:val="004B1CAC"/>
    <w:rsid w:val="004B6810"/>
    <w:rsid w:val="004B6CB5"/>
    <w:rsid w:val="004D1648"/>
    <w:rsid w:val="004D4603"/>
    <w:rsid w:val="004F7C91"/>
    <w:rsid w:val="00513630"/>
    <w:rsid w:val="00516B69"/>
    <w:rsid w:val="005170D2"/>
    <w:rsid w:val="005367AA"/>
    <w:rsid w:val="00560125"/>
    <w:rsid w:val="0056606A"/>
    <w:rsid w:val="00577A7D"/>
    <w:rsid w:val="005846CB"/>
    <w:rsid w:val="00585553"/>
    <w:rsid w:val="00593F5A"/>
    <w:rsid w:val="005B34D9"/>
    <w:rsid w:val="005D0CCF"/>
    <w:rsid w:val="005D1F9A"/>
    <w:rsid w:val="005E22FA"/>
    <w:rsid w:val="005E4B3F"/>
    <w:rsid w:val="005F222A"/>
    <w:rsid w:val="005F3BCB"/>
    <w:rsid w:val="005F410F"/>
    <w:rsid w:val="0060149A"/>
    <w:rsid w:val="00601924"/>
    <w:rsid w:val="00610306"/>
    <w:rsid w:val="0061655F"/>
    <w:rsid w:val="00627E19"/>
    <w:rsid w:val="006301BE"/>
    <w:rsid w:val="00642F46"/>
    <w:rsid w:val="006447EA"/>
    <w:rsid w:val="0064731F"/>
    <w:rsid w:val="00664572"/>
    <w:rsid w:val="006710F6"/>
    <w:rsid w:val="006741B7"/>
    <w:rsid w:val="006773C8"/>
    <w:rsid w:val="00677E45"/>
    <w:rsid w:val="00683A80"/>
    <w:rsid w:val="006C1B56"/>
    <w:rsid w:val="006D4761"/>
    <w:rsid w:val="006D5E47"/>
    <w:rsid w:val="006F1EA7"/>
    <w:rsid w:val="00716F84"/>
    <w:rsid w:val="00726872"/>
    <w:rsid w:val="007417D7"/>
    <w:rsid w:val="00760F1C"/>
    <w:rsid w:val="007657F0"/>
    <w:rsid w:val="007660D8"/>
    <w:rsid w:val="0077252D"/>
    <w:rsid w:val="007727F4"/>
    <w:rsid w:val="00781C1D"/>
    <w:rsid w:val="007955DA"/>
    <w:rsid w:val="007A16C8"/>
    <w:rsid w:val="007A3729"/>
    <w:rsid w:val="007B0572"/>
    <w:rsid w:val="007B2A41"/>
    <w:rsid w:val="007C459A"/>
    <w:rsid w:val="007D1296"/>
    <w:rsid w:val="007E5DD3"/>
    <w:rsid w:val="007E7809"/>
    <w:rsid w:val="007F350B"/>
    <w:rsid w:val="00820BE4"/>
    <w:rsid w:val="008218AA"/>
    <w:rsid w:val="00821920"/>
    <w:rsid w:val="008347FB"/>
    <w:rsid w:val="00837A85"/>
    <w:rsid w:val="008451E8"/>
    <w:rsid w:val="00860BB2"/>
    <w:rsid w:val="00863387"/>
    <w:rsid w:val="00871278"/>
    <w:rsid w:val="00884DC9"/>
    <w:rsid w:val="008A08A3"/>
    <w:rsid w:val="008A45B7"/>
    <w:rsid w:val="008D314D"/>
    <w:rsid w:val="008D398A"/>
    <w:rsid w:val="008E5270"/>
    <w:rsid w:val="00912636"/>
    <w:rsid w:val="00913B9C"/>
    <w:rsid w:val="00923365"/>
    <w:rsid w:val="0093525C"/>
    <w:rsid w:val="00956E77"/>
    <w:rsid w:val="009715D4"/>
    <w:rsid w:val="00984571"/>
    <w:rsid w:val="00993041"/>
    <w:rsid w:val="009A2BD0"/>
    <w:rsid w:val="009A5597"/>
    <w:rsid w:val="009D0381"/>
    <w:rsid w:val="009F4811"/>
    <w:rsid w:val="00A14C77"/>
    <w:rsid w:val="00A225D3"/>
    <w:rsid w:val="00A31622"/>
    <w:rsid w:val="00A65FC4"/>
    <w:rsid w:val="00A85AB5"/>
    <w:rsid w:val="00A866F2"/>
    <w:rsid w:val="00AA390C"/>
    <w:rsid w:val="00AC7CA6"/>
    <w:rsid w:val="00B0200A"/>
    <w:rsid w:val="00B06321"/>
    <w:rsid w:val="00B07F71"/>
    <w:rsid w:val="00B1027A"/>
    <w:rsid w:val="00B25E8D"/>
    <w:rsid w:val="00B26D1D"/>
    <w:rsid w:val="00B325B9"/>
    <w:rsid w:val="00B574DB"/>
    <w:rsid w:val="00B81C48"/>
    <w:rsid w:val="00B826C2"/>
    <w:rsid w:val="00B8298E"/>
    <w:rsid w:val="00B90D1C"/>
    <w:rsid w:val="00BA1C01"/>
    <w:rsid w:val="00BA597D"/>
    <w:rsid w:val="00BB5978"/>
    <w:rsid w:val="00BD0723"/>
    <w:rsid w:val="00BD2518"/>
    <w:rsid w:val="00BF1D1C"/>
    <w:rsid w:val="00C20C59"/>
    <w:rsid w:val="00C25411"/>
    <w:rsid w:val="00C258C7"/>
    <w:rsid w:val="00C2727F"/>
    <w:rsid w:val="00C46D13"/>
    <w:rsid w:val="00C53B43"/>
    <w:rsid w:val="00C55B1F"/>
    <w:rsid w:val="00C70502"/>
    <w:rsid w:val="00C73829"/>
    <w:rsid w:val="00C74DA3"/>
    <w:rsid w:val="00C750FE"/>
    <w:rsid w:val="00C81F7A"/>
    <w:rsid w:val="00CB074B"/>
    <w:rsid w:val="00CE195E"/>
    <w:rsid w:val="00CF1A67"/>
    <w:rsid w:val="00D0663B"/>
    <w:rsid w:val="00D10D91"/>
    <w:rsid w:val="00D12C0C"/>
    <w:rsid w:val="00D2750E"/>
    <w:rsid w:val="00D613A1"/>
    <w:rsid w:val="00D62446"/>
    <w:rsid w:val="00D64396"/>
    <w:rsid w:val="00D74DC0"/>
    <w:rsid w:val="00D76F1D"/>
    <w:rsid w:val="00DA4EA2"/>
    <w:rsid w:val="00DB220D"/>
    <w:rsid w:val="00DC3D3E"/>
    <w:rsid w:val="00DE1EDC"/>
    <w:rsid w:val="00DE2745"/>
    <w:rsid w:val="00DE2C90"/>
    <w:rsid w:val="00DE3B24"/>
    <w:rsid w:val="00DF1B18"/>
    <w:rsid w:val="00DF4074"/>
    <w:rsid w:val="00E0333B"/>
    <w:rsid w:val="00E06947"/>
    <w:rsid w:val="00E12B7D"/>
    <w:rsid w:val="00E1772F"/>
    <w:rsid w:val="00E214B6"/>
    <w:rsid w:val="00E3592D"/>
    <w:rsid w:val="00E5141E"/>
    <w:rsid w:val="00E52DA9"/>
    <w:rsid w:val="00E842FF"/>
    <w:rsid w:val="00E860C2"/>
    <w:rsid w:val="00E92DE8"/>
    <w:rsid w:val="00EA2FDF"/>
    <w:rsid w:val="00EB1212"/>
    <w:rsid w:val="00EB5946"/>
    <w:rsid w:val="00EB79A0"/>
    <w:rsid w:val="00EC282D"/>
    <w:rsid w:val="00ED1124"/>
    <w:rsid w:val="00ED65AB"/>
    <w:rsid w:val="00F0614F"/>
    <w:rsid w:val="00F12850"/>
    <w:rsid w:val="00F33BF4"/>
    <w:rsid w:val="00F57238"/>
    <w:rsid w:val="00F7105E"/>
    <w:rsid w:val="00F75F57"/>
    <w:rsid w:val="00F82FEE"/>
    <w:rsid w:val="00F96479"/>
    <w:rsid w:val="00F965A5"/>
    <w:rsid w:val="00FA1738"/>
    <w:rsid w:val="00FC7693"/>
    <w:rsid w:val="00FD57D3"/>
    <w:rsid w:val="00FD5D98"/>
    <w:rsid w:val="00FE14A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A7D2ED2"/>
  <w15:docId w15:val="{7D1F219C-C56F-4F6F-A740-A04F886E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0F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C750FE"/>
    <w:pPr>
      <w:keepNext/>
      <w:keepLines/>
      <w:spacing w:before="480"/>
      <w:ind w:left="851" w:hanging="851"/>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4D1648"/>
    <w:pPr>
      <w:spacing w:before="86"/>
      <w:ind w:left="851" w:hanging="851"/>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rsid w:val="0061655F"/>
    <w:pPr>
      <w:tabs>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SimSun" w:hAnsi="Times New Roman"/>
      <w:color w:val="303030"/>
      <w:szCs w:val="24"/>
      <w:lang w:val="en-US" w:eastAsia="zh-CN"/>
    </w:rPr>
  </w:style>
  <w:style w:type="paragraph" w:styleId="ListParagraph">
    <w:name w:val="List Paragraph"/>
    <w:basedOn w:val="Normal"/>
    <w:uiPriority w:val="34"/>
    <w:qFormat/>
    <w:rsid w:val="0061655F"/>
    <w:pPr>
      <w:tabs>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styleId="UnresolvedMention">
    <w:name w:val="Unresolved Mention"/>
    <w:basedOn w:val="DefaultParagraphFont"/>
    <w:uiPriority w:val="99"/>
    <w:semiHidden/>
    <w:unhideWhenUsed/>
    <w:rsid w:val="0051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3/es" TargetMode="External"/><Relationship Id="rId18" Type="http://schemas.openxmlformats.org/officeDocument/2006/relationships/hyperlink" Target="https://www.itu.int/md/S21-CWGFHR12-210125-DL-0002/es" TargetMode="External"/><Relationship Id="rId26" Type="http://schemas.openxmlformats.org/officeDocument/2006/relationships/hyperlink" Target="https://www.itu.int/md/S21-CWGFHR12-C-0010/es" TargetMode="External"/><Relationship Id="rId3" Type="http://schemas.openxmlformats.org/officeDocument/2006/relationships/styles" Target="styles.xml"/><Relationship Id="rId21" Type="http://schemas.openxmlformats.org/officeDocument/2006/relationships/hyperlink" Target="https://www.itu.int/md/S20-CL-INF-0013/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CWGFHR12-C-0003/es" TargetMode="External"/><Relationship Id="rId17" Type="http://schemas.openxmlformats.org/officeDocument/2006/relationships/hyperlink" Target="https://www.itu.int/md/S21-CWGFHR12-C-0016/es" TargetMode="External"/><Relationship Id="rId25" Type="http://schemas.openxmlformats.org/officeDocument/2006/relationships/hyperlink" Target="https://www.itu.int/md/S21-CWGFHR12-C-0005/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1-CWGFHR12-C-0009/es" TargetMode="External"/><Relationship Id="rId20" Type="http://schemas.openxmlformats.org/officeDocument/2006/relationships/hyperlink" Target="https://www.itu.int/md/S21-CWGFHR12-C-0013/es" TargetMode="External"/><Relationship Id="rId29" Type="http://schemas.openxmlformats.org/officeDocument/2006/relationships/hyperlink" Target="https://www.itu.int/md/S21-CWGFHR12-C-000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FHR12-C-0002/es" TargetMode="External"/><Relationship Id="rId24" Type="http://schemas.openxmlformats.org/officeDocument/2006/relationships/hyperlink" Target="https://www.itu.int/md/S21-CWGFHR12-C-0008/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1-CWGFHR12-INF-0003/es" TargetMode="External"/><Relationship Id="rId23" Type="http://schemas.openxmlformats.org/officeDocument/2006/relationships/hyperlink" Target="https://www.itu.int/md/S21-CWGFHR12-C-0007/es" TargetMode="External"/><Relationship Id="rId28" Type="http://schemas.openxmlformats.org/officeDocument/2006/relationships/hyperlink" Target="https://www.itu.int/md/S21-CWGFHR12-C-0014/es" TargetMode="External"/><Relationship Id="rId10" Type="http://schemas.openxmlformats.org/officeDocument/2006/relationships/hyperlink" Target="https://www.itu.int/md/S21-CWGFHR12-C-0017/en" TargetMode="External"/><Relationship Id="rId19" Type="http://schemas.openxmlformats.org/officeDocument/2006/relationships/hyperlink" Target="https://www.itu.int/md/S20-CL-C-0074/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50/es" TargetMode="External"/><Relationship Id="rId14" Type="http://schemas.openxmlformats.org/officeDocument/2006/relationships/hyperlink" Target="https://www.itu.int/en/council/2020/Documents/007/007R1e-Complete-updated-Risk-Register.pdf" TargetMode="External"/><Relationship Id="rId22" Type="http://schemas.openxmlformats.org/officeDocument/2006/relationships/hyperlink" Target="https://www.itu.int/md/S21-CWGFHR12-C-0011/es" TargetMode="External"/><Relationship Id="rId27" Type="http://schemas.openxmlformats.org/officeDocument/2006/relationships/hyperlink" Target="https://www.itu.int/md/S21-CWGFHR12-C-0015/es" TargetMode="External"/><Relationship Id="rId30" Type="http://schemas.openxmlformats.org/officeDocument/2006/relationships/hyperlink" Target="https://www.itu.int/md/S21-CWGFHR12-C-0012/es"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0EF6-C976-41A7-B0A2-56C793B8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334</TotalTime>
  <Pages>15</Pages>
  <Words>7290</Words>
  <Characters>40002</Characters>
  <Application>Microsoft Office Word</Application>
  <DocSecurity>0</DocSecurity>
  <Lines>333</Lines>
  <Paragraphs>94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47198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Spanish83</cp:lastModifiedBy>
  <cp:revision>31</cp:revision>
  <cp:lastPrinted>2006-03-24T09:51:00Z</cp:lastPrinted>
  <dcterms:created xsi:type="dcterms:W3CDTF">2021-03-23T07:48:00Z</dcterms:created>
  <dcterms:modified xsi:type="dcterms:W3CDTF">2021-03-29T10:18:00Z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