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 w14:paraId="27E6F5A2" w14:textId="77777777">
        <w:trPr>
          <w:cantSplit/>
        </w:trPr>
        <w:tc>
          <w:tcPr>
            <w:tcW w:w="6912" w:type="dxa"/>
          </w:tcPr>
          <w:p w14:paraId="50ED155C" w14:textId="77777777" w:rsidR="00520F36" w:rsidRPr="0092392D" w:rsidRDefault="00520F36" w:rsidP="007A3096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</w:t>
            </w:r>
            <w:r w:rsidR="009C353C">
              <w:rPr>
                <w:b/>
                <w:bCs/>
                <w:sz w:val="30"/>
                <w:szCs w:val="30"/>
                <w:lang w:val="fr-CH"/>
              </w:rPr>
              <w:t>2</w:t>
            </w:r>
            <w:r w:rsidR="004D1D50">
              <w:rPr>
                <w:b/>
                <w:bCs/>
                <w:sz w:val="30"/>
                <w:szCs w:val="30"/>
                <w:lang w:val="fr-CH"/>
              </w:rPr>
              <w:t>1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="004D1D50" w:rsidRPr="004D1D50">
              <w:rPr>
                <w:b/>
                <w:bCs/>
                <w:sz w:val="28"/>
                <w:szCs w:val="28"/>
                <w:lang w:val="fr-CH"/>
              </w:rPr>
              <w:t>Consultation virtuelle des Conseillers</w:t>
            </w:r>
            <w:r w:rsidRPr="004D1D50">
              <w:rPr>
                <w:b/>
                <w:bCs/>
                <w:sz w:val="28"/>
                <w:szCs w:val="28"/>
                <w:lang w:val="fr-CH"/>
              </w:rPr>
              <w:t xml:space="preserve">, </w:t>
            </w:r>
            <w:r w:rsidR="004D1D50" w:rsidRPr="004D1D50">
              <w:rPr>
                <w:b/>
                <w:bCs/>
                <w:sz w:val="28"/>
                <w:szCs w:val="28"/>
                <w:lang w:val="fr-CH"/>
              </w:rPr>
              <w:t>8</w:t>
            </w:r>
            <w:r w:rsidRPr="004D1D50">
              <w:rPr>
                <w:b/>
                <w:bCs/>
                <w:sz w:val="28"/>
                <w:szCs w:val="28"/>
                <w:lang w:val="fr-CH"/>
              </w:rPr>
              <w:t>-</w:t>
            </w:r>
            <w:r w:rsidR="009C353C" w:rsidRPr="004D1D50">
              <w:rPr>
                <w:b/>
                <w:bCs/>
                <w:sz w:val="28"/>
                <w:szCs w:val="28"/>
                <w:lang w:val="fr-CH"/>
              </w:rPr>
              <w:t>1</w:t>
            </w:r>
            <w:r w:rsidR="004D1D50" w:rsidRPr="004D1D50">
              <w:rPr>
                <w:b/>
                <w:bCs/>
                <w:sz w:val="28"/>
                <w:szCs w:val="28"/>
                <w:lang w:val="fr-CH"/>
              </w:rPr>
              <w:t>8</w:t>
            </w:r>
            <w:r w:rsidR="00106B19" w:rsidRPr="004D1D50">
              <w:rPr>
                <w:b/>
                <w:bCs/>
                <w:sz w:val="28"/>
                <w:szCs w:val="28"/>
                <w:lang w:val="fr-CH"/>
              </w:rPr>
              <w:t xml:space="preserve"> juin</w:t>
            </w:r>
            <w:r w:rsidRPr="004D1D50">
              <w:rPr>
                <w:b/>
                <w:bCs/>
                <w:sz w:val="28"/>
                <w:szCs w:val="28"/>
                <w:lang w:val="fr-CH"/>
              </w:rPr>
              <w:t xml:space="preserve"> 20</w:t>
            </w:r>
            <w:r w:rsidR="009C353C" w:rsidRPr="004D1D50">
              <w:rPr>
                <w:b/>
                <w:bCs/>
                <w:sz w:val="28"/>
                <w:szCs w:val="28"/>
                <w:lang w:val="fr-CH"/>
              </w:rPr>
              <w:t>2</w:t>
            </w:r>
            <w:r w:rsidR="004D1D50" w:rsidRPr="004D1D50">
              <w:rPr>
                <w:b/>
                <w:bCs/>
                <w:sz w:val="28"/>
                <w:szCs w:val="28"/>
                <w:lang w:val="fr-CH"/>
              </w:rPr>
              <w:t>1</w:t>
            </w:r>
          </w:p>
        </w:tc>
        <w:tc>
          <w:tcPr>
            <w:tcW w:w="3261" w:type="dxa"/>
          </w:tcPr>
          <w:p w14:paraId="3259538C" w14:textId="77777777" w:rsidR="00520F36" w:rsidRPr="0092392D" w:rsidRDefault="009C353C" w:rsidP="007A3096">
            <w:pPr>
              <w:spacing w:before="0"/>
              <w:rPr>
                <w:lang w:val="fr-CH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29C63C30" wp14:editId="34FFD2A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14:paraId="5FB79DAC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6269FE2C" w14:textId="77777777" w:rsidR="00520F36" w:rsidRPr="00361350" w:rsidRDefault="00520F36" w:rsidP="007A3096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1748D247" w14:textId="77777777" w:rsidR="00520F36" w:rsidRPr="0092392D" w:rsidRDefault="00520F36" w:rsidP="007A3096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34514037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2228ABF3" w14:textId="77777777" w:rsidR="00520F36" w:rsidRPr="0092392D" w:rsidRDefault="00520F36" w:rsidP="007A3096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0D59424D" w14:textId="77777777" w:rsidR="00520F36" w:rsidRPr="0092392D" w:rsidRDefault="00520F36" w:rsidP="007A3096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68BED091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2C195952" w14:textId="3F496385" w:rsidR="00520F36" w:rsidRPr="00520F36" w:rsidRDefault="0028167F" w:rsidP="007A3096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28167F">
              <w:rPr>
                <w:rFonts w:cs="Times"/>
                <w:b/>
                <w:bCs/>
                <w:szCs w:val="24"/>
              </w:rPr>
              <w:t xml:space="preserve">Point de l'ordre du </w:t>
            </w:r>
            <w:proofErr w:type="gramStart"/>
            <w:r w:rsidRPr="0028167F">
              <w:rPr>
                <w:rFonts w:cs="Times"/>
                <w:b/>
                <w:bCs/>
                <w:szCs w:val="24"/>
              </w:rPr>
              <w:t>jour:</w:t>
            </w:r>
            <w:proofErr w:type="gramEnd"/>
            <w:r w:rsidRPr="0028167F">
              <w:rPr>
                <w:rFonts w:cs="Times"/>
                <w:b/>
                <w:bCs/>
                <w:szCs w:val="24"/>
              </w:rPr>
              <w:t xml:space="preserve"> ADM </w:t>
            </w:r>
            <w:r>
              <w:rPr>
                <w:rFonts w:cs="Times"/>
                <w:b/>
                <w:bCs/>
                <w:szCs w:val="24"/>
              </w:rPr>
              <w:t>1</w:t>
            </w:r>
          </w:p>
        </w:tc>
        <w:tc>
          <w:tcPr>
            <w:tcW w:w="3261" w:type="dxa"/>
          </w:tcPr>
          <w:p w14:paraId="6384625F" w14:textId="35FF0444" w:rsidR="00520F36" w:rsidRPr="00520F36" w:rsidRDefault="00520F36" w:rsidP="007A309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</w:t>
            </w:r>
            <w:r w:rsidR="009C353C">
              <w:rPr>
                <w:b/>
                <w:bCs/>
              </w:rPr>
              <w:t>2</w:t>
            </w:r>
            <w:r w:rsidR="004D1D50">
              <w:rPr>
                <w:b/>
                <w:bCs/>
              </w:rPr>
              <w:t>1</w:t>
            </w:r>
            <w:r>
              <w:rPr>
                <w:b/>
                <w:bCs/>
              </w:rPr>
              <w:t>/</w:t>
            </w:r>
            <w:r w:rsidR="0028167F">
              <w:rPr>
                <w:b/>
                <w:bCs/>
              </w:rPr>
              <w:t>49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 w14:paraId="7809B49F" w14:textId="77777777">
        <w:trPr>
          <w:cantSplit/>
          <w:trHeight w:val="20"/>
        </w:trPr>
        <w:tc>
          <w:tcPr>
            <w:tcW w:w="6912" w:type="dxa"/>
            <w:vMerge/>
          </w:tcPr>
          <w:p w14:paraId="7B5446C1" w14:textId="77777777" w:rsidR="00520F36" w:rsidRPr="0092392D" w:rsidRDefault="00520F36" w:rsidP="007A3096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6B2B5285" w14:textId="7E0121E6" w:rsidR="00520F36" w:rsidRPr="00520F36" w:rsidRDefault="0028167F" w:rsidP="007A309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22 avril</w:t>
            </w:r>
            <w:r w:rsidR="00520F36">
              <w:rPr>
                <w:b/>
                <w:bCs/>
              </w:rPr>
              <w:t xml:space="preserve"> 20</w:t>
            </w:r>
            <w:r w:rsidR="009C353C">
              <w:rPr>
                <w:b/>
                <w:bCs/>
              </w:rPr>
              <w:t>2</w:t>
            </w:r>
            <w:r w:rsidR="0097363B">
              <w:rPr>
                <w:b/>
                <w:bCs/>
              </w:rPr>
              <w:t>1</w:t>
            </w:r>
          </w:p>
        </w:tc>
      </w:tr>
      <w:tr w:rsidR="00520F36" w:rsidRPr="0092392D" w14:paraId="5AEDBD6A" w14:textId="77777777">
        <w:trPr>
          <w:cantSplit/>
          <w:trHeight w:val="20"/>
        </w:trPr>
        <w:tc>
          <w:tcPr>
            <w:tcW w:w="6912" w:type="dxa"/>
            <w:vMerge/>
          </w:tcPr>
          <w:p w14:paraId="27631ECA" w14:textId="77777777" w:rsidR="00520F36" w:rsidRPr="0092392D" w:rsidRDefault="00520F36" w:rsidP="007A3096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20A0FBEF" w14:textId="77777777" w:rsidR="00520F36" w:rsidRPr="00520F36" w:rsidRDefault="00520F36" w:rsidP="007A3096">
            <w:pPr>
              <w:spacing w:before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Original:</w:t>
            </w:r>
            <w:proofErr w:type="gramEnd"/>
            <w:r>
              <w:rPr>
                <w:b/>
                <w:bCs/>
              </w:rPr>
              <w:t xml:space="preserve"> anglais</w:t>
            </w:r>
          </w:p>
        </w:tc>
      </w:tr>
      <w:tr w:rsidR="00520F36" w:rsidRPr="0092392D" w14:paraId="266B0493" w14:textId="77777777">
        <w:trPr>
          <w:cantSplit/>
        </w:trPr>
        <w:tc>
          <w:tcPr>
            <w:tcW w:w="10173" w:type="dxa"/>
            <w:gridSpan w:val="2"/>
          </w:tcPr>
          <w:p w14:paraId="6D88712F" w14:textId="272D9013" w:rsidR="00520F36" w:rsidRPr="0092392D" w:rsidRDefault="0028167F" w:rsidP="007A3096">
            <w:pPr>
              <w:pStyle w:val="Source"/>
            </w:pPr>
            <w:bookmarkStart w:id="6" w:name="dsource" w:colFirst="0" w:colLast="0"/>
            <w:bookmarkEnd w:id="5"/>
            <w:r w:rsidRPr="0028167F">
              <w:t>Rapport du Secrétaire général</w:t>
            </w:r>
          </w:p>
        </w:tc>
      </w:tr>
      <w:tr w:rsidR="00520F36" w:rsidRPr="0092392D" w14:paraId="46793E60" w14:textId="77777777">
        <w:trPr>
          <w:cantSplit/>
        </w:trPr>
        <w:tc>
          <w:tcPr>
            <w:tcW w:w="10173" w:type="dxa"/>
            <w:gridSpan w:val="2"/>
          </w:tcPr>
          <w:p w14:paraId="729B2F7A" w14:textId="3B7CBF9F" w:rsidR="00520F36" w:rsidRPr="0092392D" w:rsidRDefault="0028167F" w:rsidP="007A3096">
            <w:pPr>
              <w:pStyle w:val="Title1"/>
            </w:pPr>
            <w:bookmarkStart w:id="7" w:name="dtitle1" w:colFirst="0" w:colLast="0"/>
            <w:bookmarkEnd w:id="6"/>
            <w:r w:rsidRPr="0028167F">
              <w:t>liste d'activités demandées mais non budgétées (UMAC)</w:t>
            </w:r>
            <w:r w:rsidR="00425EAD">
              <w:t xml:space="preserve"> pour 2021-2027</w:t>
            </w:r>
          </w:p>
        </w:tc>
      </w:tr>
      <w:bookmarkEnd w:id="7"/>
    </w:tbl>
    <w:p w14:paraId="345AC7CF" w14:textId="77777777" w:rsidR="00520F36" w:rsidRPr="0092392D" w:rsidRDefault="00520F36" w:rsidP="007A3096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3B5CD5" w14:paraId="552400C4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2F5C" w14:textId="77777777" w:rsidR="00520F36" w:rsidRPr="00C32D83" w:rsidRDefault="00520F36" w:rsidP="007A3096">
            <w:pPr>
              <w:pStyle w:val="Headingb"/>
            </w:pPr>
            <w:r w:rsidRPr="00C32D83">
              <w:t>Résumé</w:t>
            </w:r>
          </w:p>
          <w:p w14:paraId="1715AA20" w14:textId="5DB49E33" w:rsidR="00520F36" w:rsidRPr="00187136" w:rsidRDefault="00C32D83" w:rsidP="007A3096">
            <w:r w:rsidRPr="00C32D83">
              <w:t>À sa dernière réunion, t</w:t>
            </w:r>
            <w:r>
              <w:t xml:space="preserve">enue en janvier 2021, le Groupe de travail du Conseil sur les ressources financières et les ressources humaines (GTC-FHR) a recommandé l'élaboration d'un document dressant la liste de toutes les activités demandées mais non budgétées (UMAC) pour la période 2021-2027 en vue de cette session du Conseil. </w:t>
            </w:r>
            <w:r w:rsidRPr="00C32D83">
              <w:t>Le présent document contient la liste demandée ainsi qu'une e</w:t>
            </w:r>
            <w:r>
              <w:t>stimation du montant nécessaire pour chacune des activités correspondantes.</w:t>
            </w:r>
          </w:p>
          <w:p w14:paraId="468B2E63" w14:textId="5CA7F6EB" w:rsidR="0028167F" w:rsidRPr="0028167F" w:rsidRDefault="00C32D83" w:rsidP="007A3096">
            <w:bookmarkStart w:id="8" w:name="lt_pId208"/>
            <w:r>
              <w:t xml:space="preserve">Les sources de financement </w:t>
            </w:r>
            <w:r w:rsidR="003B5CD5">
              <w:t>possibles</w:t>
            </w:r>
            <w:r>
              <w:t xml:space="preserve"> </w:t>
            </w:r>
            <w:r w:rsidR="00425EAD">
              <w:t xml:space="preserve">sont </w:t>
            </w:r>
            <w:r>
              <w:t>l'excédent découlant de la mise en œuvre du budget (de l'exercice 2021, 2022 ou 2023), les</w:t>
            </w:r>
            <w:r w:rsidR="0028167F" w:rsidRPr="0028167F">
              <w:t xml:space="preserve"> contributions volontaires et, en dernier recours, le Fonds de réserve ou toute combinaison de </w:t>
            </w:r>
            <w:bookmarkEnd w:id="8"/>
            <w:r w:rsidR="0028167F" w:rsidRPr="0028167F">
              <w:t>ces éléments.</w:t>
            </w:r>
          </w:p>
          <w:p w14:paraId="352C4EF7" w14:textId="77777777" w:rsidR="00520F36" w:rsidRPr="00187136" w:rsidRDefault="00520F36" w:rsidP="007A3096">
            <w:pPr>
              <w:pStyle w:val="Headingb"/>
            </w:pPr>
            <w:proofErr w:type="gramStart"/>
            <w:r w:rsidRPr="00187136">
              <w:t>Suite à</w:t>
            </w:r>
            <w:proofErr w:type="gramEnd"/>
            <w:r w:rsidRPr="00187136">
              <w:t xml:space="preserve"> donner</w:t>
            </w:r>
          </w:p>
          <w:p w14:paraId="7FDE1C30" w14:textId="60E338DF" w:rsidR="00520F36" w:rsidRPr="003B5CD5" w:rsidRDefault="00C32D83" w:rsidP="007A3096">
            <w:r w:rsidRPr="00C32D83">
              <w:t>Le Conseil est invité à</w:t>
            </w:r>
            <w:r>
              <w:t xml:space="preserve"> </w:t>
            </w:r>
            <w:r w:rsidRPr="00425EAD">
              <w:rPr>
                <w:b/>
                <w:bCs/>
              </w:rPr>
              <w:t>examiner</w:t>
            </w:r>
            <w:r>
              <w:t xml:space="preserve"> le présent document </w:t>
            </w:r>
            <w:r w:rsidR="007A3096">
              <w:t xml:space="preserve">et </w:t>
            </w:r>
            <w:r>
              <w:t xml:space="preserve">à </w:t>
            </w:r>
            <w:r w:rsidRPr="00425EAD">
              <w:rPr>
                <w:b/>
                <w:bCs/>
              </w:rPr>
              <w:t>prendre une décision</w:t>
            </w:r>
            <w:r>
              <w:t xml:space="preserve"> concernant la marche à suivre et les sources de financement possibles pour les activités demandées mais non budgétées concernées</w:t>
            </w:r>
            <w:r w:rsidR="003B5CD5">
              <w:t>.</w:t>
            </w:r>
          </w:p>
          <w:p w14:paraId="06EC6210" w14:textId="77777777" w:rsidR="00520F36" w:rsidRPr="00C32D83" w:rsidRDefault="00520F36" w:rsidP="007A309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C32D83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14:paraId="357AC6C5" w14:textId="77777777" w:rsidR="00520F36" w:rsidRPr="00C32D83" w:rsidRDefault="00520F36" w:rsidP="007A3096">
            <w:pPr>
              <w:pStyle w:val="Headingb"/>
            </w:pPr>
            <w:r w:rsidRPr="00C32D83">
              <w:t>Références</w:t>
            </w:r>
          </w:p>
          <w:p w14:paraId="1F427F8D" w14:textId="03893579" w:rsidR="00520F36" w:rsidRPr="007A3096" w:rsidRDefault="003B5CD5" w:rsidP="007A3096">
            <w:pPr>
              <w:spacing w:after="120"/>
              <w:rPr>
                <w:iCs/>
              </w:rPr>
            </w:pPr>
            <w:r w:rsidRPr="007A3096">
              <w:t xml:space="preserve">Documents </w:t>
            </w:r>
            <w:hyperlink r:id="rId8" w:history="1">
              <w:r w:rsidR="0028167F" w:rsidRPr="007A3096">
                <w:rPr>
                  <w:rStyle w:val="Hyperlink"/>
                  <w:iCs/>
                </w:rPr>
                <w:t>CWG-FHR-12/3</w:t>
              </w:r>
            </w:hyperlink>
            <w:r w:rsidR="0028167F" w:rsidRPr="007A3096">
              <w:rPr>
                <w:iCs/>
              </w:rPr>
              <w:t xml:space="preserve">; </w:t>
            </w:r>
            <w:hyperlink r:id="rId9" w:history="1">
              <w:r w:rsidR="007A3096">
                <w:rPr>
                  <w:rStyle w:val="Hyperlink"/>
                  <w:iCs/>
                </w:rPr>
                <w:t>C20/14</w:t>
              </w:r>
              <w:r w:rsidR="0028167F" w:rsidRPr="007A3096">
                <w:rPr>
                  <w:rStyle w:val="Hyperlink"/>
                  <w:iCs/>
                </w:rPr>
                <w:t>(R</w:t>
              </w:r>
              <w:r w:rsidRPr="007A3096">
                <w:rPr>
                  <w:rStyle w:val="Hyperlink"/>
                  <w:iCs/>
                </w:rPr>
                <w:t>é</w:t>
              </w:r>
              <w:r w:rsidR="0028167F" w:rsidRPr="007A3096">
                <w:rPr>
                  <w:rStyle w:val="Hyperlink"/>
                  <w:iCs/>
                </w:rPr>
                <w:t>v.1)</w:t>
              </w:r>
            </w:hyperlink>
            <w:r w:rsidR="0028167F" w:rsidRPr="007A3096">
              <w:rPr>
                <w:iCs/>
              </w:rPr>
              <w:t xml:space="preserve">, </w:t>
            </w:r>
            <w:hyperlink r:id="rId10" w:history="1">
              <w:r w:rsidR="0028167F" w:rsidRPr="007A3096">
                <w:rPr>
                  <w:rStyle w:val="Hyperlink"/>
                  <w:iCs/>
                </w:rPr>
                <w:t>C20/53</w:t>
              </w:r>
            </w:hyperlink>
            <w:r w:rsidR="0028167F" w:rsidRPr="007A3096">
              <w:rPr>
                <w:iCs/>
              </w:rPr>
              <w:t xml:space="preserve">, </w:t>
            </w:r>
            <w:hyperlink r:id="rId11" w:history="1">
              <w:r w:rsidR="0028167F" w:rsidRPr="007A3096">
                <w:rPr>
                  <w:rStyle w:val="Hyperlink"/>
                  <w:iCs/>
                </w:rPr>
                <w:t>C21/INF/9</w:t>
              </w:r>
            </w:hyperlink>
            <w:r w:rsidR="0028167F" w:rsidRPr="007A3096">
              <w:rPr>
                <w:iCs/>
              </w:rPr>
              <w:t xml:space="preserve">, </w:t>
            </w:r>
            <w:hyperlink r:id="rId12" w:history="1">
              <w:r w:rsidR="0028167F" w:rsidRPr="007A3096">
                <w:rPr>
                  <w:rStyle w:val="Hyperlink"/>
                  <w:iCs/>
                </w:rPr>
                <w:t>C21/INF/12</w:t>
              </w:r>
            </w:hyperlink>
          </w:p>
        </w:tc>
      </w:tr>
    </w:tbl>
    <w:p w14:paraId="78A45162" w14:textId="77777777" w:rsidR="007A3096" w:rsidRDefault="007A3096" w:rsidP="007A3096"/>
    <w:p w14:paraId="613E300D" w14:textId="0809BD00" w:rsidR="0028167F" w:rsidRPr="003B5CD5" w:rsidRDefault="0028167F" w:rsidP="007A3096">
      <w:r w:rsidRPr="003B5CD5">
        <w:br w:type="page"/>
      </w:r>
    </w:p>
    <w:p w14:paraId="3EEF51C9" w14:textId="637D46CA" w:rsidR="0028167F" w:rsidRPr="003B5CD5" w:rsidRDefault="0028167F" w:rsidP="007A3096">
      <w:r w:rsidRPr="003B5CD5">
        <w:lastRenderedPageBreak/>
        <w:t>1</w:t>
      </w:r>
      <w:r w:rsidRPr="003B5CD5">
        <w:tab/>
      </w:r>
      <w:r w:rsidR="003B5CD5" w:rsidRPr="003B5CD5">
        <w:t>Le Tableau 1 ci-après d</w:t>
      </w:r>
      <w:r w:rsidR="003B5CD5">
        <w:t xml:space="preserve">resse la liste des activités demandées mais non budgétées (UMAC) ainsi que des estimations correspondantes pour la période 2021-2027. </w:t>
      </w:r>
      <w:r w:rsidR="003B5CD5" w:rsidRPr="003B5CD5">
        <w:t>On trouvera des renseignements détaillés sur ces activités dans l</w:t>
      </w:r>
      <w:r w:rsidR="003B5CD5">
        <w:t xml:space="preserve">es Documents </w:t>
      </w:r>
      <w:hyperlink r:id="rId13" w:history="1">
        <w:r w:rsidRPr="003B5CD5">
          <w:rPr>
            <w:rStyle w:val="Hyperlink"/>
          </w:rPr>
          <w:t>C21/INF/9</w:t>
        </w:r>
      </w:hyperlink>
      <w:r w:rsidRPr="003B5CD5">
        <w:t xml:space="preserve"> </w:t>
      </w:r>
      <w:r w:rsidR="003B5CD5" w:rsidRPr="003B5CD5">
        <w:t>et</w:t>
      </w:r>
      <w:r w:rsidR="003B5CD5">
        <w:t xml:space="preserve"> </w:t>
      </w:r>
      <w:hyperlink r:id="rId14" w:history="1">
        <w:r w:rsidRPr="003B5CD5">
          <w:rPr>
            <w:rStyle w:val="Hyperlink"/>
          </w:rPr>
          <w:t>C21/INF/12</w:t>
        </w:r>
      </w:hyperlink>
      <w:r w:rsidR="003B5CD5">
        <w:t xml:space="preserve">, disponibles sur le </w:t>
      </w:r>
      <w:r w:rsidR="00B455C6">
        <w:t xml:space="preserve">nouveau </w:t>
      </w:r>
      <w:r w:rsidR="003B5CD5">
        <w:t>site web de l'UIT</w:t>
      </w:r>
      <w:r w:rsidRPr="003B5CD5">
        <w:t>.</w:t>
      </w:r>
    </w:p>
    <w:p w14:paraId="7E215944" w14:textId="486D69B1" w:rsidR="0028167F" w:rsidRPr="003B5CD5" w:rsidRDefault="0028167F" w:rsidP="007A3096">
      <w:r w:rsidRPr="003B5CD5">
        <w:t>2</w:t>
      </w:r>
      <w:r w:rsidRPr="003B5CD5">
        <w:tab/>
      </w:r>
      <w:r w:rsidR="003B5CD5" w:rsidRPr="003B5CD5">
        <w:t>Les besoins urgents devraient ê</w:t>
      </w:r>
      <w:r w:rsidR="003B5CD5">
        <w:t xml:space="preserve">tre traités en priorité et peuvent être financés au moyen de l'excédent </w:t>
      </w:r>
      <w:r w:rsidR="003B5CD5" w:rsidRPr="003B5CD5">
        <w:t xml:space="preserve">découlant de la mise en œuvre du budget </w:t>
      </w:r>
      <w:r w:rsidR="00187136">
        <w:t xml:space="preserve">ordinaire </w:t>
      </w:r>
      <w:r w:rsidR="003B5CD5" w:rsidRPr="003B5CD5">
        <w:t>de l'exercice 2021, 2022 ou 2023</w:t>
      </w:r>
      <w:r w:rsidR="003B5CD5">
        <w:t xml:space="preserve"> ou, si aucun excédent n'est réalisé</w:t>
      </w:r>
      <w:r w:rsidR="00187136">
        <w:t>,</w:t>
      </w:r>
      <w:r w:rsidR="003B5CD5">
        <w:t xml:space="preserve"> et en dernier recours, au moyen d'un prélèvement sur le </w:t>
      </w:r>
      <w:r w:rsidR="003B5CD5" w:rsidRPr="003B5CD5">
        <w:t>Fonds de réserve.</w:t>
      </w:r>
      <w:r w:rsidR="003B5CD5">
        <w:t xml:space="preserve"> </w:t>
      </w:r>
      <w:r w:rsidR="003B5CD5" w:rsidRPr="003B5CD5">
        <w:t xml:space="preserve">Les contributions volontaires </w:t>
      </w:r>
      <w:r w:rsidR="00B455C6">
        <w:t>constituent</w:t>
      </w:r>
      <w:r w:rsidR="003B5CD5" w:rsidRPr="003B5CD5">
        <w:t xml:space="preserve"> également une source de financement p</w:t>
      </w:r>
      <w:r w:rsidR="003B5CD5">
        <w:t>ossible</w:t>
      </w:r>
      <w:r w:rsidRPr="003B5CD5">
        <w:t>.</w:t>
      </w:r>
    </w:p>
    <w:p w14:paraId="606A9052" w14:textId="712D35E2" w:rsidR="0028167F" w:rsidRPr="007078E8" w:rsidRDefault="0028167F" w:rsidP="007A3096">
      <w:r w:rsidRPr="00422B8F">
        <w:t>3</w:t>
      </w:r>
      <w:r w:rsidRPr="00422B8F">
        <w:tab/>
        <w:t>L</w:t>
      </w:r>
      <w:r w:rsidR="00422B8F" w:rsidRPr="00422B8F">
        <w:t>es besoins à long terme devraient être pris en considération dans</w:t>
      </w:r>
      <w:r w:rsidR="007A3096">
        <w:t xml:space="preserve"> le Plan financier pour </w:t>
      </w:r>
      <w:r w:rsidR="00422B8F">
        <w:t>2024-2027</w:t>
      </w:r>
      <w:r w:rsidRPr="00422B8F">
        <w:t xml:space="preserve"> </w:t>
      </w:r>
      <w:r w:rsidR="00422B8F">
        <w:t>dans la mesure où le niveau des produits le permet</w:t>
      </w:r>
      <w:r w:rsidRPr="00422B8F">
        <w:t xml:space="preserve">. </w:t>
      </w:r>
      <w:r w:rsidR="00422B8F" w:rsidRPr="007078E8">
        <w:t xml:space="preserve">Les ressources nécessaires englobent les charges ponctuelles et les charges </w:t>
      </w:r>
      <w:r w:rsidR="00705B85">
        <w:t>courantes</w:t>
      </w:r>
      <w:r w:rsidR="007078E8">
        <w:t>.</w:t>
      </w:r>
    </w:p>
    <w:p w14:paraId="732F7520" w14:textId="74D65D59" w:rsidR="0028167F" w:rsidRPr="007078E8" w:rsidRDefault="0028167F" w:rsidP="007A3096">
      <w:r w:rsidRPr="007078E8">
        <w:t>4</w:t>
      </w:r>
      <w:r w:rsidRPr="007078E8">
        <w:tab/>
      </w:r>
      <w:r w:rsidR="007078E8" w:rsidRPr="007078E8">
        <w:t>Pour l</w:t>
      </w:r>
      <w:r w:rsidR="007A3096">
        <w:t>a</w:t>
      </w:r>
      <w:r w:rsidR="007078E8" w:rsidRPr="007078E8">
        <w:t xml:space="preserve"> période concernée, à savoir 2021-2017, le montant total demandé s'</w:t>
      </w:r>
      <w:r w:rsidR="007A3096">
        <w:t>élève à </w:t>
      </w:r>
      <w:r w:rsidRPr="007078E8">
        <w:t>22</w:t>
      </w:r>
      <w:r w:rsidR="007A3096">
        <w:t> </w:t>
      </w:r>
      <w:r w:rsidRPr="007078E8">
        <w:t>498</w:t>
      </w:r>
      <w:r w:rsidR="007A3096">
        <w:t> </w:t>
      </w:r>
      <w:r w:rsidR="007078E8">
        <w:t xml:space="preserve">000 CHF, ventilés de la manière </w:t>
      </w:r>
      <w:proofErr w:type="gramStart"/>
      <w:r w:rsidR="007078E8">
        <w:t>suivante</w:t>
      </w:r>
      <w:r w:rsidRPr="007078E8">
        <w:t>:</w:t>
      </w:r>
      <w:proofErr w:type="gramEnd"/>
    </w:p>
    <w:p w14:paraId="7EAD3692" w14:textId="7896989B" w:rsidR="0028167F" w:rsidRPr="007078E8" w:rsidRDefault="0028167F" w:rsidP="007A3096">
      <w:pPr>
        <w:pStyle w:val="enumlev1"/>
      </w:pPr>
      <w:r w:rsidRPr="007078E8">
        <w:t>–</w:t>
      </w:r>
      <w:r w:rsidRPr="007078E8">
        <w:tab/>
        <w:t>2</w:t>
      </w:r>
      <w:r w:rsidR="007078E8" w:rsidRPr="007078E8">
        <w:t xml:space="preserve"> </w:t>
      </w:r>
      <w:r w:rsidRPr="007078E8">
        <w:t>228</w:t>
      </w:r>
      <w:r w:rsidR="007078E8" w:rsidRPr="007078E8">
        <w:t xml:space="preserve"> 000 CHF pour</w:t>
      </w:r>
      <w:r w:rsidRPr="007078E8">
        <w:t xml:space="preserve"> 2021.</w:t>
      </w:r>
    </w:p>
    <w:p w14:paraId="5613793F" w14:textId="3426A3EF" w:rsidR="0028167F" w:rsidRPr="007078E8" w:rsidRDefault="0028167F" w:rsidP="007A3096">
      <w:pPr>
        <w:pStyle w:val="enumlev1"/>
      </w:pPr>
      <w:r w:rsidRPr="007078E8">
        <w:t>–</w:t>
      </w:r>
      <w:r w:rsidRPr="007078E8">
        <w:tab/>
        <w:t>7</w:t>
      </w:r>
      <w:r w:rsidR="007078E8">
        <w:t xml:space="preserve"> </w:t>
      </w:r>
      <w:r w:rsidRPr="007078E8">
        <w:t xml:space="preserve">534 </w:t>
      </w:r>
      <w:r w:rsidR="007078E8" w:rsidRPr="007078E8">
        <w:t xml:space="preserve">000 CHF pour </w:t>
      </w:r>
      <w:r w:rsidRPr="007078E8">
        <w:t>2022-2023.</w:t>
      </w:r>
    </w:p>
    <w:p w14:paraId="4BB5815B" w14:textId="4B977E9A" w:rsidR="00897553" w:rsidRPr="007078E8" w:rsidRDefault="0028167F" w:rsidP="007A3096">
      <w:pPr>
        <w:pStyle w:val="enumlev1"/>
      </w:pPr>
      <w:r w:rsidRPr="007078E8">
        <w:t>–</w:t>
      </w:r>
      <w:r w:rsidRPr="007078E8">
        <w:tab/>
        <w:t>12</w:t>
      </w:r>
      <w:r w:rsidR="007078E8">
        <w:t xml:space="preserve"> </w:t>
      </w:r>
      <w:r w:rsidRPr="007078E8">
        <w:t xml:space="preserve">736 </w:t>
      </w:r>
      <w:r w:rsidR="007078E8" w:rsidRPr="007078E8">
        <w:t xml:space="preserve">000 CHF pour </w:t>
      </w:r>
      <w:r w:rsidRPr="007078E8">
        <w:t>2024-2027</w:t>
      </w:r>
    </w:p>
    <w:p w14:paraId="000604EB" w14:textId="32308FA3" w:rsidR="0028167F" w:rsidRDefault="0028167F" w:rsidP="007A3096">
      <w:pPr>
        <w:pStyle w:val="enumlev1"/>
      </w:pPr>
    </w:p>
    <w:p w14:paraId="0C032347" w14:textId="77777777" w:rsidR="007A3096" w:rsidRPr="007078E8" w:rsidRDefault="007A3096" w:rsidP="007A3096">
      <w:pPr>
        <w:pStyle w:val="enumlev1"/>
        <w:sectPr w:rsidR="007A3096" w:rsidRPr="007078E8" w:rsidSect="005C389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1418" w:right="1134" w:bottom="1418" w:left="1134" w:header="720" w:footer="720" w:gutter="0"/>
          <w:paperSrc w:first="261" w:other="261"/>
          <w:cols w:space="720"/>
          <w:titlePg/>
        </w:sectPr>
      </w:pPr>
    </w:p>
    <w:p w14:paraId="0FB9046B" w14:textId="71004CF5" w:rsidR="00287AF5" w:rsidRPr="00287AF5" w:rsidRDefault="00287AF5" w:rsidP="007A3096">
      <w:pPr>
        <w:spacing w:before="0"/>
        <w:jc w:val="center"/>
        <w:rPr>
          <w:rFonts w:cs="Calibri"/>
        </w:rPr>
      </w:pPr>
      <w:r w:rsidRPr="00287AF5">
        <w:rPr>
          <w:rFonts w:cs="Calibri"/>
        </w:rPr>
        <w:lastRenderedPageBreak/>
        <w:t>Tableau 1</w:t>
      </w:r>
    </w:p>
    <w:p w14:paraId="47EB3E35" w14:textId="0A7239F5" w:rsidR="00287AF5" w:rsidRPr="00287AF5" w:rsidRDefault="00287AF5" w:rsidP="007A3096">
      <w:pPr>
        <w:spacing w:before="0"/>
        <w:jc w:val="center"/>
        <w:rPr>
          <w:rFonts w:cs="Calibri"/>
        </w:rPr>
      </w:pPr>
      <w:r>
        <w:t>A</w:t>
      </w:r>
      <w:r w:rsidRPr="0028167F">
        <w:t>ctivités demandées mais non budgétées (UMAC)</w:t>
      </w:r>
    </w:p>
    <w:p w14:paraId="1838E496" w14:textId="102BF5EC" w:rsidR="00287AF5" w:rsidRDefault="007078E8" w:rsidP="007A3096">
      <w:pPr>
        <w:pStyle w:val="enumlev1"/>
        <w:tabs>
          <w:tab w:val="clear" w:pos="567"/>
        </w:tabs>
        <w:spacing w:before="0"/>
        <w:ind w:left="-567" w:firstLine="0"/>
        <w:jc w:val="center"/>
        <w:rPr>
          <w:lang w:val="en-US"/>
        </w:rPr>
      </w:pPr>
      <w:r>
        <w:rPr>
          <w:rFonts w:cs="Calibri"/>
        </w:rPr>
        <w:t xml:space="preserve">Estimations pour </w:t>
      </w:r>
      <w:r w:rsidR="00287AF5" w:rsidRPr="000D39DC">
        <w:rPr>
          <w:rFonts w:cs="Calibri"/>
        </w:rPr>
        <w:t xml:space="preserve">2021-2027 </w:t>
      </w:r>
    </w:p>
    <w:bookmarkStart w:id="9" w:name="_MON_1681549915"/>
    <w:bookmarkEnd w:id="9"/>
    <w:p w14:paraId="61DDC05A" w14:textId="5674FD8F" w:rsidR="00287AF5" w:rsidRDefault="00DC3227" w:rsidP="007A3096">
      <w:pPr>
        <w:pStyle w:val="enumlev1"/>
        <w:tabs>
          <w:tab w:val="clear" w:pos="567"/>
        </w:tabs>
        <w:ind w:left="-567" w:firstLine="0"/>
        <w:jc w:val="center"/>
        <w:rPr>
          <w:lang w:val="en-US"/>
        </w:rPr>
      </w:pPr>
      <w:r>
        <w:rPr>
          <w:lang w:val="en-US"/>
        </w:rPr>
        <w:object w:dxaOrig="20253" w:dyaOrig="12343" w14:anchorId="26722E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34.8pt;height:385.2pt" o:ole="">
            <v:imagedata r:id="rId21" o:title=""/>
          </v:shape>
          <o:OLEObject Type="Embed" ProgID="Excel.Sheet.12" ShapeID="_x0000_i1028" DrawAspect="Content" ObjectID="_1681838680" r:id="rId22"/>
        </w:object>
      </w:r>
    </w:p>
    <w:p w14:paraId="18D7A106" w14:textId="77777777" w:rsidR="00287AF5" w:rsidRDefault="00287AF5" w:rsidP="007A3096">
      <w:pPr>
        <w:jc w:val="center"/>
      </w:pPr>
      <w:r>
        <w:t>______________</w:t>
      </w:r>
    </w:p>
    <w:sectPr w:rsidR="00287AF5" w:rsidSect="00287AF5">
      <w:headerReference w:type="default" r:id="rId23"/>
      <w:footerReference w:type="default" r:id="rId24"/>
      <w:headerReference w:type="first" r:id="rId25"/>
      <w:footerReference w:type="first" r:id="rId26"/>
      <w:pgSz w:w="16840" w:h="11907" w:orient="landscape" w:code="9"/>
      <w:pgMar w:top="1134" w:right="1418" w:bottom="1134" w:left="1418" w:header="720" w:footer="720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349A" w14:textId="77777777" w:rsidR="0028167F" w:rsidRDefault="0028167F">
      <w:r>
        <w:separator/>
      </w:r>
    </w:p>
  </w:endnote>
  <w:endnote w:type="continuationSeparator" w:id="0">
    <w:p w14:paraId="2AC4689D" w14:textId="77777777" w:rsidR="0028167F" w:rsidRDefault="0028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FA4F" w14:textId="207ADF6A" w:rsidR="00732045" w:rsidRDefault="00DC3227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B36C2A">
      <w:t>P:\FRA\SG\CONSEIL\C21\000\049F.docx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05.05.21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B36C2A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1D5B" w14:textId="782DA95B" w:rsidR="00732045" w:rsidRDefault="00DC3227">
    <w:pPr>
      <w:pStyle w:val="Footer"/>
    </w:pPr>
    <w:r w:rsidRPr="00DC3227">
      <w:rPr>
        <w:color w:val="F2F2F2" w:themeColor="background1" w:themeShade="F2"/>
      </w:rPr>
      <w:fldChar w:fldCharType="begin"/>
    </w:r>
    <w:r w:rsidRPr="00DC3227">
      <w:rPr>
        <w:color w:val="F2F2F2" w:themeColor="background1" w:themeShade="F2"/>
      </w:rPr>
      <w:instrText xml:space="preserve"> FILENAME \p  \* MERGEFORMAT </w:instrText>
    </w:r>
    <w:r w:rsidRPr="00DC3227">
      <w:rPr>
        <w:color w:val="F2F2F2" w:themeColor="background1" w:themeShade="F2"/>
      </w:rPr>
      <w:fldChar w:fldCharType="separate"/>
    </w:r>
    <w:r w:rsidR="00B36C2A" w:rsidRPr="00DC3227">
      <w:rPr>
        <w:color w:val="F2F2F2" w:themeColor="background1" w:themeShade="F2"/>
      </w:rPr>
      <w:t>P:\FRA\SG\CONSEIL\C21\000\049F.docx</w:t>
    </w:r>
    <w:r w:rsidRPr="00DC3227">
      <w:rPr>
        <w:color w:val="F2F2F2" w:themeColor="background1" w:themeShade="F2"/>
      </w:rPr>
      <w:fldChar w:fldCharType="end"/>
    </w:r>
    <w:r w:rsidR="00287AF5" w:rsidRPr="00DC3227">
      <w:rPr>
        <w:color w:val="F2F2F2" w:themeColor="background1" w:themeShade="F2"/>
      </w:rPr>
      <w:t xml:space="preserve"> (483245)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84E7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E6A2" w14:textId="0D89C710" w:rsidR="00287AF5" w:rsidRDefault="00B36C2A" w:rsidP="000E3CC1">
    <w:pPr>
      <w:pStyle w:val="Footer"/>
    </w:pPr>
    <w:fldSimple w:instr=" FILENAME \p  \* MERGEFORMAT ">
      <w:r>
        <w:t>P:\FRA\SG\CONSEIL\C21\000\049F.docx</w:t>
      </w:r>
    </w:fldSimple>
    <w:r w:rsidR="000E3CC1">
      <w:t xml:space="preserve"> </w:t>
    </w:r>
    <w:r w:rsidR="00287AF5">
      <w:t>(483245)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1AC5" w14:textId="7FF4D5F5" w:rsidR="00287AF5" w:rsidRPr="00287AF5" w:rsidRDefault="00B36C2A" w:rsidP="00287AF5">
    <w:pPr>
      <w:pStyle w:val="Footer"/>
    </w:pPr>
    <w:r w:rsidRPr="00DC3227">
      <w:rPr>
        <w:color w:val="F2F2F2" w:themeColor="background1" w:themeShade="F2"/>
      </w:rPr>
      <w:fldChar w:fldCharType="begin"/>
    </w:r>
    <w:r w:rsidRPr="00DC3227">
      <w:rPr>
        <w:color w:val="F2F2F2" w:themeColor="background1" w:themeShade="F2"/>
      </w:rPr>
      <w:instrText xml:space="preserve"> FILENAME \p  \* MERGEFORMAT </w:instrText>
    </w:r>
    <w:r w:rsidRPr="00DC3227">
      <w:rPr>
        <w:color w:val="F2F2F2" w:themeColor="background1" w:themeShade="F2"/>
      </w:rPr>
      <w:fldChar w:fldCharType="separate"/>
    </w:r>
    <w:r w:rsidRPr="00DC3227">
      <w:rPr>
        <w:color w:val="F2F2F2" w:themeColor="background1" w:themeShade="F2"/>
      </w:rPr>
      <w:t>P:\FRA\SG\CONSEIL\C21\000\049F.docx</w:t>
    </w:r>
    <w:r w:rsidRPr="00DC3227">
      <w:rPr>
        <w:color w:val="F2F2F2" w:themeColor="background1" w:themeShade="F2"/>
      </w:rPr>
      <w:fldChar w:fldCharType="end"/>
    </w:r>
    <w:r w:rsidR="00287AF5" w:rsidRPr="00DC3227">
      <w:rPr>
        <w:color w:val="F2F2F2" w:themeColor="background1" w:themeShade="F2"/>
      </w:rPr>
      <w:t xml:space="preserve"> (483245)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F5967" w14:textId="77777777" w:rsidR="0028167F" w:rsidRDefault="0028167F">
      <w:r>
        <w:t>____________________</w:t>
      </w:r>
    </w:p>
  </w:footnote>
  <w:footnote w:type="continuationSeparator" w:id="0">
    <w:p w14:paraId="6E3C77C8" w14:textId="77777777" w:rsidR="0028167F" w:rsidRDefault="00281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4D74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11F5FDD6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056C" w14:textId="0AC4A6DE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36C2A">
      <w:rPr>
        <w:noProof/>
      </w:rPr>
      <w:t>2</w:t>
    </w:r>
    <w:r>
      <w:rPr>
        <w:noProof/>
      </w:rPr>
      <w:fldChar w:fldCharType="end"/>
    </w:r>
  </w:p>
  <w:p w14:paraId="7CDAC743" w14:textId="3E6E45B2" w:rsidR="00732045" w:rsidRDefault="00732045" w:rsidP="00106B19">
    <w:pPr>
      <w:pStyle w:val="Header"/>
    </w:pPr>
    <w:r>
      <w:t>C</w:t>
    </w:r>
    <w:r w:rsidR="009C353C">
      <w:t>2</w:t>
    </w:r>
    <w:r w:rsidR="004D1D50">
      <w:t>1</w:t>
    </w:r>
    <w:r>
      <w:t>/</w:t>
    </w:r>
    <w:r w:rsidR="0028167F">
      <w:t>49</w:t>
    </w:r>
    <w:r>
      <w:t>-F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7F5D" w14:textId="77777777" w:rsidR="000E3CC1" w:rsidRDefault="000E3CC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3668" w14:textId="31E3F64F" w:rsidR="00287AF5" w:rsidRDefault="00287AF5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7A3096">
      <w:rPr>
        <w:noProof/>
      </w:rPr>
      <w:t>4</w:t>
    </w:r>
    <w:r>
      <w:rPr>
        <w:noProof/>
      </w:rPr>
      <w:fldChar w:fldCharType="end"/>
    </w:r>
  </w:p>
  <w:p w14:paraId="3AF2FB7D" w14:textId="77777777" w:rsidR="00287AF5" w:rsidRDefault="00287AF5" w:rsidP="00106B19">
    <w:pPr>
      <w:pStyle w:val="Header"/>
    </w:pPr>
    <w:r>
      <w:t>C21/49-F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DDB53" w14:textId="31F492B6" w:rsidR="00287AF5" w:rsidRDefault="00287AF5" w:rsidP="00287AF5">
    <w:pPr>
      <w:pStyle w:val="Header"/>
    </w:pPr>
    <w:r>
      <w:fldChar w:fldCharType="begin"/>
    </w:r>
    <w:r>
      <w:instrText>PAGE</w:instrText>
    </w:r>
    <w:r>
      <w:fldChar w:fldCharType="separate"/>
    </w:r>
    <w:r w:rsidR="00B36C2A">
      <w:rPr>
        <w:noProof/>
      </w:rPr>
      <w:t>3</w:t>
    </w:r>
    <w:r>
      <w:rPr>
        <w:noProof/>
      </w:rPr>
      <w:fldChar w:fldCharType="end"/>
    </w:r>
  </w:p>
  <w:p w14:paraId="3E80DD7D" w14:textId="3E93F3F7" w:rsidR="00287AF5" w:rsidRDefault="00287AF5" w:rsidP="00B36C2A">
    <w:pPr>
      <w:pStyle w:val="Header"/>
      <w:spacing w:after="240"/>
    </w:pPr>
    <w:r>
      <w:t>C21/49-F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7866"/>
    <w:multiLevelType w:val="hybridMultilevel"/>
    <w:tmpl w:val="076E6E5E"/>
    <w:lvl w:ilvl="0" w:tplc="4E0A5D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67F"/>
    <w:rsid w:val="000D0D0A"/>
    <w:rsid w:val="000E3CC1"/>
    <w:rsid w:val="00103163"/>
    <w:rsid w:val="00106B19"/>
    <w:rsid w:val="00115D93"/>
    <w:rsid w:val="001247A8"/>
    <w:rsid w:val="001378C0"/>
    <w:rsid w:val="001672BC"/>
    <w:rsid w:val="0018694A"/>
    <w:rsid w:val="00187136"/>
    <w:rsid w:val="001A3287"/>
    <w:rsid w:val="001A6508"/>
    <w:rsid w:val="001D4C31"/>
    <w:rsid w:val="001E4D21"/>
    <w:rsid w:val="00207CD1"/>
    <w:rsid w:val="002477A2"/>
    <w:rsid w:val="00263A51"/>
    <w:rsid w:val="00267E02"/>
    <w:rsid w:val="0028167F"/>
    <w:rsid w:val="00287AF5"/>
    <w:rsid w:val="002A5D44"/>
    <w:rsid w:val="002E0BC4"/>
    <w:rsid w:val="002F1B76"/>
    <w:rsid w:val="0033568E"/>
    <w:rsid w:val="00355FF5"/>
    <w:rsid w:val="00361350"/>
    <w:rsid w:val="003B5CD5"/>
    <w:rsid w:val="003C3FAE"/>
    <w:rsid w:val="004038CB"/>
    <w:rsid w:val="0040546F"/>
    <w:rsid w:val="00422B8F"/>
    <w:rsid w:val="0042404A"/>
    <w:rsid w:val="00425EAD"/>
    <w:rsid w:val="0044618F"/>
    <w:rsid w:val="0046769A"/>
    <w:rsid w:val="00475FB3"/>
    <w:rsid w:val="004C37A9"/>
    <w:rsid w:val="004D1D50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05B85"/>
    <w:rsid w:val="007078E8"/>
    <w:rsid w:val="007210CD"/>
    <w:rsid w:val="00732045"/>
    <w:rsid w:val="007369DB"/>
    <w:rsid w:val="007835B9"/>
    <w:rsid w:val="007956C2"/>
    <w:rsid w:val="007A187E"/>
    <w:rsid w:val="007A3096"/>
    <w:rsid w:val="007C72C2"/>
    <w:rsid w:val="007D4436"/>
    <w:rsid w:val="007F257A"/>
    <w:rsid w:val="007F3665"/>
    <w:rsid w:val="00800037"/>
    <w:rsid w:val="00861D73"/>
    <w:rsid w:val="00897553"/>
    <w:rsid w:val="008A4E87"/>
    <w:rsid w:val="008D76E6"/>
    <w:rsid w:val="0092392D"/>
    <w:rsid w:val="0093234A"/>
    <w:rsid w:val="0097363B"/>
    <w:rsid w:val="009C307F"/>
    <w:rsid w:val="009C353C"/>
    <w:rsid w:val="00A2113E"/>
    <w:rsid w:val="00A23A51"/>
    <w:rsid w:val="00A24607"/>
    <w:rsid w:val="00A25CD3"/>
    <w:rsid w:val="00A709FE"/>
    <w:rsid w:val="00A82767"/>
    <w:rsid w:val="00AA332F"/>
    <w:rsid w:val="00AA7BBB"/>
    <w:rsid w:val="00AB64A8"/>
    <w:rsid w:val="00AC0266"/>
    <w:rsid w:val="00AD24EC"/>
    <w:rsid w:val="00AF0E5F"/>
    <w:rsid w:val="00B309F9"/>
    <w:rsid w:val="00B32B60"/>
    <w:rsid w:val="00B36C2A"/>
    <w:rsid w:val="00B455C6"/>
    <w:rsid w:val="00B61619"/>
    <w:rsid w:val="00BB4545"/>
    <w:rsid w:val="00BD5873"/>
    <w:rsid w:val="00C04BE3"/>
    <w:rsid w:val="00C1670A"/>
    <w:rsid w:val="00C25D29"/>
    <w:rsid w:val="00C27A7C"/>
    <w:rsid w:val="00C32D83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C3227"/>
    <w:rsid w:val="00DF74DD"/>
    <w:rsid w:val="00E25AD0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420C5D92"/>
  <w15:docId w15:val="{CAAA4390-5FC1-416A-BCB1-2C3E1136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16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5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1-CWGFHR12-C-0003/en" TargetMode="External"/><Relationship Id="rId13" Type="http://schemas.openxmlformats.org/officeDocument/2006/relationships/hyperlink" Target="https://www.itu.int/md/S21-CL-INF-0009/en" TargetMode="External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image" Target="media/image2.emf"/><Relationship Id="rId7" Type="http://schemas.openxmlformats.org/officeDocument/2006/relationships/image" Target="media/image1.jpeg"/><Relationship Id="rId12" Type="http://schemas.openxmlformats.org/officeDocument/2006/relationships/hyperlink" Target="https://www.itu.int/md/S21-CL-INF-0012/en" TargetMode="External"/><Relationship Id="rId17" Type="http://schemas.openxmlformats.org/officeDocument/2006/relationships/footer" Target="footer1.xml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1-CL-INF-0009/en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hyperlink" Target="https://www.itu.int/md/S20-CL-C-0053/en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CL-C-0014/en" TargetMode="External"/><Relationship Id="rId14" Type="http://schemas.openxmlformats.org/officeDocument/2006/relationships/hyperlink" Target="https://www.itu.int/md/S21-CL-INF-0012/en" TargetMode="External"/><Relationship Id="rId22" Type="http://schemas.openxmlformats.org/officeDocument/2006/relationships/package" Target="embeddings/Microsoft_Excel_Worksheet.xlsx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PF_C21.dotx</Template>
  <TotalTime>1</TotalTime>
  <Pages>3</Pages>
  <Words>386</Words>
  <Characters>2607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2988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d'activités demandées mais non budgétées (UMAC) pour 2021-2027</dc:title>
  <dc:subject>Council 2021, Virtual consultation of councillors</dc:subject>
  <dc:creator>Chanavat, Emilie</dc:creator>
  <cp:keywords>C2021, C21, VCC, C21-VCC-1</cp:keywords>
  <dc:description/>
  <cp:lastModifiedBy>Xue, Kun</cp:lastModifiedBy>
  <cp:revision>2</cp:revision>
  <cp:lastPrinted>2000-07-18T08:55:00Z</cp:lastPrinted>
  <dcterms:created xsi:type="dcterms:W3CDTF">2021-05-06T18:36:00Z</dcterms:created>
  <dcterms:modified xsi:type="dcterms:W3CDTF">2021-05-06T18:36:00Z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