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13AD83" w14:textId="77777777">
        <w:trPr>
          <w:cantSplit/>
        </w:trPr>
        <w:tc>
          <w:tcPr>
            <w:tcW w:w="6911" w:type="dxa"/>
          </w:tcPr>
          <w:p w14:paraId="4D33EF15" w14:textId="30426421" w:rsidR="00700D1F" w:rsidRPr="00DF23FC" w:rsidRDefault="00D94637" w:rsidP="00EB4CE4">
            <w:pPr>
              <w:spacing w:before="360" w:after="360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EB4CE4">
              <w:rPr>
                <w:rFonts w:ascii="SimSun" w:hAnsi="SimSun" w:cs="SimSun"/>
                <w:b/>
                <w:bCs/>
                <w:smallCaps/>
                <w:sz w:val="28"/>
                <w:szCs w:val="28"/>
                <w:lang w:val="en-US" w:eastAsia="zh-CN"/>
              </w:rPr>
              <w:br/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AE3547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5C67C594" w14:textId="77777777" w:rsidR="00700D1F" w:rsidRDefault="008418F5" w:rsidP="00B82A12"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40B911" wp14:editId="2108AB2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DB4B7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F43FE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435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DF4A7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E4FA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5EFB6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8C398F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A38FCAA" w14:textId="7226EE5E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A0B0B">
              <w:rPr>
                <w:rFonts w:hint="eastAsia"/>
                <w:b/>
                <w:lang w:eastAsia="zh-CN"/>
              </w:rPr>
              <w:t>ADM</w:t>
            </w:r>
            <w:r w:rsidR="00B40A53">
              <w:rPr>
                <w:b/>
              </w:rPr>
              <w:t xml:space="preserve"> </w:t>
            </w:r>
            <w:r w:rsidR="007A0B0B">
              <w:rPr>
                <w:rFonts w:hint="eastAsia"/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7741F792" w14:textId="7B6C255D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A0B0B">
              <w:rPr>
                <w:rFonts w:hint="eastAsia"/>
                <w:b/>
                <w:bCs/>
                <w:szCs w:val="24"/>
                <w:lang w:eastAsia="zh-CN"/>
              </w:rPr>
              <w:t>49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505259C8" w14:textId="77777777">
        <w:trPr>
          <w:cantSplit/>
          <w:trHeight w:val="23"/>
        </w:trPr>
        <w:tc>
          <w:tcPr>
            <w:tcW w:w="6911" w:type="dxa"/>
            <w:vMerge/>
          </w:tcPr>
          <w:p w14:paraId="42CF4DF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EEAC3D" w14:textId="15DB6808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43F6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82A1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AEAE669" w14:textId="77777777">
        <w:trPr>
          <w:cantSplit/>
          <w:trHeight w:val="23"/>
        </w:trPr>
        <w:tc>
          <w:tcPr>
            <w:tcW w:w="6911" w:type="dxa"/>
            <w:vMerge/>
          </w:tcPr>
          <w:p w14:paraId="024B1B4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66279E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EFCFD89" w14:textId="77777777">
        <w:trPr>
          <w:cantSplit/>
        </w:trPr>
        <w:tc>
          <w:tcPr>
            <w:tcW w:w="10031" w:type="dxa"/>
          </w:tcPr>
          <w:p w14:paraId="00963F09" w14:textId="190BE992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791E2F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89F439" w14:textId="77777777">
        <w:trPr>
          <w:cantSplit/>
        </w:trPr>
        <w:tc>
          <w:tcPr>
            <w:tcW w:w="10031" w:type="dxa"/>
          </w:tcPr>
          <w:p w14:paraId="6A972C43" w14:textId="1EE4660D" w:rsidR="00843F66" w:rsidRPr="00B66C26" w:rsidRDefault="00FD3502" w:rsidP="00EB4CE4">
            <w:pPr>
              <w:pStyle w:val="Title1"/>
              <w:spacing w:after="12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2021-2027</w:t>
            </w:r>
            <w:r>
              <w:rPr>
                <w:rFonts w:hint="eastAsia"/>
                <w:lang w:eastAsia="zh-CN"/>
              </w:rPr>
              <w:t>年已获授权、但无资金的活动清单（</w:t>
            </w:r>
            <w:r>
              <w:rPr>
                <w:rFonts w:hint="eastAsia"/>
                <w:lang w:eastAsia="zh-CN"/>
              </w:rPr>
              <w:t>UMAC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40A391FC" w14:textId="77777777" w:rsidR="00791E2F" w:rsidRDefault="00791E2F" w:rsidP="00791E2F">
      <w:pPr>
        <w:rPr>
          <w:lang w:eastAsia="zh-CN"/>
        </w:rPr>
      </w:pPr>
    </w:p>
    <w:p w14:paraId="5E243B40" w14:textId="77777777" w:rsidR="00791E2F" w:rsidRPr="008418F5" w:rsidRDefault="00791E2F" w:rsidP="00791E2F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791E2F" w14:paraId="01BF2C3D" w14:textId="77777777" w:rsidTr="009966F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1E3C3" w14:textId="77777777" w:rsidR="00791E2F" w:rsidRPr="008418F5" w:rsidRDefault="00791E2F" w:rsidP="009966FD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6685099" w14:textId="35116873" w:rsidR="00FA3302" w:rsidRPr="001A2005" w:rsidRDefault="00FA3302" w:rsidP="00FA33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在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2021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年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1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月的最后一次会议上，理事会财务和人力资源工作组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（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CWG-FHR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）建议为本次理事会会议编写一份文件，列出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2021-2027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年期间已获授权，但无资金的活动。本文件提供了所要求的清单，以及每项相应活动所需要的估算情况。</w:t>
            </w:r>
          </w:p>
          <w:p w14:paraId="20D8EE23" w14:textId="2A45A24F" w:rsidR="00791E2F" w:rsidRPr="00FA3302" w:rsidRDefault="00FA3302" w:rsidP="00FA33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rFonts w:ascii="SimSun" w:hAnsi="SimSun" w:cs="Calibri"/>
                <w:lang w:eastAsia="zh-CN"/>
              </w:rPr>
            </w:pP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可能的资金来源可</w:t>
            </w:r>
            <w:r w:rsidR="003E3DDE" w:rsidRPr="001A2005">
              <w:rPr>
                <w:rFonts w:asciiTheme="minorHAnsi" w:eastAsiaTheme="minorEastAsia" w:hAnsiTheme="minorHAnsi" w:cstheme="minorHAnsi"/>
                <w:lang w:eastAsia="zh-CN"/>
              </w:rPr>
              <w:t>包括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预算执行盈余</w:t>
            </w:r>
            <w:r w:rsidR="00231804">
              <w:rPr>
                <w:rFonts w:asciiTheme="minorHAnsi" w:eastAsiaTheme="minorEastAsia" w:hAnsiTheme="minorHAnsi" w:cstheme="minorHAnsi" w:hint="eastAsia"/>
                <w:lang w:eastAsia="zh-CN"/>
              </w:rPr>
              <w:t>（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2021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年、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2022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年或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2023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年</w:t>
            </w:r>
            <w:r w:rsidR="00231804">
              <w:rPr>
                <w:rFonts w:asciiTheme="minorHAnsi" w:eastAsiaTheme="minorEastAsia" w:hAnsiTheme="minorHAnsi" w:cstheme="minorHAnsi" w:hint="eastAsia"/>
                <w:lang w:eastAsia="zh-CN"/>
              </w:rPr>
              <w:t>）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、自愿捐款和作为最后选择的储备金账目，和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/</w:t>
            </w:r>
            <w:r w:rsidRPr="001A2005">
              <w:rPr>
                <w:rFonts w:asciiTheme="minorHAnsi" w:eastAsiaTheme="minorEastAsia" w:hAnsiTheme="minorHAnsi" w:cstheme="minorHAnsi"/>
                <w:lang w:eastAsia="zh-CN"/>
              </w:rPr>
              <w:t>或后者的任意组合。</w:t>
            </w:r>
          </w:p>
          <w:p w14:paraId="3D347B4C" w14:textId="77777777" w:rsidR="00791E2F" w:rsidRPr="003C2E37" w:rsidRDefault="00791E2F" w:rsidP="009966FD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216AF07F" w14:textId="07755458" w:rsidR="00791E2F" w:rsidRPr="001E44D9" w:rsidRDefault="00FA3302" w:rsidP="009966FD">
            <w:pPr>
              <w:overflowPunct/>
              <w:spacing w:after="120"/>
              <w:ind w:firstLineChars="200" w:firstLine="480"/>
              <w:textAlignment w:val="auto"/>
              <w:rPr>
                <w:rFonts w:cs="Calibri"/>
                <w:szCs w:val="24"/>
                <w:lang w:eastAsia="zh-CN"/>
              </w:rPr>
            </w:pPr>
            <w:r w:rsidRPr="00FA3302">
              <w:rPr>
                <w:rFonts w:cs="Calibri" w:hint="eastAsia"/>
                <w:color w:val="000000" w:themeColor="text1"/>
                <w:lang w:eastAsia="zh-CN"/>
              </w:rPr>
              <w:t>请理事会</w:t>
            </w:r>
            <w:r w:rsidRPr="00E90381">
              <w:rPr>
                <w:rFonts w:cs="Calibri" w:hint="eastAsia"/>
                <w:b/>
                <w:bCs/>
                <w:color w:val="000000" w:themeColor="text1"/>
                <w:lang w:eastAsia="zh-CN"/>
              </w:rPr>
              <w:t>审议</w:t>
            </w:r>
            <w:r>
              <w:rPr>
                <w:rFonts w:cs="Calibri" w:hint="eastAsia"/>
                <w:color w:val="000000" w:themeColor="text1"/>
                <w:lang w:eastAsia="zh-CN"/>
              </w:rPr>
              <w:t>此</w:t>
            </w:r>
            <w:r w:rsidRPr="00FA3302">
              <w:rPr>
                <w:rFonts w:cs="Calibri" w:hint="eastAsia"/>
                <w:color w:val="000000" w:themeColor="text1"/>
                <w:lang w:eastAsia="zh-CN"/>
              </w:rPr>
              <w:t>文件，并就有关</w:t>
            </w:r>
            <w:r>
              <w:rPr>
                <w:rFonts w:cs="Calibri" w:hint="eastAsia"/>
                <w:color w:val="000000" w:themeColor="text1"/>
                <w:lang w:eastAsia="zh-CN"/>
              </w:rPr>
              <w:t>已授权，但</w:t>
            </w:r>
            <w:r w:rsidRPr="00FA3302">
              <w:rPr>
                <w:rFonts w:cs="Calibri" w:hint="eastAsia"/>
                <w:color w:val="000000" w:themeColor="text1"/>
                <w:lang w:eastAsia="zh-CN"/>
              </w:rPr>
              <w:t>无资金的活动</w:t>
            </w:r>
            <w:r>
              <w:rPr>
                <w:rFonts w:cs="Calibri" w:hint="eastAsia"/>
                <w:color w:val="000000" w:themeColor="text1"/>
                <w:lang w:eastAsia="zh-CN"/>
              </w:rPr>
              <w:t>（</w:t>
            </w:r>
            <w:r w:rsidRPr="00C4002F">
              <w:rPr>
                <w:rFonts w:cs="Calibri"/>
                <w:color w:val="000000" w:themeColor="text1"/>
                <w:lang w:eastAsia="zh-CN"/>
              </w:rPr>
              <w:t>UMAC</w:t>
            </w:r>
            <w:r>
              <w:rPr>
                <w:rFonts w:cs="Calibri" w:hint="eastAsia"/>
                <w:color w:val="000000" w:themeColor="text1"/>
                <w:lang w:eastAsia="zh-CN"/>
              </w:rPr>
              <w:t>）</w:t>
            </w:r>
            <w:r w:rsidRPr="00FA3302">
              <w:rPr>
                <w:rFonts w:cs="Calibri" w:hint="eastAsia"/>
                <w:color w:val="000000" w:themeColor="text1"/>
                <w:lang w:eastAsia="zh-CN"/>
              </w:rPr>
              <w:t>的行动方针和可能的资金来源</w:t>
            </w:r>
            <w:proofErr w:type="gramStart"/>
            <w:r w:rsidRPr="00FA3302">
              <w:rPr>
                <w:rFonts w:cs="Calibri" w:hint="eastAsia"/>
                <w:color w:val="000000" w:themeColor="text1"/>
                <w:lang w:eastAsia="zh-CN"/>
              </w:rPr>
              <w:t>作出</w:t>
            </w:r>
            <w:proofErr w:type="gramEnd"/>
            <w:r w:rsidRPr="00E90381">
              <w:rPr>
                <w:rFonts w:cs="Calibri" w:hint="eastAsia"/>
                <w:b/>
                <w:bCs/>
                <w:color w:val="000000" w:themeColor="text1"/>
                <w:lang w:eastAsia="zh-CN"/>
              </w:rPr>
              <w:t>决定</w:t>
            </w:r>
            <w:r w:rsidRPr="00FA3302">
              <w:rPr>
                <w:rFonts w:cs="Calibri" w:hint="eastAsia"/>
                <w:color w:val="000000" w:themeColor="text1"/>
                <w:lang w:eastAsia="zh-CN"/>
              </w:rPr>
              <w:t>。</w:t>
            </w:r>
          </w:p>
          <w:p w14:paraId="1E990278" w14:textId="76E844AB" w:rsidR="00791E2F" w:rsidRDefault="004C61C8" w:rsidP="009966FD">
            <w:pPr>
              <w:jc w:val="center"/>
              <w:rPr>
                <w:sz w:val="28"/>
                <w:szCs w:val="22"/>
                <w:lang w:eastAsia="zh-CN"/>
              </w:rPr>
            </w:pPr>
            <w:r w:rsidRPr="005532B9">
              <w:rPr>
                <w:caps/>
                <w:rPrChange w:id="2" w:author="Brouard, Ricarda" w:date="2021-04-30T09:35:00Z">
                  <w:rPr>
                    <w:caps/>
                    <w:sz w:val="22"/>
                  </w:rPr>
                </w:rPrChange>
              </w:rPr>
              <w:t>____________</w:t>
            </w:r>
          </w:p>
          <w:p w14:paraId="6F007043" w14:textId="77777777" w:rsidR="00791E2F" w:rsidRPr="008418F5" w:rsidRDefault="00791E2F" w:rsidP="009966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7EDF9CCB" w14:textId="77777777" w:rsidR="00791E2F" w:rsidRPr="008418F5" w:rsidRDefault="00791E2F" w:rsidP="009966FD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3" w:name="lt_pId023"/>
          <w:p w14:paraId="638F0BA9" w14:textId="24A5E749" w:rsidR="00791E2F" w:rsidRPr="001623C9" w:rsidRDefault="001163C9" w:rsidP="00D12AA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120"/>
              <w:rPr>
                <w:i/>
                <w:iCs/>
                <w:caps/>
                <w:sz w:val="24"/>
                <w:szCs w:val="24"/>
                <w:lang w:eastAsia="zh-CN"/>
              </w:rPr>
            </w:pPr>
            <w:r w:rsidRPr="001163C9">
              <w:rPr>
                <w:rFonts w:eastAsia="Times New Roman" w:cstheme="minorBidi"/>
                <w:szCs w:val="22"/>
                <w:lang w:val="en-US"/>
              </w:rPr>
              <w:fldChar w:fldCharType="begin"/>
            </w:r>
            <w:r w:rsidRPr="001163C9">
              <w:rPr>
                <w:rFonts w:eastAsia="Times New Roman"/>
                <w:sz w:val="24"/>
              </w:rPr>
              <w:instrText xml:space="preserve"> HYPERLINK "https://www.itu.int/md/S21-CWGFHR12-C-0003/en" </w:instrText>
            </w:r>
            <w:r w:rsidRPr="001163C9">
              <w:rPr>
                <w:rFonts w:eastAsia="Times New Roman" w:cstheme="minorBidi"/>
                <w:szCs w:val="22"/>
                <w:lang w:val="en-US"/>
              </w:rPr>
              <w:fldChar w:fldCharType="separate"/>
            </w:r>
            <w:r w:rsidRPr="001163C9">
              <w:rPr>
                <w:rFonts w:eastAsia="Times New Roman" w:cs="Calibri"/>
                <w:color w:val="0000FF"/>
                <w:sz w:val="24"/>
                <w:szCs w:val="24"/>
                <w:u w:val="single"/>
              </w:rPr>
              <w:t>CWG-FHR-12/3</w:t>
            </w:r>
            <w:r w:rsidRPr="001163C9">
              <w:rPr>
                <w:rFonts w:eastAsia="Times New Roman" w:cs="Calibri"/>
                <w:color w:val="0000FF"/>
                <w:sz w:val="24"/>
                <w:szCs w:val="24"/>
                <w:u w:val="single"/>
              </w:rPr>
              <w:fldChar w:fldCharType="end"/>
            </w:r>
            <w:bookmarkStart w:id="4" w:name="lt_pId024"/>
            <w:bookmarkEnd w:id="3"/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、</w:t>
            </w:r>
            <w:hyperlink r:id="rId9" w:history="1">
              <w:r w:rsidRPr="001163C9">
                <w:rPr>
                  <w:rFonts w:eastAsia="Times New Roman" w:cs="Calibri"/>
                  <w:color w:val="0000FF"/>
                  <w:sz w:val="24"/>
                  <w:szCs w:val="24"/>
                  <w:u w:val="single"/>
                </w:rPr>
                <w:t>C20/14 (Rev.1)</w:t>
              </w:r>
            </w:hyperlink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、</w:t>
            </w:r>
            <w:hyperlink r:id="rId10" w:history="1">
              <w:r w:rsidRPr="001163C9">
                <w:rPr>
                  <w:rFonts w:eastAsia="Times New Roman" w:cs="Calibri"/>
                  <w:color w:val="0000FF"/>
                  <w:sz w:val="24"/>
                  <w:szCs w:val="24"/>
                  <w:u w:val="single"/>
                </w:rPr>
                <w:t>C20/53</w:t>
              </w:r>
            </w:hyperlink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、</w:t>
            </w:r>
            <w:hyperlink r:id="rId11" w:history="1">
              <w:r w:rsidRPr="001163C9">
                <w:rPr>
                  <w:rFonts w:eastAsia="Times New Roman" w:cs="Calibri"/>
                  <w:color w:val="0000FF"/>
                  <w:sz w:val="24"/>
                  <w:szCs w:val="24"/>
                  <w:u w:val="single"/>
                </w:rPr>
                <w:t>C21/INF/9</w:t>
              </w:r>
            </w:hyperlink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、</w:t>
            </w:r>
            <w:hyperlink r:id="rId12" w:history="1">
              <w:r w:rsidRPr="001163C9">
                <w:rPr>
                  <w:rFonts w:eastAsia="Times New Roman" w:cs="Calibri"/>
                  <w:color w:val="0000FF"/>
                  <w:sz w:val="24"/>
                  <w:u w:val="single"/>
                </w:rPr>
                <w:t>C21/INF/12</w:t>
              </w:r>
            </w:hyperlink>
            <w:bookmarkEnd w:id="4"/>
          </w:p>
        </w:tc>
      </w:tr>
    </w:tbl>
    <w:p w14:paraId="055A93FD" w14:textId="77777777" w:rsidR="00791E2F" w:rsidRPr="008418F5" w:rsidRDefault="00791E2F" w:rsidP="00791E2F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36A4D560" w14:textId="5AC0D884" w:rsidR="00215CAA" w:rsidRPr="00231804" w:rsidRDefault="00215CAA" w:rsidP="00027A0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jc w:val="both"/>
        <w:rPr>
          <w:rFonts w:asciiTheme="minorHAnsi" w:eastAsiaTheme="minorEastAsia" w:hAnsiTheme="minorHAnsi" w:cstheme="minorHAnsi"/>
          <w:lang w:eastAsia="zh-CN"/>
        </w:rPr>
      </w:pPr>
      <w:r w:rsidRPr="00231804">
        <w:rPr>
          <w:rFonts w:asciiTheme="minorHAnsi" w:eastAsiaTheme="minorEastAsia" w:hAnsiTheme="minorHAnsi" w:cstheme="minorHAnsi"/>
          <w:lang w:eastAsia="zh-CN"/>
        </w:rPr>
        <w:lastRenderedPageBreak/>
        <w:t>1</w:t>
      </w:r>
      <w:r w:rsidRPr="00231804">
        <w:rPr>
          <w:rFonts w:asciiTheme="minorHAnsi" w:eastAsiaTheme="minorEastAsia" w:hAnsiTheme="minorHAnsi" w:cstheme="minorHAnsi"/>
          <w:lang w:eastAsia="zh-CN"/>
        </w:rPr>
        <w:tab/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下页表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1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列出了已授权，但无资金的活动及其在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2021-2027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年时间框架内的相应估算。关于这些活动的详细信息载于国际电联新网站上的</w:t>
      </w:r>
      <w:hyperlink r:id="rId13" w:history="1">
        <w:r w:rsidR="00027A04" w:rsidRPr="00231804">
          <w:rPr>
            <w:rFonts w:asciiTheme="minorHAnsi" w:eastAsiaTheme="minorEastAsia" w:hAnsiTheme="minorHAnsi" w:cstheme="minorHAnsi"/>
            <w:color w:val="0000FF"/>
            <w:u w:val="single"/>
            <w:lang w:eastAsia="zh-CN"/>
          </w:rPr>
          <w:t>C21/INF/9</w:t>
        </w:r>
      </w:hyperlink>
      <w:r w:rsidR="00027A04" w:rsidRPr="00231804">
        <w:rPr>
          <w:rFonts w:asciiTheme="minorHAnsi" w:eastAsiaTheme="minorEastAsia" w:hAnsiTheme="minorHAnsi" w:cstheme="minorHAnsi"/>
          <w:lang w:eastAsia="zh-CN"/>
        </w:rPr>
        <w:t>和</w:t>
      </w:r>
      <w:hyperlink r:id="rId14" w:history="1">
        <w:r w:rsidR="00027A04" w:rsidRPr="00231804">
          <w:rPr>
            <w:rFonts w:asciiTheme="minorHAnsi" w:eastAsiaTheme="minorEastAsia" w:hAnsiTheme="minorHAnsi" w:cstheme="minorHAnsi"/>
            <w:color w:val="0000FF"/>
            <w:u w:val="single"/>
            <w:lang w:eastAsia="zh-CN"/>
          </w:rPr>
          <w:t>C21/INF/12</w:t>
        </w:r>
      </w:hyperlink>
      <w:r w:rsidR="00027A04" w:rsidRPr="00231804">
        <w:rPr>
          <w:rFonts w:asciiTheme="minorHAnsi" w:eastAsiaTheme="minorEastAsia" w:hAnsiTheme="minorHAnsi" w:cstheme="minorHAnsi"/>
          <w:lang w:eastAsia="zh-CN"/>
        </w:rPr>
        <w:t>号文件。</w:t>
      </w:r>
    </w:p>
    <w:p w14:paraId="6C9A85F6" w14:textId="4C650031" w:rsidR="00215CAA" w:rsidRPr="00231804" w:rsidRDefault="00215CAA" w:rsidP="00215C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59" w:lineRule="auto"/>
        <w:jc w:val="both"/>
        <w:rPr>
          <w:rFonts w:asciiTheme="minorHAnsi" w:eastAsiaTheme="minorEastAsia" w:hAnsiTheme="minorHAnsi" w:cstheme="minorHAnsi"/>
        </w:rPr>
      </w:pPr>
      <w:r w:rsidRPr="00231804">
        <w:rPr>
          <w:rFonts w:asciiTheme="minorHAnsi" w:eastAsiaTheme="minorEastAsia" w:hAnsiTheme="minorHAnsi" w:cstheme="minorHAnsi"/>
          <w:lang w:eastAsia="zh-CN"/>
        </w:rPr>
        <w:t>2</w:t>
      </w:r>
      <w:r w:rsidRPr="00231804">
        <w:rPr>
          <w:rFonts w:asciiTheme="minorHAnsi" w:eastAsiaTheme="minorEastAsia" w:hAnsiTheme="minorHAnsi" w:cstheme="minorHAnsi"/>
          <w:lang w:eastAsia="zh-CN"/>
        </w:rPr>
        <w:tab/>
      </w:r>
      <w:bookmarkStart w:id="5" w:name="lt_pId030"/>
      <w:r w:rsidR="00027A04" w:rsidRPr="00231804">
        <w:rPr>
          <w:rFonts w:asciiTheme="minorHAnsi" w:eastAsiaTheme="minorEastAsia" w:hAnsiTheme="minorHAnsi" w:cstheme="minorHAnsi"/>
          <w:lang w:eastAsia="zh-CN"/>
        </w:rPr>
        <w:t>紧急需求可以作为优先事项，并可能由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2021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年、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2022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年、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2023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年常规预算执行盈余供资，或者在没有盈余的情况下，作为最后一种选择，从储备金账目中提款。自愿捐款也可以是一个可能的资金来源</w:t>
      </w:r>
      <w:bookmarkEnd w:id="5"/>
      <w:r w:rsidR="00027A04" w:rsidRPr="00231804">
        <w:rPr>
          <w:rFonts w:asciiTheme="minorHAnsi" w:eastAsiaTheme="minorEastAsia" w:hAnsiTheme="minorHAnsi" w:cstheme="minorHAnsi"/>
          <w:lang w:eastAsia="zh-CN"/>
        </w:rPr>
        <w:t>。</w:t>
      </w:r>
    </w:p>
    <w:p w14:paraId="7F121025" w14:textId="6CD2DD29" w:rsidR="00215CAA" w:rsidRPr="00231804" w:rsidRDefault="00215CAA" w:rsidP="00215C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59" w:lineRule="auto"/>
        <w:jc w:val="both"/>
        <w:rPr>
          <w:rFonts w:asciiTheme="minorHAnsi" w:eastAsiaTheme="minorEastAsia" w:hAnsiTheme="minorHAnsi" w:cstheme="minorHAnsi"/>
          <w:lang w:eastAsia="zh-CN"/>
        </w:rPr>
      </w:pPr>
      <w:r w:rsidRPr="00231804">
        <w:rPr>
          <w:rFonts w:asciiTheme="minorHAnsi" w:eastAsiaTheme="minorEastAsia" w:hAnsiTheme="minorHAnsi" w:cstheme="minorHAnsi"/>
          <w:lang w:eastAsia="zh-CN"/>
        </w:rPr>
        <w:t>3</w:t>
      </w:r>
      <w:r w:rsidRPr="00231804">
        <w:rPr>
          <w:rFonts w:asciiTheme="minorHAnsi" w:eastAsiaTheme="minorEastAsia" w:hAnsiTheme="minorHAnsi" w:cstheme="minorHAnsi"/>
          <w:lang w:eastAsia="zh-CN"/>
        </w:rPr>
        <w:tab/>
      </w:r>
      <w:bookmarkStart w:id="6" w:name="lt_pId033"/>
      <w:r w:rsidR="00027A04" w:rsidRPr="00231804">
        <w:rPr>
          <w:rFonts w:asciiTheme="minorHAnsi" w:eastAsiaTheme="minorEastAsia" w:hAnsiTheme="minorHAnsi" w:cstheme="minorHAnsi"/>
          <w:lang w:eastAsia="zh-CN"/>
        </w:rPr>
        <w:t>在收入水平允许的范围内，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2024-2027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年财务规划可包括长期需求。所需资源包括一次性费用和持续费用。</w:t>
      </w:r>
      <w:bookmarkEnd w:id="6"/>
    </w:p>
    <w:p w14:paraId="73025D4A" w14:textId="35DDC3FB" w:rsidR="00215CAA" w:rsidRPr="00231804" w:rsidRDefault="00215CAA" w:rsidP="0023180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59" w:lineRule="auto"/>
        <w:jc w:val="both"/>
        <w:rPr>
          <w:rFonts w:asciiTheme="minorHAnsi" w:eastAsiaTheme="minorEastAsia" w:hAnsiTheme="minorHAnsi" w:cstheme="minorHAnsi"/>
          <w:lang w:eastAsia="zh-CN"/>
        </w:rPr>
      </w:pPr>
      <w:r w:rsidRPr="00231804">
        <w:rPr>
          <w:rFonts w:asciiTheme="minorHAnsi" w:eastAsiaTheme="minorEastAsia" w:hAnsiTheme="minorHAnsi" w:cstheme="minorHAnsi"/>
          <w:lang w:eastAsia="zh-CN"/>
        </w:rPr>
        <w:t>4</w:t>
      </w:r>
      <w:r w:rsidRPr="00231804">
        <w:rPr>
          <w:rFonts w:asciiTheme="minorHAnsi" w:eastAsiaTheme="minorEastAsia" w:hAnsiTheme="minorHAnsi" w:cstheme="minorHAnsi"/>
          <w:lang w:eastAsia="zh-CN"/>
        </w:rPr>
        <w:tab/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在相关的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2021-2027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年时间框架内，</w:t>
      </w:r>
      <w:r w:rsidR="003E3DDE" w:rsidRPr="00231804">
        <w:rPr>
          <w:rFonts w:asciiTheme="minorHAnsi" w:eastAsiaTheme="minorEastAsia" w:hAnsiTheme="minorHAnsi" w:cstheme="minorHAnsi"/>
          <w:lang w:eastAsia="zh-CN"/>
        </w:rPr>
        <w:t>需要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的总额高达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22,498,000</w:t>
      </w:r>
      <w:r w:rsidR="00027A04" w:rsidRPr="00231804">
        <w:rPr>
          <w:rFonts w:asciiTheme="minorHAnsi" w:eastAsiaTheme="minorEastAsia" w:hAnsiTheme="minorHAnsi" w:cstheme="minorHAnsi"/>
          <w:lang w:eastAsia="zh-CN"/>
        </w:rPr>
        <w:t>瑞郎，细分如下</w:t>
      </w:r>
    </w:p>
    <w:p w14:paraId="3CC1D7D8" w14:textId="2863C77A" w:rsidR="00215CAA" w:rsidRPr="00231804" w:rsidRDefault="00231804" w:rsidP="00231804">
      <w:pPr>
        <w:pStyle w:val="enumlev2"/>
        <w:spacing w:before="0"/>
        <w:rPr>
          <w:lang w:val="en-US" w:eastAsia="zh-CN"/>
        </w:rPr>
      </w:pPr>
      <w:bookmarkStart w:id="7" w:name="lt_pId036"/>
      <w:r w:rsidRPr="00231804">
        <w:rPr>
          <w:lang w:val="en-US" w:eastAsia="zh-CN"/>
        </w:rPr>
        <w:t>–</w:t>
      </w:r>
      <w:r>
        <w:rPr>
          <w:lang w:val="en-US" w:eastAsia="zh-CN"/>
        </w:rPr>
        <w:tab/>
      </w:r>
      <w:r w:rsidR="00215CAA" w:rsidRPr="00231804">
        <w:rPr>
          <w:lang w:val="en-US" w:eastAsia="zh-CN"/>
        </w:rPr>
        <w:t>2021</w:t>
      </w:r>
      <w:r w:rsidR="00027A04" w:rsidRPr="00231804">
        <w:rPr>
          <w:lang w:val="en-US" w:eastAsia="zh-CN"/>
        </w:rPr>
        <w:t>年</w:t>
      </w:r>
      <w:r w:rsidR="00027A04" w:rsidRPr="00231804">
        <w:rPr>
          <w:lang w:val="en-US" w:eastAsia="zh-CN"/>
        </w:rPr>
        <w:t>2,228,000</w:t>
      </w:r>
      <w:r w:rsidR="00027A04" w:rsidRPr="00231804">
        <w:rPr>
          <w:lang w:val="en-US" w:eastAsia="zh-CN"/>
        </w:rPr>
        <w:t>瑞郎</w:t>
      </w:r>
      <w:bookmarkEnd w:id="7"/>
    </w:p>
    <w:p w14:paraId="73824BF6" w14:textId="69F35AA1" w:rsidR="00215CAA" w:rsidRPr="00231804" w:rsidRDefault="00231804" w:rsidP="00231804">
      <w:pPr>
        <w:pStyle w:val="enumlev2"/>
        <w:rPr>
          <w:lang w:val="en-US" w:eastAsia="zh-CN"/>
        </w:rPr>
      </w:pPr>
      <w:bookmarkStart w:id="8" w:name="lt_pId037"/>
      <w:r w:rsidRPr="00231804">
        <w:rPr>
          <w:lang w:val="en-US" w:eastAsia="zh-CN"/>
        </w:rPr>
        <w:t>–</w:t>
      </w:r>
      <w:r>
        <w:rPr>
          <w:lang w:val="en-US" w:eastAsia="zh-CN"/>
        </w:rPr>
        <w:tab/>
      </w:r>
      <w:r w:rsidR="00215CAA" w:rsidRPr="00231804">
        <w:rPr>
          <w:lang w:val="en-US" w:eastAsia="zh-CN"/>
        </w:rPr>
        <w:t>2022-2023</w:t>
      </w:r>
      <w:r w:rsidR="00027A04" w:rsidRPr="00231804">
        <w:rPr>
          <w:lang w:val="en-US" w:eastAsia="zh-CN"/>
        </w:rPr>
        <w:t>年</w:t>
      </w:r>
      <w:r w:rsidR="00027A04" w:rsidRPr="00231804">
        <w:rPr>
          <w:lang w:val="en-US" w:eastAsia="zh-CN"/>
        </w:rPr>
        <w:t>7,534,000</w:t>
      </w:r>
      <w:r w:rsidR="00027A04" w:rsidRPr="00231804">
        <w:rPr>
          <w:lang w:val="en-US" w:eastAsia="zh-CN"/>
        </w:rPr>
        <w:t>瑞郎</w:t>
      </w:r>
      <w:bookmarkEnd w:id="8"/>
    </w:p>
    <w:p w14:paraId="68A91C0B" w14:textId="37E8C97A" w:rsidR="00215CAA" w:rsidRPr="00231804" w:rsidRDefault="00231804" w:rsidP="00231804">
      <w:pPr>
        <w:pStyle w:val="enumlev2"/>
        <w:rPr>
          <w:lang w:val="en-US" w:eastAsia="zh-CN"/>
        </w:rPr>
      </w:pPr>
      <w:bookmarkStart w:id="9" w:name="lt_pId038"/>
      <w:r w:rsidRPr="00231804">
        <w:rPr>
          <w:lang w:val="en-US" w:eastAsia="zh-CN"/>
        </w:rPr>
        <w:t>–</w:t>
      </w:r>
      <w:r>
        <w:rPr>
          <w:lang w:val="en-US" w:eastAsia="zh-CN"/>
        </w:rPr>
        <w:tab/>
      </w:r>
      <w:r w:rsidR="00215CAA" w:rsidRPr="00231804">
        <w:rPr>
          <w:lang w:val="en-US" w:eastAsia="zh-CN"/>
        </w:rPr>
        <w:t>2024-2027</w:t>
      </w:r>
      <w:bookmarkEnd w:id="9"/>
      <w:r w:rsidR="00027A04" w:rsidRPr="00231804">
        <w:rPr>
          <w:lang w:val="en-US" w:eastAsia="zh-CN"/>
        </w:rPr>
        <w:t>年</w:t>
      </w:r>
      <w:r w:rsidR="00027A04" w:rsidRPr="00231804">
        <w:rPr>
          <w:lang w:val="en-US" w:eastAsia="zh-CN"/>
        </w:rPr>
        <w:t>12,736,000</w:t>
      </w:r>
      <w:r w:rsidR="00027A04" w:rsidRPr="00231804">
        <w:rPr>
          <w:lang w:val="en-US" w:eastAsia="zh-CN"/>
        </w:rPr>
        <w:t>瑞郎</w:t>
      </w:r>
    </w:p>
    <w:p w14:paraId="3AA5BF9E" w14:textId="77777777" w:rsidR="00215CAA" w:rsidRPr="00215CAA" w:rsidRDefault="00215CAA" w:rsidP="00215C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59" w:lineRule="auto"/>
        <w:contextualSpacing/>
        <w:textAlignment w:val="auto"/>
        <w:rPr>
          <w:rFonts w:eastAsiaTheme="minorEastAsia" w:cs="Calibri"/>
          <w:sz w:val="22"/>
          <w:szCs w:val="24"/>
          <w:lang w:val="en-US" w:eastAsia="zh-CN"/>
        </w:rPr>
      </w:pPr>
    </w:p>
    <w:p w14:paraId="4D0CA908" w14:textId="6A5A489E" w:rsidR="00215CAA" w:rsidRPr="00215CAA" w:rsidRDefault="00215CAA" w:rsidP="00215C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59" w:lineRule="auto"/>
        <w:contextualSpacing/>
        <w:textAlignment w:val="auto"/>
        <w:rPr>
          <w:rFonts w:eastAsiaTheme="minorEastAsia" w:cs="Calibri"/>
          <w:b/>
          <w:color w:val="800000"/>
          <w:sz w:val="22"/>
          <w:szCs w:val="24"/>
          <w:lang w:val="en-US" w:eastAsia="zh-CN"/>
        </w:rPr>
        <w:sectPr w:rsidR="00215CAA" w:rsidRPr="00215CAA" w:rsidSect="004D1851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9BD7C4F" w14:textId="225A8679" w:rsidR="00215CAA" w:rsidRPr="00215CAA" w:rsidRDefault="00FD3502" w:rsidP="00215C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</w:rPr>
      </w:pPr>
      <w:bookmarkStart w:id="10" w:name="lt_pId040"/>
      <w:r w:rsidRPr="00FD3502">
        <w:rPr>
          <w:rFonts w:ascii="SimSun" w:hAnsi="SimSun" w:cs="SimSun" w:hint="eastAsia"/>
          <w:lang w:eastAsia="zh-CN"/>
        </w:rPr>
        <w:lastRenderedPageBreak/>
        <w:t>表</w:t>
      </w:r>
      <w:r w:rsidRPr="00215CAA">
        <w:rPr>
          <w:rFonts w:eastAsia="Times New Roman" w:cs="Calibri"/>
        </w:rPr>
        <w:t>1</w:t>
      </w:r>
      <w:bookmarkEnd w:id="10"/>
    </w:p>
    <w:p w14:paraId="1DD63180" w14:textId="25108EEC" w:rsidR="00215CAA" w:rsidRDefault="00E9621B" w:rsidP="00215C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120" w:line="259" w:lineRule="auto"/>
        <w:jc w:val="center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 w:hint="eastAsia"/>
          <w:color w:val="000000"/>
          <w:lang w:eastAsia="zh-CN"/>
        </w:rPr>
        <w:t>2021-202</w:t>
      </w:r>
      <w:r w:rsidR="00FA3302">
        <w:rPr>
          <w:rFonts w:asciiTheme="minorHAnsi" w:hAnsiTheme="minorHAnsi" w:cstheme="minorHAnsi" w:hint="eastAsia"/>
          <w:color w:val="000000"/>
          <w:lang w:eastAsia="zh-CN"/>
        </w:rPr>
        <w:t>7</w:t>
      </w:r>
      <w:r w:rsidR="00FA3302">
        <w:rPr>
          <w:rFonts w:asciiTheme="minorHAnsi" w:hAnsiTheme="minorHAnsi" w:cstheme="minorHAnsi" w:hint="eastAsia"/>
          <w:color w:val="000000"/>
          <w:lang w:eastAsia="zh-CN"/>
        </w:rPr>
        <w:t>年</w:t>
      </w:r>
      <w:r w:rsidRPr="00E9621B">
        <w:rPr>
          <w:rFonts w:asciiTheme="minorHAnsi" w:hAnsiTheme="minorHAnsi" w:cstheme="minorHAnsi"/>
          <w:color w:val="000000"/>
          <w:lang w:eastAsia="zh-CN"/>
        </w:rPr>
        <w:t>已获授权</w:t>
      </w:r>
      <w:r w:rsidR="00027A04">
        <w:rPr>
          <w:rFonts w:asciiTheme="minorHAnsi" w:hAnsiTheme="minorHAnsi" w:cstheme="minorHAnsi" w:hint="eastAsia"/>
          <w:color w:val="000000"/>
          <w:lang w:eastAsia="zh-CN"/>
        </w:rPr>
        <w:t>，</w:t>
      </w:r>
      <w:r w:rsidRPr="00E9621B">
        <w:rPr>
          <w:rFonts w:asciiTheme="minorHAnsi" w:hAnsiTheme="minorHAnsi" w:cstheme="minorHAnsi"/>
          <w:color w:val="000000"/>
          <w:lang w:eastAsia="zh-CN"/>
        </w:rPr>
        <w:t>但无资金的活动（</w:t>
      </w:r>
      <w:r w:rsidRPr="00E9621B">
        <w:rPr>
          <w:rFonts w:asciiTheme="minorHAnsi" w:hAnsiTheme="minorHAnsi" w:cstheme="minorHAnsi"/>
          <w:color w:val="000000"/>
          <w:lang w:eastAsia="zh-CN"/>
        </w:rPr>
        <w:t>UMAC</w:t>
      </w:r>
      <w:r w:rsidRPr="00E9621B">
        <w:rPr>
          <w:rFonts w:asciiTheme="minorHAnsi" w:hAnsiTheme="minorHAnsi" w:cstheme="minorHAnsi"/>
          <w:color w:val="000000"/>
          <w:lang w:eastAsia="zh-CN"/>
        </w:rPr>
        <w:t>）</w:t>
      </w:r>
      <w:r w:rsidR="00FA3302">
        <w:rPr>
          <w:rFonts w:asciiTheme="minorHAnsi" w:hAnsiTheme="minorHAnsi" w:cstheme="minorHAnsi" w:hint="eastAsia"/>
          <w:color w:val="000000"/>
          <w:lang w:eastAsia="zh-CN"/>
        </w:rPr>
        <w:t>估算</w:t>
      </w:r>
    </w:p>
    <w:p w14:paraId="0747B706" w14:textId="6B1F9BB8" w:rsidR="008B098B" w:rsidRPr="00215CAA" w:rsidRDefault="008B098B" w:rsidP="00215C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120" w:line="259" w:lineRule="auto"/>
        <w:jc w:val="center"/>
        <w:rPr>
          <w:rFonts w:asciiTheme="minorHAnsi" w:eastAsia="Times New Roman" w:hAnsiTheme="minorHAnsi" w:cstheme="minorHAnsi"/>
          <w:noProof/>
          <w:lang w:eastAsia="zh-CN"/>
        </w:rPr>
      </w:pPr>
      <w:r w:rsidRPr="008B098B">
        <w:rPr>
          <w:rFonts w:hint="eastAsia"/>
          <w:noProof/>
        </w:rPr>
        <w:drawing>
          <wp:inline distT="0" distB="0" distL="0" distR="0" wp14:anchorId="1A9046B2" wp14:editId="2346245E">
            <wp:extent cx="8888730" cy="514858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B3CD" w14:textId="168912A0" w:rsidR="00791E2F" w:rsidRPr="00791E2F" w:rsidRDefault="00791E2F" w:rsidP="00791E2F">
      <w:pPr>
        <w:jc w:val="center"/>
      </w:pPr>
      <w:r>
        <w:t>______________</w:t>
      </w:r>
    </w:p>
    <w:sectPr w:rsidR="00791E2F" w:rsidRPr="00791E2F" w:rsidSect="00215CAA">
      <w:headerReference w:type="default" r:id="rId19"/>
      <w:footerReference w:type="default" r:id="rId20"/>
      <w:headerReference w:type="firs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E56C" w14:textId="77777777" w:rsidR="00C60761" w:rsidRDefault="00C60761">
      <w:r>
        <w:separator/>
      </w:r>
    </w:p>
  </w:endnote>
  <w:endnote w:type="continuationSeparator" w:id="0">
    <w:p w14:paraId="01AE13B6" w14:textId="77777777" w:rsidR="00C60761" w:rsidRDefault="00C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F95D" w14:textId="558DC848" w:rsidR="00215CAA" w:rsidRPr="00A96D90" w:rsidRDefault="00A96D90" w:rsidP="00215CAA">
    <w:pPr>
      <w:pStyle w:val="Footer"/>
      <w:rPr>
        <w:color w:val="F2F2F2" w:themeColor="background1" w:themeShade="F2"/>
      </w:rPr>
    </w:pPr>
    <w:r w:rsidRPr="00A96D90">
      <w:rPr>
        <w:color w:val="F2F2F2" w:themeColor="background1" w:themeShade="F2"/>
      </w:rPr>
      <w:fldChar w:fldCharType="begin"/>
    </w:r>
    <w:r w:rsidRPr="00A96D90">
      <w:rPr>
        <w:color w:val="F2F2F2" w:themeColor="background1" w:themeShade="F2"/>
      </w:rPr>
      <w:instrText xml:space="preserve"> FILENAME \p  \* MERGEFORMAT </w:instrText>
    </w:r>
    <w:r w:rsidRPr="00A96D90">
      <w:rPr>
        <w:color w:val="F2F2F2" w:themeColor="background1" w:themeShade="F2"/>
      </w:rPr>
      <w:fldChar w:fldCharType="separate"/>
    </w:r>
    <w:r w:rsidR="008B098B" w:rsidRPr="00A96D90">
      <w:rPr>
        <w:color w:val="F2F2F2" w:themeColor="background1" w:themeShade="F2"/>
      </w:rPr>
      <w:t>P:\CHI\SG\CONSEIL\C21\000\049C.docx</w:t>
    </w:r>
    <w:r w:rsidRPr="00A96D90">
      <w:rPr>
        <w:color w:val="F2F2F2" w:themeColor="background1" w:themeShade="F2"/>
      </w:rPr>
      <w:fldChar w:fldCharType="end"/>
    </w:r>
    <w:r w:rsidR="00215CAA" w:rsidRPr="00A96D90">
      <w:rPr>
        <w:color w:val="F2F2F2" w:themeColor="background1" w:themeShade="F2"/>
      </w:rPr>
      <w:t xml:space="preserve"> (</w:t>
    </w:r>
    <w:r w:rsidR="00215CAA" w:rsidRPr="00A96D90">
      <w:rPr>
        <w:rFonts w:hint="eastAsia"/>
        <w:color w:val="F2F2F2" w:themeColor="background1" w:themeShade="F2"/>
      </w:rPr>
      <w:t>483245</w:t>
    </w:r>
    <w:r w:rsidR="00215CAA" w:rsidRPr="00A96D90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AFF" w14:textId="77777777" w:rsidR="00215CAA" w:rsidRDefault="00215CAA" w:rsidP="00CF134B">
    <w:pPr>
      <w:spacing w:after="120"/>
      <w:jc w:val="center"/>
    </w:pPr>
    <w:r>
      <w:t xml:space="preserve">• </w:t>
    </w:r>
    <w:hyperlink r:id="rId1" w:history="1">
      <w:r w:rsidRPr="00215CAA">
        <w:rPr>
          <w:rStyle w:val="Hyperlink"/>
        </w:rPr>
        <w:t>http:</w:t>
      </w:r>
    </w:hyperlink>
    <w:hyperlink r:id="rId2" w:history="1">
      <w:r w:rsidRPr="00215CAA">
        <w:rPr>
          <w:rStyle w:val="Hyperlink"/>
        </w:rPr>
        <w:t>//www.itu.int/council</w:t>
      </w:r>
    </w:hyperlink>
    <w:r w:rsidRPr="00215CAA"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603" w14:textId="105B7781" w:rsidR="00B40A53" w:rsidRPr="004E4BFF" w:rsidRDefault="00E90381" w:rsidP="00F705DF">
    <w:pPr>
      <w:pStyle w:val="Footer"/>
    </w:pPr>
    <w:fldSimple w:instr=" FILENAME \p  \* MERGEFORMAT ">
      <w:r w:rsidR="00215CAA">
        <w:t>P:\TRAD\C\SG\CONSEIL\C21\049C-montage.docx</w:t>
      </w:r>
    </w:fldSimple>
    <w:r w:rsidR="004E4BFF">
      <w:t xml:space="preserve"> (</w:t>
    </w:r>
    <w:r w:rsidR="00D64A8C">
      <w:t>48</w:t>
    </w:r>
    <w:r w:rsidR="003F249A">
      <w:rPr>
        <w:rFonts w:hint="eastAsia"/>
        <w:lang w:eastAsia="zh-CN"/>
      </w:rPr>
      <w:t>32</w:t>
    </w:r>
    <w:r w:rsidR="00215CAA">
      <w:rPr>
        <w:rFonts w:hint="eastAsia"/>
        <w:lang w:eastAsia="zh-CN"/>
      </w:rPr>
      <w:t>45</w:t>
    </w:r>
    <w:r w:rsidR="004E4BFF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8973" w14:textId="0950C0A5" w:rsidR="00215CAA" w:rsidRPr="006848DD" w:rsidRDefault="00E90381" w:rsidP="00215CAA">
    <w:pPr>
      <w:pStyle w:val="Footer"/>
    </w:pPr>
    <w:r w:rsidRPr="00A96D90">
      <w:rPr>
        <w:color w:val="F2F2F2" w:themeColor="background1" w:themeShade="F2"/>
      </w:rPr>
      <w:fldChar w:fldCharType="begin"/>
    </w:r>
    <w:r w:rsidRPr="00A96D90">
      <w:rPr>
        <w:color w:val="F2F2F2" w:themeColor="background1" w:themeShade="F2"/>
      </w:rPr>
      <w:instrText xml:space="preserve"> FILENAME \p  \* MERGEFORMAT </w:instrText>
    </w:r>
    <w:r w:rsidRPr="00A96D90">
      <w:rPr>
        <w:color w:val="F2F2F2" w:themeColor="background1" w:themeShade="F2"/>
      </w:rPr>
      <w:fldChar w:fldCharType="separate"/>
    </w:r>
    <w:r w:rsidR="008B098B" w:rsidRPr="00A96D90">
      <w:rPr>
        <w:color w:val="F2F2F2" w:themeColor="background1" w:themeShade="F2"/>
      </w:rPr>
      <w:t>P:\CHI\SG\CONSEIL\C21\000\049C.docx</w:t>
    </w:r>
    <w:r w:rsidRPr="00A96D90">
      <w:rPr>
        <w:color w:val="F2F2F2" w:themeColor="background1" w:themeShade="F2"/>
      </w:rPr>
      <w:fldChar w:fldCharType="end"/>
    </w:r>
    <w:r w:rsidR="00215CAA" w:rsidRPr="00A96D90">
      <w:rPr>
        <w:color w:val="F2F2F2" w:themeColor="background1" w:themeShade="F2"/>
      </w:rPr>
      <w:t xml:space="preserve"> (</w:t>
    </w:r>
    <w:r w:rsidR="00215CAA" w:rsidRPr="00A96D90">
      <w:rPr>
        <w:rFonts w:hint="eastAsia"/>
        <w:color w:val="F2F2F2" w:themeColor="background1" w:themeShade="F2"/>
        <w:lang w:eastAsia="zh-CN"/>
      </w:rPr>
      <w:t>483245</w:t>
    </w:r>
    <w:r w:rsidR="00215CAA" w:rsidRPr="00A96D90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215B" w14:textId="77777777" w:rsidR="00C60761" w:rsidRDefault="00C60761">
      <w:r>
        <w:t>____________________</w:t>
      </w:r>
    </w:p>
  </w:footnote>
  <w:footnote w:type="continuationSeparator" w:id="0">
    <w:p w14:paraId="16732EB6" w14:textId="77777777" w:rsidR="00C60761" w:rsidRDefault="00C6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30C" w14:textId="77777777" w:rsidR="00215CAA" w:rsidRDefault="00215CAA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6BD7C4" w14:textId="5EF62B18" w:rsidR="00215CAA" w:rsidRPr="00623AE3" w:rsidRDefault="00215CAA" w:rsidP="00D338E0">
    <w:pPr>
      <w:pStyle w:val="Header"/>
      <w:rPr>
        <w:bCs/>
      </w:rPr>
    </w:pPr>
    <w:r w:rsidRPr="00215CAA">
      <w:rPr>
        <w:bCs/>
      </w:rPr>
      <w:t>C21/49-</w:t>
    </w:r>
    <w:r w:rsidRPr="00215CAA">
      <w:rPr>
        <w:rFonts w:hint="eastAsia"/>
        <w:bCs/>
        <w:lang w:eastAsia="zh-CN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68C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B246F">
      <w:rPr>
        <w:noProof/>
      </w:rPr>
      <w:t>2</w:t>
    </w:r>
    <w:r>
      <w:rPr>
        <w:noProof/>
      </w:rPr>
      <w:fldChar w:fldCharType="end"/>
    </w:r>
  </w:p>
  <w:p w14:paraId="6C37E0C8" w14:textId="29124EF1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215CAA">
      <w:rPr>
        <w:rFonts w:hint="eastAsia"/>
        <w:lang w:eastAsia="zh-CN"/>
      </w:rPr>
      <w:t>49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C8BD" w14:textId="77777777" w:rsidR="00215CAA" w:rsidRDefault="00215CAA" w:rsidP="00215CAA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2A1CE942" w14:textId="77777777" w:rsidR="00215CAA" w:rsidRDefault="00215CAA" w:rsidP="00215CAA">
    <w:pPr>
      <w:pStyle w:val="Header"/>
    </w:pPr>
    <w:r w:rsidRPr="00215CAA">
      <w:rPr>
        <w:bCs/>
      </w:rPr>
      <w:t>C21/49-</w:t>
    </w:r>
    <w:r w:rsidRPr="00215CAA">
      <w:rPr>
        <w:rFonts w:hint="eastAsia"/>
        <w:bCs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17866"/>
    <w:multiLevelType w:val="hybridMultilevel"/>
    <w:tmpl w:val="076E6E5E"/>
    <w:lvl w:ilvl="0" w:tplc="F68CEC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324B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A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6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B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1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69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3561"/>
    <w:multiLevelType w:val="hybridMultilevel"/>
    <w:tmpl w:val="C8142D46"/>
    <w:lvl w:ilvl="0" w:tplc="49D294EE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FBB63934">
      <w:start w:val="1"/>
      <w:numFmt w:val="lowerLetter"/>
      <w:lvlText w:val="%2."/>
      <w:lvlJc w:val="left"/>
      <w:pPr>
        <w:ind w:left="2861" w:hanging="360"/>
      </w:pPr>
    </w:lvl>
    <w:lvl w:ilvl="2" w:tplc="F498EB6C" w:tentative="1">
      <w:start w:val="1"/>
      <w:numFmt w:val="lowerRoman"/>
      <w:lvlText w:val="%3."/>
      <w:lvlJc w:val="right"/>
      <w:pPr>
        <w:ind w:left="3581" w:hanging="180"/>
      </w:pPr>
    </w:lvl>
    <w:lvl w:ilvl="3" w:tplc="14881E28" w:tentative="1">
      <w:start w:val="1"/>
      <w:numFmt w:val="decimal"/>
      <w:lvlText w:val="%4."/>
      <w:lvlJc w:val="left"/>
      <w:pPr>
        <w:ind w:left="4301" w:hanging="360"/>
      </w:pPr>
    </w:lvl>
    <w:lvl w:ilvl="4" w:tplc="55D8DA6E" w:tentative="1">
      <w:start w:val="1"/>
      <w:numFmt w:val="lowerLetter"/>
      <w:lvlText w:val="%5."/>
      <w:lvlJc w:val="left"/>
      <w:pPr>
        <w:ind w:left="5021" w:hanging="360"/>
      </w:pPr>
    </w:lvl>
    <w:lvl w:ilvl="5" w:tplc="3C526136" w:tentative="1">
      <w:start w:val="1"/>
      <w:numFmt w:val="lowerRoman"/>
      <w:lvlText w:val="%6."/>
      <w:lvlJc w:val="right"/>
      <w:pPr>
        <w:ind w:left="5741" w:hanging="180"/>
      </w:pPr>
    </w:lvl>
    <w:lvl w:ilvl="6" w:tplc="AC6676F8" w:tentative="1">
      <w:start w:val="1"/>
      <w:numFmt w:val="decimal"/>
      <w:lvlText w:val="%7."/>
      <w:lvlJc w:val="left"/>
      <w:pPr>
        <w:ind w:left="6461" w:hanging="360"/>
      </w:pPr>
    </w:lvl>
    <w:lvl w:ilvl="7" w:tplc="72E2AC86" w:tentative="1">
      <w:start w:val="1"/>
      <w:numFmt w:val="lowerLetter"/>
      <w:lvlText w:val="%8."/>
      <w:lvlJc w:val="left"/>
      <w:pPr>
        <w:ind w:left="7181" w:hanging="360"/>
      </w:pPr>
    </w:lvl>
    <w:lvl w:ilvl="8" w:tplc="06B809FE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9"/>
    <w:rsid w:val="00001B77"/>
    <w:rsid w:val="0000517A"/>
    <w:rsid w:val="00027A04"/>
    <w:rsid w:val="00031E72"/>
    <w:rsid w:val="000404D2"/>
    <w:rsid w:val="00051965"/>
    <w:rsid w:val="00083AEF"/>
    <w:rsid w:val="000853C0"/>
    <w:rsid w:val="0009409E"/>
    <w:rsid w:val="000A1C21"/>
    <w:rsid w:val="000D15EA"/>
    <w:rsid w:val="00100D84"/>
    <w:rsid w:val="001163C9"/>
    <w:rsid w:val="00124C9D"/>
    <w:rsid w:val="00151B15"/>
    <w:rsid w:val="00157773"/>
    <w:rsid w:val="001623C9"/>
    <w:rsid w:val="0017191F"/>
    <w:rsid w:val="0018251A"/>
    <w:rsid w:val="00183554"/>
    <w:rsid w:val="00190272"/>
    <w:rsid w:val="00193244"/>
    <w:rsid w:val="00195C6C"/>
    <w:rsid w:val="00195FED"/>
    <w:rsid w:val="001A2005"/>
    <w:rsid w:val="001A4BD6"/>
    <w:rsid w:val="001A76C2"/>
    <w:rsid w:val="001B14F4"/>
    <w:rsid w:val="001D5A18"/>
    <w:rsid w:val="001D7C1B"/>
    <w:rsid w:val="00215CAA"/>
    <w:rsid w:val="00231804"/>
    <w:rsid w:val="00280EB8"/>
    <w:rsid w:val="00283AB5"/>
    <w:rsid w:val="002A6670"/>
    <w:rsid w:val="002E57DB"/>
    <w:rsid w:val="0030086E"/>
    <w:rsid w:val="00303502"/>
    <w:rsid w:val="00325C25"/>
    <w:rsid w:val="00361EA7"/>
    <w:rsid w:val="00367D84"/>
    <w:rsid w:val="00372C8F"/>
    <w:rsid w:val="00380ECE"/>
    <w:rsid w:val="003933D6"/>
    <w:rsid w:val="00393DDF"/>
    <w:rsid w:val="00397F55"/>
    <w:rsid w:val="003B4454"/>
    <w:rsid w:val="003C2E37"/>
    <w:rsid w:val="003E3DDE"/>
    <w:rsid w:val="003F1415"/>
    <w:rsid w:val="003F249A"/>
    <w:rsid w:val="0040144C"/>
    <w:rsid w:val="00403EB7"/>
    <w:rsid w:val="00430BF0"/>
    <w:rsid w:val="004672E6"/>
    <w:rsid w:val="00474ED1"/>
    <w:rsid w:val="00493085"/>
    <w:rsid w:val="004A36EC"/>
    <w:rsid w:val="004C61C8"/>
    <w:rsid w:val="004D163F"/>
    <w:rsid w:val="004E4BFF"/>
    <w:rsid w:val="004F14D4"/>
    <w:rsid w:val="004F2598"/>
    <w:rsid w:val="00513E19"/>
    <w:rsid w:val="005403F7"/>
    <w:rsid w:val="00540632"/>
    <w:rsid w:val="00541CF4"/>
    <w:rsid w:val="005451E8"/>
    <w:rsid w:val="005507F2"/>
    <w:rsid w:val="005759CC"/>
    <w:rsid w:val="005A72E1"/>
    <w:rsid w:val="005B246F"/>
    <w:rsid w:val="005C6632"/>
    <w:rsid w:val="005D1C9E"/>
    <w:rsid w:val="005D62DC"/>
    <w:rsid w:val="00604908"/>
    <w:rsid w:val="006238A6"/>
    <w:rsid w:val="006430BF"/>
    <w:rsid w:val="00654257"/>
    <w:rsid w:val="0065435A"/>
    <w:rsid w:val="00664BC0"/>
    <w:rsid w:val="0067251E"/>
    <w:rsid w:val="006806FA"/>
    <w:rsid w:val="006814B9"/>
    <w:rsid w:val="006A2DD3"/>
    <w:rsid w:val="006A5AF8"/>
    <w:rsid w:val="006C36CD"/>
    <w:rsid w:val="006D2CEA"/>
    <w:rsid w:val="00700D1F"/>
    <w:rsid w:val="0070408A"/>
    <w:rsid w:val="007155D1"/>
    <w:rsid w:val="007205CB"/>
    <w:rsid w:val="00726073"/>
    <w:rsid w:val="00734FE8"/>
    <w:rsid w:val="007360CE"/>
    <w:rsid w:val="007613FB"/>
    <w:rsid w:val="00772315"/>
    <w:rsid w:val="00775157"/>
    <w:rsid w:val="007813AE"/>
    <w:rsid w:val="00791E2F"/>
    <w:rsid w:val="007A0B0B"/>
    <w:rsid w:val="007A37DB"/>
    <w:rsid w:val="007D0D78"/>
    <w:rsid w:val="007E189D"/>
    <w:rsid w:val="00811259"/>
    <w:rsid w:val="00813AA2"/>
    <w:rsid w:val="00814209"/>
    <w:rsid w:val="008173A3"/>
    <w:rsid w:val="008272ED"/>
    <w:rsid w:val="00831FD6"/>
    <w:rsid w:val="008418F5"/>
    <w:rsid w:val="00843F66"/>
    <w:rsid w:val="0086059C"/>
    <w:rsid w:val="00862BE9"/>
    <w:rsid w:val="00864589"/>
    <w:rsid w:val="00890AFB"/>
    <w:rsid w:val="00890FC4"/>
    <w:rsid w:val="00895905"/>
    <w:rsid w:val="008B098B"/>
    <w:rsid w:val="008B0A77"/>
    <w:rsid w:val="00911867"/>
    <w:rsid w:val="009164A9"/>
    <w:rsid w:val="009258CB"/>
    <w:rsid w:val="0093362E"/>
    <w:rsid w:val="00944563"/>
    <w:rsid w:val="00953160"/>
    <w:rsid w:val="009625D8"/>
    <w:rsid w:val="00980E1F"/>
    <w:rsid w:val="0098459B"/>
    <w:rsid w:val="00997185"/>
    <w:rsid w:val="009C2458"/>
    <w:rsid w:val="009C4A7B"/>
    <w:rsid w:val="009C6123"/>
    <w:rsid w:val="009C6AB5"/>
    <w:rsid w:val="009F1E3E"/>
    <w:rsid w:val="009F4214"/>
    <w:rsid w:val="00A1213C"/>
    <w:rsid w:val="00A272FF"/>
    <w:rsid w:val="00A5354B"/>
    <w:rsid w:val="00A71B57"/>
    <w:rsid w:val="00A96D90"/>
    <w:rsid w:val="00AB42C1"/>
    <w:rsid w:val="00AC516F"/>
    <w:rsid w:val="00AE2926"/>
    <w:rsid w:val="00AE3547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6C26"/>
    <w:rsid w:val="00B81E75"/>
    <w:rsid w:val="00B82A12"/>
    <w:rsid w:val="00B848E8"/>
    <w:rsid w:val="00BC52D9"/>
    <w:rsid w:val="00BD1A5A"/>
    <w:rsid w:val="00BD5D60"/>
    <w:rsid w:val="00BD7A9B"/>
    <w:rsid w:val="00BD7BE1"/>
    <w:rsid w:val="00BF416B"/>
    <w:rsid w:val="00C60761"/>
    <w:rsid w:val="00C64E4E"/>
    <w:rsid w:val="00C66E64"/>
    <w:rsid w:val="00C761A0"/>
    <w:rsid w:val="00C85F7E"/>
    <w:rsid w:val="00C90D53"/>
    <w:rsid w:val="00CC3E31"/>
    <w:rsid w:val="00CD47F0"/>
    <w:rsid w:val="00CD5566"/>
    <w:rsid w:val="00CD64D7"/>
    <w:rsid w:val="00CE6F22"/>
    <w:rsid w:val="00CF41F6"/>
    <w:rsid w:val="00CF7D3E"/>
    <w:rsid w:val="00D02B4E"/>
    <w:rsid w:val="00D12AA6"/>
    <w:rsid w:val="00D21F11"/>
    <w:rsid w:val="00D36817"/>
    <w:rsid w:val="00D453EE"/>
    <w:rsid w:val="00D5666C"/>
    <w:rsid w:val="00D64A8C"/>
    <w:rsid w:val="00D666BC"/>
    <w:rsid w:val="00D83542"/>
    <w:rsid w:val="00D92F45"/>
    <w:rsid w:val="00D94637"/>
    <w:rsid w:val="00D9725C"/>
    <w:rsid w:val="00DA69A2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0381"/>
    <w:rsid w:val="00E9621B"/>
    <w:rsid w:val="00EA4789"/>
    <w:rsid w:val="00EB4CE4"/>
    <w:rsid w:val="00EE5706"/>
    <w:rsid w:val="00EF373D"/>
    <w:rsid w:val="00EF6E28"/>
    <w:rsid w:val="00F11595"/>
    <w:rsid w:val="00F13BC9"/>
    <w:rsid w:val="00F276F2"/>
    <w:rsid w:val="00F33F2D"/>
    <w:rsid w:val="00F350AE"/>
    <w:rsid w:val="00F357B2"/>
    <w:rsid w:val="00F36556"/>
    <w:rsid w:val="00F574B7"/>
    <w:rsid w:val="00F705DF"/>
    <w:rsid w:val="00F70622"/>
    <w:rsid w:val="00F85624"/>
    <w:rsid w:val="00F87C05"/>
    <w:rsid w:val="00F93191"/>
    <w:rsid w:val="00F93A17"/>
    <w:rsid w:val="00FA2AF6"/>
    <w:rsid w:val="00FA3302"/>
    <w:rsid w:val="00FB073D"/>
    <w:rsid w:val="00FB771F"/>
    <w:rsid w:val="00FC5386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4D435B0"/>
  <w15:docId w15:val="{D02058A2-58D6-4C0F-816C-A7EA563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WSIS">
    <w:name w:val="normal WSIS"/>
    <w:basedOn w:val="ListParagraph"/>
    <w:link w:val="normalWSISChar"/>
    <w:qFormat/>
    <w:rsid w:val="00791E2F"/>
    <w:pPr>
      <w:numPr>
        <w:numId w:val="8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791E2F"/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8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6E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8B0A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INF-0009/en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INF-0012/en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INF-0009/e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4/en" TargetMode="External"/><Relationship Id="rId14" Type="http://schemas.openxmlformats.org/officeDocument/2006/relationships/hyperlink" Target="https://www.itu.int/md/S21-CL-INF-0012/en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council" TargetMode="External"/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6522-9ABD-4998-A923-78201F3D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0</TotalTime>
  <Pages>3</Pages>
  <Words>547</Words>
  <Characters>716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2021-2027 unfunded mandatory activities (UMACS)</dc:title>
  <dc:subject>Council 2021, Virtual consultation of councillors</dc:subject>
  <dc:creator>Tang, Ting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2021-05-06T18:45:00Z</dcterms:created>
  <dcterms:modified xsi:type="dcterms:W3CDTF">2021-05-06T18:45:00Z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