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D5419" w14:paraId="3BD8AB0D" w14:textId="77777777">
        <w:trPr>
          <w:cantSplit/>
        </w:trPr>
        <w:tc>
          <w:tcPr>
            <w:tcW w:w="6912" w:type="dxa"/>
          </w:tcPr>
          <w:p w14:paraId="4C0EB8E0" w14:textId="77777777" w:rsidR="00093EEB" w:rsidRPr="00BD5419" w:rsidRDefault="00093EEB" w:rsidP="00C2727F">
            <w:pPr>
              <w:spacing w:before="360"/>
              <w:rPr>
                <w:szCs w:val="24"/>
              </w:rPr>
            </w:pPr>
            <w:bookmarkStart w:id="0" w:name="dc06"/>
            <w:bookmarkStart w:id="1" w:name="dbluepink" w:colFirst="0" w:colLast="0"/>
            <w:bookmarkEnd w:id="0"/>
            <w:r w:rsidRPr="00BD5419">
              <w:rPr>
                <w:b/>
                <w:bCs/>
                <w:sz w:val="30"/>
                <w:szCs w:val="30"/>
              </w:rPr>
              <w:t>Consejo 20</w:t>
            </w:r>
            <w:r w:rsidR="007955DA" w:rsidRPr="00BD5419">
              <w:rPr>
                <w:b/>
                <w:bCs/>
                <w:sz w:val="30"/>
                <w:szCs w:val="30"/>
              </w:rPr>
              <w:t>2</w:t>
            </w:r>
            <w:r w:rsidR="000007D1" w:rsidRPr="00BD5419">
              <w:rPr>
                <w:b/>
                <w:bCs/>
                <w:sz w:val="30"/>
                <w:szCs w:val="30"/>
              </w:rPr>
              <w:t>1</w:t>
            </w:r>
            <w:r w:rsidRPr="00BD5419">
              <w:rPr>
                <w:b/>
                <w:bCs/>
                <w:sz w:val="26"/>
                <w:szCs w:val="26"/>
              </w:rPr>
              <w:br/>
            </w:r>
            <w:bookmarkStart w:id="2" w:name="lt_pId446"/>
            <w:r w:rsidR="000007D1" w:rsidRPr="00BD5419">
              <w:rPr>
                <w:b/>
                <w:bCs/>
                <w:sz w:val="26"/>
                <w:szCs w:val="26"/>
              </w:rPr>
              <w:t>Consulta virtual de los consejeros</w:t>
            </w:r>
            <w:bookmarkEnd w:id="2"/>
            <w:r w:rsidRPr="00BD5419">
              <w:rPr>
                <w:b/>
                <w:bCs/>
                <w:sz w:val="26"/>
                <w:szCs w:val="26"/>
              </w:rPr>
              <w:t xml:space="preserve">, </w:t>
            </w:r>
            <w:r w:rsidR="000007D1" w:rsidRPr="00BD5419">
              <w:rPr>
                <w:b/>
                <w:bCs/>
                <w:sz w:val="26"/>
                <w:szCs w:val="26"/>
              </w:rPr>
              <w:t>8</w:t>
            </w:r>
            <w:r w:rsidRPr="00BD5419">
              <w:rPr>
                <w:b/>
                <w:bCs/>
                <w:sz w:val="26"/>
                <w:szCs w:val="26"/>
              </w:rPr>
              <w:t>-</w:t>
            </w:r>
            <w:r w:rsidR="007955DA" w:rsidRPr="00BD5419">
              <w:rPr>
                <w:b/>
                <w:bCs/>
                <w:sz w:val="26"/>
                <w:szCs w:val="26"/>
              </w:rPr>
              <w:t>1</w:t>
            </w:r>
            <w:r w:rsidR="000007D1" w:rsidRPr="00BD5419">
              <w:rPr>
                <w:b/>
                <w:bCs/>
                <w:sz w:val="26"/>
                <w:szCs w:val="26"/>
              </w:rPr>
              <w:t>8</w:t>
            </w:r>
            <w:r w:rsidRPr="00BD5419">
              <w:rPr>
                <w:b/>
                <w:bCs/>
                <w:sz w:val="26"/>
                <w:szCs w:val="26"/>
              </w:rPr>
              <w:t xml:space="preserve"> de </w:t>
            </w:r>
            <w:r w:rsidR="00C2727F" w:rsidRPr="00BD5419">
              <w:rPr>
                <w:b/>
                <w:bCs/>
                <w:sz w:val="26"/>
                <w:szCs w:val="26"/>
              </w:rPr>
              <w:t>junio</w:t>
            </w:r>
            <w:r w:rsidRPr="00BD5419">
              <w:rPr>
                <w:b/>
                <w:bCs/>
                <w:sz w:val="26"/>
                <w:szCs w:val="26"/>
              </w:rPr>
              <w:t xml:space="preserve"> de 20</w:t>
            </w:r>
            <w:r w:rsidR="007955DA" w:rsidRPr="00BD5419">
              <w:rPr>
                <w:b/>
                <w:bCs/>
                <w:sz w:val="26"/>
                <w:szCs w:val="26"/>
              </w:rPr>
              <w:t>2</w:t>
            </w:r>
            <w:r w:rsidR="000007D1" w:rsidRPr="00BD5419">
              <w:rPr>
                <w:b/>
                <w:bCs/>
                <w:sz w:val="26"/>
                <w:szCs w:val="26"/>
              </w:rPr>
              <w:t>1</w:t>
            </w:r>
          </w:p>
        </w:tc>
        <w:tc>
          <w:tcPr>
            <w:tcW w:w="3261" w:type="dxa"/>
          </w:tcPr>
          <w:p w14:paraId="6BD740AA" w14:textId="77777777" w:rsidR="00093EEB" w:rsidRPr="00BD5419" w:rsidRDefault="007955DA" w:rsidP="007955DA">
            <w:pPr>
              <w:spacing w:before="0"/>
              <w:rPr>
                <w:szCs w:val="24"/>
              </w:rPr>
            </w:pPr>
            <w:bookmarkStart w:id="3" w:name="ditulogo"/>
            <w:bookmarkEnd w:id="3"/>
            <w:r w:rsidRPr="00BD5419">
              <w:rPr>
                <w:noProof/>
                <w:lang w:eastAsia="zh-CN"/>
              </w:rPr>
              <w:drawing>
                <wp:inline distT="0" distB="0" distL="0" distR="0" wp14:anchorId="2CDC0549" wp14:editId="0FC393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D5419" w14:paraId="2816DCC8" w14:textId="77777777">
        <w:trPr>
          <w:cantSplit/>
          <w:trHeight w:val="20"/>
        </w:trPr>
        <w:tc>
          <w:tcPr>
            <w:tcW w:w="10173" w:type="dxa"/>
            <w:gridSpan w:val="2"/>
            <w:tcBorders>
              <w:bottom w:val="single" w:sz="12" w:space="0" w:color="auto"/>
            </w:tcBorders>
          </w:tcPr>
          <w:p w14:paraId="0226DDC7" w14:textId="77777777" w:rsidR="00093EEB" w:rsidRPr="00BD5419" w:rsidRDefault="00093EEB">
            <w:pPr>
              <w:spacing w:before="0"/>
              <w:rPr>
                <w:b/>
                <w:bCs/>
                <w:szCs w:val="24"/>
              </w:rPr>
            </w:pPr>
          </w:p>
        </w:tc>
      </w:tr>
      <w:tr w:rsidR="00093EEB" w:rsidRPr="00BD5419" w14:paraId="04B93BAB" w14:textId="77777777">
        <w:trPr>
          <w:cantSplit/>
          <w:trHeight w:val="20"/>
        </w:trPr>
        <w:tc>
          <w:tcPr>
            <w:tcW w:w="6912" w:type="dxa"/>
            <w:tcBorders>
              <w:top w:val="single" w:sz="12" w:space="0" w:color="auto"/>
            </w:tcBorders>
          </w:tcPr>
          <w:p w14:paraId="1020B50F" w14:textId="77777777" w:rsidR="00093EEB" w:rsidRPr="00BD5419"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1CEC71B" w14:textId="77777777" w:rsidR="00093EEB" w:rsidRPr="00BD5419" w:rsidRDefault="00093EEB">
            <w:pPr>
              <w:spacing w:before="0"/>
              <w:rPr>
                <w:b/>
                <w:bCs/>
                <w:szCs w:val="24"/>
              </w:rPr>
            </w:pPr>
          </w:p>
        </w:tc>
      </w:tr>
      <w:tr w:rsidR="00093EEB" w:rsidRPr="00BD5419" w14:paraId="6170ECA6" w14:textId="77777777">
        <w:trPr>
          <w:cantSplit/>
          <w:trHeight w:val="20"/>
        </w:trPr>
        <w:tc>
          <w:tcPr>
            <w:tcW w:w="6912" w:type="dxa"/>
            <w:shd w:val="clear" w:color="auto" w:fill="auto"/>
          </w:tcPr>
          <w:p w14:paraId="5132AEF7" w14:textId="10EC787D" w:rsidR="00093EEB" w:rsidRPr="00BD5419" w:rsidRDefault="008813FA">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BD5419">
              <w:rPr>
                <w:rFonts w:cs="Times"/>
                <w:b/>
                <w:szCs w:val="24"/>
              </w:rPr>
              <w:t>Punto del orden del día: ADM 20</w:t>
            </w:r>
          </w:p>
        </w:tc>
        <w:tc>
          <w:tcPr>
            <w:tcW w:w="3261" w:type="dxa"/>
          </w:tcPr>
          <w:p w14:paraId="206F1B24" w14:textId="5862A3D5" w:rsidR="00093EEB" w:rsidRPr="00BD5419" w:rsidRDefault="00093EEB" w:rsidP="00C2727F">
            <w:pPr>
              <w:spacing w:before="0"/>
              <w:rPr>
                <w:b/>
                <w:bCs/>
                <w:szCs w:val="24"/>
              </w:rPr>
            </w:pPr>
            <w:r w:rsidRPr="00BD5419">
              <w:rPr>
                <w:b/>
                <w:bCs/>
                <w:szCs w:val="24"/>
              </w:rPr>
              <w:t>Documento C</w:t>
            </w:r>
            <w:r w:rsidR="007955DA" w:rsidRPr="00BD5419">
              <w:rPr>
                <w:b/>
                <w:bCs/>
                <w:szCs w:val="24"/>
              </w:rPr>
              <w:t>2</w:t>
            </w:r>
            <w:r w:rsidR="000007D1" w:rsidRPr="00BD5419">
              <w:rPr>
                <w:b/>
                <w:bCs/>
                <w:szCs w:val="24"/>
              </w:rPr>
              <w:t>1</w:t>
            </w:r>
            <w:r w:rsidRPr="00BD5419">
              <w:rPr>
                <w:b/>
                <w:bCs/>
                <w:szCs w:val="24"/>
              </w:rPr>
              <w:t>/</w:t>
            </w:r>
            <w:r w:rsidR="008813FA" w:rsidRPr="00BD5419">
              <w:rPr>
                <w:b/>
                <w:bCs/>
                <w:szCs w:val="24"/>
              </w:rPr>
              <w:t>48</w:t>
            </w:r>
            <w:r w:rsidRPr="00BD5419">
              <w:rPr>
                <w:b/>
                <w:bCs/>
                <w:szCs w:val="24"/>
              </w:rPr>
              <w:t>-S</w:t>
            </w:r>
          </w:p>
        </w:tc>
      </w:tr>
      <w:tr w:rsidR="00093EEB" w:rsidRPr="00BD5419" w14:paraId="5497FF29" w14:textId="77777777">
        <w:trPr>
          <w:cantSplit/>
          <w:trHeight w:val="20"/>
        </w:trPr>
        <w:tc>
          <w:tcPr>
            <w:tcW w:w="6912" w:type="dxa"/>
            <w:shd w:val="clear" w:color="auto" w:fill="auto"/>
          </w:tcPr>
          <w:p w14:paraId="44337B77" w14:textId="77777777" w:rsidR="00093EEB" w:rsidRPr="00BD5419" w:rsidRDefault="00093EEB">
            <w:pPr>
              <w:shd w:val="solid" w:color="FFFFFF" w:fill="FFFFFF"/>
              <w:spacing w:before="0"/>
              <w:rPr>
                <w:smallCaps/>
                <w:szCs w:val="24"/>
              </w:rPr>
            </w:pPr>
            <w:bookmarkStart w:id="6" w:name="ddate" w:colFirst="1" w:colLast="1"/>
            <w:bookmarkEnd w:id="4"/>
            <w:bookmarkEnd w:id="5"/>
          </w:p>
        </w:tc>
        <w:tc>
          <w:tcPr>
            <w:tcW w:w="3261" w:type="dxa"/>
          </w:tcPr>
          <w:p w14:paraId="061451EF" w14:textId="2CC51810" w:rsidR="00093EEB" w:rsidRPr="00BD5419" w:rsidRDefault="008813FA" w:rsidP="00C2727F">
            <w:pPr>
              <w:spacing w:before="0"/>
              <w:rPr>
                <w:b/>
                <w:bCs/>
                <w:szCs w:val="24"/>
              </w:rPr>
            </w:pPr>
            <w:r w:rsidRPr="00BD5419">
              <w:rPr>
                <w:b/>
                <w:bCs/>
                <w:szCs w:val="24"/>
              </w:rPr>
              <w:t>26 de marzo</w:t>
            </w:r>
            <w:r w:rsidR="00093EEB" w:rsidRPr="00BD5419">
              <w:rPr>
                <w:b/>
                <w:bCs/>
                <w:szCs w:val="24"/>
              </w:rPr>
              <w:t xml:space="preserve"> de 20</w:t>
            </w:r>
            <w:r w:rsidR="007955DA" w:rsidRPr="00BD5419">
              <w:rPr>
                <w:b/>
                <w:bCs/>
                <w:szCs w:val="24"/>
              </w:rPr>
              <w:t>2</w:t>
            </w:r>
            <w:r w:rsidR="000007D1" w:rsidRPr="00BD5419">
              <w:rPr>
                <w:b/>
                <w:bCs/>
                <w:szCs w:val="24"/>
              </w:rPr>
              <w:t>1</w:t>
            </w:r>
          </w:p>
        </w:tc>
      </w:tr>
      <w:tr w:rsidR="00093EEB" w:rsidRPr="00BD5419" w14:paraId="12460F9E" w14:textId="77777777">
        <w:trPr>
          <w:cantSplit/>
          <w:trHeight w:val="20"/>
        </w:trPr>
        <w:tc>
          <w:tcPr>
            <w:tcW w:w="6912" w:type="dxa"/>
            <w:shd w:val="clear" w:color="auto" w:fill="auto"/>
          </w:tcPr>
          <w:p w14:paraId="6624B0B8" w14:textId="77777777" w:rsidR="00093EEB" w:rsidRPr="00BD5419" w:rsidRDefault="00093EEB">
            <w:pPr>
              <w:shd w:val="solid" w:color="FFFFFF" w:fill="FFFFFF"/>
              <w:spacing w:before="0"/>
              <w:rPr>
                <w:smallCaps/>
                <w:szCs w:val="24"/>
              </w:rPr>
            </w:pPr>
            <w:bookmarkStart w:id="7" w:name="dorlang" w:colFirst="1" w:colLast="1"/>
            <w:bookmarkEnd w:id="6"/>
          </w:p>
        </w:tc>
        <w:tc>
          <w:tcPr>
            <w:tcW w:w="3261" w:type="dxa"/>
          </w:tcPr>
          <w:p w14:paraId="289C611B" w14:textId="77777777" w:rsidR="00093EEB" w:rsidRPr="00BD5419" w:rsidRDefault="00093EEB" w:rsidP="00093EEB">
            <w:pPr>
              <w:spacing w:before="0"/>
              <w:rPr>
                <w:b/>
                <w:bCs/>
                <w:szCs w:val="24"/>
              </w:rPr>
            </w:pPr>
            <w:r w:rsidRPr="00BD5419">
              <w:rPr>
                <w:b/>
                <w:bCs/>
                <w:szCs w:val="24"/>
              </w:rPr>
              <w:t>Original: inglés</w:t>
            </w:r>
          </w:p>
        </w:tc>
      </w:tr>
      <w:tr w:rsidR="00093EEB" w:rsidRPr="00BD5419" w14:paraId="24773EFC" w14:textId="77777777">
        <w:trPr>
          <w:cantSplit/>
        </w:trPr>
        <w:tc>
          <w:tcPr>
            <w:tcW w:w="10173" w:type="dxa"/>
            <w:gridSpan w:val="2"/>
          </w:tcPr>
          <w:p w14:paraId="24D1ECD4" w14:textId="6969D7CE" w:rsidR="00093EEB" w:rsidRPr="00BD5419" w:rsidRDefault="008813FA">
            <w:pPr>
              <w:pStyle w:val="Source"/>
            </w:pPr>
            <w:bookmarkStart w:id="8" w:name="dsource" w:colFirst="0" w:colLast="0"/>
            <w:bookmarkEnd w:id="1"/>
            <w:bookmarkEnd w:id="7"/>
            <w:r w:rsidRPr="00BD5419">
              <w:t>Nota del Secretario General</w:t>
            </w:r>
          </w:p>
        </w:tc>
      </w:tr>
      <w:tr w:rsidR="00093EEB" w:rsidRPr="00BD5419" w14:paraId="67B1B27F" w14:textId="77777777">
        <w:trPr>
          <w:cantSplit/>
        </w:trPr>
        <w:tc>
          <w:tcPr>
            <w:tcW w:w="10173" w:type="dxa"/>
            <w:gridSpan w:val="2"/>
          </w:tcPr>
          <w:p w14:paraId="0DB80558" w14:textId="6AAE4ADB" w:rsidR="00093EEB" w:rsidRPr="00BD5419" w:rsidRDefault="008813FA" w:rsidP="008813FA">
            <w:pPr>
              <w:pStyle w:val="Title1"/>
            </w:pPr>
            <w:bookmarkStart w:id="9" w:name="dtitle1" w:colFirst="0" w:colLast="0"/>
            <w:bookmarkEnd w:id="8"/>
            <w:r w:rsidRPr="00BD5419">
              <w:t>INFORME RESUMIDO DE LOS TRABAJOS DEL GRUPO ASESOR</w:t>
            </w:r>
            <w:r w:rsidRPr="00BD5419">
              <w:br/>
              <w:t>DE LOS ESTADOS MIEMBROS SOBRE EL PROYECTO DE SEDE DE LA UNIÓN</w:t>
            </w:r>
          </w:p>
        </w:tc>
      </w:tr>
    </w:tbl>
    <w:p w14:paraId="00C7CCC4" w14:textId="77777777" w:rsidR="008813FA" w:rsidRPr="00BD5419" w:rsidRDefault="008813FA" w:rsidP="008813FA">
      <w:pPr>
        <w:pStyle w:val="Normalaftertitle"/>
        <w:spacing w:before="1200"/>
      </w:pPr>
      <w:bookmarkStart w:id="10" w:name="lt_pId014"/>
      <w:bookmarkEnd w:id="9"/>
      <w:r w:rsidRPr="00BD5419">
        <w:t xml:space="preserve">Tengo el honor de transmitir a los Estados Miembros del Consejo el Informe resumido de los trabajos del </w:t>
      </w:r>
      <w:r w:rsidRPr="00BD5419">
        <w:rPr>
          <w:b/>
          <w:bCs/>
        </w:rPr>
        <w:t>Grupo Asesor de los Estados Miembros (GAEM)</w:t>
      </w:r>
      <w:r w:rsidRPr="00BD5419">
        <w:t>.</w:t>
      </w:r>
      <w:bookmarkEnd w:id="10"/>
    </w:p>
    <w:p w14:paraId="0C0739EC" w14:textId="77777777" w:rsidR="008813FA" w:rsidRPr="00BD5419" w:rsidRDefault="008813FA" w:rsidP="008813FA">
      <w:pPr>
        <w:tabs>
          <w:tab w:val="clear" w:pos="567"/>
          <w:tab w:val="clear" w:pos="1134"/>
          <w:tab w:val="clear" w:pos="1701"/>
          <w:tab w:val="clear" w:pos="2268"/>
          <w:tab w:val="clear" w:pos="2835"/>
          <w:tab w:val="left" w:pos="4962"/>
          <w:tab w:val="center" w:pos="7513"/>
        </w:tabs>
        <w:spacing w:before="960"/>
        <w:rPr>
          <w:rFonts w:asciiTheme="minorHAnsi" w:hAnsiTheme="minorHAnsi"/>
        </w:rPr>
      </w:pPr>
      <w:r w:rsidRPr="00BD5419">
        <w:rPr>
          <w:rFonts w:asciiTheme="minorHAnsi" w:hAnsiTheme="minorHAnsi"/>
        </w:rPr>
        <w:tab/>
      </w:r>
      <w:r w:rsidRPr="00BD5419">
        <w:rPr>
          <w:rFonts w:asciiTheme="minorHAnsi" w:hAnsiTheme="minorHAnsi"/>
        </w:rPr>
        <w:tab/>
      </w:r>
      <w:bookmarkStart w:id="11" w:name="lt_pId015"/>
      <w:r w:rsidRPr="00BD5419">
        <w:rPr>
          <w:rFonts w:asciiTheme="minorHAnsi" w:hAnsiTheme="minorHAnsi"/>
        </w:rPr>
        <w:t>Houlin ZHAO</w:t>
      </w:r>
      <w:bookmarkEnd w:id="11"/>
      <w:r w:rsidRPr="00BD5419">
        <w:rPr>
          <w:rFonts w:asciiTheme="minorHAnsi" w:hAnsiTheme="minorHAnsi"/>
        </w:rPr>
        <w:br/>
      </w:r>
      <w:r w:rsidRPr="00BD5419">
        <w:rPr>
          <w:rFonts w:asciiTheme="minorHAnsi" w:hAnsiTheme="minorHAnsi"/>
        </w:rPr>
        <w:tab/>
      </w:r>
      <w:r w:rsidRPr="00BD5419">
        <w:rPr>
          <w:rFonts w:asciiTheme="minorHAnsi" w:hAnsiTheme="minorHAnsi"/>
        </w:rPr>
        <w:tab/>
      </w:r>
      <w:bookmarkStart w:id="12" w:name="lt_pId016"/>
      <w:r w:rsidRPr="00BD5419">
        <w:rPr>
          <w:rFonts w:asciiTheme="minorHAnsi" w:hAnsiTheme="minorHAnsi"/>
        </w:rPr>
        <w:t>Secretario General</w:t>
      </w:r>
      <w:bookmarkEnd w:id="12"/>
    </w:p>
    <w:p w14:paraId="0C45C77D" w14:textId="77777777" w:rsidR="008813FA" w:rsidRPr="00BD5419" w:rsidRDefault="008813FA" w:rsidP="008813FA">
      <w:pPr>
        <w:tabs>
          <w:tab w:val="clear" w:pos="567"/>
          <w:tab w:val="clear" w:pos="1134"/>
          <w:tab w:val="clear" w:pos="1701"/>
          <w:tab w:val="clear" w:pos="2268"/>
          <w:tab w:val="clear" w:pos="2835"/>
          <w:tab w:val="left" w:pos="1641"/>
        </w:tabs>
      </w:pPr>
      <w:r w:rsidRPr="00BD5419">
        <w:br w:type="page"/>
      </w:r>
    </w:p>
    <w:p w14:paraId="6A0C5C84" w14:textId="29DBC735" w:rsidR="008813FA" w:rsidRPr="00BD5419" w:rsidRDefault="008813FA" w:rsidP="008813FA">
      <w:pPr>
        <w:pStyle w:val="Title1"/>
      </w:pPr>
      <w:r w:rsidRPr="00BD5419">
        <w:lastRenderedPageBreak/>
        <w:t>Informe resumido de los trabajos del grupo asesor</w:t>
      </w:r>
      <w:r w:rsidRPr="00BD5419">
        <w:br/>
        <w:t>de los estados miembros sobre el proyecto de sede de la unión</w:t>
      </w:r>
    </w:p>
    <w:p w14:paraId="27198E73" w14:textId="77777777" w:rsidR="00093EEB" w:rsidRPr="00BD5419"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D5419" w14:paraId="01B37C1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A7AA33A" w14:textId="77777777" w:rsidR="00093EEB" w:rsidRPr="00BD5419" w:rsidRDefault="00093EEB">
            <w:pPr>
              <w:pStyle w:val="Headingb"/>
            </w:pPr>
            <w:r w:rsidRPr="00BD5419">
              <w:t>Resumen</w:t>
            </w:r>
          </w:p>
          <w:p w14:paraId="6DD4AC8D" w14:textId="377297F1" w:rsidR="00093EEB" w:rsidRPr="00BD5419" w:rsidRDefault="008813FA">
            <w:r w:rsidRPr="00BD5419">
              <w:t>En este documento se presenta un Informe resumido de los trabajos del Grupo Asesor de los Estados Miembros sobre el proyecto de Sede de la Unión (GAEM) desde el último informe presentado al Consejo.</w:t>
            </w:r>
          </w:p>
          <w:p w14:paraId="12EC9E2D" w14:textId="77777777" w:rsidR="00093EEB" w:rsidRPr="00BD5419" w:rsidRDefault="00093EEB">
            <w:pPr>
              <w:pStyle w:val="Headingb"/>
            </w:pPr>
            <w:r w:rsidRPr="00BD5419">
              <w:t>Acción solicitada</w:t>
            </w:r>
          </w:p>
          <w:p w14:paraId="1A7CEF0E" w14:textId="0A216C43" w:rsidR="00093EEB" w:rsidRPr="00BD5419" w:rsidRDefault="008813FA">
            <w:r w:rsidRPr="00BD5419">
              <w:t xml:space="preserve">Se invita al Consejo a </w:t>
            </w:r>
            <w:r w:rsidRPr="00BD5419">
              <w:rPr>
                <w:b/>
                <w:bCs/>
              </w:rPr>
              <w:t>tomar nota</w:t>
            </w:r>
            <w:r w:rsidRPr="00BD5419">
              <w:t xml:space="preserve"> del Informe y a facilitar las orientaciones que considere pertinentes.</w:t>
            </w:r>
          </w:p>
          <w:p w14:paraId="45EBA33C" w14:textId="77777777" w:rsidR="00093EEB" w:rsidRPr="00BD5419" w:rsidRDefault="00093EEB">
            <w:pPr>
              <w:pStyle w:val="Table"/>
              <w:keepNext w:val="0"/>
              <w:spacing w:before="0" w:after="0"/>
              <w:rPr>
                <w:caps w:val="0"/>
                <w:sz w:val="22"/>
                <w:lang w:val="es-ES_tradnl"/>
              </w:rPr>
            </w:pPr>
            <w:r w:rsidRPr="00BD5419">
              <w:rPr>
                <w:caps w:val="0"/>
                <w:sz w:val="22"/>
                <w:lang w:val="es-ES_tradnl"/>
              </w:rPr>
              <w:t>____________</w:t>
            </w:r>
          </w:p>
          <w:p w14:paraId="7BE202A5" w14:textId="77777777" w:rsidR="00093EEB" w:rsidRPr="00BD5419" w:rsidRDefault="00093EEB">
            <w:pPr>
              <w:pStyle w:val="Headingb"/>
            </w:pPr>
            <w:r w:rsidRPr="00BD5419">
              <w:t>Referencia</w:t>
            </w:r>
          </w:p>
          <w:bookmarkStart w:id="13" w:name="lt_pId024"/>
          <w:p w14:paraId="288C6995" w14:textId="0AA8524B" w:rsidR="00093EEB" w:rsidRPr="00BD5419" w:rsidRDefault="008813FA">
            <w:pPr>
              <w:spacing w:after="120"/>
              <w:rPr>
                <w:i/>
                <w:iCs/>
              </w:rPr>
            </w:pPr>
            <w:r w:rsidRPr="00BD5419">
              <w:rPr>
                <w:rFonts w:ascii="Times New Roman" w:hAnsi="Times New Roman"/>
                <w:szCs w:val="24"/>
                <w:lang w:eastAsia="es-ES_tradnl"/>
              </w:rPr>
              <w:fldChar w:fldCharType="begin"/>
            </w:r>
            <w:r w:rsidRPr="00BD5419">
              <w:rPr>
                <w:rFonts w:ascii="Times New Roman" w:hAnsi="Times New Roman"/>
                <w:szCs w:val="24"/>
                <w:lang w:eastAsia="es-ES_tradnl"/>
              </w:rPr>
              <w:instrText xml:space="preserve"> HYPERLINK "https://www.itu.int/md/S16-CL-C-0124/es" </w:instrText>
            </w:r>
            <w:r w:rsidRPr="00BD5419">
              <w:rPr>
                <w:rFonts w:ascii="Times New Roman" w:hAnsi="Times New Roman"/>
                <w:szCs w:val="24"/>
                <w:lang w:eastAsia="es-ES_tradnl"/>
              </w:rPr>
              <w:fldChar w:fldCharType="separate"/>
            </w:r>
            <w:r w:rsidRPr="00BD5419">
              <w:rPr>
                <w:rStyle w:val="Hyperlink"/>
                <w:i/>
                <w:iCs/>
              </w:rPr>
              <w:t>Acuerdo</w:t>
            </w:r>
            <w:r w:rsidRPr="00BD5419">
              <w:rPr>
                <w:rStyle w:val="Hyperlink"/>
                <w:rFonts w:asciiTheme="minorHAnsi" w:hAnsiTheme="minorHAnsi"/>
                <w:i/>
                <w:iCs/>
              </w:rPr>
              <w:t xml:space="preserve"> 588</w:t>
            </w:r>
            <w:r w:rsidRPr="00BD5419">
              <w:rPr>
                <w:rStyle w:val="Hyperlink"/>
                <w:i/>
                <w:iCs/>
              </w:rPr>
              <w:t xml:space="preserve"> del Consejo</w:t>
            </w:r>
            <w:r w:rsidRPr="00BD5419">
              <w:rPr>
                <w:rFonts w:ascii="Times New Roman" w:hAnsi="Times New Roman"/>
                <w:szCs w:val="24"/>
                <w:lang w:eastAsia="es-ES_tradnl"/>
              </w:rPr>
              <w:fldChar w:fldCharType="end"/>
            </w:r>
            <w:r w:rsidRPr="00BD5419">
              <w:rPr>
                <w:rFonts w:asciiTheme="minorHAnsi" w:hAnsiTheme="minorHAnsi"/>
                <w:i/>
                <w:iCs/>
              </w:rPr>
              <w:t xml:space="preserve">, </w:t>
            </w:r>
            <w:hyperlink r:id="rId8" w:history="1">
              <w:r w:rsidRPr="00BD5419">
                <w:rPr>
                  <w:rStyle w:val="Hyperlink"/>
                  <w:rFonts w:asciiTheme="minorHAnsi" w:hAnsiTheme="minorHAnsi"/>
                  <w:i/>
                  <w:iCs/>
                </w:rPr>
                <w:t>Acuerdo 619 del Consejo</w:t>
              </w:r>
            </w:hyperlink>
            <w:r w:rsidRPr="00BD5419">
              <w:rPr>
                <w:rFonts w:asciiTheme="minorHAnsi" w:hAnsiTheme="minorHAnsi"/>
                <w:i/>
                <w:iCs/>
              </w:rPr>
              <w:t xml:space="preserve">, </w:t>
            </w:r>
            <w:hyperlink r:id="rId9" w:history="1">
              <w:r w:rsidRPr="00BD5419">
                <w:rPr>
                  <w:rStyle w:val="Hyperlink"/>
                  <w:rFonts w:asciiTheme="minorHAnsi" w:hAnsiTheme="minorHAnsi"/>
                  <w:i/>
                  <w:iCs/>
                </w:rPr>
                <w:t>Resolución 212 (Dubái, 2018)</w:t>
              </w:r>
            </w:hyperlink>
            <w:r w:rsidRPr="00BD5419">
              <w:t xml:space="preserve">, </w:t>
            </w:r>
            <w:hyperlink r:id="rId10" w:history="1">
              <w:r w:rsidRPr="00BD5419">
                <w:rPr>
                  <w:rStyle w:val="Hyperlink"/>
                  <w:rFonts w:asciiTheme="minorHAnsi" w:hAnsiTheme="minorHAnsi"/>
                  <w:i/>
                  <w:iCs/>
                </w:rPr>
                <w:t>C19/48</w:t>
              </w:r>
              <w:bookmarkEnd w:id="13"/>
            </w:hyperlink>
            <w:r w:rsidRPr="00BD5419">
              <w:t xml:space="preserve">, </w:t>
            </w:r>
            <w:hyperlink r:id="rId11" w:history="1">
              <w:r w:rsidRPr="00BD5419">
                <w:rPr>
                  <w:rStyle w:val="Hyperlink"/>
                  <w:rFonts w:asciiTheme="minorHAnsi" w:hAnsiTheme="minorHAnsi"/>
                  <w:bCs/>
                  <w:i/>
                  <w:iCs/>
                </w:rPr>
                <w:t>C20/48</w:t>
              </w:r>
            </w:hyperlink>
          </w:p>
          <w:p w14:paraId="2DBB3380" w14:textId="77777777" w:rsidR="00093EEB" w:rsidRPr="00BD5419" w:rsidRDefault="00093EEB">
            <w:pPr>
              <w:spacing w:after="120"/>
              <w:rPr>
                <w:i/>
                <w:iCs/>
              </w:rPr>
            </w:pPr>
          </w:p>
        </w:tc>
      </w:tr>
    </w:tbl>
    <w:p w14:paraId="56D87DAD" w14:textId="77777777" w:rsidR="008813FA" w:rsidRPr="00BD5419" w:rsidRDefault="008813FA" w:rsidP="008813FA">
      <w:pPr>
        <w:pStyle w:val="Heading1"/>
      </w:pPr>
      <w:r w:rsidRPr="00BD5419">
        <w:t>1</w:t>
      </w:r>
      <w:r w:rsidRPr="00BD5419">
        <w:tab/>
      </w:r>
      <w:bookmarkStart w:id="14" w:name="lt_pId029"/>
      <w:proofErr w:type="gramStart"/>
      <w:r w:rsidRPr="00BD5419">
        <w:t>Resumen</w:t>
      </w:r>
      <w:proofErr w:type="gramEnd"/>
      <w:r w:rsidRPr="00BD5419">
        <w:t xml:space="preserve"> de las reuniones recientes del GAEM</w:t>
      </w:r>
      <w:bookmarkEnd w:id="14"/>
    </w:p>
    <w:p w14:paraId="4A5A4052" w14:textId="0FAF48D9" w:rsidR="008813FA" w:rsidRPr="00BD5419" w:rsidRDefault="008813FA" w:rsidP="008813FA">
      <w:bookmarkStart w:id="15" w:name="lt_pId030"/>
      <w:r w:rsidRPr="00BD5419">
        <w:t xml:space="preserve">Desde el informe a la sesión de noviembre de 2020 de la consulta virtual de los consejeros, recogido en el Documento </w:t>
      </w:r>
      <w:hyperlink r:id="rId12" w:history="1">
        <w:r w:rsidRPr="00BD5419">
          <w:rPr>
            <w:rStyle w:val="Hyperlink"/>
            <w:rFonts w:asciiTheme="minorHAnsi" w:hAnsiTheme="minorHAnsi"/>
          </w:rPr>
          <w:t>C20/48</w:t>
        </w:r>
      </w:hyperlink>
      <w:r w:rsidRPr="00BD5419">
        <w:t>, se han celebrado dos reuniones del Grupo Asesor de los Estados Miembros sobre el proyecto de Sede de la Unión (GAEM). Fueron reuniones virtuales celebradas el 12 de noviembre de 2020 y el 25 de febrero de 2021, con el Sr. Greg Ratta (Estados Unidos)</w:t>
      </w:r>
      <w:r w:rsidRPr="00BD5419">
        <w:rPr>
          <w:rFonts w:asciiTheme="minorHAnsi" w:hAnsiTheme="minorHAnsi"/>
          <w:spacing w:val="-4"/>
        </w:rPr>
        <w:t xml:space="preserve"> como </w:t>
      </w:r>
      <w:proofErr w:type="gramStart"/>
      <w:r w:rsidRPr="00BD5419">
        <w:rPr>
          <w:rFonts w:asciiTheme="minorHAnsi" w:hAnsiTheme="minorHAnsi"/>
          <w:spacing w:val="-4"/>
        </w:rPr>
        <w:t>Presidente</w:t>
      </w:r>
      <w:proofErr w:type="gramEnd"/>
      <w:r w:rsidRPr="00BD5419">
        <w:t xml:space="preserve">. </w:t>
      </w:r>
      <w:r w:rsidRPr="00BD5419">
        <w:rPr>
          <w:rFonts w:asciiTheme="minorHAnsi" w:hAnsiTheme="minorHAnsi"/>
        </w:rPr>
        <w:t xml:space="preserve">Los informes completos de esas reuniones pueden consultarse en el siguiente enlace: </w:t>
      </w:r>
      <w:hyperlink r:id="rId13" w:history="1">
        <w:r w:rsidRPr="00BD5419">
          <w:rPr>
            <w:rStyle w:val="Hyperlink"/>
            <w:rFonts w:asciiTheme="minorHAnsi" w:hAnsiTheme="minorHAnsi"/>
          </w:rPr>
          <w:t>https://www.itu.int/es/hq-building/Pages/default.aspx</w:t>
        </w:r>
      </w:hyperlink>
      <w:r w:rsidRPr="00BD5419">
        <w:t xml:space="preserve"> (protegidos por </w:t>
      </w:r>
      <w:r w:rsidRPr="00BD5419">
        <w:rPr>
          <w:rFonts w:asciiTheme="minorHAnsi" w:hAnsiTheme="minorHAnsi"/>
        </w:rPr>
        <w:t xml:space="preserve">el sistema </w:t>
      </w:r>
      <w:r w:rsidRPr="00BD5419">
        <w:t>TIES). Esas reuniones se resumen a continuación.</w:t>
      </w:r>
    </w:p>
    <w:p w14:paraId="036267E7" w14:textId="69769A4B" w:rsidR="008813FA" w:rsidRPr="00BD5419" w:rsidRDefault="008813FA" w:rsidP="008813FA">
      <w:r w:rsidRPr="00BD5419">
        <w:t>1.1</w:t>
      </w:r>
      <w:r w:rsidRPr="00BD5419">
        <w:tab/>
        <w:t xml:space="preserve">En la </w:t>
      </w:r>
      <w:r w:rsidRPr="00BD5419">
        <w:rPr>
          <w:b/>
          <w:bCs/>
        </w:rPr>
        <w:t>12ª reunión</w:t>
      </w:r>
      <w:r w:rsidRPr="00BD5419">
        <w:t xml:space="preserve"> (12 de noviembre de 2020) del GAEM se debatió el informe sobre los avances registrados en el proyecto, que figura en el Documento C20/7R1, se examinaron los nueve puntos del registro de riesgos que se habían revisado a lo largo de agosto y septiembre, se solicitaron aclaraciones respecto del informe de SPG Intercity que figura en los Documentos </w:t>
      </w:r>
      <w:hyperlink r:id="rId14" w:history="1">
        <w:r w:rsidRPr="00BD5419">
          <w:rPr>
            <w:rStyle w:val="Hyperlink"/>
            <w:rFonts w:asciiTheme="minorHAnsi" w:hAnsiTheme="minorHAnsi" w:cstheme="minorHAnsi"/>
          </w:rPr>
          <w:t>C20/77</w:t>
        </w:r>
      </w:hyperlink>
      <w:r w:rsidRPr="00BD5419">
        <w:t xml:space="preserve"> y </w:t>
      </w:r>
      <w:hyperlink r:id="rId15" w:history="1">
        <w:r w:rsidRPr="00BD5419">
          <w:rPr>
            <w:rStyle w:val="Hyperlink"/>
            <w:rFonts w:asciiTheme="minorHAnsi" w:hAnsiTheme="minorHAnsi" w:cstheme="minorHAnsi"/>
          </w:rPr>
          <w:t>C20/INF/20</w:t>
        </w:r>
      </w:hyperlink>
      <w:r w:rsidRPr="00BD5419">
        <w:t xml:space="preserve"> sobre la estrategia para comercializar la Torre de manera óptima, y se abordaron las consecuencias de la COVID-19 en el diseño, descritas en el Documento </w:t>
      </w:r>
      <w:hyperlink r:id="rId16" w:history="1">
        <w:r w:rsidRPr="00BD5419">
          <w:rPr>
            <w:rStyle w:val="Hyperlink"/>
            <w:rFonts w:asciiTheme="minorHAnsi" w:hAnsiTheme="minorHAnsi" w:cstheme="minorHAnsi"/>
          </w:rPr>
          <w:t>C20/INF/21</w:t>
        </w:r>
      </w:hyperlink>
      <w:r w:rsidRPr="00BD5419">
        <w:t>.</w:t>
      </w:r>
    </w:p>
    <w:p w14:paraId="7138C1C9" w14:textId="63AAEFF6" w:rsidR="008813FA" w:rsidRPr="00BD5419" w:rsidRDefault="008813FA" w:rsidP="008813FA">
      <w:bookmarkStart w:id="16" w:name="lt_pId032"/>
      <w:r w:rsidRPr="00BD5419">
        <w:t xml:space="preserve">Cabe recordar que un registro de riesgos es una herramienta que constituye una de las mejores prácticas de gestión de proyectos para identificar y gestionar los riesgos. Los registros de riesgos documentan las respuestas a la pregunta </w:t>
      </w:r>
      <w:r w:rsidR="004E3FD4" w:rsidRPr="00BD5419">
        <w:t>"</w:t>
      </w:r>
      <w:r w:rsidRPr="00BD5419">
        <w:t>¿qué sucedería si &lt;x&gt; ocurriera, y cuánto costaría?</w:t>
      </w:r>
      <w:r w:rsidR="004E3FD4" w:rsidRPr="00BD5419">
        <w:t>"</w:t>
      </w:r>
      <w:r w:rsidRPr="00BD5419">
        <w:t>. Los puntos examinados durante esa reunión se centraron en las posibles repercusiones de la pandemia de COVID-19 en el diseño del nuevo edificio de la Sede o en su calendario de construcción, el estado de las disposiciones de seguridad fuera del perímetro de la parcela de la</w:t>
      </w:r>
      <w:r w:rsidR="004E3FD4" w:rsidRPr="00BD5419">
        <w:t> </w:t>
      </w:r>
      <w:r w:rsidRPr="00BD5419">
        <w:t>UIT y la maximización del valor de la Torre en su venta.</w:t>
      </w:r>
    </w:p>
    <w:bookmarkEnd w:id="16"/>
    <w:p w14:paraId="50331FEA" w14:textId="060A2FAD" w:rsidR="008813FA" w:rsidRPr="00BD5419" w:rsidRDefault="008813FA" w:rsidP="008813FA">
      <w:r w:rsidRPr="00BD5419">
        <w:t>El GAEM examinó la propuesta de SPG Intercity, que se siguió debatiendo en la segunda consulta virtual de los consejeros, celebrada en noviembre. El debate del GAEM se centró en comprender mejor por qué la opción de arrendamiento posterior es deseable para la UIT.</w:t>
      </w:r>
    </w:p>
    <w:p w14:paraId="545C2681" w14:textId="4B1BC42D" w:rsidR="008813FA" w:rsidRPr="00BD5419" w:rsidRDefault="008813FA" w:rsidP="008813FA">
      <w:r w:rsidRPr="00BD5419">
        <w:lastRenderedPageBreak/>
        <w:t xml:space="preserve">Aunque es demasiado pronto para evaluar plenamente las repercusiones de la pandemia de COVID-19, </w:t>
      </w:r>
      <w:r w:rsidR="00BD5419" w:rsidRPr="00BD5419">
        <w:t>la Sra. Dobbelstein repitió que la capacidad actual del nuevo edificio no bastaría para albergar al personal existente en caso de que fuera necesario prever una separación de al menos dos metros entre un trabajador y otro, salvo que el promedio diario de trabajadores in situ pueda reducirse como mínimo un 33% mediante la modificación de la política de asignación de escritorios y la aplicación de la política de teletrabajo</w:t>
      </w:r>
      <w:r w:rsidRPr="00BD5419">
        <w:t>.</w:t>
      </w:r>
    </w:p>
    <w:p w14:paraId="6E3DFC2D" w14:textId="3885210A" w:rsidR="008813FA" w:rsidRPr="00BD5419" w:rsidRDefault="008813FA" w:rsidP="00BA1DF9">
      <w:pPr>
        <w:rPr>
          <w:rFonts w:eastAsia="SimSun"/>
          <w:lang w:eastAsia="en-AU"/>
        </w:rPr>
      </w:pPr>
      <w:r w:rsidRPr="00BD5419">
        <w:rPr>
          <w:rFonts w:eastAsia="SimSun"/>
          <w:lang w:eastAsia="en-AU"/>
        </w:rPr>
        <w:t>1.2</w:t>
      </w:r>
      <w:r w:rsidRPr="00BD5419">
        <w:rPr>
          <w:rFonts w:eastAsia="SimSun"/>
          <w:lang w:eastAsia="en-AU"/>
        </w:rPr>
        <w:tab/>
        <w:t xml:space="preserve">En la </w:t>
      </w:r>
      <w:r w:rsidRPr="00BD5419">
        <w:rPr>
          <w:b/>
          <w:bCs/>
        </w:rPr>
        <w:t>13ª reunión</w:t>
      </w:r>
      <w:r w:rsidRPr="00BD5419">
        <w:t xml:space="preserve"> </w:t>
      </w:r>
      <w:r w:rsidRPr="00BD5419">
        <w:rPr>
          <w:rFonts w:eastAsia="SimSun"/>
          <w:lang w:eastAsia="en-AU"/>
        </w:rPr>
        <w:t xml:space="preserve">(25 de febrero de 2021) del GAEM se volvió a realizar un análisis detallado del registro de riesgos (vigente al 14 de julio de 2020) y se examinaron a fondo 16 de los 102 puntos del registro, </w:t>
      </w:r>
      <w:r w:rsidRPr="00BD5419">
        <w:t>relacionados</w:t>
      </w:r>
      <w:r w:rsidRPr="00BD5419">
        <w:rPr>
          <w:rFonts w:eastAsia="SimSun"/>
          <w:lang w:eastAsia="en-AU"/>
        </w:rPr>
        <w:t xml:space="preserve"> con las siguientes categorías:</w:t>
      </w:r>
      <w:r w:rsidRPr="00BD5419">
        <w:t xml:space="preserve"> </w:t>
      </w:r>
      <w:r w:rsidRPr="00BD5419">
        <w:rPr>
          <w:rFonts w:eastAsia="SimSun"/>
          <w:lang w:eastAsia="en-AU"/>
        </w:rPr>
        <w:t xml:space="preserve">riesgos para la continuidad de las operaciones, la gestión del cambio, la comunicación, los riesgos externos, las finanzas, la gobernanza, la gestión de las adquisiciones y los contratos, y el programa </w:t>
      </w:r>
      <w:r w:rsidR="002A59CE" w:rsidRPr="00BD5419">
        <w:rPr>
          <w:rFonts w:eastAsia="SimSun"/>
          <w:lang w:eastAsia="en-AU"/>
        </w:rPr>
        <w:t>(</w:t>
      </w:r>
      <w:r w:rsidRPr="00BD5419">
        <w:rPr>
          <w:rFonts w:eastAsia="SimSun"/>
          <w:lang w:eastAsia="en-AU"/>
        </w:rPr>
        <w:t>alcance de la labor</w:t>
      </w:r>
      <w:r w:rsidR="002A59CE" w:rsidRPr="00BD5419">
        <w:rPr>
          <w:rFonts w:eastAsia="SimSun"/>
          <w:lang w:eastAsia="en-AU"/>
        </w:rPr>
        <w:t>)</w:t>
      </w:r>
      <w:r w:rsidRPr="00BD5419">
        <w:rPr>
          <w:rFonts w:eastAsia="SimSun"/>
          <w:lang w:eastAsia="en-AU"/>
        </w:rPr>
        <w:t>.</w:t>
      </w:r>
      <w:r w:rsidRPr="00BD5419">
        <w:t xml:space="preserve"> </w:t>
      </w:r>
      <w:r w:rsidRPr="00BD5419">
        <w:rPr>
          <w:rFonts w:eastAsia="SimSun"/>
          <w:lang w:eastAsia="en-AU"/>
        </w:rPr>
        <w:t xml:space="preserve">En la mayoría de los casos, el resultado del debate fue el acuerdo de la </w:t>
      </w:r>
      <w:r w:rsidR="00BD5419" w:rsidRPr="00BD5419">
        <w:rPr>
          <w:rFonts w:eastAsia="SimSun"/>
          <w:lang w:eastAsia="en-AU"/>
        </w:rPr>
        <w:t>Secretaría</w:t>
      </w:r>
      <w:r w:rsidRPr="00BD5419">
        <w:rPr>
          <w:rFonts w:eastAsia="SimSun"/>
          <w:lang w:eastAsia="en-AU"/>
        </w:rPr>
        <w:t xml:space="preserve"> para aclarar el registro.</w:t>
      </w:r>
    </w:p>
    <w:p w14:paraId="5B0037F7" w14:textId="77777777" w:rsidR="008813FA" w:rsidRPr="00BD5419" w:rsidRDefault="008813FA" w:rsidP="00BA1DF9">
      <w:pPr>
        <w:rPr>
          <w:rFonts w:eastAsia="SimSun"/>
          <w:lang w:eastAsia="en-AU"/>
        </w:rPr>
      </w:pPr>
      <w:bookmarkStart w:id="17" w:name="lt_pId040"/>
      <w:r w:rsidRPr="00BD5419">
        <w:rPr>
          <w:rFonts w:eastAsia="SimSun"/>
          <w:lang w:eastAsia="en-AU"/>
        </w:rPr>
        <w:t>El GAEM recibió también de la Sra. Dobbelstein información actualizada sobre el estado del proyecto, en la que se indicaba lo siguiente:</w:t>
      </w:r>
    </w:p>
    <w:bookmarkEnd w:id="17"/>
    <w:p w14:paraId="326FF50B" w14:textId="29F8B459" w:rsidR="008813FA" w:rsidRPr="00BD5419" w:rsidRDefault="008813FA" w:rsidP="008813FA">
      <w:pPr>
        <w:pStyle w:val="enumlev1"/>
        <w:rPr>
          <w:rFonts w:eastAsia="SimSun"/>
          <w:lang w:eastAsia="en-AU"/>
        </w:rPr>
      </w:pPr>
      <w:r w:rsidRPr="00BD5419">
        <w:rPr>
          <w:rFonts w:eastAsia="SimSun"/>
          <w:lang w:eastAsia="en-AU"/>
        </w:rPr>
        <w:t>•</w:t>
      </w:r>
      <w:r w:rsidRPr="00BD5419">
        <w:rPr>
          <w:rFonts w:eastAsia="SimSun"/>
          <w:lang w:eastAsia="en-AU"/>
        </w:rPr>
        <w:tab/>
        <w:t>Se está ultimando el contrato de préstamo, cuya firma está prevista para marzo.</w:t>
      </w:r>
    </w:p>
    <w:p w14:paraId="0C187992" w14:textId="0D6099B8" w:rsidR="008813FA" w:rsidRPr="00BD5419" w:rsidRDefault="008813FA" w:rsidP="008813FA">
      <w:pPr>
        <w:pStyle w:val="enumlev1"/>
        <w:rPr>
          <w:rFonts w:eastAsia="SimSun"/>
          <w:lang w:eastAsia="en-AU"/>
        </w:rPr>
      </w:pPr>
      <w:bookmarkStart w:id="18" w:name="lt_pId048"/>
      <w:r w:rsidRPr="00BD5419">
        <w:rPr>
          <w:rFonts w:eastAsia="SimSun"/>
          <w:lang w:eastAsia="en-AU"/>
        </w:rPr>
        <w:t>•</w:t>
      </w:r>
      <w:r w:rsidRPr="00BD5419">
        <w:rPr>
          <w:rFonts w:eastAsia="SimSun"/>
          <w:lang w:eastAsia="en-AU"/>
        </w:rPr>
        <w:tab/>
        <w:t xml:space="preserve">El alcance de la labor, que se presentó a la Misión de Suiza en noviembre de 2019, fue aprobado en enero de 2021. Se ha ampliado para incluir la aplicación de las recomendaciones de las normas mínimas de seguridad operacional (MOSS) de las Naciones Unidas en un perímetro mayor (rue Montbrillant, Avenue de France y Avenue G. Motta), junto a otras medidas de seguridad adicionales en el </w:t>
      </w:r>
      <w:proofErr w:type="gramStart"/>
      <w:r w:rsidRPr="00BD5419">
        <w:rPr>
          <w:rFonts w:eastAsia="SimSun"/>
          <w:lang w:eastAsia="en-AU"/>
        </w:rPr>
        <w:t>Parking</w:t>
      </w:r>
      <w:proofErr w:type="gramEnd"/>
      <w:r w:rsidRPr="00BD5419">
        <w:rPr>
          <w:rFonts w:eastAsia="SimSun"/>
          <w:lang w:eastAsia="en-AU"/>
        </w:rPr>
        <w:t xml:space="preserve"> des Nations. En el alcance del estudio se tienen también en cuenta las necesidades de todos los vecinos. El calendario detallado de esta actividad figurará en el informe sobre el nuevo edificio que se presentará a la CVC de junio de 2021. El coste de la aplicación de las medidas de seguridad en el dominio público no está incluido en el presupuesto aprobado del nuevo edificio, pero se ha asignado una partida a tal efecto en el registro de riesgos. La negociación sobre una eventual atribución de costes entre todas las partes tendrá lugar una vez que se haya concluido el estudio de viabilidad.</w:t>
      </w:r>
      <w:bookmarkEnd w:id="18"/>
    </w:p>
    <w:p w14:paraId="21FC8FF6" w14:textId="63C98F26" w:rsidR="008813FA" w:rsidRPr="00BD5419" w:rsidRDefault="008813FA" w:rsidP="008813FA">
      <w:pPr>
        <w:pStyle w:val="enumlev1"/>
        <w:rPr>
          <w:rFonts w:eastAsia="SimSun"/>
          <w:lang w:eastAsia="en-AU"/>
        </w:rPr>
      </w:pPr>
      <w:r w:rsidRPr="00BD5419">
        <w:rPr>
          <w:rFonts w:eastAsia="SimSun"/>
          <w:lang w:eastAsia="en-AU"/>
        </w:rPr>
        <w:t>•</w:t>
      </w:r>
      <w:r w:rsidRPr="00BD5419">
        <w:rPr>
          <w:rFonts w:eastAsia="SimSun"/>
          <w:lang w:eastAsia="en-AU"/>
        </w:rPr>
        <w:tab/>
        <w:t>A finales de enero se recibió del arquitecto el proyecto de diseño detallado y la UIT está ultimando sus comentarios para incluirlos en la presentación final, prevista para marzo.</w:t>
      </w:r>
    </w:p>
    <w:p w14:paraId="712B9380" w14:textId="46859E6A" w:rsidR="008813FA" w:rsidRPr="00BD5419" w:rsidRDefault="008813FA" w:rsidP="008813FA">
      <w:pPr>
        <w:pStyle w:val="enumlev1"/>
        <w:rPr>
          <w:rFonts w:eastAsia="SimSun"/>
          <w:lang w:eastAsia="en-AU"/>
        </w:rPr>
      </w:pPr>
      <w:bookmarkStart w:id="19" w:name="lt_pId050"/>
      <w:r w:rsidRPr="00BD5419">
        <w:rPr>
          <w:rFonts w:eastAsia="SimSun"/>
          <w:lang w:eastAsia="en-AU"/>
        </w:rPr>
        <w:t>•</w:t>
      </w:r>
      <w:r w:rsidRPr="00BD5419">
        <w:rPr>
          <w:rFonts w:eastAsia="SimSun"/>
          <w:lang w:eastAsia="en-AU"/>
        </w:rPr>
        <w:tab/>
        <w:t>En la estrategia sobre las condiciones de trabajo del personal y plan de ejecución se dispondrán las políticas aplicables durante el traslado y una vez que se ocupe el nuevo edificio. El proceso de licitación ha finalizado y se firmará el contrato con la empresa seleccionada, especializada en las condiciones de trabajo del personal. Los primeros resultados se establecerán a tiempo para proporcionar observaciones iniciales a los consejeros en junio</w:t>
      </w:r>
      <w:bookmarkEnd w:id="19"/>
      <w:r w:rsidRPr="00BD5419">
        <w:rPr>
          <w:rFonts w:eastAsia="SimSun"/>
          <w:lang w:eastAsia="en-AU"/>
        </w:rPr>
        <w:t>.</w:t>
      </w:r>
    </w:p>
    <w:p w14:paraId="2FC68C1D" w14:textId="77777777" w:rsidR="008813FA" w:rsidRPr="00BD5419" w:rsidRDefault="008813FA" w:rsidP="007235AC">
      <w:bookmarkStart w:id="20" w:name="lt_pId053"/>
      <w:r w:rsidRPr="00BD5419">
        <w:t xml:space="preserve">El </w:t>
      </w:r>
      <w:r w:rsidRPr="00BD5419">
        <w:rPr>
          <w:rFonts w:eastAsia="SimSun"/>
          <w:color w:val="000000" w:themeColor="text1"/>
          <w:lang w:eastAsia="en-AU"/>
        </w:rPr>
        <w:t xml:space="preserve">GAEM </w:t>
      </w:r>
      <w:r w:rsidRPr="00BD5419">
        <w:t>aconsejó a la Secretaría que incluyera en la comparación de los costes de funcionamiento y mantenimiento del edificio de la Torre la indicación expresa de que el cálculo se había realizado sobre la base de la superficie del espacio de oficinas (en lugar de un análisis de mercado).</w:t>
      </w:r>
      <w:bookmarkEnd w:id="20"/>
    </w:p>
    <w:p w14:paraId="6EF9FCB0" w14:textId="77777777" w:rsidR="008813FA" w:rsidRPr="00BD5419" w:rsidRDefault="008813FA" w:rsidP="007235AC">
      <w:r w:rsidRPr="00BD5419">
        <w:t xml:space="preserve">El </w:t>
      </w:r>
      <w:proofErr w:type="gramStart"/>
      <w:r w:rsidRPr="00BD5419">
        <w:t>Presidente</w:t>
      </w:r>
      <w:proofErr w:type="gramEnd"/>
      <w:r w:rsidRPr="00BD5419">
        <w:t xml:space="preserve"> informó al </w:t>
      </w:r>
      <w:r w:rsidRPr="00BD5419">
        <w:rPr>
          <w:rFonts w:eastAsia="SimSun"/>
          <w:color w:val="000000" w:themeColor="text1"/>
          <w:lang w:eastAsia="en-AU"/>
        </w:rPr>
        <w:t xml:space="preserve">GAEM </w:t>
      </w:r>
      <w:r w:rsidRPr="00BD5419">
        <w:t xml:space="preserve">de que el GTC-RHF había examinado las cuestiones planteadas por el </w:t>
      </w:r>
      <w:r w:rsidRPr="00BD5419">
        <w:rPr>
          <w:rFonts w:eastAsia="SimSun"/>
          <w:color w:val="000000" w:themeColor="text1"/>
          <w:lang w:eastAsia="en-AU"/>
        </w:rPr>
        <w:t xml:space="preserve">GAEM </w:t>
      </w:r>
      <w:r w:rsidRPr="00BD5419">
        <w:t xml:space="preserve">durante las sesiones de la </w:t>
      </w:r>
      <w:r w:rsidRPr="00BD5419">
        <w:rPr>
          <w:rFonts w:eastAsia="SimSun"/>
          <w:color w:val="000000" w:themeColor="text1"/>
          <w:lang w:eastAsia="en-AU"/>
        </w:rPr>
        <w:t>CVC</w:t>
      </w:r>
      <w:r w:rsidRPr="00BD5419">
        <w:t xml:space="preserve">. La Secretaría ha propuesto añadir 3,6 millones CHF al </w:t>
      </w:r>
      <w:r w:rsidRPr="00BD5419">
        <w:rPr>
          <w:szCs w:val="24"/>
        </w:rPr>
        <w:t xml:space="preserve">Fondo del Registro de Riesgos </w:t>
      </w:r>
      <w:r w:rsidRPr="00BD5419">
        <w:t>con cargo a los ahorros de 2020, si están disponibles. Todavía no se ha tomado ninguna decisión sobre la financiación adicional. La decisión definitiva la tomará el Consejo. Los participantes agradecieron los esfuerzos de la Secretaría para financiar el Fondo.</w:t>
      </w:r>
    </w:p>
    <w:p w14:paraId="4491EB9B" w14:textId="74D61E9C" w:rsidR="008813FA" w:rsidRPr="00BD5419" w:rsidRDefault="008813FA" w:rsidP="008813FA">
      <w:pPr>
        <w:pStyle w:val="Heading1"/>
      </w:pPr>
      <w:r w:rsidRPr="00BD5419">
        <w:lastRenderedPageBreak/>
        <w:t>2.</w:t>
      </w:r>
      <w:r w:rsidRPr="00BD5419">
        <w:tab/>
        <w:t>Temas sometidos a la atención del Consejo</w:t>
      </w:r>
    </w:p>
    <w:p w14:paraId="057D1835" w14:textId="77777777" w:rsidR="008813FA" w:rsidRPr="00BD5419" w:rsidRDefault="008813FA" w:rsidP="007235AC">
      <w:pPr>
        <w:rPr>
          <w:highlight w:val="yellow"/>
        </w:rPr>
      </w:pPr>
      <w:bookmarkStart w:id="21" w:name="lt_pId061"/>
      <w:r w:rsidRPr="00BD5419">
        <w:t xml:space="preserve">El </w:t>
      </w:r>
      <w:r w:rsidRPr="00BD5419">
        <w:rPr>
          <w:rFonts w:eastAsia="SimSun"/>
          <w:color w:val="000000" w:themeColor="text1"/>
          <w:lang w:eastAsia="en-AU"/>
        </w:rPr>
        <w:t xml:space="preserve">GAEM </w:t>
      </w:r>
      <w:r w:rsidRPr="00BD5419">
        <w:t>no ha identificado ninguna cuestión nueva que deba someterse a la atención del Consejo.</w:t>
      </w:r>
      <w:bookmarkEnd w:id="21"/>
    </w:p>
    <w:bookmarkEnd w:id="15"/>
    <w:p w14:paraId="2A3ACFBC" w14:textId="7CAF14B4" w:rsidR="008813FA" w:rsidRPr="00BD5419" w:rsidRDefault="008813FA" w:rsidP="0032202E">
      <w:pPr>
        <w:pStyle w:val="Reasons"/>
      </w:pPr>
    </w:p>
    <w:p w14:paraId="2D40370A" w14:textId="77777777" w:rsidR="008813FA" w:rsidRPr="00BD5419" w:rsidRDefault="008813FA">
      <w:pPr>
        <w:jc w:val="center"/>
      </w:pPr>
      <w:r w:rsidRPr="00BD5419">
        <w:t>______________</w:t>
      </w:r>
    </w:p>
    <w:sectPr w:rsidR="008813FA" w:rsidRPr="00BD5419"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E323" w14:textId="77777777" w:rsidR="00C62D76" w:rsidRDefault="00C62D76">
      <w:r>
        <w:separator/>
      </w:r>
    </w:p>
  </w:endnote>
  <w:endnote w:type="continuationSeparator" w:id="0">
    <w:p w14:paraId="312BE1BA" w14:textId="77777777" w:rsidR="00C62D76" w:rsidRDefault="00C6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A742" w14:textId="76B9E260" w:rsidR="00760F1C" w:rsidRPr="00285A90" w:rsidRDefault="00BD5419" w:rsidP="00212026">
    <w:pPr>
      <w:pStyle w:val="Footer"/>
      <w:rPr>
        <w:lang w:val="fr-CH"/>
      </w:rPr>
    </w:pPr>
    <w:fldSimple w:instr=" FILENAME \p  \* MERGEFORMAT ">
      <w:r w:rsidR="00212026">
        <w:t>P:\ESP\SG\CONSEIL\C21\000\048S.docx</w:t>
      </w:r>
    </w:fldSimple>
    <w:r w:rsidR="00212026">
      <w:t xml:space="preserve"> (483244)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8907"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5E06" w14:textId="77777777" w:rsidR="00C62D76" w:rsidRDefault="00C62D76">
      <w:r>
        <w:t>____________________</w:t>
      </w:r>
    </w:p>
  </w:footnote>
  <w:footnote w:type="continuationSeparator" w:id="0">
    <w:p w14:paraId="198C7597" w14:textId="77777777" w:rsidR="00C62D76" w:rsidRDefault="00C6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F7B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B5CFC87" w14:textId="04CAC4E4" w:rsidR="00760F1C" w:rsidRDefault="00760F1C" w:rsidP="00C2727F">
    <w:pPr>
      <w:pStyle w:val="Header"/>
    </w:pPr>
    <w:r>
      <w:t>C</w:t>
    </w:r>
    <w:r w:rsidR="007955DA">
      <w:t>2</w:t>
    </w:r>
    <w:r w:rsidR="000007D1">
      <w:t>1</w:t>
    </w:r>
    <w:r>
      <w:t>/</w:t>
    </w:r>
    <w:r w:rsidR="00212026">
      <w:t>48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abstractNum w:abstractNumId="1" w15:restartNumberingAfterBreak="0">
    <w:nsid w:val="35A36C4E"/>
    <w:multiLevelType w:val="hybridMultilevel"/>
    <w:tmpl w:val="837CC698"/>
    <w:lvl w:ilvl="0" w:tplc="64023FA4">
      <w:start w:val="1"/>
      <w:numFmt w:val="bullet"/>
      <w:lvlText w:val=""/>
      <w:lvlJc w:val="left"/>
      <w:pPr>
        <w:ind w:left="1312" w:hanging="360"/>
      </w:pPr>
      <w:rPr>
        <w:rFonts w:ascii="Symbol" w:hAnsi="Symbol" w:hint="default"/>
      </w:rPr>
    </w:lvl>
    <w:lvl w:ilvl="1" w:tplc="DEDE9FC2" w:tentative="1">
      <w:start w:val="1"/>
      <w:numFmt w:val="bullet"/>
      <w:lvlText w:val="o"/>
      <w:lvlJc w:val="left"/>
      <w:pPr>
        <w:ind w:left="2032" w:hanging="360"/>
      </w:pPr>
      <w:rPr>
        <w:rFonts w:ascii="Courier New" w:hAnsi="Courier New" w:cs="Courier New" w:hint="default"/>
      </w:rPr>
    </w:lvl>
    <w:lvl w:ilvl="2" w:tplc="688AF090" w:tentative="1">
      <w:start w:val="1"/>
      <w:numFmt w:val="bullet"/>
      <w:lvlText w:val=""/>
      <w:lvlJc w:val="left"/>
      <w:pPr>
        <w:ind w:left="2752" w:hanging="360"/>
      </w:pPr>
      <w:rPr>
        <w:rFonts w:ascii="Wingdings" w:hAnsi="Wingdings" w:hint="default"/>
      </w:rPr>
    </w:lvl>
    <w:lvl w:ilvl="3" w:tplc="6A387606" w:tentative="1">
      <w:start w:val="1"/>
      <w:numFmt w:val="bullet"/>
      <w:lvlText w:val=""/>
      <w:lvlJc w:val="left"/>
      <w:pPr>
        <w:ind w:left="3472" w:hanging="360"/>
      </w:pPr>
      <w:rPr>
        <w:rFonts w:ascii="Symbol" w:hAnsi="Symbol" w:hint="default"/>
      </w:rPr>
    </w:lvl>
    <w:lvl w:ilvl="4" w:tplc="2A8A4DBC" w:tentative="1">
      <w:start w:val="1"/>
      <w:numFmt w:val="bullet"/>
      <w:lvlText w:val="o"/>
      <w:lvlJc w:val="left"/>
      <w:pPr>
        <w:ind w:left="4192" w:hanging="360"/>
      </w:pPr>
      <w:rPr>
        <w:rFonts w:ascii="Courier New" w:hAnsi="Courier New" w:cs="Courier New" w:hint="default"/>
      </w:rPr>
    </w:lvl>
    <w:lvl w:ilvl="5" w:tplc="B1CA180C" w:tentative="1">
      <w:start w:val="1"/>
      <w:numFmt w:val="bullet"/>
      <w:lvlText w:val=""/>
      <w:lvlJc w:val="left"/>
      <w:pPr>
        <w:ind w:left="4912" w:hanging="360"/>
      </w:pPr>
      <w:rPr>
        <w:rFonts w:ascii="Wingdings" w:hAnsi="Wingdings" w:hint="default"/>
      </w:rPr>
    </w:lvl>
    <w:lvl w:ilvl="6" w:tplc="D884CE4E" w:tentative="1">
      <w:start w:val="1"/>
      <w:numFmt w:val="bullet"/>
      <w:lvlText w:val=""/>
      <w:lvlJc w:val="left"/>
      <w:pPr>
        <w:ind w:left="5632" w:hanging="360"/>
      </w:pPr>
      <w:rPr>
        <w:rFonts w:ascii="Symbol" w:hAnsi="Symbol" w:hint="default"/>
      </w:rPr>
    </w:lvl>
    <w:lvl w:ilvl="7" w:tplc="10B8B5A4" w:tentative="1">
      <w:start w:val="1"/>
      <w:numFmt w:val="bullet"/>
      <w:lvlText w:val="o"/>
      <w:lvlJc w:val="left"/>
      <w:pPr>
        <w:ind w:left="6352" w:hanging="360"/>
      </w:pPr>
      <w:rPr>
        <w:rFonts w:ascii="Courier New" w:hAnsi="Courier New" w:cs="Courier New" w:hint="default"/>
      </w:rPr>
    </w:lvl>
    <w:lvl w:ilvl="8" w:tplc="D2021D92" w:tentative="1">
      <w:start w:val="1"/>
      <w:numFmt w:val="bullet"/>
      <w:lvlText w:val=""/>
      <w:lvlJc w:val="left"/>
      <w:pPr>
        <w:ind w:left="70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76"/>
    <w:rsid w:val="000007D1"/>
    <w:rsid w:val="00093EEB"/>
    <w:rsid w:val="000B0D00"/>
    <w:rsid w:val="000B7C15"/>
    <w:rsid w:val="000D1D0F"/>
    <w:rsid w:val="000F5290"/>
    <w:rsid w:val="0010165C"/>
    <w:rsid w:val="00146BFB"/>
    <w:rsid w:val="001F14A2"/>
    <w:rsid w:val="00212026"/>
    <w:rsid w:val="002801AA"/>
    <w:rsid w:val="00285A90"/>
    <w:rsid w:val="002A59CE"/>
    <w:rsid w:val="002C4676"/>
    <w:rsid w:val="002C70B0"/>
    <w:rsid w:val="002F3CC4"/>
    <w:rsid w:val="004E3FD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02083"/>
    <w:rsid w:val="007235AC"/>
    <w:rsid w:val="00726872"/>
    <w:rsid w:val="00760F1C"/>
    <w:rsid w:val="007657F0"/>
    <w:rsid w:val="0077252D"/>
    <w:rsid w:val="007955DA"/>
    <w:rsid w:val="007E5DD3"/>
    <w:rsid w:val="007F350B"/>
    <w:rsid w:val="00820BE4"/>
    <w:rsid w:val="008451E8"/>
    <w:rsid w:val="008813FA"/>
    <w:rsid w:val="00913B9C"/>
    <w:rsid w:val="00956E77"/>
    <w:rsid w:val="009F4811"/>
    <w:rsid w:val="00AA390C"/>
    <w:rsid w:val="00B0200A"/>
    <w:rsid w:val="00B574DB"/>
    <w:rsid w:val="00B826C2"/>
    <w:rsid w:val="00B8298E"/>
    <w:rsid w:val="00BA1DF9"/>
    <w:rsid w:val="00BD0723"/>
    <w:rsid w:val="00BD2518"/>
    <w:rsid w:val="00BD5419"/>
    <w:rsid w:val="00BF1D1C"/>
    <w:rsid w:val="00C20C59"/>
    <w:rsid w:val="00C2727F"/>
    <w:rsid w:val="00C55B1F"/>
    <w:rsid w:val="00C62D76"/>
    <w:rsid w:val="00CF1A67"/>
    <w:rsid w:val="00D2750E"/>
    <w:rsid w:val="00D62446"/>
    <w:rsid w:val="00DA4EA2"/>
    <w:rsid w:val="00DC3D3E"/>
    <w:rsid w:val="00DE2C90"/>
    <w:rsid w:val="00DE3B24"/>
    <w:rsid w:val="00E06947"/>
    <w:rsid w:val="00E3592D"/>
    <w:rsid w:val="00E5400E"/>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4065E0"/>
  <w15:docId w15:val="{7DFE94DD-2310-4E53-B465-809E6724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8813F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ADD-C-0005/es" TargetMode="External"/><Relationship Id="rId13" Type="http://schemas.openxmlformats.org/officeDocument/2006/relationships/hyperlink" Target="https://www.itu.int/es/hq-building/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20-CL-C-0048/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0-CL-INF-0021/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48/es" TargetMode="External"/><Relationship Id="rId5" Type="http://schemas.openxmlformats.org/officeDocument/2006/relationships/footnotes" Target="footnotes.xml"/><Relationship Id="rId15" Type="http://schemas.openxmlformats.org/officeDocument/2006/relationships/hyperlink" Target="https://www.itu.int/md/S20-CL-INF-0020/es" TargetMode="External"/><Relationship Id="rId10" Type="http://schemas.openxmlformats.org/officeDocument/2006/relationships/hyperlink" Target="https://www.itu.int/md/S19-CL-C-0048/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RES-212-S.pdf" TargetMode="External"/><Relationship Id="rId14" Type="http://schemas.openxmlformats.org/officeDocument/2006/relationships/hyperlink" Target="https://www.itu.int/md/S20-CL-C-0077/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0</TotalTime>
  <Pages>4</Pages>
  <Words>1156</Words>
  <Characters>6504</Characters>
  <Application>Microsoft Office Word</Application>
  <DocSecurity>4</DocSecurity>
  <Lines>54</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7645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resumido de los trabajos del grupo asesor de los Estados Miembros sobre el Proyecto de sede de la Unión</dc:title>
  <dc:subject>Informe resumido de los trabajos del grupo asesor de los Estados Miembros sobre el Proyecto de sede de la Unión</dc:subject>
  <dc:creator>Spanish</dc:creator>
  <cp:keywords>C2021, C21, VCC, C21-VCC-1</cp:keywords>
  <dc:description/>
  <cp:lastModifiedBy>Brouard, Ricarda</cp:lastModifiedBy>
  <cp:revision>2</cp:revision>
  <cp:lastPrinted>2006-03-24T09:51:00Z</cp:lastPrinted>
  <dcterms:created xsi:type="dcterms:W3CDTF">2021-04-27T09:04:00Z</dcterms:created>
  <dcterms:modified xsi:type="dcterms:W3CDTF">2021-04-27T09:04:00Z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