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E7205" w14:paraId="3960EFCA" w14:textId="77777777">
        <w:trPr>
          <w:cantSplit/>
        </w:trPr>
        <w:tc>
          <w:tcPr>
            <w:tcW w:w="6912" w:type="dxa"/>
          </w:tcPr>
          <w:p w14:paraId="7186F02F" w14:textId="77777777" w:rsidR="00520F36" w:rsidRPr="00BE7205" w:rsidRDefault="00520F36" w:rsidP="00106B19">
            <w:pPr>
              <w:spacing w:before="360"/>
            </w:pPr>
            <w:bookmarkStart w:id="0" w:name="dc06"/>
            <w:bookmarkEnd w:id="0"/>
            <w:r w:rsidRPr="00BE7205">
              <w:rPr>
                <w:b/>
                <w:bCs/>
                <w:sz w:val="30"/>
                <w:szCs w:val="30"/>
              </w:rPr>
              <w:t>Conseil 20</w:t>
            </w:r>
            <w:r w:rsidR="009C353C" w:rsidRPr="00BE7205">
              <w:rPr>
                <w:b/>
                <w:bCs/>
                <w:sz w:val="30"/>
                <w:szCs w:val="30"/>
              </w:rPr>
              <w:t>2</w:t>
            </w:r>
            <w:r w:rsidR="004D1D50" w:rsidRPr="00BE7205">
              <w:rPr>
                <w:b/>
                <w:bCs/>
                <w:sz w:val="30"/>
                <w:szCs w:val="30"/>
              </w:rPr>
              <w:t>1</w:t>
            </w:r>
            <w:r w:rsidRPr="00BE7205">
              <w:rPr>
                <w:rFonts w:ascii="Verdana" w:hAnsi="Verdana"/>
                <w:b/>
                <w:bCs/>
                <w:sz w:val="26"/>
                <w:szCs w:val="26"/>
              </w:rPr>
              <w:br/>
            </w:r>
            <w:r w:rsidR="004D1D50" w:rsidRPr="00BE7205">
              <w:rPr>
                <w:b/>
                <w:bCs/>
                <w:sz w:val="28"/>
                <w:szCs w:val="28"/>
              </w:rPr>
              <w:t>Consultation virtuelle des Conseillers</w:t>
            </w:r>
            <w:r w:rsidRPr="00BE7205">
              <w:rPr>
                <w:b/>
                <w:bCs/>
                <w:sz w:val="28"/>
                <w:szCs w:val="28"/>
              </w:rPr>
              <w:t xml:space="preserve">, </w:t>
            </w:r>
            <w:r w:rsidR="004D1D50" w:rsidRPr="00BE7205">
              <w:rPr>
                <w:b/>
                <w:bCs/>
                <w:sz w:val="28"/>
                <w:szCs w:val="28"/>
              </w:rPr>
              <w:t>8</w:t>
            </w:r>
            <w:r w:rsidRPr="00BE7205">
              <w:rPr>
                <w:b/>
                <w:bCs/>
                <w:sz w:val="28"/>
                <w:szCs w:val="28"/>
              </w:rPr>
              <w:t>-</w:t>
            </w:r>
            <w:r w:rsidR="009C353C" w:rsidRPr="00BE7205">
              <w:rPr>
                <w:b/>
                <w:bCs/>
                <w:sz w:val="28"/>
                <w:szCs w:val="28"/>
              </w:rPr>
              <w:t>1</w:t>
            </w:r>
            <w:r w:rsidR="004D1D50" w:rsidRPr="00BE7205">
              <w:rPr>
                <w:b/>
                <w:bCs/>
                <w:sz w:val="28"/>
                <w:szCs w:val="28"/>
              </w:rPr>
              <w:t>8</w:t>
            </w:r>
            <w:r w:rsidR="00106B19" w:rsidRPr="00BE7205">
              <w:rPr>
                <w:b/>
                <w:bCs/>
                <w:sz w:val="28"/>
                <w:szCs w:val="28"/>
              </w:rPr>
              <w:t xml:space="preserve"> juin</w:t>
            </w:r>
            <w:r w:rsidRPr="00BE7205">
              <w:rPr>
                <w:b/>
                <w:bCs/>
                <w:sz w:val="28"/>
                <w:szCs w:val="28"/>
              </w:rPr>
              <w:t xml:space="preserve"> 20</w:t>
            </w:r>
            <w:r w:rsidR="009C353C" w:rsidRPr="00BE7205">
              <w:rPr>
                <w:b/>
                <w:bCs/>
                <w:sz w:val="28"/>
                <w:szCs w:val="28"/>
              </w:rPr>
              <w:t>2</w:t>
            </w:r>
            <w:r w:rsidR="004D1D50" w:rsidRPr="00BE7205">
              <w:rPr>
                <w:b/>
                <w:bCs/>
                <w:sz w:val="28"/>
                <w:szCs w:val="28"/>
              </w:rPr>
              <w:t>1</w:t>
            </w:r>
          </w:p>
        </w:tc>
        <w:tc>
          <w:tcPr>
            <w:tcW w:w="3261" w:type="dxa"/>
          </w:tcPr>
          <w:p w14:paraId="60B9222D" w14:textId="77777777" w:rsidR="00520F36" w:rsidRPr="00BE7205" w:rsidRDefault="009C353C" w:rsidP="009C353C">
            <w:pPr>
              <w:spacing w:before="0"/>
            </w:pPr>
            <w:bookmarkStart w:id="1" w:name="ditulogo"/>
            <w:bookmarkEnd w:id="1"/>
            <w:r w:rsidRPr="00BE7205">
              <w:rPr>
                <w:noProof/>
                <w:lang w:val="en-US"/>
              </w:rPr>
              <w:drawing>
                <wp:inline distT="0" distB="0" distL="0" distR="0" wp14:anchorId="5A762F66" wp14:editId="030552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E7205" w14:paraId="264D700D" w14:textId="77777777" w:rsidTr="00EF41DD">
        <w:trPr>
          <w:cantSplit/>
          <w:trHeight w:val="20"/>
        </w:trPr>
        <w:tc>
          <w:tcPr>
            <w:tcW w:w="6912" w:type="dxa"/>
            <w:tcBorders>
              <w:bottom w:val="single" w:sz="12" w:space="0" w:color="auto"/>
            </w:tcBorders>
            <w:vAlign w:val="center"/>
          </w:tcPr>
          <w:p w14:paraId="56DBF13F" w14:textId="77777777" w:rsidR="00520F36" w:rsidRPr="00BE7205" w:rsidRDefault="00520F36" w:rsidP="004C37A9">
            <w:pPr>
              <w:spacing w:before="0"/>
              <w:rPr>
                <w:b/>
                <w:bCs/>
                <w:sz w:val="26"/>
                <w:szCs w:val="26"/>
              </w:rPr>
            </w:pPr>
          </w:p>
        </w:tc>
        <w:tc>
          <w:tcPr>
            <w:tcW w:w="3261" w:type="dxa"/>
            <w:tcBorders>
              <w:bottom w:val="single" w:sz="12" w:space="0" w:color="auto"/>
            </w:tcBorders>
          </w:tcPr>
          <w:p w14:paraId="4EC2E80F" w14:textId="77777777" w:rsidR="00520F36" w:rsidRPr="00BE7205" w:rsidRDefault="00520F36" w:rsidP="00DF74DD">
            <w:pPr>
              <w:spacing w:before="0"/>
              <w:rPr>
                <w:b/>
                <w:bCs/>
              </w:rPr>
            </w:pPr>
          </w:p>
        </w:tc>
      </w:tr>
      <w:tr w:rsidR="00520F36" w:rsidRPr="00BE7205" w14:paraId="3B69A9FE" w14:textId="77777777">
        <w:trPr>
          <w:cantSplit/>
          <w:trHeight w:val="20"/>
        </w:trPr>
        <w:tc>
          <w:tcPr>
            <w:tcW w:w="6912" w:type="dxa"/>
            <w:tcBorders>
              <w:top w:val="single" w:sz="12" w:space="0" w:color="auto"/>
            </w:tcBorders>
          </w:tcPr>
          <w:p w14:paraId="03D06C15" w14:textId="77777777" w:rsidR="00520F36" w:rsidRPr="00BE7205" w:rsidRDefault="00520F36" w:rsidP="00DF74DD">
            <w:pPr>
              <w:spacing w:before="0"/>
              <w:rPr>
                <w:smallCaps/>
                <w:sz w:val="22"/>
              </w:rPr>
            </w:pPr>
          </w:p>
        </w:tc>
        <w:tc>
          <w:tcPr>
            <w:tcW w:w="3261" w:type="dxa"/>
            <w:tcBorders>
              <w:top w:val="single" w:sz="12" w:space="0" w:color="auto"/>
            </w:tcBorders>
          </w:tcPr>
          <w:p w14:paraId="6DCF0E6F" w14:textId="77777777" w:rsidR="00520F36" w:rsidRPr="00BE7205" w:rsidRDefault="00520F36" w:rsidP="00DF74DD">
            <w:pPr>
              <w:spacing w:before="0"/>
              <w:rPr>
                <w:b/>
                <w:bCs/>
              </w:rPr>
            </w:pPr>
          </w:p>
        </w:tc>
      </w:tr>
      <w:tr w:rsidR="00520F36" w:rsidRPr="00BE7205" w14:paraId="711DF0CA" w14:textId="77777777">
        <w:trPr>
          <w:cantSplit/>
          <w:trHeight w:val="20"/>
        </w:trPr>
        <w:tc>
          <w:tcPr>
            <w:tcW w:w="6912" w:type="dxa"/>
            <w:vMerge w:val="restart"/>
          </w:tcPr>
          <w:p w14:paraId="5FAB3DE1" w14:textId="6F9985BE" w:rsidR="00520F36" w:rsidRPr="00BE7205" w:rsidRDefault="00513F30" w:rsidP="00DF74DD">
            <w:pPr>
              <w:spacing w:before="0"/>
              <w:rPr>
                <w:rFonts w:cs="Times"/>
                <w:b/>
                <w:bCs/>
                <w:szCs w:val="24"/>
              </w:rPr>
            </w:pPr>
            <w:bookmarkStart w:id="2" w:name="dnum" w:colFirst="1" w:colLast="1"/>
            <w:bookmarkStart w:id="3" w:name="dmeeting" w:colFirst="0" w:colLast="0"/>
            <w:r w:rsidRPr="00BE7205">
              <w:rPr>
                <w:rFonts w:cs="Times"/>
                <w:b/>
                <w:bCs/>
                <w:szCs w:val="24"/>
              </w:rPr>
              <w:t xml:space="preserve">Point de l'ordre du </w:t>
            </w:r>
            <w:proofErr w:type="gramStart"/>
            <w:r w:rsidRPr="00BE7205">
              <w:rPr>
                <w:rFonts w:cs="Times"/>
                <w:b/>
                <w:bCs/>
                <w:szCs w:val="24"/>
              </w:rPr>
              <w:t>jour:</w:t>
            </w:r>
            <w:proofErr w:type="gramEnd"/>
            <w:r w:rsidRPr="00BE7205">
              <w:rPr>
                <w:rFonts w:cs="Times"/>
                <w:b/>
                <w:bCs/>
                <w:szCs w:val="24"/>
              </w:rPr>
              <w:t xml:space="preserve"> ADM 20</w:t>
            </w:r>
          </w:p>
        </w:tc>
        <w:tc>
          <w:tcPr>
            <w:tcW w:w="3261" w:type="dxa"/>
          </w:tcPr>
          <w:p w14:paraId="4771BAF4" w14:textId="61E242DC" w:rsidR="00520F36" w:rsidRPr="00BE7205" w:rsidRDefault="00520F36" w:rsidP="00106B19">
            <w:pPr>
              <w:spacing w:before="0"/>
              <w:rPr>
                <w:b/>
                <w:bCs/>
              </w:rPr>
            </w:pPr>
            <w:r w:rsidRPr="00BE7205">
              <w:rPr>
                <w:b/>
                <w:bCs/>
              </w:rPr>
              <w:t>Document C</w:t>
            </w:r>
            <w:r w:rsidR="009C353C" w:rsidRPr="00BE7205">
              <w:rPr>
                <w:b/>
                <w:bCs/>
              </w:rPr>
              <w:t>2</w:t>
            </w:r>
            <w:r w:rsidR="004D1D50" w:rsidRPr="00BE7205">
              <w:rPr>
                <w:b/>
                <w:bCs/>
              </w:rPr>
              <w:t>1</w:t>
            </w:r>
            <w:r w:rsidRPr="00BE7205">
              <w:rPr>
                <w:b/>
                <w:bCs/>
              </w:rPr>
              <w:t>/</w:t>
            </w:r>
            <w:r w:rsidR="00513F30" w:rsidRPr="00BE7205">
              <w:rPr>
                <w:b/>
                <w:bCs/>
              </w:rPr>
              <w:t>48</w:t>
            </w:r>
            <w:r w:rsidRPr="00BE7205">
              <w:rPr>
                <w:b/>
                <w:bCs/>
              </w:rPr>
              <w:t>-F</w:t>
            </w:r>
          </w:p>
        </w:tc>
      </w:tr>
      <w:tr w:rsidR="00520F36" w:rsidRPr="00BE7205" w14:paraId="53E9221D" w14:textId="77777777">
        <w:trPr>
          <w:cantSplit/>
          <w:trHeight w:val="20"/>
        </w:trPr>
        <w:tc>
          <w:tcPr>
            <w:tcW w:w="6912" w:type="dxa"/>
            <w:vMerge/>
          </w:tcPr>
          <w:p w14:paraId="24AB6088" w14:textId="77777777" w:rsidR="00520F36" w:rsidRPr="00BE7205" w:rsidRDefault="00520F36" w:rsidP="00DF74DD">
            <w:pPr>
              <w:shd w:val="solid" w:color="FFFFFF" w:fill="FFFFFF"/>
              <w:spacing w:before="180"/>
              <w:rPr>
                <w:smallCaps/>
              </w:rPr>
            </w:pPr>
            <w:bookmarkStart w:id="4" w:name="ddate" w:colFirst="1" w:colLast="1"/>
            <w:bookmarkEnd w:id="2"/>
            <w:bookmarkEnd w:id="3"/>
          </w:p>
        </w:tc>
        <w:tc>
          <w:tcPr>
            <w:tcW w:w="3261" w:type="dxa"/>
          </w:tcPr>
          <w:p w14:paraId="5DA311A7" w14:textId="3617F0E1" w:rsidR="00520F36" w:rsidRPr="00BE7205" w:rsidRDefault="00513F30" w:rsidP="00106B19">
            <w:pPr>
              <w:spacing w:before="0"/>
              <w:rPr>
                <w:b/>
                <w:bCs/>
              </w:rPr>
            </w:pPr>
            <w:r w:rsidRPr="00BE7205">
              <w:rPr>
                <w:b/>
                <w:bCs/>
              </w:rPr>
              <w:t>26 mars</w:t>
            </w:r>
            <w:r w:rsidR="00520F36" w:rsidRPr="00BE7205">
              <w:rPr>
                <w:b/>
                <w:bCs/>
              </w:rPr>
              <w:t xml:space="preserve"> 20</w:t>
            </w:r>
            <w:r w:rsidR="009C353C" w:rsidRPr="00BE7205">
              <w:rPr>
                <w:b/>
                <w:bCs/>
              </w:rPr>
              <w:t>2</w:t>
            </w:r>
            <w:r w:rsidR="0097363B" w:rsidRPr="00BE7205">
              <w:rPr>
                <w:b/>
                <w:bCs/>
              </w:rPr>
              <w:t>1</w:t>
            </w:r>
          </w:p>
        </w:tc>
      </w:tr>
      <w:tr w:rsidR="00520F36" w:rsidRPr="00BE7205" w14:paraId="516836E6" w14:textId="77777777">
        <w:trPr>
          <w:cantSplit/>
          <w:trHeight w:val="20"/>
        </w:trPr>
        <w:tc>
          <w:tcPr>
            <w:tcW w:w="6912" w:type="dxa"/>
            <w:vMerge/>
          </w:tcPr>
          <w:p w14:paraId="31CE8256" w14:textId="77777777" w:rsidR="00520F36" w:rsidRPr="00BE7205" w:rsidRDefault="00520F36" w:rsidP="00DF74DD">
            <w:pPr>
              <w:shd w:val="solid" w:color="FFFFFF" w:fill="FFFFFF"/>
              <w:spacing w:before="180"/>
              <w:rPr>
                <w:smallCaps/>
              </w:rPr>
            </w:pPr>
            <w:bookmarkStart w:id="5" w:name="dorlang" w:colFirst="1" w:colLast="1"/>
            <w:bookmarkEnd w:id="4"/>
          </w:p>
        </w:tc>
        <w:tc>
          <w:tcPr>
            <w:tcW w:w="3261" w:type="dxa"/>
          </w:tcPr>
          <w:p w14:paraId="5A6AE1E0" w14:textId="77777777" w:rsidR="00520F36" w:rsidRPr="00BE7205" w:rsidRDefault="00520F36" w:rsidP="00520F36">
            <w:pPr>
              <w:spacing w:before="0"/>
              <w:rPr>
                <w:b/>
                <w:bCs/>
              </w:rPr>
            </w:pPr>
            <w:proofErr w:type="gramStart"/>
            <w:r w:rsidRPr="00BE7205">
              <w:rPr>
                <w:b/>
                <w:bCs/>
              </w:rPr>
              <w:t>Original:</w:t>
            </w:r>
            <w:proofErr w:type="gramEnd"/>
            <w:r w:rsidRPr="00BE7205">
              <w:rPr>
                <w:b/>
                <w:bCs/>
              </w:rPr>
              <w:t xml:space="preserve"> anglais</w:t>
            </w:r>
          </w:p>
        </w:tc>
      </w:tr>
      <w:tr w:rsidR="00520F36" w:rsidRPr="00BE7205" w14:paraId="283ECDA1" w14:textId="77777777">
        <w:trPr>
          <w:cantSplit/>
        </w:trPr>
        <w:tc>
          <w:tcPr>
            <w:tcW w:w="10173" w:type="dxa"/>
            <w:gridSpan w:val="2"/>
          </w:tcPr>
          <w:p w14:paraId="260EFE4E" w14:textId="6CCDDC4C" w:rsidR="00520F36" w:rsidRPr="00BE7205" w:rsidRDefault="00513F30" w:rsidP="00DF74DD">
            <w:pPr>
              <w:pStyle w:val="Source"/>
            </w:pPr>
            <w:bookmarkStart w:id="6" w:name="dsource" w:colFirst="0" w:colLast="0"/>
            <w:bookmarkEnd w:id="5"/>
            <w:r w:rsidRPr="00BE7205">
              <w:t>Note du Secrétaire général</w:t>
            </w:r>
          </w:p>
        </w:tc>
      </w:tr>
      <w:tr w:rsidR="00520F36" w:rsidRPr="00BE7205" w14:paraId="5C1028EC" w14:textId="77777777">
        <w:trPr>
          <w:cantSplit/>
        </w:trPr>
        <w:tc>
          <w:tcPr>
            <w:tcW w:w="10173" w:type="dxa"/>
            <w:gridSpan w:val="2"/>
          </w:tcPr>
          <w:p w14:paraId="0C63646C" w14:textId="5E02A07D" w:rsidR="00520F36" w:rsidRPr="00BE7205" w:rsidRDefault="00513F30" w:rsidP="00DF74DD">
            <w:pPr>
              <w:pStyle w:val="Title1"/>
            </w:pPr>
            <w:bookmarkStart w:id="7" w:name="_Hlk41656305"/>
            <w:bookmarkStart w:id="8" w:name="dtitle1" w:colFirst="0" w:colLast="0"/>
            <w:bookmarkEnd w:id="6"/>
            <w:r w:rsidRPr="00BE7205">
              <w:t>COMPTE RENDU DES TRAVAUX DU GROUPE CONSULTATIF D'éTATS MEMBRES</w:t>
            </w:r>
            <w:r w:rsidRPr="00BE7205">
              <w:br/>
              <w:t>pour le PROJET DE LOCAUX DU SIèGE DE L'UNION</w:t>
            </w:r>
            <w:bookmarkEnd w:id="7"/>
          </w:p>
        </w:tc>
      </w:tr>
    </w:tbl>
    <w:bookmarkEnd w:id="8"/>
    <w:p w14:paraId="3C18B5F0" w14:textId="77777777" w:rsidR="00513F30" w:rsidRPr="00BE7205" w:rsidRDefault="00513F30" w:rsidP="001E3959">
      <w:pPr>
        <w:spacing w:before="840"/>
      </w:pPr>
      <w:r w:rsidRPr="00BE7205">
        <w:t>J'ai l'honneur de transmettre aux États Membres du Conseil le compte rendu des travaux du </w:t>
      </w:r>
      <w:r w:rsidRPr="00BE7205">
        <w:rPr>
          <w:b/>
          <w:bCs/>
        </w:rPr>
        <w:t>Groupe consultatif d'États Membres (Groupe MSAG)</w:t>
      </w:r>
      <w:r w:rsidRPr="00BE7205">
        <w:t>.</w:t>
      </w:r>
    </w:p>
    <w:p w14:paraId="1B087A6D" w14:textId="77777777" w:rsidR="00513F30" w:rsidRPr="00BE7205" w:rsidRDefault="00513F30" w:rsidP="00513F30">
      <w:pPr>
        <w:tabs>
          <w:tab w:val="clear" w:pos="567"/>
          <w:tab w:val="clear" w:pos="1134"/>
          <w:tab w:val="clear" w:pos="1701"/>
          <w:tab w:val="clear" w:pos="2268"/>
          <w:tab w:val="clear" w:pos="2835"/>
          <w:tab w:val="center" w:pos="7088"/>
        </w:tabs>
        <w:spacing w:before="840"/>
      </w:pPr>
      <w:r w:rsidRPr="00BE7205">
        <w:tab/>
        <w:t>Houlin ZHAO</w:t>
      </w:r>
      <w:r w:rsidRPr="00BE7205">
        <w:br/>
      </w:r>
      <w:r w:rsidRPr="00BE7205">
        <w:tab/>
        <w:t>Secrétaire général</w:t>
      </w:r>
    </w:p>
    <w:p w14:paraId="2F4D70F4" w14:textId="77777777" w:rsidR="00513F30" w:rsidRPr="00BE7205" w:rsidRDefault="00513F30" w:rsidP="00513F30">
      <w:r w:rsidRPr="00BE7205">
        <w:br w:type="page"/>
      </w:r>
    </w:p>
    <w:p w14:paraId="72FECD95" w14:textId="54376E38" w:rsidR="00520F36" w:rsidRPr="00FF16B0" w:rsidRDefault="00513F30" w:rsidP="00FF16B0">
      <w:pPr>
        <w:spacing w:after="480"/>
        <w:jc w:val="center"/>
        <w:rPr>
          <w:sz w:val="28"/>
          <w:szCs w:val="28"/>
        </w:rPr>
      </w:pPr>
      <w:r w:rsidRPr="00FF16B0">
        <w:rPr>
          <w:sz w:val="28"/>
          <w:szCs w:val="28"/>
        </w:rPr>
        <w:lastRenderedPageBreak/>
        <w:t xml:space="preserve">COMPTE RENDU DES TRAVAUX DU GROUPE CONSULTATIF D'ÉTATS MEMBRES </w:t>
      </w:r>
      <w:r w:rsidRPr="00FF16B0">
        <w:rPr>
          <w:sz w:val="28"/>
          <w:szCs w:val="28"/>
        </w:rPr>
        <w:br/>
        <w:t>POUR LE PROJET DE LOCAUX DU SIÈGE DE L'UNION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E7205" w14:paraId="3770314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421C3E4" w14:textId="77777777" w:rsidR="00520F36" w:rsidRPr="00BE7205" w:rsidRDefault="00520F36">
            <w:pPr>
              <w:pStyle w:val="Headingb"/>
            </w:pPr>
            <w:r w:rsidRPr="00BE7205">
              <w:t>Résumé</w:t>
            </w:r>
          </w:p>
          <w:p w14:paraId="0E64D7ED" w14:textId="123A8F6C" w:rsidR="00520F36" w:rsidRPr="00BE7205" w:rsidRDefault="00513F30">
            <w:r w:rsidRPr="00BE7205">
              <w:t xml:space="preserve">On trouvera dans le présent document un compte rendu des travaux </w:t>
            </w:r>
            <w:r w:rsidR="005F1982">
              <w:t>menés par le</w:t>
            </w:r>
            <w:r w:rsidRPr="00BE7205">
              <w:t xml:space="preserve"> Groupe consultatif d'États Membres pour le projet de locaux du siège de l'Union (Groupe MSAG)</w:t>
            </w:r>
            <w:r w:rsidR="005F1982">
              <w:t xml:space="preserve"> depuis son dernier rapport soumis au Conseil</w:t>
            </w:r>
            <w:r w:rsidRPr="00BE7205">
              <w:t>.</w:t>
            </w:r>
          </w:p>
          <w:p w14:paraId="4DBC4742" w14:textId="77777777" w:rsidR="00520F36" w:rsidRPr="00BE7205" w:rsidRDefault="00520F36">
            <w:pPr>
              <w:pStyle w:val="Headingb"/>
            </w:pPr>
            <w:proofErr w:type="gramStart"/>
            <w:r w:rsidRPr="00BE7205">
              <w:t>Suite à</w:t>
            </w:r>
            <w:proofErr w:type="gramEnd"/>
            <w:r w:rsidRPr="00BE7205">
              <w:t xml:space="preserve"> donner</w:t>
            </w:r>
          </w:p>
          <w:p w14:paraId="4B06969A" w14:textId="44680C45" w:rsidR="00520F36" w:rsidRPr="00BE7205" w:rsidRDefault="00513F30" w:rsidP="008773B7">
            <w:pPr>
              <w:spacing w:after="120"/>
            </w:pPr>
            <w:r w:rsidRPr="00BE7205">
              <w:t xml:space="preserve">Le Conseil est invité à </w:t>
            </w:r>
            <w:r w:rsidRPr="00BE7205">
              <w:rPr>
                <w:b/>
                <w:bCs/>
              </w:rPr>
              <w:t>prendre note</w:t>
            </w:r>
            <w:r w:rsidRPr="00BE7205">
              <w:t xml:space="preserve"> du rapport et à </w:t>
            </w:r>
            <w:r w:rsidRPr="00BE7205">
              <w:rPr>
                <w:b/>
                <w:bCs/>
              </w:rPr>
              <w:t>donner les indications</w:t>
            </w:r>
            <w:r w:rsidRPr="00BE7205">
              <w:t xml:space="preserve"> qu'il jugera nécessaires.</w:t>
            </w:r>
          </w:p>
          <w:p w14:paraId="56CC73CD" w14:textId="77777777" w:rsidR="00520F36" w:rsidRPr="00BE7205" w:rsidRDefault="00520F36">
            <w:pPr>
              <w:pStyle w:val="Table"/>
              <w:keepNext w:val="0"/>
              <w:spacing w:before="0" w:after="0"/>
              <w:rPr>
                <w:rFonts w:ascii="Calibri" w:hAnsi="Calibri"/>
                <w:caps w:val="0"/>
                <w:sz w:val="22"/>
                <w:lang w:val="fr-FR"/>
              </w:rPr>
            </w:pPr>
            <w:r w:rsidRPr="00BE7205">
              <w:rPr>
                <w:rFonts w:ascii="Calibri" w:hAnsi="Calibri"/>
                <w:caps w:val="0"/>
                <w:sz w:val="22"/>
                <w:lang w:val="fr-FR"/>
              </w:rPr>
              <w:t>____________</w:t>
            </w:r>
          </w:p>
          <w:p w14:paraId="7C8361DA" w14:textId="77777777" w:rsidR="00520F36" w:rsidRPr="00BE7205" w:rsidRDefault="00520F36">
            <w:pPr>
              <w:pStyle w:val="Headingb"/>
            </w:pPr>
            <w:r w:rsidRPr="00BE7205">
              <w:t>Références</w:t>
            </w:r>
          </w:p>
          <w:p w14:paraId="5FF0E438" w14:textId="7621C622" w:rsidR="00520F36" w:rsidRPr="00BE7205" w:rsidRDefault="001E3959" w:rsidP="00FF16B0">
            <w:pPr>
              <w:spacing w:after="120"/>
              <w:rPr>
                <w:i/>
                <w:iCs/>
              </w:rPr>
            </w:pPr>
            <w:hyperlink r:id="rId8" w:history="1">
              <w:r w:rsidR="00513F30" w:rsidRPr="00BE7205">
                <w:rPr>
                  <w:rStyle w:val="Hyperlink"/>
                  <w:i/>
                  <w:iCs/>
                </w:rPr>
                <w:t>Décision 588 du Conseil</w:t>
              </w:r>
            </w:hyperlink>
            <w:r w:rsidR="00513F30" w:rsidRPr="00BE7205">
              <w:rPr>
                <w:i/>
                <w:iCs/>
              </w:rPr>
              <w:t xml:space="preserve">; </w:t>
            </w:r>
            <w:hyperlink r:id="rId9" w:history="1">
              <w:r w:rsidR="00513F30" w:rsidRPr="00BE7205">
                <w:rPr>
                  <w:rStyle w:val="Hyperlink"/>
                  <w:i/>
                  <w:iCs/>
                </w:rPr>
                <w:t>Décision 619 du Conseil</w:t>
              </w:r>
            </w:hyperlink>
            <w:r w:rsidR="00513F30" w:rsidRPr="00BE7205">
              <w:rPr>
                <w:i/>
                <w:iCs/>
              </w:rPr>
              <w:t xml:space="preserve">, </w:t>
            </w:r>
            <w:hyperlink r:id="rId10" w:history="1">
              <w:r w:rsidR="00513F30" w:rsidRPr="00BE7205">
                <w:rPr>
                  <w:rStyle w:val="Hyperlink"/>
                  <w:i/>
                  <w:iCs/>
                </w:rPr>
                <w:t>Résolution 212 (Dubaï, 2018)</w:t>
              </w:r>
            </w:hyperlink>
            <w:r w:rsidR="00513F30" w:rsidRPr="00BE7205">
              <w:rPr>
                <w:i/>
                <w:iCs/>
              </w:rPr>
              <w:t xml:space="preserve"> de la Conférence de plénipotentiaires; Documents </w:t>
            </w:r>
            <w:hyperlink r:id="rId11" w:history="1">
              <w:r w:rsidR="00513F30" w:rsidRPr="00BE7205">
                <w:rPr>
                  <w:rStyle w:val="Hyperlink"/>
                  <w:i/>
                  <w:iCs/>
                </w:rPr>
                <w:t>C19/48</w:t>
              </w:r>
            </w:hyperlink>
            <w:r w:rsidR="00513F30" w:rsidRPr="00BE7205">
              <w:rPr>
                <w:i/>
                <w:iCs/>
              </w:rPr>
              <w:t xml:space="preserve"> et </w:t>
            </w:r>
            <w:hyperlink r:id="rId12" w:history="1">
              <w:r w:rsidR="00513F30" w:rsidRPr="00BE7205">
                <w:rPr>
                  <w:rStyle w:val="Hyperlink"/>
                  <w:i/>
                  <w:iCs/>
                </w:rPr>
                <w:t>C20/48</w:t>
              </w:r>
            </w:hyperlink>
            <w:r w:rsidR="00513F30" w:rsidRPr="00BE7205">
              <w:rPr>
                <w:i/>
                <w:iCs/>
              </w:rPr>
              <w:t xml:space="preserve"> du Conseil</w:t>
            </w:r>
          </w:p>
        </w:tc>
      </w:tr>
    </w:tbl>
    <w:p w14:paraId="5B2757E9" w14:textId="027616AB" w:rsidR="007421BF" w:rsidRPr="00BE7205" w:rsidRDefault="007C540E" w:rsidP="007C540E">
      <w:pPr>
        <w:pStyle w:val="Heading1"/>
      </w:pPr>
      <w:r>
        <w:t>1</w:t>
      </w:r>
      <w:r w:rsidR="007421BF" w:rsidRPr="00BE7205">
        <w:tab/>
        <w:t>Résumé des réunions récentes du Groupe MSAG</w:t>
      </w:r>
    </w:p>
    <w:p w14:paraId="0F647CDC" w14:textId="779DEFA8" w:rsidR="007421BF" w:rsidRPr="00BE7205" w:rsidRDefault="007421BF" w:rsidP="007C540E">
      <w:pPr>
        <w:spacing w:after="120"/>
        <w:rPr>
          <w:rFonts w:asciiTheme="minorHAnsi" w:hAnsiTheme="minorHAnsi" w:cstheme="minorHAnsi"/>
        </w:rPr>
      </w:pPr>
      <w:r w:rsidRPr="00BE7205">
        <w:rPr>
          <w:rFonts w:asciiTheme="minorHAnsi" w:hAnsiTheme="minorHAnsi"/>
        </w:rPr>
        <w:t xml:space="preserve">Depuis la soumission de son rapport (Document </w:t>
      </w:r>
      <w:hyperlink r:id="rId13" w:history="1">
        <w:r w:rsidRPr="00BE7205">
          <w:rPr>
            <w:rStyle w:val="Hyperlink"/>
            <w:rFonts w:asciiTheme="minorHAnsi" w:hAnsiTheme="minorHAnsi"/>
          </w:rPr>
          <w:t>C20/48</w:t>
        </w:r>
      </w:hyperlink>
      <w:r w:rsidRPr="00BE7205">
        <w:rPr>
          <w:rFonts w:asciiTheme="minorHAnsi" w:hAnsiTheme="minorHAnsi"/>
        </w:rPr>
        <w:t xml:space="preserve">) à la consultation virtuelle des Conseillers tenue en novembre 2020, le </w:t>
      </w:r>
      <w:r w:rsidRPr="00BE7205">
        <w:t>Groupe consultatif d'États Membres pour le projet de locaux du siège de l'Union (Groupe MSAG) a tenu deux réunions, sous forme virtu</w:t>
      </w:r>
      <w:r w:rsidR="007C540E">
        <w:t>elle, le 12 novembre 2020 et le </w:t>
      </w:r>
      <w:r w:rsidRPr="00BE7205">
        <w:t xml:space="preserve">25 février 2021, sous la présidence de M. Greg Ratta (États-Unis d'Amérique). Les rapports complets de ces réunions sont disponibles à l'adresse </w:t>
      </w:r>
      <w:proofErr w:type="gramStart"/>
      <w:r w:rsidRPr="00BE7205">
        <w:t>suivante</w:t>
      </w:r>
      <w:r w:rsidRPr="00BE7205">
        <w:rPr>
          <w:rFonts w:asciiTheme="minorHAnsi" w:hAnsiTheme="minorHAnsi"/>
        </w:rPr>
        <w:t>:</w:t>
      </w:r>
      <w:proofErr w:type="gramEnd"/>
      <w:r w:rsidRPr="00BE7205">
        <w:rPr>
          <w:rFonts w:asciiTheme="minorHAnsi" w:hAnsiTheme="minorHAnsi"/>
        </w:rPr>
        <w:t xml:space="preserve"> </w:t>
      </w:r>
      <w:hyperlink r:id="rId14" w:history="1">
        <w:r w:rsidR="008773B7">
          <w:rPr>
            <w:rStyle w:val="Hyperlink"/>
            <w:rFonts w:asciiTheme="minorHAnsi" w:hAnsiTheme="minorHAnsi"/>
          </w:rPr>
          <w:t>https://www.itu.int/fr/hq-building/Pages/default.aspx</w:t>
        </w:r>
      </w:hyperlink>
      <w:r w:rsidRPr="00BE7205">
        <w:rPr>
          <w:rFonts w:asciiTheme="minorHAnsi" w:hAnsiTheme="minorHAnsi"/>
        </w:rPr>
        <w:t xml:space="preserve"> (</w:t>
      </w:r>
      <w:r w:rsidRPr="00BE7205">
        <w:t>accès réservé aux titulaires d'un compte TIES</w:t>
      </w:r>
      <w:r w:rsidRPr="00BE7205">
        <w:rPr>
          <w:rFonts w:asciiTheme="minorHAnsi" w:hAnsiTheme="minorHAnsi"/>
        </w:rPr>
        <w:t xml:space="preserve">). </w:t>
      </w:r>
      <w:r w:rsidR="001D5D1D" w:rsidRPr="00BE7205">
        <w:rPr>
          <w:rFonts w:asciiTheme="minorHAnsi" w:hAnsiTheme="minorHAnsi" w:cstheme="minorHAnsi"/>
        </w:rPr>
        <w:t>On trouvera ci-après</w:t>
      </w:r>
      <w:r w:rsidR="00F0734C" w:rsidRPr="00BE7205">
        <w:rPr>
          <w:rFonts w:asciiTheme="minorHAnsi" w:hAnsiTheme="minorHAnsi" w:cstheme="minorHAnsi"/>
        </w:rPr>
        <w:t xml:space="preserve"> </w:t>
      </w:r>
      <w:r w:rsidR="001D5D1D" w:rsidRPr="00BE7205">
        <w:rPr>
          <w:rFonts w:asciiTheme="minorHAnsi" w:hAnsiTheme="minorHAnsi" w:cstheme="minorHAnsi"/>
        </w:rPr>
        <w:t xml:space="preserve">un </w:t>
      </w:r>
      <w:r w:rsidR="00081C91">
        <w:rPr>
          <w:rFonts w:asciiTheme="minorHAnsi" w:hAnsiTheme="minorHAnsi" w:cstheme="minorHAnsi"/>
        </w:rPr>
        <w:t>compte rendu</w:t>
      </w:r>
      <w:r w:rsidR="001D5D1D" w:rsidRPr="00BE7205">
        <w:rPr>
          <w:rFonts w:asciiTheme="minorHAnsi" w:hAnsiTheme="minorHAnsi" w:cstheme="minorHAnsi"/>
        </w:rPr>
        <w:t xml:space="preserve"> de ces réunions</w:t>
      </w:r>
      <w:r w:rsidRPr="00BE7205">
        <w:rPr>
          <w:rFonts w:asciiTheme="minorHAnsi" w:hAnsiTheme="minorHAnsi" w:cstheme="minorHAnsi"/>
        </w:rPr>
        <w:t>.</w:t>
      </w:r>
    </w:p>
    <w:p w14:paraId="1D16B707" w14:textId="53758FDE" w:rsidR="007421BF" w:rsidRPr="00BE7205" w:rsidRDefault="007C540E" w:rsidP="007C540E">
      <w:pPr>
        <w:rPr>
          <w:rFonts w:asciiTheme="minorHAnsi" w:hAnsiTheme="minorHAnsi" w:cstheme="minorHAnsi"/>
        </w:rPr>
      </w:pPr>
      <w:r>
        <w:rPr>
          <w:rFonts w:eastAsia="SimSun"/>
          <w:lang w:eastAsia="en-AU"/>
        </w:rPr>
        <w:t>1.1</w:t>
      </w:r>
      <w:r>
        <w:rPr>
          <w:rFonts w:eastAsia="SimSun"/>
          <w:lang w:eastAsia="en-AU"/>
        </w:rPr>
        <w:tab/>
      </w:r>
      <w:r w:rsidR="00BE7205" w:rsidRPr="00BE7205">
        <w:rPr>
          <w:rFonts w:eastAsia="SimSun"/>
          <w:lang w:eastAsia="en-AU"/>
        </w:rPr>
        <w:t>À sa</w:t>
      </w:r>
      <w:r w:rsidR="007421BF" w:rsidRPr="00BE7205">
        <w:rPr>
          <w:rFonts w:eastAsia="SimSun"/>
          <w:lang w:eastAsia="en-AU"/>
        </w:rPr>
        <w:t xml:space="preserve"> </w:t>
      </w:r>
      <w:r w:rsidR="007421BF" w:rsidRPr="00BE7205">
        <w:rPr>
          <w:rFonts w:eastAsia="SimSun"/>
          <w:b/>
          <w:bCs/>
          <w:lang w:eastAsia="en-AU"/>
        </w:rPr>
        <w:t>12</w:t>
      </w:r>
      <w:r w:rsidR="00BE7205" w:rsidRPr="00BE7205">
        <w:rPr>
          <w:rFonts w:eastAsia="SimSun"/>
          <w:b/>
          <w:bCs/>
          <w:lang w:eastAsia="en-AU"/>
        </w:rPr>
        <w:t>ème</w:t>
      </w:r>
      <w:r w:rsidR="007421BF" w:rsidRPr="00BE7205">
        <w:rPr>
          <w:rFonts w:eastAsia="SimSun"/>
          <w:b/>
          <w:bCs/>
          <w:lang w:eastAsia="en-AU"/>
        </w:rPr>
        <w:t xml:space="preserve"> </w:t>
      </w:r>
      <w:r w:rsidR="00BE7205" w:rsidRPr="00BE7205">
        <w:rPr>
          <w:rFonts w:eastAsia="SimSun"/>
          <w:b/>
          <w:bCs/>
          <w:lang w:eastAsia="en-AU"/>
        </w:rPr>
        <w:t>réunion</w:t>
      </w:r>
      <w:r w:rsidR="007421BF" w:rsidRPr="00BE7205">
        <w:rPr>
          <w:rFonts w:eastAsia="SimSun"/>
          <w:lang w:eastAsia="en-AU"/>
        </w:rPr>
        <w:t xml:space="preserve"> (12 </w:t>
      </w:r>
      <w:r w:rsidR="00BE7205">
        <w:rPr>
          <w:rFonts w:eastAsia="SimSun"/>
          <w:lang w:eastAsia="en-AU"/>
        </w:rPr>
        <w:t>novembre</w:t>
      </w:r>
      <w:r w:rsidR="007421BF" w:rsidRPr="00BE7205">
        <w:rPr>
          <w:rFonts w:eastAsia="SimSun"/>
          <w:lang w:eastAsia="en-AU"/>
        </w:rPr>
        <w:t xml:space="preserve"> 2020)</w:t>
      </w:r>
      <w:r w:rsidR="00BE7205">
        <w:rPr>
          <w:rFonts w:eastAsia="SimSun"/>
          <w:lang w:eastAsia="en-AU"/>
        </w:rPr>
        <w:t>, le Groupe</w:t>
      </w:r>
      <w:r w:rsidR="007421BF" w:rsidRPr="00BE7205">
        <w:rPr>
          <w:rFonts w:eastAsia="SimSun"/>
          <w:lang w:eastAsia="en-AU"/>
        </w:rPr>
        <w:t xml:space="preserve"> MSAG </w:t>
      </w:r>
      <w:r w:rsidR="00BE7205">
        <w:rPr>
          <w:rFonts w:eastAsia="SimSun"/>
          <w:lang w:eastAsia="en-AU"/>
        </w:rPr>
        <w:t xml:space="preserve">a examiné </w:t>
      </w:r>
      <w:r w:rsidR="00BE7205" w:rsidRPr="00BE7205">
        <w:rPr>
          <w:rFonts w:eastAsia="SimSun"/>
          <w:lang w:eastAsia="en-AU"/>
        </w:rPr>
        <w:t>le rapport</w:t>
      </w:r>
      <w:r w:rsidR="00081C91">
        <w:rPr>
          <w:rFonts w:eastAsia="SimSun"/>
          <w:lang w:eastAsia="en-AU"/>
        </w:rPr>
        <w:t xml:space="preserve"> sur les progrès réalisés concernant le</w:t>
      </w:r>
      <w:r w:rsidR="008D2332">
        <w:rPr>
          <w:rFonts w:eastAsia="SimSun"/>
          <w:lang w:eastAsia="en-AU"/>
        </w:rPr>
        <w:t xml:space="preserve"> projet</w:t>
      </w:r>
      <w:r w:rsidR="00BE7205" w:rsidRPr="00BE7205">
        <w:rPr>
          <w:rFonts w:eastAsia="SimSun"/>
          <w:lang w:eastAsia="en-AU"/>
        </w:rPr>
        <w:t xml:space="preserve"> figurant dans le Document C20/7(Rév.1), passé en revue les neuf points du registre des risques révisé</w:t>
      </w:r>
      <w:r w:rsidR="008D2332">
        <w:rPr>
          <w:rFonts w:eastAsia="SimSun"/>
          <w:lang w:eastAsia="en-AU"/>
        </w:rPr>
        <w:t>s</w:t>
      </w:r>
      <w:r w:rsidR="00BE7205">
        <w:rPr>
          <w:rFonts w:eastAsia="SimSun"/>
          <w:lang w:eastAsia="en-AU"/>
        </w:rPr>
        <w:t xml:space="preserve"> entre août et septembre</w:t>
      </w:r>
      <w:r w:rsidR="00BE7205" w:rsidRPr="00BE7205">
        <w:rPr>
          <w:rFonts w:eastAsia="SimSun"/>
          <w:lang w:eastAsia="en-AU"/>
        </w:rPr>
        <w:t>, demandé des éclaircissements sur le rapport</w:t>
      </w:r>
      <w:r w:rsidR="00BE7205">
        <w:rPr>
          <w:rFonts w:eastAsia="SimSun"/>
          <w:lang w:eastAsia="en-AU"/>
        </w:rPr>
        <w:t xml:space="preserve"> de SPG</w:t>
      </w:r>
      <w:r w:rsidR="00A55FA5">
        <w:rPr>
          <w:rFonts w:eastAsia="SimSun"/>
          <w:lang w:eastAsia="en-AU"/>
        </w:rPr>
        <w:t xml:space="preserve"> Intercity</w:t>
      </w:r>
      <w:r w:rsidR="00BE7205" w:rsidRPr="00BE7205">
        <w:rPr>
          <w:rFonts w:eastAsia="SimSun"/>
          <w:lang w:eastAsia="en-AU"/>
        </w:rPr>
        <w:t xml:space="preserve"> </w:t>
      </w:r>
      <w:r w:rsidR="00A55FA5">
        <w:rPr>
          <w:rFonts w:eastAsia="SimSun"/>
          <w:lang w:eastAsia="en-AU"/>
        </w:rPr>
        <w:t>(</w:t>
      </w:r>
      <w:r w:rsidR="00BE7205" w:rsidRPr="00BE7205">
        <w:rPr>
          <w:rFonts w:eastAsia="SimSun"/>
          <w:lang w:eastAsia="en-AU"/>
        </w:rPr>
        <w:t xml:space="preserve">Documents </w:t>
      </w:r>
      <w:hyperlink r:id="rId15" w:history="1">
        <w:r w:rsidR="00BE7205" w:rsidRPr="00A55FA5">
          <w:rPr>
            <w:rStyle w:val="Hyperlink"/>
            <w:rFonts w:eastAsia="SimSun"/>
            <w:lang w:eastAsia="en-AU"/>
          </w:rPr>
          <w:t>C20/77</w:t>
        </w:r>
      </w:hyperlink>
      <w:r w:rsidR="00BE7205" w:rsidRPr="00BE7205">
        <w:rPr>
          <w:rFonts w:eastAsia="SimSun"/>
          <w:lang w:eastAsia="en-AU"/>
        </w:rPr>
        <w:t xml:space="preserve"> et </w:t>
      </w:r>
      <w:hyperlink r:id="rId16" w:history="1">
        <w:r w:rsidR="00BE7205" w:rsidRPr="00A55FA5">
          <w:rPr>
            <w:rStyle w:val="Hyperlink"/>
            <w:rFonts w:eastAsia="SimSun"/>
            <w:lang w:eastAsia="en-AU"/>
          </w:rPr>
          <w:t>C20/INF/20</w:t>
        </w:r>
      </w:hyperlink>
      <w:r w:rsidR="00A55FA5">
        <w:rPr>
          <w:rFonts w:eastAsia="SimSun"/>
          <w:lang w:eastAsia="en-AU"/>
        </w:rPr>
        <w:t xml:space="preserve">) </w:t>
      </w:r>
      <w:r w:rsidR="00A55FA5" w:rsidRPr="00A55FA5">
        <w:rPr>
          <w:rFonts w:eastAsia="SimSun"/>
          <w:lang w:eastAsia="en-AU"/>
        </w:rPr>
        <w:t>concernant la stratégie à suivre pour mettre la Tour en vente de manière optimale</w:t>
      </w:r>
      <w:r w:rsidR="00BE7205" w:rsidRPr="00BE7205">
        <w:rPr>
          <w:rFonts w:eastAsia="SimSun"/>
          <w:lang w:eastAsia="en-AU"/>
        </w:rPr>
        <w:t xml:space="preserve"> et abordé les incidences du COVID sur la conception de l'espace de travail décrites dans le Document </w:t>
      </w:r>
      <w:hyperlink r:id="rId17" w:history="1">
        <w:r w:rsidR="00BE7205" w:rsidRPr="00A55FA5">
          <w:rPr>
            <w:rStyle w:val="Hyperlink"/>
            <w:rFonts w:eastAsia="SimSun"/>
            <w:lang w:eastAsia="en-AU"/>
          </w:rPr>
          <w:t>C20/INF/21</w:t>
        </w:r>
      </w:hyperlink>
      <w:r w:rsidR="00BE7205" w:rsidRPr="00BE7205">
        <w:rPr>
          <w:rFonts w:eastAsia="SimSun"/>
          <w:lang w:eastAsia="en-AU"/>
        </w:rPr>
        <w:t>.</w:t>
      </w:r>
    </w:p>
    <w:p w14:paraId="0B783660" w14:textId="7438CC18" w:rsidR="007421BF" w:rsidRDefault="00A55FA5" w:rsidP="007C540E">
      <w:r>
        <w:t xml:space="preserve">Pour mémoire, un registre des risques est un outil </w:t>
      </w:r>
      <w:r w:rsidR="008D2332">
        <w:t>qui constitue</w:t>
      </w:r>
      <w:r>
        <w:t xml:space="preserve"> une bonne pratique dans le cadre de la gestion d'un projet </w:t>
      </w:r>
      <w:r w:rsidR="008D2332">
        <w:t>permettant</w:t>
      </w:r>
      <w:r>
        <w:t xml:space="preserve"> d'identifier et de gérer les risques. Le registre des risques </w:t>
      </w:r>
      <w:r w:rsidR="008D2332">
        <w:t>contient les réponses</w:t>
      </w:r>
      <w:r>
        <w:t xml:space="preserve"> à la question "qu'arriverait-il si &lt;x&gt; se produit et quel </w:t>
      </w:r>
      <w:r w:rsidR="008D2332">
        <w:t xml:space="preserve">en </w:t>
      </w:r>
      <w:r>
        <w:t xml:space="preserve">serait le </w:t>
      </w:r>
      <w:proofErr w:type="gramStart"/>
      <w:r>
        <w:t>coût?</w:t>
      </w:r>
      <w:proofErr w:type="gramEnd"/>
      <w:r>
        <w:t>". Les points examinés pendant cette réunion portaient sur les possibl</w:t>
      </w:r>
      <w:r w:rsidR="007C540E">
        <w:t>es incidences de la pandémie de </w:t>
      </w:r>
      <w:r>
        <w:t xml:space="preserve">COVID-19 sur la conception du nouveau bâtiment du siège ou sur le calendrier de construction, </w:t>
      </w:r>
      <w:r w:rsidR="00684E5B">
        <w:t>les dispositions relatives à la sécurité prévues en dehors de la parcelle appartenant à l'UIT et l'optimisation de la valeur de la Tour lors de sa vente.</w:t>
      </w:r>
    </w:p>
    <w:p w14:paraId="41FA9EBE" w14:textId="77777777" w:rsidR="008773B7" w:rsidRPr="00BE7205" w:rsidRDefault="008773B7" w:rsidP="007C540E"/>
    <w:p w14:paraId="020F7AE2" w14:textId="77777777" w:rsidR="008773B7" w:rsidRDefault="008773B7" w:rsidP="007C540E">
      <w:r>
        <w:br w:type="page"/>
      </w:r>
    </w:p>
    <w:p w14:paraId="67282553" w14:textId="08D58301" w:rsidR="00684E5B" w:rsidRDefault="00684E5B" w:rsidP="007C540E">
      <w:r>
        <w:lastRenderedPageBreak/>
        <w:t xml:space="preserve">Le Groupe </w:t>
      </w:r>
      <w:r w:rsidR="007421BF" w:rsidRPr="00BE7205">
        <w:t xml:space="preserve">MSAG </w:t>
      </w:r>
      <w:r>
        <w:t>a examiné la proposition de SPG Intercity qui a été étudiée plus avant lors de la seconde consultation virtuelle des Conseillers tenue plus tard en novembre. Les discussions du Groupe MSAG ont essentiellement visé à mieux comprendre pourquoi l'option de cession-bail est souhaitable pour l'UIT.</w:t>
      </w:r>
    </w:p>
    <w:p w14:paraId="55CBAC86" w14:textId="26F16969" w:rsidR="00684E5B" w:rsidRDefault="00684E5B" w:rsidP="007C540E">
      <w:pPr>
        <w:rPr>
          <w:rFonts w:asciiTheme="minorHAnsi" w:hAnsiTheme="minorHAnsi" w:cstheme="minorHAnsi"/>
          <w:szCs w:val="24"/>
        </w:rPr>
      </w:pPr>
      <w:r>
        <w:rPr>
          <w:rFonts w:asciiTheme="minorHAnsi" w:hAnsiTheme="minorHAnsi" w:cstheme="minorHAnsi"/>
          <w:szCs w:val="24"/>
        </w:rPr>
        <w:t xml:space="preserve">S'il est trop tôt pour évaluer toutes les incidences de la pandémie de COVID-19, Mme Dobbelstein a répété que </w:t>
      </w:r>
      <w:r w:rsidR="00A85B0D">
        <w:t>le nouveau bâtiment, selon la capacité actuelle, ne p</w:t>
      </w:r>
      <w:r w:rsidR="008D2332">
        <w:t>ouvait</w:t>
      </w:r>
      <w:r w:rsidR="00A85B0D">
        <w:t xml:space="preserve"> pas accueillir le personnel existant dans l'éventualité où il serait nécessaire d'instaurer une distance de deux mètres entre chaque personne, sauf si le nombre moyen quotidien de membres du personnel sur place peut être réduit d'au moins 33% moyennant une </w:t>
      </w:r>
      <w:r w:rsidR="00A85B0D" w:rsidRPr="001D4BAC">
        <w:t>modification de la politique concernant l'attribution des bureaux et de la politique sur le télétravail</w:t>
      </w:r>
      <w:r w:rsidR="00A85B0D">
        <w:t>.</w:t>
      </w:r>
    </w:p>
    <w:p w14:paraId="1245DE21" w14:textId="2F78E13E" w:rsidR="007421BF" w:rsidRPr="00BE7205" w:rsidRDefault="007C540E" w:rsidP="007C540E">
      <w:pPr>
        <w:rPr>
          <w:rFonts w:eastAsia="SimSun"/>
          <w:lang w:eastAsia="en-AU"/>
        </w:rPr>
      </w:pPr>
      <w:r>
        <w:rPr>
          <w:rFonts w:eastAsia="SimSun"/>
          <w:lang w:eastAsia="en-AU"/>
        </w:rPr>
        <w:t>1.2</w:t>
      </w:r>
      <w:r>
        <w:rPr>
          <w:rFonts w:eastAsia="SimSun"/>
          <w:lang w:eastAsia="en-AU"/>
        </w:rPr>
        <w:tab/>
      </w:r>
      <w:r w:rsidR="005E0E75">
        <w:rPr>
          <w:rFonts w:eastAsia="SimSun"/>
          <w:lang w:eastAsia="en-AU"/>
        </w:rPr>
        <w:t xml:space="preserve">À sa </w:t>
      </w:r>
      <w:r w:rsidR="007421BF" w:rsidRPr="00BE7205">
        <w:rPr>
          <w:rFonts w:eastAsia="SimSun"/>
          <w:b/>
          <w:bCs/>
          <w:lang w:eastAsia="en-AU"/>
        </w:rPr>
        <w:t>13</w:t>
      </w:r>
      <w:r w:rsidR="005E0E75" w:rsidRPr="007C540E">
        <w:rPr>
          <w:rFonts w:eastAsia="SimSun"/>
          <w:b/>
          <w:bCs/>
          <w:lang w:eastAsia="en-AU"/>
        </w:rPr>
        <w:t xml:space="preserve">ème </w:t>
      </w:r>
      <w:r w:rsidR="005E0E75">
        <w:rPr>
          <w:rFonts w:eastAsia="SimSun"/>
          <w:b/>
          <w:bCs/>
          <w:lang w:eastAsia="en-AU"/>
        </w:rPr>
        <w:t>réunion</w:t>
      </w:r>
      <w:r w:rsidR="007421BF" w:rsidRPr="00BE7205">
        <w:rPr>
          <w:rFonts w:eastAsia="SimSun"/>
          <w:lang w:eastAsia="en-AU"/>
        </w:rPr>
        <w:t xml:space="preserve"> (25 </w:t>
      </w:r>
      <w:r w:rsidR="005E0E75">
        <w:rPr>
          <w:rFonts w:eastAsia="SimSun"/>
          <w:lang w:eastAsia="en-AU"/>
        </w:rPr>
        <w:t>février</w:t>
      </w:r>
      <w:r w:rsidR="007421BF" w:rsidRPr="00BE7205">
        <w:rPr>
          <w:rFonts w:eastAsia="SimSun"/>
          <w:lang w:eastAsia="en-AU"/>
        </w:rPr>
        <w:t xml:space="preserve"> 2021)</w:t>
      </w:r>
      <w:r w:rsidR="005E0E75">
        <w:rPr>
          <w:rFonts w:eastAsia="SimSun"/>
          <w:lang w:eastAsia="en-AU"/>
        </w:rPr>
        <w:t>, le Groupe</w:t>
      </w:r>
      <w:r w:rsidR="007421BF" w:rsidRPr="00BE7205">
        <w:rPr>
          <w:rFonts w:eastAsia="SimSun"/>
          <w:lang w:eastAsia="en-AU"/>
        </w:rPr>
        <w:t xml:space="preserve"> MSAG </w:t>
      </w:r>
      <w:r w:rsidR="005E0E75">
        <w:rPr>
          <w:rFonts w:eastAsia="SimSun"/>
          <w:lang w:eastAsia="en-AU"/>
        </w:rPr>
        <w:t xml:space="preserve">a de nouveau </w:t>
      </w:r>
      <w:r w:rsidR="005E0E75" w:rsidRPr="005E0E75">
        <w:rPr>
          <w:rFonts w:eastAsia="SimSun"/>
          <w:lang w:eastAsia="en-AU"/>
        </w:rPr>
        <w:t>procédé à une analyse détaillée du registre des risques (au 14 juillet 2020), et 16 des 102 éléments figurant dans le registre ont fait l'objet de discussions approfondies</w:t>
      </w:r>
      <w:r w:rsidR="005E0E75">
        <w:rPr>
          <w:rFonts w:eastAsia="SimSun"/>
          <w:lang w:eastAsia="en-AU"/>
        </w:rPr>
        <w:t>, en lien avec les catégories suivantes:</w:t>
      </w:r>
      <w:r w:rsidR="005E0E75" w:rsidRPr="00FF16B0">
        <w:t xml:space="preserve"> </w:t>
      </w:r>
      <w:r w:rsidR="005E0E75" w:rsidRPr="005E0E75">
        <w:rPr>
          <w:rFonts w:eastAsia="SimSun"/>
          <w:lang w:eastAsia="en-AU"/>
        </w:rPr>
        <w:t>risques liés à la continuité des activités</w:t>
      </w:r>
      <w:r w:rsidR="005E0E75">
        <w:rPr>
          <w:rFonts w:eastAsia="SimSun"/>
          <w:lang w:eastAsia="en-AU"/>
        </w:rPr>
        <w:t xml:space="preserve">, </w:t>
      </w:r>
      <w:r w:rsidR="005E0E75" w:rsidRPr="005E0E75">
        <w:rPr>
          <w:rFonts w:eastAsia="SimSun"/>
          <w:lang w:eastAsia="en-AU"/>
        </w:rPr>
        <w:t>gestion du changement</w:t>
      </w:r>
      <w:r w:rsidR="005E0E75">
        <w:rPr>
          <w:rFonts w:eastAsia="SimSun"/>
          <w:lang w:eastAsia="en-AU"/>
        </w:rPr>
        <w:t xml:space="preserve">, </w:t>
      </w:r>
      <w:r w:rsidR="005E0E75" w:rsidRPr="005E0E75">
        <w:rPr>
          <w:rFonts w:eastAsia="SimSun"/>
          <w:lang w:eastAsia="en-AU"/>
        </w:rPr>
        <w:t>communication, risques extérieurs, financement</w:t>
      </w:r>
      <w:r w:rsidR="005E0E75">
        <w:rPr>
          <w:rFonts w:eastAsia="SimSun"/>
          <w:lang w:eastAsia="en-AU"/>
        </w:rPr>
        <w:t xml:space="preserve">, questions juridiques, </w:t>
      </w:r>
      <w:r w:rsidR="005E0E75" w:rsidRPr="005E0E75">
        <w:rPr>
          <w:rFonts w:eastAsia="SimSun"/>
          <w:lang w:eastAsia="en-AU"/>
        </w:rPr>
        <w:t>passation de marchés et gestion des contrats</w:t>
      </w:r>
      <w:r w:rsidR="005E0E75">
        <w:rPr>
          <w:rFonts w:eastAsia="SimSun"/>
          <w:lang w:eastAsia="en-AU"/>
        </w:rPr>
        <w:t xml:space="preserve">, et programme (portée des travaux). </w:t>
      </w:r>
      <w:r w:rsidR="005E0E75" w:rsidRPr="005E0E75">
        <w:rPr>
          <w:rFonts w:eastAsia="SimSun"/>
          <w:lang w:eastAsia="en-AU"/>
        </w:rPr>
        <w:t>Dans la plupart des cas, à l'issue de la discussion, le secrétariat est convenu d'apporter des précisions au registre</w:t>
      </w:r>
      <w:r w:rsidR="005E0E75">
        <w:rPr>
          <w:rFonts w:eastAsia="SimSun"/>
          <w:lang w:eastAsia="en-AU"/>
        </w:rPr>
        <w:t>.</w:t>
      </w:r>
      <w:r w:rsidR="007421BF" w:rsidRPr="00BE7205">
        <w:rPr>
          <w:rFonts w:eastAsia="SimSun"/>
          <w:lang w:eastAsia="en-AU"/>
        </w:rPr>
        <w:t xml:space="preserve"> </w:t>
      </w:r>
    </w:p>
    <w:p w14:paraId="4A8E7F80" w14:textId="2E07A954" w:rsidR="005E0E75" w:rsidRDefault="005E0E75" w:rsidP="007C540E">
      <w:pPr>
        <w:rPr>
          <w:rFonts w:eastAsia="SimSun"/>
          <w:lang w:eastAsia="en-AU"/>
        </w:rPr>
      </w:pPr>
      <w:r>
        <w:rPr>
          <w:rFonts w:eastAsia="SimSun"/>
          <w:lang w:eastAsia="en-AU"/>
        </w:rPr>
        <w:t xml:space="preserve">Mme Dobbelstein a en outre présenté au Groupe MSAG des informations actualisées sur l'état d'avancement du projet, </w:t>
      </w:r>
      <w:r w:rsidR="001D4BAC">
        <w:rPr>
          <w:rFonts w:eastAsia="SimSun"/>
          <w:lang w:eastAsia="en-AU"/>
        </w:rPr>
        <w:t xml:space="preserve">avec les indications </w:t>
      </w:r>
      <w:proofErr w:type="gramStart"/>
      <w:r w:rsidR="001D4BAC">
        <w:rPr>
          <w:rFonts w:eastAsia="SimSun"/>
          <w:lang w:eastAsia="en-AU"/>
        </w:rPr>
        <w:t>suivantes</w:t>
      </w:r>
      <w:r>
        <w:rPr>
          <w:rFonts w:eastAsia="SimSun"/>
          <w:lang w:eastAsia="en-AU"/>
        </w:rPr>
        <w:t>:</w:t>
      </w:r>
      <w:proofErr w:type="gramEnd"/>
    </w:p>
    <w:p w14:paraId="60194CFE" w14:textId="0108A0CC" w:rsidR="005E0E75" w:rsidRDefault="007C540E" w:rsidP="007C540E">
      <w:pPr>
        <w:pStyle w:val="enumlev1"/>
        <w:rPr>
          <w:rFonts w:eastAsia="SimSun"/>
          <w:lang w:eastAsia="en-AU"/>
        </w:rPr>
      </w:pPr>
      <w:r w:rsidRPr="007C540E">
        <w:rPr>
          <w:rFonts w:eastAsia="SimSun"/>
          <w:lang w:eastAsia="en-AU"/>
        </w:rPr>
        <w:t>•</w:t>
      </w:r>
      <w:r>
        <w:rPr>
          <w:rFonts w:eastAsia="SimSun"/>
          <w:lang w:eastAsia="en-AU"/>
        </w:rPr>
        <w:tab/>
      </w:r>
      <w:r w:rsidR="005E0E75">
        <w:rPr>
          <w:rFonts w:eastAsia="SimSun"/>
          <w:lang w:eastAsia="en-AU"/>
        </w:rPr>
        <w:t>Le contrat de prêt est en cours d'achèvement et sa signature devrait avoir lieu en mars.</w:t>
      </w:r>
    </w:p>
    <w:p w14:paraId="51175228" w14:textId="1D740976" w:rsidR="007421BF" w:rsidRPr="00D9051D" w:rsidRDefault="007C540E" w:rsidP="007C540E">
      <w:pPr>
        <w:pStyle w:val="enumlev1"/>
        <w:rPr>
          <w:rFonts w:eastAsia="SimSun"/>
          <w:lang w:eastAsia="en-AU"/>
        </w:rPr>
      </w:pPr>
      <w:r w:rsidRPr="007C540E">
        <w:rPr>
          <w:rFonts w:eastAsia="SimSun"/>
          <w:lang w:eastAsia="en-AU"/>
        </w:rPr>
        <w:t>•</w:t>
      </w:r>
      <w:r>
        <w:rPr>
          <w:rFonts w:eastAsia="SimSun"/>
          <w:lang w:eastAsia="en-AU"/>
        </w:rPr>
        <w:tab/>
      </w:r>
      <w:r w:rsidR="005E0E75" w:rsidRPr="00D9051D">
        <w:rPr>
          <w:rFonts w:eastAsia="SimSun"/>
          <w:lang w:eastAsia="en-AU"/>
        </w:rPr>
        <w:t xml:space="preserve">La portée des travaux </w:t>
      </w:r>
      <w:r w:rsidR="00D73AF4">
        <w:rPr>
          <w:rFonts w:eastAsia="SimSun"/>
          <w:lang w:eastAsia="en-AU"/>
        </w:rPr>
        <w:t xml:space="preserve">qui a été soumise à la mission suisse en novembre 2019 a été approuvée en janvier 2021. Elle </w:t>
      </w:r>
      <w:r w:rsidR="005E0E75" w:rsidRPr="00D9051D">
        <w:rPr>
          <w:rFonts w:eastAsia="SimSun"/>
          <w:lang w:eastAsia="en-AU"/>
        </w:rPr>
        <w:t xml:space="preserve">a été élargie afin d'intégrer l'application des recommandations UN-MOSS à un périmètre plus </w:t>
      </w:r>
      <w:r w:rsidR="00D9051D" w:rsidRPr="00D9051D">
        <w:rPr>
          <w:rFonts w:eastAsia="SimSun"/>
          <w:lang w:eastAsia="en-AU"/>
        </w:rPr>
        <w:t xml:space="preserve">vaste (rue </w:t>
      </w:r>
      <w:r w:rsidR="007421BF" w:rsidRPr="00D9051D">
        <w:rPr>
          <w:rFonts w:eastAsia="SimSun"/>
          <w:lang w:eastAsia="en-AU"/>
        </w:rPr>
        <w:t xml:space="preserve">Montbrillant, </w:t>
      </w:r>
      <w:r w:rsidR="00D73AF4">
        <w:rPr>
          <w:rFonts w:eastAsia="SimSun"/>
          <w:lang w:eastAsia="en-AU"/>
        </w:rPr>
        <w:t>a</w:t>
      </w:r>
      <w:r w:rsidR="007421BF" w:rsidRPr="00D9051D">
        <w:rPr>
          <w:rFonts w:eastAsia="SimSun"/>
          <w:lang w:eastAsia="en-AU"/>
        </w:rPr>
        <w:t xml:space="preserve">venue de France </w:t>
      </w:r>
      <w:r w:rsidR="00D9051D">
        <w:rPr>
          <w:rFonts w:eastAsia="SimSun"/>
          <w:lang w:eastAsia="en-AU"/>
        </w:rPr>
        <w:t>et</w:t>
      </w:r>
      <w:r w:rsidR="007421BF" w:rsidRPr="00D9051D">
        <w:rPr>
          <w:rFonts w:eastAsia="SimSun"/>
          <w:lang w:eastAsia="en-AU"/>
        </w:rPr>
        <w:t xml:space="preserve"> </w:t>
      </w:r>
      <w:r w:rsidR="00D73AF4">
        <w:rPr>
          <w:rFonts w:eastAsia="SimSun"/>
          <w:lang w:eastAsia="en-AU"/>
        </w:rPr>
        <w:t>a</w:t>
      </w:r>
      <w:r w:rsidR="007421BF" w:rsidRPr="00D9051D">
        <w:rPr>
          <w:rFonts w:eastAsia="SimSun"/>
          <w:lang w:eastAsia="en-AU"/>
        </w:rPr>
        <w:t>venue G. Motta)</w:t>
      </w:r>
      <w:r w:rsidR="00D9051D">
        <w:rPr>
          <w:rFonts w:eastAsia="SimSun"/>
          <w:lang w:eastAsia="en-AU"/>
        </w:rPr>
        <w:t xml:space="preserve"> et la mise en œuvre de mesures de sécurité supplémentaires dans le Parking des Nations.</w:t>
      </w:r>
      <w:r w:rsidR="005E1130">
        <w:rPr>
          <w:rFonts w:eastAsia="SimSun"/>
          <w:lang w:eastAsia="en-AU"/>
        </w:rPr>
        <w:t xml:space="preserve"> La portée de l'étude couvre en outre les exigences </w:t>
      </w:r>
      <w:r w:rsidR="00D73AF4">
        <w:rPr>
          <w:rFonts w:eastAsia="SimSun"/>
          <w:lang w:eastAsia="en-AU"/>
        </w:rPr>
        <w:t>de</w:t>
      </w:r>
      <w:r w:rsidR="005E1130">
        <w:rPr>
          <w:rFonts w:eastAsia="SimSun"/>
          <w:lang w:eastAsia="en-AU"/>
        </w:rPr>
        <w:t xml:space="preserve"> tous les voisins. Un calendrier détaillé </w:t>
      </w:r>
      <w:r w:rsidR="00D73AF4">
        <w:rPr>
          <w:rFonts w:eastAsia="SimSun"/>
          <w:lang w:eastAsia="en-AU"/>
        </w:rPr>
        <w:t xml:space="preserve">pour cette activité </w:t>
      </w:r>
      <w:r w:rsidR="005E1130">
        <w:rPr>
          <w:rFonts w:eastAsia="SimSun"/>
          <w:lang w:eastAsia="en-AU"/>
        </w:rPr>
        <w:t xml:space="preserve">figurera dans le rapport sur le nouveau bâtiment qui sera présenté à la </w:t>
      </w:r>
      <w:r w:rsidR="006C619F">
        <w:rPr>
          <w:rFonts w:eastAsia="SimSun"/>
          <w:lang w:eastAsia="en-AU"/>
        </w:rPr>
        <w:t>consultation virtuelle des Conseillers en</w:t>
      </w:r>
      <w:r w:rsidR="005E1130">
        <w:rPr>
          <w:rFonts w:eastAsia="SimSun"/>
          <w:lang w:eastAsia="en-AU"/>
        </w:rPr>
        <w:t xml:space="preserve"> juin 2021. Le coût de la mise en </w:t>
      </w:r>
      <w:r w:rsidR="00AB0B69">
        <w:rPr>
          <w:rFonts w:eastAsia="SimSun"/>
          <w:lang w:eastAsia="en-AU"/>
        </w:rPr>
        <w:t>œuvre</w:t>
      </w:r>
      <w:r w:rsidR="005E1130">
        <w:rPr>
          <w:rFonts w:eastAsia="SimSun"/>
          <w:lang w:eastAsia="en-AU"/>
        </w:rPr>
        <w:t xml:space="preserve"> des mesures de sécurité </w:t>
      </w:r>
      <w:r w:rsidR="006C619F">
        <w:rPr>
          <w:rFonts w:eastAsia="SimSun"/>
          <w:lang w:eastAsia="en-AU"/>
        </w:rPr>
        <w:t>dans</w:t>
      </w:r>
      <w:r w:rsidR="005E1130">
        <w:rPr>
          <w:rFonts w:eastAsia="SimSun"/>
          <w:lang w:eastAsia="en-AU"/>
        </w:rPr>
        <w:t xml:space="preserve"> le domaine public n'est pas compris dans le coût approuvé pour le nouveau bâtiment, mais une somme a été </w:t>
      </w:r>
      <w:r w:rsidR="006C619F">
        <w:rPr>
          <w:rFonts w:eastAsia="SimSun"/>
          <w:lang w:eastAsia="en-AU"/>
        </w:rPr>
        <w:t>affectée</w:t>
      </w:r>
      <w:r w:rsidR="005E1130">
        <w:rPr>
          <w:rFonts w:eastAsia="SimSun"/>
          <w:lang w:eastAsia="en-AU"/>
        </w:rPr>
        <w:t xml:space="preserve"> à cet effet dans le registre des risques.</w:t>
      </w:r>
      <w:r w:rsidR="00AB0B69">
        <w:rPr>
          <w:rFonts w:eastAsia="SimSun"/>
          <w:lang w:eastAsia="en-AU"/>
        </w:rPr>
        <w:t xml:space="preserve"> </w:t>
      </w:r>
      <w:r w:rsidR="006C619F">
        <w:rPr>
          <w:rFonts w:eastAsia="SimSun"/>
          <w:lang w:eastAsia="en-AU"/>
        </w:rPr>
        <w:t>L</w:t>
      </w:r>
      <w:r w:rsidR="00AB0B69">
        <w:rPr>
          <w:rFonts w:eastAsia="SimSun"/>
          <w:lang w:eastAsia="en-AU"/>
        </w:rPr>
        <w:t>es négociations portant sur une possible répartition des coûts entre toutes les parties auront lieu lorsque l'étude de faisabilité aura été achevée.</w:t>
      </w:r>
    </w:p>
    <w:p w14:paraId="06B7AE96" w14:textId="18F90AB5" w:rsidR="007421BF" w:rsidRPr="00BE7205" w:rsidRDefault="007C540E" w:rsidP="007C540E">
      <w:pPr>
        <w:pStyle w:val="enumlev1"/>
        <w:rPr>
          <w:rFonts w:eastAsia="SimSun"/>
          <w:lang w:eastAsia="en-AU"/>
        </w:rPr>
      </w:pPr>
      <w:r w:rsidRPr="007C540E">
        <w:rPr>
          <w:rFonts w:eastAsia="SimSun"/>
          <w:lang w:eastAsia="en-AU"/>
        </w:rPr>
        <w:t>•</w:t>
      </w:r>
      <w:r>
        <w:rPr>
          <w:rFonts w:eastAsia="SimSun"/>
          <w:lang w:eastAsia="en-AU"/>
        </w:rPr>
        <w:tab/>
      </w:r>
      <w:r w:rsidR="00AE334B">
        <w:rPr>
          <w:rFonts w:eastAsia="SimSun"/>
          <w:lang w:eastAsia="en-AU"/>
        </w:rPr>
        <w:t xml:space="preserve">Le </w:t>
      </w:r>
      <w:r w:rsidR="006C619F">
        <w:rPr>
          <w:rFonts w:eastAsia="SimSun"/>
          <w:lang w:eastAsia="en-AU"/>
        </w:rPr>
        <w:t xml:space="preserve">projet de </w:t>
      </w:r>
      <w:r w:rsidR="00AE334B">
        <w:rPr>
          <w:rFonts w:eastAsia="SimSun"/>
          <w:lang w:eastAsia="en-AU"/>
        </w:rPr>
        <w:t>document contenant</w:t>
      </w:r>
      <w:r w:rsidR="006C619F">
        <w:rPr>
          <w:rFonts w:eastAsia="SimSun"/>
          <w:lang w:eastAsia="en-AU"/>
        </w:rPr>
        <w:t xml:space="preserve"> la</w:t>
      </w:r>
      <w:r w:rsidR="00AE334B">
        <w:rPr>
          <w:rFonts w:eastAsia="SimSun"/>
          <w:lang w:eastAsia="en-AU"/>
        </w:rPr>
        <w:t xml:space="preserve"> conception détaillée soumis par l'architecte a été reçu fin janvier et l'UIT procède actuellement à la rédaction des observations qui seront traitées dans le cadre de la soumission finale prévue en mars.</w:t>
      </w:r>
    </w:p>
    <w:p w14:paraId="4FB1731A" w14:textId="54BEB2D3" w:rsidR="007421BF" w:rsidRPr="00BE7205" w:rsidRDefault="007C540E" w:rsidP="007C540E">
      <w:pPr>
        <w:pStyle w:val="enumlev1"/>
        <w:rPr>
          <w:rFonts w:eastAsia="SimSun"/>
          <w:lang w:eastAsia="en-AU"/>
        </w:rPr>
      </w:pPr>
      <w:r w:rsidRPr="007C540E">
        <w:rPr>
          <w:rFonts w:eastAsia="SimSun"/>
          <w:lang w:eastAsia="en-AU"/>
        </w:rPr>
        <w:t>•</w:t>
      </w:r>
      <w:r>
        <w:rPr>
          <w:rFonts w:eastAsia="SimSun"/>
          <w:lang w:eastAsia="en-AU"/>
        </w:rPr>
        <w:tab/>
      </w:r>
      <w:r w:rsidR="002F7C55">
        <w:rPr>
          <w:rFonts w:eastAsia="SimSun"/>
          <w:lang w:eastAsia="en-AU"/>
        </w:rPr>
        <w:t xml:space="preserve">Le </w:t>
      </w:r>
      <w:r w:rsidR="002F7C55" w:rsidRPr="002F7C55">
        <w:rPr>
          <w:rFonts w:eastAsia="SimSun"/>
          <w:lang w:eastAsia="en-AU"/>
        </w:rPr>
        <w:t>plan de mise en œuvre pour les conditions de travail du personnel</w:t>
      </w:r>
      <w:r w:rsidR="002F7C55">
        <w:rPr>
          <w:rFonts w:eastAsia="SimSun"/>
          <w:lang w:eastAsia="en-AU"/>
        </w:rPr>
        <w:t xml:space="preserve"> comprendra les politiques applicables pendant la période de relogement et lorsque le nouveau bâtiment sera occupé. Le processus d'appel d'offres a été mené à bien et le contrat devrait être signé avec l'entreprise</w:t>
      </w:r>
      <w:r w:rsidR="006C619F">
        <w:rPr>
          <w:rFonts w:eastAsia="SimSun"/>
          <w:lang w:eastAsia="en-AU"/>
        </w:rPr>
        <w:t xml:space="preserve"> retenue qui est spécialisée dans les</w:t>
      </w:r>
      <w:r w:rsidR="00C046CA">
        <w:rPr>
          <w:rFonts w:eastAsia="SimSun"/>
          <w:lang w:eastAsia="en-AU"/>
        </w:rPr>
        <w:t xml:space="preserve"> conditions de travail du personnel. Les premiers résultats seront prêts à temps pour</w:t>
      </w:r>
      <w:r w:rsidR="006C619F">
        <w:rPr>
          <w:rFonts w:eastAsia="SimSun"/>
          <w:lang w:eastAsia="en-AU"/>
        </w:rPr>
        <w:t xml:space="preserve"> pouvoir</w:t>
      </w:r>
      <w:r w:rsidR="00C046CA">
        <w:rPr>
          <w:rFonts w:eastAsia="SimSun"/>
          <w:lang w:eastAsia="en-AU"/>
        </w:rPr>
        <w:t xml:space="preserve"> présenter de premiers commentaires aux conseillers en juin.</w:t>
      </w:r>
    </w:p>
    <w:p w14:paraId="459560A6" w14:textId="7D5F7DFF" w:rsidR="008E2AA2" w:rsidRDefault="008E2AA2" w:rsidP="007C540E">
      <w:r>
        <w:t xml:space="preserve">Le Groupe </w:t>
      </w:r>
      <w:r w:rsidR="007421BF" w:rsidRPr="00BE7205">
        <w:t xml:space="preserve">MSAG </w:t>
      </w:r>
      <w:r>
        <w:t>a recommandé au secrétariat d'indiquer explicitement</w:t>
      </w:r>
      <w:r w:rsidR="0021385E">
        <w:t>,</w:t>
      </w:r>
      <w:r>
        <w:t xml:space="preserve"> dans la comparaison des coûts de fonctionnement et des coûts d'entretien de la Tour</w:t>
      </w:r>
      <w:r w:rsidR="0021385E">
        <w:t>,</w:t>
      </w:r>
      <w:r>
        <w:t xml:space="preserve"> que le calcul a été fait sur la base de la superficie des espaces de bureaux (et non sur la base d'une analyse de marché).</w:t>
      </w:r>
    </w:p>
    <w:p w14:paraId="5081B081" w14:textId="27E57455" w:rsidR="007421BF" w:rsidRPr="00BE7205" w:rsidRDefault="008E2AA2" w:rsidP="007C540E">
      <w:r>
        <w:lastRenderedPageBreak/>
        <w:t xml:space="preserve">Le Président a informé le Groupe MSAG que les questions soulevées par le Groupe lors des </w:t>
      </w:r>
      <w:r w:rsidR="0021385E">
        <w:t>consultations virtuelle</w:t>
      </w:r>
      <w:r w:rsidR="007C540E">
        <w:t>s</w:t>
      </w:r>
      <w:r w:rsidR="0021385E">
        <w:t xml:space="preserve"> des Conseillers</w:t>
      </w:r>
      <w:r>
        <w:t xml:space="preserve"> ont été examinées par le GTC-FHR. Le secrétariat a proposé de verser 3,6 millions CHF</w:t>
      </w:r>
      <w:r w:rsidR="0021385E">
        <w:t xml:space="preserve"> supplémentaires</w:t>
      </w:r>
      <w:r>
        <w:t xml:space="preserve"> sur le Fonds pour le registre des risques provenant des économies réalisées en 2020, si </w:t>
      </w:r>
      <w:r w:rsidR="0021385E">
        <w:t>celles-ci sont disponibles</w:t>
      </w:r>
      <w:r>
        <w:t>. Aucune décision n'a encore été prise concernant ce financement supplémentaire. La décision final</w:t>
      </w:r>
      <w:r w:rsidR="0021385E">
        <w:t>e</w:t>
      </w:r>
      <w:r>
        <w:t xml:space="preserve"> doit être prise par le Conseil. Les participants ont salué les efforts déployés par le secrétariat pour financer le </w:t>
      </w:r>
      <w:r w:rsidR="0021385E">
        <w:t>F</w:t>
      </w:r>
      <w:r>
        <w:t>onds.</w:t>
      </w:r>
    </w:p>
    <w:p w14:paraId="1A5D3868" w14:textId="3CB3B165" w:rsidR="007421BF" w:rsidRPr="00BE7205" w:rsidRDefault="007C540E" w:rsidP="007C540E">
      <w:pPr>
        <w:pStyle w:val="Heading1"/>
      </w:pPr>
      <w:r>
        <w:t>2</w:t>
      </w:r>
      <w:r w:rsidR="007421BF" w:rsidRPr="00BE7205">
        <w:tab/>
      </w:r>
      <w:r w:rsidR="008E2AA2" w:rsidRPr="008E2AA2">
        <w:t>Questions appelant l'attention du Conseil</w:t>
      </w:r>
    </w:p>
    <w:p w14:paraId="549B1971" w14:textId="47A6B40D" w:rsidR="00F04A18" w:rsidRDefault="008E2AA2" w:rsidP="007421BF">
      <w:pPr>
        <w:spacing w:after="240"/>
        <w:jc w:val="both"/>
        <w:rPr>
          <w:rFonts w:asciiTheme="minorHAnsi" w:hAnsiTheme="minorHAnsi" w:cstheme="minorHAnsi"/>
        </w:rPr>
      </w:pPr>
      <w:r>
        <w:rPr>
          <w:rFonts w:asciiTheme="minorHAnsi" w:hAnsiTheme="minorHAnsi" w:cstheme="minorHAnsi"/>
        </w:rPr>
        <w:t>Le Groupe MSAG</w:t>
      </w:r>
      <w:r w:rsidR="00F04A18">
        <w:rPr>
          <w:rFonts w:asciiTheme="minorHAnsi" w:hAnsiTheme="minorHAnsi" w:cstheme="minorHAnsi"/>
        </w:rPr>
        <w:t xml:space="preserve"> n'a recensé aucune nouvelle question appelant l'attention du Conseil.</w:t>
      </w:r>
    </w:p>
    <w:p w14:paraId="61563F8C" w14:textId="77777777" w:rsidR="007C540E" w:rsidRDefault="007C540E" w:rsidP="007C540E">
      <w:pPr>
        <w:jc w:val="both"/>
        <w:rPr>
          <w:rFonts w:asciiTheme="minorHAnsi" w:hAnsiTheme="minorHAnsi" w:cstheme="minorHAnsi"/>
        </w:rPr>
      </w:pPr>
    </w:p>
    <w:p w14:paraId="2D16B4EB" w14:textId="19C2071B" w:rsidR="007421BF" w:rsidRPr="00BE7205" w:rsidRDefault="007421BF" w:rsidP="007C540E">
      <w:pPr>
        <w:spacing w:before="600"/>
        <w:jc w:val="center"/>
      </w:pPr>
      <w:r w:rsidRPr="00BE7205">
        <w:rPr>
          <w:rFonts w:cstheme="minorHAnsi"/>
        </w:rPr>
        <w:t>_______________</w:t>
      </w:r>
    </w:p>
    <w:sectPr w:rsidR="007421BF" w:rsidRPr="00BE7205"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99A8" w14:textId="77777777" w:rsidR="00D95EAA" w:rsidRDefault="00D95EAA">
      <w:r>
        <w:separator/>
      </w:r>
    </w:p>
  </w:endnote>
  <w:endnote w:type="continuationSeparator" w:id="0">
    <w:p w14:paraId="614F4969" w14:textId="77777777" w:rsidR="00D95EAA" w:rsidRDefault="00D9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C2E2" w14:textId="6D38C0DA" w:rsidR="00732045" w:rsidRDefault="00853CFC">
    <w:pPr>
      <w:pStyle w:val="Footer"/>
    </w:pPr>
    <w:fldSimple w:instr=" FILENAME \p \* MERGEFORMAT ">
      <w:r>
        <w:t>P:\FRA\SG\CONSEIL\C21\000\048F.docx</w:t>
      </w:r>
    </w:fldSimple>
    <w:r w:rsidR="00732045">
      <w:tab/>
    </w:r>
    <w:r w:rsidR="002F1B76">
      <w:fldChar w:fldCharType="begin"/>
    </w:r>
    <w:r w:rsidR="00732045">
      <w:instrText xml:space="preserve"> savedate \@ dd.MM.yy </w:instrText>
    </w:r>
    <w:r w:rsidR="002F1B76">
      <w:fldChar w:fldCharType="separate"/>
    </w:r>
    <w:r w:rsidR="001E3959">
      <w:t>15.04.21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F435" w14:textId="1B5EF80C" w:rsidR="00732045" w:rsidRDefault="001E3959" w:rsidP="007C540E">
    <w:pPr>
      <w:pStyle w:val="Footer"/>
    </w:pPr>
    <w:r>
      <w:fldChar w:fldCharType="begin"/>
    </w:r>
    <w:r>
      <w:instrText xml:space="preserve"> FILENAME \p  \* MERGEFORMAT </w:instrText>
    </w:r>
    <w:r>
      <w:fldChar w:fldCharType="separate"/>
    </w:r>
    <w:r w:rsidR="00853CFC">
      <w:t>P:\FRA\SG\CONSEIL\C21\000\048F.docx</w:t>
    </w:r>
    <w:r>
      <w:fldChar w:fldCharType="end"/>
    </w:r>
    <w:r w:rsidR="007C540E">
      <w:t xml:space="preserve"> (483444)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E9E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E662" w14:textId="77777777" w:rsidR="00D95EAA" w:rsidRDefault="00D95EAA">
      <w:r>
        <w:t>____________________</w:t>
      </w:r>
    </w:p>
  </w:footnote>
  <w:footnote w:type="continuationSeparator" w:id="0">
    <w:p w14:paraId="12648084" w14:textId="77777777" w:rsidR="00D95EAA" w:rsidRDefault="00D9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A68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9D8DA3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1C0" w14:textId="4A90C0C4" w:rsidR="00732045" w:rsidRDefault="00C27A7C" w:rsidP="00475FB3">
    <w:pPr>
      <w:pStyle w:val="Header"/>
    </w:pPr>
    <w:r>
      <w:fldChar w:fldCharType="begin"/>
    </w:r>
    <w:r>
      <w:instrText>PAGE</w:instrText>
    </w:r>
    <w:r>
      <w:fldChar w:fldCharType="separate"/>
    </w:r>
    <w:r w:rsidR="00853CFC">
      <w:rPr>
        <w:noProof/>
      </w:rPr>
      <w:t>4</w:t>
    </w:r>
    <w:r>
      <w:rPr>
        <w:noProof/>
      </w:rPr>
      <w:fldChar w:fldCharType="end"/>
    </w:r>
  </w:p>
  <w:p w14:paraId="6537482B" w14:textId="4C4B9160" w:rsidR="00732045" w:rsidRDefault="00732045" w:rsidP="00106B19">
    <w:pPr>
      <w:pStyle w:val="Header"/>
    </w:pPr>
    <w:r>
      <w:t>C</w:t>
    </w:r>
    <w:r w:rsidR="009C353C">
      <w:t>2</w:t>
    </w:r>
    <w:r w:rsidR="004D1D50">
      <w:t>1</w:t>
    </w:r>
    <w:r>
      <w:t>/</w:t>
    </w:r>
    <w:r w:rsidR="007421BF">
      <w:t>48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1" w15:restartNumberingAfterBreak="0">
    <w:nsid w:val="35A36C4E"/>
    <w:multiLevelType w:val="hybridMultilevel"/>
    <w:tmpl w:val="837CC698"/>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30"/>
    <w:rsid w:val="00081C91"/>
    <w:rsid w:val="00093988"/>
    <w:rsid w:val="000D0D0A"/>
    <w:rsid w:val="00103163"/>
    <w:rsid w:val="00106B19"/>
    <w:rsid w:val="00115D93"/>
    <w:rsid w:val="001247A8"/>
    <w:rsid w:val="001378C0"/>
    <w:rsid w:val="0018694A"/>
    <w:rsid w:val="001A3287"/>
    <w:rsid w:val="001A6508"/>
    <w:rsid w:val="001D4BAC"/>
    <w:rsid w:val="001D4C31"/>
    <w:rsid w:val="001D5D1D"/>
    <w:rsid w:val="001E3959"/>
    <w:rsid w:val="001E4D21"/>
    <w:rsid w:val="00207CD1"/>
    <w:rsid w:val="0021385E"/>
    <w:rsid w:val="002477A2"/>
    <w:rsid w:val="00263A51"/>
    <w:rsid w:val="00267E02"/>
    <w:rsid w:val="002A5D44"/>
    <w:rsid w:val="002E0BC4"/>
    <w:rsid w:val="002F1B76"/>
    <w:rsid w:val="002F7C55"/>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13F30"/>
    <w:rsid w:val="00520F36"/>
    <w:rsid w:val="00540615"/>
    <w:rsid w:val="00540A6D"/>
    <w:rsid w:val="00571EEA"/>
    <w:rsid w:val="00575417"/>
    <w:rsid w:val="005768E1"/>
    <w:rsid w:val="005B1938"/>
    <w:rsid w:val="005C3890"/>
    <w:rsid w:val="005D595F"/>
    <w:rsid w:val="005E0E75"/>
    <w:rsid w:val="005E1130"/>
    <w:rsid w:val="005F1982"/>
    <w:rsid w:val="005F7BFE"/>
    <w:rsid w:val="00600017"/>
    <w:rsid w:val="006235CA"/>
    <w:rsid w:val="006643AB"/>
    <w:rsid w:val="00684E5B"/>
    <w:rsid w:val="006C619F"/>
    <w:rsid w:val="007210CD"/>
    <w:rsid w:val="00732045"/>
    <w:rsid w:val="007369DB"/>
    <w:rsid w:val="007421BF"/>
    <w:rsid w:val="007956C2"/>
    <w:rsid w:val="007A187E"/>
    <w:rsid w:val="007C540E"/>
    <w:rsid w:val="007C72C2"/>
    <w:rsid w:val="007D4436"/>
    <w:rsid w:val="007F257A"/>
    <w:rsid w:val="007F3665"/>
    <w:rsid w:val="00800037"/>
    <w:rsid w:val="00853CFC"/>
    <w:rsid w:val="00861D73"/>
    <w:rsid w:val="008773B7"/>
    <w:rsid w:val="00897553"/>
    <w:rsid w:val="008A4E87"/>
    <w:rsid w:val="008D2332"/>
    <w:rsid w:val="008D76E6"/>
    <w:rsid w:val="008E2AA2"/>
    <w:rsid w:val="0092392D"/>
    <w:rsid w:val="0093234A"/>
    <w:rsid w:val="0097363B"/>
    <w:rsid w:val="009C307F"/>
    <w:rsid w:val="009C353C"/>
    <w:rsid w:val="00A2113E"/>
    <w:rsid w:val="00A23A51"/>
    <w:rsid w:val="00A24607"/>
    <w:rsid w:val="00A25CD3"/>
    <w:rsid w:val="00A55FA5"/>
    <w:rsid w:val="00A709FE"/>
    <w:rsid w:val="00A82767"/>
    <w:rsid w:val="00A85B0D"/>
    <w:rsid w:val="00AA332F"/>
    <w:rsid w:val="00AA7BBB"/>
    <w:rsid w:val="00AB0B69"/>
    <w:rsid w:val="00AB64A8"/>
    <w:rsid w:val="00AC0266"/>
    <w:rsid w:val="00AD24EC"/>
    <w:rsid w:val="00AE334B"/>
    <w:rsid w:val="00B309F9"/>
    <w:rsid w:val="00B32B60"/>
    <w:rsid w:val="00B61619"/>
    <w:rsid w:val="00BB4545"/>
    <w:rsid w:val="00BD5873"/>
    <w:rsid w:val="00BE7205"/>
    <w:rsid w:val="00C046CA"/>
    <w:rsid w:val="00C04BE3"/>
    <w:rsid w:val="00C25D29"/>
    <w:rsid w:val="00C27A7C"/>
    <w:rsid w:val="00CA08ED"/>
    <w:rsid w:val="00CF183B"/>
    <w:rsid w:val="00D375CD"/>
    <w:rsid w:val="00D553A2"/>
    <w:rsid w:val="00D73AF4"/>
    <w:rsid w:val="00D774D3"/>
    <w:rsid w:val="00D904E8"/>
    <w:rsid w:val="00D9051D"/>
    <w:rsid w:val="00D95EAA"/>
    <w:rsid w:val="00DA08C3"/>
    <w:rsid w:val="00DB5A3E"/>
    <w:rsid w:val="00DC22AA"/>
    <w:rsid w:val="00DF74DD"/>
    <w:rsid w:val="00E25AD0"/>
    <w:rsid w:val="00E31779"/>
    <w:rsid w:val="00E7447B"/>
    <w:rsid w:val="00E767C2"/>
    <w:rsid w:val="00EB6350"/>
    <w:rsid w:val="00F04A18"/>
    <w:rsid w:val="00F0734C"/>
    <w:rsid w:val="00F15B57"/>
    <w:rsid w:val="00F427DB"/>
    <w:rsid w:val="00FA5EB1"/>
    <w:rsid w:val="00FA7439"/>
    <w:rsid w:val="00FC4EC0"/>
    <w:rsid w:val="00FF0181"/>
    <w:rsid w:val="00FF16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73756F"/>
  <w15:docId w15:val="{DAA364AC-EBE0-4A75-A354-0AD10DFC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13F30"/>
    <w:rPr>
      <w:color w:val="605E5C"/>
      <w:shd w:val="clear" w:color="auto" w:fill="E1DFDD"/>
    </w:rPr>
  </w:style>
  <w:style w:type="paragraph" w:styleId="ListParagraph">
    <w:name w:val="List Paragraph"/>
    <w:basedOn w:val="Normal"/>
    <w:uiPriority w:val="34"/>
    <w:qFormat/>
    <w:rsid w:val="007421B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hyperlink" Target="https://www.itu.int/md/S20-CL-C-0048/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0-CL-C-0048/en" TargetMode="External"/><Relationship Id="rId17" Type="http://schemas.openxmlformats.org/officeDocument/2006/relationships/hyperlink" Target="https://www.itu.int/md/S20-CL-INF-0021/en" TargetMode="External"/><Relationship Id="rId2" Type="http://schemas.openxmlformats.org/officeDocument/2006/relationships/styles" Target="styles.xml"/><Relationship Id="rId16" Type="http://schemas.openxmlformats.org/officeDocument/2006/relationships/hyperlink" Target="https://www.itu.int/md/S20-CL-INF-0020/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048/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0-CL-C-0077/en" TargetMode="External"/><Relationship Id="rId23" Type="http://schemas.openxmlformats.org/officeDocument/2006/relationships/fontTable" Target="fontTable.xml"/><Relationship Id="rId10" Type="http://schemas.openxmlformats.org/officeDocument/2006/relationships/hyperlink" Target="https://www.itu.int/en/council/Documents/basic-texts/RES-212-F.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19-CLADD-C-0005/en" TargetMode="External"/><Relationship Id="rId14" Type="http://schemas.openxmlformats.org/officeDocument/2006/relationships/hyperlink" Target="https://www.itu.int/fr/hq-building/Pages/default.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4</Pages>
  <Words>1149</Words>
  <Characters>6774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des travaux du groupe consultatif d'Etats Membres pour le projet de locaux du siège de l'Union</dc:title>
  <dc:subject>Council 2021, Virtual consultation of councillors</dc:subject>
  <dc:creator>French</dc:creator>
  <cp:keywords>C2021, C21, VCC, C21-VCC-1</cp:keywords>
  <dc:description/>
  <cp:lastModifiedBy>Brouard, Ricarda</cp:lastModifiedBy>
  <cp:revision>2</cp:revision>
  <cp:lastPrinted>2000-07-18T08:55:00Z</cp:lastPrinted>
  <dcterms:created xsi:type="dcterms:W3CDTF">2021-04-27T09:02:00Z</dcterms:created>
  <dcterms:modified xsi:type="dcterms:W3CDTF">2021-04-27T09:02:00Z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