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8B402D4" w14:textId="77777777">
        <w:trPr>
          <w:cantSplit/>
        </w:trPr>
        <w:tc>
          <w:tcPr>
            <w:tcW w:w="6911" w:type="dxa"/>
          </w:tcPr>
          <w:p w14:paraId="5F3D4C33"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4DA11BCA" w14:textId="77777777" w:rsidR="00700D1F" w:rsidRDefault="008418F5" w:rsidP="008418F5">
            <w:pPr>
              <w:spacing w:before="0"/>
            </w:pPr>
            <w:bookmarkStart w:id="0" w:name="ditulogo"/>
            <w:bookmarkEnd w:id="0"/>
            <w:r>
              <w:rPr>
                <w:noProof/>
                <w:lang w:eastAsia="zh-CN"/>
              </w:rPr>
              <w:drawing>
                <wp:inline distT="0" distB="0" distL="0" distR="0" wp14:anchorId="4B5B8801" wp14:editId="117D76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3C2927A" w14:textId="77777777">
        <w:trPr>
          <w:cantSplit/>
        </w:trPr>
        <w:tc>
          <w:tcPr>
            <w:tcW w:w="6911" w:type="dxa"/>
            <w:tcBorders>
              <w:bottom w:val="single" w:sz="12" w:space="0" w:color="auto"/>
            </w:tcBorders>
          </w:tcPr>
          <w:p w14:paraId="6CDD4ED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01256C90" w14:textId="77777777" w:rsidR="00700D1F" w:rsidRPr="00617BE4" w:rsidRDefault="00700D1F" w:rsidP="00001B77">
            <w:pPr>
              <w:spacing w:before="0"/>
              <w:rPr>
                <w:rFonts w:ascii="Verdana" w:hAnsi="Verdana"/>
                <w:szCs w:val="24"/>
              </w:rPr>
            </w:pPr>
          </w:p>
        </w:tc>
      </w:tr>
      <w:tr w:rsidR="00700D1F" w:rsidRPr="00617BE4" w14:paraId="4F94426F" w14:textId="77777777">
        <w:trPr>
          <w:cantSplit/>
        </w:trPr>
        <w:tc>
          <w:tcPr>
            <w:tcW w:w="6911" w:type="dxa"/>
            <w:tcBorders>
              <w:top w:val="single" w:sz="12" w:space="0" w:color="auto"/>
            </w:tcBorders>
          </w:tcPr>
          <w:p w14:paraId="2A7A14B6"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879468C" w14:textId="77777777" w:rsidR="00700D1F" w:rsidRPr="00617BE4" w:rsidRDefault="00700D1F" w:rsidP="00001B77">
            <w:pPr>
              <w:spacing w:before="0"/>
              <w:rPr>
                <w:rFonts w:ascii="Verdana" w:hAnsi="Verdana"/>
                <w:szCs w:val="24"/>
              </w:rPr>
            </w:pPr>
          </w:p>
        </w:tc>
      </w:tr>
      <w:tr w:rsidR="00700D1F" w14:paraId="4A2DB852" w14:textId="77777777">
        <w:trPr>
          <w:cantSplit/>
          <w:trHeight w:val="23"/>
        </w:trPr>
        <w:tc>
          <w:tcPr>
            <w:tcW w:w="6911" w:type="dxa"/>
            <w:vMerge w:val="restart"/>
          </w:tcPr>
          <w:p w14:paraId="05C58F28" w14:textId="42EC4DFB"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970364" w:rsidRPr="00970364">
              <w:rPr>
                <w:b/>
              </w:rPr>
              <w:t xml:space="preserve">ADM </w:t>
            </w:r>
            <w:r w:rsidR="00B0221A">
              <w:rPr>
                <w:b/>
              </w:rPr>
              <w:t>20</w:t>
            </w:r>
          </w:p>
        </w:tc>
        <w:tc>
          <w:tcPr>
            <w:tcW w:w="3120" w:type="dxa"/>
          </w:tcPr>
          <w:p w14:paraId="07119FD7" w14:textId="77D5CD0D"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970364">
              <w:rPr>
                <w:b/>
                <w:bCs/>
                <w:szCs w:val="24"/>
                <w:lang w:eastAsia="zh-CN"/>
              </w:rPr>
              <w:t>4</w:t>
            </w:r>
            <w:r w:rsidR="00B0221A">
              <w:rPr>
                <w:b/>
                <w:bCs/>
                <w:szCs w:val="24"/>
                <w:lang w:eastAsia="zh-CN"/>
              </w:rPr>
              <w:t>8</w:t>
            </w:r>
            <w:r w:rsidRPr="00FC5386">
              <w:rPr>
                <w:b/>
                <w:bCs/>
                <w:szCs w:val="24"/>
                <w:lang w:eastAsia="zh-CN"/>
              </w:rPr>
              <w:t>-C</w:t>
            </w:r>
          </w:p>
        </w:tc>
      </w:tr>
      <w:bookmarkEnd w:id="1"/>
      <w:tr w:rsidR="00700D1F" w14:paraId="0705C6E0" w14:textId="77777777">
        <w:trPr>
          <w:cantSplit/>
          <w:trHeight w:val="23"/>
        </w:trPr>
        <w:tc>
          <w:tcPr>
            <w:tcW w:w="6911" w:type="dxa"/>
            <w:vMerge/>
          </w:tcPr>
          <w:p w14:paraId="57050AFD" w14:textId="77777777" w:rsidR="00700D1F" w:rsidRDefault="00700D1F" w:rsidP="00001B77">
            <w:pPr>
              <w:tabs>
                <w:tab w:val="left" w:pos="851"/>
              </w:tabs>
              <w:rPr>
                <w:b/>
                <w:lang w:eastAsia="zh-CN"/>
              </w:rPr>
            </w:pPr>
          </w:p>
        </w:tc>
        <w:tc>
          <w:tcPr>
            <w:tcW w:w="3120" w:type="dxa"/>
          </w:tcPr>
          <w:p w14:paraId="778366A5" w14:textId="166155B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970364">
              <w:rPr>
                <w:rFonts w:asciiTheme="minorHAnsi" w:hAnsiTheme="minorHAnsi" w:cstheme="minorHAnsi"/>
                <w:b/>
                <w:bCs/>
                <w:szCs w:val="24"/>
                <w:lang w:eastAsia="zh-CN"/>
              </w:rPr>
              <w:t>3</w:t>
            </w:r>
            <w:r w:rsidRPr="00FC5386">
              <w:rPr>
                <w:rFonts w:hint="eastAsia"/>
                <w:b/>
                <w:bCs/>
                <w:szCs w:val="24"/>
                <w:lang w:eastAsia="zh-CN"/>
              </w:rPr>
              <w:t>月</w:t>
            </w:r>
            <w:r w:rsidR="00B0221A">
              <w:rPr>
                <w:rFonts w:hint="eastAsia"/>
                <w:b/>
                <w:bCs/>
                <w:szCs w:val="24"/>
                <w:lang w:eastAsia="zh-CN"/>
              </w:rPr>
              <w:t>2</w:t>
            </w:r>
            <w:r w:rsidR="00B0221A">
              <w:rPr>
                <w:b/>
                <w:bCs/>
                <w:szCs w:val="24"/>
                <w:lang w:eastAsia="zh-CN"/>
              </w:rPr>
              <w:t>6</w:t>
            </w:r>
            <w:r w:rsidRPr="00FC5386">
              <w:rPr>
                <w:rFonts w:hint="eastAsia"/>
                <w:b/>
                <w:bCs/>
                <w:szCs w:val="24"/>
                <w:lang w:eastAsia="zh-CN"/>
              </w:rPr>
              <w:t>日</w:t>
            </w:r>
          </w:p>
        </w:tc>
      </w:tr>
      <w:tr w:rsidR="00700D1F" w14:paraId="54A18CA8" w14:textId="77777777">
        <w:trPr>
          <w:cantSplit/>
          <w:trHeight w:val="23"/>
        </w:trPr>
        <w:tc>
          <w:tcPr>
            <w:tcW w:w="6911" w:type="dxa"/>
            <w:vMerge/>
          </w:tcPr>
          <w:p w14:paraId="03AB2777" w14:textId="77777777" w:rsidR="00700D1F" w:rsidRDefault="00700D1F" w:rsidP="00001B77">
            <w:pPr>
              <w:tabs>
                <w:tab w:val="left" w:pos="851"/>
              </w:tabs>
              <w:rPr>
                <w:b/>
                <w:lang w:eastAsia="zh-CN"/>
              </w:rPr>
            </w:pPr>
          </w:p>
        </w:tc>
        <w:tc>
          <w:tcPr>
            <w:tcW w:w="3120" w:type="dxa"/>
          </w:tcPr>
          <w:p w14:paraId="5815BA8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5" w:type="dxa"/>
        <w:tblLayout w:type="fixed"/>
        <w:tblLook w:val="0000" w:firstRow="0" w:lastRow="0" w:firstColumn="0" w:lastColumn="0" w:noHBand="0" w:noVBand="0"/>
      </w:tblPr>
      <w:tblGrid>
        <w:gridCol w:w="10035"/>
      </w:tblGrid>
      <w:tr w:rsidR="00B17C89" w14:paraId="494EA896" w14:textId="77777777" w:rsidTr="00A55933">
        <w:trPr>
          <w:cantSplit/>
        </w:trPr>
        <w:tc>
          <w:tcPr>
            <w:tcW w:w="10035" w:type="dxa"/>
          </w:tcPr>
          <w:p w14:paraId="3FA79D14" w14:textId="7E78703E" w:rsidR="00B17C89" w:rsidRDefault="00B17C89" w:rsidP="00970364">
            <w:pPr>
              <w:pStyle w:val="Source"/>
              <w:rPr>
                <w:rFonts w:ascii="Times New Roman Bold" w:hAnsi="Times New Roman Bold"/>
                <w:lang w:val="fr-CH" w:eastAsia="zh-CN"/>
              </w:rPr>
            </w:pPr>
          </w:p>
        </w:tc>
      </w:tr>
      <w:tr w:rsidR="00B0221A" w14:paraId="5D237A73" w14:textId="77777777" w:rsidTr="00B0221A">
        <w:tblPrEx>
          <w:tblLook w:val="04A0" w:firstRow="1" w:lastRow="0" w:firstColumn="1" w:lastColumn="0" w:noHBand="0" w:noVBand="1"/>
        </w:tblPrEx>
        <w:trPr>
          <w:cantSplit/>
        </w:trPr>
        <w:tc>
          <w:tcPr>
            <w:tcW w:w="10035" w:type="dxa"/>
            <w:hideMark/>
          </w:tcPr>
          <w:p w14:paraId="3354F40E" w14:textId="77777777" w:rsidR="00B0221A" w:rsidRDefault="00B0221A">
            <w:pPr>
              <w:pStyle w:val="Source"/>
            </w:pPr>
            <w:proofErr w:type="spellStart"/>
            <w:r>
              <w:rPr>
                <w:rFonts w:hint="eastAsia"/>
              </w:rPr>
              <w:t>秘书长的说明</w:t>
            </w:r>
            <w:proofErr w:type="spellEnd"/>
          </w:p>
        </w:tc>
      </w:tr>
      <w:tr w:rsidR="00B0221A" w14:paraId="4880D781" w14:textId="77777777" w:rsidTr="00B0221A">
        <w:tblPrEx>
          <w:tblLook w:val="04A0" w:firstRow="1" w:lastRow="0" w:firstColumn="1" w:lastColumn="0" w:noHBand="0" w:noVBand="1"/>
        </w:tblPrEx>
        <w:trPr>
          <w:cantSplit/>
        </w:trPr>
        <w:tc>
          <w:tcPr>
            <w:tcW w:w="10035" w:type="dxa"/>
            <w:hideMark/>
          </w:tcPr>
          <w:p w14:paraId="351D84EA" w14:textId="77777777" w:rsidR="00B0221A" w:rsidRDefault="00B0221A">
            <w:pPr>
              <w:pStyle w:val="Title1"/>
              <w:rPr>
                <w:lang w:eastAsia="zh-CN"/>
              </w:rPr>
            </w:pPr>
            <w:r>
              <w:rPr>
                <w:rFonts w:hint="eastAsia"/>
                <w:lang w:eastAsia="zh-CN"/>
              </w:rPr>
              <w:t>国际电联总部办公场所项目</w:t>
            </w:r>
            <w:r>
              <w:rPr>
                <w:lang w:eastAsia="zh-CN"/>
              </w:rPr>
              <w:br/>
            </w:r>
            <w:r>
              <w:rPr>
                <w:rFonts w:hint="eastAsia"/>
                <w:lang w:eastAsia="zh-CN"/>
              </w:rPr>
              <w:t>成员国顾问组工作的总结报告</w:t>
            </w:r>
          </w:p>
        </w:tc>
      </w:tr>
    </w:tbl>
    <w:p w14:paraId="415DF2FA" w14:textId="77777777" w:rsidR="0093362E" w:rsidRDefault="0093362E" w:rsidP="00001B77">
      <w:pPr>
        <w:rPr>
          <w:lang w:eastAsia="zh-CN"/>
        </w:rPr>
      </w:pPr>
    </w:p>
    <w:p w14:paraId="61C9CDE4" w14:textId="0B5E6150" w:rsidR="00B0221A" w:rsidRDefault="00B0221A" w:rsidP="00B0221A">
      <w:pPr>
        <w:spacing w:before="600" w:after="1200"/>
        <w:ind w:firstLineChars="200" w:firstLine="480"/>
        <w:jc w:val="both"/>
        <w:rPr>
          <w:rFonts w:asciiTheme="minorHAnsi" w:eastAsiaTheme="minorEastAsia" w:hAnsiTheme="minorHAnsi"/>
          <w:lang w:eastAsia="zh-CN"/>
        </w:rPr>
      </w:pPr>
      <w:r>
        <w:rPr>
          <w:rFonts w:asciiTheme="minorHAnsi" w:eastAsiaTheme="minorEastAsia" w:hAnsiTheme="minorHAnsi" w:hint="eastAsia"/>
          <w:lang w:eastAsia="zh-CN"/>
        </w:rPr>
        <w:t>我荣幸地将</w:t>
      </w:r>
      <w:r>
        <w:rPr>
          <w:rFonts w:asciiTheme="minorHAnsi" w:eastAsiaTheme="minorEastAsia" w:hAnsiTheme="minorHAnsi" w:hint="eastAsia"/>
          <w:b/>
          <w:bCs/>
          <w:lang w:eastAsia="zh-CN"/>
        </w:rPr>
        <w:t>成员国顾问组（</w:t>
      </w:r>
      <w:r>
        <w:rPr>
          <w:rFonts w:asciiTheme="minorHAnsi" w:eastAsiaTheme="minorEastAsia" w:hAnsiTheme="minorHAnsi"/>
          <w:b/>
          <w:bCs/>
          <w:lang w:eastAsia="zh-CN"/>
        </w:rPr>
        <w:t>MSAG</w:t>
      </w:r>
      <w:r>
        <w:rPr>
          <w:rFonts w:asciiTheme="minorHAnsi" w:eastAsiaTheme="minorEastAsia" w:hAnsiTheme="minorHAnsi" w:hint="eastAsia"/>
          <w:b/>
          <w:bCs/>
          <w:lang w:eastAsia="zh-CN"/>
        </w:rPr>
        <w:t>）</w:t>
      </w:r>
      <w:r>
        <w:rPr>
          <w:rFonts w:asciiTheme="minorHAnsi" w:eastAsiaTheme="minorEastAsia" w:hAnsiTheme="minorHAnsi" w:hint="eastAsia"/>
          <w:lang w:eastAsia="zh-CN"/>
        </w:rPr>
        <w:t>工作的总结报告转呈理事国。</w:t>
      </w:r>
    </w:p>
    <w:p w14:paraId="15EC926D" w14:textId="77777777" w:rsidR="00B0221A" w:rsidRDefault="00B0221A" w:rsidP="00B0221A">
      <w:pPr>
        <w:tabs>
          <w:tab w:val="clear" w:pos="794"/>
          <w:tab w:val="clear" w:pos="1191"/>
          <w:tab w:val="clear" w:pos="1588"/>
          <w:tab w:val="clear" w:pos="1985"/>
          <w:tab w:val="center" w:pos="7088"/>
        </w:tabs>
        <w:rPr>
          <w:rFonts w:asciiTheme="minorHAnsi" w:eastAsiaTheme="minorEastAsia" w:hAnsiTheme="minorHAnsi"/>
          <w:lang w:eastAsia="zh-CN"/>
        </w:rPr>
      </w:pPr>
      <w:r>
        <w:rPr>
          <w:rFonts w:asciiTheme="minorHAnsi" w:eastAsiaTheme="minorEastAsia" w:hAnsiTheme="minorHAnsi"/>
          <w:lang w:eastAsia="zh-CN"/>
        </w:rPr>
        <w:tab/>
      </w:r>
      <w:r>
        <w:rPr>
          <w:rFonts w:asciiTheme="minorHAnsi" w:eastAsiaTheme="minorEastAsia" w:hAnsiTheme="minorHAnsi"/>
          <w:lang w:eastAsia="zh-CN"/>
        </w:rPr>
        <w:tab/>
      </w:r>
      <w:r>
        <w:rPr>
          <w:rFonts w:asciiTheme="minorHAnsi" w:eastAsiaTheme="minorEastAsia" w:hAnsiTheme="minorHAnsi" w:hint="eastAsia"/>
          <w:lang w:eastAsia="zh-CN"/>
        </w:rPr>
        <w:t>秘书长</w:t>
      </w:r>
      <w:r>
        <w:rPr>
          <w:rFonts w:asciiTheme="minorHAnsi" w:eastAsiaTheme="minorEastAsia" w:hAnsiTheme="minorHAnsi"/>
          <w:lang w:eastAsia="zh-CN"/>
        </w:rPr>
        <w:br/>
      </w:r>
      <w:r>
        <w:rPr>
          <w:rFonts w:asciiTheme="minorHAnsi" w:eastAsiaTheme="minorEastAsia" w:hAnsiTheme="minorHAnsi"/>
          <w:lang w:eastAsia="zh-CN"/>
        </w:rPr>
        <w:tab/>
      </w:r>
      <w:r>
        <w:rPr>
          <w:rFonts w:asciiTheme="minorHAnsi" w:eastAsiaTheme="minorEastAsia" w:hAnsiTheme="minorHAnsi"/>
          <w:lang w:eastAsia="zh-CN"/>
        </w:rPr>
        <w:tab/>
      </w:r>
      <w:r>
        <w:rPr>
          <w:rFonts w:asciiTheme="minorHAnsi" w:eastAsiaTheme="minorEastAsia" w:hAnsiTheme="minorHAnsi" w:hint="eastAsia"/>
          <w:lang w:eastAsia="zh-CN"/>
        </w:rPr>
        <w:t>赵厚麟</w:t>
      </w:r>
    </w:p>
    <w:p w14:paraId="2FBA16F9" w14:textId="77777777" w:rsidR="00B0221A" w:rsidRDefault="00B0221A" w:rsidP="00B0221A">
      <w:pPr>
        <w:tabs>
          <w:tab w:val="left" w:pos="720"/>
        </w:tabs>
        <w:overflowPunct/>
        <w:autoSpaceDE/>
        <w:adjustRightInd/>
        <w:spacing w:before="0"/>
        <w:rPr>
          <w:rFonts w:asciiTheme="minorHAnsi" w:eastAsiaTheme="minorEastAsia" w:hAnsiTheme="minorHAnsi"/>
          <w:lang w:eastAsia="zh-CN"/>
        </w:rPr>
      </w:pPr>
      <w:r>
        <w:rPr>
          <w:rFonts w:asciiTheme="minorHAnsi" w:eastAsiaTheme="minorEastAsia" w:hAnsiTheme="minorHAnsi"/>
          <w:lang w:eastAsia="zh-CN"/>
        </w:rPr>
        <w:br w:type="page"/>
      </w:r>
    </w:p>
    <w:p w14:paraId="75D501C9" w14:textId="77777777" w:rsidR="00B0221A" w:rsidRDefault="00B0221A" w:rsidP="00B0221A">
      <w:pPr>
        <w:pStyle w:val="Title1"/>
        <w:spacing w:after="360"/>
        <w:rPr>
          <w:rFonts w:cs="Calibri"/>
          <w:b/>
          <w:color w:val="800000"/>
          <w:sz w:val="22"/>
          <w:highlight w:val="lightGray"/>
          <w:lang w:eastAsia="zh-CN"/>
        </w:rPr>
      </w:pPr>
      <w:bookmarkStart w:id="2" w:name="lt_pId016"/>
      <w:r>
        <w:rPr>
          <w:rFonts w:asciiTheme="minorHAnsi" w:eastAsiaTheme="minorEastAsia" w:hAnsiTheme="minorHAnsi" w:hint="eastAsia"/>
          <w:lang w:eastAsia="zh-CN"/>
        </w:rPr>
        <w:lastRenderedPageBreak/>
        <w:t>国际电联总部办公场所项目</w:t>
      </w:r>
      <w:r>
        <w:rPr>
          <w:rFonts w:asciiTheme="minorHAnsi" w:eastAsiaTheme="minorEastAsia" w:hAnsiTheme="minorHAnsi"/>
          <w:lang w:eastAsia="zh-CN"/>
        </w:rPr>
        <w:br/>
      </w:r>
      <w:r>
        <w:rPr>
          <w:rFonts w:asciiTheme="minorHAnsi" w:eastAsiaTheme="minorEastAsia" w:hAnsiTheme="minorHAnsi" w:hint="eastAsia"/>
          <w:lang w:eastAsia="zh-CN"/>
        </w:rPr>
        <w:t>成员国顾问组工作的总结报告</w:t>
      </w:r>
      <w:bookmarkEnd w:id="2"/>
    </w:p>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B0221A" w14:paraId="14A1235C" w14:textId="77777777" w:rsidTr="00B0221A">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07B26FB6" w14:textId="77777777" w:rsidR="00B0221A" w:rsidRDefault="00B0221A">
            <w:pPr>
              <w:pStyle w:val="Headingb"/>
              <w:rPr>
                <w:rFonts w:asciiTheme="minorHAnsi" w:eastAsiaTheme="minorEastAsia" w:hAnsiTheme="minorHAnsi"/>
                <w:lang w:val="en-US" w:eastAsia="zh-CN"/>
              </w:rPr>
            </w:pPr>
            <w:r>
              <w:rPr>
                <w:rFonts w:asciiTheme="minorHAnsi" w:eastAsiaTheme="minorEastAsia" w:hAnsiTheme="minorHAnsi" w:hint="eastAsia"/>
                <w:lang w:val="en-US" w:eastAsia="zh-CN"/>
              </w:rPr>
              <w:t>概要</w:t>
            </w:r>
          </w:p>
          <w:p w14:paraId="63745DF9" w14:textId="05A20536" w:rsidR="00B0221A" w:rsidRDefault="00B0221A">
            <w:pPr>
              <w:ind w:firstLineChars="200" w:firstLine="480"/>
              <w:jc w:val="both"/>
              <w:rPr>
                <w:rFonts w:asciiTheme="minorHAnsi" w:eastAsiaTheme="minorEastAsia" w:hAnsiTheme="minorHAnsi"/>
                <w:lang w:val="en-US" w:eastAsia="zh-CN"/>
              </w:rPr>
            </w:pPr>
            <w:r>
              <w:rPr>
                <w:rFonts w:asciiTheme="minorHAnsi" w:eastAsiaTheme="minorEastAsia" w:hAnsiTheme="minorHAnsi" w:hint="eastAsia"/>
                <w:lang w:val="en-US" w:eastAsia="zh-CN"/>
              </w:rPr>
              <w:t>本文件提供自上一次向理事会报告以来国际电联总部办公场所项目成员国顾问组（</w:t>
            </w:r>
            <w:r>
              <w:rPr>
                <w:rFonts w:asciiTheme="minorHAnsi" w:eastAsiaTheme="minorEastAsia" w:hAnsiTheme="minorHAnsi"/>
                <w:lang w:val="en-US" w:eastAsia="zh-CN"/>
              </w:rPr>
              <w:t>MSAG</w:t>
            </w:r>
            <w:r>
              <w:rPr>
                <w:rFonts w:asciiTheme="minorHAnsi" w:eastAsiaTheme="minorEastAsia" w:hAnsiTheme="minorHAnsi" w:hint="eastAsia"/>
                <w:lang w:val="en-US" w:eastAsia="zh-CN"/>
              </w:rPr>
              <w:t>）工作的总结报告。</w:t>
            </w:r>
          </w:p>
          <w:p w14:paraId="024616E4" w14:textId="77777777" w:rsidR="00B0221A" w:rsidRDefault="00B0221A">
            <w:pPr>
              <w:pStyle w:val="Headingb"/>
              <w:jc w:val="both"/>
              <w:rPr>
                <w:rFonts w:asciiTheme="minorHAnsi" w:eastAsiaTheme="minorEastAsia" w:hAnsiTheme="minorHAnsi"/>
                <w:lang w:val="en-US" w:eastAsia="zh-CN"/>
              </w:rPr>
            </w:pPr>
            <w:r>
              <w:rPr>
                <w:rFonts w:asciiTheme="minorHAnsi" w:eastAsiaTheme="minorEastAsia" w:hAnsiTheme="minorHAnsi" w:hint="eastAsia"/>
                <w:lang w:val="en-US" w:eastAsia="zh-CN"/>
              </w:rPr>
              <w:t>需采取的行动</w:t>
            </w:r>
          </w:p>
          <w:p w14:paraId="55E8DEDA" w14:textId="77777777" w:rsidR="00B0221A" w:rsidRDefault="00B0221A">
            <w:pPr>
              <w:ind w:firstLineChars="200" w:firstLine="480"/>
              <w:jc w:val="both"/>
              <w:rPr>
                <w:rFonts w:asciiTheme="minorHAnsi" w:eastAsiaTheme="minorEastAsia" w:hAnsiTheme="minorHAnsi"/>
                <w:lang w:val="en-US" w:eastAsia="zh-CN"/>
              </w:rPr>
            </w:pPr>
            <w:r>
              <w:rPr>
                <w:rFonts w:asciiTheme="minorHAnsi" w:eastAsiaTheme="minorEastAsia" w:hAnsiTheme="minorHAnsi" w:hint="eastAsia"/>
                <w:lang w:val="en-US" w:eastAsia="zh-CN"/>
              </w:rPr>
              <w:t>请理事会将本报告</w:t>
            </w:r>
            <w:r>
              <w:rPr>
                <w:rFonts w:asciiTheme="minorHAnsi" w:eastAsiaTheme="minorEastAsia" w:hAnsiTheme="minorHAnsi" w:hint="eastAsia"/>
                <w:b/>
                <w:bCs/>
                <w:lang w:val="en-US" w:eastAsia="zh-CN"/>
              </w:rPr>
              <w:t>记录在案</w:t>
            </w:r>
            <w:r>
              <w:rPr>
                <w:rFonts w:asciiTheme="minorHAnsi" w:eastAsiaTheme="minorEastAsia" w:hAnsiTheme="minorHAnsi" w:hint="eastAsia"/>
                <w:lang w:val="en-US" w:eastAsia="zh-CN"/>
              </w:rPr>
              <w:t>并酌情</w:t>
            </w:r>
            <w:r>
              <w:rPr>
                <w:rFonts w:asciiTheme="minorHAnsi" w:eastAsiaTheme="minorEastAsia" w:hAnsiTheme="minorHAnsi" w:hint="eastAsia"/>
                <w:b/>
                <w:bCs/>
                <w:lang w:val="en-US" w:eastAsia="zh-CN"/>
              </w:rPr>
              <w:t>提供进一步指导</w:t>
            </w:r>
            <w:r>
              <w:rPr>
                <w:rFonts w:asciiTheme="minorHAnsi" w:eastAsiaTheme="minorEastAsia" w:hAnsiTheme="minorHAnsi" w:hint="eastAsia"/>
                <w:lang w:val="en-US" w:eastAsia="zh-CN"/>
              </w:rPr>
              <w:t>。</w:t>
            </w:r>
          </w:p>
          <w:p w14:paraId="61BA299C" w14:textId="77777777" w:rsidR="00B0221A" w:rsidRDefault="00B0221A">
            <w:pPr>
              <w:pStyle w:val="Table"/>
              <w:keepNext w:val="0"/>
              <w:spacing w:before="0" w:after="0"/>
              <w:rPr>
                <w:rFonts w:asciiTheme="minorHAnsi" w:eastAsiaTheme="minorEastAsia" w:hAnsiTheme="minorHAnsi"/>
                <w:caps w:val="0"/>
                <w:sz w:val="22"/>
                <w:lang w:val="en-US" w:eastAsia="zh-CN"/>
              </w:rPr>
            </w:pPr>
            <w:r>
              <w:rPr>
                <w:rFonts w:asciiTheme="minorHAnsi" w:eastAsiaTheme="minorEastAsia" w:hAnsiTheme="minorHAnsi"/>
                <w:caps w:val="0"/>
                <w:sz w:val="22"/>
                <w:lang w:val="en-US" w:eastAsia="zh-CN"/>
              </w:rPr>
              <w:t>____________</w:t>
            </w:r>
          </w:p>
          <w:p w14:paraId="3DDB4367" w14:textId="77777777" w:rsidR="00B0221A" w:rsidRDefault="00B0221A">
            <w:pPr>
              <w:pStyle w:val="Headingb"/>
              <w:rPr>
                <w:rFonts w:asciiTheme="minorHAnsi" w:eastAsiaTheme="minorEastAsia" w:hAnsiTheme="minorHAnsi"/>
                <w:lang w:val="en-US" w:eastAsia="zh-CN"/>
              </w:rPr>
            </w:pPr>
            <w:r>
              <w:rPr>
                <w:rFonts w:asciiTheme="minorHAnsi" w:eastAsiaTheme="minorEastAsia" w:hAnsiTheme="minorHAnsi" w:hint="eastAsia"/>
                <w:lang w:val="en-US" w:eastAsia="zh-CN"/>
              </w:rPr>
              <w:t>参考文件</w:t>
            </w:r>
          </w:p>
          <w:bookmarkStart w:id="3" w:name="lt_pId024"/>
          <w:p w14:paraId="1FB59851" w14:textId="639DD93A" w:rsidR="00B0221A" w:rsidRDefault="00B0221A">
            <w:pPr>
              <w:spacing w:after="120"/>
              <w:rPr>
                <w:rFonts w:asciiTheme="minorHAnsi" w:eastAsia="STKaiti" w:hAnsiTheme="minorHAnsi" w:cstheme="minorHAnsi"/>
                <w:strike/>
                <w:lang w:val="en-US" w:eastAsia="zh-CN"/>
              </w:rPr>
            </w:pPr>
            <w:r>
              <w:fldChar w:fldCharType="begin"/>
            </w:r>
            <w:r>
              <w:rPr>
                <w:lang w:eastAsia="zh-CN"/>
              </w:rPr>
              <w:instrText xml:space="preserve"> HYPERLINK "https://www.itu.int/md/S16-CL-C-0124/en" </w:instrText>
            </w:r>
            <w:r>
              <w:fldChar w:fldCharType="separate"/>
            </w:r>
            <w:r>
              <w:rPr>
                <w:rStyle w:val="Hyperlink"/>
                <w:rFonts w:asciiTheme="minorHAnsi" w:eastAsia="STKaiti" w:hAnsiTheme="minorHAnsi" w:cstheme="minorHAnsi" w:hint="eastAsia"/>
                <w:szCs w:val="24"/>
                <w:lang w:eastAsia="zh-CN"/>
              </w:rPr>
              <w:t>理事会第</w:t>
            </w:r>
            <w:r>
              <w:rPr>
                <w:rStyle w:val="Hyperlink"/>
                <w:rFonts w:asciiTheme="minorHAnsi" w:eastAsia="STKaiti" w:hAnsiTheme="minorHAnsi" w:cstheme="minorHAnsi"/>
                <w:szCs w:val="24"/>
                <w:lang w:eastAsia="zh-CN"/>
              </w:rPr>
              <w:t>588</w:t>
            </w:r>
            <w:r>
              <w:rPr>
                <w:rStyle w:val="Hyperlink"/>
                <w:rFonts w:asciiTheme="minorHAnsi" w:eastAsia="STKaiti" w:hAnsiTheme="minorHAnsi" w:cstheme="minorHAnsi" w:hint="eastAsia"/>
                <w:szCs w:val="24"/>
                <w:lang w:eastAsia="zh-CN"/>
              </w:rPr>
              <w:t>号决定</w:t>
            </w:r>
            <w:r>
              <w:fldChar w:fldCharType="end"/>
            </w:r>
            <w:r>
              <w:rPr>
                <w:rFonts w:asciiTheme="minorHAnsi" w:hAnsiTheme="minorHAnsi" w:cstheme="minorHAnsi" w:hint="eastAsia"/>
                <w:lang w:eastAsia="zh-CN"/>
              </w:rPr>
              <w:t>；</w:t>
            </w:r>
            <w:hyperlink r:id="rId9" w:history="1">
              <w:r>
                <w:rPr>
                  <w:rStyle w:val="Hyperlink"/>
                  <w:rFonts w:asciiTheme="minorHAnsi" w:eastAsia="STKaiti" w:hAnsiTheme="minorHAnsi" w:cstheme="minorHAnsi" w:hint="eastAsia"/>
                  <w:lang w:eastAsia="zh-CN"/>
                </w:rPr>
                <w:t>理事会第</w:t>
              </w:r>
              <w:r>
                <w:rPr>
                  <w:rStyle w:val="Hyperlink"/>
                  <w:rFonts w:asciiTheme="minorHAnsi" w:eastAsia="STKaiti" w:hAnsiTheme="minorHAnsi" w:cstheme="minorHAnsi"/>
                  <w:lang w:eastAsia="zh-CN"/>
                </w:rPr>
                <w:t>619</w:t>
              </w:r>
            </w:hyperlink>
            <w:r>
              <w:rPr>
                <w:rFonts w:asciiTheme="minorHAnsi" w:eastAsia="STKaiti" w:hAnsiTheme="minorHAnsi" w:cstheme="minorHAnsi" w:hint="eastAsia"/>
                <w:color w:val="0000FF"/>
                <w:u w:val="single"/>
                <w:lang w:eastAsia="zh-CN"/>
              </w:rPr>
              <w:t>号决定</w:t>
            </w:r>
            <w:r>
              <w:rPr>
                <w:rFonts w:asciiTheme="minorHAnsi" w:hAnsiTheme="minorHAnsi" w:cstheme="minorHAnsi" w:hint="eastAsia"/>
                <w:lang w:eastAsia="zh-CN"/>
              </w:rPr>
              <w:t>；</w:t>
            </w:r>
            <w:hyperlink r:id="rId10" w:history="1">
              <w:r>
                <w:rPr>
                  <w:rStyle w:val="Hyperlink"/>
                  <w:rFonts w:asciiTheme="minorHAnsi" w:eastAsia="STKaiti" w:hAnsiTheme="minorHAnsi" w:cstheme="minorHAnsi" w:hint="eastAsia"/>
                  <w:szCs w:val="24"/>
                  <w:lang w:eastAsia="zh-CN"/>
                </w:rPr>
                <w:t>第</w:t>
              </w:r>
              <w:r>
                <w:rPr>
                  <w:rStyle w:val="Hyperlink"/>
                  <w:rFonts w:asciiTheme="minorHAnsi" w:eastAsia="STKaiti" w:hAnsiTheme="minorHAnsi" w:cstheme="minorHAnsi"/>
                  <w:szCs w:val="24"/>
                  <w:lang w:eastAsia="zh-CN"/>
                </w:rPr>
                <w:t>212</w:t>
              </w:r>
              <w:r>
                <w:rPr>
                  <w:rStyle w:val="Hyperlink"/>
                  <w:rFonts w:asciiTheme="minorHAnsi" w:eastAsia="STKaiti" w:hAnsiTheme="minorHAnsi" w:cstheme="minorHAnsi" w:hint="eastAsia"/>
                  <w:szCs w:val="24"/>
                  <w:lang w:eastAsia="zh-CN"/>
                </w:rPr>
                <w:t>号决议（</w:t>
              </w:r>
              <w:r>
                <w:rPr>
                  <w:rStyle w:val="Hyperlink"/>
                  <w:rFonts w:asciiTheme="minorHAnsi" w:eastAsia="STKaiti" w:hAnsiTheme="minorHAnsi" w:cstheme="minorHAnsi"/>
                  <w:szCs w:val="24"/>
                  <w:lang w:eastAsia="zh-CN"/>
                </w:rPr>
                <w:t>2018</w:t>
              </w:r>
              <w:r>
                <w:rPr>
                  <w:rStyle w:val="Hyperlink"/>
                  <w:rFonts w:asciiTheme="minorHAnsi" w:eastAsia="STKaiti" w:hAnsiTheme="minorHAnsi" w:cstheme="minorHAnsi" w:hint="eastAsia"/>
                  <w:szCs w:val="24"/>
                  <w:lang w:eastAsia="zh-CN"/>
                </w:rPr>
                <w:t>年，迪拜）</w:t>
              </w:r>
            </w:hyperlink>
            <w:r>
              <w:rPr>
                <w:rFonts w:asciiTheme="minorHAnsi" w:hAnsiTheme="minorHAnsi" w:cstheme="minorHAnsi" w:hint="eastAsia"/>
                <w:lang w:eastAsia="zh-CN"/>
              </w:rPr>
              <w:t>；</w:t>
            </w:r>
            <w:hyperlink r:id="rId11" w:history="1">
              <w:r w:rsidRPr="00A55933">
                <w:rPr>
                  <w:rStyle w:val="Hyperlink"/>
                  <w:rFonts w:asciiTheme="minorHAnsi" w:eastAsia="STKaiti" w:hAnsiTheme="minorHAnsi" w:cstheme="minorHAnsi"/>
                  <w:lang w:eastAsia="zh-CN"/>
                </w:rPr>
                <w:t>C20/48</w:t>
              </w:r>
              <w:bookmarkEnd w:id="3"/>
              <w:r w:rsidRPr="00A55933">
                <w:rPr>
                  <w:rStyle w:val="Hyperlink"/>
                  <w:rFonts w:asciiTheme="minorHAnsi" w:eastAsia="STKaiti" w:hAnsiTheme="minorHAnsi" w:cstheme="minorHAnsi" w:hint="eastAsia"/>
                  <w:lang w:eastAsia="zh-CN"/>
                </w:rPr>
                <w:t>号文件</w:t>
              </w:r>
            </w:hyperlink>
          </w:p>
        </w:tc>
      </w:tr>
    </w:tbl>
    <w:p w14:paraId="24CEA305" w14:textId="77777777" w:rsidR="00B0221A" w:rsidRDefault="00B0221A" w:rsidP="00B0221A">
      <w:pPr>
        <w:pStyle w:val="Heading1"/>
        <w:rPr>
          <w:lang w:eastAsia="zh-CN"/>
        </w:rPr>
      </w:pPr>
      <w:r>
        <w:rPr>
          <w:lang w:eastAsia="zh-CN"/>
        </w:rPr>
        <w:t>1</w:t>
      </w:r>
      <w:r>
        <w:rPr>
          <w:lang w:eastAsia="zh-CN"/>
        </w:rPr>
        <w:tab/>
      </w:r>
      <w:r>
        <w:rPr>
          <w:rFonts w:asciiTheme="minorEastAsia" w:eastAsiaTheme="minorEastAsia" w:hAnsiTheme="minorEastAsia" w:hint="eastAsia"/>
          <w:lang w:eastAsia="zh-CN"/>
        </w:rPr>
        <w:t>近期</w:t>
      </w:r>
      <w:r>
        <w:rPr>
          <w:lang w:eastAsia="zh-CN"/>
        </w:rPr>
        <w:t>MSAG</w:t>
      </w:r>
      <w:r>
        <w:rPr>
          <w:rFonts w:asciiTheme="minorEastAsia" w:eastAsiaTheme="minorEastAsia" w:hAnsiTheme="minorEastAsia" w:hint="eastAsia"/>
          <w:lang w:eastAsia="zh-CN"/>
        </w:rPr>
        <w:t>会议总结</w:t>
      </w:r>
    </w:p>
    <w:p w14:paraId="363A9F82" w14:textId="4FE97766" w:rsidR="00B0221A" w:rsidRPr="00B0221A" w:rsidRDefault="005C4F23" w:rsidP="00A55933">
      <w:pPr>
        <w:spacing w:after="120"/>
        <w:ind w:firstLineChars="200" w:firstLine="480"/>
        <w:jc w:val="both"/>
        <w:rPr>
          <w:rFonts w:asciiTheme="minorHAnsi" w:eastAsia="Times New Roman" w:hAnsiTheme="minorHAnsi" w:cstheme="minorHAnsi"/>
          <w:lang w:eastAsia="zh-CN"/>
        </w:rPr>
      </w:pPr>
      <w:r>
        <w:rPr>
          <w:rFonts w:ascii="SimSun" w:hAnsi="SimSun" w:cs="SimSun" w:hint="eastAsia"/>
          <w:lang w:eastAsia="zh-CN"/>
        </w:rPr>
        <w:t>自从通过</w:t>
      </w:r>
      <w:r w:rsidR="00462DB5">
        <w:fldChar w:fldCharType="begin"/>
      </w:r>
      <w:r w:rsidR="00462DB5">
        <w:rPr>
          <w:lang w:eastAsia="zh-CN"/>
        </w:rPr>
        <w:instrText xml:space="preserve"> HYPERLINK "https://www.itu.int/md/S20-CL-C-0048/en" </w:instrText>
      </w:r>
      <w:r w:rsidR="00462DB5">
        <w:fldChar w:fldCharType="separate"/>
      </w:r>
      <w:r w:rsidRPr="00B0221A">
        <w:rPr>
          <w:rFonts w:asciiTheme="minorHAnsi" w:eastAsia="Times New Roman" w:hAnsiTheme="minorHAnsi"/>
          <w:color w:val="0000FF"/>
          <w:u w:val="single"/>
          <w:lang w:eastAsia="zh-CN"/>
        </w:rPr>
        <w:t>C20/48</w:t>
      </w:r>
      <w:r w:rsidR="00462DB5">
        <w:rPr>
          <w:rFonts w:asciiTheme="minorHAnsi" w:eastAsia="Times New Roman" w:hAnsiTheme="minorHAnsi"/>
          <w:color w:val="0000FF"/>
          <w:u w:val="single"/>
          <w:lang w:eastAsia="zh-CN"/>
        </w:rPr>
        <w:fldChar w:fldCharType="end"/>
      </w:r>
      <w:r>
        <w:rPr>
          <w:rFonts w:ascii="SimSun" w:hAnsi="SimSun" w:cs="SimSun" w:hint="eastAsia"/>
          <w:color w:val="0000FF"/>
          <w:u w:val="single"/>
          <w:lang w:eastAsia="zh-CN"/>
        </w:rPr>
        <w:t>号文件</w:t>
      </w:r>
      <w:r>
        <w:rPr>
          <w:rFonts w:hint="eastAsia"/>
          <w:lang w:eastAsia="zh-CN"/>
        </w:rPr>
        <w:t>向</w:t>
      </w:r>
      <w:r>
        <w:rPr>
          <w:rFonts w:hint="eastAsia"/>
          <w:lang w:eastAsia="zh-CN"/>
        </w:rPr>
        <w:t>2</w:t>
      </w:r>
      <w:r>
        <w:rPr>
          <w:lang w:eastAsia="zh-CN"/>
        </w:rPr>
        <w:t>020</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2</w:t>
      </w:r>
      <w:r>
        <w:rPr>
          <w:lang w:eastAsia="zh-CN"/>
        </w:rPr>
        <w:t>0</w:t>
      </w:r>
      <w:r>
        <w:rPr>
          <w:rFonts w:hint="eastAsia"/>
          <w:lang w:eastAsia="zh-CN"/>
        </w:rPr>
        <w:t>日举行的</w:t>
      </w:r>
      <w:bookmarkStart w:id="4" w:name="_Hlk69292635"/>
      <w:r w:rsidRPr="005C4F23">
        <w:rPr>
          <w:lang w:eastAsia="zh-CN"/>
        </w:rPr>
        <w:t>理事磋商会虚拟会</w:t>
      </w:r>
      <w:r w:rsidRPr="005C4F23">
        <w:rPr>
          <w:rFonts w:hint="eastAsia"/>
          <w:lang w:eastAsia="zh-CN"/>
        </w:rPr>
        <w:t>议</w:t>
      </w:r>
      <w:bookmarkEnd w:id="4"/>
      <w:r>
        <w:rPr>
          <w:rFonts w:hint="eastAsia"/>
          <w:lang w:eastAsia="zh-CN"/>
        </w:rPr>
        <w:t>报告以来，</w:t>
      </w:r>
      <w:r>
        <w:rPr>
          <w:rFonts w:asciiTheme="minorHAnsi" w:eastAsiaTheme="minorEastAsia" w:hAnsiTheme="minorHAnsi" w:hint="eastAsia"/>
          <w:lang w:val="en-US" w:eastAsia="zh-CN"/>
        </w:rPr>
        <w:t>国际电联总部办公场所项目成员国顾问组（</w:t>
      </w:r>
      <w:r>
        <w:rPr>
          <w:rFonts w:asciiTheme="minorHAnsi" w:eastAsiaTheme="minorEastAsia" w:hAnsiTheme="minorHAnsi"/>
          <w:lang w:val="en-US" w:eastAsia="zh-CN"/>
        </w:rPr>
        <w:t>MSAG</w:t>
      </w:r>
      <w:r>
        <w:rPr>
          <w:rFonts w:asciiTheme="minorHAnsi" w:eastAsiaTheme="minorEastAsia" w:hAnsiTheme="minorHAnsi" w:hint="eastAsia"/>
          <w:lang w:val="en-US" w:eastAsia="zh-CN"/>
        </w:rPr>
        <w:t>）分别于</w:t>
      </w:r>
      <w:r w:rsidRPr="005C4F23">
        <w:rPr>
          <w:rFonts w:asciiTheme="minorHAnsi" w:eastAsiaTheme="minorEastAsia" w:hAnsiTheme="minorHAnsi" w:hint="eastAsia"/>
          <w:lang w:val="en-US" w:eastAsia="zh-CN"/>
        </w:rPr>
        <w:t>2020</w:t>
      </w:r>
      <w:r w:rsidRPr="005C4F23">
        <w:rPr>
          <w:rFonts w:asciiTheme="minorHAnsi" w:eastAsiaTheme="minorEastAsia" w:hAnsiTheme="minorHAnsi" w:hint="eastAsia"/>
          <w:lang w:val="en-US" w:eastAsia="zh-CN"/>
        </w:rPr>
        <w:t>年</w:t>
      </w:r>
      <w:r w:rsidRPr="005C4F23">
        <w:rPr>
          <w:rFonts w:asciiTheme="minorHAnsi" w:eastAsiaTheme="minorEastAsia" w:hAnsiTheme="minorHAnsi" w:hint="eastAsia"/>
          <w:lang w:val="en-US" w:eastAsia="zh-CN"/>
        </w:rPr>
        <w:t>11</w:t>
      </w:r>
      <w:r w:rsidRPr="005C4F23">
        <w:rPr>
          <w:rFonts w:asciiTheme="minorHAnsi" w:eastAsiaTheme="minorEastAsia" w:hAnsiTheme="minorHAnsi" w:hint="eastAsia"/>
          <w:lang w:val="en-US" w:eastAsia="zh-CN"/>
        </w:rPr>
        <w:t>月</w:t>
      </w:r>
      <w:r w:rsidRPr="005C4F23">
        <w:rPr>
          <w:rFonts w:asciiTheme="minorHAnsi" w:eastAsiaTheme="minorEastAsia" w:hAnsiTheme="minorHAnsi" w:hint="eastAsia"/>
          <w:lang w:val="en-US" w:eastAsia="zh-CN"/>
        </w:rPr>
        <w:t>12</w:t>
      </w:r>
      <w:r w:rsidRPr="005C4F23">
        <w:rPr>
          <w:rFonts w:asciiTheme="minorHAnsi" w:eastAsiaTheme="minorEastAsia" w:hAnsiTheme="minorHAnsi" w:hint="eastAsia"/>
          <w:lang w:val="en-US" w:eastAsia="zh-CN"/>
        </w:rPr>
        <w:t>日和</w:t>
      </w:r>
      <w:r w:rsidRPr="005C4F23">
        <w:rPr>
          <w:rFonts w:asciiTheme="minorHAnsi" w:eastAsiaTheme="minorEastAsia" w:hAnsiTheme="minorHAnsi" w:hint="eastAsia"/>
          <w:lang w:val="en-US" w:eastAsia="zh-CN"/>
        </w:rPr>
        <w:t>2021</w:t>
      </w:r>
      <w:r w:rsidRPr="005C4F23">
        <w:rPr>
          <w:rFonts w:asciiTheme="minorHAnsi" w:eastAsiaTheme="minorEastAsia" w:hAnsiTheme="minorHAnsi" w:hint="eastAsia"/>
          <w:lang w:val="en-US" w:eastAsia="zh-CN"/>
        </w:rPr>
        <w:t>年</w:t>
      </w:r>
      <w:r w:rsidRPr="005C4F23">
        <w:rPr>
          <w:rFonts w:asciiTheme="minorHAnsi" w:eastAsiaTheme="minorEastAsia" w:hAnsiTheme="minorHAnsi" w:hint="eastAsia"/>
          <w:lang w:val="en-US" w:eastAsia="zh-CN"/>
        </w:rPr>
        <w:t>2</w:t>
      </w:r>
      <w:r w:rsidRPr="005C4F23">
        <w:rPr>
          <w:rFonts w:asciiTheme="minorHAnsi" w:eastAsiaTheme="minorEastAsia" w:hAnsiTheme="minorHAnsi" w:hint="eastAsia"/>
          <w:lang w:val="en-US" w:eastAsia="zh-CN"/>
        </w:rPr>
        <w:t>月</w:t>
      </w:r>
      <w:r w:rsidRPr="005C4F23">
        <w:rPr>
          <w:rFonts w:asciiTheme="minorHAnsi" w:eastAsiaTheme="minorEastAsia" w:hAnsiTheme="minorHAnsi" w:hint="eastAsia"/>
          <w:lang w:val="en-US" w:eastAsia="zh-CN"/>
        </w:rPr>
        <w:t>25</w:t>
      </w:r>
      <w:r w:rsidRPr="005C4F23">
        <w:rPr>
          <w:rFonts w:asciiTheme="minorHAnsi" w:eastAsiaTheme="minorEastAsia" w:hAnsiTheme="minorHAnsi" w:hint="eastAsia"/>
          <w:lang w:val="en-US" w:eastAsia="zh-CN"/>
        </w:rPr>
        <w:t>日</w:t>
      </w:r>
      <w:r w:rsidR="00B0221A">
        <w:rPr>
          <w:rFonts w:hint="eastAsia"/>
          <w:lang w:eastAsia="zh-CN"/>
        </w:rPr>
        <w:t>举行了</w:t>
      </w:r>
      <w:r>
        <w:rPr>
          <w:rFonts w:hint="eastAsia"/>
          <w:lang w:eastAsia="zh-CN"/>
        </w:rPr>
        <w:t>两</w:t>
      </w:r>
      <w:r w:rsidR="00B0221A">
        <w:rPr>
          <w:rFonts w:hint="eastAsia"/>
          <w:lang w:eastAsia="zh-CN"/>
        </w:rPr>
        <w:t>次</w:t>
      </w:r>
      <w:r w:rsidR="009E3DEB">
        <w:rPr>
          <w:rFonts w:hint="eastAsia"/>
          <w:lang w:eastAsia="zh-CN"/>
        </w:rPr>
        <w:t>虚拟</w:t>
      </w:r>
      <w:r w:rsidR="00B0221A">
        <w:rPr>
          <w:rFonts w:hint="eastAsia"/>
          <w:lang w:eastAsia="zh-CN"/>
        </w:rPr>
        <w:t>会议，主席</w:t>
      </w:r>
      <w:r>
        <w:rPr>
          <w:rFonts w:hint="eastAsia"/>
          <w:lang w:eastAsia="zh-CN"/>
        </w:rPr>
        <w:t>由</w:t>
      </w:r>
      <w:r w:rsidRPr="00B0221A">
        <w:rPr>
          <w:rFonts w:asciiTheme="minorHAnsi" w:eastAsia="Times New Roman" w:hAnsiTheme="minorHAnsi"/>
          <w:lang w:eastAsia="zh-CN"/>
        </w:rPr>
        <w:t>Greg Ratta</w:t>
      </w:r>
      <w:r>
        <w:rPr>
          <w:rFonts w:ascii="SimSun" w:hAnsi="SimSun" w:cs="SimSun" w:hint="eastAsia"/>
          <w:lang w:eastAsia="zh-CN"/>
        </w:rPr>
        <w:t>先生（美国）担任。</w:t>
      </w:r>
      <w:r w:rsidR="009E3DEB" w:rsidRPr="009E3DEB">
        <w:rPr>
          <w:rFonts w:hint="eastAsia"/>
          <w:lang w:eastAsia="zh-CN"/>
        </w:rPr>
        <w:t>这些会议的完整报告可</w:t>
      </w:r>
      <w:r w:rsidR="009E3DEB">
        <w:rPr>
          <w:rFonts w:hint="eastAsia"/>
          <w:lang w:eastAsia="zh-CN"/>
        </w:rPr>
        <w:t>通过</w:t>
      </w:r>
      <w:r w:rsidR="009E3DEB" w:rsidRPr="009E3DEB">
        <w:rPr>
          <w:rFonts w:hint="eastAsia"/>
          <w:lang w:eastAsia="zh-CN"/>
        </w:rPr>
        <w:t>以下链接</w:t>
      </w:r>
      <w:r w:rsidR="009E3DEB">
        <w:rPr>
          <w:rFonts w:hint="eastAsia"/>
          <w:lang w:eastAsia="zh-CN"/>
        </w:rPr>
        <w:t>获取：</w:t>
      </w:r>
      <w:hyperlink r:id="rId12" w:history="1">
        <w:r w:rsidR="009E3DEB" w:rsidRPr="00B0221A">
          <w:rPr>
            <w:rFonts w:asciiTheme="minorHAnsi" w:eastAsia="Times New Roman" w:hAnsiTheme="minorHAnsi"/>
            <w:color w:val="0000FF"/>
            <w:u w:val="single"/>
            <w:lang w:eastAsia="zh-CN"/>
          </w:rPr>
          <w:t>https://www.itu.int/en/hq-building/Pages/default.aspx</w:t>
        </w:r>
      </w:hyperlink>
      <w:r w:rsidR="009E3DEB">
        <w:rPr>
          <w:rFonts w:hint="eastAsia"/>
          <w:lang w:eastAsia="zh-CN"/>
        </w:rPr>
        <w:t>（</w:t>
      </w:r>
      <w:r w:rsidR="009E3DEB" w:rsidRPr="009E3DEB">
        <w:rPr>
          <w:rFonts w:hint="eastAsia"/>
          <w:lang w:eastAsia="zh-CN"/>
        </w:rPr>
        <w:t>受</w:t>
      </w:r>
      <w:r w:rsidR="009E3DEB" w:rsidRPr="009E3DEB">
        <w:rPr>
          <w:rFonts w:hint="eastAsia"/>
          <w:lang w:eastAsia="zh-CN"/>
        </w:rPr>
        <w:t>TIES</w:t>
      </w:r>
      <w:r w:rsidR="009E3DEB" w:rsidRPr="009E3DEB">
        <w:rPr>
          <w:rFonts w:hint="eastAsia"/>
          <w:lang w:eastAsia="zh-CN"/>
        </w:rPr>
        <w:t>保护</w:t>
      </w:r>
      <w:r w:rsidR="009E3DEB">
        <w:rPr>
          <w:rFonts w:hint="eastAsia"/>
          <w:lang w:eastAsia="zh-CN"/>
        </w:rPr>
        <w:t>）</w:t>
      </w:r>
      <w:r w:rsidR="009E3DEB" w:rsidRPr="009E3DEB">
        <w:rPr>
          <w:rFonts w:hint="eastAsia"/>
          <w:lang w:eastAsia="zh-CN"/>
        </w:rPr>
        <w:t>。</w:t>
      </w:r>
      <w:r w:rsidR="009E3DEB">
        <w:rPr>
          <w:rFonts w:hint="eastAsia"/>
          <w:lang w:eastAsia="zh-CN"/>
        </w:rPr>
        <w:t>以下总结这两次</w:t>
      </w:r>
      <w:r w:rsidR="009E3DEB" w:rsidRPr="009E3DEB">
        <w:rPr>
          <w:rFonts w:hint="eastAsia"/>
          <w:lang w:eastAsia="zh-CN"/>
        </w:rPr>
        <w:t>会议</w:t>
      </w:r>
      <w:r w:rsidR="009E3DEB">
        <w:rPr>
          <w:rFonts w:hint="eastAsia"/>
          <w:lang w:eastAsia="zh-CN"/>
        </w:rPr>
        <w:t>的概要情况</w:t>
      </w:r>
      <w:r w:rsidR="00DB0662">
        <w:rPr>
          <w:rFonts w:hint="eastAsia"/>
          <w:lang w:eastAsia="zh-CN"/>
        </w:rPr>
        <w:t>。</w:t>
      </w:r>
    </w:p>
    <w:p w14:paraId="7EBBFEE8" w14:textId="5A5194FE" w:rsidR="00B0221A" w:rsidRPr="00B0221A" w:rsidRDefault="00C8596B" w:rsidP="00B0221A">
      <w:pPr>
        <w:numPr>
          <w:ilvl w:val="1"/>
          <w:numId w:val="8"/>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Theme="minorHAnsi" w:eastAsia="Times New Roman" w:hAnsiTheme="minorHAnsi" w:cstheme="minorHAnsi"/>
          <w:lang w:eastAsia="zh-CN"/>
        </w:rPr>
      </w:pPr>
      <w:r w:rsidRPr="00B0221A">
        <w:rPr>
          <w:color w:val="000000" w:themeColor="text1"/>
          <w:lang w:eastAsia="zh-CN"/>
        </w:rPr>
        <w:t>MSAG</w:t>
      </w:r>
      <w:r w:rsidR="005C4F23" w:rsidRPr="00C8596B">
        <w:rPr>
          <w:rFonts w:hint="eastAsia"/>
          <w:b/>
          <w:bCs/>
          <w:lang w:eastAsia="zh-CN"/>
        </w:rPr>
        <w:t>第</w:t>
      </w:r>
      <w:r w:rsidR="005C4F23" w:rsidRPr="00C8596B">
        <w:rPr>
          <w:rFonts w:hint="eastAsia"/>
          <w:b/>
          <w:bCs/>
          <w:lang w:eastAsia="zh-CN"/>
        </w:rPr>
        <w:t>12</w:t>
      </w:r>
      <w:r w:rsidR="005C4F23" w:rsidRPr="00C8596B">
        <w:rPr>
          <w:rFonts w:hint="eastAsia"/>
          <w:b/>
          <w:bCs/>
          <w:lang w:eastAsia="zh-CN"/>
        </w:rPr>
        <w:t>次会议</w:t>
      </w:r>
      <w:r>
        <w:rPr>
          <w:rFonts w:hint="eastAsia"/>
          <w:lang w:eastAsia="zh-CN"/>
        </w:rPr>
        <w:t>（</w:t>
      </w:r>
      <w:r w:rsidR="005C4F23" w:rsidRPr="00B0221A">
        <w:rPr>
          <w:rFonts w:hint="eastAsia"/>
          <w:lang w:eastAsia="zh-CN"/>
        </w:rPr>
        <w:t>2020</w:t>
      </w:r>
      <w:r w:rsidR="005C4F23" w:rsidRPr="00B0221A">
        <w:rPr>
          <w:rFonts w:hint="eastAsia"/>
          <w:lang w:eastAsia="zh-CN"/>
        </w:rPr>
        <w:t>年</w:t>
      </w:r>
      <w:r w:rsidR="005C4F23" w:rsidRPr="00B0221A">
        <w:rPr>
          <w:rFonts w:hint="eastAsia"/>
          <w:lang w:eastAsia="zh-CN"/>
        </w:rPr>
        <w:t>11</w:t>
      </w:r>
      <w:r w:rsidR="005C4F23" w:rsidRPr="00B0221A">
        <w:rPr>
          <w:rFonts w:hint="eastAsia"/>
          <w:lang w:eastAsia="zh-CN"/>
        </w:rPr>
        <w:t>月</w:t>
      </w:r>
      <w:r w:rsidR="005C4F23" w:rsidRPr="00B0221A">
        <w:rPr>
          <w:rFonts w:hint="eastAsia"/>
          <w:lang w:eastAsia="zh-CN"/>
        </w:rPr>
        <w:t>12</w:t>
      </w:r>
      <w:r w:rsidR="005C4F23" w:rsidRPr="00B0221A">
        <w:rPr>
          <w:rFonts w:hint="eastAsia"/>
          <w:lang w:eastAsia="zh-CN"/>
        </w:rPr>
        <w:t>日</w:t>
      </w:r>
      <w:r>
        <w:rPr>
          <w:rFonts w:hint="eastAsia"/>
          <w:lang w:eastAsia="zh-CN"/>
        </w:rPr>
        <w:t>）</w:t>
      </w:r>
      <w:r w:rsidR="005C4F23" w:rsidRPr="00B0221A">
        <w:rPr>
          <w:rFonts w:hint="eastAsia"/>
          <w:lang w:eastAsia="zh-CN"/>
        </w:rPr>
        <w:t>讨论了</w:t>
      </w:r>
      <w:r w:rsidR="005C4F23" w:rsidRPr="00B0221A">
        <w:rPr>
          <w:rFonts w:hint="eastAsia"/>
          <w:lang w:eastAsia="zh-CN"/>
        </w:rPr>
        <w:t>C20/7R1</w:t>
      </w:r>
      <w:r>
        <w:rPr>
          <w:rFonts w:hint="eastAsia"/>
          <w:lang w:eastAsia="zh-CN"/>
        </w:rPr>
        <w:t>号文件</w:t>
      </w:r>
      <w:r w:rsidR="005C4F23" w:rsidRPr="00B0221A">
        <w:rPr>
          <w:rFonts w:hint="eastAsia"/>
          <w:lang w:eastAsia="zh-CN"/>
        </w:rPr>
        <w:t>中的项目进度报告，审查了</w:t>
      </w:r>
      <w:r w:rsidR="005C4F23" w:rsidRPr="00B0221A">
        <w:rPr>
          <w:rFonts w:hint="eastAsia"/>
          <w:lang w:eastAsia="zh-CN"/>
        </w:rPr>
        <w:t>8</w:t>
      </w:r>
      <w:r w:rsidR="005C4F23" w:rsidRPr="00B0221A">
        <w:rPr>
          <w:rFonts w:hint="eastAsia"/>
          <w:lang w:eastAsia="zh-CN"/>
        </w:rPr>
        <w:t>月和</w:t>
      </w:r>
      <w:r w:rsidR="005C4F23" w:rsidRPr="00B0221A">
        <w:rPr>
          <w:rFonts w:hint="eastAsia"/>
          <w:lang w:eastAsia="zh-CN"/>
        </w:rPr>
        <w:t>9</w:t>
      </w:r>
      <w:r w:rsidR="005C4F23" w:rsidRPr="00B0221A">
        <w:rPr>
          <w:rFonts w:hint="eastAsia"/>
          <w:lang w:eastAsia="zh-CN"/>
        </w:rPr>
        <w:t>月修订的</w:t>
      </w:r>
      <w:r w:rsidR="005C4F23" w:rsidRPr="00B0221A">
        <w:rPr>
          <w:rFonts w:hint="eastAsia"/>
          <w:lang w:eastAsia="zh-CN"/>
        </w:rPr>
        <w:t>9</w:t>
      </w:r>
      <w:r w:rsidR="005C4F23" w:rsidRPr="00B0221A">
        <w:rPr>
          <w:rFonts w:hint="eastAsia"/>
          <w:lang w:eastAsia="zh-CN"/>
        </w:rPr>
        <w:t>个</w:t>
      </w:r>
      <w:r w:rsidRPr="00901A57">
        <w:rPr>
          <w:lang w:eastAsia="zh-CN"/>
        </w:rPr>
        <w:t>风险管控项</w:t>
      </w:r>
      <w:r w:rsidRPr="00901A57">
        <w:rPr>
          <w:rFonts w:hint="eastAsia"/>
          <w:lang w:eastAsia="zh-CN"/>
        </w:rPr>
        <w:t>目</w:t>
      </w:r>
      <w:r w:rsidR="005C4F23" w:rsidRPr="00B0221A">
        <w:rPr>
          <w:rFonts w:hint="eastAsia"/>
          <w:lang w:eastAsia="zh-CN"/>
        </w:rPr>
        <w:t>，要求</w:t>
      </w:r>
      <w:r w:rsidRPr="00B0221A">
        <w:rPr>
          <w:rFonts w:asciiTheme="minorHAnsi" w:eastAsia="Times New Roman" w:hAnsiTheme="minorHAnsi" w:cstheme="minorHAnsi"/>
          <w:lang w:eastAsia="zh-CN"/>
        </w:rPr>
        <w:t>SPG Intercity</w:t>
      </w:r>
      <w:r w:rsidRPr="00B0221A">
        <w:rPr>
          <w:rFonts w:hint="eastAsia"/>
          <w:lang w:eastAsia="zh-CN"/>
        </w:rPr>
        <w:t>澄清</w:t>
      </w:r>
      <w:r>
        <w:rPr>
          <w:rFonts w:hint="eastAsia"/>
          <w:lang w:eastAsia="zh-CN"/>
        </w:rPr>
        <w:t>其在</w:t>
      </w:r>
      <w:hyperlink r:id="rId13" w:history="1">
        <w:r w:rsidRPr="00B0221A">
          <w:rPr>
            <w:rFonts w:asciiTheme="minorHAnsi" w:eastAsia="Times New Roman" w:hAnsiTheme="minorHAnsi" w:cstheme="minorHAnsi"/>
            <w:color w:val="0000FF"/>
            <w:u w:val="single"/>
            <w:lang w:eastAsia="zh-CN"/>
          </w:rPr>
          <w:t>C20/77</w:t>
        </w:r>
      </w:hyperlink>
      <w:r>
        <w:rPr>
          <w:rFonts w:ascii="SimSun" w:hAnsi="SimSun" w:cs="SimSun" w:hint="eastAsia"/>
          <w:lang w:eastAsia="zh-CN"/>
        </w:rPr>
        <w:t>和</w:t>
      </w:r>
      <w:r w:rsidR="00462DB5">
        <w:fldChar w:fldCharType="begin"/>
      </w:r>
      <w:r w:rsidR="00462DB5">
        <w:rPr>
          <w:lang w:eastAsia="zh-CN"/>
        </w:rPr>
        <w:instrText xml:space="preserve"> HYPERLINK "https://www.itu.int/md/S20-CL-INF-0020/en" </w:instrText>
      </w:r>
      <w:r w:rsidR="00462DB5">
        <w:fldChar w:fldCharType="separate"/>
      </w:r>
      <w:r w:rsidRPr="00B0221A">
        <w:rPr>
          <w:rFonts w:asciiTheme="minorHAnsi" w:eastAsia="Times New Roman" w:hAnsiTheme="minorHAnsi" w:cstheme="minorHAnsi"/>
          <w:color w:val="0000FF"/>
          <w:u w:val="single"/>
          <w:lang w:eastAsia="zh-CN"/>
        </w:rPr>
        <w:t>C20/INF/20</w:t>
      </w:r>
      <w:r w:rsidR="00462DB5">
        <w:rPr>
          <w:rFonts w:asciiTheme="minorHAnsi" w:eastAsia="Times New Roman" w:hAnsiTheme="minorHAnsi" w:cstheme="minorHAnsi"/>
          <w:color w:val="0000FF"/>
          <w:u w:val="single"/>
          <w:lang w:eastAsia="zh-CN"/>
        </w:rPr>
        <w:fldChar w:fldCharType="end"/>
      </w:r>
      <w:r>
        <w:rPr>
          <w:rFonts w:hint="eastAsia"/>
          <w:lang w:eastAsia="zh-CN"/>
        </w:rPr>
        <w:t>号文件中所含的、</w:t>
      </w:r>
      <w:r w:rsidR="00A877CF">
        <w:rPr>
          <w:rFonts w:hint="eastAsia"/>
          <w:lang w:eastAsia="zh-CN"/>
        </w:rPr>
        <w:t>关于</w:t>
      </w:r>
      <w:r>
        <w:rPr>
          <w:rFonts w:hint="eastAsia"/>
          <w:lang w:eastAsia="zh-CN"/>
        </w:rPr>
        <w:t>以</w:t>
      </w:r>
      <w:r w:rsidRPr="00B0221A">
        <w:rPr>
          <w:rFonts w:hint="eastAsia"/>
          <w:lang w:eastAsia="zh-CN"/>
        </w:rPr>
        <w:t>最佳</w:t>
      </w:r>
      <w:r w:rsidR="00A877CF">
        <w:rPr>
          <w:rFonts w:hint="eastAsia"/>
          <w:lang w:eastAsia="zh-CN"/>
        </w:rPr>
        <w:t>方式</w:t>
      </w:r>
      <w:r w:rsidR="00A877CF" w:rsidRPr="00B0221A">
        <w:rPr>
          <w:rFonts w:hint="eastAsia"/>
          <w:lang w:eastAsia="zh-CN"/>
        </w:rPr>
        <w:t>将</w:t>
      </w:r>
      <w:r w:rsidR="00A877CF">
        <w:rPr>
          <w:rFonts w:hint="eastAsia"/>
          <w:lang w:eastAsia="zh-CN"/>
        </w:rPr>
        <w:t>塔楼</w:t>
      </w:r>
      <w:r w:rsidR="00A877CF" w:rsidRPr="00B0221A">
        <w:rPr>
          <w:rFonts w:hint="eastAsia"/>
          <w:lang w:eastAsia="zh-CN"/>
        </w:rPr>
        <w:t>投放市场的策略</w:t>
      </w:r>
      <w:r w:rsidR="005C4F23" w:rsidRPr="00B0221A">
        <w:rPr>
          <w:rFonts w:hint="eastAsia"/>
          <w:lang w:eastAsia="zh-CN"/>
        </w:rPr>
        <w:t>报告，并</w:t>
      </w:r>
      <w:r w:rsidR="00A877CF">
        <w:rPr>
          <w:rFonts w:hint="eastAsia"/>
          <w:lang w:eastAsia="zh-CN"/>
        </w:rPr>
        <w:t>简单讨论了</w:t>
      </w:r>
      <w:hyperlink r:id="rId14" w:history="1">
        <w:r w:rsidR="00A877CF" w:rsidRPr="00B0221A">
          <w:rPr>
            <w:rFonts w:asciiTheme="minorHAnsi" w:eastAsia="Times New Roman" w:hAnsiTheme="minorHAnsi" w:cstheme="minorHAnsi"/>
            <w:color w:val="0000FF"/>
            <w:u w:val="single"/>
            <w:lang w:eastAsia="zh-CN"/>
          </w:rPr>
          <w:t>C20/INF/21</w:t>
        </w:r>
      </w:hyperlink>
      <w:r w:rsidR="005C4F23" w:rsidRPr="00B0221A">
        <w:rPr>
          <w:rFonts w:hint="eastAsia"/>
          <w:lang w:eastAsia="zh-CN"/>
        </w:rPr>
        <w:t>中描述的后</w:t>
      </w:r>
      <w:r w:rsidR="00A877CF">
        <w:rPr>
          <w:rFonts w:hint="eastAsia"/>
          <w:lang w:eastAsia="zh-CN"/>
        </w:rPr>
        <w:t>疫情（</w:t>
      </w:r>
      <w:r w:rsidR="005C4F23" w:rsidRPr="00B0221A">
        <w:rPr>
          <w:rFonts w:hint="eastAsia"/>
          <w:lang w:eastAsia="zh-CN"/>
        </w:rPr>
        <w:t>COVID</w:t>
      </w:r>
      <w:r w:rsidR="00A877CF">
        <w:rPr>
          <w:rFonts w:hint="eastAsia"/>
          <w:lang w:eastAsia="zh-CN"/>
        </w:rPr>
        <w:t>）时代对</w:t>
      </w:r>
      <w:r w:rsidR="005C4F23" w:rsidRPr="00B0221A">
        <w:rPr>
          <w:rFonts w:hint="eastAsia"/>
          <w:lang w:eastAsia="zh-CN"/>
        </w:rPr>
        <w:t>设计</w:t>
      </w:r>
      <w:r w:rsidR="00A877CF">
        <w:rPr>
          <w:rFonts w:hint="eastAsia"/>
          <w:lang w:eastAsia="zh-CN"/>
        </w:rPr>
        <w:t>的影响问题。</w:t>
      </w:r>
    </w:p>
    <w:p w14:paraId="22A8A0D2" w14:textId="30A77163" w:rsidR="002E6DD3" w:rsidRPr="00B0221A" w:rsidRDefault="002E6DD3" w:rsidP="00A55933">
      <w:pPr>
        <w:tabs>
          <w:tab w:val="clear" w:pos="794"/>
          <w:tab w:val="clear" w:pos="1191"/>
          <w:tab w:val="clear" w:pos="1588"/>
          <w:tab w:val="clear" w:pos="1985"/>
          <w:tab w:val="left" w:pos="567"/>
          <w:tab w:val="left" w:pos="1134"/>
          <w:tab w:val="left" w:pos="1701"/>
          <w:tab w:val="left" w:pos="2268"/>
          <w:tab w:val="left" w:pos="2835"/>
        </w:tabs>
        <w:spacing w:after="120"/>
        <w:ind w:left="570"/>
        <w:jc w:val="both"/>
        <w:rPr>
          <w:lang w:eastAsia="zh-CN"/>
        </w:rPr>
      </w:pPr>
      <w:r>
        <w:rPr>
          <w:rFonts w:ascii="SimSun" w:hAnsi="SimSun" w:cs="SimSun" w:hint="eastAsia"/>
          <w:lang w:eastAsia="zh-CN"/>
        </w:rPr>
        <w:t>在此</w:t>
      </w:r>
      <w:r w:rsidRPr="00B0221A">
        <w:rPr>
          <w:rFonts w:hint="eastAsia"/>
          <w:lang w:eastAsia="zh-CN"/>
        </w:rPr>
        <w:t>提醒</w:t>
      </w:r>
      <w:r>
        <w:rPr>
          <w:rFonts w:hint="eastAsia"/>
          <w:lang w:eastAsia="zh-CN"/>
        </w:rPr>
        <w:t>读者</w:t>
      </w:r>
      <w:r w:rsidRPr="00B0221A">
        <w:rPr>
          <w:rFonts w:hint="eastAsia"/>
          <w:lang w:eastAsia="zh-CN"/>
        </w:rPr>
        <w:t>，</w:t>
      </w:r>
      <w:bookmarkStart w:id="5" w:name="_Hlk69291659"/>
      <w:r w:rsidRPr="00B0221A">
        <w:rPr>
          <w:rFonts w:hint="eastAsia"/>
          <w:lang w:eastAsia="zh-CN"/>
        </w:rPr>
        <w:t>风险</w:t>
      </w:r>
      <w:r>
        <w:rPr>
          <w:rFonts w:hint="eastAsia"/>
          <w:lang w:eastAsia="zh-CN"/>
        </w:rPr>
        <w:t>管控</w:t>
      </w:r>
      <w:r w:rsidRPr="00B0221A">
        <w:rPr>
          <w:rFonts w:hint="eastAsia"/>
          <w:lang w:eastAsia="zh-CN"/>
        </w:rPr>
        <w:t>登记簿</w:t>
      </w:r>
      <w:bookmarkEnd w:id="5"/>
      <w:r>
        <w:rPr>
          <w:rFonts w:hint="eastAsia"/>
          <w:lang w:eastAsia="zh-CN"/>
        </w:rPr>
        <w:t>（</w:t>
      </w:r>
      <w:r w:rsidRPr="00B0221A">
        <w:rPr>
          <w:rFonts w:asciiTheme="minorHAnsi" w:eastAsia="Times New Roman" w:hAnsiTheme="minorHAnsi" w:cstheme="minorHAnsi"/>
        </w:rPr>
        <w:t>risk register</w:t>
      </w:r>
      <w:r>
        <w:rPr>
          <w:rFonts w:ascii="SimSun" w:hAnsi="SimSun" w:cs="SimSun" w:hint="eastAsia"/>
          <w:lang w:eastAsia="zh-CN"/>
        </w:rPr>
        <w:t>）</w:t>
      </w:r>
      <w:r w:rsidRPr="00B0221A">
        <w:rPr>
          <w:rFonts w:hint="eastAsia"/>
          <w:lang w:eastAsia="zh-CN"/>
        </w:rPr>
        <w:t>是项目管理中</w:t>
      </w:r>
      <w:r>
        <w:rPr>
          <w:rFonts w:hint="eastAsia"/>
          <w:lang w:eastAsia="zh-CN"/>
        </w:rPr>
        <w:t>确定</w:t>
      </w:r>
      <w:r w:rsidRPr="00B0221A">
        <w:rPr>
          <w:rFonts w:hint="eastAsia"/>
          <w:lang w:eastAsia="zh-CN"/>
        </w:rPr>
        <w:t>和管理风险的最佳</w:t>
      </w:r>
      <w:r>
        <w:rPr>
          <w:rFonts w:hint="eastAsia"/>
          <w:lang w:eastAsia="zh-CN"/>
        </w:rPr>
        <w:t>做法</w:t>
      </w:r>
      <w:r w:rsidRPr="00B0221A">
        <w:rPr>
          <w:rFonts w:hint="eastAsia"/>
          <w:lang w:eastAsia="zh-CN"/>
        </w:rPr>
        <w:t>工具。风险</w:t>
      </w:r>
      <w:r>
        <w:rPr>
          <w:rFonts w:hint="eastAsia"/>
          <w:lang w:eastAsia="zh-CN"/>
        </w:rPr>
        <w:t>管控</w:t>
      </w:r>
      <w:r w:rsidRPr="00B0221A">
        <w:rPr>
          <w:rFonts w:hint="eastAsia"/>
          <w:lang w:eastAsia="zh-CN"/>
        </w:rPr>
        <w:t>登记簿记录</w:t>
      </w:r>
      <w:r>
        <w:rPr>
          <w:rFonts w:hint="eastAsia"/>
          <w:lang w:eastAsia="zh-CN"/>
        </w:rPr>
        <w:t>对</w:t>
      </w:r>
      <w:r w:rsidR="00F3343A">
        <w:rPr>
          <w:rFonts w:hint="eastAsia"/>
          <w:lang w:eastAsia="zh-CN"/>
        </w:rPr>
        <w:t>以下问题的答案：</w:t>
      </w:r>
      <w:r>
        <w:rPr>
          <w:rFonts w:hint="eastAsia"/>
          <w:lang w:eastAsia="zh-CN"/>
        </w:rPr>
        <w:t>“</w:t>
      </w:r>
      <w:r w:rsidRPr="00B0221A">
        <w:rPr>
          <w:rFonts w:hint="eastAsia"/>
          <w:lang w:eastAsia="zh-CN"/>
        </w:rPr>
        <w:t>如果</w:t>
      </w:r>
      <w:r>
        <w:rPr>
          <w:rFonts w:hint="eastAsia"/>
          <w:lang w:eastAsia="zh-CN"/>
        </w:rPr>
        <w:t>出现</w:t>
      </w:r>
      <w:r w:rsidRPr="00B0221A">
        <w:rPr>
          <w:rFonts w:hint="eastAsia"/>
          <w:lang w:eastAsia="zh-CN"/>
        </w:rPr>
        <w:t>&lt;x&gt;</w:t>
      </w:r>
      <w:r w:rsidRPr="00B0221A">
        <w:rPr>
          <w:rFonts w:hint="eastAsia"/>
          <w:lang w:eastAsia="zh-CN"/>
        </w:rPr>
        <w:t>会发生</w:t>
      </w:r>
      <w:r>
        <w:rPr>
          <w:rFonts w:hint="eastAsia"/>
          <w:lang w:eastAsia="zh-CN"/>
        </w:rPr>
        <w:t>何种事情</w:t>
      </w:r>
      <w:r w:rsidRPr="00B0221A">
        <w:rPr>
          <w:rFonts w:hint="eastAsia"/>
          <w:lang w:eastAsia="zh-CN"/>
        </w:rPr>
        <w:t>，</w:t>
      </w:r>
      <w:r w:rsidR="00F3343A">
        <w:rPr>
          <w:rFonts w:hint="eastAsia"/>
          <w:lang w:eastAsia="zh-CN"/>
        </w:rPr>
        <w:t>这会带来多大代价</w:t>
      </w:r>
      <w:r w:rsidRPr="00B0221A">
        <w:rPr>
          <w:rFonts w:hint="eastAsia"/>
          <w:lang w:eastAsia="zh-CN"/>
        </w:rPr>
        <w:t>？</w:t>
      </w:r>
      <w:r w:rsidR="00F3343A">
        <w:rPr>
          <w:rFonts w:hint="eastAsia"/>
          <w:lang w:eastAsia="zh-CN"/>
        </w:rPr>
        <w:t>”</w:t>
      </w:r>
      <w:r w:rsidRPr="00B0221A">
        <w:rPr>
          <w:rFonts w:hint="eastAsia"/>
          <w:lang w:eastAsia="zh-CN"/>
        </w:rPr>
        <w:t>。会议期间审议的</w:t>
      </w:r>
      <w:r w:rsidR="00F3343A">
        <w:rPr>
          <w:rFonts w:hint="eastAsia"/>
          <w:lang w:eastAsia="zh-CN"/>
        </w:rPr>
        <w:t>内容</w:t>
      </w:r>
      <w:r w:rsidRPr="00B0221A">
        <w:rPr>
          <w:rFonts w:hint="eastAsia"/>
          <w:lang w:eastAsia="zh-CN"/>
        </w:rPr>
        <w:t>侧重于新冠肺炎</w:t>
      </w:r>
      <w:r w:rsidR="00F3343A">
        <w:rPr>
          <w:rFonts w:hint="eastAsia"/>
          <w:lang w:eastAsia="zh-CN"/>
        </w:rPr>
        <w:t>疫情（</w:t>
      </w:r>
      <w:r w:rsidR="00F3343A" w:rsidRPr="00B0221A">
        <w:rPr>
          <w:rFonts w:asciiTheme="minorHAnsi" w:eastAsia="Times New Roman" w:hAnsiTheme="minorHAnsi" w:cstheme="minorHAnsi"/>
          <w:lang w:eastAsia="zh-CN"/>
        </w:rPr>
        <w:t>Covid-19</w:t>
      </w:r>
      <w:r w:rsidR="00F3343A">
        <w:rPr>
          <w:rFonts w:ascii="SimSun" w:hAnsi="SimSun" w:cs="SimSun" w:hint="eastAsia"/>
          <w:lang w:eastAsia="zh-CN"/>
        </w:rPr>
        <w:t>）</w:t>
      </w:r>
      <w:r w:rsidRPr="00B0221A">
        <w:rPr>
          <w:rFonts w:hint="eastAsia"/>
          <w:lang w:eastAsia="zh-CN"/>
        </w:rPr>
        <w:t>对新总部</w:t>
      </w:r>
      <w:r w:rsidR="00F3343A">
        <w:rPr>
          <w:rFonts w:hint="eastAsia"/>
          <w:lang w:eastAsia="zh-CN"/>
        </w:rPr>
        <w:t>办公楼</w:t>
      </w:r>
      <w:r w:rsidRPr="00B0221A">
        <w:rPr>
          <w:rFonts w:hint="eastAsia"/>
          <w:lang w:eastAsia="zh-CN"/>
        </w:rPr>
        <w:t>的设计或其</w:t>
      </w:r>
      <w:r w:rsidR="00F3343A">
        <w:rPr>
          <w:rFonts w:hint="eastAsia"/>
          <w:lang w:eastAsia="zh-CN"/>
        </w:rPr>
        <w:t>施工</w:t>
      </w:r>
      <w:r w:rsidRPr="00B0221A">
        <w:rPr>
          <w:rFonts w:hint="eastAsia"/>
          <w:lang w:eastAsia="zh-CN"/>
        </w:rPr>
        <w:t>时间表的可能影响、国际电联地块外围的安保安排以及最大限度地提高</w:t>
      </w:r>
      <w:r w:rsidR="00F3343A">
        <w:rPr>
          <w:rFonts w:hint="eastAsia"/>
          <w:lang w:eastAsia="zh-CN"/>
        </w:rPr>
        <w:t>塔楼</w:t>
      </w:r>
      <w:r w:rsidRPr="00B0221A">
        <w:rPr>
          <w:rFonts w:hint="eastAsia"/>
          <w:lang w:eastAsia="zh-CN"/>
        </w:rPr>
        <w:t>的销售价值。</w:t>
      </w:r>
    </w:p>
    <w:p w14:paraId="3ABF5CD2" w14:textId="6CA8F067" w:rsidR="00C17EE9" w:rsidRPr="00B0221A" w:rsidRDefault="00C17EE9" w:rsidP="00A55933">
      <w:pPr>
        <w:tabs>
          <w:tab w:val="clear" w:pos="794"/>
          <w:tab w:val="clear" w:pos="1191"/>
          <w:tab w:val="clear" w:pos="1588"/>
          <w:tab w:val="clear" w:pos="1985"/>
          <w:tab w:val="left" w:pos="567"/>
          <w:tab w:val="left" w:pos="1134"/>
          <w:tab w:val="left" w:pos="1701"/>
          <w:tab w:val="left" w:pos="2268"/>
          <w:tab w:val="left" w:pos="2835"/>
        </w:tabs>
        <w:spacing w:after="120"/>
        <w:ind w:left="570"/>
        <w:jc w:val="both"/>
        <w:rPr>
          <w:lang w:eastAsia="zh-CN"/>
        </w:rPr>
      </w:pPr>
      <w:r w:rsidRPr="00B0221A">
        <w:rPr>
          <w:rFonts w:hint="eastAsia"/>
          <w:lang w:eastAsia="zh-CN"/>
        </w:rPr>
        <w:t>MSAG</w:t>
      </w:r>
      <w:r>
        <w:rPr>
          <w:rFonts w:hint="eastAsia"/>
          <w:lang w:eastAsia="zh-CN"/>
        </w:rPr>
        <w:t>审查</w:t>
      </w:r>
      <w:r w:rsidRPr="00B0221A">
        <w:rPr>
          <w:rFonts w:hint="eastAsia"/>
          <w:lang w:eastAsia="zh-CN"/>
        </w:rPr>
        <w:t>了</w:t>
      </w:r>
      <w:r w:rsidRPr="00B0221A">
        <w:rPr>
          <w:rFonts w:asciiTheme="minorHAnsi" w:eastAsia="Times New Roman" w:hAnsiTheme="minorHAnsi" w:cstheme="minorHAnsi"/>
          <w:szCs w:val="24"/>
          <w:lang w:eastAsia="zh-CN"/>
        </w:rPr>
        <w:t>SPC Intercity</w:t>
      </w:r>
      <w:r>
        <w:rPr>
          <w:rFonts w:ascii="SimSun" w:hAnsi="SimSun" w:cs="SimSun" w:hint="eastAsia"/>
          <w:szCs w:val="24"/>
          <w:lang w:eastAsia="zh-CN"/>
        </w:rPr>
        <w:t>的</w:t>
      </w:r>
      <w:r>
        <w:rPr>
          <w:rFonts w:hint="eastAsia"/>
          <w:lang w:eastAsia="zh-CN"/>
        </w:rPr>
        <w:t>提案</w:t>
      </w:r>
      <w:r w:rsidRPr="00B0221A">
        <w:rPr>
          <w:rFonts w:hint="eastAsia"/>
          <w:lang w:eastAsia="zh-CN"/>
        </w:rPr>
        <w:t>，该</w:t>
      </w:r>
      <w:r>
        <w:rPr>
          <w:rFonts w:hint="eastAsia"/>
          <w:lang w:eastAsia="zh-CN"/>
        </w:rPr>
        <w:t>提案</w:t>
      </w:r>
      <w:r w:rsidRPr="00B0221A">
        <w:rPr>
          <w:rFonts w:hint="eastAsia"/>
          <w:lang w:eastAsia="zh-CN"/>
        </w:rPr>
        <w:t>在</w:t>
      </w:r>
      <w:r w:rsidRPr="00B0221A">
        <w:rPr>
          <w:rFonts w:hint="eastAsia"/>
          <w:lang w:eastAsia="zh-CN"/>
        </w:rPr>
        <w:t>11</w:t>
      </w:r>
      <w:r w:rsidRPr="00B0221A">
        <w:rPr>
          <w:rFonts w:hint="eastAsia"/>
          <w:lang w:eastAsia="zh-CN"/>
        </w:rPr>
        <w:t>月晚些时候举行的</w:t>
      </w:r>
      <w:r w:rsidRPr="0007045F">
        <w:rPr>
          <w:lang w:eastAsia="zh-CN"/>
        </w:rPr>
        <w:t>理事磋商会第</w:t>
      </w:r>
      <w:r w:rsidRPr="0007045F">
        <w:rPr>
          <w:rFonts w:hint="eastAsia"/>
          <w:lang w:eastAsia="zh-CN"/>
        </w:rPr>
        <w:t>2</w:t>
      </w:r>
      <w:r w:rsidRPr="0007045F">
        <w:rPr>
          <w:lang w:eastAsia="zh-CN"/>
        </w:rPr>
        <w:t>次虚拟会</w:t>
      </w:r>
      <w:r w:rsidRPr="0007045F">
        <w:rPr>
          <w:rFonts w:hint="eastAsia"/>
          <w:lang w:eastAsia="zh-CN"/>
        </w:rPr>
        <w:t>议</w:t>
      </w:r>
      <w:r w:rsidRPr="00B0221A">
        <w:rPr>
          <w:rFonts w:hint="eastAsia"/>
          <w:lang w:eastAsia="zh-CN"/>
        </w:rPr>
        <w:t>中得到进一步讨论。</w:t>
      </w:r>
      <w:r w:rsidRPr="00B0221A">
        <w:rPr>
          <w:rFonts w:hint="eastAsia"/>
          <w:lang w:eastAsia="zh-CN"/>
        </w:rPr>
        <w:t>MSAG</w:t>
      </w:r>
      <w:r w:rsidRPr="00B0221A">
        <w:rPr>
          <w:rFonts w:hint="eastAsia"/>
          <w:lang w:eastAsia="zh-CN"/>
        </w:rPr>
        <w:t>的讨论集中于更好地</w:t>
      </w:r>
      <w:r>
        <w:rPr>
          <w:rFonts w:hint="eastAsia"/>
          <w:lang w:eastAsia="zh-CN"/>
        </w:rPr>
        <w:t>了解</w:t>
      </w:r>
      <w:r w:rsidRPr="00B0221A">
        <w:rPr>
          <w:rFonts w:hint="eastAsia"/>
          <w:lang w:eastAsia="zh-CN"/>
        </w:rPr>
        <w:t>为</w:t>
      </w:r>
      <w:r>
        <w:rPr>
          <w:rFonts w:hint="eastAsia"/>
          <w:lang w:eastAsia="zh-CN"/>
        </w:rPr>
        <w:t>何</w:t>
      </w:r>
      <w:r w:rsidRPr="00B0221A">
        <w:rPr>
          <w:rFonts w:hint="eastAsia"/>
          <w:lang w:eastAsia="zh-CN"/>
        </w:rPr>
        <w:t>租回</w:t>
      </w:r>
      <w:r>
        <w:rPr>
          <w:rFonts w:hint="eastAsia"/>
          <w:lang w:eastAsia="zh-CN"/>
        </w:rPr>
        <w:t>这一可选方案</w:t>
      </w:r>
      <w:r w:rsidRPr="00B0221A">
        <w:rPr>
          <w:rFonts w:hint="eastAsia"/>
          <w:lang w:eastAsia="zh-CN"/>
        </w:rPr>
        <w:t>对国际电联是可取的</w:t>
      </w:r>
      <w:r w:rsidR="00901A57">
        <w:rPr>
          <w:rFonts w:hint="eastAsia"/>
          <w:lang w:eastAsia="zh-CN"/>
        </w:rPr>
        <w:t>。</w:t>
      </w:r>
    </w:p>
    <w:p w14:paraId="28EEA0C0" w14:textId="517010D6" w:rsidR="004A13CA" w:rsidRPr="00B0221A" w:rsidRDefault="004A13CA" w:rsidP="00A55933">
      <w:pPr>
        <w:tabs>
          <w:tab w:val="clear" w:pos="794"/>
          <w:tab w:val="clear" w:pos="1191"/>
          <w:tab w:val="clear" w:pos="1588"/>
          <w:tab w:val="clear" w:pos="1985"/>
          <w:tab w:val="left" w:pos="567"/>
          <w:tab w:val="left" w:pos="1134"/>
          <w:tab w:val="left" w:pos="1701"/>
          <w:tab w:val="left" w:pos="2268"/>
          <w:tab w:val="left" w:pos="2835"/>
        </w:tabs>
        <w:spacing w:after="120"/>
        <w:ind w:left="570"/>
        <w:jc w:val="both"/>
        <w:rPr>
          <w:lang w:eastAsia="zh-CN"/>
        </w:rPr>
      </w:pPr>
      <w:r w:rsidRPr="00B0221A">
        <w:rPr>
          <w:rFonts w:hint="eastAsia"/>
          <w:lang w:eastAsia="zh-CN"/>
        </w:rPr>
        <w:t>虽然现在全面评估</w:t>
      </w:r>
      <w:r w:rsidRPr="00B0221A">
        <w:rPr>
          <w:rFonts w:asciiTheme="minorHAnsi" w:eastAsia="Times New Roman" w:hAnsiTheme="minorHAnsi" w:cstheme="minorHAnsi"/>
          <w:szCs w:val="24"/>
          <w:lang w:eastAsia="zh-CN"/>
        </w:rPr>
        <w:t>Covid-19</w:t>
      </w:r>
      <w:r w:rsidRPr="00B0221A">
        <w:rPr>
          <w:rFonts w:hint="eastAsia"/>
          <w:lang w:eastAsia="zh-CN"/>
        </w:rPr>
        <w:t>大流行的影响还为时过早，但</w:t>
      </w:r>
      <w:r w:rsidRPr="00B0221A">
        <w:rPr>
          <w:rFonts w:asciiTheme="minorHAnsi" w:eastAsia="Times New Roman" w:hAnsiTheme="minorHAnsi" w:cstheme="minorHAnsi"/>
          <w:szCs w:val="24"/>
          <w:lang w:eastAsia="zh-CN"/>
        </w:rPr>
        <w:t>Dobbelstein</w:t>
      </w:r>
      <w:r w:rsidRPr="00B0221A">
        <w:rPr>
          <w:rFonts w:hint="eastAsia"/>
          <w:lang w:eastAsia="zh-CN"/>
        </w:rPr>
        <w:t>女士重申，如果需要将工作人员分隔至少两米，</w:t>
      </w:r>
      <w:r>
        <w:rPr>
          <w:rFonts w:hint="eastAsia"/>
          <w:lang w:eastAsia="zh-CN"/>
        </w:rPr>
        <w:t>则</w:t>
      </w:r>
      <w:r w:rsidRPr="00B0221A">
        <w:rPr>
          <w:rFonts w:hint="eastAsia"/>
          <w:lang w:eastAsia="zh-CN"/>
        </w:rPr>
        <w:t>新</w:t>
      </w:r>
      <w:r>
        <w:rPr>
          <w:rFonts w:hint="eastAsia"/>
          <w:lang w:eastAsia="zh-CN"/>
        </w:rPr>
        <w:t>办公</w:t>
      </w:r>
      <w:r w:rsidRPr="00B0221A">
        <w:rPr>
          <w:rFonts w:hint="eastAsia"/>
          <w:lang w:eastAsia="zh-CN"/>
        </w:rPr>
        <w:t>楼的现有容量无法支持现有的工作人员，除非</w:t>
      </w:r>
      <w:r w:rsidRPr="004A13CA">
        <w:rPr>
          <w:lang w:eastAsia="zh-CN"/>
        </w:rPr>
        <w:t>通过修改</w:t>
      </w:r>
      <w:r w:rsidRPr="004A13CA">
        <w:rPr>
          <w:rFonts w:hint="eastAsia"/>
          <w:lang w:eastAsia="zh-CN"/>
        </w:rPr>
        <w:t>“</w:t>
      </w:r>
      <w:r w:rsidRPr="004A13CA">
        <w:rPr>
          <w:lang w:eastAsia="zh-CN"/>
        </w:rPr>
        <w:t>分配办公桌（</w:t>
      </w:r>
      <w:r w:rsidRPr="004A13CA">
        <w:rPr>
          <w:lang w:eastAsia="zh-CN"/>
        </w:rPr>
        <w:t>assigned desk</w:t>
      </w:r>
      <w:r w:rsidRPr="004A13CA">
        <w:rPr>
          <w:lang w:eastAsia="zh-CN"/>
        </w:rPr>
        <w:t>）政策</w:t>
      </w:r>
      <w:r w:rsidRPr="004A13CA">
        <w:rPr>
          <w:rFonts w:hint="eastAsia"/>
          <w:lang w:eastAsia="zh-CN"/>
        </w:rPr>
        <w:t>”</w:t>
      </w:r>
      <w:r w:rsidRPr="00B0221A">
        <w:rPr>
          <w:rFonts w:hint="eastAsia"/>
          <w:lang w:eastAsia="zh-CN"/>
        </w:rPr>
        <w:t>和远程工作政策，</w:t>
      </w:r>
      <w:r w:rsidRPr="004A13CA">
        <w:rPr>
          <w:lang w:eastAsia="zh-CN"/>
        </w:rPr>
        <w:t>来</w:t>
      </w:r>
      <w:r w:rsidRPr="004A13CA">
        <w:rPr>
          <w:rFonts w:hint="eastAsia"/>
          <w:lang w:eastAsia="zh-CN"/>
        </w:rPr>
        <w:t>将</w:t>
      </w:r>
      <w:r w:rsidRPr="004A13CA">
        <w:rPr>
          <w:lang w:eastAsia="zh-CN"/>
        </w:rPr>
        <w:t>现场工作人员的</w:t>
      </w:r>
      <w:r w:rsidRPr="004A13CA">
        <w:rPr>
          <w:rFonts w:hint="eastAsia"/>
          <w:lang w:eastAsia="zh-CN"/>
        </w:rPr>
        <w:t>数量</w:t>
      </w:r>
      <w:r w:rsidR="00901A57" w:rsidRPr="00B0221A">
        <w:rPr>
          <w:rFonts w:hint="eastAsia"/>
          <w:lang w:eastAsia="zh-CN"/>
        </w:rPr>
        <w:t>至少</w:t>
      </w:r>
      <w:r w:rsidRPr="004A13CA">
        <w:rPr>
          <w:lang w:eastAsia="zh-CN"/>
        </w:rPr>
        <w:t>减少</w:t>
      </w:r>
      <w:r w:rsidRPr="00B0221A">
        <w:rPr>
          <w:rFonts w:hint="eastAsia"/>
          <w:lang w:eastAsia="zh-CN"/>
        </w:rPr>
        <w:t>33%</w:t>
      </w:r>
      <w:r w:rsidRPr="00B0221A">
        <w:rPr>
          <w:rFonts w:hint="eastAsia"/>
          <w:lang w:eastAsia="zh-CN"/>
        </w:rPr>
        <w:t>。</w:t>
      </w:r>
    </w:p>
    <w:p w14:paraId="1470674C" w14:textId="22B5B444" w:rsidR="00B0221A" w:rsidRPr="00B0221A" w:rsidRDefault="00D32F29" w:rsidP="00B0221A">
      <w:pPr>
        <w:numPr>
          <w:ilvl w:val="1"/>
          <w:numId w:val="8"/>
        </w:numPr>
        <w:tabs>
          <w:tab w:val="clear" w:pos="794"/>
          <w:tab w:val="clear" w:pos="1191"/>
          <w:tab w:val="clear" w:pos="1588"/>
          <w:tab w:val="clear" w:pos="1985"/>
          <w:tab w:val="left" w:pos="567"/>
          <w:tab w:val="left" w:pos="1134"/>
          <w:tab w:val="left" w:pos="1701"/>
          <w:tab w:val="left" w:pos="2268"/>
          <w:tab w:val="left" w:pos="2835"/>
        </w:tabs>
        <w:spacing w:after="120"/>
        <w:jc w:val="both"/>
        <w:rPr>
          <w:color w:val="000000" w:themeColor="text1"/>
          <w:lang w:eastAsia="zh-CN"/>
        </w:rPr>
      </w:pPr>
      <w:r w:rsidRPr="00B0221A">
        <w:rPr>
          <w:color w:val="000000" w:themeColor="text1"/>
          <w:lang w:eastAsia="zh-CN"/>
        </w:rPr>
        <w:t>MSAG</w:t>
      </w:r>
      <w:r w:rsidRPr="00D32F29">
        <w:rPr>
          <w:rFonts w:hint="eastAsia"/>
          <w:b/>
          <w:bCs/>
          <w:lang w:eastAsia="zh-CN"/>
        </w:rPr>
        <w:t>第</w:t>
      </w:r>
      <w:r w:rsidRPr="00D32F29">
        <w:rPr>
          <w:rFonts w:hint="eastAsia"/>
          <w:b/>
          <w:bCs/>
          <w:lang w:eastAsia="zh-CN"/>
        </w:rPr>
        <w:t>13</w:t>
      </w:r>
      <w:r w:rsidRPr="00D32F29">
        <w:rPr>
          <w:rFonts w:hint="eastAsia"/>
          <w:b/>
          <w:bCs/>
          <w:lang w:eastAsia="zh-CN"/>
        </w:rPr>
        <w:t>次会议</w:t>
      </w:r>
      <w:r>
        <w:rPr>
          <w:rFonts w:hint="eastAsia"/>
          <w:lang w:eastAsia="zh-CN"/>
        </w:rPr>
        <w:t>（</w:t>
      </w:r>
      <w:r w:rsidRPr="00B0221A">
        <w:rPr>
          <w:rFonts w:hint="eastAsia"/>
          <w:lang w:eastAsia="zh-CN"/>
        </w:rPr>
        <w:t>2021</w:t>
      </w:r>
      <w:r w:rsidRPr="00B0221A">
        <w:rPr>
          <w:rFonts w:hint="eastAsia"/>
          <w:lang w:eastAsia="zh-CN"/>
        </w:rPr>
        <w:t>年</w:t>
      </w:r>
      <w:r w:rsidRPr="00B0221A">
        <w:rPr>
          <w:rFonts w:hint="eastAsia"/>
          <w:lang w:eastAsia="zh-CN"/>
        </w:rPr>
        <w:t>2</w:t>
      </w:r>
      <w:r w:rsidRPr="00B0221A">
        <w:rPr>
          <w:rFonts w:hint="eastAsia"/>
          <w:lang w:eastAsia="zh-CN"/>
        </w:rPr>
        <w:t>月</w:t>
      </w:r>
      <w:r w:rsidRPr="00B0221A">
        <w:rPr>
          <w:rFonts w:hint="eastAsia"/>
          <w:lang w:eastAsia="zh-CN"/>
        </w:rPr>
        <w:t>25</w:t>
      </w:r>
      <w:r w:rsidRPr="00B0221A">
        <w:rPr>
          <w:rFonts w:hint="eastAsia"/>
          <w:lang w:eastAsia="zh-CN"/>
        </w:rPr>
        <w:t>日</w:t>
      </w:r>
      <w:r>
        <w:rPr>
          <w:rFonts w:hint="eastAsia"/>
          <w:lang w:eastAsia="zh-CN"/>
        </w:rPr>
        <w:t>）</w:t>
      </w:r>
      <w:r w:rsidRPr="00B0221A">
        <w:rPr>
          <w:rFonts w:hint="eastAsia"/>
          <w:lang w:eastAsia="zh-CN"/>
        </w:rPr>
        <w:t>再次对风险</w:t>
      </w:r>
      <w:r>
        <w:rPr>
          <w:rFonts w:hint="eastAsia"/>
          <w:lang w:eastAsia="zh-CN"/>
        </w:rPr>
        <w:t>管控</w:t>
      </w:r>
      <w:r w:rsidRPr="00B0221A">
        <w:rPr>
          <w:rFonts w:hint="eastAsia"/>
          <w:lang w:eastAsia="zh-CN"/>
        </w:rPr>
        <w:t>登记簿</w:t>
      </w:r>
      <w:r>
        <w:rPr>
          <w:rFonts w:hint="eastAsia"/>
          <w:lang w:eastAsia="zh-CN"/>
        </w:rPr>
        <w:t>（</w:t>
      </w:r>
      <w:r w:rsidRPr="00B0221A">
        <w:rPr>
          <w:rFonts w:hint="eastAsia"/>
          <w:lang w:eastAsia="zh-CN"/>
        </w:rPr>
        <w:t>截至</w:t>
      </w:r>
      <w:r w:rsidRPr="00B0221A">
        <w:rPr>
          <w:rFonts w:hint="eastAsia"/>
          <w:lang w:eastAsia="zh-CN"/>
        </w:rPr>
        <w:t>2020</w:t>
      </w:r>
      <w:r w:rsidRPr="00B0221A">
        <w:rPr>
          <w:rFonts w:hint="eastAsia"/>
          <w:lang w:eastAsia="zh-CN"/>
        </w:rPr>
        <w:t>年</w:t>
      </w:r>
      <w:r w:rsidRPr="00B0221A">
        <w:rPr>
          <w:rFonts w:hint="eastAsia"/>
          <w:lang w:eastAsia="zh-CN"/>
        </w:rPr>
        <w:t>7</w:t>
      </w:r>
      <w:r w:rsidRPr="00B0221A">
        <w:rPr>
          <w:rFonts w:hint="eastAsia"/>
          <w:lang w:eastAsia="zh-CN"/>
        </w:rPr>
        <w:t>月</w:t>
      </w:r>
      <w:r w:rsidRPr="00B0221A">
        <w:rPr>
          <w:rFonts w:hint="eastAsia"/>
          <w:lang w:eastAsia="zh-CN"/>
        </w:rPr>
        <w:t>14</w:t>
      </w:r>
      <w:r w:rsidRPr="00B0221A">
        <w:rPr>
          <w:rFonts w:hint="eastAsia"/>
          <w:lang w:eastAsia="zh-CN"/>
        </w:rPr>
        <w:t>日</w:t>
      </w:r>
      <w:r>
        <w:rPr>
          <w:rFonts w:hint="eastAsia"/>
          <w:lang w:eastAsia="zh-CN"/>
        </w:rPr>
        <w:t>）</w:t>
      </w:r>
      <w:r w:rsidRPr="00B0221A">
        <w:rPr>
          <w:rFonts w:hint="eastAsia"/>
          <w:lang w:eastAsia="zh-CN"/>
        </w:rPr>
        <w:t>进行了详细分析，并对登记簿中</w:t>
      </w:r>
      <w:r w:rsidRPr="00B0221A">
        <w:rPr>
          <w:rFonts w:hint="eastAsia"/>
          <w:lang w:eastAsia="zh-CN"/>
        </w:rPr>
        <w:t>102</w:t>
      </w:r>
      <w:r w:rsidRPr="00B0221A">
        <w:rPr>
          <w:rFonts w:hint="eastAsia"/>
          <w:lang w:eastAsia="zh-CN"/>
        </w:rPr>
        <w:t>个项目中的</w:t>
      </w:r>
      <w:r w:rsidRPr="00B0221A">
        <w:rPr>
          <w:rFonts w:hint="eastAsia"/>
          <w:lang w:eastAsia="zh-CN"/>
        </w:rPr>
        <w:t>16</w:t>
      </w:r>
      <w:r w:rsidRPr="00B0221A">
        <w:rPr>
          <w:rFonts w:hint="eastAsia"/>
          <w:lang w:eastAsia="zh-CN"/>
        </w:rPr>
        <w:t>个项目</w:t>
      </w:r>
      <w:r w:rsidR="000F5A30">
        <w:rPr>
          <w:rFonts w:hint="eastAsia"/>
          <w:lang w:eastAsia="zh-CN"/>
        </w:rPr>
        <w:t>--</w:t>
      </w:r>
      <w:r w:rsidR="000F5A30" w:rsidRPr="00B0221A">
        <w:rPr>
          <w:rFonts w:hint="eastAsia"/>
          <w:lang w:eastAsia="zh-CN"/>
        </w:rPr>
        <w:t>涉及以下类别</w:t>
      </w:r>
      <w:r w:rsidR="000F5A30">
        <w:rPr>
          <w:rFonts w:hint="eastAsia"/>
          <w:lang w:eastAsia="zh-CN"/>
        </w:rPr>
        <w:t>--</w:t>
      </w:r>
      <w:r w:rsidRPr="00B0221A">
        <w:rPr>
          <w:rFonts w:hint="eastAsia"/>
          <w:lang w:eastAsia="zh-CN"/>
        </w:rPr>
        <w:t>进行了深入讨论</w:t>
      </w:r>
      <w:r w:rsidR="000F5A30">
        <w:rPr>
          <w:rFonts w:hint="eastAsia"/>
          <w:lang w:eastAsia="zh-CN"/>
        </w:rPr>
        <w:t>：</w:t>
      </w:r>
      <w:r w:rsidRPr="00B0221A">
        <w:rPr>
          <w:rFonts w:hint="eastAsia"/>
          <w:lang w:eastAsia="zh-CN"/>
        </w:rPr>
        <w:t>业务连续性风险、</w:t>
      </w:r>
      <w:r w:rsidR="000F5A30">
        <w:rPr>
          <w:rFonts w:hint="eastAsia"/>
          <w:lang w:eastAsia="zh-CN"/>
        </w:rPr>
        <w:t>变革</w:t>
      </w:r>
      <w:r w:rsidRPr="00B0221A">
        <w:rPr>
          <w:rFonts w:hint="eastAsia"/>
          <w:lang w:eastAsia="zh-CN"/>
        </w:rPr>
        <w:t>管理、</w:t>
      </w:r>
      <w:r w:rsidR="000F5A30">
        <w:rPr>
          <w:rFonts w:hint="eastAsia"/>
          <w:lang w:eastAsia="zh-CN"/>
        </w:rPr>
        <w:t>宣传</w:t>
      </w:r>
      <w:r w:rsidRPr="00B0221A">
        <w:rPr>
          <w:rFonts w:hint="eastAsia"/>
          <w:lang w:eastAsia="zh-CN"/>
        </w:rPr>
        <w:t>沟通、外部风险、财务、法律、采购和合同管</w:t>
      </w:r>
      <w:r w:rsidRPr="00B0221A">
        <w:rPr>
          <w:rFonts w:hint="eastAsia"/>
          <w:lang w:eastAsia="zh-CN"/>
        </w:rPr>
        <w:lastRenderedPageBreak/>
        <w:t>理以及方案</w:t>
      </w:r>
      <w:r w:rsidR="00901A57">
        <w:rPr>
          <w:rFonts w:hint="eastAsia"/>
          <w:lang w:eastAsia="zh-CN"/>
        </w:rPr>
        <w:t>（</w:t>
      </w:r>
      <w:r w:rsidR="00901A57">
        <w:rPr>
          <w:rFonts w:hint="eastAsia"/>
          <w:lang w:eastAsia="zh-CN"/>
        </w:rPr>
        <w:t>p</w:t>
      </w:r>
      <w:r w:rsidR="00901A57">
        <w:rPr>
          <w:lang w:eastAsia="zh-CN"/>
        </w:rPr>
        <w:t>rogramme</w:t>
      </w:r>
      <w:r w:rsidR="00901A57">
        <w:rPr>
          <w:rFonts w:hint="eastAsia"/>
          <w:lang w:eastAsia="zh-CN"/>
        </w:rPr>
        <w:t>）</w:t>
      </w:r>
      <w:r w:rsidR="000F5A30">
        <w:rPr>
          <w:rFonts w:hint="eastAsia"/>
          <w:lang w:eastAsia="zh-CN"/>
        </w:rPr>
        <w:t>--</w:t>
      </w:r>
      <w:r w:rsidRPr="00B0221A">
        <w:rPr>
          <w:rFonts w:hint="eastAsia"/>
          <w:lang w:eastAsia="zh-CN"/>
        </w:rPr>
        <w:t>工作范围。在大多数情况下，讨论的结果是秘书处同意澄清</w:t>
      </w:r>
      <w:r w:rsidR="000F5A30" w:rsidRPr="00B0221A">
        <w:rPr>
          <w:rFonts w:hint="eastAsia"/>
          <w:lang w:eastAsia="zh-CN"/>
        </w:rPr>
        <w:t>登记簿</w:t>
      </w:r>
      <w:r w:rsidR="000F5A30">
        <w:rPr>
          <w:rFonts w:hint="eastAsia"/>
          <w:lang w:eastAsia="zh-CN"/>
        </w:rPr>
        <w:t>中相关内容</w:t>
      </w:r>
      <w:r w:rsidRPr="00B0221A">
        <w:rPr>
          <w:rFonts w:hint="eastAsia"/>
          <w:lang w:eastAsia="zh-CN"/>
        </w:rPr>
        <w:t>。</w:t>
      </w:r>
    </w:p>
    <w:p w14:paraId="4D63C4E3" w14:textId="73685A8C" w:rsidR="00077B0C" w:rsidRPr="00B0221A" w:rsidRDefault="00077B0C" w:rsidP="00A55933">
      <w:pPr>
        <w:tabs>
          <w:tab w:val="clear" w:pos="794"/>
          <w:tab w:val="clear" w:pos="1191"/>
          <w:tab w:val="clear" w:pos="1588"/>
          <w:tab w:val="clear" w:pos="1985"/>
          <w:tab w:val="left" w:pos="567"/>
          <w:tab w:val="left" w:pos="1134"/>
          <w:tab w:val="left" w:pos="1701"/>
          <w:tab w:val="left" w:pos="2268"/>
          <w:tab w:val="left" w:pos="2835"/>
        </w:tabs>
        <w:spacing w:after="120"/>
        <w:ind w:left="570"/>
        <w:jc w:val="both"/>
        <w:rPr>
          <w:lang w:eastAsia="zh-CN"/>
        </w:rPr>
      </w:pPr>
      <w:r w:rsidRPr="00B0221A">
        <w:rPr>
          <w:rFonts w:hint="eastAsia"/>
          <w:lang w:eastAsia="zh-CN"/>
        </w:rPr>
        <w:t>MSAG</w:t>
      </w:r>
      <w:r w:rsidRPr="00B0221A">
        <w:rPr>
          <w:rFonts w:hint="eastAsia"/>
          <w:lang w:eastAsia="zh-CN"/>
        </w:rPr>
        <w:t>还收到了</w:t>
      </w:r>
      <w:r w:rsidRPr="00B0221A">
        <w:rPr>
          <w:rFonts w:asciiTheme="minorHAnsi" w:eastAsia="Times New Roman" w:hAnsiTheme="minorHAnsi" w:cstheme="minorHAnsi"/>
          <w:szCs w:val="24"/>
          <w:lang w:eastAsia="zh-CN"/>
        </w:rPr>
        <w:t>Dobbelstein</w:t>
      </w:r>
      <w:r w:rsidRPr="00B0221A">
        <w:rPr>
          <w:rFonts w:hint="eastAsia"/>
          <w:lang w:eastAsia="zh-CN"/>
        </w:rPr>
        <w:t>女士关于该项目最新进展的</w:t>
      </w:r>
      <w:r>
        <w:rPr>
          <w:rFonts w:hint="eastAsia"/>
          <w:lang w:eastAsia="zh-CN"/>
        </w:rPr>
        <w:t>信息</w:t>
      </w:r>
      <w:r w:rsidRPr="00B0221A">
        <w:rPr>
          <w:rFonts w:hint="eastAsia"/>
          <w:lang w:eastAsia="zh-CN"/>
        </w:rPr>
        <w:t>。项目</w:t>
      </w:r>
      <w:r>
        <w:rPr>
          <w:rFonts w:hint="eastAsia"/>
          <w:lang w:eastAsia="zh-CN"/>
        </w:rPr>
        <w:t>现状</w:t>
      </w:r>
      <w:r w:rsidRPr="00077B0C">
        <w:rPr>
          <w:rFonts w:hint="eastAsia"/>
          <w:lang w:eastAsia="zh-CN"/>
        </w:rPr>
        <w:t>表明</w:t>
      </w:r>
      <w:r w:rsidRPr="00077B0C">
        <w:rPr>
          <w:lang w:eastAsia="zh-CN"/>
        </w:rPr>
        <w:t>以下迹</w:t>
      </w:r>
      <w:r w:rsidRPr="00077B0C">
        <w:rPr>
          <w:rFonts w:hint="eastAsia"/>
          <w:lang w:eastAsia="zh-CN"/>
        </w:rPr>
        <w:t>象：</w:t>
      </w:r>
    </w:p>
    <w:p w14:paraId="6AE1D0FE" w14:textId="6FE3A1FE" w:rsidR="00B0221A" w:rsidRPr="00B0221A" w:rsidRDefault="0016038F" w:rsidP="00B0221A">
      <w:pPr>
        <w:numPr>
          <w:ilvl w:val="0"/>
          <w:numId w:val="9"/>
        </w:numPr>
        <w:tabs>
          <w:tab w:val="clear" w:pos="794"/>
          <w:tab w:val="clear" w:pos="1191"/>
          <w:tab w:val="clear" w:pos="1588"/>
          <w:tab w:val="clear" w:pos="1985"/>
          <w:tab w:val="left" w:pos="567"/>
          <w:tab w:val="left" w:pos="1134"/>
          <w:tab w:val="left" w:pos="1701"/>
          <w:tab w:val="left" w:pos="2268"/>
          <w:tab w:val="left" w:pos="2835"/>
        </w:tabs>
        <w:spacing w:before="60" w:after="60"/>
        <w:ind w:left="1134" w:hanging="567"/>
        <w:jc w:val="both"/>
        <w:rPr>
          <w:color w:val="000000" w:themeColor="text1"/>
          <w:lang w:eastAsia="zh-CN"/>
        </w:rPr>
      </w:pPr>
      <w:r>
        <w:rPr>
          <w:rFonts w:hint="eastAsia"/>
          <w:lang w:eastAsia="zh-CN"/>
        </w:rPr>
        <w:t>贷款</w:t>
      </w:r>
      <w:r w:rsidRPr="00B0221A">
        <w:rPr>
          <w:rFonts w:hint="eastAsia"/>
          <w:lang w:eastAsia="zh-CN"/>
        </w:rPr>
        <w:t>合同目前正在</w:t>
      </w:r>
      <w:r>
        <w:rPr>
          <w:rFonts w:hint="eastAsia"/>
          <w:lang w:eastAsia="zh-CN"/>
        </w:rPr>
        <w:t>得到最终确定</w:t>
      </w:r>
      <w:r w:rsidRPr="00B0221A">
        <w:rPr>
          <w:rFonts w:hint="eastAsia"/>
          <w:lang w:eastAsia="zh-CN"/>
        </w:rPr>
        <w:t>，预计将于</w:t>
      </w:r>
      <w:r w:rsidRPr="00B0221A">
        <w:rPr>
          <w:rFonts w:hint="eastAsia"/>
          <w:lang w:eastAsia="zh-CN"/>
        </w:rPr>
        <w:t>3</w:t>
      </w:r>
      <w:r w:rsidRPr="00B0221A">
        <w:rPr>
          <w:rFonts w:hint="eastAsia"/>
          <w:lang w:eastAsia="zh-CN"/>
        </w:rPr>
        <w:t>月</w:t>
      </w:r>
      <w:r>
        <w:rPr>
          <w:rFonts w:hint="eastAsia"/>
          <w:lang w:eastAsia="zh-CN"/>
        </w:rPr>
        <w:t>签订。</w:t>
      </w:r>
    </w:p>
    <w:p w14:paraId="741B9B74" w14:textId="4A732CDA" w:rsidR="00B0221A" w:rsidRPr="00B0221A" w:rsidRDefault="007E5610" w:rsidP="00B0221A">
      <w:pPr>
        <w:numPr>
          <w:ilvl w:val="0"/>
          <w:numId w:val="9"/>
        </w:numPr>
        <w:tabs>
          <w:tab w:val="clear" w:pos="794"/>
          <w:tab w:val="clear" w:pos="1191"/>
          <w:tab w:val="clear" w:pos="1588"/>
          <w:tab w:val="clear" w:pos="1985"/>
          <w:tab w:val="left" w:pos="567"/>
          <w:tab w:val="left" w:pos="1134"/>
          <w:tab w:val="left" w:pos="1701"/>
          <w:tab w:val="left" w:pos="2268"/>
          <w:tab w:val="left" w:pos="2835"/>
        </w:tabs>
        <w:spacing w:before="60" w:after="60"/>
        <w:ind w:left="1134" w:hanging="567"/>
        <w:jc w:val="both"/>
        <w:rPr>
          <w:color w:val="000000" w:themeColor="text1"/>
          <w:lang w:eastAsia="zh-CN"/>
        </w:rPr>
      </w:pPr>
      <w:r>
        <w:rPr>
          <w:lang w:eastAsia="zh-CN"/>
        </w:rPr>
        <w:t>2019</w:t>
      </w:r>
      <w:r>
        <w:rPr>
          <w:rFonts w:hint="eastAsia"/>
          <w:lang w:eastAsia="zh-CN"/>
        </w:rPr>
        <w:t>年</w:t>
      </w:r>
      <w:r>
        <w:rPr>
          <w:rFonts w:hint="eastAsia"/>
          <w:lang w:eastAsia="zh-CN"/>
        </w:rPr>
        <w:t>1</w:t>
      </w:r>
      <w:r>
        <w:rPr>
          <w:lang w:eastAsia="zh-CN"/>
        </w:rPr>
        <w:t>1</w:t>
      </w:r>
      <w:r>
        <w:rPr>
          <w:rFonts w:hint="eastAsia"/>
          <w:lang w:eastAsia="zh-CN"/>
        </w:rPr>
        <w:t>月</w:t>
      </w:r>
      <w:r w:rsidR="00516B3A" w:rsidRPr="00B0221A">
        <w:rPr>
          <w:rFonts w:hint="eastAsia"/>
          <w:lang w:eastAsia="zh-CN"/>
        </w:rPr>
        <w:t>提交瑞士代表团的</w:t>
      </w:r>
      <w:r w:rsidR="00901A57">
        <w:rPr>
          <w:rFonts w:hint="eastAsia"/>
          <w:lang w:eastAsia="zh-CN"/>
        </w:rPr>
        <w:t>工作</w:t>
      </w:r>
      <w:r w:rsidR="00516B3A" w:rsidRPr="00B0221A">
        <w:rPr>
          <w:rFonts w:hint="eastAsia"/>
          <w:lang w:eastAsia="zh-CN"/>
        </w:rPr>
        <w:t>范围于</w:t>
      </w:r>
      <w:r w:rsidR="00516B3A" w:rsidRPr="00B0221A">
        <w:rPr>
          <w:rFonts w:hint="eastAsia"/>
          <w:lang w:eastAsia="zh-CN"/>
        </w:rPr>
        <w:t>2021</w:t>
      </w:r>
      <w:r w:rsidR="00516B3A" w:rsidRPr="00B0221A">
        <w:rPr>
          <w:rFonts w:hint="eastAsia"/>
          <w:lang w:eastAsia="zh-CN"/>
        </w:rPr>
        <w:t>年</w:t>
      </w:r>
      <w:r w:rsidR="00516B3A" w:rsidRPr="00B0221A">
        <w:rPr>
          <w:rFonts w:hint="eastAsia"/>
          <w:lang w:eastAsia="zh-CN"/>
        </w:rPr>
        <w:t>1</w:t>
      </w:r>
      <w:r w:rsidR="00516B3A" w:rsidRPr="00B0221A">
        <w:rPr>
          <w:rFonts w:hint="eastAsia"/>
          <w:lang w:eastAsia="zh-CN"/>
        </w:rPr>
        <w:t>月获得批准。现已扩大到包括在更大</w:t>
      </w:r>
      <w:r>
        <w:rPr>
          <w:rFonts w:hint="eastAsia"/>
          <w:lang w:eastAsia="zh-CN"/>
        </w:rPr>
        <w:t>周边</w:t>
      </w:r>
      <w:r w:rsidR="00516B3A" w:rsidRPr="00B0221A">
        <w:rPr>
          <w:rFonts w:hint="eastAsia"/>
          <w:lang w:eastAsia="zh-CN"/>
        </w:rPr>
        <w:t>范围</w:t>
      </w:r>
      <w:r>
        <w:rPr>
          <w:rFonts w:hint="eastAsia"/>
          <w:lang w:eastAsia="zh-CN"/>
        </w:rPr>
        <w:t>（</w:t>
      </w:r>
      <w:r w:rsidRPr="00B0221A">
        <w:rPr>
          <w:color w:val="000000" w:themeColor="text1"/>
          <w:lang w:eastAsia="zh-CN"/>
        </w:rPr>
        <w:t xml:space="preserve">rue </w:t>
      </w:r>
      <w:proofErr w:type="spellStart"/>
      <w:r w:rsidRPr="00B0221A">
        <w:rPr>
          <w:color w:val="000000" w:themeColor="text1"/>
          <w:lang w:eastAsia="zh-CN"/>
        </w:rPr>
        <w:t>Montbrillant</w:t>
      </w:r>
      <w:proofErr w:type="spellEnd"/>
      <w:r>
        <w:rPr>
          <w:rFonts w:hint="eastAsia"/>
          <w:color w:val="000000" w:themeColor="text1"/>
          <w:lang w:eastAsia="zh-CN"/>
        </w:rPr>
        <w:t>、</w:t>
      </w:r>
      <w:r w:rsidRPr="00B0221A">
        <w:rPr>
          <w:color w:val="000000" w:themeColor="text1"/>
          <w:lang w:eastAsia="zh-CN"/>
        </w:rPr>
        <w:t>Avenue de France</w:t>
      </w:r>
      <w:r>
        <w:rPr>
          <w:rFonts w:hint="eastAsia"/>
          <w:color w:val="000000" w:themeColor="text1"/>
          <w:lang w:eastAsia="zh-CN"/>
        </w:rPr>
        <w:t>和</w:t>
      </w:r>
      <w:r w:rsidRPr="00B0221A">
        <w:rPr>
          <w:color w:val="000000" w:themeColor="text1"/>
          <w:lang w:eastAsia="zh-CN"/>
        </w:rPr>
        <w:t>Avenue G. Motta</w:t>
      </w:r>
      <w:r>
        <w:rPr>
          <w:rFonts w:hint="eastAsia"/>
          <w:lang w:eastAsia="zh-CN"/>
        </w:rPr>
        <w:t>）</w:t>
      </w:r>
      <w:r w:rsidR="00516B3A" w:rsidRPr="00B0221A">
        <w:rPr>
          <w:rFonts w:hint="eastAsia"/>
          <w:lang w:eastAsia="zh-CN"/>
        </w:rPr>
        <w:t>实施</w:t>
      </w:r>
      <w:r w:rsidRPr="007E5610">
        <w:rPr>
          <w:lang w:eastAsia="zh-CN"/>
        </w:rPr>
        <w:t>联合国最低运作安保标准（</w:t>
      </w:r>
      <w:r w:rsidRPr="007E5610">
        <w:rPr>
          <w:lang w:eastAsia="zh-CN"/>
        </w:rPr>
        <w:t>UN MOSS</w:t>
      </w:r>
      <w:r w:rsidRPr="007E5610">
        <w:rPr>
          <w:rFonts w:hint="eastAsia"/>
          <w:lang w:eastAsia="zh-CN"/>
        </w:rPr>
        <w:t>）</w:t>
      </w:r>
      <w:r w:rsidR="00516B3A" w:rsidRPr="00B0221A">
        <w:rPr>
          <w:rFonts w:hint="eastAsia"/>
          <w:lang w:eastAsia="zh-CN"/>
        </w:rPr>
        <w:t>的建议，以及在联合国停车场</w:t>
      </w:r>
      <w:r>
        <w:rPr>
          <w:rFonts w:hint="eastAsia"/>
          <w:lang w:eastAsia="zh-CN"/>
        </w:rPr>
        <w:t>（</w:t>
      </w:r>
      <w:r w:rsidRPr="00B0221A">
        <w:rPr>
          <w:color w:val="000000" w:themeColor="text1"/>
          <w:lang w:eastAsia="zh-CN"/>
        </w:rPr>
        <w:t>Parking des Nations</w:t>
      </w:r>
      <w:r>
        <w:rPr>
          <w:rFonts w:hint="eastAsia"/>
          <w:color w:val="000000" w:themeColor="text1"/>
          <w:lang w:eastAsia="zh-CN"/>
        </w:rPr>
        <w:t>）</w:t>
      </w:r>
      <w:r w:rsidR="00516B3A" w:rsidRPr="00B0221A">
        <w:rPr>
          <w:rFonts w:hint="eastAsia"/>
          <w:lang w:eastAsia="zh-CN"/>
        </w:rPr>
        <w:t>采取更多安保措施。研究范围还包括所有邻居</w:t>
      </w:r>
      <w:r>
        <w:rPr>
          <w:rFonts w:hint="eastAsia"/>
          <w:lang w:eastAsia="zh-CN"/>
        </w:rPr>
        <w:t>（机构）</w:t>
      </w:r>
      <w:r w:rsidR="00516B3A" w:rsidRPr="00B0221A">
        <w:rPr>
          <w:rFonts w:hint="eastAsia"/>
          <w:lang w:eastAsia="zh-CN"/>
        </w:rPr>
        <w:t>的要求。这项活动的详细时间表将包括在提交</w:t>
      </w:r>
      <w:r w:rsidR="00516B3A" w:rsidRPr="00B0221A">
        <w:rPr>
          <w:rFonts w:hint="eastAsia"/>
          <w:lang w:eastAsia="zh-CN"/>
        </w:rPr>
        <w:t>2021</w:t>
      </w:r>
      <w:r w:rsidR="00516B3A" w:rsidRPr="00B0221A">
        <w:rPr>
          <w:rFonts w:hint="eastAsia"/>
          <w:lang w:eastAsia="zh-CN"/>
        </w:rPr>
        <w:t>年</w:t>
      </w:r>
      <w:r w:rsidR="00516B3A" w:rsidRPr="00B0221A">
        <w:rPr>
          <w:rFonts w:hint="eastAsia"/>
          <w:lang w:eastAsia="zh-CN"/>
        </w:rPr>
        <w:t>6</w:t>
      </w:r>
      <w:r w:rsidR="00516B3A" w:rsidRPr="00B0221A">
        <w:rPr>
          <w:rFonts w:hint="eastAsia"/>
          <w:lang w:eastAsia="zh-CN"/>
        </w:rPr>
        <w:t>月</w:t>
      </w:r>
      <w:r w:rsidRPr="005C4F23">
        <w:rPr>
          <w:lang w:eastAsia="zh-CN"/>
        </w:rPr>
        <w:t>理事磋商会虚拟会</w:t>
      </w:r>
      <w:r w:rsidRPr="005C4F23">
        <w:rPr>
          <w:rFonts w:hint="eastAsia"/>
          <w:lang w:eastAsia="zh-CN"/>
        </w:rPr>
        <w:t>议</w:t>
      </w:r>
      <w:r>
        <w:rPr>
          <w:rFonts w:hint="eastAsia"/>
          <w:lang w:eastAsia="zh-CN"/>
        </w:rPr>
        <w:t>（</w:t>
      </w:r>
      <w:r w:rsidR="00516B3A" w:rsidRPr="00B0221A">
        <w:rPr>
          <w:rFonts w:hint="eastAsia"/>
          <w:lang w:eastAsia="zh-CN"/>
        </w:rPr>
        <w:t>VCC</w:t>
      </w:r>
      <w:r>
        <w:rPr>
          <w:rFonts w:hint="eastAsia"/>
          <w:lang w:eastAsia="zh-CN"/>
        </w:rPr>
        <w:t>）</w:t>
      </w:r>
      <w:r w:rsidR="00516B3A" w:rsidRPr="00B0221A">
        <w:rPr>
          <w:rFonts w:hint="eastAsia"/>
          <w:lang w:eastAsia="zh-CN"/>
        </w:rPr>
        <w:t>的新</w:t>
      </w:r>
      <w:r>
        <w:rPr>
          <w:rFonts w:hint="eastAsia"/>
          <w:lang w:eastAsia="zh-CN"/>
        </w:rPr>
        <w:t>办公楼</w:t>
      </w:r>
      <w:r w:rsidR="00516B3A" w:rsidRPr="00B0221A">
        <w:rPr>
          <w:rFonts w:hint="eastAsia"/>
          <w:lang w:eastAsia="zh-CN"/>
        </w:rPr>
        <w:t>报告中。在公共领域实施安全措施的费用</w:t>
      </w:r>
      <w:r>
        <w:rPr>
          <w:rFonts w:hint="eastAsia"/>
          <w:lang w:eastAsia="zh-CN"/>
        </w:rPr>
        <w:t>未包含</w:t>
      </w:r>
      <w:r w:rsidR="00516B3A" w:rsidRPr="00B0221A">
        <w:rPr>
          <w:rFonts w:hint="eastAsia"/>
          <w:lang w:eastAsia="zh-CN"/>
        </w:rPr>
        <w:t>在已批准的新</w:t>
      </w:r>
      <w:r>
        <w:rPr>
          <w:rFonts w:hint="eastAsia"/>
          <w:lang w:eastAsia="zh-CN"/>
        </w:rPr>
        <w:t>办公楼成本</w:t>
      </w:r>
      <w:r w:rsidR="00516B3A" w:rsidRPr="00B0221A">
        <w:rPr>
          <w:rFonts w:hint="eastAsia"/>
          <w:lang w:eastAsia="zh-CN"/>
        </w:rPr>
        <w:t>中，但已在</w:t>
      </w:r>
      <w:r w:rsidRPr="00B0221A">
        <w:rPr>
          <w:rFonts w:hint="eastAsia"/>
          <w:lang w:eastAsia="zh-CN"/>
        </w:rPr>
        <w:t>风险</w:t>
      </w:r>
      <w:r>
        <w:rPr>
          <w:rFonts w:hint="eastAsia"/>
          <w:lang w:eastAsia="zh-CN"/>
        </w:rPr>
        <w:t>管控</w:t>
      </w:r>
      <w:r w:rsidRPr="00B0221A">
        <w:rPr>
          <w:rFonts w:hint="eastAsia"/>
          <w:lang w:eastAsia="zh-CN"/>
        </w:rPr>
        <w:t>登记簿</w:t>
      </w:r>
      <w:r w:rsidR="00516B3A" w:rsidRPr="00B0221A">
        <w:rPr>
          <w:rFonts w:hint="eastAsia"/>
          <w:lang w:eastAsia="zh-CN"/>
        </w:rPr>
        <w:t>中为此划拨了一笔款项。一旦可行性研究完成，</w:t>
      </w:r>
      <w:r>
        <w:rPr>
          <w:rFonts w:hint="eastAsia"/>
          <w:lang w:eastAsia="zh-CN"/>
        </w:rPr>
        <w:t>则</w:t>
      </w:r>
      <w:r w:rsidR="00516B3A" w:rsidRPr="00B0221A">
        <w:rPr>
          <w:rFonts w:hint="eastAsia"/>
          <w:lang w:eastAsia="zh-CN"/>
        </w:rPr>
        <w:t>将在所有各方之间就费用的最终分配进行谈判</w:t>
      </w:r>
      <w:r>
        <w:rPr>
          <w:rFonts w:hint="eastAsia"/>
          <w:lang w:eastAsia="zh-CN"/>
        </w:rPr>
        <w:t>。</w:t>
      </w:r>
    </w:p>
    <w:p w14:paraId="6227A2A8" w14:textId="5B25769A" w:rsidR="00B0221A" w:rsidRPr="00B0221A" w:rsidRDefault="000E7F32" w:rsidP="00B0221A">
      <w:pPr>
        <w:numPr>
          <w:ilvl w:val="0"/>
          <w:numId w:val="9"/>
        </w:numPr>
        <w:tabs>
          <w:tab w:val="clear" w:pos="794"/>
          <w:tab w:val="clear" w:pos="1191"/>
          <w:tab w:val="clear" w:pos="1588"/>
          <w:tab w:val="clear" w:pos="1985"/>
          <w:tab w:val="left" w:pos="567"/>
          <w:tab w:val="left" w:pos="1134"/>
          <w:tab w:val="left" w:pos="1701"/>
          <w:tab w:val="left" w:pos="2268"/>
          <w:tab w:val="left" w:pos="2835"/>
        </w:tabs>
        <w:spacing w:before="60" w:after="60"/>
        <w:ind w:left="1134" w:hanging="567"/>
        <w:jc w:val="both"/>
        <w:rPr>
          <w:color w:val="000000" w:themeColor="text1"/>
          <w:lang w:eastAsia="zh-CN"/>
        </w:rPr>
      </w:pPr>
      <w:r>
        <w:rPr>
          <w:rFonts w:hint="eastAsia"/>
          <w:color w:val="000000" w:themeColor="text1"/>
          <w:lang w:eastAsia="zh-CN"/>
        </w:rPr>
        <w:t>建筑师</w:t>
      </w:r>
      <w:r w:rsidR="006857AE" w:rsidRPr="00B0221A">
        <w:rPr>
          <w:rFonts w:hint="eastAsia"/>
          <w:lang w:eastAsia="zh-CN"/>
        </w:rPr>
        <w:t>在</w:t>
      </w:r>
      <w:r w:rsidR="006857AE" w:rsidRPr="00B0221A">
        <w:rPr>
          <w:rFonts w:hint="eastAsia"/>
          <w:lang w:eastAsia="zh-CN"/>
        </w:rPr>
        <w:t>1</w:t>
      </w:r>
      <w:r w:rsidR="006857AE" w:rsidRPr="00B0221A">
        <w:rPr>
          <w:rFonts w:hint="eastAsia"/>
          <w:lang w:eastAsia="zh-CN"/>
        </w:rPr>
        <w:t>月底提交了详细的设计草案，国际电</w:t>
      </w:r>
      <w:proofErr w:type="gramStart"/>
      <w:r w:rsidR="006857AE" w:rsidRPr="00B0221A">
        <w:rPr>
          <w:rFonts w:hint="eastAsia"/>
          <w:lang w:eastAsia="zh-CN"/>
        </w:rPr>
        <w:t>联正在</w:t>
      </w:r>
      <w:proofErr w:type="gramEnd"/>
      <w:r>
        <w:rPr>
          <w:rFonts w:hint="eastAsia"/>
          <w:lang w:eastAsia="zh-CN"/>
        </w:rPr>
        <w:t>最后确定他们的</w:t>
      </w:r>
      <w:r w:rsidR="006857AE" w:rsidRPr="00B0221A">
        <w:rPr>
          <w:rFonts w:hint="eastAsia"/>
          <w:lang w:eastAsia="zh-CN"/>
        </w:rPr>
        <w:t>意见，</w:t>
      </w:r>
      <w:r>
        <w:rPr>
          <w:rFonts w:hint="eastAsia"/>
          <w:lang w:eastAsia="zh-CN"/>
        </w:rPr>
        <w:t>并</w:t>
      </w:r>
      <w:r w:rsidR="006857AE" w:rsidRPr="00B0221A">
        <w:rPr>
          <w:rFonts w:hint="eastAsia"/>
          <w:lang w:eastAsia="zh-CN"/>
        </w:rPr>
        <w:t>将在</w:t>
      </w:r>
      <w:r w:rsidR="006857AE" w:rsidRPr="00B0221A">
        <w:rPr>
          <w:rFonts w:hint="eastAsia"/>
          <w:lang w:eastAsia="zh-CN"/>
        </w:rPr>
        <w:t>3</w:t>
      </w:r>
      <w:r w:rsidR="006857AE" w:rsidRPr="00B0221A">
        <w:rPr>
          <w:rFonts w:hint="eastAsia"/>
          <w:lang w:eastAsia="zh-CN"/>
        </w:rPr>
        <w:t>月份提交的最终文件中</w:t>
      </w:r>
      <w:r>
        <w:rPr>
          <w:rFonts w:hint="eastAsia"/>
          <w:lang w:eastAsia="zh-CN"/>
        </w:rPr>
        <w:t>得到</w:t>
      </w:r>
      <w:r w:rsidR="006857AE" w:rsidRPr="00B0221A">
        <w:rPr>
          <w:rFonts w:hint="eastAsia"/>
          <w:lang w:eastAsia="zh-CN"/>
        </w:rPr>
        <w:t>处理</w:t>
      </w:r>
      <w:r>
        <w:rPr>
          <w:rFonts w:hint="eastAsia"/>
          <w:color w:val="000000" w:themeColor="text1"/>
          <w:lang w:eastAsia="zh-CN"/>
        </w:rPr>
        <w:t>。</w:t>
      </w:r>
    </w:p>
    <w:p w14:paraId="2597E811" w14:textId="652DB070" w:rsidR="00B0221A" w:rsidRPr="00B0221A" w:rsidRDefault="00476310" w:rsidP="00B0221A">
      <w:pPr>
        <w:numPr>
          <w:ilvl w:val="0"/>
          <w:numId w:val="9"/>
        </w:numPr>
        <w:tabs>
          <w:tab w:val="clear" w:pos="794"/>
          <w:tab w:val="clear" w:pos="1191"/>
          <w:tab w:val="clear" w:pos="1588"/>
          <w:tab w:val="clear" w:pos="1985"/>
          <w:tab w:val="left" w:pos="567"/>
          <w:tab w:val="left" w:pos="1134"/>
          <w:tab w:val="left" w:pos="1701"/>
          <w:tab w:val="left" w:pos="2268"/>
          <w:tab w:val="left" w:pos="2835"/>
        </w:tabs>
        <w:spacing w:before="60" w:after="60"/>
        <w:ind w:left="1134" w:hanging="567"/>
        <w:jc w:val="both"/>
        <w:rPr>
          <w:color w:val="000000" w:themeColor="text1"/>
          <w:lang w:eastAsia="zh-CN"/>
        </w:rPr>
      </w:pPr>
      <w:r>
        <w:rPr>
          <w:rFonts w:hint="eastAsia"/>
          <w:lang w:eastAsia="zh-CN"/>
        </w:rPr>
        <w:t>员工</w:t>
      </w:r>
      <w:r w:rsidRPr="00B0221A">
        <w:rPr>
          <w:rFonts w:hint="eastAsia"/>
          <w:lang w:eastAsia="zh-CN"/>
        </w:rPr>
        <w:t>工作条件实施计划将包括搬迁期间和新</w:t>
      </w:r>
      <w:r w:rsidR="00F316E9">
        <w:rPr>
          <w:rFonts w:hint="eastAsia"/>
          <w:lang w:eastAsia="zh-CN"/>
        </w:rPr>
        <w:t>办公楼启用</w:t>
      </w:r>
      <w:r w:rsidRPr="00B0221A">
        <w:rPr>
          <w:rFonts w:hint="eastAsia"/>
          <w:lang w:eastAsia="zh-CN"/>
        </w:rPr>
        <w:t>后适用的政策。招标</w:t>
      </w:r>
      <w:r w:rsidR="00F316E9">
        <w:rPr>
          <w:rFonts w:hint="eastAsia"/>
          <w:lang w:eastAsia="zh-CN"/>
        </w:rPr>
        <w:t>程序</w:t>
      </w:r>
      <w:r w:rsidRPr="00B0221A">
        <w:rPr>
          <w:rFonts w:hint="eastAsia"/>
          <w:lang w:eastAsia="zh-CN"/>
        </w:rPr>
        <w:t>已完成，合同将与选定的专门研究员工工作条件的公司签署。将及时确定</w:t>
      </w:r>
      <w:r w:rsidR="00F316E9" w:rsidRPr="00B0221A">
        <w:rPr>
          <w:rFonts w:hint="eastAsia"/>
          <w:lang w:eastAsia="zh-CN"/>
        </w:rPr>
        <w:t>初步交付</w:t>
      </w:r>
      <w:r w:rsidR="00F316E9">
        <w:rPr>
          <w:rFonts w:hint="eastAsia"/>
          <w:lang w:eastAsia="zh-CN"/>
        </w:rPr>
        <w:t>的</w:t>
      </w:r>
      <w:r w:rsidRPr="00B0221A">
        <w:rPr>
          <w:rFonts w:hint="eastAsia"/>
          <w:lang w:eastAsia="zh-CN"/>
        </w:rPr>
        <w:t>成果，以便在</w:t>
      </w:r>
      <w:r w:rsidRPr="00B0221A">
        <w:rPr>
          <w:rFonts w:hint="eastAsia"/>
          <w:lang w:eastAsia="zh-CN"/>
        </w:rPr>
        <w:t>6</w:t>
      </w:r>
      <w:r w:rsidRPr="00B0221A">
        <w:rPr>
          <w:rFonts w:hint="eastAsia"/>
          <w:lang w:eastAsia="zh-CN"/>
        </w:rPr>
        <w:t>月向</w:t>
      </w:r>
      <w:r w:rsidR="00F316E9">
        <w:rPr>
          <w:rFonts w:hint="eastAsia"/>
          <w:lang w:eastAsia="zh-CN"/>
        </w:rPr>
        <w:t>理事</w:t>
      </w:r>
      <w:r w:rsidRPr="00B0221A">
        <w:rPr>
          <w:rFonts w:hint="eastAsia"/>
          <w:lang w:eastAsia="zh-CN"/>
        </w:rPr>
        <w:t>提供初步反馈</w:t>
      </w:r>
      <w:r w:rsidR="00F316E9">
        <w:rPr>
          <w:rFonts w:hint="eastAsia"/>
          <w:lang w:eastAsia="zh-CN"/>
        </w:rPr>
        <w:t>。</w:t>
      </w:r>
    </w:p>
    <w:p w14:paraId="4FAE9045" w14:textId="40C4A01D" w:rsidR="00B0221A" w:rsidRPr="00B0221A" w:rsidRDefault="00B0221A" w:rsidP="00B0221A">
      <w:pPr>
        <w:tabs>
          <w:tab w:val="clear" w:pos="794"/>
          <w:tab w:val="clear" w:pos="1191"/>
          <w:tab w:val="clear" w:pos="1588"/>
          <w:tab w:val="clear" w:pos="1985"/>
          <w:tab w:val="left" w:pos="567"/>
          <w:tab w:val="left" w:pos="1134"/>
          <w:tab w:val="left" w:pos="1701"/>
          <w:tab w:val="left" w:pos="2268"/>
          <w:tab w:val="left" w:pos="2835"/>
        </w:tabs>
        <w:spacing w:after="120"/>
        <w:ind w:left="547"/>
        <w:jc w:val="both"/>
        <w:rPr>
          <w:rFonts w:asciiTheme="minorHAnsi" w:eastAsia="Times New Roman" w:hAnsiTheme="minorHAnsi" w:cstheme="minorHAnsi"/>
          <w:lang w:val="en-US" w:eastAsia="zh-CN"/>
        </w:rPr>
      </w:pPr>
      <w:r w:rsidRPr="00B0221A">
        <w:rPr>
          <w:rFonts w:asciiTheme="minorHAnsi" w:eastAsia="Times New Roman" w:hAnsiTheme="minorHAnsi" w:cstheme="minorHAnsi"/>
          <w:lang w:val="en-US" w:eastAsia="zh-CN"/>
        </w:rPr>
        <w:t>MSAG</w:t>
      </w:r>
      <w:r w:rsidR="00FA27BA" w:rsidRPr="00B0221A">
        <w:rPr>
          <w:rFonts w:hint="eastAsia"/>
          <w:lang w:eastAsia="zh-CN"/>
        </w:rPr>
        <w:t>建议秘书处在比较</w:t>
      </w:r>
      <w:r w:rsidR="00FA27BA">
        <w:rPr>
          <w:rFonts w:hint="eastAsia"/>
          <w:lang w:eastAsia="zh-CN"/>
        </w:rPr>
        <w:t>塔楼</w:t>
      </w:r>
      <w:r w:rsidR="00FA27BA" w:rsidRPr="00B0221A">
        <w:rPr>
          <w:rFonts w:hint="eastAsia"/>
          <w:lang w:eastAsia="zh-CN"/>
        </w:rPr>
        <w:t>的运行和维护费用时，明确说明计算是根据办公空间的表面积</w:t>
      </w:r>
      <w:r w:rsidR="00FA27BA">
        <w:rPr>
          <w:rFonts w:hint="eastAsia"/>
          <w:lang w:eastAsia="zh-CN"/>
        </w:rPr>
        <w:t>（</w:t>
      </w:r>
      <w:r w:rsidR="00FA27BA" w:rsidRPr="00B0221A">
        <w:rPr>
          <w:rFonts w:hint="eastAsia"/>
          <w:lang w:eastAsia="zh-CN"/>
        </w:rPr>
        <w:t>而</w:t>
      </w:r>
      <w:r w:rsidR="00FA27BA">
        <w:rPr>
          <w:rFonts w:hint="eastAsia"/>
          <w:lang w:eastAsia="zh-CN"/>
        </w:rPr>
        <w:t>非</w:t>
      </w:r>
      <w:r w:rsidR="00FA27BA" w:rsidRPr="00B0221A">
        <w:rPr>
          <w:rFonts w:hint="eastAsia"/>
          <w:lang w:eastAsia="zh-CN"/>
        </w:rPr>
        <w:t>市场分析</w:t>
      </w:r>
      <w:r w:rsidR="00FA27BA">
        <w:rPr>
          <w:rFonts w:hint="eastAsia"/>
          <w:lang w:eastAsia="zh-CN"/>
        </w:rPr>
        <w:t>）</w:t>
      </w:r>
      <w:r w:rsidR="00FA27BA" w:rsidRPr="00B0221A">
        <w:rPr>
          <w:rFonts w:hint="eastAsia"/>
          <w:lang w:eastAsia="zh-CN"/>
        </w:rPr>
        <w:t>进行的。</w:t>
      </w:r>
    </w:p>
    <w:p w14:paraId="76E17477" w14:textId="3410ED01" w:rsidR="00B0221A" w:rsidRPr="00B0221A" w:rsidRDefault="00F55AD8" w:rsidP="00B0221A">
      <w:pPr>
        <w:tabs>
          <w:tab w:val="clear" w:pos="794"/>
          <w:tab w:val="clear" w:pos="1191"/>
          <w:tab w:val="clear" w:pos="1588"/>
          <w:tab w:val="clear" w:pos="1985"/>
          <w:tab w:val="left" w:pos="567"/>
          <w:tab w:val="left" w:pos="1134"/>
          <w:tab w:val="left" w:pos="1701"/>
          <w:tab w:val="left" w:pos="2268"/>
          <w:tab w:val="left" w:pos="2835"/>
        </w:tabs>
        <w:spacing w:after="240"/>
        <w:ind w:left="540"/>
        <w:jc w:val="both"/>
        <w:rPr>
          <w:rFonts w:asciiTheme="minorHAnsi" w:eastAsia="Times New Roman" w:hAnsiTheme="minorHAnsi" w:cstheme="minorHAnsi"/>
          <w:lang w:val="en-US" w:eastAsia="zh-CN"/>
        </w:rPr>
      </w:pPr>
      <w:r w:rsidRPr="00B0221A">
        <w:rPr>
          <w:rFonts w:hint="eastAsia"/>
          <w:lang w:eastAsia="zh-CN"/>
        </w:rPr>
        <w:t>主席向</w:t>
      </w:r>
      <w:r w:rsidRPr="00B0221A">
        <w:rPr>
          <w:rFonts w:hint="eastAsia"/>
          <w:lang w:eastAsia="zh-CN"/>
        </w:rPr>
        <w:t>MSAG</w:t>
      </w:r>
      <w:r w:rsidRPr="00B0221A">
        <w:rPr>
          <w:rFonts w:hint="eastAsia"/>
          <w:lang w:eastAsia="zh-CN"/>
        </w:rPr>
        <w:t>报告说，</w:t>
      </w:r>
      <w:r w:rsidRPr="00B0221A">
        <w:rPr>
          <w:rFonts w:hint="eastAsia"/>
          <w:lang w:eastAsia="zh-CN"/>
        </w:rPr>
        <w:t>MSAG</w:t>
      </w:r>
      <w:r w:rsidRPr="00B0221A">
        <w:rPr>
          <w:rFonts w:hint="eastAsia"/>
          <w:lang w:eastAsia="zh-CN"/>
        </w:rPr>
        <w:t>在</w:t>
      </w:r>
      <w:r w:rsidRPr="00B0221A">
        <w:rPr>
          <w:rFonts w:hint="eastAsia"/>
          <w:lang w:eastAsia="zh-CN"/>
        </w:rPr>
        <w:t>VCC</w:t>
      </w:r>
      <w:r w:rsidRPr="00B0221A">
        <w:rPr>
          <w:rFonts w:hint="eastAsia"/>
          <w:lang w:eastAsia="zh-CN"/>
        </w:rPr>
        <w:t>会议期间提出的问题已由</w:t>
      </w:r>
      <w:r w:rsidRPr="00B0221A">
        <w:rPr>
          <w:rFonts w:asciiTheme="minorHAnsi" w:eastAsia="Times New Roman" w:hAnsiTheme="minorHAnsi" w:cstheme="minorHAnsi"/>
          <w:lang w:val="en-US" w:eastAsia="zh-CN"/>
        </w:rPr>
        <w:t>CWG-FHR</w:t>
      </w:r>
      <w:r>
        <w:rPr>
          <w:rFonts w:ascii="SimSun" w:hAnsi="SimSun" w:cs="SimSun" w:hint="eastAsia"/>
          <w:lang w:val="en-US" w:eastAsia="zh-CN"/>
        </w:rPr>
        <w:t>（理事会财务和人力资源工作组）</w:t>
      </w:r>
      <w:r w:rsidRPr="00B0221A">
        <w:rPr>
          <w:rFonts w:hint="eastAsia"/>
          <w:lang w:eastAsia="zh-CN"/>
        </w:rPr>
        <w:t>审议。秘书处建议从</w:t>
      </w:r>
      <w:r w:rsidRPr="00B0221A">
        <w:rPr>
          <w:rFonts w:hint="eastAsia"/>
          <w:lang w:eastAsia="zh-CN"/>
        </w:rPr>
        <w:t>2020</w:t>
      </w:r>
      <w:r w:rsidRPr="00B0221A">
        <w:rPr>
          <w:rFonts w:hint="eastAsia"/>
          <w:lang w:eastAsia="zh-CN"/>
        </w:rPr>
        <w:t>年的节余中为风险</w:t>
      </w:r>
      <w:r>
        <w:rPr>
          <w:rFonts w:hint="eastAsia"/>
          <w:lang w:eastAsia="zh-CN"/>
        </w:rPr>
        <w:t>管</w:t>
      </w:r>
      <w:proofErr w:type="gramStart"/>
      <w:r>
        <w:rPr>
          <w:rFonts w:hint="eastAsia"/>
          <w:lang w:eastAsia="zh-CN"/>
        </w:rPr>
        <w:t>控</w:t>
      </w:r>
      <w:r w:rsidRPr="00B0221A">
        <w:rPr>
          <w:rFonts w:hint="eastAsia"/>
          <w:lang w:eastAsia="zh-CN"/>
        </w:rPr>
        <w:t>基金</w:t>
      </w:r>
      <w:proofErr w:type="gramEnd"/>
      <w:r w:rsidRPr="00B0221A">
        <w:rPr>
          <w:rFonts w:hint="eastAsia"/>
          <w:lang w:eastAsia="zh-CN"/>
        </w:rPr>
        <w:t>增加</w:t>
      </w:r>
      <w:r w:rsidRPr="00B0221A">
        <w:rPr>
          <w:rFonts w:hint="eastAsia"/>
          <w:lang w:eastAsia="zh-CN"/>
        </w:rPr>
        <w:t>360</w:t>
      </w:r>
      <w:proofErr w:type="gramStart"/>
      <w:r w:rsidRPr="00B0221A">
        <w:rPr>
          <w:rFonts w:hint="eastAsia"/>
          <w:lang w:eastAsia="zh-CN"/>
        </w:rPr>
        <w:t>万瑞</w:t>
      </w:r>
      <w:proofErr w:type="gramEnd"/>
      <w:r w:rsidRPr="00B0221A">
        <w:rPr>
          <w:rFonts w:hint="eastAsia"/>
          <w:lang w:eastAsia="zh-CN"/>
        </w:rPr>
        <w:t>郎</w:t>
      </w:r>
      <w:r>
        <w:rPr>
          <w:rFonts w:hint="eastAsia"/>
          <w:lang w:eastAsia="zh-CN"/>
        </w:rPr>
        <w:t>资金（</w:t>
      </w:r>
      <w:r w:rsidRPr="00B0221A">
        <w:rPr>
          <w:rFonts w:hint="eastAsia"/>
          <w:lang w:eastAsia="zh-CN"/>
        </w:rPr>
        <w:t>如有的话</w:t>
      </w:r>
      <w:r>
        <w:rPr>
          <w:rFonts w:hint="eastAsia"/>
          <w:lang w:eastAsia="zh-CN"/>
        </w:rPr>
        <w:t>）</w:t>
      </w:r>
      <w:r w:rsidRPr="00B0221A">
        <w:rPr>
          <w:rFonts w:hint="eastAsia"/>
          <w:lang w:eastAsia="zh-CN"/>
        </w:rPr>
        <w:t>。</w:t>
      </w:r>
      <w:r>
        <w:rPr>
          <w:rFonts w:hint="eastAsia"/>
          <w:lang w:eastAsia="zh-CN"/>
        </w:rPr>
        <w:t>目前</w:t>
      </w:r>
      <w:r w:rsidRPr="00B0221A">
        <w:rPr>
          <w:rFonts w:hint="eastAsia"/>
          <w:lang w:eastAsia="zh-CN"/>
        </w:rPr>
        <w:t>尚未就额外</w:t>
      </w:r>
      <w:r>
        <w:rPr>
          <w:rFonts w:hint="eastAsia"/>
          <w:lang w:eastAsia="zh-CN"/>
        </w:rPr>
        <w:t>资金</w:t>
      </w:r>
      <w:r w:rsidRPr="00B0221A">
        <w:rPr>
          <w:rFonts w:hint="eastAsia"/>
          <w:lang w:eastAsia="zh-CN"/>
        </w:rPr>
        <w:t>做出决定</w:t>
      </w:r>
      <w:r>
        <w:rPr>
          <w:rFonts w:hint="eastAsia"/>
          <w:lang w:eastAsia="zh-CN"/>
        </w:rPr>
        <w:t>，</w:t>
      </w:r>
      <w:r w:rsidRPr="00B0221A">
        <w:rPr>
          <w:rFonts w:hint="eastAsia"/>
          <w:lang w:eastAsia="zh-CN"/>
        </w:rPr>
        <w:t>最终决定将由理事会做出。与会</w:t>
      </w:r>
      <w:r>
        <w:rPr>
          <w:rFonts w:hint="eastAsia"/>
          <w:lang w:eastAsia="zh-CN"/>
        </w:rPr>
        <w:t>代表</w:t>
      </w:r>
      <w:r w:rsidRPr="00B0221A">
        <w:rPr>
          <w:rFonts w:hint="eastAsia"/>
          <w:lang w:eastAsia="zh-CN"/>
        </w:rPr>
        <w:t>对秘书处</w:t>
      </w:r>
      <w:r>
        <w:rPr>
          <w:rFonts w:hint="eastAsia"/>
          <w:lang w:eastAsia="zh-CN"/>
        </w:rPr>
        <w:t>在为</w:t>
      </w:r>
      <w:r w:rsidRPr="00B0221A">
        <w:rPr>
          <w:rFonts w:hint="eastAsia"/>
          <w:lang w:eastAsia="zh-CN"/>
        </w:rPr>
        <w:t>该基金</w:t>
      </w:r>
      <w:r>
        <w:rPr>
          <w:rFonts w:hint="eastAsia"/>
          <w:lang w:eastAsia="zh-CN"/>
        </w:rPr>
        <w:t>筹资方面做出</w:t>
      </w:r>
      <w:r w:rsidRPr="00B0221A">
        <w:rPr>
          <w:rFonts w:hint="eastAsia"/>
          <w:lang w:eastAsia="zh-CN"/>
        </w:rPr>
        <w:t>的努力表示赞赏</w:t>
      </w:r>
      <w:r>
        <w:rPr>
          <w:rFonts w:hint="eastAsia"/>
          <w:lang w:eastAsia="zh-CN"/>
        </w:rPr>
        <w:t>。</w:t>
      </w:r>
    </w:p>
    <w:p w14:paraId="423DEB6C" w14:textId="1E2C5FAA" w:rsidR="00B0221A" w:rsidRPr="00A55933" w:rsidRDefault="00B0221A" w:rsidP="00A55933">
      <w:pPr>
        <w:pStyle w:val="Heading1"/>
      </w:pPr>
      <w:r w:rsidRPr="00A55933">
        <w:t>2</w:t>
      </w:r>
      <w:r w:rsidRPr="00A55933">
        <w:tab/>
      </w:r>
      <w:proofErr w:type="spellStart"/>
      <w:r w:rsidR="00901A57" w:rsidRPr="00A55933">
        <w:rPr>
          <w:rFonts w:hint="eastAsia"/>
        </w:rPr>
        <w:t>需</w:t>
      </w:r>
      <w:r w:rsidR="00F55AD8" w:rsidRPr="00A55933">
        <w:rPr>
          <w:rFonts w:hint="eastAsia"/>
        </w:rPr>
        <w:t>提请理事会注意的事项</w:t>
      </w:r>
      <w:proofErr w:type="spellEnd"/>
    </w:p>
    <w:p w14:paraId="2650C33F" w14:textId="275EBFBF" w:rsidR="00B0221A" w:rsidRPr="00A55933" w:rsidRDefault="00B0221A" w:rsidP="00B0221A">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lang w:val="en-US" w:eastAsia="zh-CN"/>
        </w:rPr>
      </w:pPr>
      <w:r w:rsidRPr="00B0221A">
        <w:rPr>
          <w:rFonts w:hint="eastAsia"/>
          <w:lang w:eastAsia="zh-CN"/>
        </w:rPr>
        <w:t>MSAG</w:t>
      </w:r>
      <w:r w:rsidR="00B1161A">
        <w:rPr>
          <w:rFonts w:hint="eastAsia"/>
          <w:lang w:eastAsia="zh-CN"/>
        </w:rPr>
        <w:t>未确定</w:t>
      </w:r>
      <w:r w:rsidRPr="00B0221A">
        <w:rPr>
          <w:rFonts w:hint="eastAsia"/>
          <w:lang w:eastAsia="zh-CN"/>
        </w:rPr>
        <w:t>任何</w:t>
      </w:r>
      <w:r w:rsidR="00B1161A">
        <w:rPr>
          <w:rFonts w:hint="eastAsia"/>
          <w:lang w:eastAsia="zh-CN"/>
        </w:rPr>
        <w:t>需</w:t>
      </w:r>
      <w:r w:rsidRPr="00B0221A">
        <w:rPr>
          <w:rFonts w:hint="eastAsia"/>
          <w:lang w:eastAsia="zh-CN"/>
        </w:rPr>
        <w:t>提请</w:t>
      </w:r>
      <w:r w:rsidR="00B1161A">
        <w:rPr>
          <w:rFonts w:hint="eastAsia"/>
          <w:lang w:eastAsia="zh-CN"/>
        </w:rPr>
        <w:t>理事会</w:t>
      </w:r>
      <w:r w:rsidRPr="00B0221A">
        <w:rPr>
          <w:rFonts w:hint="eastAsia"/>
          <w:lang w:eastAsia="zh-CN"/>
        </w:rPr>
        <w:t>注意的新问题。</w:t>
      </w:r>
    </w:p>
    <w:p w14:paraId="78EEC4B2" w14:textId="77777777" w:rsidR="00A55933" w:rsidRPr="00B0221A" w:rsidRDefault="00A55933" w:rsidP="00B0221A">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lang w:eastAsia="zh-CN"/>
        </w:rPr>
      </w:pPr>
    </w:p>
    <w:p w14:paraId="5758F5E1" w14:textId="1490261F" w:rsidR="00970364" w:rsidRPr="00970364" w:rsidRDefault="00970364" w:rsidP="00970364">
      <w:pPr>
        <w:jc w:val="center"/>
        <w:rPr>
          <w:lang w:eastAsia="zh-CN"/>
        </w:rPr>
      </w:pPr>
      <w:r w:rsidRPr="00970364">
        <w:rPr>
          <w:lang w:val="en-US" w:eastAsia="zh-CN"/>
        </w:rPr>
        <w:t>_______________</w:t>
      </w:r>
    </w:p>
    <w:p w14:paraId="24397573" w14:textId="77777777" w:rsidR="00195FED" w:rsidRDefault="00195FED" w:rsidP="00911867">
      <w:pPr>
        <w:rPr>
          <w:lang w:eastAsia="zh-CN"/>
        </w:rPr>
      </w:pPr>
    </w:p>
    <w:sectPr w:rsidR="00195FE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8250" w14:textId="77777777" w:rsidR="0092222E" w:rsidRDefault="0092222E">
      <w:r>
        <w:separator/>
      </w:r>
    </w:p>
  </w:endnote>
  <w:endnote w:type="continuationSeparator" w:id="0">
    <w:p w14:paraId="01B0A2F9" w14:textId="77777777" w:rsidR="0092222E" w:rsidRDefault="0092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510C" w14:textId="7852FD40" w:rsidR="00B40A53" w:rsidRPr="00CF3DA8" w:rsidRDefault="00462DB5" w:rsidP="00AF086C">
    <w:pPr>
      <w:pStyle w:val="Footer"/>
      <w:rPr>
        <w:color w:val="D9D9D9" w:themeColor="background1" w:themeShade="D9"/>
      </w:rPr>
    </w:pPr>
    <w:r w:rsidRPr="00CF3DA8">
      <w:rPr>
        <w:color w:val="D9D9D9" w:themeColor="background1" w:themeShade="D9"/>
      </w:rPr>
      <w:fldChar w:fldCharType="begin"/>
    </w:r>
    <w:r w:rsidRPr="00CF3DA8">
      <w:rPr>
        <w:color w:val="D9D9D9" w:themeColor="background1" w:themeShade="D9"/>
      </w:rPr>
      <w:instrText xml:space="preserve"> FILENAME \p  \* MERGEFORMAT </w:instrText>
    </w:r>
    <w:r w:rsidRPr="00CF3DA8">
      <w:rPr>
        <w:color w:val="D9D9D9" w:themeColor="background1" w:themeShade="D9"/>
      </w:rPr>
      <w:fldChar w:fldCharType="separate"/>
    </w:r>
    <w:r w:rsidRPr="00CF3DA8">
      <w:rPr>
        <w:color w:val="D9D9D9" w:themeColor="background1" w:themeShade="D9"/>
      </w:rPr>
      <w:t>P:\CHI\SG\CONSEIL\C21\000\048C.docx</w:t>
    </w:r>
    <w:r w:rsidRPr="00CF3DA8">
      <w:rPr>
        <w:color w:val="D9D9D9" w:themeColor="background1" w:themeShade="D9"/>
      </w:rPr>
      <w:fldChar w:fldCharType="end"/>
    </w:r>
    <w:r w:rsidR="00AF086C" w:rsidRPr="00CF3DA8">
      <w:rPr>
        <w:color w:val="D9D9D9" w:themeColor="background1" w:themeShade="D9"/>
      </w:rPr>
      <w:t xml:space="preserve"> (</w:t>
    </w:r>
    <w:r w:rsidRPr="00CF3DA8">
      <w:rPr>
        <w:color w:val="D9D9D9" w:themeColor="background1" w:themeShade="D9"/>
      </w:rPr>
      <w:t>483244</w:t>
    </w:r>
    <w:r w:rsidR="00AF086C" w:rsidRPr="00CF3DA8">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465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60C4" w14:textId="77777777" w:rsidR="0092222E" w:rsidRDefault="0092222E">
      <w:r>
        <w:t>____________________</w:t>
      </w:r>
    </w:p>
  </w:footnote>
  <w:footnote w:type="continuationSeparator" w:id="0">
    <w:p w14:paraId="447702E5" w14:textId="77777777" w:rsidR="0092222E" w:rsidRDefault="0092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C151"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5DB23683" w14:textId="094B3BB3" w:rsidR="00AC516F" w:rsidRDefault="0098459B" w:rsidP="00D453EE">
    <w:pPr>
      <w:pStyle w:val="Header"/>
      <w:rPr>
        <w:lang w:eastAsia="zh-CN"/>
      </w:rPr>
    </w:pPr>
    <w:r>
      <w:t>C</w:t>
    </w:r>
    <w:r w:rsidR="0009409E">
      <w:t>2</w:t>
    </w:r>
    <w:r w:rsidR="00911867">
      <w:t>1</w:t>
    </w:r>
    <w:r w:rsidR="004672E6">
      <w:t>/</w:t>
    </w:r>
    <w:r w:rsidR="00970364">
      <w:rPr>
        <w:lang w:eastAsia="zh-CN"/>
      </w:rPr>
      <w:t>4</w:t>
    </w:r>
    <w:r w:rsidR="00A55933">
      <w:rPr>
        <w:rFonts w:hint="eastAsia"/>
        <w:lang w:eastAsia="zh-CN"/>
      </w:rPr>
      <w:t>8</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A36C4E"/>
    <w:multiLevelType w:val="hybridMultilevel"/>
    <w:tmpl w:val="837CC698"/>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64"/>
    <w:rsid w:val="00001B77"/>
    <w:rsid w:val="0000517A"/>
    <w:rsid w:val="00031E72"/>
    <w:rsid w:val="000404D2"/>
    <w:rsid w:val="0007045F"/>
    <w:rsid w:val="00077B0C"/>
    <w:rsid w:val="000853C0"/>
    <w:rsid w:val="0009409E"/>
    <w:rsid w:val="000A1C21"/>
    <w:rsid w:val="000D15EA"/>
    <w:rsid w:val="000D7EC6"/>
    <w:rsid w:val="000E7F32"/>
    <w:rsid w:val="000F5A30"/>
    <w:rsid w:val="00100D84"/>
    <w:rsid w:val="00123DBC"/>
    <w:rsid w:val="00124C9D"/>
    <w:rsid w:val="00157773"/>
    <w:rsid w:val="0016038F"/>
    <w:rsid w:val="0018251A"/>
    <w:rsid w:val="00190272"/>
    <w:rsid w:val="00193244"/>
    <w:rsid w:val="00195C6C"/>
    <w:rsid w:val="00195FED"/>
    <w:rsid w:val="001A4BD6"/>
    <w:rsid w:val="001D5A18"/>
    <w:rsid w:val="00217660"/>
    <w:rsid w:val="00265A9F"/>
    <w:rsid w:val="00280EB8"/>
    <w:rsid w:val="002A6670"/>
    <w:rsid w:val="002E6DD3"/>
    <w:rsid w:val="002F7D8D"/>
    <w:rsid w:val="00303502"/>
    <w:rsid w:val="00321DD4"/>
    <w:rsid w:val="00325C25"/>
    <w:rsid w:val="00372C8F"/>
    <w:rsid w:val="00380ECE"/>
    <w:rsid w:val="00393DDF"/>
    <w:rsid w:val="00397F55"/>
    <w:rsid w:val="003B4454"/>
    <w:rsid w:val="003C2E37"/>
    <w:rsid w:val="003F1415"/>
    <w:rsid w:val="0040144C"/>
    <w:rsid w:val="00403EB7"/>
    <w:rsid w:val="00430BF0"/>
    <w:rsid w:val="0046011E"/>
    <w:rsid w:val="00462DB5"/>
    <w:rsid w:val="004672E6"/>
    <w:rsid w:val="00474ED1"/>
    <w:rsid w:val="00476310"/>
    <w:rsid w:val="00493085"/>
    <w:rsid w:val="004A13CA"/>
    <w:rsid w:val="004A36EC"/>
    <w:rsid w:val="004D163F"/>
    <w:rsid w:val="004E4BFF"/>
    <w:rsid w:val="004F2598"/>
    <w:rsid w:val="0050433B"/>
    <w:rsid w:val="00516B3A"/>
    <w:rsid w:val="005403F7"/>
    <w:rsid w:val="00540632"/>
    <w:rsid w:val="00541CF4"/>
    <w:rsid w:val="005451E8"/>
    <w:rsid w:val="005507F2"/>
    <w:rsid w:val="005759CC"/>
    <w:rsid w:val="00594BD9"/>
    <w:rsid w:val="005A72E1"/>
    <w:rsid w:val="005C4F23"/>
    <w:rsid w:val="005C6632"/>
    <w:rsid w:val="005D1C9E"/>
    <w:rsid w:val="00650B3B"/>
    <w:rsid w:val="00654257"/>
    <w:rsid w:val="0065435A"/>
    <w:rsid w:val="006857AE"/>
    <w:rsid w:val="006A2DD3"/>
    <w:rsid w:val="006A5AF8"/>
    <w:rsid w:val="006C36CD"/>
    <w:rsid w:val="00700D1F"/>
    <w:rsid w:val="007205CB"/>
    <w:rsid w:val="00726073"/>
    <w:rsid w:val="00734FE8"/>
    <w:rsid w:val="007360CE"/>
    <w:rsid w:val="00772315"/>
    <w:rsid w:val="00775157"/>
    <w:rsid w:val="007813AE"/>
    <w:rsid w:val="007A37DB"/>
    <w:rsid w:val="007E189D"/>
    <w:rsid w:val="007E5610"/>
    <w:rsid w:val="00802790"/>
    <w:rsid w:val="00811259"/>
    <w:rsid w:val="00811585"/>
    <w:rsid w:val="00813AA2"/>
    <w:rsid w:val="008173A3"/>
    <w:rsid w:val="008418F5"/>
    <w:rsid w:val="0086059C"/>
    <w:rsid w:val="00864589"/>
    <w:rsid w:val="00890AFB"/>
    <w:rsid w:val="00890FC4"/>
    <w:rsid w:val="00895905"/>
    <w:rsid w:val="008B5C1D"/>
    <w:rsid w:val="00901A57"/>
    <w:rsid w:val="00911867"/>
    <w:rsid w:val="009164A9"/>
    <w:rsid w:val="0092222E"/>
    <w:rsid w:val="009258CB"/>
    <w:rsid w:val="0093362E"/>
    <w:rsid w:val="00944563"/>
    <w:rsid w:val="00953160"/>
    <w:rsid w:val="009625D8"/>
    <w:rsid w:val="00970364"/>
    <w:rsid w:val="0098459B"/>
    <w:rsid w:val="00997185"/>
    <w:rsid w:val="009C2458"/>
    <w:rsid w:val="009C4A7B"/>
    <w:rsid w:val="009C6123"/>
    <w:rsid w:val="009E1D29"/>
    <w:rsid w:val="009E3DEB"/>
    <w:rsid w:val="009F1E3E"/>
    <w:rsid w:val="00A1213C"/>
    <w:rsid w:val="00A13775"/>
    <w:rsid w:val="00A13AC5"/>
    <w:rsid w:val="00A272FF"/>
    <w:rsid w:val="00A5354B"/>
    <w:rsid w:val="00A55933"/>
    <w:rsid w:val="00A71B57"/>
    <w:rsid w:val="00A877CF"/>
    <w:rsid w:val="00A87B1E"/>
    <w:rsid w:val="00AA311A"/>
    <w:rsid w:val="00AB42C1"/>
    <w:rsid w:val="00AC516F"/>
    <w:rsid w:val="00AE2926"/>
    <w:rsid w:val="00AF086C"/>
    <w:rsid w:val="00B0184B"/>
    <w:rsid w:val="00B0221A"/>
    <w:rsid w:val="00B035CD"/>
    <w:rsid w:val="00B0769D"/>
    <w:rsid w:val="00B1161A"/>
    <w:rsid w:val="00B17C89"/>
    <w:rsid w:val="00B217F8"/>
    <w:rsid w:val="00B332EA"/>
    <w:rsid w:val="00B40A53"/>
    <w:rsid w:val="00B45365"/>
    <w:rsid w:val="00B46A65"/>
    <w:rsid w:val="00B60184"/>
    <w:rsid w:val="00B62D20"/>
    <w:rsid w:val="00B70CB7"/>
    <w:rsid w:val="00B75ED2"/>
    <w:rsid w:val="00B81E75"/>
    <w:rsid w:val="00BD1A5A"/>
    <w:rsid w:val="00BD7A9B"/>
    <w:rsid w:val="00BD7BE1"/>
    <w:rsid w:val="00BF416B"/>
    <w:rsid w:val="00C17EE9"/>
    <w:rsid w:val="00C36217"/>
    <w:rsid w:val="00C64E4E"/>
    <w:rsid w:val="00C66E64"/>
    <w:rsid w:val="00C761A0"/>
    <w:rsid w:val="00C82BA2"/>
    <w:rsid w:val="00C8596B"/>
    <w:rsid w:val="00C85F7E"/>
    <w:rsid w:val="00C90D53"/>
    <w:rsid w:val="00CC653C"/>
    <w:rsid w:val="00CD47F0"/>
    <w:rsid w:val="00CD5566"/>
    <w:rsid w:val="00CD64D7"/>
    <w:rsid w:val="00CE6F22"/>
    <w:rsid w:val="00CF3DA8"/>
    <w:rsid w:val="00CF41F6"/>
    <w:rsid w:val="00CF7D3E"/>
    <w:rsid w:val="00D02B4E"/>
    <w:rsid w:val="00D21F11"/>
    <w:rsid w:val="00D32F29"/>
    <w:rsid w:val="00D36817"/>
    <w:rsid w:val="00D453EE"/>
    <w:rsid w:val="00D5666C"/>
    <w:rsid w:val="00D666BC"/>
    <w:rsid w:val="00D83542"/>
    <w:rsid w:val="00D92F45"/>
    <w:rsid w:val="00D94637"/>
    <w:rsid w:val="00D9725C"/>
    <w:rsid w:val="00DA7006"/>
    <w:rsid w:val="00DB0662"/>
    <w:rsid w:val="00DC6427"/>
    <w:rsid w:val="00DD66A1"/>
    <w:rsid w:val="00DE196D"/>
    <w:rsid w:val="00DF6B49"/>
    <w:rsid w:val="00E067C5"/>
    <w:rsid w:val="00E10F28"/>
    <w:rsid w:val="00E265BF"/>
    <w:rsid w:val="00E378D8"/>
    <w:rsid w:val="00E43A12"/>
    <w:rsid w:val="00E67C67"/>
    <w:rsid w:val="00E77476"/>
    <w:rsid w:val="00E8228B"/>
    <w:rsid w:val="00E84393"/>
    <w:rsid w:val="00EE5706"/>
    <w:rsid w:val="00EF373D"/>
    <w:rsid w:val="00F11595"/>
    <w:rsid w:val="00F13BC9"/>
    <w:rsid w:val="00F316E9"/>
    <w:rsid w:val="00F3343A"/>
    <w:rsid w:val="00F357B2"/>
    <w:rsid w:val="00F36556"/>
    <w:rsid w:val="00F55AD8"/>
    <w:rsid w:val="00F705DF"/>
    <w:rsid w:val="00F70622"/>
    <w:rsid w:val="00F85624"/>
    <w:rsid w:val="00F87C05"/>
    <w:rsid w:val="00F93191"/>
    <w:rsid w:val="00F93A17"/>
    <w:rsid w:val="00FA27BA"/>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BE5C3E"/>
  <w15:docId w15:val="{ACA24668-DD44-409C-926B-8B22879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C82BA2"/>
    <w:pPr>
      <w:spacing w:before="160"/>
    </w:pPr>
    <w:rPr>
      <w:rFonts w:asciiTheme="minorHAnsi" w:eastAsia="STKaiti" w:hAnsiTheme="minorHAnsi"/>
      <w:i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970364"/>
    <w:rPr>
      <w:color w:val="605E5C"/>
      <w:shd w:val="clear" w:color="auto" w:fill="E1DFDD"/>
    </w:rPr>
  </w:style>
  <w:style w:type="paragraph" w:customStyle="1" w:styleId="Table">
    <w:name w:val="Table_#"/>
    <w:basedOn w:val="Normal"/>
    <w:next w:val="Normal"/>
    <w:rsid w:val="00B0221A"/>
    <w:pPr>
      <w:keepNext/>
      <w:overflowPunct/>
      <w:autoSpaceDE/>
      <w:autoSpaceDN/>
      <w:adjustRightInd/>
      <w:spacing w:before="56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8037407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7944524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0997343">
      <w:bodyDiv w:val="1"/>
      <w:marLeft w:val="0"/>
      <w:marRight w:val="0"/>
      <w:marTop w:val="0"/>
      <w:marBottom w:val="0"/>
      <w:divBdr>
        <w:top w:val="none" w:sz="0" w:space="0" w:color="auto"/>
        <w:left w:val="none" w:sz="0" w:space="0" w:color="auto"/>
        <w:bottom w:val="none" w:sz="0" w:space="0" w:color="auto"/>
        <w:right w:val="none" w:sz="0" w:space="0" w:color="auto"/>
      </w:divBdr>
    </w:div>
    <w:div w:id="198581112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77/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hq-building/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4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212-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9-CLADD-C-0005/en" TargetMode="External"/><Relationship Id="rId14" Type="http://schemas.openxmlformats.org/officeDocument/2006/relationships/hyperlink" Target="https://www.itu.int/md/S20-CL-INF-002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B1C6-A4B8-498B-B87B-C3323ED1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3</Pages>
  <Words>1653</Words>
  <Characters>1033</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2021, Virtual consultation of councillors</dc:subject>
  <dc:creator>Zheng, Bingyue</dc:creator>
  <cp:keywords>C2021, C21, VCC, C21-VCC-1</cp:keywords>
  <dc:description/>
  <cp:lastModifiedBy>Brouard, Ricarda</cp:lastModifiedBy>
  <cp:revision>2</cp:revision>
  <cp:lastPrinted>2015-02-24T13:23:00Z</cp:lastPrinted>
  <dcterms:created xsi:type="dcterms:W3CDTF">2021-04-27T09:06:00Z</dcterms:created>
  <dcterms:modified xsi:type="dcterms:W3CDTF">2021-04-27T09:06:00Z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