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671E9" w:rsidRPr="00813E5E" w14:paraId="5DDCD0BC" w14:textId="77777777">
        <w:trPr>
          <w:cantSplit/>
        </w:trPr>
        <w:tc>
          <w:tcPr>
            <w:tcW w:w="6911" w:type="dxa"/>
          </w:tcPr>
          <w:p w14:paraId="5A5C8FF7" w14:textId="1D35E50C" w:rsidR="00F671E9" w:rsidRPr="00813E5E" w:rsidRDefault="00F671E9" w:rsidP="00F671E9">
            <w:pPr>
              <w:spacing w:before="360" w:after="48" w:line="240" w:lineRule="atLeast"/>
              <w:rPr>
                <w:position w:val="6"/>
              </w:rPr>
            </w:pPr>
            <w:bookmarkStart w:id="0" w:name="dc06"/>
            <w:bookmarkEnd w:id="0"/>
            <w:r w:rsidRPr="00F671E9">
              <w:rPr>
                <w:b/>
                <w:bCs/>
                <w:position w:val="6"/>
                <w:sz w:val="30"/>
                <w:szCs w:val="30"/>
              </w:rPr>
              <w:t>Council 2021</w:t>
            </w:r>
            <w:r w:rsidRPr="00F671E9">
              <w:rPr>
                <w:b/>
                <w:bCs/>
                <w:position w:val="6"/>
                <w:sz w:val="30"/>
                <w:szCs w:val="30"/>
              </w:rPr>
              <w:br/>
            </w:r>
            <w:r w:rsidRPr="00F671E9">
              <w:rPr>
                <w:b/>
                <w:bCs/>
                <w:position w:val="6"/>
                <w:sz w:val="28"/>
                <w:szCs w:val="28"/>
              </w:rPr>
              <w:t xml:space="preserve">Virtual consultation of councillors, </w:t>
            </w:r>
            <w:r w:rsidRPr="008B23F4">
              <w:rPr>
                <w:b/>
                <w:bCs/>
                <w:position w:val="6"/>
                <w:sz w:val="28"/>
                <w:szCs w:val="28"/>
              </w:rPr>
              <w:t>8-18 June</w:t>
            </w:r>
            <w:r w:rsidRPr="00F671E9">
              <w:rPr>
                <w:b/>
                <w:bCs/>
                <w:position w:val="6"/>
                <w:sz w:val="28"/>
                <w:szCs w:val="28"/>
              </w:rPr>
              <w:t xml:space="preserve"> 2021</w:t>
            </w:r>
          </w:p>
        </w:tc>
        <w:tc>
          <w:tcPr>
            <w:tcW w:w="3120" w:type="dxa"/>
          </w:tcPr>
          <w:p w14:paraId="2C0BDAFC" w14:textId="2DF1B934" w:rsidR="00F671E9" w:rsidRPr="00813E5E" w:rsidRDefault="00F671E9" w:rsidP="00F671E9">
            <w:pPr>
              <w:spacing w:before="0" w:line="240" w:lineRule="atLeast"/>
            </w:pPr>
            <w:bookmarkStart w:id="1" w:name="ditulogo"/>
            <w:bookmarkEnd w:id="1"/>
            <w:r>
              <w:rPr>
                <w:noProof/>
                <w:lang w:eastAsia="zh-CN"/>
              </w:rPr>
              <w:drawing>
                <wp:inline distT="0" distB="0" distL="0" distR="0" wp14:anchorId="2D5AD59C" wp14:editId="10C193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671E9" w:rsidRPr="00813E5E" w14:paraId="7B794441" w14:textId="77777777">
        <w:trPr>
          <w:cantSplit/>
        </w:trPr>
        <w:tc>
          <w:tcPr>
            <w:tcW w:w="6911" w:type="dxa"/>
            <w:tcBorders>
              <w:bottom w:val="single" w:sz="12" w:space="0" w:color="auto"/>
            </w:tcBorders>
          </w:tcPr>
          <w:p w14:paraId="7B40984E" w14:textId="77777777" w:rsidR="00F671E9" w:rsidRPr="00813E5E" w:rsidRDefault="00F671E9" w:rsidP="00F671E9">
            <w:pPr>
              <w:spacing w:before="0" w:after="48" w:line="240" w:lineRule="atLeast"/>
              <w:rPr>
                <w:b/>
                <w:smallCaps/>
                <w:szCs w:val="24"/>
              </w:rPr>
            </w:pPr>
          </w:p>
        </w:tc>
        <w:tc>
          <w:tcPr>
            <w:tcW w:w="3120" w:type="dxa"/>
            <w:tcBorders>
              <w:bottom w:val="single" w:sz="12" w:space="0" w:color="auto"/>
            </w:tcBorders>
          </w:tcPr>
          <w:p w14:paraId="781FEAA2" w14:textId="77777777" w:rsidR="00F671E9" w:rsidRPr="00813E5E" w:rsidRDefault="00F671E9" w:rsidP="00F671E9">
            <w:pPr>
              <w:spacing w:before="0" w:line="240" w:lineRule="atLeast"/>
              <w:rPr>
                <w:szCs w:val="24"/>
              </w:rPr>
            </w:pPr>
          </w:p>
        </w:tc>
      </w:tr>
      <w:tr w:rsidR="00F671E9" w:rsidRPr="00813E5E" w14:paraId="7A5DD5BB" w14:textId="77777777">
        <w:trPr>
          <w:cantSplit/>
        </w:trPr>
        <w:tc>
          <w:tcPr>
            <w:tcW w:w="6911" w:type="dxa"/>
            <w:tcBorders>
              <w:top w:val="single" w:sz="12" w:space="0" w:color="auto"/>
            </w:tcBorders>
          </w:tcPr>
          <w:p w14:paraId="763C781B" w14:textId="77777777" w:rsidR="00F671E9" w:rsidRPr="00813E5E" w:rsidRDefault="00F671E9" w:rsidP="00F671E9">
            <w:pPr>
              <w:spacing w:before="0" w:line="240" w:lineRule="atLeast"/>
              <w:rPr>
                <w:b/>
                <w:smallCaps/>
                <w:szCs w:val="24"/>
              </w:rPr>
            </w:pPr>
          </w:p>
        </w:tc>
        <w:tc>
          <w:tcPr>
            <w:tcW w:w="3120" w:type="dxa"/>
            <w:tcBorders>
              <w:top w:val="single" w:sz="12" w:space="0" w:color="auto"/>
            </w:tcBorders>
          </w:tcPr>
          <w:p w14:paraId="08D8A5D0" w14:textId="77777777" w:rsidR="00F671E9" w:rsidRPr="00813E5E" w:rsidRDefault="00F671E9" w:rsidP="00F671E9">
            <w:pPr>
              <w:spacing w:before="0"/>
              <w:rPr>
                <w:szCs w:val="24"/>
              </w:rPr>
            </w:pPr>
          </w:p>
        </w:tc>
      </w:tr>
      <w:tr w:rsidR="00F671E9" w:rsidRPr="00813E5E" w14:paraId="6F75AB05" w14:textId="77777777">
        <w:trPr>
          <w:cantSplit/>
          <w:trHeight w:val="23"/>
        </w:trPr>
        <w:tc>
          <w:tcPr>
            <w:tcW w:w="6911" w:type="dxa"/>
            <w:vMerge w:val="restart"/>
          </w:tcPr>
          <w:p w14:paraId="7CDD5779" w14:textId="3FBB829E" w:rsidR="00F671E9" w:rsidRPr="006415CC" w:rsidRDefault="00F671E9" w:rsidP="00F671E9">
            <w:pPr>
              <w:tabs>
                <w:tab w:val="left" w:pos="851"/>
              </w:tabs>
              <w:spacing w:before="0" w:line="240" w:lineRule="atLeast"/>
              <w:rPr>
                <w:b/>
              </w:rPr>
            </w:pPr>
            <w:bookmarkStart w:id="2" w:name="dmeeting" w:colFirst="0" w:colLast="0"/>
            <w:bookmarkStart w:id="3" w:name="dnum" w:colFirst="1" w:colLast="1"/>
            <w:r>
              <w:rPr>
                <w:b/>
              </w:rPr>
              <w:t xml:space="preserve">Agenda item:  </w:t>
            </w:r>
            <w:r w:rsidRPr="004A72D9">
              <w:rPr>
                <w:b/>
              </w:rPr>
              <w:t xml:space="preserve">ADM </w:t>
            </w:r>
            <w:r w:rsidR="00AB2738">
              <w:rPr>
                <w:b/>
              </w:rPr>
              <w:t>17</w:t>
            </w:r>
          </w:p>
        </w:tc>
        <w:tc>
          <w:tcPr>
            <w:tcW w:w="3120" w:type="dxa"/>
          </w:tcPr>
          <w:p w14:paraId="5271B691" w14:textId="2B792069" w:rsidR="00F671E9" w:rsidRPr="00E85629" w:rsidRDefault="00F671E9" w:rsidP="00F671E9">
            <w:pPr>
              <w:tabs>
                <w:tab w:val="left" w:pos="851"/>
              </w:tabs>
              <w:spacing w:before="0"/>
              <w:rPr>
                <w:b/>
              </w:rPr>
            </w:pPr>
            <w:r>
              <w:rPr>
                <w:b/>
              </w:rPr>
              <w:t>Document C21/46-E</w:t>
            </w:r>
          </w:p>
        </w:tc>
      </w:tr>
      <w:tr w:rsidR="00F671E9" w:rsidRPr="00813E5E" w14:paraId="7FF343A4" w14:textId="77777777">
        <w:trPr>
          <w:cantSplit/>
          <w:trHeight w:val="23"/>
        </w:trPr>
        <w:tc>
          <w:tcPr>
            <w:tcW w:w="6911" w:type="dxa"/>
            <w:vMerge/>
          </w:tcPr>
          <w:p w14:paraId="102ED090" w14:textId="77777777" w:rsidR="00F671E9" w:rsidRPr="00813E5E" w:rsidRDefault="00F671E9" w:rsidP="00F671E9">
            <w:pPr>
              <w:tabs>
                <w:tab w:val="left" w:pos="851"/>
              </w:tabs>
              <w:spacing w:line="240" w:lineRule="atLeast"/>
              <w:rPr>
                <w:b/>
              </w:rPr>
            </w:pPr>
            <w:bookmarkStart w:id="4" w:name="ddate" w:colFirst="1" w:colLast="1"/>
            <w:bookmarkEnd w:id="2"/>
            <w:bookmarkEnd w:id="3"/>
          </w:p>
        </w:tc>
        <w:tc>
          <w:tcPr>
            <w:tcW w:w="3120" w:type="dxa"/>
          </w:tcPr>
          <w:p w14:paraId="6F03CD98" w14:textId="531ACCE6" w:rsidR="00F671E9" w:rsidRPr="00AB2738" w:rsidRDefault="00AB2738" w:rsidP="00F671E9">
            <w:pPr>
              <w:tabs>
                <w:tab w:val="left" w:pos="993"/>
              </w:tabs>
              <w:spacing w:before="0"/>
              <w:rPr>
                <w:b/>
              </w:rPr>
            </w:pPr>
            <w:r w:rsidRPr="00AB2738">
              <w:rPr>
                <w:b/>
              </w:rPr>
              <w:t>31</w:t>
            </w:r>
            <w:r w:rsidR="00F671E9" w:rsidRPr="00AB2738">
              <w:rPr>
                <w:b/>
              </w:rPr>
              <w:t xml:space="preserve"> March 2021</w:t>
            </w:r>
          </w:p>
        </w:tc>
      </w:tr>
      <w:tr w:rsidR="00F671E9" w:rsidRPr="00813E5E" w14:paraId="73A70A14" w14:textId="77777777">
        <w:trPr>
          <w:cantSplit/>
          <w:trHeight w:val="23"/>
        </w:trPr>
        <w:tc>
          <w:tcPr>
            <w:tcW w:w="6911" w:type="dxa"/>
            <w:vMerge/>
          </w:tcPr>
          <w:p w14:paraId="3276DB7F" w14:textId="77777777" w:rsidR="00F671E9" w:rsidRPr="00813E5E" w:rsidRDefault="00F671E9" w:rsidP="00F671E9">
            <w:pPr>
              <w:tabs>
                <w:tab w:val="left" w:pos="851"/>
              </w:tabs>
              <w:spacing w:line="240" w:lineRule="atLeast"/>
              <w:rPr>
                <w:b/>
              </w:rPr>
            </w:pPr>
            <w:bookmarkStart w:id="5" w:name="dorlang" w:colFirst="1" w:colLast="1"/>
            <w:bookmarkEnd w:id="4"/>
          </w:p>
        </w:tc>
        <w:tc>
          <w:tcPr>
            <w:tcW w:w="3120" w:type="dxa"/>
          </w:tcPr>
          <w:p w14:paraId="14CF66CA" w14:textId="77777777" w:rsidR="00F671E9" w:rsidRPr="00E85629" w:rsidRDefault="00F671E9" w:rsidP="00F671E9">
            <w:pPr>
              <w:tabs>
                <w:tab w:val="left" w:pos="993"/>
              </w:tabs>
              <w:spacing w:before="0"/>
              <w:rPr>
                <w:b/>
              </w:rPr>
            </w:pPr>
            <w:r>
              <w:rPr>
                <w:b/>
              </w:rPr>
              <w:t>Original: English</w:t>
            </w:r>
          </w:p>
        </w:tc>
      </w:tr>
      <w:tr w:rsidR="00F671E9" w:rsidRPr="00813E5E" w14:paraId="640124FB" w14:textId="77777777">
        <w:trPr>
          <w:cantSplit/>
        </w:trPr>
        <w:tc>
          <w:tcPr>
            <w:tcW w:w="10031" w:type="dxa"/>
            <w:gridSpan w:val="2"/>
          </w:tcPr>
          <w:p w14:paraId="6A3A9208" w14:textId="77777777" w:rsidR="00F671E9" w:rsidRPr="00813E5E" w:rsidRDefault="00F671E9" w:rsidP="00F671E9">
            <w:pPr>
              <w:pStyle w:val="Source"/>
            </w:pPr>
            <w:bookmarkStart w:id="6" w:name="dsource" w:colFirst="0" w:colLast="0"/>
            <w:bookmarkEnd w:id="5"/>
            <w:r>
              <w:t>Report by the Secretary-General</w:t>
            </w:r>
          </w:p>
        </w:tc>
      </w:tr>
      <w:tr w:rsidR="00F671E9" w:rsidRPr="00813E5E" w14:paraId="343E0311" w14:textId="77777777">
        <w:trPr>
          <w:cantSplit/>
        </w:trPr>
        <w:tc>
          <w:tcPr>
            <w:tcW w:w="10031" w:type="dxa"/>
            <w:gridSpan w:val="2"/>
          </w:tcPr>
          <w:p w14:paraId="1AF4967D" w14:textId="77777777" w:rsidR="00F671E9" w:rsidRPr="00813E5E" w:rsidRDefault="00F671E9" w:rsidP="00F671E9">
            <w:pPr>
              <w:pStyle w:val="Title1"/>
            </w:pPr>
            <w:bookmarkStart w:id="7" w:name="dtitle1" w:colFirst="0" w:colLast="0"/>
            <w:bookmarkEnd w:id="6"/>
            <w:r>
              <w:t>THE AFTER-SERVICE HEALTH INSURANCE (ASHI) LIABILITY</w:t>
            </w:r>
          </w:p>
        </w:tc>
      </w:tr>
      <w:bookmarkEnd w:id="7"/>
    </w:tbl>
    <w:p w14:paraId="4A086BDB" w14:textId="77777777" w:rsidR="006415CC" w:rsidRPr="00813E5E" w:rsidRDefault="006415C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415CC" w:rsidRPr="00813E5E" w14:paraId="54C80B9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01E91BE" w14:textId="77777777" w:rsidR="006415CC" w:rsidRPr="00813E5E" w:rsidRDefault="006415CC">
            <w:pPr>
              <w:pStyle w:val="Headingb"/>
            </w:pPr>
            <w:r w:rsidRPr="00813E5E">
              <w:t>Summary</w:t>
            </w:r>
          </w:p>
          <w:p w14:paraId="6FC9F00D" w14:textId="51130A2A" w:rsidR="006415CC" w:rsidRDefault="006415CC" w:rsidP="00726100">
            <w:pPr>
              <w:jc w:val="both"/>
            </w:pPr>
            <w:r w:rsidRPr="006415CC">
              <w:t>This document presents the situation of the After-Service Health Insurance (ASHI) liability as of 31 December 20</w:t>
            </w:r>
            <w:r w:rsidR="001925F8">
              <w:t>20</w:t>
            </w:r>
            <w:r w:rsidRPr="006415CC">
              <w:t>, following a request made by Council-14 to receive annual reports from ITU on ASHI liability and to present cost proposals to partially fund this liability, consistent with Recommendation 6 of the External Auditor’s reports on the accounts for 2012.</w:t>
            </w:r>
          </w:p>
          <w:p w14:paraId="008369D1" w14:textId="0EC44218" w:rsidR="00A97B5B" w:rsidRPr="00990A04" w:rsidRDefault="00A97B5B" w:rsidP="00A97B5B">
            <w:pPr>
              <w:jc w:val="both"/>
              <w:rPr>
                <w:rFonts w:asciiTheme="minorHAnsi" w:hAnsiTheme="minorHAnsi" w:cstheme="minorHAnsi"/>
                <w:sz w:val="28"/>
                <w:szCs w:val="28"/>
              </w:rPr>
            </w:pPr>
            <w:r w:rsidRPr="008B23F4">
              <w:rPr>
                <w:rFonts w:asciiTheme="minorHAnsi" w:hAnsiTheme="minorHAnsi" w:cstheme="minorHAnsi"/>
                <w:szCs w:val="24"/>
              </w:rPr>
              <w:t xml:space="preserve">The 2020 version of this </w:t>
            </w:r>
            <w:r w:rsidRPr="002340EB">
              <w:rPr>
                <w:rFonts w:asciiTheme="minorHAnsi" w:hAnsiTheme="minorHAnsi" w:cstheme="minorHAnsi"/>
                <w:szCs w:val="24"/>
              </w:rPr>
              <w:t>report (</w:t>
            </w:r>
            <w:hyperlink r:id="rId9" w:history="1">
              <w:r w:rsidRPr="00F27030">
                <w:rPr>
                  <w:rStyle w:val="Hyperlink"/>
                  <w:rFonts w:asciiTheme="minorHAnsi" w:hAnsiTheme="minorHAnsi" w:cstheme="minorHAnsi"/>
                  <w:szCs w:val="24"/>
                </w:rPr>
                <w:t>C20/46</w:t>
              </w:r>
              <w:r w:rsidR="00AB2738" w:rsidRPr="00F27030">
                <w:rPr>
                  <w:rStyle w:val="Hyperlink"/>
                  <w:rFonts w:asciiTheme="minorHAnsi" w:hAnsiTheme="minorHAnsi" w:cstheme="minorHAnsi"/>
                  <w:szCs w:val="24"/>
                </w:rPr>
                <w:t>(Rev.1)</w:t>
              </w:r>
            </w:hyperlink>
            <w:r w:rsidRPr="002340EB">
              <w:rPr>
                <w:rFonts w:asciiTheme="minorHAnsi" w:hAnsiTheme="minorHAnsi" w:cstheme="minorHAnsi"/>
                <w:szCs w:val="24"/>
              </w:rPr>
              <w:t>) was</w:t>
            </w:r>
            <w:r w:rsidRPr="008B23F4">
              <w:rPr>
                <w:rFonts w:asciiTheme="minorHAnsi" w:hAnsiTheme="minorHAnsi" w:cstheme="minorHAnsi"/>
                <w:szCs w:val="24"/>
              </w:rPr>
              <w:t xml:space="preserve"> prepared for submission to </w:t>
            </w:r>
            <w:r w:rsidR="007E7A9A">
              <w:rPr>
                <w:rFonts w:asciiTheme="minorHAnsi" w:hAnsiTheme="minorHAnsi" w:cstheme="minorHAnsi"/>
                <w:szCs w:val="24"/>
              </w:rPr>
              <w:t xml:space="preserve">the </w:t>
            </w:r>
            <w:r w:rsidRPr="008B23F4">
              <w:rPr>
                <w:rFonts w:asciiTheme="minorHAnsi" w:hAnsiTheme="minorHAnsi" w:cstheme="minorHAnsi"/>
                <w:szCs w:val="24"/>
              </w:rPr>
              <w:t>2020 session of the Council but was not reviewed.</w:t>
            </w:r>
          </w:p>
          <w:p w14:paraId="310B0E3F" w14:textId="77777777" w:rsidR="006415CC" w:rsidRPr="00813E5E" w:rsidRDefault="006415CC" w:rsidP="00851D0D">
            <w:pPr>
              <w:pStyle w:val="Headingb"/>
              <w:jc w:val="both"/>
            </w:pPr>
            <w:r w:rsidRPr="00813E5E">
              <w:t xml:space="preserve">Action </w:t>
            </w:r>
            <w:proofErr w:type="gramStart"/>
            <w:r w:rsidRPr="00813E5E">
              <w:t>required</w:t>
            </w:r>
            <w:proofErr w:type="gramEnd"/>
          </w:p>
          <w:p w14:paraId="102E538B" w14:textId="1A284D17" w:rsidR="006415CC" w:rsidRPr="00813E5E" w:rsidRDefault="006415CC" w:rsidP="00851D0D">
            <w:pPr>
              <w:jc w:val="both"/>
            </w:pPr>
            <w:r w:rsidRPr="006415CC">
              <w:t xml:space="preserve">The Council is invited to </w:t>
            </w:r>
            <w:r w:rsidRPr="006415CC">
              <w:rPr>
                <w:b/>
                <w:bCs/>
              </w:rPr>
              <w:t>take note</w:t>
            </w:r>
            <w:r w:rsidRPr="006415CC">
              <w:t xml:space="preserve"> of this document</w:t>
            </w:r>
            <w:r w:rsidRPr="008B23F4">
              <w:t>.</w:t>
            </w:r>
            <w:r w:rsidR="00A97B5B" w:rsidRPr="008B23F4">
              <w:t xml:space="preserve"> </w:t>
            </w:r>
            <w:r w:rsidR="00A97B5B" w:rsidRPr="008B23F4">
              <w:rPr>
                <w:szCs w:val="24"/>
                <w:lang w:val="en-US"/>
              </w:rPr>
              <w:t xml:space="preserve">The Council is also invited to note </w:t>
            </w:r>
            <w:r w:rsidR="00A97B5B" w:rsidRPr="002340EB">
              <w:rPr>
                <w:szCs w:val="24"/>
                <w:lang w:val="en-US"/>
              </w:rPr>
              <w:t>document C20/46</w:t>
            </w:r>
            <w:r w:rsidR="007E7A9A" w:rsidRPr="002340EB">
              <w:rPr>
                <w:szCs w:val="24"/>
                <w:lang w:val="en-US"/>
              </w:rPr>
              <w:t>(Rev.1).</w:t>
            </w:r>
          </w:p>
          <w:p w14:paraId="5C47A801" w14:textId="77777777" w:rsidR="006415CC" w:rsidRPr="00813E5E" w:rsidRDefault="006415CC">
            <w:pPr>
              <w:pStyle w:val="Table"/>
              <w:keepNext w:val="0"/>
              <w:spacing w:before="0" w:after="0"/>
              <w:rPr>
                <w:rFonts w:ascii="Calibri" w:hAnsi="Calibri"/>
                <w:caps w:val="0"/>
                <w:sz w:val="22"/>
              </w:rPr>
            </w:pPr>
            <w:r w:rsidRPr="00813E5E">
              <w:rPr>
                <w:rFonts w:ascii="Calibri" w:hAnsi="Calibri"/>
                <w:caps w:val="0"/>
                <w:sz w:val="22"/>
              </w:rPr>
              <w:t>____________</w:t>
            </w:r>
          </w:p>
          <w:p w14:paraId="44050428" w14:textId="77777777" w:rsidR="006415CC" w:rsidRPr="00813E5E" w:rsidRDefault="006415CC">
            <w:pPr>
              <w:pStyle w:val="Headingb"/>
            </w:pPr>
            <w:bookmarkStart w:id="8" w:name="_Hlk38445415"/>
            <w:r w:rsidRPr="00813E5E">
              <w:t>References</w:t>
            </w:r>
          </w:p>
          <w:p w14:paraId="0F7D4B8D" w14:textId="172231F1" w:rsidR="006415CC" w:rsidRPr="00813E5E" w:rsidRDefault="00F27030" w:rsidP="00BB6F62">
            <w:pPr>
              <w:spacing w:after="120"/>
              <w:rPr>
                <w:i/>
                <w:iCs/>
              </w:rPr>
            </w:pPr>
            <w:hyperlink r:id="rId10" w:history="1">
              <w:r w:rsidR="007A3ACE" w:rsidRPr="007A3ACE">
                <w:rPr>
                  <w:rStyle w:val="Hyperlink"/>
                  <w:szCs w:val="24"/>
                </w:rPr>
                <w:t>C</w:t>
              </w:r>
              <w:r w:rsidR="001925F8">
                <w:rPr>
                  <w:rStyle w:val="Hyperlink"/>
                  <w:szCs w:val="24"/>
                </w:rPr>
                <w:t>20</w:t>
              </w:r>
              <w:r w:rsidR="007A3ACE" w:rsidRPr="007A3ACE">
                <w:rPr>
                  <w:rStyle w:val="Hyperlink"/>
                  <w:szCs w:val="24"/>
                </w:rPr>
                <w:t>/46</w:t>
              </w:r>
            </w:hyperlink>
            <w:r w:rsidR="00AB2738">
              <w:rPr>
                <w:rStyle w:val="Hyperlink"/>
                <w:szCs w:val="24"/>
              </w:rPr>
              <w:t>(Rev.1)</w:t>
            </w:r>
            <w:r w:rsidR="006415CC" w:rsidRPr="0004200C">
              <w:rPr>
                <w:color w:val="000000" w:themeColor="text1"/>
                <w:szCs w:val="24"/>
              </w:rPr>
              <w:t xml:space="preserve"> and </w:t>
            </w:r>
            <w:hyperlink r:id="rId11" w:history="1">
              <w:r w:rsidR="006415CC" w:rsidRPr="0066626F">
                <w:rPr>
                  <w:rStyle w:val="Hyperlink"/>
                  <w:szCs w:val="24"/>
                </w:rPr>
                <w:t>Decision 5</w:t>
              </w:r>
            </w:hyperlink>
            <w:r w:rsidR="006415CC" w:rsidRPr="0004200C">
              <w:rPr>
                <w:color w:val="000000" w:themeColor="text1"/>
                <w:szCs w:val="24"/>
              </w:rPr>
              <w:t xml:space="preserve"> (Rev. </w:t>
            </w:r>
            <w:r w:rsidR="00BB6F62">
              <w:rPr>
                <w:color w:val="000000" w:themeColor="text1"/>
                <w:szCs w:val="24"/>
              </w:rPr>
              <w:t>Dubai,</w:t>
            </w:r>
            <w:r w:rsidR="006415CC" w:rsidRPr="0004200C">
              <w:rPr>
                <w:color w:val="000000" w:themeColor="text1"/>
                <w:szCs w:val="24"/>
              </w:rPr>
              <w:t xml:space="preserve"> 201</w:t>
            </w:r>
            <w:r w:rsidR="00BB6F62">
              <w:rPr>
                <w:color w:val="000000" w:themeColor="text1"/>
                <w:szCs w:val="24"/>
              </w:rPr>
              <w:t>8</w:t>
            </w:r>
            <w:r w:rsidR="006415CC" w:rsidRPr="0004200C">
              <w:rPr>
                <w:color w:val="000000" w:themeColor="text1"/>
                <w:szCs w:val="24"/>
              </w:rPr>
              <w:t>)</w:t>
            </w:r>
            <w:bookmarkEnd w:id="8"/>
          </w:p>
        </w:tc>
      </w:tr>
    </w:tbl>
    <w:p w14:paraId="197219AB" w14:textId="77777777" w:rsidR="006415CC" w:rsidRPr="006E7601" w:rsidRDefault="006415CC" w:rsidP="006415CC">
      <w:pPr>
        <w:tabs>
          <w:tab w:val="clear" w:pos="567"/>
          <w:tab w:val="clear" w:pos="1134"/>
          <w:tab w:val="clear" w:pos="1701"/>
          <w:tab w:val="clear" w:pos="2268"/>
          <w:tab w:val="clear" w:pos="2835"/>
        </w:tabs>
        <w:snapToGrid w:val="0"/>
        <w:spacing w:before="600" w:after="120"/>
        <w:jc w:val="both"/>
        <w:rPr>
          <w:b/>
          <w:bCs/>
          <w:szCs w:val="24"/>
        </w:rPr>
      </w:pPr>
      <w:bookmarkStart w:id="9" w:name="dstart"/>
      <w:bookmarkStart w:id="10" w:name="dbreak"/>
      <w:bookmarkEnd w:id="9"/>
      <w:bookmarkEnd w:id="10"/>
      <w:r>
        <w:rPr>
          <w:b/>
          <w:bCs/>
          <w:szCs w:val="24"/>
        </w:rPr>
        <w:t>1</w:t>
      </w:r>
      <w:r>
        <w:rPr>
          <w:b/>
          <w:bCs/>
          <w:szCs w:val="24"/>
        </w:rPr>
        <w:tab/>
      </w:r>
      <w:r w:rsidRPr="006E7601">
        <w:rPr>
          <w:b/>
          <w:bCs/>
          <w:szCs w:val="24"/>
        </w:rPr>
        <w:t>Introduction</w:t>
      </w:r>
    </w:p>
    <w:p w14:paraId="494F7F3A" w14:textId="77777777" w:rsidR="006415CC" w:rsidRPr="006E760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1.1</w:t>
      </w:r>
      <w:r>
        <w:rPr>
          <w:szCs w:val="24"/>
        </w:rPr>
        <w:tab/>
      </w:r>
      <w:r w:rsidRPr="006E7601">
        <w:rPr>
          <w:szCs w:val="24"/>
        </w:rPr>
        <w:t xml:space="preserve">ITU Net Assets have evolved from a positive to a negative balance due to the treatment of the ASHI obligation under IPSAS, triggering the mandatory recognition of the present value of the future obligation related to </w:t>
      </w:r>
      <w:r w:rsidRPr="00C6705D">
        <w:rPr>
          <w:szCs w:val="24"/>
        </w:rPr>
        <w:t xml:space="preserve">After-Service Health Insurance </w:t>
      </w:r>
      <w:r>
        <w:rPr>
          <w:szCs w:val="24"/>
        </w:rPr>
        <w:t>(</w:t>
      </w:r>
      <w:r w:rsidRPr="006E7601">
        <w:rPr>
          <w:szCs w:val="24"/>
        </w:rPr>
        <w:t>ASHI</w:t>
      </w:r>
      <w:r>
        <w:rPr>
          <w:szCs w:val="24"/>
        </w:rPr>
        <w:t>)</w:t>
      </w:r>
      <w:r w:rsidRPr="006E7601">
        <w:rPr>
          <w:szCs w:val="24"/>
        </w:rPr>
        <w:t>.</w:t>
      </w:r>
    </w:p>
    <w:p w14:paraId="09D0A033" w14:textId="77777777" w:rsidR="006415CC" w:rsidRPr="00AF2E69" w:rsidRDefault="006415CC" w:rsidP="00F329B8">
      <w:pPr>
        <w:tabs>
          <w:tab w:val="clear" w:pos="567"/>
          <w:tab w:val="clear" w:pos="1134"/>
          <w:tab w:val="clear" w:pos="1701"/>
          <w:tab w:val="clear" w:pos="2268"/>
          <w:tab w:val="clear" w:pos="2835"/>
        </w:tabs>
        <w:snapToGrid w:val="0"/>
        <w:spacing w:after="120"/>
        <w:jc w:val="both"/>
        <w:rPr>
          <w:szCs w:val="24"/>
        </w:rPr>
      </w:pPr>
      <w:r>
        <w:rPr>
          <w:szCs w:val="24"/>
        </w:rPr>
        <w:t>1.2</w:t>
      </w:r>
      <w:r>
        <w:rPr>
          <w:szCs w:val="24"/>
        </w:rPr>
        <w:tab/>
      </w:r>
      <w:r w:rsidRPr="006E7601">
        <w:rPr>
          <w:szCs w:val="24"/>
        </w:rPr>
        <w:t>The ASHI program</w:t>
      </w:r>
      <w:r>
        <w:rPr>
          <w:szCs w:val="24"/>
        </w:rPr>
        <w:t>me</w:t>
      </w:r>
      <w:r w:rsidRPr="006E7601">
        <w:rPr>
          <w:szCs w:val="24"/>
        </w:rPr>
        <w:t xml:space="preserve">, </w:t>
      </w:r>
      <w:r w:rsidR="00D330EF">
        <w:rPr>
          <w:szCs w:val="24"/>
        </w:rPr>
        <w:t xml:space="preserve">which was </w:t>
      </w:r>
      <w:r w:rsidR="002F098E" w:rsidRPr="006E7601">
        <w:rPr>
          <w:szCs w:val="24"/>
        </w:rPr>
        <w:t xml:space="preserve">set </w:t>
      </w:r>
      <w:r w:rsidR="002F098E">
        <w:rPr>
          <w:szCs w:val="24"/>
        </w:rPr>
        <w:t xml:space="preserve">up </w:t>
      </w:r>
      <w:r w:rsidR="002F098E" w:rsidRPr="006E7601">
        <w:rPr>
          <w:szCs w:val="24"/>
        </w:rPr>
        <w:t>in 1967</w:t>
      </w:r>
      <w:r w:rsidR="002F098E">
        <w:rPr>
          <w:szCs w:val="24"/>
        </w:rPr>
        <w:t xml:space="preserve">, </w:t>
      </w:r>
      <w:r w:rsidRPr="006E7601">
        <w:rPr>
          <w:szCs w:val="24"/>
        </w:rPr>
        <w:t>provid</w:t>
      </w:r>
      <w:r w:rsidR="002F098E">
        <w:rPr>
          <w:szCs w:val="24"/>
        </w:rPr>
        <w:t>es</w:t>
      </w:r>
      <w:r w:rsidRPr="006E7601">
        <w:rPr>
          <w:szCs w:val="24"/>
        </w:rPr>
        <w:t xml:space="preserve"> a continuation of </w:t>
      </w:r>
      <w:r>
        <w:rPr>
          <w:szCs w:val="24"/>
        </w:rPr>
        <w:t>h</w:t>
      </w:r>
      <w:r w:rsidRPr="006E7601">
        <w:rPr>
          <w:szCs w:val="24"/>
        </w:rPr>
        <w:t xml:space="preserve">ealth </w:t>
      </w:r>
      <w:r>
        <w:rPr>
          <w:szCs w:val="24"/>
        </w:rPr>
        <w:t>i</w:t>
      </w:r>
      <w:r w:rsidRPr="006E7601">
        <w:rPr>
          <w:szCs w:val="24"/>
        </w:rPr>
        <w:t>nsurance after retirement for eligible employees in the form of a self-funded program</w:t>
      </w:r>
      <w:r>
        <w:rPr>
          <w:szCs w:val="24"/>
        </w:rPr>
        <w:t>me</w:t>
      </w:r>
      <w:r w:rsidRPr="006E7601">
        <w:rPr>
          <w:szCs w:val="24"/>
        </w:rPr>
        <w:t xml:space="preserve">. Since then, </w:t>
      </w:r>
      <w:r w:rsidR="002F098E" w:rsidRPr="006E7601">
        <w:rPr>
          <w:szCs w:val="24"/>
        </w:rPr>
        <w:t>the increase of the population of retirees covered and the increase in medical costs</w:t>
      </w:r>
      <w:r w:rsidR="002F098E">
        <w:rPr>
          <w:szCs w:val="24"/>
        </w:rPr>
        <w:t xml:space="preserve"> ha</w:t>
      </w:r>
      <w:r w:rsidR="00D330EF">
        <w:rPr>
          <w:szCs w:val="24"/>
        </w:rPr>
        <w:t>ve</w:t>
      </w:r>
      <w:r w:rsidR="002F098E">
        <w:rPr>
          <w:szCs w:val="24"/>
        </w:rPr>
        <w:t xml:space="preserve"> </w:t>
      </w:r>
      <w:r w:rsidR="00D8512D">
        <w:rPr>
          <w:szCs w:val="24"/>
        </w:rPr>
        <w:t>triggered</w:t>
      </w:r>
      <w:r w:rsidR="002F098E">
        <w:rPr>
          <w:szCs w:val="24"/>
        </w:rPr>
        <w:t xml:space="preserve"> a </w:t>
      </w:r>
      <w:r w:rsidR="002F098E" w:rsidRPr="006E7601">
        <w:rPr>
          <w:szCs w:val="24"/>
        </w:rPr>
        <w:t>considerably increase</w:t>
      </w:r>
      <w:r w:rsidR="002F098E">
        <w:rPr>
          <w:szCs w:val="24"/>
        </w:rPr>
        <w:t xml:space="preserve"> </w:t>
      </w:r>
      <w:r w:rsidR="00D330EF">
        <w:rPr>
          <w:szCs w:val="24"/>
        </w:rPr>
        <w:t>in</w:t>
      </w:r>
      <w:r w:rsidR="002F098E">
        <w:rPr>
          <w:szCs w:val="24"/>
        </w:rPr>
        <w:t xml:space="preserve"> the</w:t>
      </w:r>
      <w:r w:rsidRPr="006E7601">
        <w:rPr>
          <w:szCs w:val="24"/>
        </w:rPr>
        <w:t xml:space="preserve"> related costs shared between the Union and the staff</w:t>
      </w:r>
      <w:r w:rsidR="00BA260F">
        <w:rPr>
          <w:szCs w:val="24"/>
        </w:rPr>
        <w:t>.</w:t>
      </w:r>
    </w:p>
    <w:p w14:paraId="239E8CFC" w14:textId="2161DFDD" w:rsidR="006415CC" w:rsidRPr="006E7601" w:rsidRDefault="006415CC" w:rsidP="00A314D7">
      <w:pPr>
        <w:tabs>
          <w:tab w:val="clear" w:pos="567"/>
          <w:tab w:val="clear" w:pos="1134"/>
          <w:tab w:val="clear" w:pos="1701"/>
          <w:tab w:val="clear" w:pos="2268"/>
          <w:tab w:val="clear" w:pos="2835"/>
        </w:tabs>
        <w:snapToGrid w:val="0"/>
        <w:spacing w:after="120"/>
        <w:jc w:val="both"/>
        <w:rPr>
          <w:szCs w:val="24"/>
        </w:rPr>
      </w:pPr>
      <w:r>
        <w:rPr>
          <w:szCs w:val="24"/>
        </w:rPr>
        <w:t>1.</w:t>
      </w:r>
      <w:r w:rsidR="00AF2E69">
        <w:rPr>
          <w:szCs w:val="24"/>
        </w:rPr>
        <w:t>3</w:t>
      </w:r>
      <w:r>
        <w:rPr>
          <w:szCs w:val="24"/>
        </w:rPr>
        <w:tab/>
      </w:r>
      <w:r w:rsidR="00A564CB">
        <w:rPr>
          <w:szCs w:val="24"/>
        </w:rPr>
        <w:t>T</w:t>
      </w:r>
      <w:r w:rsidR="00F14916">
        <w:rPr>
          <w:szCs w:val="24"/>
        </w:rPr>
        <w:t xml:space="preserve">he ASHI liability </w:t>
      </w:r>
      <w:r w:rsidR="00F14916" w:rsidRPr="00F14916">
        <w:rPr>
          <w:szCs w:val="24"/>
        </w:rPr>
        <w:t>reflect</w:t>
      </w:r>
      <w:r w:rsidR="001F72FB">
        <w:rPr>
          <w:szCs w:val="24"/>
        </w:rPr>
        <w:t>s</w:t>
      </w:r>
      <w:r w:rsidR="00F14916" w:rsidRPr="00F14916">
        <w:rPr>
          <w:szCs w:val="24"/>
        </w:rPr>
        <w:t xml:space="preserve"> at the closing date the present value of what ITU should pay today in case of cessation of activity</w:t>
      </w:r>
      <w:r w:rsidR="00A314D7">
        <w:rPr>
          <w:szCs w:val="24"/>
        </w:rPr>
        <w:t xml:space="preserve">. </w:t>
      </w:r>
      <w:r w:rsidRPr="006E7601">
        <w:rPr>
          <w:szCs w:val="24"/>
        </w:rPr>
        <w:t xml:space="preserve">Although this situation is highly improbable, the Union is aiming to increase the fund coverage and thus reduce the related obligation. Actions have been taken </w:t>
      </w:r>
      <w:proofErr w:type="gramStart"/>
      <w:r w:rsidRPr="006E7601">
        <w:rPr>
          <w:szCs w:val="24"/>
        </w:rPr>
        <w:t>in order to</w:t>
      </w:r>
      <w:proofErr w:type="gramEnd"/>
      <w:r w:rsidRPr="006E7601">
        <w:rPr>
          <w:szCs w:val="24"/>
        </w:rPr>
        <w:t xml:space="preserve"> return to a situation where the </w:t>
      </w:r>
      <w:r>
        <w:rPr>
          <w:szCs w:val="24"/>
        </w:rPr>
        <w:t>h</w:t>
      </w:r>
      <w:r w:rsidRPr="006E7601">
        <w:rPr>
          <w:szCs w:val="24"/>
        </w:rPr>
        <w:t xml:space="preserve">ealth </w:t>
      </w:r>
      <w:r>
        <w:rPr>
          <w:szCs w:val="24"/>
        </w:rPr>
        <w:t>i</w:t>
      </w:r>
      <w:r w:rsidRPr="006E7601">
        <w:rPr>
          <w:szCs w:val="24"/>
        </w:rPr>
        <w:t xml:space="preserve">nsurance plan presents surpluses </w:t>
      </w:r>
      <w:r w:rsidR="006C0087">
        <w:rPr>
          <w:szCs w:val="24"/>
        </w:rPr>
        <w:t xml:space="preserve">so </w:t>
      </w:r>
      <w:r w:rsidRPr="006E7601">
        <w:rPr>
          <w:szCs w:val="24"/>
        </w:rPr>
        <w:t xml:space="preserve">to ensure the coverage on </w:t>
      </w:r>
      <w:r w:rsidR="004304E7">
        <w:rPr>
          <w:szCs w:val="24"/>
        </w:rPr>
        <w:t xml:space="preserve">a </w:t>
      </w:r>
      <w:r w:rsidRPr="006E7601">
        <w:rPr>
          <w:szCs w:val="24"/>
        </w:rPr>
        <w:t>pay-as-you-go basis and create resources available to fund the actuarial liability.</w:t>
      </w:r>
    </w:p>
    <w:p w14:paraId="14936BD4" w14:textId="1B816592" w:rsidR="00374AD4" w:rsidRDefault="006415CC" w:rsidP="00574E74">
      <w:pPr>
        <w:tabs>
          <w:tab w:val="clear" w:pos="567"/>
          <w:tab w:val="clear" w:pos="1134"/>
          <w:tab w:val="clear" w:pos="1701"/>
          <w:tab w:val="clear" w:pos="2268"/>
          <w:tab w:val="clear" w:pos="2835"/>
        </w:tabs>
        <w:snapToGrid w:val="0"/>
        <w:spacing w:after="120"/>
        <w:jc w:val="both"/>
        <w:rPr>
          <w:szCs w:val="24"/>
        </w:rPr>
      </w:pPr>
      <w:r w:rsidRPr="00BD5EA0">
        <w:rPr>
          <w:szCs w:val="24"/>
        </w:rPr>
        <w:lastRenderedPageBreak/>
        <w:t>1.</w:t>
      </w:r>
      <w:r w:rsidR="00AF2E69" w:rsidRPr="00BD5EA0">
        <w:rPr>
          <w:szCs w:val="24"/>
        </w:rPr>
        <w:t>4</w:t>
      </w:r>
      <w:r>
        <w:rPr>
          <w:szCs w:val="24"/>
        </w:rPr>
        <w:tab/>
      </w:r>
      <w:r w:rsidRPr="006E7601">
        <w:rPr>
          <w:szCs w:val="24"/>
        </w:rPr>
        <w:t>The ASHI</w:t>
      </w:r>
      <w:r>
        <w:rPr>
          <w:szCs w:val="24"/>
        </w:rPr>
        <w:t>-</w:t>
      </w:r>
      <w:r w:rsidRPr="006E7601">
        <w:rPr>
          <w:szCs w:val="24"/>
        </w:rPr>
        <w:t xml:space="preserve">related obligation as of 31 </w:t>
      </w:r>
      <w:r>
        <w:rPr>
          <w:szCs w:val="24"/>
        </w:rPr>
        <w:t>December 20</w:t>
      </w:r>
      <w:r w:rsidR="001925F8">
        <w:rPr>
          <w:szCs w:val="24"/>
        </w:rPr>
        <w:t>20</w:t>
      </w:r>
      <w:r>
        <w:rPr>
          <w:szCs w:val="24"/>
        </w:rPr>
        <w:t xml:space="preserve"> amounts to CHF </w:t>
      </w:r>
      <w:r w:rsidR="00440CD8">
        <w:rPr>
          <w:szCs w:val="24"/>
        </w:rPr>
        <w:t>6</w:t>
      </w:r>
      <w:r w:rsidR="001925F8">
        <w:rPr>
          <w:szCs w:val="24"/>
        </w:rPr>
        <w:t>31</w:t>
      </w:r>
      <w:r>
        <w:rPr>
          <w:szCs w:val="24"/>
        </w:rPr>
        <w:t>.</w:t>
      </w:r>
      <w:r w:rsidR="00440CD8">
        <w:rPr>
          <w:szCs w:val="24"/>
        </w:rPr>
        <w:t>8</w:t>
      </w:r>
      <w:r w:rsidR="00C47E2F">
        <w:rPr>
          <w:szCs w:val="24"/>
        </w:rPr>
        <w:t>7</w:t>
      </w:r>
      <w:r w:rsidRPr="006E7601">
        <w:rPr>
          <w:szCs w:val="24"/>
        </w:rPr>
        <w:t xml:space="preserve"> million. Thi</w:t>
      </w:r>
      <w:r>
        <w:rPr>
          <w:szCs w:val="24"/>
        </w:rPr>
        <w:t xml:space="preserve">s </w:t>
      </w:r>
      <w:r w:rsidR="00440CD8">
        <w:rPr>
          <w:szCs w:val="24"/>
        </w:rPr>
        <w:t xml:space="preserve">increase </w:t>
      </w:r>
      <w:r>
        <w:rPr>
          <w:szCs w:val="24"/>
        </w:rPr>
        <w:t>from CHF </w:t>
      </w:r>
      <w:r w:rsidR="00C47E2F">
        <w:rPr>
          <w:szCs w:val="24"/>
        </w:rPr>
        <w:t>611</w:t>
      </w:r>
      <w:r w:rsidR="00440CD8">
        <w:rPr>
          <w:szCs w:val="24"/>
        </w:rPr>
        <w:t>.</w:t>
      </w:r>
      <w:r w:rsidR="00C47E2F">
        <w:rPr>
          <w:szCs w:val="24"/>
        </w:rPr>
        <w:t>89</w:t>
      </w:r>
      <w:r w:rsidR="00726100">
        <w:rPr>
          <w:szCs w:val="24"/>
        </w:rPr>
        <w:t xml:space="preserve"> </w:t>
      </w:r>
      <w:r w:rsidRPr="006E7601">
        <w:rPr>
          <w:szCs w:val="24"/>
        </w:rPr>
        <w:t>million at the end of 201</w:t>
      </w:r>
      <w:r w:rsidR="00C47E2F">
        <w:rPr>
          <w:szCs w:val="24"/>
        </w:rPr>
        <w:t>9</w:t>
      </w:r>
      <w:r w:rsidR="00DE0646">
        <w:rPr>
          <w:szCs w:val="24"/>
        </w:rPr>
        <w:t xml:space="preserve"> </w:t>
      </w:r>
      <w:r w:rsidR="00726100">
        <w:rPr>
          <w:szCs w:val="24"/>
        </w:rPr>
        <w:t xml:space="preserve">to CHF </w:t>
      </w:r>
      <w:r w:rsidR="00440CD8">
        <w:rPr>
          <w:szCs w:val="24"/>
        </w:rPr>
        <w:t>6</w:t>
      </w:r>
      <w:r w:rsidR="00B759F2">
        <w:rPr>
          <w:szCs w:val="24"/>
        </w:rPr>
        <w:t>31</w:t>
      </w:r>
      <w:r w:rsidR="00440CD8">
        <w:rPr>
          <w:szCs w:val="24"/>
        </w:rPr>
        <w:t>.8</w:t>
      </w:r>
      <w:r w:rsidR="00B759F2">
        <w:rPr>
          <w:szCs w:val="24"/>
        </w:rPr>
        <w:t>7</w:t>
      </w:r>
      <w:r w:rsidR="00726100">
        <w:rPr>
          <w:szCs w:val="24"/>
        </w:rPr>
        <w:t xml:space="preserve"> million in 20</w:t>
      </w:r>
      <w:r w:rsidR="00C47E2F">
        <w:rPr>
          <w:szCs w:val="24"/>
        </w:rPr>
        <w:t>20</w:t>
      </w:r>
      <w:r w:rsidR="00726100">
        <w:rPr>
          <w:szCs w:val="24"/>
        </w:rPr>
        <w:t xml:space="preserve"> </w:t>
      </w:r>
      <w:r w:rsidR="00DE0646">
        <w:rPr>
          <w:szCs w:val="24"/>
        </w:rPr>
        <w:t>could be explain</w:t>
      </w:r>
      <w:r w:rsidR="002346D0">
        <w:rPr>
          <w:szCs w:val="24"/>
        </w:rPr>
        <w:t>ed</w:t>
      </w:r>
      <w:r w:rsidR="00DE0646">
        <w:rPr>
          <w:szCs w:val="24"/>
        </w:rPr>
        <w:t xml:space="preserve"> by different factors. </w:t>
      </w:r>
      <w:r w:rsidR="00440CD8">
        <w:rPr>
          <w:szCs w:val="24"/>
        </w:rPr>
        <w:t xml:space="preserve">The main element impacting the valuation of the ASHI is the discount rate which is used </w:t>
      </w:r>
      <w:r w:rsidR="00440CD8" w:rsidRPr="006E7601">
        <w:rPr>
          <w:szCs w:val="24"/>
        </w:rPr>
        <w:t>to calculate the present value of the future cumulated claims</w:t>
      </w:r>
      <w:r w:rsidR="00440CD8">
        <w:rPr>
          <w:szCs w:val="24"/>
        </w:rPr>
        <w:t>. In 20</w:t>
      </w:r>
      <w:r w:rsidR="00B759F2">
        <w:rPr>
          <w:szCs w:val="24"/>
        </w:rPr>
        <w:t>20</w:t>
      </w:r>
      <w:r w:rsidR="004304E7">
        <w:rPr>
          <w:szCs w:val="24"/>
        </w:rPr>
        <w:t>,</w:t>
      </w:r>
      <w:r w:rsidR="00440CD8">
        <w:rPr>
          <w:szCs w:val="24"/>
        </w:rPr>
        <w:t xml:space="preserve"> the discount rate decreased </w:t>
      </w:r>
      <w:r w:rsidR="00726100">
        <w:rPr>
          <w:szCs w:val="24"/>
        </w:rPr>
        <w:t>fr</w:t>
      </w:r>
      <w:r w:rsidR="00143256">
        <w:rPr>
          <w:szCs w:val="24"/>
        </w:rPr>
        <w:t>om</w:t>
      </w:r>
      <w:r w:rsidR="00DE0646">
        <w:rPr>
          <w:szCs w:val="24"/>
        </w:rPr>
        <w:t xml:space="preserve"> </w:t>
      </w:r>
      <w:r w:rsidR="00C47E2F">
        <w:rPr>
          <w:szCs w:val="24"/>
        </w:rPr>
        <w:t>0.6</w:t>
      </w:r>
      <w:r w:rsidR="00574E74">
        <w:rPr>
          <w:szCs w:val="24"/>
        </w:rPr>
        <w:t xml:space="preserve"> per cent</w:t>
      </w:r>
      <w:r w:rsidR="00DE0646">
        <w:rPr>
          <w:szCs w:val="24"/>
        </w:rPr>
        <w:t xml:space="preserve"> to </w:t>
      </w:r>
      <w:r w:rsidR="00440CD8">
        <w:rPr>
          <w:szCs w:val="24"/>
        </w:rPr>
        <w:t>0.</w:t>
      </w:r>
      <w:r w:rsidR="00C47E2F">
        <w:rPr>
          <w:szCs w:val="24"/>
        </w:rPr>
        <w:t>2</w:t>
      </w:r>
      <w:r w:rsidR="00574E74">
        <w:rPr>
          <w:szCs w:val="24"/>
        </w:rPr>
        <w:t xml:space="preserve"> per cen</w:t>
      </w:r>
      <w:r w:rsidR="00440CD8">
        <w:rPr>
          <w:szCs w:val="24"/>
        </w:rPr>
        <w:t>t.</w:t>
      </w:r>
    </w:p>
    <w:p w14:paraId="4BB59EE2" w14:textId="1C29E3BA" w:rsidR="00B759F2" w:rsidRPr="00F329B8" w:rsidRDefault="00F329B8" w:rsidP="00F329B8">
      <w:pPr>
        <w:tabs>
          <w:tab w:val="clear" w:pos="567"/>
          <w:tab w:val="clear" w:pos="1134"/>
          <w:tab w:val="clear" w:pos="1701"/>
          <w:tab w:val="clear" w:pos="2268"/>
          <w:tab w:val="clear" w:pos="2835"/>
        </w:tabs>
        <w:snapToGrid w:val="0"/>
        <w:spacing w:after="120"/>
        <w:jc w:val="both"/>
        <w:rPr>
          <w:szCs w:val="24"/>
          <w:lang w:val="en-US"/>
        </w:rPr>
      </w:pPr>
      <w:r>
        <w:rPr>
          <w:szCs w:val="24"/>
        </w:rPr>
        <w:t>1.5</w:t>
      </w:r>
      <w:r>
        <w:rPr>
          <w:szCs w:val="24"/>
        </w:rPr>
        <w:tab/>
      </w:r>
      <w:r w:rsidR="00B759F2" w:rsidRPr="00F329B8">
        <w:rPr>
          <w:szCs w:val="24"/>
        </w:rPr>
        <w:t>A second element which has impacted the ASHI liability in 2020</w:t>
      </w:r>
      <w:r>
        <w:rPr>
          <w:szCs w:val="24"/>
        </w:rPr>
        <w:t>,</w:t>
      </w:r>
      <w:r w:rsidR="00B759F2" w:rsidRPr="00F329B8">
        <w:rPr>
          <w:szCs w:val="24"/>
        </w:rPr>
        <w:t xml:space="preserve"> is the level of contributions. As the </w:t>
      </w:r>
      <w:r w:rsidR="00C6105E" w:rsidRPr="00F329B8">
        <w:rPr>
          <w:lang w:val="en-US"/>
        </w:rPr>
        <w:t>average</w:t>
      </w:r>
      <w:r w:rsidR="00B759F2" w:rsidRPr="00F329B8">
        <w:rPr>
          <w:lang w:val="en-US"/>
        </w:rPr>
        <w:t xml:space="preserve"> salaries and pensions denominated in CHF are lower than in the last full valuation in 2018, the premium paid are also lower leading to losses on the ASHI</w:t>
      </w:r>
      <w:r w:rsidR="001A0373" w:rsidRPr="00F329B8">
        <w:rPr>
          <w:lang w:val="en-US"/>
        </w:rPr>
        <w:t xml:space="preserve"> liability.</w:t>
      </w:r>
    </w:p>
    <w:p w14:paraId="180CE7C1" w14:textId="6B740A99" w:rsidR="002163F5" w:rsidRPr="006E7601" w:rsidRDefault="002163F5" w:rsidP="00F329B8">
      <w:pPr>
        <w:tabs>
          <w:tab w:val="clear" w:pos="567"/>
          <w:tab w:val="clear" w:pos="1134"/>
          <w:tab w:val="clear" w:pos="1701"/>
          <w:tab w:val="clear" w:pos="2268"/>
          <w:tab w:val="clear" w:pos="2835"/>
        </w:tabs>
        <w:snapToGrid w:val="0"/>
        <w:spacing w:before="240" w:after="120"/>
        <w:jc w:val="both"/>
        <w:rPr>
          <w:b/>
          <w:bCs/>
          <w:szCs w:val="24"/>
        </w:rPr>
      </w:pPr>
      <w:r>
        <w:rPr>
          <w:b/>
          <w:bCs/>
          <w:szCs w:val="24"/>
        </w:rPr>
        <w:t>2</w:t>
      </w:r>
      <w:r>
        <w:rPr>
          <w:b/>
          <w:bCs/>
          <w:szCs w:val="24"/>
        </w:rPr>
        <w:tab/>
        <w:t>Health medical plan in place at ITU</w:t>
      </w:r>
    </w:p>
    <w:p w14:paraId="3AD2F305" w14:textId="7DADF84A" w:rsidR="002163F5" w:rsidRDefault="002163F5" w:rsidP="002163F5">
      <w:pPr>
        <w:tabs>
          <w:tab w:val="clear" w:pos="567"/>
          <w:tab w:val="clear" w:pos="1134"/>
          <w:tab w:val="clear" w:pos="1701"/>
          <w:tab w:val="clear" w:pos="2268"/>
          <w:tab w:val="clear" w:pos="2835"/>
        </w:tabs>
        <w:snapToGrid w:val="0"/>
        <w:spacing w:after="120"/>
        <w:jc w:val="both"/>
        <w:rPr>
          <w:lang w:val="en-US"/>
        </w:rPr>
      </w:pPr>
      <w:bookmarkStart w:id="11" w:name="_Hlk38445388"/>
      <w:r>
        <w:rPr>
          <w:szCs w:val="24"/>
        </w:rPr>
        <w:t>2.1</w:t>
      </w:r>
      <w:r w:rsidR="00C67E33">
        <w:rPr>
          <w:szCs w:val="24"/>
        </w:rPr>
        <w:tab/>
      </w:r>
      <w:r w:rsidR="00C47E2F">
        <w:rPr>
          <w:szCs w:val="24"/>
        </w:rPr>
        <w:t xml:space="preserve">In January </w:t>
      </w:r>
      <w:r w:rsidR="00440CD8">
        <w:rPr>
          <w:szCs w:val="24"/>
        </w:rPr>
        <w:t>20</w:t>
      </w:r>
      <w:r w:rsidR="00C47E2F">
        <w:rPr>
          <w:szCs w:val="24"/>
        </w:rPr>
        <w:t>20</w:t>
      </w:r>
      <w:r w:rsidR="004304E7">
        <w:rPr>
          <w:szCs w:val="24"/>
        </w:rPr>
        <w:t xml:space="preserve">, </w:t>
      </w:r>
      <w:r w:rsidR="00440CD8">
        <w:rPr>
          <w:szCs w:val="24"/>
        </w:rPr>
        <w:t xml:space="preserve">the ITU </w:t>
      </w:r>
      <w:r w:rsidR="00C47E2F">
        <w:rPr>
          <w:szCs w:val="24"/>
        </w:rPr>
        <w:t xml:space="preserve">integrated </w:t>
      </w:r>
      <w:r w:rsidR="00C47E2F" w:rsidRPr="00AE0D13">
        <w:rPr>
          <w:szCs w:val="24"/>
        </w:rPr>
        <w:t>the UNSMIS (United Nations Staff Mutual Insurance Society</w:t>
      </w:r>
      <w:r w:rsidR="00C47E2F">
        <w:rPr>
          <w:szCs w:val="24"/>
        </w:rPr>
        <w:t>)</w:t>
      </w:r>
      <w:r>
        <w:rPr>
          <w:szCs w:val="24"/>
        </w:rPr>
        <w:t xml:space="preserve">. </w:t>
      </w:r>
      <w:r w:rsidRPr="002F26B6">
        <w:rPr>
          <w:szCs w:val="24"/>
          <w:lang w:val="en-US"/>
        </w:rPr>
        <w:t xml:space="preserve">Joining this UN medical plan presents advantages </w:t>
      </w:r>
      <w:r>
        <w:rPr>
          <w:szCs w:val="24"/>
          <w:lang w:val="en-US"/>
        </w:rPr>
        <w:t xml:space="preserve">for the staff as the contribution rate has been decreased and the deductible removed but </w:t>
      </w:r>
      <w:r w:rsidRPr="002F26B6">
        <w:rPr>
          <w:szCs w:val="24"/>
          <w:lang w:val="en-US"/>
        </w:rPr>
        <w:t>also for ITU on a long-term approach due to the size of this plan.</w:t>
      </w:r>
      <w:r>
        <w:rPr>
          <w:szCs w:val="24"/>
          <w:lang w:val="en-US"/>
        </w:rPr>
        <w:t xml:space="preserve"> </w:t>
      </w:r>
      <w:r w:rsidRPr="002163F5">
        <w:rPr>
          <w:lang w:val="en-US"/>
        </w:rPr>
        <w:t>This plan brings together several organizations and specialized agencies of the United Nations based in Geneva. This health insurance plan includes the staff of the UN office in Geneva; UNHCR and WMO.</w:t>
      </w:r>
    </w:p>
    <w:p w14:paraId="1F5DF502" w14:textId="71ADCB0A" w:rsidR="002163F5" w:rsidRDefault="002163F5" w:rsidP="00B905B1">
      <w:pPr>
        <w:jc w:val="both"/>
        <w:rPr>
          <w:lang w:val="en-US"/>
        </w:rPr>
      </w:pPr>
      <w:r w:rsidRPr="002340EB">
        <w:rPr>
          <w:lang w:val="en-US"/>
        </w:rPr>
        <w:t xml:space="preserve">2.2 </w:t>
      </w:r>
      <w:r w:rsidRPr="002340EB">
        <w:rPr>
          <w:lang w:val="en-US"/>
        </w:rPr>
        <w:tab/>
      </w:r>
      <w:r w:rsidR="00687A68" w:rsidRPr="002340EB">
        <w:rPr>
          <w:lang w:val="en-US"/>
        </w:rPr>
        <w:t>In order t</w:t>
      </w:r>
      <w:r w:rsidRPr="002340EB">
        <w:rPr>
          <w:lang w:val="en-US"/>
        </w:rPr>
        <w:t>o join the UNSMIS medical plan in January 2020</w:t>
      </w:r>
      <w:r w:rsidR="00687A68" w:rsidRPr="002340EB">
        <w:rPr>
          <w:lang w:val="en-US"/>
        </w:rPr>
        <w:t>,</w:t>
      </w:r>
      <w:r w:rsidRPr="002340EB">
        <w:rPr>
          <w:lang w:val="en-US"/>
        </w:rPr>
        <w:t xml:space="preserve"> ITU had to </w:t>
      </w:r>
      <w:r w:rsidR="00687A68" w:rsidRPr="002340EB">
        <w:rPr>
          <w:lang w:val="en-US"/>
        </w:rPr>
        <w:t>contribute to t</w:t>
      </w:r>
      <w:r w:rsidRPr="002340EB">
        <w:rPr>
          <w:lang w:val="en-US"/>
        </w:rPr>
        <w:t xml:space="preserve">he reserve fund of this plan for an equalization. The level of the </w:t>
      </w:r>
      <w:r w:rsidR="00D41E79" w:rsidRPr="002340EB">
        <w:rPr>
          <w:lang w:val="en-US"/>
        </w:rPr>
        <w:t xml:space="preserve">contribution </w:t>
      </w:r>
      <w:r w:rsidRPr="002340EB">
        <w:rPr>
          <w:lang w:val="en-US"/>
        </w:rPr>
        <w:t>had been agreed at the level of USD 19,53 mi</w:t>
      </w:r>
      <w:r w:rsidR="00D41E79" w:rsidRPr="002340EB">
        <w:rPr>
          <w:lang w:val="en-US"/>
        </w:rPr>
        <w:t>llion</w:t>
      </w:r>
      <w:r w:rsidRPr="002340EB">
        <w:rPr>
          <w:lang w:val="en-US"/>
        </w:rPr>
        <w:t xml:space="preserve"> which </w:t>
      </w:r>
      <w:r w:rsidR="00D41E79" w:rsidRPr="002340EB">
        <w:rPr>
          <w:lang w:val="en-US"/>
        </w:rPr>
        <w:t xml:space="preserve">were </w:t>
      </w:r>
      <w:r w:rsidRPr="002340EB">
        <w:rPr>
          <w:lang w:val="en-US"/>
        </w:rPr>
        <w:t>paid from the CMIP guarantee fund early 2020.</w:t>
      </w:r>
    </w:p>
    <w:p w14:paraId="728D0DB6" w14:textId="6AD9691B" w:rsidR="002163F5" w:rsidRDefault="002163F5" w:rsidP="00B905B1">
      <w:pPr>
        <w:jc w:val="both"/>
        <w:rPr>
          <w:lang w:val="en-US"/>
        </w:rPr>
      </w:pPr>
      <w:r>
        <w:rPr>
          <w:lang w:val="en-US"/>
        </w:rPr>
        <w:t>2.3</w:t>
      </w:r>
      <w:r>
        <w:rPr>
          <w:lang w:val="en-US"/>
        </w:rPr>
        <w:tab/>
        <w:t xml:space="preserve">In addition, an extraordinary contribution to the reserve fund will be paid yearly for 13 years starting 2020. This extra-contribution aims at compensating the impact of the entrance of ITU population on </w:t>
      </w:r>
      <w:proofErr w:type="gramStart"/>
      <w:r>
        <w:rPr>
          <w:lang w:val="en-US"/>
        </w:rPr>
        <w:t>the overall plan</w:t>
      </w:r>
      <w:proofErr w:type="gramEnd"/>
      <w:r>
        <w:rPr>
          <w:lang w:val="en-US"/>
        </w:rPr>
        <w:t>. This extra-contribution represents a total amount of USD</w:t>
      </w:r>
      <w:r w:rsidR="00D41E79">
        <w:rPr>
          <w:lang w:val="en-US"/>
        </w:rPr>
        <w:t> </w:t>
      </w:r>
      <w:r>
        <w:rPr>
          <w:lang w:val="en-US"/>
        </w:rPr>
        <w:t>22.53 mi</w:t>
      </w:r>
      <w:r w:rsidR="00D41E79">
        <w:rPr>
          <w:lang w:val="en-US"/>
        </w:rPr>
        <w:t>llion</w:t>
      </w:r>
      <w:r>
        <w:rPr>
          <w:lang w:val="en-US"/>
        </w:rPr>
        <w:t xml:space="preserve"> split over 13 years.</w:t>
      </w:r>
    </w:p>
    <w:p w14:paraId="780B3A58" w14:textId="38542A5A" w:rsidR="002163F5" w:rsidRPr="00A441A6" w:rsidRDefault="002163F5" w:rsidP="00B905B1">
      <w:pPr>
        <w:tabs>
          <w:tab w:val="clear" w:pos="567"/>
          <w:tab w:val="clear" w:pos="1134"/>
          <w:tab w:val="clear" w:pos="1701"/>
          <w:tab w:val="clear" w:pos="2268"/>
          <w:tab w:val="clear" w:pos="2835"/>
        </w:tabs>
        <w:snapToGrid w:val="0"/>
        <w:spacing w:after="120"/>
        <w:jc w:val="both"/>
        <w:rPr>
          <w:rFonts w:cs="Calibri"/>
          <w:szCs w:val="24"/>
        </w:rPr>
      </w:pPr>
      <w:r>
        <w:rPr>
          <w:rFonts w:cs="Calibri"/>
          <w:szCs w:val="24"/>
        </w:rPr>
        <w:t xml:space="preserve">2.4 </w:t>
      </w:r>
      <w:r>
        <w:rPr>
          <w:rFonts w:cs="Calibri"/>
          <w:szCs w:val="24"/>
        </w:rPr>
        <w:tab/>
      </w:r>
      <w:r w:rsidRPr="002F26B6">
        <w:rPr>
          <w:rFonts w:cs="Calibri"/>
          <w:szCs w:val="24"/>
        </w:rPr>
        <w:t>The UNSMIS plan is based on a salary-based contribution of 3.4</w:t>
      </w:r>
      <w:r>
        <w:rPr>
          <w:rFonts w:cs="Calibri"/>
          <w:szCs w:val="24"/>
        </w:rPr>
        <w:t> per cent</w:t>
      </w:r>
      <w:r w:rsidRPr="002F26B6">
        <w:rPr>
          <w:rFonts w:cs="Calibri"/>
          <w:szCs w:val="24"/>
        </w:rPr>
        <w:t xml:space="preserve"> which </w:t>
      </w:r>
      <w:r>
        <w:rPr>
          <w:rFonts w:cs="Calibri"/>
          <w:szCs w:val="24"/>
        </w:rPr>
        <w:t>was</w:t>
      </w:r>
      <w:r w:rsidRPr="002F26B6">
        <w:rPr>
          <w:rFonts w:cs="Calibri"/>
          <w:szCs w:val="24"/>
        </w:rPr>
        <w:t xml:space="preserve"> put in place as of </w:t>
      </w:r>
      <w:r>
        <w:rPr>
          <w:rFonts w:cs="Calibri"/>
          <w:szCs w:val="24"/>
        </w:rPr>
        <w:t>1 January 2020.</w:t>
      </w:r>
      <w:r w:rsidRPr="002F26B6">
        <w:rPr>
          <w:rFonts w:cs="Calibri"/>
          <w:szCs w:val="24"/>
        </w:rPr>
        <w:t xml:space="preserve"> The follow-up of the cost containment is</w:t>
      </w:r>
      <w:r w:rsidR="00432B16">
        <w:rPr>
          <w:rFonts w:cs="Calibri"/>
          <w:szCs w:val="24"/>
        </w:rPr>
        <w:t xml:space="preserve"> managed by</w:t>
      </w:r>
      <w:r w:rsidRPr="002F26B6">
        <w:rPr>
          <w:rFonts w:cs="Calibri"/>
          <w:szCs w:val="24"/>
        </w:rPr>
        <w:t xml:space="preserve"> the UNSMIS Committee where ITU will have a seat as a new member</w:t>
      </w:r>
      <w:r w:rsidRPr="00A441A6">
        <w:rPr>
          <w:rFonts w:cs="Calibri"/>
          <w:szCs w:val="24"/>
        </w:rPr>
        <w:t>.</w:t>
      </w:r>
    </w:p>
    <w:bookmarkEnd w:id="11"/>
    <w:p w14:paraId="38B8F7BC" w14:textId="77073291" w:rsidR="006415CC" w:rsidRPr="008B23F4" w:rsidRDefault="008B23F4" w:rsidP="00B905B1">
      <w:pPr>
        <w:tabs>
          <w:tab w:val="clear" w:pos="567"/>
          <w:tab w:val="clear" w:pos="1134"/>
          <w:tab w:val="clear" w:pos="1701"/>
          <w:tab w:val="clear" w:pos="2268"/>
          <w:tab w:val="clear" w:pos="2835"/>
        </w:tabs>
        <w:snapToGrid w:val="0"/>
        <w:spacing w:before="240" w:after="120"/>
        <w:jc w:val="both"/>
        <w:rPr>
          <w:b/>
          <w:bCs/>
          <w:szCs w:val="24"/>
        </w:rPr>
      </w:pPr>
      <w:r>
        <w:rPr>
          <w:b/>
          <w:bCs/>
          <w:szCs w:val="24"/>
        </w:rPr>
        <w:t>3</w:t>
      </w:r>
      <w:r>
        <w:rPr>
          <w:b/>
          <w:bCs/>
          <w:szCs w:val="24"/>
        </w:rPr>
        <w:tab/>
      </w:r>
      <w:r w:rsidR="006415CC" w:rsidRPr="008B23F4">
        <w:rPr>
          <w:b/>
          <w:bCs/>
          <w:szCs w:val="24"/>
        </w:rPr>
        <w:t>Evolution of the ASHI liability in 20</w:t>
      </w:r>
      <w:r w:rsidR="00C47E2F" w:rsidRPr="008B23F4">
        <w:rPr>
          <w:b/>
          <w:bCs/>
          <w:szCs w:val="24"/>
        </w:rPr>
        <w:t>20</w:t>
      </w:r>
    </w:p>
    <w:p w14:paraId="2B04BB98" w14:textId="6D550938" w:rsidR="006415CC" w:rsidRDefault="008B23F4" w:rsidP="00B905B1">
      <w:pPr>
        <w:tabs>
          <w:tab w:val="clear" w:pos="567"/>
          <w:tab w:val="clear" w:pos="1134"/>
          <w:tab w:val="clear" w:pos="1701"/>
          <w:tab w:val="clear" w:pos="2268"/>
          <w:tab w:val="clear" w:pos="2835"/>
        </w:tabs>
        <w:snapToGrid w:val="0"/>
        <w:spacing w:after="240"/>
        <w:jc w:val="both"/>
        <w:rPr>
          <w:szCs w:val="24"/>
        </w:rPr>
      </w:pPr>
      <w:r>
        <w:rPr>
          <w:szCs w:val="24"/>
        </w:rPr>
        <w:t>3</w:t>
      </w:r>
      <w:r w:rsidR="006415CC">
        <w:rPr>
          <w:szCs w:val="24"/>
        </w:rPr>
        <w:t>.1</w:t>
      </w:r>
      <w:r w:rsidR="006415CC">
        <w:rPr>
          <w:szCs w:val="24"/>
        </w:rPr>
        <w:tab/>
      </w:r>
      <w:r w:rsidR="006415CC" w:rsidRPr="006E7601">
        <w:rPr>
          <w:szCs w:val="24"/>
        </w:rPr>
        <w:t>The evolution of the ASHI liability since 2010 resulted in increasingly negative net assets as the actuarial losses were recorded in the net assets in full. At the end of 20</w:t>
      </w:r>
      <w:r w:rsidR="00C47E2F">
        <w:rPr>
          <w:szCs w:val="24"/>
        </w:rPr>
        <w:t>20</w:t>
      </w:r>
      <w:r w:rsidR="006415CC" w:rsidRPr="006E7601">
        <w:rPr>
          <w:szCs w:val="24"/>
        </w:rPr>
        <w:t xml:space="preserve">, the ASHI liability </w:t>
      </w:r>
      <w:r w:rsidR="00440CD8">
        <w:rPr>
          <w:szCs w:val="24"/>
        </w:rPr>
        <w:t xml:space="preserve">increased </w:t>
      </w:r>
      <w:r w:rsidR="006415CC" w:rsidRPr="006E7601">
        <w:rPr>
          <w:szCs w:val="24"/>
        </w:rPr>
        <w:t xml:space="preserve">due </w:t>
      </w:r>
      <w:r w:rsidR="006415CC">
        <w:rPr>
          <w:szCs w:val="24"/>
        </w:rPr>
        <w:t xml:space="preserve">to </w:t>
      </w:r>
      <w:r w:rsidR="006415CC" w:rsidRPr="006E7601">
        <w:rPr>
          <w:szCs w:val="24"/>
        </w:rPr>
        <w:t>the variation of assumptions and triggered a</w:t>
      </w:r>
      <w:r w:rsidR="00440CD8">
        <w:rPr>
          <w:szCs w:val="24"/>
        </w:rPr>
        <w:t>n</w:t>
      </w:r>
      <w:r w:rsidR="006415CC" w:rsidRPr="006E7601">
        <w:rPr>
          <w:szCs w:val="24"/>
        </w:rPr>
        <w:t xml:space="preserve"> </w:t>
      </w:r>
      <w:r w:rsidR="00440CD8">
        <w:rPr>
          <w:szCs w:val="24"/>
        </w:rPr>
        <w:t>increase</w:t>
      </w:r>
      <w:r w:rsidR="006415CC" w:rsidRPr="006E7601">
        <w:rPr>
          <w:szCs w:val="24"/>
        </w:rPr>
        <w:t xml:space="preserve"> of the liability of CHF</w:t>
      </w:r>
      <w:r w:rsidR="00E969FC">
        <w:rPr>
          <w:szCs w:val="24"/>
        </w:rPr>
        <w:t> </w:t>
      </w:r>
      <w:r w:rsidR="00432B16">
        <w:rPr>
          <w:szCs w:val="24"/>
        </w:rPr>
        <w:t>19</w:t>
      </w:r>
      <w:r w:rsidR="00440CD8">
        <w:rPr>
          <w:szCs w:val="24"/>
        </w:rPr>
        <w:t>.</w:t>
      </w:r>
      <w:r w:rsidR="00432B16">
        <w:rPr>
          <w:szCs w:val="24"/>
        </w:rPr>
        <w:t>97</w:t>
      </w:r>
      <w:r w:rsidR="00E969FC">
        <w:rPr>
          <w:szCs w:val="24"/>
        </w:rPr>
        <w:t> </w:t>
      </w:r>
      <w:r w:rsidR="006415CC" w:rsidRPr="006E7601">
        <w:rPr>
          <w:szCs w:val="24"/>
        </w:rPr>
        <w:t>million</w:t>
      </w:r>
      <w:r w:rsidR="00151E35">
        <w:rPr>
          <w:szCs w:val="24"/>
        </w:rPr>
        <w:t>.</w:t>
      </w:r>
    </w:p>
    <w:tbl>
      <w:tblPr>
        <w:tblW w:w="9541" w:type="dxa"/>
        <w:jc w:val="center"/>
        <w:tblLook w:val="04A0" w:firstRow="1" w:lastRow="0" w:firstColumn="1" w:lastColumn="0" w:noHBand="0" w:noVBand="1"/>
      </w:tblPr>
      <w:tblGrid>
        <w:gridCol w:w="5573"/>
        <w:gridCol w:w="1984"/>
        <w:gridCol w:w="1984"/>
      </w:tblGrid>
      <w:tr w:rsidR="00143256" w:rsidRPr="00B905B1" w14:paraId="58198938" w14:textId="77777777" w:rsidTr="00143256">
        <w:trPr>
          <w:trHeight w:val="528"/>
          <w:jc w:val="center"/>
        </w:trPr>
        <w:tc>
          <w:tcPr>
            <w:tcW w:w="5573" w:type="dxa"/>
            <w:tcBorders>
              <w:top w:val="single" w:sz="4" w:space="0" w:color="auto"/>
              <w:left w:val="single" w:sz="4" w:space="0" w:color="auto"/>
              <w:bottom w:val="single" w:sz="4" w:space="0" w:color="auto"/>
              <w:right w:val="nil"/>
            </w:tcBorders>
            <w:shd w:val="clear" w:color="auto" w:fill="auto"/>
            <w:vAlign w:val="center"/>
            <w:hideMark/>
          </w:tcPr>
          <w:p w14:paraId="06E96C73" w14:textId="2708D36C" w:rsidR="00143256" w:rsidRPr="00B905B1" w:rsidRDefault="002163F5" w:rsidP="00B905B1">
            <w:pPr>
              <w:widowControl w:val="0"/>
              <w:kinsoku w:val="0"/>
              <w:spacing w:before="60"/>
              <w:rPr>
                <w:bCs/>
                <w:color w:val="000000"/>
                <w:sz w:val="20"/>
                <w:lang w:val="en-US"/>
              </w:rPr>
            </w:pPr>
            <w:proofErr w:type="gramStart"/>
            <w:r w:rsidRPr="00B905B1">
              <w:rPr>
                <w:b/>
                <w:color w:val="000000"/>
                <w:sz w:val="20"/>
                <w:lang w:val="en-US"/>
              </w:rPr>
              <w:t>A</w:t>
            </w:r>
            <w:r w:rsidR="00143256" w:rsidRPr="00B905B1">
              <w:rPr>
                <w:b/>
                <w:color w:val="000000"/>
                <w:sz w:val="20"/>
                <w:lang w:val="en-US"/>
              </w:rPr>
              <w:t>mount</w:t>
            </w:r>
            <w:proofErr w:type="gramEnd"/>
            <w:r w:rsidR="00143256" w:rsidRPr="00B905B1">
              <w:rPr>
                <w:b/>
                <w:color w:val="000000"/>
                <w:sz w:val="20"/>
                <w:lang w:val="en-US"/>
              </w:rPr>
              <w:t xml:space="preserve"> of obligations under the ASHI plan at 31 December 20</w:t>
            </w:r>
            <w:r w:rsidR="00C47E2F" w:rsidRPr="00B905B1">
              <w:rPr>
                <w:b/>
                <w:color w:val="000000"/>
                <w:sz w:val="20"/>
                <w:lang w:val="en-US"/>
              </w:rPr>
              <w:t>20</w:t>
            </w:r>
            <w:r w:rsidR="00143256" w:rsidRPr="00B905B1">
              <w:rPr>
                <w:b/>
                <w:color w:val="000000"/>
                <w:sz w:val="20"/>
                <w:lang w:val="en-US"/>
              </w:rPr>
              <w:t xml:space="preserve"> and 201</w:t>
            </w:r>
            <w:r w:rsidR="00C47E2F" w:rsidRPr="00B905B1">
              <w:rPr>
                <w:b/>
                <w:color w:val="000000"/>
                <w:sz w:val="20"/>
                <w:lang w:val="en-US"/>
              </w:rPr>
              <w:t>9</w:t>
            </w:r>
            <w:r w:rsidR="00143256" w:rsidRPr="00B905B1">
              <w:rPr>
                <w:b/>
                <w:color w:val="000000"/>
                <w:sz w:val="20"/>
                <w:lang w:val="en-US"/>
              </w:rPr>
              <w:t xml:space="preserve"> in the statement of</w:t>
            </w:r>
            <w:r w:rsidR="00143256" w:rsidRPr="00B905B1">
              <w:rPr>
                <w:b/>
                <w:color w:val="000000"/>
                <w:sz w:val="20"/>
                <w:lang w:val="en-US"/>
              </w:rPr>
              <w:br/>
              <w:t>financial position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2A5B" w14:textId="43576068" w:rsidR="00143256" w:rsidRPr="00B905B1" w:rsidRDefault="00143256" w:rsidP="00B905B1">
            <w:pPr>
              <w:widowControl w:val="0"/>
              <w:kinsoku w:val="0"/>
              <w:spacing w:before="60"/>
              <w:jc w:val="center"/>
              <w:rPr>
                <w:b/>
                <w:color w:val="000000"/>
                <w:sz w:val="20"/>
                <w:lang w:val="en-US"/>
              </w:rPr>
            </w:pPr>
            <w:r w:rsidRPr="00B905B1">
              <w:rPr>
                <w:b/>
                <w:bCs/>
                <w:i/>
                <w:iCs/>
                <w:color w:val="000000"/>
                <w:sz w:val="20"/>
                <w:lang w:val="en-US"/>
              </w:rPr>
              <w:t>In thousands of CHF</w:t>
            </w:r>
            <w:r w:rsidRPr="00B905B1">
              <w:rPr>
                <w:b/>
                <w:bCs/>
                <w:i/>
                <w:iCs/>
                <w:color w:val="000000"/>
                <w:sz w:val="20"/>
                <w:lang w:val="en-US"/>
              </w:rPr>
              <w:br/>
            </w:r>
            <w:r w:rsidRPr="00B905B1">
              <w:rPr>
                <w:b/>
                <w:bCs/>
                <w:color w:val="000000"/>
                <w:sz w:val="20"/>
                <w:lang w:val="en-US"/>
              </w:rPr>
              <w:t>31.12.20</w:t>
            </w:r>
            <w:r w:rsidR="00C47E2F" w:rsidRPr="00B905B1">
              <w:rPr>
                <w:b/>
                <w:bCs/>
                <w:color w:val="000000"/>
                <w:sz w:val="20"/>
                <w:lang w:val="en-US"/>
              </w:rPr>
              <w:t>20</w:t>
            </w:r>
          </w:p>
        </w:tc>
        <w:tc>
          <w:tcPr>
            <w:tcW w:w="1984" w:type="dxa"/>
            <w:tcBorders>
              <w:top w:val="single" w:sz="4" w:space="0" w:color="auto"/>
              <w:left w:val="single" w:sz="4" w:space="0" w:color="auto"/>
              <w:bottom w:val="single" w:sz="4" w:space="0" w:color="auto"/>
              <w:right w:val="single" w:sz="4" w:space="0" w:color="auto"/>
            </w:tcBorders>
            <w:vAlign w:val="center"/>
          </w:tcPr>
          <w:p w14:paraId="3C4FAFD6" w14:textId="0A1A4FEC" w:rsidR="00143256" w:rsidRPr="00B905B1" w:rsidRDefault="00143256" w:rsidP="00B905B1">
            <w:pPr>
              <w:widowControl w:val="0"/>
              <w:kinsoku w:val="0"/>
              <w:spacing w:before="60"/>
              <w:jc w:val="center"/>
              <w:rPr>
                <w:b/>
                <w:color w:val="000000"/>
                <w:sz w:val="20"/>
                <w:lang w:val="en-US"/>
              </w:rPr>
            </w:pPr>
            <w:r w:rsidRPr="00B905B1">
              <w:rPr>
                <w:b/>
                <w:bCs/>
                <w:i/>
                <w:iCs/>
                <w:color w:val="000000"/>
                <w:sz w:val="20"/>
                <w:lang w:val="en-US"/>
              </w:rPr>
              <w:t>In thousands of CHF</w:t>
            </w:r>
            <w:r w:rsidRPr="00B905B1">
              <w:rPr>
                <w:b/>
                <w:bCs/>
                <w:i/>
                <w:iCs/>
                <w:color w:val="000000"/>
                <w:sz w:val="20"/>
                <w:lang w:val="en-US"/>
              </w:rPr>
              <w:br/>
            </w:r>
            <w:r w:rsidRPr="00B905B1">
              <w:rPr>
                <w:b/>
                <w:bCs/>
                <w:color w:val="000000"/>
                <w:sz w:val="20"/>
                <w:lang w:val="en-US"/>
              </w:rPr>
              <w:t>31.12.201</w:t>
            </w:r>
            <w:r w:rsidR="00C47E2F" w:rsidRPr="00B905B1">
              <w:rPr>
                <w:b/>
                <w:bCs/>
                <w:color w:val="000000"/>
                <w:sz w:val="20"/>
                <w:lang w:val="en-US"/>
              </w:rPr>
              <w:t>9</w:t>
            </w:r>
          </w:p>
        </w:tc>
      </w:tr>
      <w:tr w:rsidR="00C47E2F" w:rsidRPr="00B905B1" w14:paraId="116A0FBE" w14:textId="77777777" w:rsidTr="00143256">
        <w:trPr>
          <w:trHeight w:val="264"/>
          <w:jc w:val="center"/>
        </w:trPr>
        <w:tc>
          <w:tcPr>
            <w:tcW w:w="5573" w:type="dxa"/>
            <w:tcBorders>
              <w:top w:val="single" w:sz="4" w:space="0" w:color="auto"/>
              <w:left w:val="single" w:sz="4" w:space="0" w:color="auto"/>
              <w:bottom w:val="nil"/>
              <w:right w:val="single" w:sz="4" w:space="0" w:color="auto"/>
            </w:tcBorders>
            <w:shd w:val="clear" w:color="auto" w:fill="auto"/>
            <w:hideMark/>
          </w:tcPr>
          <w:p w14:paraId="66B2196F" w14:textId="6D001B46" w:rsidR="00C47E2F" w:rsidRPr="00B905B1" w:rsidRDefault="00C47E2F" w:rsidP="00C47E2F">
            <w:pPr>
              <w:widowControl w:val="0"/>
              <w:kinsoku w:val="0"/>
              <w:spacing w:before="60" w:after="60"/>
              <w:rPr>
                <w:sz w:val="20"/>
              </w:rPr>
            </w:pPr>
            <w:r w:rsidRPr="00B905B1">
              <w:rPr>
                <w:sz w:val="20"/>
              </w:rPr>
              <w:t xml:space="preserve">Balance </w:t>
            </w:r>
            <w:proofErr w:type="gramStart"/>
            <w:r w:rsidRPr="00B905B1">
              <w:rPr>
                <w:sz w:val="20"/>
              </w:rPr>
              <w:t>at</w:t>
            </w:r>
            <w:proofErr w:type="gramEnd"/>
            <w:r w:rsidRPr="00B905B1">
              <w:rPr>
                <w:sz w:val="20"/>
              </w:rPr>
              <w:t xml:space="preserve"> 31 December 2020-2019</w:t>
            </w:r>
          </w:p>
        </w:tc>
        <w:tc>
          <w:tcPr>
            <w:tcW w:w="1984" w:type="dxa"/>
            <w:tcBorders>
              <w:top w:val="single" w:sz="4" w:space="0" w:color="auto"/>
              <w:left w:val="single" w:sz="4" w:space="0" w:color="auto"/>
              <w:bottom w:val="nil"/>
              <w:right w:val="single" w:sz="4" w:space="0" w:color="auto"/>
            </w:tcBorders>
            <w:shd w:val="clear" w:color="auto" w:fill="auto"/>
          </w:tcPr>
          <w:p w14:paraId="5986AD56" w14:textId="3BBBA5FC" w:rsidR="00C47E2F" w:rsidRPr="00B905B1" w:rsidRDefault="00C47E2F" w:rsidP="00C47E2F">
            <w:pPr>
              <w:widowControl w:val="0"/>
              <w:tabs>
                <w:tab w:val="clear" w:pos="1701"/>
              </w:tabs>
              <w:kinsoku w:val="0"/>
              <w:ind w:right="210"/>
              <w:jc w:val="right"/>
              <w:rPr>
                <w:sz w:val="20"/>
              </w:rPr>
            </w:pPr>
            <w:r w:rsidRPr="00B905B1">
              <w:rPr>
                <w:sz w:val="20"/>
              </w:rPr>
              <w:t>611,896</w:t>
            </w:r>
          </w:p>
        </w:tc>
        <w:tc>
          <w:tcPr>
            <w:tcW w:w="1984" w:type="dxa"/>
            <w:tcBorders>
              <w:top w:val="single" w:sz="4" w:space="0" w:color="auto"/>
              <w:left w:val="single" w:sz="4" w:space="0" w:color="auto"/>
              <w:bottom w:val="nil"/>
              <w:right w:val="single" w:sz="4" w:space="0" w:color="auto"/>
            </w:tcBorders>
          </w:tcPr>
          <w:p w14:paraId="1EB4994E" w14:textId="28DB7AD5" w:rsidR="00C47E2F" w:rsidRPr="00B905B1" w:rsidRDefault="00C47E2F" w:rsidP="00C47E2F">
            <w:pPr>
              <w:widowControl w:val="0"/>
              <w:tabs>
                <w:tab w:val="clear" w:pos="1701"/>
              </w:tabs>
              <w:kinsoku w:val="0"/>
              <w:ind w:right="210"/>
              <w:jc w:val="right"/>
              <w:rPr>
                <w:sz w:val="20"/>
              </w:rPr>
            </w:pPr>
            <w:r w:rsidRPr="00B905B1">
              <w:rPr>
                <w:sz w:val="20"/>
              </w:rPr>
              <w:t>552,240</w:t>
            </w:r>
          </w:p>
        </w:tc>
      </w:tr>
      <w:tr w:rsidR="00C47E2F" w:rsidRPr="00B905B1" w14:paraId="69358F6C" w14:textId="77777777" w:rsidTr="00143256">
        <w:trPr>
          <w:trHeight w:val="336"/>
          <w:jc w:val="center"/>
        </w:trPr>
        <w:tc>
          <w:tcPr>
            <w:tcW w:w="5573" w:type="dxa"/>
            <w:tcBorders>
              <w:top w:val="nil"/>
              <w:left w:val="single" w:sz="4" w:space="0" w:color="auto"/>
              <w:bottom w:val="nil"/>
              <w:right w:val="single" w:sz="4" w:space="0" w:color="auto"/>
            </w:tcBorders>
            <w:shd w:val="clear" w:color="auto" w:fill="auto"/>
            <w:hideMark/>
          </w:tcPr>
          <w:p w14:paraId="2CEAADAA" w14:textId="77777777" w:rsidR="00C47E2F" w:rsidRPr="00B905B1" w:rsidRDefault="00C47E2F" w:rsidP="00C47E2F">
            <w:pPr>
              <w:widowControl w:val="0"/>
              <w:kinsoku w:val="0"/>
              <w:spacing w:before="60" w:after="60"/>
              <w:rPr>
                <w:sz w:val="20"/>
              </w:rPr>
            </w:pPr>
            <w:r w:rsidRPr="00B905B1">
              <w:rPr>
                <w:sz w:val="20"/>
              </w:rPr>
              <w:t>Total expenses recognized in the statement of financial performance</w:t>
            </w:r>
          </w:p>
        </w:tc>
        <w:tc>
          <w:tcPr>
            <w:tcW w:w="1984" w:type="dxa"/>
            <w:tcBorders>
              <w:top w:val="nil"/>
              <w:left w:val="single" w:sz="4" w:space="0" w:color="auto"/>
              <w:bottom w:val="nil"/>
              <w:right w:val="single" w:sz="4" w:space="0" w:color="auto"/>
            </w:tcBorders>
            <w:shd w:val="clear" w:color="auto" w:fill="auto"/>
          </w:tcPr>
          <w:p w14:paraId="42150ABB" w14:textId="3F697A24" w:rsidR="00C47E2F" w:rsidRPr="00B905B1" w:rsidRDefault="00C47E2F" w:rsidP="00C47E2F">
            <w:pPr>
              <w:widowControl w:val="0"/>
              <w:tabs>
                <w:tab w:val="clear" w:pos="1701"/>
              </w:tabs>
              <w:kinsoku w:val="0"/>
              <w:ind w:right="210"/>
              <w:jc w:val="right"/>
              <w:rPr>
                <w:sz w:val="20"/>
              </w:rPr>
            </w:pPr>
            <w:r w:rsidRPr="00B905B1">
              <w:rPr>
                <w:sz w:val="20"/>
              </w:rPr>
              <w:t>27,667</w:t>
            </w:r>
          </w:p>
        </w:tc>
        <w:tc>
          <w:tcPr>
            <w:tcW w:w="1984" w:type="dxa"/>
            <w:tcBorders>
              <w:top w:val="nil"/>
              <w:left w:val="single" w:sz="4" w:space="0" w:color="auto"/>
              <w:bottom w:val="nil"/>
              <w:right w:val="single" w:sz="4" w:space="0" w:color="auto"/>
            </w:tcBorders>
          </w:tcPr>
          <w:p w14:paraId="3C4975B6" w14:textId="4C7F969C" w:rsidR="00C47E2F" w:rsidRPr="00B905B1" w:rsidRDefault="00C47E2F" w:rsidP="00C47E2F">
            <w:pPr>
              <w:widowControl w:val="0"/>
              <w:tabs>
                <w:tab w:val="clear" w:pos="1701"/>
              </w:tabs>
              <w:kinsoku w:val="0"/>
              <w:ind w:right="210"/>
              <w:jc w:val="right"/>
              <w:rPr>
                <w:sz w:val="20"/>
              </w:rPr>
            </w:pPr>
            <w:r w:rsidRPr="00B905B1">
              <w:rPr>
                <w:sz w:val="20"/>
              </w:rPr>
              <w:t>78,357</w:t>
            </w:r>
          </w:p>
        </w:tc>
      </w:tr>
      <w:tr w:rsidR="00C47E2F" w:rsidRPr="00B905B1" w14:paraId="1AFA6D60" w14:textId="77777777" w:rsidTr="00143256">
        <w:trPr>
          <w:trHeight w:val="264"/>
          <w:jc w:val="center"/>
        </w:trPr>
        <w:tc>
          <w:tcPr>
            <w:tcW w:w="5573" w:type="dxa"/>
            <w:tcBorders>
              <w:top w:val="nil"/>
              <w:left w:val="single" w:sz="4" w:space="0" w:color="auto"/>
              <w:bottom w:val="nil"/>
              <w:right w:val="single" w:sz="4" w:space="0" w:color="auto"/>
            </w:tcBorders>
            <w:shd w:val="clear" w:color="auto" w:fill="auto"/>
            <w:hideMark/>
          </w:tcPr>
          <w:p w14:paraId="46CC06F0" w14:textId="77777777" w:rsidR="00C47E2F" w:rsidRPr="00B905B1" w:rsidRDefault="00C47E2F" w:rsidP="00C47E2F">
            <w:pPr>
              <w:widowControl w:val="0"/>
              <w:kinsoku w:val="0"/>
              <w:spacing w:before="60" w:after="60"/>
              <w:rPr>
                <w:sz w:val="20"/>
              </w:rPr>
            </w:pPr>
            <w:r w:rsidRPr="00B905B1">
              <w:rPr>
                <w:sz w:val="20"/>
              </w:rPr>
              <w:t>Actuarial losses recognized in net assets</w:t>
            </w:r>
          </w:p>
        </w:tc>
        <w:tc>
          <w:tcPr>
            <w:tcW w:w="1984" w:type="dxa"/>
            <w:tcBorders>
              <w:top w:val="nil"/>
              <w:left w:val="single" w:sz="4" w:space="0" w:color="auto"/>
              <w:bottom w:val="nil"/>
              <w:right w:val="single" w:sz="4" w:space="0" w:color="auto"/>
            </w:tcBorders>
            <w:shd w:val="clear" w:color="auto" w:fill="auto"/>
          </w:tcPr>
          <w:p w14:paraId="1C3303D3" w14:textId="07374414" w:rsidR="00C47E2F" w:rsidRPr="00B905B1" w:rsidRDefault="00C47E2F" w:rsidP="00C47E2F">
            <w:pPr>
              <w:widowControl w:val="0"/>
              <w:tabs>
                <w:tab w:val="clear" w:pos="1701"/>
              </w:tabs>
              <w:kinsoku w:val="0"/>
              <w:ind w:right="210"/>
              <w:jc w:val="right"/>
              <w:rPr>
                <w:sz w:val="20"/>
              </w:rPr>
            </w:pPr>
            <w:r w:rsidRPr="00B905B1">
              <w:rPr>
                <w:sz w:val="20"/>
              </w:rPr>
              <w:t>-2,815</w:t>
            </w:r>
          </w:p>
        </w:tc>
        <w:tc>
          <w:tcPr>
            <w:tcW w:w="1984" w:type="dxa"/>
            <w:tcBorders>
              <w:top w:val="nil"/>
              <w:left w:val="single" w:sz="4" w:space="0" w:color="auto"/>
              <w:bottom w:val="nil"/>
              <w:right w:val="single" w:sz="4" w:space="0" w:color="auto"/>
            </w:tcBorders>
          </w:tcPr>
          <w:p w14:paraId="6C2678F0" w14:textId="6E3B7799" w:rsidR="00C47E2F" w:rsidRPr="00B905B1" w:rsidRDefault="00C47E2F" w:rsidP="00C47E2F">
            <w:pPr>
              <w:widowControl w:val="0"/>
              <w:tabs>
                <w:tab w:val="clear" w:pos="1701"/>
              </w:tabs>
              <w:kinsoku w:val="0"/>
              <w:ind w:right="210"/>
              <w:jc w:val="right"/>
              <w:rPr>
                <w:sz w:val="20"/>
              </w:rPr>
            </w:pPr>
            <w:r w:rsidRPr="00B905B1">
              <w:rPr>
                <w:sz w:val="20"/>
              </w:rPr>
              <w:t>-12,038</w:t>
            </w:r>
          </w:p>
        </w:tc>
      </w:tr>
      <w:tr w:rsidR="00C47E2F" w:rsidRPr="00B905B1" w14:paraId="3722FA05" w14:textId="77777777" w:rsidTr="00143256">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14:paraId="1442BBCB" w14:textId="77777777" w:rsidR="00C47E2F" w:rsidRPr="00B905B1" w:rsidRDefault="00C47E2F" w:rsidP="00C47E2F">
            <w:pPr>
              <w:widowControl w:val="0"/>
              <w:kinsoku w:val="0"/>
              <w:spacing w:before="60" w:after="60"/>
              <w:rPr>
                <w:sz w:val="20"/>
              </w:rPr>
            </w:pPr>
            <w:r w:rsidRPr="00B905B1">
              <w:rPr>
                <w:sz w:val="20"/>
              </w:rPr>
              <w:t>Contributions during the period</w:t>
            </w:r>
          </w:p>
        </w:tc>
        <w:tc>
          <w:tcPr>
            <w:tcW w:w="1984" w:type="dxa"/>
            <w:tcBorders>
              <w:top w:val="nil"/>
              <w:left w:val="single" w:sz="4" w:space="0" w:color="auto"/>
              <w:bottom w:val="nil"/>
              <w:right w:val="single" w:sz="4" w:space="0" w:color="auto"/>
            </w:tcBorders>
            <w:shd w:val="clear" w:color="auto" w:fill="auto"/>
          </w:tcPr>
          <w:p w14:paraId="5F2B0BE6" w14:textId="06F78F88" w:rsidR="00C47E2F" w:rsidRPr="00B905B1" w:rsidRDefault="00C47E2F" w:rsidP="00C47E2F">
            <w:pPr>
              <w:widowControl w:val="0"/>
              <w:tabs>
                <w:tab w:val="clear" w:pos="1701"/>
              </w:tabs>
              <w:kinsoku w:val="0"/>
              <w:ind w:right="210"/>
              <w:jc w:val="right"/>
              <w:rPr>
                <w:sz w:val="20"/>
              </w:rPr>
            </w:pPr>
            <w:r w:rsidRPr="00B905B1">
              <w:rPr>
                <w:sz w:val="20"/>
              </w:rPr>
              <w:t>-4,878</w:t>
            </w:r>
          </w:p>
        </w:tc>
        <w:tc>
          <w:tcPr>
            <w:tcW w:w="1984" w:type="dxa"/>
            <w:tcBorders>
              <w:top w:val="nil"/>
              <w:left w:val="single" w:sz="4" w:space="0" w:color="auto"/>
              <w:bottom w:val="nil"/>
              <w:right w:val="single" w:sz="4" w:space="0" w:color="auto"/>
            </w:tcBorders>
          </w:tcPr>
          <w:p w14:paraId="11745664" w14:textId="624A0AE1" w:rsidR="00C47E2F" w:rsidRPr="00B905B1" w:rsidRDefault="00C47E2F" w:rsidP="00C47E2F">
            <w:pPr>
              <w:widowControl w:val="0"/>
              <w:tabs>
                <w:tab w:val="clear" w:pos="1701"/>
              </w:tabs>
              <w:kinsoku w:val="0"/>
              <w:ind w:right="210"/>
              <w:jc w:val="right"/>
              <w:rPr>
                <w:sz w:val="20"/>
              </w:rPr>
            </w:pPr>
            <w:r w:rsidRPr="00B905B1">
              <w:rPr>
                <w:sz w:val="20"/>
              </w:rPr>
              <w:t>-6,663</w:t>
            </w:r>
          </w:p>
        </w:tc>
      </w:tr>
      <w:tr w:rsidR="00C47E2F" w:rsidRPr="00B905B1" w14:paraId="5AAF7706" w14:textId="77777777" w:rsidTr="008B23F4">
        <w:trPr>
          <w:trHeight w:val="264"/>
          <w:jc w:val="center"/>
        </w:trPr>
        <w:tc>
          <w:tcPr>
            <w:tcW w:w="5573" w:type="dxa"/>
            <w:tcBorders>
              <w:top w:val="nil"/>
              <w:left w:val="single" w:sz="4" w:space="0" w:color="auto"/>
              <w:right w:val="single" w:sz="4" w:space="0" w:color="auto"/>
            </w:tcBorders>
            <w:shd w:val="clear" w:color="auto" w:fill="auto"/>
          </w:tcPr>
          <w:p w14:paraId="53DE546D" w14:textId="05AE3205" w:rsidR="00C47E2F" w:rsidRPr="00B905B1" w:rsidRDefault="00C47E2F" w:rsidP="00B905B1">
            <w:pPr>
              <w:widowControl w:val="0"/>
              <w:kinsoku w:val="0"/>
              <w:spacing w:before="0"/>
              <w:rPr>
                <w:sz w:val="20"/>
              </w:rPr>
            </w:pPr>
          </w:p>
        </w:tc>
        <w:tc>
          <w:tcPr>
            <w:tcW w:w="1984" w:type="dxa"/>
            <w:tcBorders>
              <w:top w:val="nil"/>
              <w:left w:val="single" w:sz="4" w:space="0" w:color="auto"/>
              <w:right w:val="single" w:sz="4" w:space="0" w:color="auto"/>
            </w:tcBorders>
            <w:shd w:val="clear" w:color="auto" w:fill="auto"/>
          </w:tcPr>
          <w:p w14:paraId="1359C5CC" w14:textId="06C19488" w:rsidR="00C47E2F" w:rsidRPr="00B905B1" w:rsidRDefault="00C47E2F" w:rsidP="00B905B1">
            <w:pPr>
              <w:widowControl w:val="0"/>
              <w:tabs>
                <w:tab w:val="clear" w:pos="1701"/>
              </w:tabs>
              <w:kinsoku w:val="0"/>
              <w:spacing w:before="0"/>
              <w:ind w:right="210"/>
              <w:jc w:val="right"/>
              <w:rPr>
                <w:sz w:val="20"/>
              </w:rPr>
            </w:pPr>
          </w:p>
        </w:tc>
        <w:tc>
          <w:tcPr>
            <w:tcW w:w="1984" w:type="dxa"/>
            <w:tcBorders>
              <w:top w:val="nil"/>
              <w:left w:val="single" w:sz="4" w:space="0" w:color="auto"/>
              <w:right w:val="single" w:sz="4" w:space="0" w:color="auto"/>
            </w:tcBorders>
          </w:tcPr>
          <w:p w14:paraId="7605E1AC" w14:textId="4B6BC70C" w:rsidR="00C47E2F" w:rsidRPr="00B905B1" w:rsidRDefault="00C47E2F" w:rsidP="00B905B1">
            <w:pPr>
              <w:widowControl w:val="0"/>
              <w:tabs>
                <w:tab w:val="clear" w:pos="1701"/>
              </w:tabs>
              <w:kinsoku w:val="0"/>
              <w:spacing w:before="0"/>
              <w:ind w:right="210"/>
              <w:jc w:val="right"/>
              <w:rPr>
                <w:sz w:val="20"/>
              </w:rPr>
            </w:pPr>
          </w:p>
        </w:tc>
      </w:tr>
      <w:tr w:rsidR="00C47E2F" w:rsidRPr="00B905B1" w14:paraId="3C05146F" w14:textId="77777777" w:rsidTr="00143256">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14:paraId="1875FE9E" w14:textId="4E5252F7" w:rsidR="00C47E2F" w:rsidRPr="00B905B1" w:rsidRDefault="00C47E2F" w:rsidP="00C47E2F">
            <w:pPr>
              <w:widowControl w:val="0"/>
              <w:kinsoku w:val="0"/>
              <w:rPr>
                <w:sz w:val="20"/>
              </w:rPr>
            </w:pPr>
            <w:proofErr w:type="gramStart"/>
            <w:r w:rsidRPr="00B905B1">
              <w:rPr>
                <w:sz w:val="20"/>
              </w:rPr>
              <w:t>Amount</w:t>
            </w:r>
            <w:proofErr w:type="gramEnd"/>
            <w:r w:rsidRPr="00B905B1">
              <w:rPr>
                <w:sz w:val="20"/>
              </w:rPr>
              <w:t xml:space="preserve"> of obligations under the ASHI plan at 31 December 2020-2019</w:t>
            </w:r>
          </w:p>
        </w:tc>
        <w:tc>
          <w:tcPr>
            <w:tcW w:w="1984" w:type="dxa"/>
            <w:tcBorders>
              <w:top w:val="nil"/>
              <w:left w:val="single" w:sz="4" w:space="0" w:color="auto"/>
              <w:bottom w:val="single" w:sz="4" w:space="0" w:color="auto"/>
              <w:right w:val="single" w:sz="4" w:space="0" w:color="auto"/>
            </w:tcBorders>
            <w:shd w:val="clear" w:color="auto" w:fill="auto"/>
          </w:tcPr>
          <w:p w14:paraId="01B5BA49" w14:textId="571D737E" w:rsidR="00C47E2F" w:rsidRPr="00B905B1" w:rsidRDefault="00C47E2F" w:rsidP="00C47E2F">
            <w:pPr>
              <w:widowControl w:val="0"/>
              <w:tabs>
                <w:tab w:val="clear" w:pos="1701"/>
              </w:tabs>
              <w:kinsoku w:val="0"/>
              <w:ind w:right="210"/>
              <w:jc w:val="right"/>
              <w:rPr>
                <w:sz w:val="20"/>
              </w:rPr>
            </w:pPr>
            <w:r w:rsidRPr="00B905B1">
              <w:rPr>
                <w:sz w:val="20"/>
              </w:rPr>
              <w:t>631,870</w:t>
            </w:r>
          </w:p>
        </w:tc>
        <w:tc>
          <w:tcPr>
            <w:tcW w:w="1984" w:type="dxa"/>
            <w:tcBorders>
              <w:top w:val="nil"/>
              <w:left w:val="single" w:sz="4" w:space="0" w:color="auto"/>
              <w:bottom w:val="single" w:sz="4" w:space="0" w:color="auto"/>
              <w:right w:val="single" w:sz="4" w:space="0" w:color="auto"/>
            </w:tcBorders>
          </w:tcPr>
          <w:p w14:paraId="33B82F8D" w14:textId="1FE495DF" w:rsidR="00C47E2F" w:rsidRPr="00B905B1" w:rsidRDefault="00C47E2F" w:rsidP="00C47E2F">
            <w:pPr>
              <w:widowControl w:val="0"/>
              <w:tabs>
                <w:tab w:val="clear" w:pos="1701"/>
              </w:tabs>
              <w:kinsoku w:val="0"/>
              <w:ind w:right="210"/>
              <w:jc w:val="right"/>
              <w:rPr>
                <w:sz w:val="20"/>
              </w:rPr>
            </w:pPr>
            <w:r w:rsidRPr="00B905B1">
              <w:rPr>
                <w:sz w:val="20"/>
              </w:rPr>
              <w:t>611,896</w:t>
            </w:r>
          </w:p>
        </w:tc>
      </w:tr>
    </w:tbl>
    <w:p w14:paraId="2A551056" w14:textId="595AB9EE" w:rsidR="00A441A6" w:rsidRPr="00B905B1" w:rsidRDefault="00A441A6" w:rsidP="00257967">
      <w:pPr>
        <w:tabs>
          <w:tab w:val="clear" w:pos="567"/>
          <w:tab w:val="clear" w:pos="1134"/>
          <w:tab w:val="clear" w:pos="1701"/>
          <w:tab w:val="clear" w:pos="2268"/>
          <w:tab w:val="clear" w:pos="2835"/>
        </w:tabs>
        <w:overflowPunct/>
        <w:autoSpaceDE/>
        <w:autoSpaceDN/>
        <w:adjustRightInd/>
        <w:spacing w:before="0"/>
        <w:textAlignment w:val="auto"/>
        <w:rPr>
          <w:sz w:val="20"/>
        </w:rPr>
      </w:pPr>
    </w:p>
    <w:p w14:paraId="7124324B" w14:textId="77777777" w:rsidR="002163F5" w:rsidRDefault="002163F5" w:rsidP="009F3AC8">
      <w:pPr>
        <w:snapToGrid w:val="0"/>
        <w:spacing w:before="0" w:after="120"/>
        <w:jc w:val="both"/>
        <w:rPr>
          <w:lang w:val="en-US"/>
        </w:rPr>
      </w:pPr>
    </w:p>
    <w:p w14:paraId="6771E049" w14:textId="472C3764" w:rsidR="00A516FB" w:rsidRPr="00AA5DA1" w:rsidRDefault="008B23F4" w:rsidP="009F3AC8">
      <w:pPr>
        <w:snapToGrid w:val="0"/>
        <w:spacing w:before="0" w:after="120"/>
        <w:jc w:val="both"/>
        <w:rPr>
          <w:b/>
          <w:bCs/>
          <w:szCs w:val="24"/>
        </w:rPr>
      </w:pPr>
      <w:r>
        <w:rPr>
          <w:lang w:val="en-US"/>
        </w:rPr>
        <w:t>3</w:t>
      </w:r>
      <w:r w:rsidR="0097188A">
        <w:rPr>
          <w:lang w:val="en-US"/>
        </w:rPr>
        <w:t>.2</w:t>
      </w:r>
      <w:r w:rsidR="0097188A">
        <w:rPr>
          <w:lang w:val="en-US"/>
        </w:rPr>
        <w:tab/>
      </w:r>
      <w:r w:rsidR="00A516FB" w:rsidRPr="00AA5DA1">
        <w:rPr>
          <w:lang w:val="en-US"/>
        </w:rPr>
        <w:t>The following table shows an analysis of profit and loss charge or credit at the end of the financial period.</w:t>
      </w:r>
    </w:p>
    <w:tbl>
      <w:tblPr>
        <w:tblW w:w="5000" w:type="pct"/>
        <w:jc w:val="center"/>
        <w:tblLook w:val="04A0" w:firstRow="1" w:lastRow="0" w:firstColumn="1" w:lastColumn="0" w:noHBand="0" w:noVBand="1"/>
      </w:tblPr>
      <w:tblGrid>
        <w:gridCol w:w="6821"/>
        <w:gridCol w:w="1404"/>
        <w:gridCol w:w="1404"/>
      </w:tblGrid>
      <w:tr w:rsidR="00AA5DA1" w:rsidRPr="00CF674C" w14:paraId="769CCA2A" w14:textId="77777777" w:rsidTr="00D0634B">
        <w:trPr>
          <w:trHeight w:val="567"/>
          <w:jc w:val="center"/>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63F91" w14:textId="77777777" w:rsidR="00A516FB" w:rsidRPr="00CF674C" w:rsidRDefault="00A516FB" w:rsidP="004F6401">
            <w:pPr>
              <w:widowControl w:val="0"/>
              <w:kinsoku w:val="0"/>
              <w:spacing w:before="20"/>
              <w:rPr>
                <w:b/>
                <w:sz w:val="22"/>
                <w:szCs w:val="22"/>
                <w:lang w:val="en-US"/>
              </w:rPr>
            </w:pPr>
            <w:r w:rsidRPr="00CF674C">
              <w:rPr>
                <w:rFonts w:cs="Arial"/>
                <w:sz w:val="22"/>
                <w:szCs w:val="22"/>
                <w:lang w:val="en-US"/>
              </w:rPr>
              <w:lastRenderedPageBreak/>
              <w:br w:type="page"/>
            </w:r>
            <w:r w:rsidRPr="00CF674C">
              <w:rPr>
                <w:b/>
                <w:sz w:val="22"/>
                <w:szCs w:val="22"/>
                <w:lang w:val="en-US"/>
              </w:rPr>
              <w:t>Amounts recognized in the statement of financial performance</w:t>
            </w:r>
          </w:p>
        </w:tc>
        <w:tc>
          <w:tcPr>
            <w:tcW w:w="14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B1587E" w14:textId="77777777" w:rsidR="00A516FB" w:rsidRPr="00CF674C" w:rsidRDefault="00A516FB" w:rsidP="004F6401">
            <w:pPr>
              <w:widowControl w:val="0"/>
              <w:kinsoku w:val="0"/>
              <w:spacing w:before="20"/>
              <w:jc w:val="center"/>
              <w:rPr>
                <w:b/>
                <w:bCs/>
                <w:i/>
                <w:iCs/>
                <w:sz w:val="22"/>
                <w:szCs w:val="22"/>
                <w:lang w:val="en-US"/>
              </w:rPr>
            </w:pPr>
            <w:r w:rsidRPr="00CF674C">
              <w:rPr>
                <w:b/>
                <w:bCs/>
                <w:i/>
                <w:iCs/>
                <w:sz w:val="22"/>
                <w:szCs w:val="22"/>
                <w:lang w:val="en-US"/>
              </w:rPr>
              <w:t>In thousands of CHF</w:t>
            </w:r>
          </w:p>
        </w:tc>
      </w:tr>
      <w:tr w:rsidR="00AA5DA1" w:rsidRPr="00CF674C" w14:paraId="360DA0B4" w14:textId="77777777" w:rsidTr="00D0634B">
        <w:trPr>
          <w:trHeight w:val="264"/>
          <w:jc w:val="center"/>
        </w:trPr>
        <w:tc>
          <w:tcPr>
            <w:tcW w:w="3542" w:type="pct"/>
            <w:tcBorders>
              <w:top w:val="single" w:sz="4" w:space="0" w:color="auto"/>
              <w:left w:val="single" w:sz="4" w:space="0" w:color="auto"/>
              <w:bottom w:val="nil"/>
              <w:right w:val="single" w:sz="4" w:space="0" w:color="auto"/>
            </w:tcBorders>
            <w:shd w:val="clear" w:color="auto" w:fill="auto"/>
            <w:hideMark/>
          </w:tcPr>
          <w:p w14:paraId="780498C7" w14:textId="77777777" w:rsidR="00A516FB" w:rsidRPr="00CF674C" w:rsidRDefault="00A516FB" w:rsidP="004F6401">
            <w:pPr>
              <w:widowControl w:val="0"/>
              <w:kinsoku w:val="0"/>
              <w:spacing w:before="20"/>
              <w:jc w:val="center"/>
              <w:rPr>
                <w:b/>
                <w:i/>
                <w:iCs/>
                <w:sz w:val="22"/>
                <w:szCs w:val="22"/>
                <w:lang w:val="en-US"/>
              </w:rPr>
            </w:pPr>
          </w:p>
        </w:tc>
        <w:tc>
          <w:tcPr>
            <w:tcW w:w="729" w:type="pct"/>
            <w:tcBorders>
              <w:top w:val="single" w:sz="4" w:space="0" w:color="auto"/>
              <w:left w:val="nil"/>
              <w:bottom w:val="nil"/>
              <w:right w:val="single" w:sz="4" w:space="0" w:color="auto"/>
            </w:tcBorders>
            <w:shd w:val="clear" w:color="auto" w:fill="auto"/>
            <w:noWrap/>
            <w:vAlign w:val="bottom"/>
            <w:hideMark/>
          </w:tcPr>
          <w:p w14:paraId="6365FD4E" w14:textId="1F565179" w:rsidR="00A516FB" w:rsidRPr="00CF674C" w:rsidRDefault="00A516FB" w:rsidP="004F6401">
            <w:pPr>
              <w:widowControl w:val="0"/>
              <w:kinsoku w:val="0"/>
              <w:spacing w:before="20"/>
              <w:jc w:val="center"/>
              <w:rPr>
                <w:b/>
                <w:sz w:val="22"/>
                <w:szCs w:val="22"/>
                <w:lang w:val="en-US"/>
              </w:rPr>
            </w:pPr>
            <w:r w:rsidRPr="00CF674C">
              <w:rPr>
                <w:b/>
                <w:sz w:val="22"/>
                <w:szCs w:val="22"/>
                <w:lang w:val="en-US"/>
              </w:rPr>
              <w:t>31.12.20</w:t>
            </w:r>
            <w:r w:rsidR="00E70874">
              <w:rPr>
                <w:b/>
                <w:sz w:val="22"/>
                <w:szCs w:val="22"/>
                <w:lang w:val="en-US"/>
              </w:rPr>
              <w:t>20</w:t>
            </w:r>
          </w:p>
        </w:tc>
        <w:tc>
          <w:tcPr>
            <w:tcW w:w="729" w:type="pct"/>
            <w:tcBorders>
              <w:top w:val="single" w:sz="4" w:space="0" w:color="auto"/>
              <w:left w:val="nil"/>
              <w:bottom w:val="nil"/>
              <w:right w:val="single" w:sz="4" w:space="0" w:color="auto"/>
            </w:tcBorders>
            <w:vAlign w:val="bottom"/>
          </w:tcPr>
          <w:p w14:paraId="5AB392A5" w14:textId="4D80510B" w:rsidR="00A516FB" w:rsidRPr="00CF674C" w:rsidRDefault="00A516FB" w:rsidP="004F6401">
            <w:pPr>
              <w:widowControl w:val="0"/>
              <w:kinsoku w:val="0"/>
              <w:spacing w:before="20"/>
              <w:jc w:val="center"/>
              <w:rPr>
                <w:b/>
                <w:sz w:val="22"/>
                <w:szCs w:val="22"/>
                <w:lang w:val="en-US"/>
              </w:rPr>
            </w:pPr>
            <w:r w:rsidRPr="00CF674C">
              <w:rPr>
                <w:b/>
                <w:sz w:val="22"/>
                <w:szCs w:val="22"/>
                <w:lang w:val="en-US"/>
              </w:rPr>
              <w:t>31.12.201</w:t>
            </w:r>
            <w:r w:rsidR="00E70874">
              <w:rPr>
                <w:b/>
                <w:sz w:val="22"/>
                <w:szCs w:val="22"/>
                <w:lang w:val="en-US"/>
              </w:rPr>
              <w:t>9</w:t>
            </w:r>
          </w:p>
        </w:tc>
      </w:tr>
      <w:tr w:rsidR="00AA5DA1" w:rsidRPr="00CF674C" w14:paraId="1B6E665F" w14:textId="77777777" w:rsidTr="00D0634B">
        <w:trPr>
          <w:trHeight w:val="336"/>
          <w:jc w:val="center"/>
        </w:trPr>
        <w:tc>
          <w:tcPr>
            <w:tcW w:w="3542" w:type="pct"/>
            <w:tcBorders>
              <w:top w:val="nil"/>
              <w:left w:val="single" w:sz="4" w:space="0" w:color="auto"/>
              <w:bottom w:val="nil"/>
              <w:right w:val="single" w:sz="4" w:space="0" w:color="auto"/>
            </w:tcBorders>
            <w:shd w:val="clear" w:color="auto" w:fill="auto"/>
            <w:hideMark/>
          </w:tcPr>
          <w:p w14:paraId="43DAEE49" w14:textId="77777777" w:rsidR="00A516FB" w:rsidRPr="00CF674C" w:rsidRDefault="00A516FB" w:rsidP="004F6401">
            <w:pPr>
              <w:widowControl w:val="0"/>
              <w:kinsoku w:val="0"/>
              <w:spacing w:before="20" w:after="60"/>
              <w:rPr>
                <w:bCs/>
                <w:sz w:val="22"/>
                <w:szCs w:val="22"/>
                <w:lang w:val="en-US"/>
              </w:rPr>
            </w:pPr>
            <w:r w:rsidRPr="00CF674C">
              <w:rPr>
                <w:bCs/>
                <w:sz w:val="22"/>
                <w:szCs w:val="22"/>
                <w:lang w:val="en-US"/>
              </w:rPr>
              <w:t>Updating of obligation and contributions for the period</w:t>
            </w:r>
          </w:p>
        </w:tc>
        <w:tc>
          <w:tcPr>
            <w:tcW w:w="729" w:type="pct"/>
            <w:tcBorders>
              <w:top w:val="nil"/>
              <w:left w:val="nil"/>
              <w:bottom w:val="nil"/>
              <w:right w:val="single" w:sz="4" w:space="0" w:color="auto"/>
            </w:tcBorders>
            <w:shd w:val="clear" w:color="auto" w:fill="auto"/>
            <w:noWrap/>
            <w:vAlign w:val="bottom"/>
          </w:tcPr>
          <w:p w14:paraId="40F438A4" w14:textId="77777777" w:rsidR="00A516FB" w:rsidRPr="00CF674C" w:rsidRDefault="00A516FB" w:rsidP="004F6401">
            <w:pPr>
              <w:widowControl w:val="0"/>
              <w:tabs>
                <w:tab w:val="clear" w:pos="1701"/>
              </w:tabs>
              <w:kinsoku w:val="0"/>
              <w:spacing w:before="20"/>
              <w:ind w:right="60"/>
              <w:jc w:val="right"/>
              <w:rPr>
                <w:bCs/>
                <w:i/>
                <w:iCs/>
                <w:sz w:val="22"/>
                <w:szCs w:val="22"/>
                <w:lang w:val="en-US"/>
              </w:rPr>
            </w:pPr>
          </w:p>
        </w:tc>
        <w:tc>
          <w:tcPr>
            <w:tcW w:w="729" w:type="pct"/>
            <w:tcBorders>
              <w:top w:val="nil"/>
              <w:left w:val="nil"/>
              <w:bottom w:val="nil"/>
              <w:right w:val="single" w:sz="4" w:space="0" w:color="auto"/>
            </w:tcBorders>
            <w:vAlign w:val="bottom"/>
          </w:tcPr>
          <w:p w14:paraId="742DC869" w14:textId="77777777" w:rsidR="00A516FB" w:rsidRPr="00CF674C" w:rsidRDefault="00A516FB" w:rsidP="004F6401">
            <w:pPr>
              <w:widowControl w:val="0"/>
              <w:tabs>
                <w:tab w:val="clear" w:pos="1701"/>
              </w:tabs>
              <w:kinsoku w:val="0"/>
              <w:spacing w:before="20"/>
              <w:ind w:right="60"/>
              <w:jc w:val="right"/>
              <w:rPr>
                <w:bCs/>
                <w:i/>
                <w:iCs/>
                <w:sz w:val="22"/>
                <w:szCs w:val="22"/>
                <w:lang w:val="en-US"/>
              </w:rPr>
            </w:pPr>
          </w:p>
        </w:tc>
      </w:tr>
      <w:tr w:rsidR="00E70874" w:rsidRPr="00CF674C" w14:paraId="39092178" w14:textId="77777777" w:rsidTr="00D0634B">
        <w:trPr>
          <w:trHeight w:val="264"/>
          <w:jc w:val="center"/>
        </w:trPr>
        <w:tc>
          <w:tcPr>
            <w:tcW w:w="3542" w:type="pct"/>
            <w:tcBorders>
              <w:top w:val="nil"/>
              <w:left w:val="single" w:sz="4" w:space="0" w:color="auto"/>
              <w:bottom w:val="nil"/>
              <w:right w:val="single" w:sz="4" w:space="0" w:color="auto"/>
            </w:tcBorders>
            <w:shd w:val="clear" w:color="auto" w:fill="auto"/>
            <w:vAlign w:val="bottom"/>
            <w:hideMark/>
          </w:tcPr>
          <w:p w14:paraId="755A18A9" w14:textId="77777777" w:rsidR="00E70874" w:rsidRPr="00CF674C" w:rsidRDefault="00E70874" w:rsidP="00E70874">
            <w:pPr>
              <w:widowControl w:val="0"/>
              <w:kinsoku w:val="0"/>
              <w:spacing w:before="20" w:after="60"/>
              <w:rPr>
                <w:b/>
                <w:sz w:val="22"/>
                <w:szCs w:val="22"/>
                <w:lang w:val="en-US"/>
              </w:rPr>
            </w:pPr>
            <w:r w:rsidRPr="00CF674C">
              <w:rPr>
                <w:sz w:val="22"/>
                <w:szCs w:val="22"/>
                <w:lang w:val="en-US"/>
              </w:rPr>
              <w:t>Service costs</w:t>
            </w:r>
          </w:p>
        </w:tc>
        <w:tc>
          <w:tcPr>
            <w:tcW w:w="729" w:type="pct"/>
            <w:tcBorders>
              <w:top w:val="nil"/>
              <w:left w:val="nil"/>
              <w:bottom w:val="nil"/>
              <w:right w:val="single" w:sz="4" w:space="0" w:color="auto"/>
            </w:tcBorders>
            <w:shd w:val="clear" w:color="auto" w:fill="auto"/>
            <w:vAlign w:val="bottom"/>
          </w:tcPr>
          <w:p w14:paraId="1C70F68B" w14:textId="1C0851B5"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2</w:t>
            </w:r>
            <w:r>
              <w:rPr>
                <w:bCs/>
                <w:sz w:val="22"/>
                <w:szCs w:val="22"/>
                <w:lang w:val="en-US"/>
              </w:rPr>
              <w:t>4</w:t>
            </w:r>
            <w:r w:rsidRPr="00CF674C">
              <w:rPr>
                <w:bCs/>
                <w:sz w:val="22"/>
                <w:szCs w:val="22"/>
                <w:lang w:val="en-US"/>
              </w:rPr>
              <w:t>,</w:t>
            </w:r>
            <w:r>
              <w:rPr>
                <w:bCs/>
                <w:sz w:val="22"/>
                <w:szCs w:val="22"/>
                <w:lang w:val="en-US"/>
              </w:rPr>
              <w:t>026</w:t>
            </w:r>
          </w:p>
        </w:tc>
        <w:tc>
          <w:tcPr>
            <w:tcW w:w="729" w:type="pct"/>
            <w:tcBorders>
              <w:top w:val="nil"/>
              <w:left w:val="nil"/>
              <w:bottom w:val="nil"/>
              <w:right w:val="single" w:sz="4" w:space="0" w:color="auto"/>
            </w:tcBorders>
            <w:vAlign w:val="bottom"/>
          </w:tcPr>
          <w:p w14:paraId="34AF02BF" w14:textId="06335750"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21,759</w:t>
            </w:r>
          </w:p>
        </w:tc>
      </w:tr>
      <w:tr w:rsidR="00E70874" w:rsidRPr="00CF674C" w14:paraId="35CC1499" w14:textId="77777777" w:rsidTr="00D0634B">
        <w:trPr>
          <w:trHeight w:val="264"/>
          <w:jc w:val="center"/>
        </w:trPr>
        <w:tc>
          <w:tcPr>
            <w:tcW w:w="3542" w:type="pct"/>
            <w:tcBorders>
              <w:top w:val="nil"/>
              <w:left w:val="single" w:sz="4" w:space="0" w:color="auto"/>
              <w:bottom w:val="nil"/>
              <w:right w:val="single" w:sz="4" w:space="0" w:color="auto"/>
            </w:tcBorders>
            <w:shd w:val="clear" w:color="auto" w:fill="auto"/>
            <w:vAlign w:val="bottom"/>
          </w:tcPr>
          <w:p w14:paraId="2E55C865" w14:textId="555EEC9E" w:rsidR="00E70874" w:rsidRPr="00CF674C" w:rsidRDefault="00E70874" w:rsidP="00E70874">
            <w:pPr>
              <w:widowControl w:val="0"/>
              <w:kinsoku w:val="0"/>
              <w:spacing w:before="20" w:after="60"/>
              <w:rPr>
                <w:sz w:val="22"/>
                <w:szCs w:val="22"/>
                <w:lang w:val="en-US"/>
              </w:rPr>
            </w:pPr>
            <w:r w:rsidRPr="00CF674C">
              <w:rPr>
                <w:sz w:val="22"/>
                <w:szCs w:val="22"/>
                <w:lang w:val="en-US"/>
              </w:rPr>
              <w:t>Past Service cost (due to new scheme)</w:t>
            </w:r>
          </w:p>
        </w:tc>
        <w:tc>
          <w:tcPr>
            <w:tcW w:w="729" w:type="pct"/>
            <w:tcBorders>
              <w:top w:val="nil"/>
              <w:left w:val="nil"/>
              <w:bottom w:val="nil"/>
              <w:right w:val="single" w:sz="4" w:space="0" w:color="auto"/>
            </w:tcBorders>
            <w:shd w:val="clear" w:color="auto" w:fill="auto"/>
            <w:vAlign w:val="bottom"/>
          </w:tcPr>
          <w:p w14:paraId="2BF58F54" w14:textId="7AA94145"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p>
        </w:tc>
        <w:tc>
          <w:tcPr>
            <w:tcW w:w="729" w:type="pct"/>
            <w:tcBorders>
              <w:top w:val="nil"/>
              <w:left w:val="nil"/>
              <w:bottom w:val="nil"/>
              <w:right w:val="single" w:sz="4" w:space="0" w:color="auto"/>
            </w:tcBorders>
            <w:vAlign w:val="bottom"/>
          </w:tcPr>
          <w:p w14:paraId="06884BAE" w14:textId="391DA7D3"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50,029</w:t>
            </w:r>
          </w:p>
        </w:tc>
      </w:tr>
      <w:tr w:rsidR="00E70874" w:rsidRPr="00CF674C" w14:paraId="57362DD0" w14:textId="77777777" w:rsidTr="00D0634B">
        <w:trPr>
          <w:trHeight w:val="264"/>
          <w:jc w:val="center"/>
        </w:trPr>
        <w:tc>
          <w:tcPr>
            <w:tcW w:w="3542" w:type="pct"/>
            <w:tcBorders>
              <w:top w:val="nil"/>
              <w:left w:val="single" w:sz="4" w:space="0" w:color="auto"/>
              <w:bottom w:val="nil"/>
              <w:right w:val="single" w:sz="4" w:space="0" w:color="auto"/>
            </w:tcBorders>
            <w:shd w:val="clear" w:color="auto" w:fill="auto"/>
            <w:vAlign w:val="bottom"/>
            <w:hideMark/>
          </w:tcPr>
          <w:p w14:paraId="713F08DF" w14:textId="77777777" w:rsidR="00E70874" w:rsidRPr="00CF674C" w:rsidRDefault="00E70874" w:rsidP="00E70874">
            <w:pPr>
              <w:widowControl w:val="0"/>
              <w:kinsoku w:val="0"/>
              <w:spacing w:before="20" w:after="60"/>
              <w:rPr>
                <w:b/>
                <w:sz w:val="22"/>
                <w:szCs w:val="22"/>
                <w:lang w:val="en-US"/>
              </w:rPr>
            </w:pPr>
            <w:r w:rsidRPr="00CF674C">
              <w:rPr>
                <w:sz w:val="22"/>
                <w:szCs w:val="22"/>
                <w:lang w:val="en-US"/>
              </w:rPr>
              <w:t>Finance charge</w:t>
            </w:r>
          </w:p>
        </w:tc>
        <w:tc>
          <w:tcPr>
            <w:tcW w:w="729" w:type="pct"/>
            <w:tcBorders>
              <w:top w:val="nil"/>
              <w:left w:val="nil"/>
              <w:bottom w:val="nil"/>
              <w:right w:val="single" w:sz="4" w:space="0" w:color="auto"/>
            </w:tcBorders>
            <w:shd w:val="clear" w:color="auto" w:fill="auto"/>
            <w:vAlign w:val="bottom"/>
          </w:tcPr>
          <w:p w14:paraId="1A44444E" w14:textId="75697962"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3</w:t>
            </w:r>
            <w:r w:rsidRPr="00CF674C">
              <w:rPr>
                <w:bCs/>
                <w:sz w:val="22"/>
                <w:szCs w:val="22"/>
                <w:lang w:val="en-US"/>
              </w:rPr>
              <w:t>,</w:t>
            </w:r>
            <w:r>
              <w:rPr>
                <w:bCs/>
                <w:sz w:val="22"/>
                <w:szCs w:val="22"/>
                <w:lang w:val="en-US"/>
              </w:rPr>
              <w:t>641</w:t>
            </w:r>
          </w:p>
        </w:tc>
        <w:tc>
          <w:tcPr>
            <w:tcW w:w="729" w:type="pct"/>
            <w:tcBorders>
              <w:top w:val="nil"/>
              <w:left w:val="nil"/>
              <w:bottom w:val="nil"/>
              <w:right w:val="single" w:sz="4" w:space="0" w:color="auto"/>
            </w:tcBorders>
            <w:vAlign w:val="bottom"/>
          </w:tcPr>
          <w:p w14:paraId="47FD3063" w14:textId="6A62A8B3"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6,569</w:t>
            </w:r>
          </w:p>
        </w:tc>
      </w:tr>
      <w:tr w:rsidR="00E70874" w:rsidRPr="00CF674C" w14:paraId="228D79E2" w14:textId="77777777" w:rsidTr="008B23F4">
        <w:trPr>
          <w:trHeight w:val="264"/>
          <w:jc w:val="center"/>
        </w:trPr>
        <w:tc>
          <w:tcPr>
            <w:tcW w:w="3542" w:type="pct"/>
            <w:tcBorders>
              <w:top w:val="nil"/>
              <w:left w:val="single" w:sz="4" w:space="0" w:color="auto"/>
              <w:right w:val="single" w:sz="4" w:space="0" w:color="auto"/>
            </w:tcBorders>
            <w:shd w:val="clear" w:color="auto" w:fill="auto"/>
            <w:vAlign w:val="bottom"/>
          </w:tcPr>
          <w:p w14:paraId="54887B53" w14:textId="00C0068F" w:rsidR="00E70874" w:rsidRPr="00CF674C" w:rsidRDefault="00E70874" w:rsidP="00E70874">
            <w:pPr>
              <w:widowControl w:val="0"/>
              <w:kinsoku w:val="0"/>
              <w:spacing w:before="20" w:after="60"/>
              <w:rPr>
                <w:b/>
                <w:sz w:val="22"/>
                <w:szCs w:val="22"/>
                <w:lang w:val="en-US"/>
              </w:rPr>
            </w:pPr>
          </w:p>
        </w:tc>
        <w:tc>
          <w:tcPr>
            <w:tcW w:w="729" w:type="pct"/>
            <w:tcBorders>
              <w:top w:val="nil"/>
              <w:left w:val="nil"/>
              <w:bottom w:val="single" w:sz="4" w:space="0" w:color="auto"/>
              <w:right w:val="single" w:sz="4" w:space="0" w:color="auto"/>
            </w:tcBorders>
            <w:shd w:val="clear" w:color="auto" w:fill="auto"/>
            <w:vAlign w:val="bottom"/>
          </w:tcPr>
          <w:p w14:paraId="12EFF52C" w14:textId="61C83E57" w:rsidR="00E70874" w:rsidRPr="00CF674C" w:rsidRDefault="00E70874" w:rsidP="00E70874">
            <w:pPr>
              <w:widowControl w:val="0"/>
              <w:tabs>
                <w:tab w:val="clear" w:pos="1701"/>
              </w:tabs>
              <w:kinsoku w:val="0"/>
              <w:spacing w:before="20"/>
              <w:ind w:right="60"/>
              <w:jc w:val="right"/>
              <w:rPr>
                <w:bCs/>
                <w:sz w:val="22"/>
                <w:szCs w:val="22"/>
                <w:lang w:val="en-US"/>
              </w:rPr>
            </w:pPr>
          </w:p>
        </w:tc>
        <w:tc>
          <w:tcPr>
            <w:tcW w:w="729" w:type="pct"/>
            <w:tcBorders>
              <w:top w:val="nil"/>
              <w:left w:val="nil"/>
              <w:bottom w:val="single" w:sz="4" w:space="0" w:color="auto"/>
              <w:right w:val="single" w:sz="4" w:space="0" w:color="auto"/>
            </w:tcBorders>
            <w:vAlign w:val="bottom"/>
          </w:tcPr>
          <w:p w14:paraId="1A9D608B" w14:textId="5A0C77C1" w:rsidR="00E70874" w:rsidRPr="00CF674C" w:rsidRDefault="00E70874" w:rsidP="00E70874">
            <w:pPr>
              <w:widowControl w:val="0"/>
              <w:tabs>
                <w:tab w:val="clear" w:pos="1701"/>
              </w:tabs>
              <w:kinsoku w:val="0"/>
              <w:spacing w:before="20"/>
              <w:ind w:right="60"/>
              <w:jc w:val="right"/>
              <w:rPr>
                <w:bCs/>
                <w:sz w:val="22"/>
                <w:szCs w:val="22"/>
                <w:lang w:val="en-US"/>
              </w:rPr>
            </w:pPr>
          </w:p>
        </w:tc>
      </w:tr>
      <w:tr w:rsidR="00E70874" w:rsidRPr="00CF674C" w14:paraId="3E64712C" w14:textId="77777777" w:rsidTr="00D0634B">
        <w:trPr>
          <w:trHeight w:val="300"/>
          <w:jc w:val="center"/>
        </w:trPr>
        <w:tc>
          <w:tcPr>
            <w:tcW w:w="3542" w:type="pct"/>
            <w:tcBorders>
              <w:top w:val="nil"/>
              <w:left w:val="single" w:sz="4" w:space="0" w:color="auto"/>
              <w:bottom w:val="single" w:sz="4" w:space="0" w:color="auto"/>
              <w:right w:val="single" w:sz="4" w:space="0" w:color="auto"/>
            </w:tcBorders>
            <w:shd w:val="clear" w:color="auto" w:fill="auto"/>
            <w:vAlign w:val="center"/>
            <w:hideMark/>
          </w:tcPr>
          <w:p w14:paraId="28898E39" w14:textId="77777777" w:rsidR="00E70874" w:rsidRPr="00CF674C" w:rsidRDefault="00E70874" w:rsidP="00E70874">
            <w:pPr>
              <w:widowControl w:val="0"/>
              <w:kinsoku w:val="0"/>
              <w:spacing w:before="20" w:after="20"/>
              <w:rPr>
                <w:b/>
                <w:sz w:val="22"/>
                <w:szCs w:val="22"/>
                <w:lang w:val="en-US"/>
              </w:rPr>
            </w:pPr>
            <w:r w:rsidRPr="00CF674C">
              <w:rPr>
                <w:sz w:val="22"/>
                <w:szCs w:val="22"/>
                <w:lang w:val="en-US"/>
              </w:rPr>
              <w:t>Total</w:t>
            </w:r>
          </w:p>
        </w:tc>
        <w:tc>
          <w:tcPr>
            <w:tcW w:w="729" w:type="pct"/>
            <w:tcBorders>
              <w:top w:val="single" w:sz="4" w:space="0" w:color="auto"/>
              <w:left w:val="nil"/>
              <w:bottom w:val="single" w:sz="4" w:space="0" w:color="auto"/>
              <w:right w:val="single" w:sz="4" w:space="0" w:color="auto"/>
            </w:tcBorders>
            <w:shd w:val="clear" w:color="auto" w:fill="auto"/>
            <w:vAlign w:val="center"/>
          </w:tcPr>
          <w:p w14:paraId="4021E03F" w14:textId="126C1810"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27</w:t>
            </w:r>
            <w:r w:rsidRPr="00CF674C">
              <w:rPr>
                <w:rFonts w:cs="Arial"/>
                <w:sz w:val="22"/>
                <w:szCs w:val="22"/>
              </w:rPr>
              <w:t>,</w:t>
            </w:r>
            <w:r>
              <w:rPr>
                <w:rFonts w:cs="Arial"/>
                <w:sz w:val="22"/>
                <w:szCs w:val="22"/>
              </w:rPr>
              <w:t>667</w:t>
            </w:r>
          </w:p>
        </w:tc>
        <w:tc>
          <w:tcPr>
            <w:tcW w:w="729" w:type="pct"/>
            <w:tcBorders>
              <w:top w:val="single" w:sz="4" w:space="0" w:color="auto"/>
              <w:left w:val="nil"/>
              <w:bottom w:val="single" w:sz="4" w:space="0" w:color="auto"/>
              <w:right w:val="single" w:sz="4" w:space="0" w:color="auto"/>
            </w:tcBorders>
            <w:vAlign w:val="center"/>
          </w:tcPr>
          <w:p w14:paraId="6EA4ABEC" w14:textId="57E3CC44"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sidRPr="00CF674C">
              <w:rPr>
                <w:rFonts w:cs="Arial"/>
                <w:sz w:val="22"/>
                <w:szCs w:val="22"/>
              </w:rPr>
              <w:t>78,357</w:t>
            </w:r>
          </w:p>
        </w:tc>
      </w:tr>
    </w:tbl>
    <w:p w14:paraId="42041059" w14:textId="23063804" w:rsidR="0010487B" w:rsidRDefault="008B23F4" w:rsidP="00A27B50">
      <w:pPr>
        <w:tabs>
          <w:tab w:val="clear" w:pos="567"/>
          <w:tab w:val="clear" w:pos="1134"/>
          <w:tab w:val="clear" w:pos="1701"/>
          <w:tab w:val="clear" w:pos="2268"/>
          <w:tab w:val="clear" w:pos="2835"/>
        </w:tabs>
        <w:snapToGrid w:val="0"/>
        <w:spacing w:before="240" w:after="120"/>
        <w:jc w:val="both"/>
        <w:rPr>
          <w:szCs w:val="24"/>
        </w:rPr>
      </w:pPr>
      <w:bookmarkStart w:id="12" w:name="_Hlk38446011"/>
      <w:r>
        <w:rPr>
          <w:szCs w:val="24"/>
        </w:rPr>
        <w:t>3</w:t>
      </w:r>
      <w:r w:rsidR="005A093A">
        <w:rPr>
          <w:szCs w:val="24"/>
        </w:rPr>
        <w:t>.</w:t>
      </w:r>
      <w:r w:rsidR="0097188A">
        <w:rPr>
          <w:szCs w:val="24"/>
        </w:rPr>
        <w:t>3</w:t>
      </w:r>
      <w:r w:rsidR="00D27AE7">
        <w:rPr>
          <w:szCs w:val="24"/>
        </w:rPr>
        <w:tab/>
      </w:r>
      <w:r w:rsidR="00C00785">
        <w:rPr>
          <w:szCs w:val="24"/>
        </w:rPr>
        <w:t>Since 2016</w:t>
      </w:r>
      <w:r w:rsidR="00B905B1">
        <w:rPr>
          <w:szCs w:val="24"/>
        </w:rPr>
        <w:t>,</w:t>
      </w:r>
      <w:r w:rsidR="00A516FB">
        <w:rPr>
          <w:szCs w:val="24"/>
        </w:rPr>
        <w:t xml:space="preserve"> </w:t>
      </w:r>
      <w:r w:rsidR="00AE6F5F">
        <w:rPr>
          <w:szCs w:val="24"/>
        </w:rPr>
        <w:t>further to a decision of the UN IPSAS task force</w:t>
      </w:r>
      <w:r w:rsidR="0097188A">
        <w:rPr>
          <w:szCs w:val="24"/>
        </w:rPr>
        <w:t>,</w:t>
      </w:r>
      <w:r w:rsidR="00AE6F5F">
        <w:rPr>
          <w:szCs w:val="24"/>
        </w:rPr>
        <w:t xml:space="preserve"> all the assumptions related to the ASHI valuation have been harmonized among the UN agencies</w:t>
      </w:r>
      <w:r w:rsidR="005A093A">
        <w:rPr>
          <w:szCs w:val="24"/>
        </w:rPr>
        <w:t>.</w:t>
      </w:r>
    </w:p>
    <w:bookmarkEnd w:id="12"/>
    <w:p w14:paraId="164ECB6B" w14:textId="4215469F" w:rsidR="00687F0A" w:rsidRDefault="008B23F4" w:rsidP="009F3AC8">
      <w:pPr>
        <w:tabs>
          <w:tab w:val="clear" w:pos="567"/>
          <w:tab w:val="clear" w:pos="1134"/>
          <w:tab w:val="clear" w:pos="1701"/>
          <w:tab w:val="clear" w:pos="2268"/>
          <w:tab w:val="clear" w:pos="2835"/>
        </w:tabs>
        <w:snapToGrid w:val="0"/>
        <w:spacing w:after="120"/>
        <w:jc w:val="both"/>
      </w:pPr>
      <w:r>
        <w:rPr>
          <w:szCs w:val="24"/>
        </w:rPr>
        <w:t>3</w:t>
      </w:r>
      <w:r w:rsidR="006415CC">
        <w:rPr>
          <w:szCs w:val="24"/>
        </w:rPr>
        <w:t>.</w:t>
      </w:r>
      <w:r w:rsidR="0097188A">
        <w:rPr>
          <w:szCs w:val="24"/>
        </w:rPr>
        <w:t>4</w:t>
      </w:r>
      <w:r w:rsidR="006415CC">
        <w:rPr>
          <w:szCs w:val="24"/>
        </w:rPr>
        <w:tab/>
      </w:r>
      <w:r w:rsidR="000D6FBB" w:rsidRPr="000D6FBB">
        <w:t>Among the actuarial assumptions used in the actuarial valuation, the discount rate (based on AA corporate obligations return), the increase of medical costs and the increase of salary have the most significant impact</w:t>
      </w:r>
      <w:r w:rsidR="000D6FBB">
        <w:t>s</w:t>
      </w:r>
      <w:r w:rsidR="000D6FBB" w:rsidRPr="000D6FBB">
        <w:t>. A decrease of discount rate or increase in medical costs</w:t>
      </w:r>
      <w:r w:rsidR="0097188A">
        <w:t>,</w:t>
      </w:r>
      <w:r w:rsidR="000D6FBB" w:rsidRPr="000D6FBB">
        <w:t xml:space="preserve"> results in an increase of the ASHI liability, whereas an increase of salary results in an increase of the members’ and ITU’s contributions and support to the funding of the ASHI liability.</w:t>
      </w:r>
    </w:p>
    <w:p w14:paraId="5837157D" w14:textId="389B2ABC" w:rsidR="00EB3703" w:rsidRDefault="008B23F4" w:rsidP="00A516FB">
      <w:pPr>
        <w:tabs>
          <w:tab w:val="clear" w:pos="567"/>
          <w:tab w:val="clear" w:pos="1134"/>
          <w:tab w:val="clear" w:pos="1701"/>
          <w:tab w:val="clear" w:pos="2268"/>
          <w:tab w:val="clear" w:pos="2835"/>
        </w:tabs>
        <w:snapToGrid w:val="0"/>
        <w:spacing w:after="360"/>
        <w:jc w:val="both"/>
        <w:rPr>
          <w:b/>
          <w:bCs/>
        </w:rPr>
      </w:pPr>
      <w:r>
        <w:rPr>
          <w:szCs w:val="24"/>
        </w:rPr>
        <w:t>3</w:t>
      </w:r>
      <w:r w:rsidR="0097188A">
        <w:rPr>
          <w:szCs w:val="24"/>
        </w:rPr>
        <w:t>.5</w:t>
      </w:r>
      <w:r w:rsidR="0097188A">
        <w:rPr>
          <w:szCs w:val="24"/>
        </w:rPr>
        <w:tab/>
      </w:r>
      <w:r w:rsidR="006415CC">
        <w:rPr>
          <w:szCs w:val="24"/>
        </w:rPr>
        <w:t>Th</w:t>
      </w:r>
      <w:r w:rsidR="00A516FB">
        <w:rPr>
          <w:szCs w:val="24"/>
        </w:rPr>
        <w:t>e</w:t>
      </w:r>
      <w:r w:rsidR="006415CC">
        <w:rPr>
          <w:szCs w:val="24"/>
        </w:rPr>
        <w:t xml:space="preserve"> evolution of these assumptions is illustrated in the table below.</w:t>
      </w:r>
    </w:p>
    <w:tbl>
      <w:tblPr>
        <w:tblpPr w:leftFromText="180" w:rightFromText="180" w:vertAnchor="text" w:horzAnchor="margin" w:tblpY="-50"/>
        <w:tblW w:w="5000" w:type="pct"/>
        <w:tblLook w:val="04A0" w:firstRow="1" w:lastRow="0" w:firstColumn="1" w:lastColumn="0" w:noHBand="0" w:noVBand="1"/>
      </w:tblPr>
      <w:tblGrid>
        <w:gridCol w:w="2825"/>
        <w:gridCol w:w="1327"/>
        <w:gridCol w:w="1327"/>
        <w:gridCol w:w="1156"/>
        <w:gridCol w:w="991"/>
        <w:gridCol w:w="998"/>
        <w:gridCol w:w="995"/>
      </w:tblGrid>
      <w:tr w:rsidR="00EB3703" w:rsidRPr="00314801" w14:paraId="6C002F58" w14:textId="77777777" w:rsidTr="00EB3703">
        <w:trPr>
          <w:trHeight w:val="435"/>
        </w:trPr>
        <w:tc>
          <w:tcPr>
            <w:tcW w:w="1468" w:type="pct"/>
            <w:tcBorders>
              <w:top w:val="single" w:sz="8" w:space="0" w:color="auto"/>
              <w:left w:val="single" w:sz="8" w:space="0" w:color="auto"/>
              <w:bottom w:val="nil"/>
              <w:right w:val="single" w:sz="4" w:space="0" w:color="auto"/>
            </w:tcBorders>
            <w:shd w:val="clear" w:color="auto" w:fill="auto"/>
            <w:vAlign w:val="center"/>
            <w:hideMark/>
          </w:tcPr>
          <w:p w14:paraId="72E231B1" w14:textId="77777777" w:rsidR="00EB3703" w:rsidRPr="00EB3703" w:rsidRDefault="00EB3703" w:rsidP="00437361">
            <w:pPr>
              <w:rPr>
                <w:rFonts w:asciiTheme="minorHAnsi" w:hAnsiTheme="minorHAnsi" w:cstheme="minorHAnsi"/>
                <w:color w:val="000000"/>
                <w:sz w:val="22"/>
                <w:szCs w:val="22"/>
              </w:rPr>
            </w:pPr>
            <w:r w:rsidRPr="00EB3703">
              <w:rPr>
                <w:rFonts w:asciiTheme="minorHAnsi" w:hAnsiTheme="minorHAnsi" w:cstheme="minorHAnsi"/>
                <w:color w:val="000000"/>
                <w:sz w:val="22"/>
                <w:szCs w:val="22"/>
              </w:rPr>
              <w:t> </w:t>
            </w:r>
          </w:p>
        </w:tc>
        <w:tc>
          <w:tcPr>
            <w:tcW w:w="690" w:type="pct"/>
            <w:tcBorders>
              <w:top w:val="single" w:sz="8" w:space="0" w:color="auto"/>
              <w:left w:val="nil"/>
              <w:bottom w:val="single" w:sz="8" w:space="0" w:color="auto"/>
              <w:right w:val="single" w:sz="8" w:space="0" w:color="auto"/>
            </w:tcBorders>
            <w:shd w:val="clear" w:color="auto" w:fill="auto"/>
            <w:noWrap/>
            <w:vAlign w:val="center"/>
            <w:hideMark/>
          </w:tcPr>
          <w:p w14:paraId="79DC172D" w14:textId="59203E38" w:rsidR="00EB3703" w:rsidRPr="00EB3703" w:rsidRDefault="00EB3703" w:rsidP="00437361">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sidR="00AE0D13">
              <w:rPr>
                <w:rFonts w:asciiTheme="minorHAnsi" w:hAnsiTheme="minorHAnsi" w:cstheme="minorHAnsi"/>
                <w:color w:val="000000"/>
                <w:sz w:val="22"/>
                <w:szCs w:val="22"/>
              </w:rPr>
              <w:t>5</w:t>
            </w:r>
          </w:p>
        </w:tc>
        <w:tc>
          <w:tcPr>
            <w:tcW w:w="690" w:type="pct"/>
            <w:tcBorders>
              <w:top w:val="single" w:sz="8" w:space="0" w:color="auto"/>
              <w:left w:val="nil"/>
              <w:bottom w:val="single" w:sz="8" w:space="0" w:color="auto"/>
              <w:right w:val="single" w:sz="8" w:space="0" w:color="auto"/>
            </w:tcBorders>
            <w:shd w:val="clear" w:color="auto" w:fill="auto"/>
            <w:vAlign w:val="center"/>
            <w:hideMark/>
          </w:tcPr>
          <w:p w14:paraId="0B720061" w14:textId="44FFCB4D" w:rsidR="00EB3703" w:rsidRPr="00EB3703" w:rsidRDefault="00EB3703" w:rsidP="00437361">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sidR="00AE0D13">
              <w:rPr>
                <w:rFonts w:asciiTheme="minorHAnsi" w:hAnsiTheme="minorHAnsi" w:cstheme="minorHAnsi"/>
                <w:color w:val="000000"/>
                <w:sz w:val="22"/>
                <w:szCs w:val="22"/>
              </w:rPr>
              <w:t>6</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2F85336D" w14:textId="24272476" w:rsidR="00EB3703" w:rsidRPr="00EB3703" w:rsidRDefault="00EB3703" w:rsidP="00437361">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sidR="00AE0D13">
              <w:rPr>
                <w:rFonts w:asciiTheme="minorHAnsi" w:hAnsiTheme="minorHAnsi" w:cstheme="minorHAnsi"/>
                <w:color w:val="000000"/>
                <w:sz w:val="22"/>
                <w:szCs w:val="22"/>
              </w:rPr>
              <w:t>7</w:t>
            </w:r>
          </w:p>
        </w:tc>
        <w:tc>
          <w:tcPr>
            <w:tcW w:w="515" w:type="pct"/>
            <w:tcBorders>
              <w:top w:val="single" w:sz="8" w:space="0" w:color="auto"/>
              <w:left w:val="nil"/>
              <w:bottom w:val="single" w:sz="8" w:space="0" w:color="auto"/>
              <w:right w:val="single" w:sz="8" w:space="0" w:color="auto"/>
            </w:tcBorders>
            <w:shd w:val="clear" w:color="auto" w:fill="auto"/>
            <w:vAlign w:val="center"/>
            <w:hideMark/>
          </w:tcPr>
          <w:p w14:paraId="24129A31" w14:textId="0CAE9465" w:rsidR="00EB3703" w:rsidRPr="00EB3703" w:rsidRDefault="00EB3703" w:rsidP="00437361">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sidR="00AE0D13">
              <w:rPr>
                <w:rFonts w:asciiTheme="minorHAnsi" w:hAnsiTheme="minorHAnsi" w:cstheme="minorHAnsi"/>
                <w:color w:val="000000"/>
                <w:sz w:val="22"/>
                <w:szCs w:val="22"/>
              </w:rPr>
              <w:t>8</w:t>
            </w:r>
          </w:p>
        </w:tc>
        <w:tc>
          <w:tcPr>
            <w:tcW w:w="519" w:type="pct"/>
            <w:tcBorders>
              <w:top w:val="single" w:sz="8" w:space="0" w:color="auto"/>
              <w:left w:val="nil"/>
              <w:bottom w:val="single" w:sz="8" w:space="0" w:color="auto"/>
              <w:right w:val="single" w:sz="8" w:space="0" w:color="auto"/>
            </w:tcBorders>
            <w:vAlign w:val="center"/>
          </w:tcPr>
          <w:p w14:paraId="78B2091D" w14:textId="207F8BC8" w:rsidR="00EB3703" w:rsidRPr="00EB3703" w:rsidRDefault="00EB3703" w:rsidP="00437361">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sidR="00AE0D13">
              <w:rPr>
                <w:rFonts w:asciiTheme="minorHAnsi" w:hAnsiTheme="minorHAnsi" w:cstheme="minorHAnsi"/>
                <w:color w:val="000000"/>
                <w:sz w:val="22"/>
                <w:szCs w:val="22"/>
              </w:rPr>
              <w:t>9</w:t>
            </w:r>
          </w:p>
        </w:tc>
        <w:tc>
          <w:tcPr>
            <w:tcW w:w="517" w:type="pct"/>
            <w:tcBorders>
              <w:top w:val="single" w:sz="8" w:space="0" w:color="auto"/>
              <w:left w:val="nil"/>
              <w:bottom w:val="single" w:sz="8" w:space="0" w:color="auto"/>
              <w:right w:val="single" w:sz="8" w:space="0" w:color="auto"/>
            </w:tcBorders>
            <w:vAlign w:val="center"/>
          </w:tcPr>
          <w:p w14:paraId="61148A08" w14:textId="58224E1F" w:rsidR="00EB3703" w:rsidRPr="00EB3703" w:rsidRDefault="00EB3703" w:rsidP="00437361">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w:t>
            </w:r>
            <w:r w:rsidR="00AE0D13">
              <w:rPr>
                <w:rFonts w:asciiTheme="minorHAnsi" w:hAnsiTheme="minorHAnsi" w:cstheme="minorHAnsi"/>
                <w:color w:val="000000"/>
                <w:sz w:val="22"/>
                <w:szCs w:val="22"/>
              </w:rPr>
              <w:t>20</w:t>
            </w:r>
          </w:p>
        </w:tc>
      </w:tr>
      <w:tr w:rsidR="00EB3703" w:rsidRPr="00314801" w14:paraId="20D95E90" w14:textId="77777777" w:rsidTr="00EB3703">
        <w:trPr>
          <w:trHeight w:val="480"/>
        </w:trPr>
        <w:tc>
          <w:tcPr>
            <w:tcW w:w="1468" w:type="pct"/>
            <w:tcBorders>
              <w:top w:val="nil"/>
              <w:left w:val="single" w:sz="8" w:space="0" w:color="auto"/>
              <w:bottom w:val="nil"/>
              <w:right w:val="single" w:sz="4" w:space="0" w:color="auto"/>
            </w:tcBorders>
            <w:shd w:val="clear" w:color="auto" w:fill="auto"/>
            <w:vAlign w:val="center"/>
            <w:hideMark/>
          </w:tcPr>
          <w:p w14:paraId="657FF571" w14:textId="77777777" w:rsidR="00EB3703" w:rsidRPr="00EB3703" w:rsidRDefault="00EB3703" w:rsidP="0009300C">
            <w:pPr>
              <w:rPr>
                <w:rFonts w:asciiTheme="minorHAnsi" w:hAnsiTheme="minorHAnsi" w:cstheme="minorHAnsi"/>
                <w:color w:val="000000"/>
                <w:sz w:val="22"/>
                <w:szCs w:val="22"/>
              </w:rPr>
            </w:pPr>
            <w:r w:rsidRPr="00EB3703">
              <w:rPr>
                <w:rFonts w:asciiTheme="minorHAnsi" w:hAnsiTheme="minorHAnsi" w:cstheme="minorHAnsi"/>
                <w:color w:val="000000"/>
                <w:sz w:val="22"/>
                <w:szCs w:val="22"/>
              </w:rPr>
              <w:t>Discount rate</w:t>
            </w:r>
          </w:p>
        </w:tc>
        <w:tc>
          <w:tcPr>
            <w:tcW w:w="690" w:type="pct"/>
            <w:tcBorders>
              <w:top w:val="nil"/>
              <w:left w:val="nil"/>
              <w:bottom w:val="nil"/>
              <w:right w:val="single" w:sz="8" w:space="0" w:color="auto"/>
            </w:tcBorders>
            <w:shd w:val="clear" w:color="auto" w:fill="auto"/>
            <w:noWrap/>
            <w:vAlign w:val="bottom"/>
            <w:hideMark/>
          </w:tcPr>
          <w:p w14:paraId="2F386BC1" w14:textId="371BECA1" w:rsidR="00EB3703" w:rsidRPr="00EB3703" w:rsidRDefault="00EB3703" w:rsidP="0009300C">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1.</w:t>
            </w:r>
            <w:r w:rsidR="00AE0D13">
              <w:rPr>
                <w:rFonts w:asciiTheme="minorHAnsi" w:hAnsiTheme="minorHAnsi" w:cstheme="minorHAnsi"/>
                <w:color w:val="000000"/>
                <w:sz w:val="22"/>
                <w:szCs w:val="22"/>
              </w:rPr>
              <w:t>32</w:t>
            </w:r>
            <w:r w:rsidRPr="00EB3703">
              <w:rPr>
                <w:rFonts w:asciiTheme="minorHAnsi" w:hAnsiTheme="minorHAnsi" w:cstheme="minorHAnsi"/>
                <w:color w:val="000000"/>
                <w:sz w:val="22"/>
                <w:szCs w:val="22"/>
              </w:rPr>
              <w:t>%</w:t>
            </w:r>
          </w:p>
        </w:tc>
        <w:tc>
          <w:tcPr>
            <w:tcW w:w="690" w:type="pct"/>
            <w:tcBorders>
              <w:top w:val="nil"/>
              <w:left w:val="nil"/>
              <w:bottom w:val="nil"/>
              <w:right w:val="single" w:sz="8" w:space="0" w:color="auto"/>
            </w:tcBorders>
            <w:shd w:val="clear" w:color="auto" w:fill="auto"/>
            <w:noWrap/>
            <w:vAlign w:val="bottom"/>
            <w:hideMark/>
          </w:tcPr>
          <w:p w14:paraId="228A8F9A" w14:textId="69C6F1F4" w:rsidR="00EB3703" w:rsidRPr="00EB3703" w:rsidRDefault="00AE0D13" w:rsidP="0009300C">
            <w:pPr>
              <w:jc w:val="center"/>
              <w:rPr>
                <w:rFonts w:asciiTheme="minorHAnsi" w:hAnsiTheme="minorHAnsi" w:cstheme="minorHAnsi"/>
                <w:color w:val="000000"/>
                <w:sz w:val="22"/>
                <w:szCs w:val="22"/>
              </w:rPr>
            </w:pPr>
            <w:r>
              <w:rPr>
                <w:rFonts w:asciiTheme="minorHAnsi" w:hAnsiTheme="minorHAnsi" w:cstheme="minorHAnsi"/>
                <w:color w:val="000000"/>
                <w:sz w:val="22"/>
                <w:szCs w:val="22"/>
              </w:rPr>
              <w:t>0</w:t>
            </w:r>
            <w:r w:rsidR="00EB3703" w:rsidRPr="00EB3703">
              <w:rPr>
                <w:rFonts w:asciiTheme="minorHAnsi" w:hAnsiTheme="minorHAnsi" w:cstheme="minorHAnsi"/>
                <w:color w:val="000000"/>
                <w:sz w:val="22"/>
                <w:szCs w:val="22"/>
              </w:rPr>
              <w:t>.</w:t>
            </w:r>
            <w:r>
              <w:rPr>
                <w:rFonts w:asciiTheme="minorHAnsi" w:hAnsiTheme="minorHAnsi" w:cstheme="minorHAnsi"/>
                <w:color w:val="000000"/>
                <w:sz w:val="22"/>
                <w:szCs w:val="22"/>
              </w:rPr>
              <w:t>92</w:t>
            </w:r>
            <w:r w:rsidR="00EB3703" w:rsidRPr="00EB3703">
              <w:rPr>
                <w:rFonts w:asciiTheme="minorHAnsi" w:hAnsiTheme="minorHAnsi" w:cstheme="minorHAnsi"/>
                <w:color w:val="000000"/>
                <w:sz w:val="22"/>
                <w:szCs w:val="22"/>
              </w:rPr>
              <w:t>%</w:t>
            </w:r>
          </w:p>
        </w:tc>
        <w:tc>
          <w:tcPr>
            <w:tcW w:w="601" w:type="pct"/>
            <w:tcBorders>
              <w:top w:val="nil"/>
              <w:left w:val="nil"/>
              <w:bottom w:val="nil"/>
              <w:right w:val="single" w:sz="8" w:space="0" w:color="auto"/>
            </w:tcBorders>
            <w:shd w:val="clear" w:color="auto" w:fill="auto"/>
            <w:noWrap/>
            <w:vAlign w:val="bottom"/>
            <w:hideMark/>
          </w:tcPr>
          <w:p w14:paraId="38B3BB2C" w14:textId="103D14C8" w:rsidR="00EB3703" w:rsidRPr="00EB3703" w:rsidRDefault="00EB3703" w:rsidP="0009300C">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0.9</w:t>
            </w:r>
            <w:r w:rsidR="00AE0D13">
              <w:rPr>
                <w:rFonts w:asciiTheme="minorHAnsi" w:hAnsiTheme="minorHAnsi" w:cstheme="minorHAnsi"/>
                <w:color w:val="000000"/>
                <w:sz w:val="22"/>
                <w:szCs w:val="22"/>
              </w:rPr>
              <w:t>0</w:t>
            </w:r>
            <w:r w:rsidRPr="00EB3703">
              <w:rPr>
                <w:rFonts w:asciiTheme="minorHAnsi" w:hAnsiTheme="minorHAnsi" w:cstheme="minorHAnsi"/>
                <w:color w:val="000000"/>
                <w:sz w:val="22"/>
                <w:szCs w:val="22"/>
              </w:rPr>
              <w:t>%</w:t>
            </w:r>
          </w:p>
        </w:tc>
        <w:tc>
          <w:tcPr>
            <w:tcW w:w="515" w:type="pct"/>
            <w:tcBorders>
              <w:top w:val="nil"/>
              <w:left w:val="nil"/>
              <w:bottom w:val="nil"/>
              <w:right w:val="single" w:sz="8" w:space="0" w:color="auto"/>
            </w:tcBorders>
            <w:shd w:val="clear" w:color="auto" w:fill="auto"/>
            <w:noWrap/>
            <w:vAlign w:val="bottom"/>
            <w:hideMark/>
          </w:tcPr>
          <w:p w14:paraId="6220519C" w14:textId="11B966B3" w:rsidR="00EB3703" w:rsidRPr="00EB3703" w:rsidRDefault="00AE0D13" w:rsidP="0009300C">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r w:rsidR="00EB3703" w:rsidRPr="00EB3703">
              <w:rPr>
                <w:rFonts w:asciiTheme="minorHAnsi" w:hAnsiTheme="minorHAnsi" w:cstheme="minorHAnsi"/>
                <w:color w:val="000000"/>
                <w:sz w:val="22"/>
                <w:szCs w:val="22"/>
              </w:rPr>
              <w:t>0%</w:t>
            </w:r>
          </w:p>
        </w:tc>
        <w:tc>
          <w:tcPr>
            <w:tcW w:w="519" w:type="pct"/>
            <w:tcBorders>
              <w:top w:val="nil"/>
              <w:left w:val="nil"/>
              <w:bottom w:val="nil"/>
              <w:right w:val="single" w:sz="8" w:space="0" w:color="auto"/>
            </w:tcBorders>
            <w:vAlign w:val="bottom"/>
          </w:tcPr>
          <w:p w14:paraId="0CE7CA95" w14:textId="3E35C865" w:rsidR="00EB3703" w:rsidRPr="00EB3703" w:rsidRDefault="00AE0D13" w:rsidP="0009300C">
            <w:pPr>
              <w:jc w:val="center"/>
              <w:rPr>
                <w:rFonts w:asciiTheme="minorHAnsi" w:hAnsiTheme="minorHAnsi" w:cstheme="minorHAnsi"/>
                <w:color w:val="000000"/>
                <w:sz w:val="22"/>
                <w:szCs w:val="22"/>
              </w:rPr>
            </w:pPr>
            <w:r>
              <w:rPr>
                <w:rFonts w:asciiTheme="minorHAnsi" w:hAnsiTheme="minorHAnsi" w:cstheme="minorHAnsi"/>
                <w:color w:val="000000"/>
                <w:sz w:val="22"/>
                <w:szCs w:val="22"/>
              </w:rPr>
              <w:t>0.6</w:t>
            </w:r>
            <w:r w:rsidR="00EB3703" w:rsidRPr="00EB3703">
              <w:rPr>
                <w:rFonts w:asciiTheme="minorHAnsi" w:hAnsiTheme="minorHAnsi" w:cstheme="minorHAnsi"/>
                <w:color w:val="000000"/>
                <w:sz w:val="22"/>
                <w:szCs w:val="22"/>
              </w:rPr>
              <w:t>0%</w:t>
            </w:r>
          </w:p>
        </w:tc>
        <w:tc>
          <w:tcPr>
            <w:tcW w:w="517" w:type="pct"/>
            <w:tcBorders>
              <w:top w:val="nil"/>
              <w:left w:val="nil"/>
              <w:bottom w:val="nil"/>
              <w:right w:val="single" w:sz="8" w:space="0" w:color="auto"/>
            </w:tcBorders>
            <w:vAlign w:val="bottom"/>
          </w:tcPr>
          <w:p w14:paraId="335361BD" w14:textId="3055964C" w:rsidR="00EB3703" w:rsidRPr="00EB3703" w:rsidRDefault="00EB3703" w:rsidP="0009300C">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0.</w:t>
            </w:r>
            <w:r w:rsidR="00AE0D13">
              <w:rPr>
                <w:rFonts w:asciiTheme="minorHAnsi" w:hAnsiTheme="minorHAnsi" w:cstheme="minorHAnsi"/>
                <w:color w:val="000000"/>
                <w:sz w:val="22"/>
                <w:szCs w:val="22"/>
              </w:rPr>
              <w:t>2</w:t>
            </w:r>
            <w:r w:rsidRPr="00EB3703">
              <w:rPr>
                <w:rFonts w:asciiTheme="minorHAnsi" w:hAnsiTheme="minorHAnsi" w:cstheme="minorHAnsi"/>
                <w:color w:val="000000"/>
                <w:sz w:val="22"/>
                <w:szCs w:val="22"/>
              </w:rPr>
              <w:t>0%</w:t>
            </w:r>
          </w:p>
        </w:tc>
      </w:tr>
      <w:tr w:rsidR="00EB3703" w:rsidRPr="00314801" w14:paraId="758E09DB" w14:textId="77777777" w:rsidTr="00EB3703">
        <w:trPr>
          <w:trHeight w:val="420"/>
        </w:trPr>
        <w:tc>
          <w:tcPr>
            <w:tcW w:w="1468" w:type="pct"/>
            <w:tcBorders>
              <w:top w:val="nil"/>
              <w:left w:val="single" w:sz="8" w:space="0" w:color="auto"/>
              <w:bottom w:val="nil"/>
              <w:right w:val="single" w:sz="4" w:space="0" w:color="auto"/>
            </w:tcBorders>
            <w:shd w:val="clear" w:color="auto" w:fill="auto"/>
            <w:vAlign w:val="center"/>
            <w:hideMark/>
          </w:tcPr>
          <w:p w14:paraId="4E0D780E" w14:textId="77777777" w:rsidR="00EB3703" w:rsidRPr="00EB3703" w:rsidRDefault="00EB3703" w:rsidP="0009300C">
            <w:pPr>
              <w:rPr>
                <w:rFonts w:asciiTheme="minorHAnsi" w:hAnsiTheme="minorHAnsi" w:cstheme="minorHAnsi"/>
                <w:color w:val="000000"/>
                <w:sz w:val="22"/>
                <w:szCs w:val="22"/>
              </w:rPr>
            </w:pPr>
            <w:r w:rsidRPr="00EB3703">
              <w:rPr>
                <w:rFonts w:asciiTheme="minorHAnsi" w:hAnsiTheme="minorHAnsi" w:cstheme="minorHAnsi"/>
                <w:color w:val="000000"/>
                <w:sz w:val="22"/>
                <w:szCs w:val="22"/>
              </w:rPr>
              <w:t>Increase in medical cost</w:t>
            </w:r>
          </w:p>
        </w:tc>
        <w:tc>
          <w:tcPr>
            <w:tcW w:w="690" w:type="pct"/>
            <w:tcBorders>
              <w:top w:val="nil"/>
              <w:left w:val="nil"/>
              <w:bottom w:val="nil"/>
              <w:right w:val="single" w:sz="8" w:space="0" w:color="auto"/>
            </w:tcBorders>
            <w:shd w:val="clear" w:color="auto" w:fill="auto"/>
            <w:vAlign w:val="bottom"/>
            <w:hideMark/>
          </w:tcPr>
          <w:p w14:paraId="138B1C7A" w14:textId="14C08C6F" w:rsidR="00EB3703" w:rsidRPr="00EB3703" w:rsidRDefault="00AE0D13" w:rsidP="0009300C">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4</w:t>
            </w:r>
            <w:r w:rsidR="00EB3703" w:rsidRPr="00EB3703">
              <w:rPr>
                <w:rFonts w:asciiTheme="minorHAnsi" w:hAnsiTheme="minorHAnsi" w:cstheme="minorHAnsi"/>
                <w:i/>
                <w:iCs/>
                <w:color w:val="000000"/>
                <w:sz w:val="22"/>
                <w:szCs w:val="22"/>
              </w:rPr>
              <w:t>.</w:t>
            </w:r>
            <w:r>
              <w:rPr>
                <w:rFonts w:asciiTheme="minorHAnsi" w:hAnsiTheme="minorHAnsi" w:cstheme="minorHAnsi"/>
                <w:i/>
                <w:iCs/>
                <w:color w:val="000000"/>
                <w:sz w:val="22"/>
                <w:szCs w:val="22"/>
              </w:rPr>
              <w:t>80</w:t>
            </w:r>
            <w:r w:rsidR="00EB3703" w:rsidRPr="00EB3703">
              <w:rPr>
                <w:rFonts w:asciiTheme="minorHAnsi" w:hAnsiTheme="minorHAnsi" w:cstheme="minorHAnsi"/>
                <w:i/>
                <w:iCs/>
                <w:color w:val="000000"/>
                <w:sz w:val="22"/>
                <w:szCs w:val="22"/>
              </w:rPr>
              <w:t>%</w:t>
            </w:r>
          </w:p>
        </w:tc>
        <w:tc>
          <w:tcPr>
            <w:tcW w:w="690" w:type="pct"/>
            <w:tcBorders>
              <w:top w:val="nil"/>
              <w:left w:val="nil"/>
              <w:bottom w:val="nil"/>
              <w:right w:val="single" w:sz="8" w:space="0" w:color="auto"/>
            </w:tcBorders>
            <w:shd w:val="clear" w:color="auto" w:fill="auto"/>
            <w:vAlign w:val="bottom"/>
            <w:hideMark/>
          </w:tcPr>
          <w:p w14:paraId="5AD037E8" w14:textId="3512819F" w:rsidR="00EB3703" w:rsidRPr="00EB3703" w:rsidRDefault="00AE0D13" w:rsidP="0009300C">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4</w:t>
            </w:r>
            <w:r w:rsidR="00EB3703" w:rsidRPr="00EB3703">
              <w:rPr>
                <w:rFonts w:asciiTheme="minorHAnsi" w:hAnsiTheme="minorHAnsi" w:cstheme="minorHAnsi"/>
                <w:i/>
                <w:iCs/>
                <w:color w:val="000000"/>
                <w:sz w:val="22"/>
                <w:szCs w:val="22"/>
              </w:rPr>
              <w:t>.</w:t>
            </w:r>
            <w:r>
              <w:rPr>
                <w:rFonts w:asciiTheme="minorHAnsi" w:hAnsiTheme="minorHAnsi" w:cstheme="minorHAnsi"/>
                <w:i/>
                <w:iCs/>
                <w:color w:val="000000"/>
                <w:sz w:val="22"/>
                <w:szCs w:val="22"/>
              </w:rPr>
              <w:t>50</w:t>
            </w:r>
            <w:r w:rsidR="00EB3703" w:rsidRPr="00EB3703">
              <w:rPr>
                <w:rFonts w:asciiTheme="minorHAnsi" w:hAnsiTheme="minorHAnsi" w:cstheme="minorHAnsi"/>
                <w:i/>
                <w:iCs/>
                <w:color w:val="000000"/>
                <w:sz w:val="22"/>
                <w:szCs w:val="22"/>
              </w:rPr>
              <w:t>%</w:t>
            </w:r>
          </w:p>
        </w:tc>
        <w:tc>
          <w:tcPr>
            <w:tcW w:w="601" w:type="pct"/>
            <w:tcBorders>
              <w:top w:val="nil"/>
              <w:left w:val="nil"/>
              <w:bottom w:val="nil"/>
              <w:right w:val="single" w:sz="8" w:space="0" w:color="auto"/>
            </w:tcBorders>
            <w:shd w:val="clear" w:color="auto" w:fill="auto"/>
            <w:vAlign w:val="bottom"/>
            <w:hideMark/>
          </w:tcPr>
          <w:p w14:paraId="00FD92FB" w14:textId="69BE4F19" w:rsidR="00EB3703" w:rsidRPr="00EB3703" w:rsidRDefault="00EB3703" w:rsidP="0009300C">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4.</w:t>
            </w:r>
            <w:r w:rsidR="00AE0D13">
              <w:rPr>
                <w:rFonts w:asciiTheme="minorHAnsi" w:hAnsiTheme="minorHAnsi" w:cstheme="minorHAnsi"/>
                <w:i/>
                <w:iCs/>
                <w:color w:val="000000"/>
                <w:sz w:val="22"/>
                <w:szCs w:val="22"/>
              </w:rPr>
              <w:t>2</w:t>
            </w:r>
            <w:r w:rsidRPr="00EB3703">
              <w:rPr>
                <w:rFonts w:asciiTheme="minorHAnsi" w:hAnsiTheme="minorHAnsi" w:cstheme="minorHAnsi"/>
                <w:i/>
                <w:iCs/>
                <w:color w:val="000000"/>
                <w:sz w:val="22"/>
                <w:szCs w:val="22"/>
              </w:rPr>
              <w:t>0%</w:t>
            </w:r>
          </w:p>
        </w:tc>
        <w:tc>
          <w:tcPr>
            <w:tcW w:w="515" w:type="pct"/>
            <w:tcBorders>
              <w:top w:val="nil"/>
              <w:left w:val="nil"/>
              <w:bottom w:val="nil"/>
              <w:right w:val="single" w:sz="8" w:space="0" w:color="auto"/>
            </w:tcBorders>
            <w:shd w:val="clear" w:color="auto" w:fill="auto"/>
            <w:vAlign w:val="bottom"/>
            <w:hideMark/>
          </w:tcPr>
          <w:p w14:paraId="1AFC568A" w14:textId="151A4D2D" w:rsidR="00EB3703" w:rsidRPr="00EB3703" w:rsidRDefault="00AE0D13" w:rsidP="0009300C">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3.9</w:t>
            </w:r>
            <w:r w:rsidR="00EB3703" w:rsidRPr="00EB3703">
              <w:rPr>
                <w:rFonts w:asciiTheme="minorHAnsi" w:hAnsiTheme="minorHAnsi" w:cstheme="minorHAnsi"/>
                <w:i/>
                <w:iCs/>
                <w:color w:val="000000"/>
                <w:sz w:val="22"/>
                <w:szCs w:val="22"/>
              </w:rPr>
              <w:t>0%</w:t>
            </w:r>
          </w:p>
        </w:tc>
        <w:tc>
          <w:tcPr>
            <w:tcW w:w="519" w:type="pct"/>
            <w:tcBorders>
              <w:top w:val="nil"/>
              <w:left w:val="nil"/>
              <w:bottom w:val="nil"/>
              <w:right w:val="single" w:sz="8" w:space="0" w:color="auto"/>
            </w:tcBorders>
            <w:vAlign w:val="bottom"/>
          </w:tcPr>
          <w:p w14:paraId="5D90BE2E" w14:textId="50276814" w:rsidR="00EB3703" w:rsidRPr="00EB3703" w:rsidRDefault="00EB3703" w:rsidP="0009300C">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w:t>
            </w:r>
            <w:r w:rsidR="00AE0D13">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517" w:type="pct"/>
            <w:tcBorders>
              <w:top w:val="nil"/>
              <w:left w:val="nil"/>
              <w:bottom w:val="nil"/>
              <w:right w:val="single" w:sz="8" w:space="0" w:color="auto"/>
            </w:tcBorders>
            <w:vAlign w:val="bottom"/>
          </w:tcPr>
          <w:p w14:paraId="14DCCC15" w14:textId="25A9C7E3" w:rsidR="00EB3703" w:rsidRPr="00EB3703" w:rsidRDefault="00AE0D13" w:rsidP="0009300C">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2.8</w:t>
            </w:r>
            <w:r w:rsidR="00EB3703" w:rsidRPr="00EB3703">
              <w:rPr>
                <w:rFonts w:asciiTheme="minorHAnsi" w:hAnsiTheme="minorHAnsi" w:cstheme="minorHAnsi"/>
                <w:i/>
                <w:iCs/>
                <w:color w:val="000000"/>
                <w:sz w:val="22"/>
                <w:szCs w:val="22"/>
              </w:rPr>
              <w:t>0%</w:t>
            </w:r>
          </w:p>
        </w:tc>
      </w:tr>
      <w:tr w:rsidR="00EB3703" w:rsidRPr="00314801" w14:paraId="2B79A869" w14:textId="77777777" w:rsidTr="00AE0D13">
        <w:trPr>
          <w:trHeight w:val="420"/>
        </w:trPr>
        <w:tc>
          <w:tcPr>
            <w:tcW w:w="1468" w:type="pct"/>
            <w:vMerge w:val="restart"/>
            <w:tcBorders>
              <w:top w:val="nil"/>
              <w:left w:val="single" w:sz="8" w:space="0" w:color="auto"/>
              <w:bottom w:val="single" w:sz="8" w:space="0" w:color="000000"/>
              <w:right w:val="single" w:sz="4" w:space="0" w:color="auto"/>
            </w:tcBorders>
            <w:shd w:val="clear" w:color="auto" w:fill="auto"/>
            <w:hideMark/>
          </w:tcPr>
          <w:p w14:paraId="651D1AA8" w14:textId="77777777" w:rsidR="00EB3703" w:rsidRPr="00EB3703" w:rsidRDefault="00EB3703" w:rsidP="00AE0D13">
            <w:pPr>
              <w:rPr>
                <w:rFonts w:asciiTheme="minorHAnsi" w:hAnsiTheme="minorHAnsi" w:cstheme="minorHAnsi"/>
                <w:color w:val="000000"/>
                <w:sz w:val="22"/>
                <w:szCs w:val="22"/>
              </w:rPr>
            </w:pPr>
            <w:r w:rsidRPr="00EB3703">
              <w:rPr>
                <w:rFonts w:asciiTheme="minorHAnsi" w:hAnsiTheme="minorHAnsi" w:cstheme="minorHAnsi"/>
                <w:color w:val="000000"/>
                <w:sz w:val="22"/>
                <w:szCs w:val="22"/>
              </w:rPr>
              <w:t>Salary increase</w:t>
            </w:r>
          </w:p>
        </w:tc>
        <w:tc>
          <w:tcPr>
            <w:tcW w:w="690" w:type="pct"/>
            <w:tcBorders>
              <w:top w:val="nil"/>
              <w:left w:val="nil"/>
              <w:bottom w:val="nil"/>
              <w:right w:val="single" w:sz="8" w:space="0" w:color="auto"/>
            </w:tcBorders>
            <w:shd w:val="clear" w:color="auto" w:fill="auto"/>
            <w:hideMark/>
          </w:tcPr>
          <w:p w14:paraId="0A06B9D9" w14:textId="2821A33C" w:rsidR="00EB3703" w:rsidRPr="00EB3703" w:rsidRDefault="00EB3703" w:rsidP="00AE0D13">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w:t>
            </w:r>
            <w:r w:rsidR="00AE0D13">
              <w:rPr>
                <w:rFonts w:asciiTheme="minorHAnsi" w:hAnsiTheme="minorHAnsi" w:cstheme="minorHAnsi"/>
                <w:i/>
                <w:iCs/>
                <w:color w:val="000000"/>
                <w:sz w:val="22"/>
                <w:szCs w:val="22"/>
              </w:rPr>
              <w:t>50</w:t>
            </w:r>
            <w:r w:rsidRPr="00EB3703">
              <w:rPr>
                <w:rFonts w:asciiTheme="minorHAnsi" w:hAnsiTheme="minorHAnsi" w:cstheme="minorHAnsi"/>
                <w:i/>
                <w:iCs/>
                <w:color w:val="000000"/>
                <w:sz w:val="22"/>
                <w:szCs w:val="22"/>
              </w:rPr>
              <w:t>%</w:t>
            </w:r>
          </w:p>
        </w:tc>
        <w:tc>
          <w:tcPr>
            <w:tcW w:w="690" w:type="pct"/>
            <w:tcBorders>
              <w:top w:val="nil"/>
              <w:left w:val="nil"/>
              <w:bottom w:val="nil"/>
              <w:right w:val="single" w:sz="8" w:space="0" w:color="auto"/>
            </w:tcBorders>
            <w:shd w:val="clear" w:color="auto" w:fill="auto"/>
            <w:hideMark/>
          </w:tcPr>
          <w:p w14:paraId="3F14684A" w14:textId="38A377F7" w:rsidR="00EB3703" w:rsidRPr="00EB3703" w:rsidRDefault="00EB3703" w:rsidP="00AE0D13">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601" w:type="pct"/>
            <w:tcBorders>
              <w:top w:val="nil"/>
              <w:left w:val="nil"/>
              <w:bottom w:val="nil"/>
              <w:right w:val="single" w:sz="8" w:space="0" w:color="auto"/>
            </w:tcBorders>
            <w:shd w:val="clear" w:color="auto" w:fill="auto"/>
            <w:hideMark/>
          </w:tcPr>
          <w:p w14:paraId="0CF1AA0A" w14:textId="537253FA" w:rsidR="00EB3703" w:rsidRPr="00EB3703" w:rsidRDefault="00EB3703" w:rsidP="00AE0D13">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515" w:type="pct"/>
            <w:tcBorders>
              <w:top w:val="nil"/>
              <w:left w:val="nil"/>
              <w:bottom w:val="nil"/>
              <w:right w:val="single" w:sz="8" w:space="0" w:color="auto"/>
            </w:tcBorders>
            <w:shd w:val="clear" w:color="auto" w:fill="auto"/>
            <w:hideMark/>
          </w:tcPr>
          <w:p w14:paraId="2E14FC3A" w14:textId="4D12632B" w:rsidR="00EB3703" w:rsidRPr="00EB3703" w:rsidRDefault="00EB3703" w:rsidP="00AE0D13">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519" w:type="pct"/>
            <w:tcBorders>
              <w:top w:val="nil"/>
              <w:left w:val="nil"/>
              <w:bottom w:val="nil"/>
              <w:right w:val="single" w:sz="8" w:space="0" w:color="auto"/>
            </w:tcBorders>
          </w:tcPr>
          <w:p w14:paraId="761D188E" w14:textId="2D7FF922" w:rsidR="00EB3703" w:rsidRPr="00EB3703" w:rsidRDefault="00EB3703" w:rsidP="00AE0D13">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w:t>
            </w:r>
            <w:r w:rsidR="00AE0D13">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517" w:type="pct"/>
            <w:tcBorders>
              <w:top w:val="nil"/>
              <w:left w:val="nil"/>
              <w:bottom w:val="nil"/>
              <w:right w:val="single" w:sz="8" w:space="0" w:color="auto"/>
            </w:tcBorders>
          </w:tcPr>
          <w:p w14:paraId="5543F778" w14:textId="4A44E403" w:rsidR="00EB3703" w:rsidRPr="00EB3703" w:rsidRDefault="00EB3703" w:rsidP="00AE0D13">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3.00%</w:t>
            </w:r>
          </w:p>
        </w:tc>
      </w:tr>
      <w:tr w:rsidR="00EB3703" w:rsidRPr="00314801" w14:paraId="53616830" w14:textId="77777777" w:rsidTr="00EB3703">
        <w:trPr>
          <w:trHeight w:val="345"/>
        </w:trPr>
        <w:tc>
          <w:tcPr>
            <w:tcW w:w="1468" w:type="pct"/>
            <w:vMerge/>
            <w:tcBorders>
              <w:top w:val="nil"/>
              <w:left w:val="single" w:sz="8" w:space="0" w:color="auto"/>
              <w:bottom w:val="single" w:sz="8" w:space="0" w:color="000000"/>
              <w:right w:val="single" w:sz="4" w:space="0" w:color="auto"/>
            </w:tcBorders>
            <w:vAlign w:val="center"/>
            <w:hideMark/>
          </w:tcPr>
          <w:p w14:paraId="753E9A9C" w14:textId="77777777" w:rsidR="00EB3703" w:rsidRPr="00EB3703" w:rsidRDefault="00EB3703" w:rsidP="0009300C">
            <w:pPr>
              <w:rPr>
                <w:rFonts w:asciiTheme="minorHAnsi" w:hAnsiTheme="minorHAnsi" w:cstheme="minorHAnsi"/>
                <w:color w:val="000000"/>
                <w:sz w:val="22"/>
                <w:szCs w:val="22"/>
              </w:rPr>
            </w:pPr>
          </w:p>
        </w:tc>
        <w:tc>
          <w:tcPr>
            <w:tcW w:w="690" w:type="pct"/>
            <w:tcBorders>
              <w:top w:val="nil"/>
              <w:left w:val="nil"/>
              <w:bottom w:val="single" w:sz="8" w:space="0" w:color="auto"/>
              <w:right w:val="single" w:sz="8" w:space="0" w:color="auto"/>
            </w:tcBorders>
            <w:shd w:val="clear" w:color="auto" w:fill="auto"/>
            <w:vAlign w:val="bottom"/>
            <w:hideMark/>
          </w:tcPr>
          <w:p w14:paraId="7E1FF857" w14:textId="21855A01" w:rsidR="00EB3703" w:rsidRPr="00EB3703" w:rsidRDefault="00EB3703" w:rsidP="0009300C">
            <w:pPr>
              <w:jc w:val="center"/>
              <w:rPr>
                <w:rFonts w:asciiTheme="minorHAnsi" w:hAnsiTheme="minorHAnsi" w:cstheme="minorHAnsi"/>
                <w:i/>
                <w:iCs/>
                <w:color w:val="000000"/>
                <w:sz w:val="22"/>
                <w:szCs w:val="22"/>
              </w:rPr>
            </w:pPr>
          </w:p>
        </w:tc>
        <w:tc>
          <w:tcPr>
            <w:tcW w:w="690" w:type="pct"/>
            <w:tcBorders>
              <w:top w:val="nil"/>
              <w:left w:val="nil"/>
              <w:bottom w:val="single" w:sz="8" w:space="0" w:color="auto"/>
              <w:right w:val="single" w:sz="8" w:space="0" w:color="auto"/>
            </w:tcBorders>
            <w:shd w:val="clear" w:color="auto" w:fill="auto"/>
            <w:vAlign w:val="bottom"/>
            <w:hideMark/>
          </w:tcPr>
          <w:p w14:paraId="2B871B97" w14:textId="16A8EECA" w:rsidR="00EB3703" w:rsidRPr="00EB3703" w:rsidRDefault="00EB3703" w:rsidP="0009300C">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 </w:t>
            </w:r>
          </w:p>
        </w:tc>
        <w:tc>
          <w:tcPr>
            <w:tcW w:w="601" w:type="pct"/>
            <w:tcBorders>
              <w:top w:val="nil"/>
              <w:left w:val="nil"/>
              <w:bottom w:val="single" w:sz="8" w:space="0" w:color="auto"/>
              <w:right w:val="single" w:sz="8" w:space="0" w:color="auto"/>
            </w:tcBorders>
            <w:shd w:val="clear" w:color="auto" w:fill="auto"/>
            <w:vAlign w:val="bottom"/>
            <w:hideMark/>
          </w:tcPr>
          <w:p w14:paraId="793A3E9A" w14:textId="6F6B7A29" w:rsidR="00EB3703" w:rsidRPr="00EB3703" w:rsidRDefault="00EB3703" w:rsidP="0009300C">
            <w:pPr>
              <w:jc w:val="center"/>
              <w:rPr>
                <w:rFonts w:asciiTheme="minorHAnsi" w:hAnsiTheme="minorHAnsi" w:cstheme="minorHAnsi"/>
                <w:i/>
                <w:iCs/>
                <w:color w:val="000000"/>
                <w:sz w:val="22"/>
                <w:szCs w:val="22"/>
              </w:rPr>
            </w:pPr>
            <w:r w:rsidRPr="00EB3703">
              <w:rPr>
                <w:rFonts w:asciiTheme="minorHAnsi" w:hAnsiTheme="minorHAnsi" w:cstheme="minorHAnsi"/>
                <w:color w:val="000000"/>
                <w:sz w:val="22"/>
                <w:szCs w:val="22"/>
              </w:rPr>
              <w:t> </w:t>
            </w:r>
          </w:p>
        </w:tc>
        <w:tc>
          <w:tcPr>
            <w:tcW w:w="515" w:type="pct"/>
            <w:tcBorders>
              <w:top w:val="nil"/>
              <w:left w:val="nil"/>
              <w:bottom w:val="single" w:sz="8" w:space="0" w:color="auto"/>
              <w:right w:val="single" w:sz="8" w:space="0" w:color="auto"/>
            </w:tcBorders>
            <w:shd w:val="clear" w:color="auto" w:fill="auto"/>
            <w:noWrap/>
            <w:hideMark/>
          </w:tcPr>
          <w:p w14:paraId="4A80967A" w14:textId="093A6305" w:rsidR="00EB3703" w:rsidRPr="00EB3703" w:rsidRDefault="00EB3703" w:rsidP="0009300C">
            <w:pPr>
              <w:jc w:val="center"/>
              <w:rPr>
                <w:rFonts w:asciiTheme="minorHAnsi" w:hAnsiTheme="minorHAnsi" w:cstheme="minorHAnsi"/>
                <w:color w:val="000000"/>
                <w:sz w:val="22"/>
                <w:szCs w:val="22"/>
              </w:rPr>
            </w:pPr>
          </w:p>
        </w:tc>
        <w:tc>
          <w:tcPr>
            <w:tcW w:w="519" w:type="pct"/>
            <w:tcBorders>
              <w:top w:val="nil"/>
              <w:left w:val="nil"/>
              <w:bottom w:val="single" w:sz="8" w:space="0" w:color="auto"/>
              <w:right w:val="single" w:sz="8" w:space="0" w:color="auto"/>
            </w:tcBorders>
          </w:tcPr>
          <w:p w14:paraId="42199BF7" w14:textId="77777777" w:rsidR="00EB3703" w:rsidRPr="00EB3703" w:rsidRDefault="00EB3703" w:rsidP="0009300C">
            <w:pPr>
              <w:jc w:val="center"/>
              <w:rPr>
                <w:rFonts w:asciiTheme="minorHAnsi" w:hAnsiTheme="minorHAnsi" w:cstheme="minorHAnsi"/>
                <w:color w:val="000000"/>
                <w:sz w:val="22"/>
                <w:szCs w:val="22"/>
              </w:rPr>
            </w:pPr>
          </w:p>
        </w:tc>
        <w:tc>
          <w:tcPr>
            <w:tcW w:w="517" w:type="pct"/>
            <w:tcBorders>
              <w:top w:val="nil"/>
              <w:left w:val="nil"/>
              <w:bottom w:val="single" w:sz="8" w:space="0" w:color="auto"/>
              <w:right w:val="single" w:sz="8" w:space="0" w:color="auto"/>
            </w:tcBorders>
          </w:tcPr>
          <w:p w14:paraId="6B811DCE" w14:textId="77777777" w:rsidR="00EB3703" w:rsidRPr="00EB3703" w:rsidRDefault="00EB3703" w:rsidP="0009300C">
            <w:pPr>
              <w:jc w:val="center"/>
              <w:rPr>
                <w:rFonts w:asciiTheme="minorHAnsi" w:hAnsiTheme="minorHAnsi" w:cstheme="minorHAnsi"/>
                <w:color w:val="000000"/>
                <w:sz w:val="22"/>
                <w:szCs w:val="22"/>
              </w:rPr>
            </w:pPr>
          </w:p>
        </w:tc>
      </w:tr>
    </w:tbl>
    <w:p w14:paraId="26B686FB" w14:textId="4BEDDD70" w:rsidR="00257967" w:rsidRPr="001551ED" w:rsidRDefault="008B23F4" w:rsidP="008D08B6">
      <w:pPr>
        <w:keepNext/>
        <w:keepLines/>
        <w:tabs>
          <w:tab w:val="clear" w:pos="567"/>
          <w:tab w:val="clear" w:pos="1134"/>
          <w:tab w:val="clear" w:pos="1701"/>
          <w:tab w:val="clear" w:pos="2268"/>
          <w:tab w:val="clear" w:pos="2835"/>
          <w:tab w:val="left" w:pos="709"/>
          <w:tab w:val="left" w:pos="1418"/>
          <w:tab w:val="left" w:pos="2127"/>
          <w:tab w:val="center" w:pos="4819"/>
        </w:tabs>
        <w:snapToGrid w:val="0"/>
        <w:spacing w:before="240" w:after="120"/>
        <w:jc w:val="both"/>
        <w:rPr>
          <w:b/>
          <w:bCs/>
          <w:szCs w:val="24"/>
        </w:rPr>
      </w:pPr>
      <w:r>
        <w:rPr>
          <w:b/>
          <w:bCs/>
          <w:szCs w:val="24"/>
        </w:rPr>
        <w:t>4</w:t>
      </w:r>
      <w:r w:rsidR="006415CC">
        <w:rPr>
          <w:b/>
          <w:bCs/>
          <w:szCs w:val="24"/>
        </w:rPr>
        <w:tab/>
      </w:r>
      <w:r w:rsidR="006415CC" w:rsidRPr="001551ED">
        <w:rPr>
          <w:b/>
          <w:bCs/>
          <w:szCs w:val="24"/>
        </w:rPr>
        <w:t>Actions taken</w:t>
      </w:r>
    </w:p>
    <w:p w14:paraId="75EE7AE8" w14:textId="7B7B4A20" w:rsidR="006415CC" w:rsidRDefault="008B23F4" w:rsidP="006415CC">
      <w:pPr>
        <w:tabs>
          <w:tab w:val="clear" w:pos="567"/>
          <w:tab w:val="clear" w:pos="1134"/>
          <w:tab w:val="clear" w:pos="1701"/>
          <w:tab w:val="clear" w:pos="2268"/>
          <w:tab w:val="clear" w:pos="2835"/>
        </w:tabs>
        <w:snapToGrid w:val="0"/>
        <w:spacing w:after="120"/>
        <w:jc w:val="both"/>
        <w:rPr>
          <w:szCs w:val="24"/>
        </w:rPr>
      </w:pPr>
      <w:r>
        <w:rPr>
          <w:szCs w:val="24"/>
        </w:rPr>
        <w:t>4</w:t>
      </w:r>
      <w:r w:rsidR="006415CC">
        <w:rPr>
          <w:szCs w:val="24"/>
        </w:rPr>
        <w:t>.1</w:t>
      </w:r>
      <w:r w:rsidR="006415CC">
        <w:rPr>
          <w:szCs w:val="24"/>
        </w:rPr>
        <w:tab/>
        <w:t>Since 2010, the funding of the ASHI actuarial liability has been a concern and resulted in measures taken to ensure the financing of health insurance on a pay-as-you-go basis as well as the long-term funding of the ASHI liability.</w:t>
      </w:r>
    </w:p>
    <w:p w14:paraId="127F08DE" w14:textId="0FA39163" w:rsidR="00C00785" w:rsidRDefault="008B23F4" w:rsidP="002163F5">
      <w:pPr>
        <w:snapToGrid w:val="0"/>
        <w:spacing w:after="120"/>
        <w:jc w:val="both"/>
        <w:rPr>
          <w:szCs w:val="24"/>
        </w:rPr>
      </w:pPr>
      <w:r>
        <w:rPr>
          <w:szCs w:val="24"/>
        </w:rPr>
        <w:t>4.</w:t>
      </w:r>
      <w:r w:rsidR="00432B16">
        <w:rPr>
          <w:szCs w:val="24"/>
        </w:rPr>
        <w:t>2</w:t>
      </w:r>
      <w:r w:rsidR="002163F5">
        <w:rPr>
          <w:szCs w:val="24"/>
        </w:rPr>
        <w:tab/>
        <w:t>I</w:t>
      </w:r>
      <w:r w:rsidR="002163F5" w:rsidRPr="006E7601">
        <w:rPr>
          <w:szCs w:val="24"/>
        </w:rPr>
        <w:t xml:space="preserve">t is to be noted that the estimated </w:t>
      </w:r>
      <w:r w:rsidR="002163F5">
        <w:rPr>
          <w:szCs w:val="24"/>
        </w:rPr>
        <w:t>h</w:t>
      </w:r>
      <w:r w:rsidR="002163F5" w:rsidRPr="006E7601">
        <w:rPr>
          <w:szCs w:val="24"/>
        </w:rPr>
        <w:t xml:space="preserve">ealth </w:t>
      </w:r>
      <w:r w:rsidR="002163F5">
        <w:rPr>
          <w:szCs w:val="24"/>
        </w:rPr>
        <w:t>i</w:t>
      </w:r>
      <w:r w:rsidR="002163F5" w:rsidRPr="006E7601">
        <w:rPr>
          <w:szCs w:val="24"/>
        </w:rPr>
        <w:t>nsurance contributions from ITU related to active</w:t>
      </w:r>
      <w:r w:rsidR="002163F5">
        <w:rPr>
          <w:szCs w:val="24"/>
        </w:rPr>
        <w:t xml:space="preserve"> staff</w:t>
      </w:r>
      <w:r w:rsidR="002163F5" w:rsidRPr="006E7601">
        <w:rPr>
          <w:szCs w:val="24"/>
        </w:rPr>
        <w:t xml:space="preserve"> as well as retirees are included in the biennium budget presented to the Council.</w:t>
      </w:r>
    </w:p>
    <w:p w14:paraId="78B91A62" w14:textId="66D324B0" w:rsidR="006415CC" w:rsidRDefault="00586A64" w:rsidP="00B905B1">
      <w:pPr>
        <w:tabs>
          <w:tab w:val="clear" w:pos="567"/>
          <w:tab w:val="clear" w:pos="1134"/>
          <w:tab w:val="clear" w:pos="1701"/>
          <w:tab w:val="clear" w:pos="2268"/>
          <w:tab w:val="clear" w:pos="2835"/>
        </w:tabs>
        <w:snapToGrid w:val="0"/>
        <w:spacing w:before="240" w:after="120"/>
        <w:jc w:val="both"/>
        <w:rPr>
          <w:rFonts w:cs="Calibri"/>
          <w:b/>
          <w:i/>
          <w:iCs/>
          <w:szCs w:val="24"/>
        </w:rPr>
      </w:pPr>
      <w:r>
        <w:rPr>
          <w:rFonts w:cs="Calibri"/>
          <w:b/>
          <w:i/>
          <w:iCs/>
          <w:szCs w:val="24"/>
        </w:rPr>
        <w:t>C</w:t>
      </w:r>
      <w:r w:rsidR="006415CC" w:rsidRPr="00BD5EA0">
        <w:rPr>
          <w:rFonts w:cs="Calibri"/>
          <w:b/>
          <w:i/>
          <w:iCs/>
          <w:szCs w:val="24"/>
        </w:rPr>
        <w:t>reation of funds for the long-term financing of the ASHI actuarial liability</w:t>
      </w:r>
    </w:p>
    <w:p w14:paraId="70361E5B" w14:textId="4DD70548" w:rsidR="006415CC" w:rsidRDefault="008B23F4" w:rsidP="0030265B">
      <w:pPr>
        <w:tabs>
          <w:tab w:val="clear" w:pos="567"/>
          <w:tab w:val="clear" w:pos="1134"/>
          <w:tab w:val="clear" w:pos="1701"/>
          <w:tab w:val="clear" w:pos="2268"/>
          <w:tab w:val="clear" w:pos="2835"/>
        </w:tabs>
        <w:snapToGrid w:val="0"/>
        <w:spacing w:after="120"/>
        <w:jc w:val="both"/>
        <w:rPr>
          <w:szCs w:val="24"/>
        </w:rPr>
      </w:pPr>
      <w:r>
        <w:rPr>
          <w:szCs w:val="24"/>
        </w:rPr>
        <w:t>4.</w:t>
      </w:r>
      <w:r w:rsidR="00432B16">
        <w:rPr>
          <w:szCs w:val="24"/>
        </w:rPr>
        <w:t>3</w:t>
      </w:r>
      <w:r w:rsidR="006415CC">
        <w:rPr>
          <w:szCs w:val="24"/>
        </w:rPr>
        <w:tab/>
      </w:r>
      <w:r w:rsidR="003420F7">
        <w:rPr>
          <w:szCs w:val="24"/>
        </w:rPr>
        <w:t>Since th</w:t>
      </w:r>
      <w:r w:rsidR="001D3101">
        <w:rPr>
          <w:szCs w:val="24"/>
        </w:rPr>
        <w:t xml:space="preserve">e creation of </w:t>
      </w:r>
      <w:r w:rsidR="00176D05">
        <w:rPr>
          <w:szCs w:val="24"/>
        </w:rPr>
        <w:t xml:space="preserve">the </w:t>
      </w:r>
      <w:r w:rsidR="001D3101">
        <w:rPr>
          <w:szCs w:val="24"/>
        </w:rPr>
        <w:t>ASHI fund to start funding the ASHI obligation</w:t>
      </w:r>
      <w:r w:rsidR="00EE30DE">
        <w:rPr>
          <w:szCs w:val="24"/>
        </w:rPr>
        <w:t>,</w:t>
      </w:r>
      <w:r w:rsidR="003420F7">
        <w:rPr>
          <w:szCs w:val="24"/>
        </w:rPr>
        <w:t xml:space="preserve"> a total amount of </w:t>
      </w:r>
      <w:r w:rsidR="003420F7" w:rsidRPr="00F32DF1">
        <w:rPr>
          <w:szCs w:val="24"/>
        </w:rPr>
        <w:t>CHF</w:t>
      </w:r>
      <w:r w:rsidR="00EE30DE" w:rsidRPr="00F32DF1">
        <w:rPr>
          <w:szCs w:val="24"/>
        </w:rPr>
        <w:t> </w:t>
      </w:r>
      <w:r w:rsidR="002163F5">
        <w:rPr>
          <w:szCs w:val="24"/>
        </w:rPr>
        <w:t>9</w:t>
      </w:r>
      <w:r w:rsidR="00EE30DE" w:rsidRPr="00F32DF1">
        <w:rPr>
          <w:szCs w:val="24"/>
        </w:rPr>
        <w:t> </w:t>
      </w:r>
      <w:r w:rsidR="003420F7" w:rsidRPr="00F32DF1">
        <w:rPr>
          <w:szCs w:val="24"/>
        </w:rPr>
        <w:t>million</w:t>
      </w:r>
      <w:r w:rsidR="003420F7">
        <w:rPr>
          <w:szCs w:val="24"/>
        </w:rPr>
        <w:t xml:space="preserve"> w</w:t>
      </w:r>
      <w:r w:rsidR="00EE30DE">
        <w:rPr>
          <w:szCs w:val="24"/>
        </w:rPr>
        <w:t>as</w:t>
      </w:r>
      <w:r w:rsidR="003420F7">
        <w:rPr>
          <w:szCs w:val="24"/>
        </w:rPr>
        <w:t xml:space="preserve"> </w:t>
      </w:r>
      <w:r w:rsidR="006415CC">
        <w:rPr>
          <w:szCs w:val="24"/>
        </w:rPr>
        <w:t xml:space="preserve">paid into the ASHI </w:t>
      </w:r>
      <w:r w:rsidR="0030265B">
        <w:rPr>
          <w:szCs w:val="24"/>
        </w:rPr>
        <w:t>f</w:t>
      </w:r>
      <w:r w:rsidR="006415CC">
        <w:rPr>
          <w:szCs w:val="24"/>
        </w:rPr>
        <w:t>und.</w:t>
      </w:r>
      <w:r w:rsidR="0030265B">
        <w:rPr>
          <w:szCs w:val="24"/>
        </w:rPr>
        <w:t xml:space="preserve"> </w:t>
      </w:r>
      <w:r w:rsidR="006415CC">
        <w:rPr>
          <w:szCs w:val="24"/>
        </w:rPr>
        <w:t>A</w:t>
      </w:r>
      <w:r w:rsidR="00A826F9">
        <w:rPr>
          <w:szCs w:val="24"/>
        </w:rPr>
        <w:t xml:space="preserve">s </w:t>
      </w:r>
      <w:proofErr w:type="gramStart"/>
      <w:r w:rsidR="00A826F9">
        <w:rPr>
          <w:szCs w:val="24"/>
        </w:rPr>
        <w:t>at</w:t>
      </w:r>
      <w:proofErr w:type="gramEnd"/>
      <w:r w:rsidR="006415CC">
        <w:rPr>
          <w:szCs w:val="24"/>
        </w:rPr>
        <w:t xml:space="preserve"> 31</w:t>
      </w:r>
      <w:r w:rsidR="0030265B">
        <w:rPr>
          <w:szCs w:val="24"/>
        </w:rPr>
        <w:t> </w:t>
      </w:r>
      <w:r w:rsidR="006415CC">
        <w:rPr>
          <w:szCs w:val="24"/>
        </w:rPr>
        <w:t>December 20</w:t>
      </w:r>
      <w:r w:rsidR="002163F5">
        <w:rPr>
          <w:szCs w:val="24"/>
        </w:rPr>
        <w:t>20</w:t>
      </w:r>
      <w:r w:rsidR="006415CC">
        <w:rPr>
          <w:szCs w:val="24"/>
        </w:rPr>
        <w:t>,</w:t>
      </w:r>
      <w:r w:rsidR="002163F5">
        <w:rPr>
          <w:szCs w:val="24"/>
        </w:rPr>
        <w:t xml:space="preserve"> </w:t>
      </w:r>
      <w:r w:rsidR="006415CC">
        <w:rPr>
          <w:szCs w:val="24"/>
        </w:rPr>
        <w:t xml:space="preserve">the ASHI </w:t>
      </w:r>
      <w:r w:rsidR="0030265B">
        <w:rPr>
          <w:szCs w:val="24"/>
        </w:rPr>
        <w:t>f</w:t>
      </w:r>
      <w:r w:rsidR="006415CC">
        <w:rPr>
          <w:szCs w:val="24"/>
        </w:rPr>
        <w:t>und amounted to CHF </w:t>
      </w:r>
      <w:r w:rsidR="00F32DF1">
        <w:rPr>
          <w:szCs w:val="24"/>
        </w:rPr>
        <w:t>1</w:t>
      </w:r>
      <w:r w:rsidR="002163F5">
        <w:rPr>
          <w:szCs w:val="24"/>
        </w:rPr>
        <w:t>3</w:t>
      </w:r>
      <w:r w:rsidR="001D3101">
        <w:rPr>
          <w:szCs w:val="24"/>
        </w:rPr>
        <w:t xml:space="preserve"> </w:t>
      </w:r>
      <w:r w:rsidR="006415CC">
        <w:rPr>
          <w:szCs w:val="24"/>
        </w:rPr>
        <w:t>million.</w:t>
      </w:r>
    </w:p>
    <w:p w14:paraId="55580697" w14:textId="3EA4065A" w:rsidR="00EE30DE" w:rsidRDefault="008B23F4" w:rsidP="008C5D71">
      <w:pPr>
        <w:tabs>
          <w:tab w:val="clear" w:pos="567"/>
          <w:tab w:val="clear" w:pos="1134"/>
          <w:tab w:val="clear" w:pos="1701"/>
          <w:tab w:val="clear" w:pos="2268"/>
          <w:tab w:val="clear" w:pos="2835"/>
        </w:tabs>
        <w:snapToGrid w:val="0"/>
        <w:spacing w:after="120"/>
        <w:jc w:val="both"/>
        <w:rPr>
          <w:szCs w:val="24"/>
        </w:rPr>
      </w:pPr>
      <w:r>
        <w:rPr>
          <w:szCs w:val="24"/>
        </w:rPr>
        <w:t>4.4</w:t>
      </w:r>
      <w:r w:rsidR="006415CC">
        <w:rPr>
          <w:szCs w:val="24"/>
        </w:rPr>
        <w:tab/>
        <w:t xml:space="preserve">The magnitude of the ASHI obligation and the current budgetary constraints do not currently allow a faster financing of the ASHI obligation. </w:t>
      </w:r>
      <w:r w:rsidR="006415CC" w:rsidRPr="0036118C">
        <w:rPr>
          <w:szCs w:val="24"/>
        </w:rPr>
        <w:t xml:space="preserve">The evolution of the ASHI liability will </w:t>
      </w:r>
      <w:r w:rsidR="006415CC">
        <w:rPr>
          <w:szCs w:val="24"/>
        </w:rPr>
        <w:t>continue to be carefully monitored.</w:t>
      </w:r>
    </w:p>
    <w:p w14:paraId="7569B0EE" w14:textId="77777777" w:rsidR="002340EB" w:rsidRDefault="002340EB">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p w14:paraId="6EF5DB30" w14:textId="1C0B37D5" w:rsidR="002163F5" w:rsidRPr="00CA0EDB" w:rsidRDefault="00586A64" w:rsidP="008C5D71">
      <w:pPr>
        <w:tabs>
          <w:tab w:val="clear" w:pos="567"/>
          <w:tab w:val="clear" w:pos="1134"/>
          <w:tab w:val="clear" w:pos="1701"/>
          <w:tab w:val="clear" w:pos="2268"/>
          <w:tab w:val="clear" w:pos="2835"/>
        </w:tabs>
        <w:snapToGrid w:val="0"/>
        <w:spacing w:after="120"/>
        <w:jc w:val="both"/>
        <w:rPr>
          <w:rFonts w:cs="Calibri"/>
          <w:b/>
          <w:szCs w:val="24"/>
        </w:rPr>
      </w:pPr>
      <w:r w:rsidRPr="002340EB">
        <w:rPr>
          <w:szCs w:val="24"/>
        </w:rPr>
        <w:lastRenderedPageBreak/>
        <w:t>4.5</w:t>
      </w:r>
      <w:r w:rsidR="002163F5" w:rsidRPr="002340EB">
        <w:rPr>
          <w:szCs w:val="24"/>
        </w:rPr>
        <w:tab/>
      </w:r>
      <w:r w:rsidR="00C00785" w:rsidRPr="002340EB">
        <w:rPr>
          <w:szCs w:val="24"/>
        </w:rPr>
        <w:t xml:space="preserve">To </w:t>
      </w:r>
      <w:r w:rsidR="00CA0EDB" w:rsidRPr="002340EB">
        <w:rPr>
          <w:szCs w:val="24"/>
        </w:rPr>
        <w:t xml:space="preserve">assist </w:t>
      </w:r>
      <w:r w:rsidR="00C00785" w:rsidRPr="002340EB">
        <w:rPr>
          <w:szCs w:val="24"/>
        </w:rPr>
        <w:t>the UN organization</w:t>
      </w:r>
      <w:r w:rsidR="00CA0EDB" w:rsidRPr="002340EB">
        <w:rPr>
          <w:szCs w:val="24"/>
        </w:rPr>
        <w:t>s</w:t>
      </w:r>
      <w:r w:rsidR="00C00785" w:rsidRPr="002340EB">
        <w:rPr>
          <w:szCs w:val="24"/>
        </w:rPr>
        <w:t xml:space="preserve"> </w:t>
      </w:r>
      <w:r w:rsidR="00CA0EDB" w:rsidRPr="002340EB">
        <w:rPr>
          <w:szCs w:val="24"/>
        </w:rPr>
        <w:t xml:space="preserve">in </w:t>
      </w:r>
      <w:r w:rsidR="00C00785" w:rsidRPr="002340EB">
        <w:rPr>
          <w:szCs w:val="24"/>
        </w:rPr>
        <w:t>financ</w:t>
      </w:r>
      <w:r w:rsidR="00CA0EDB" w:rsidRPr="002340EB">
        <w:rPr>
          <w:szCs w:val="24"/>
        </w:rPr>
        <w:t>ing</w:t>
      </w:r>
      <w:r w:rsidR="00C00785" w:rsidRPr="002340EB">
        <w:rPr>
          <w:szCs w:val="24"/>
        </w:rPr>
        <w:t xml:space="preserve"> their </w:t>
      </w:r>
      <w:r w:rsidR="001A0373" w:rsidRPr="002340EB">
        <w:rPr>
          <w:szCs w:val="24"/>
        </w:rPr>
        <w:t>long-term</w:t>
      </w:r>
      <w:r w:rsidR="00C00785" w:rsidRPr="002340EB">
        <w:rPr>
          <w:szCs w:val="24"/>
        </w:rPr>
        <w:t xml:space="preserve"> liability, the UN ASHI working group has proposed to the UN Assembly the creation</w:t>
      </w:r>
      <w:r w:rsidR="00CA0EDB" w:rsidRPr="002340EB">
        <w:rPr>
          <w:szCs w:val="24"/>
        </w:rPr>
        <w:t>,</w:t>
      </w:r>
      <w:r w:rsidR="00C00785" w:rsidRPr="002340EB">
        <w:rPr>
          <w:szCs w:val="24"/>
        </w:rPr>
        <w:t xml:space="preserve"> for each organization</w:t>
      </w:r>
      <w:r w:rsidR="00CA0EDB" w:rsidRPr="002340EB">
        <w:rPr>
          <w:szCs w:val="24"/>
        </w:rPr>
        <w:t>,</w:t>
      </w:r>
      <w:r w:rsidR="00C00785" w:rsidRPr="002340EB">
        <w:rPr>
          <w:szCs w:val="24"/>
        </w:rPr>
        <w:t xml:space="preserve"> of </w:t>
      </w:r>
      <w:r w:rsidR="00CA0EDB" w:rsidRPr="002340EB">
        <w:rPr>
          <w:szCs w:val="24"/>
        </w:rPr>
        <w:t xml:space="preserve">a </w:t>
      </w:r>
      <w:r w:rsidR="00C00785" w:rsidRPr="002340EB">
        <w:rPr>
          <w:rFonts w:asciiTheme="minorHAnsi" w:hAnsiTheme="minorHAnsi" w:cs="Calibri"/>
          <w:szCs w:val="24"/>
          <w:lang w:val="en-US"/>
        </w:rPr>
        <w:t>dedicated financial reserve</w:t>
      </w:r>
      <w:r w:rsidR="00CA0EDB" w:rsidRPr="002340EB">
        <w:rPr>
          <w:rFonts w:asciiTheme="minorHAnsi" w:hAnsiTheme="minorHAnsi" w:cs="Calibri"/>
          <w:szCs w:val="24"/>
          <w:lang w:val="en-US"/>
        </w:rPr>
        <w:t xml:space="preserve">, </w:t>
      </w:r>
      <w:r w:rsidR="00C00785" w:rsidRPr="002340EB">
        <w:rPr>
          <w:szCs w:val="24"/>
        </w:rPr>
        <w:t>where a contribution of 5.35</w:t>
      </w:r>
      <w:r w:rsidR="00CA0EDB" w:rsidRPr="002340EB">
        <w:rPr>
          <w:szCs w:val="24"/>
        </w:rPr>
        <w:t xml:space="preserve"> per cent</w:t>
      </w:r>
      <w:r w:rsidR="00C00785" w:rsidRPr="002340EB">
        <w:rPr>
          <w:szCs w:val="24"/>
        </w:rPr>
        <w:t xml:space="preserve"> </w:t>
      </w:r>
      <w:r w:rsidR="00084E14" w:rsidRPr="002340EB">
        <w:rPr>
          <w:rFonts w:asciiTheme="minorHAnsi" w:hAnsiTheme="minorHAnsi" w:cs="Calibri"/>
          <w:szCs w:val="24"/>
          <w:lang w:val="en-US"/>
        </w:rPr>
        <w:t xml:space="preserve">of salary mass for </w:t>
      </w:r>
      <w:r w:rsidR="00C00785" w:rsidRPr="002340EB">
        <w:rPr>
          <w:rFonts w:asciiTheme="minorHAnsi" w:hAnsiTheme="minorHAnsi" w:cs="Calibri"/>
          <w:szCs w:val="24"/>
          <w:lang w:val="en-US"/>
        </w:rPr>
        <w:t xml:space="preserve">officials recruited </w:t>
      </w:r>
      <w:r w:rsidR="00CA0EDB" w:rsidRPr="002340EB">
        <w:rPr>
          <w:rFonts w:asciiTheme="minorHAnsi" w:hAnsiTheme="minorHAnsi" w:cs="Calibri"/>
          <w:szCs w:val="24"/>
          <w:lang w:val="en-US"/>
        </w:rPr>
        <w:t xml:space="preserve">as </w:t>
      </w:r>
      <w:r w:rsidR="00C00785" w:rsidRPr="002340EB">
        <w:rPr>
          <w:rFonts w:asciiTheme="minorHAnsi" w:hAnsiTheme="minorHAnsi" w:cs="Calibri"/>
          <w:szCs w:val="24"/>
          <w:lang w:val="en-US"/>
        </w:rPr>
        <w:t>from 1</w:t>
      </w:r>
      <w:r w:rsidR="00CA0EDB" w:rsidRPr="002340EB">
        <w:rPr>
          <w:rFonts w:asciiTheme="minorHAnsi" w:hAnsiTheme="minorHAnsi" w:cs="Calibri"/>
          <w:szCs w:val="24"/>
          <w:lang w:val="en-US"/>
        </w:rPr>
        <w:t> </w:t>
      </w:r>
      <w:r w:rsidR="00C00785" w:rsidRPr="002340EB">
        <w:rPr>
          <w:rFonts w:asciiTheme="minorHAnsi" w:hAnsiTheme="minorHAnsi" w:cs="Calibri"/>
          <w:szCs w:val="24"/>
          <w:lang w:val="en-US"/>
        </w:rPr>
        <w:t>January</w:t>
      </w:r>
      <w:r w:rsidR="00CA0EDB" w:rsidRPr="002340EB">
        <w:rPr>
          <w:rFonts w:asciiTheme="minorHAnsi" w:hAnsiTheme="minorHAnsi" w:cs="Calibri"/>
          <w:szCs w:val="24"/>
          <w:lang w:val="en-US"/>
        </w:rPr>
        <w:t> </w:t>
      </w:r>
      <w:r w:rsidR="00C00785" w:rsidRPr="002340EB">
        <w:rPr>
          <w:rFonts w:asciiTheme="minorHAnsi" w:hAnsiTheme="minorHAnsi" w:cs="Calibri"/>
          <w:szCs w:val="24"/>
          <w:lang w:val="en-US"/>
        </w:rPr>
        <w:t xml:space="preserve">2022 </w:t>
      </w:r>
      <w:r w:rsidR="00084E14" w:rsidRPr="002340EB">
        <w:rPr>
          <w:rFonts w:asciiTheme="minorHAnsi" w:hAnsiTheme="minorHAnsi" w:cs="Calibri"/>
          <w:szCs w:val="24"/>
          <w:lang w:val="en-US"/>
        </w:rPr>
        <w:t>will be paid</w:t>
      </w:r>
      <w:r w:rsidR="006A07AA" w:rsidRPr="002340EB">
        <w:rPr>
          <w:rFonts w:asciiTheme="minorHAnsi" w:hAnsiTheme="minorHAnsi" w:cs="Calibri"/>
          <w:szCs w:val="24"/>
          <w:lang w:val="en-US"/>
        </w:rPr>
        <w:t xml:space="preserve"> into</w:t>
      </w:r>
      <w:r w:rsidR="00084E14" w:rsidRPr="002340EB">
        <w:rPr>
          <w:rFonts w:asciiTheme="minorHAnsi" w:hAnsiTheme="minorHAnsi" w:cs="Calibri"/>
          <w:szCs w:val="24"/>
          <w:lang w:val="en-US"/>
        </w:rPr>
        <w:t>.</w:t>
      </w:r>
      <w:r w:rsidR="00CA0EDB" w:rsidRPr="002340EB">
        <w:rPr>
          <w:rFonts w:asciiTheme="minorHAnsi" w:hAnsiTheme="minorHAnsi" w:cs="Calibri"/>
          <w:szCs w:val="24"/>
          <w:lang w:val="en-US"/>
        </w:rPr>
        <w:t xml:space="preserve">  </w:t>
      </w:r>
      <w:r w:rsidR="00084E14" w:rsidRPr="002340EB">
        <w:rPr>
          <w:rFonts w:asciiTheme="minorHAnsi" w:hAnsiTheme="minorHAnsi" w:cs="Calibri"/>
          <w:szCs w:val="24"/>
          <w:lang w:val="en-US"/>
        </w:rPr>
        <w:t>The final decision has not yet been made.</w:t>
      </w:r>
    </w:p>
    <w:p w14:paraId="05E64889" w14:textId="3E6B5D7E" w:rsidR="006415CC" w:rsidRPr="00A94DAB" w:rsidRDefault="00586A64" w:rsidP="00A27B50">
      <w:pPr>
        <w:tabs>
          <w:tab w:val="clear" w:pos="567"/>
          <w:tab w:val="clear" w:pos="1134"/>
          <w:tab w:val="clear" w:pos="1701"/>
          <w:tab w:val="clear" w:pos="2268"/>
          <w:tab w:val="clear" w:pos="2835"/>
        </w:tabs>
        <w:snapToGrid w:val="0"/>
        <w:spacing w:before="240" w:after="120"/>
        <w:jc w:val="both"/>
        <w:rPr>
          <w:rFonts w:cs="Calibri"/>
          <w:b/>
          <w:bCs/>
          <w:szCs w:val="24"/>
        </w:rPr>
      </w:pPr>
      <w:r>
        <w:rPr>
          <w:rFonts w:cs="Calibri"/>
          <w:b/>
          <w:bCs/>
          <w:szCs w:val="24"/>
        </w:rPr>
        <w:t>5</w:t>
      </w:r>
      <w:r w:rsidR="006415CC" w:rsidRPr="00A94DAB">
        <w:rPr>
          <w:rFonts w:cs="Calibri"/>
          <w:b/>
          <w:bCs/>
          <w:szCs w:val="24"/>
        </w:rPr>
        <w:tab/>
        <w:t>Conclusion</w:t>
      </w:r>
    </w:p>
    <w:p w14:paraId="6E7975E6" w14:textId="47327AD3" w:rsidR="009129F4" w:rsidRPr="00A94DAB" w:rsidRDefault="00586A64" w:rsidP="00314801">
      <w:pPr>
        <w:pStyle w:val="xmsonormal"/>
        <w:jc w:val="both"/>
        <w:rPr>
          <w:rFonts w:ascii="Calibri" w:hAnsi="Calibri" w:cs="Calibri"/>
        </w:rPr>
      </w:pPr>
      <w:r>
        <w:rPr>
          <w:rFonts w:ascii="Calibri" w:hAnsi="Calibri" w:cs="Calibri"/>
        </w:rPr>
        <w:t>5</w:t>
      </w:r>
      <w:r w:rsidR="006415CC" w:rsidRPr="00A94DAB">
        <w:rPr>
          <w:rFonts w:ascii="Calibri" w:hAnsi="Calibri" w:cs="Calibri"/>
        </w:rPr>
        <w:t>.1</w:t>
      </w:r>
      <w:r w:rsidR="006415CC" w:rsidRPr="00A94DAB">
        <w:rPr>
          <w:rFonts w:ascii="Calibri" w:hAnsi="Calibri" w:cs="Calibri"/>
        </w:rPr>
        <w:tab/>
      </w:r>
      <w:r w:rsidR="00012597">
        <w:rPr>
          <w:rFonts w:ascii="Calibri" w:hAnsi="Calibri" w:cs="Calibri"/>
        </w:rPr>
        <w:t xml:space="preserve">Regardless of </w:t>
      </w:r>
      <w:r w:rsidR="0092020A">
        <w:rPr>
          <w:rFonts w:ascii="Calibri" w:hAnsi="Calibri" w:cs="Calibri"/>
        </w:rPr>
        <w:t>the medical</w:t>
      </w:r>
      <w:r w:rsidR="00012597">
        <w:rPr>
          <w:rFonts w:ascii="Calibri" w:hAnsi="Calibri" w:cs="Calibri"/>
        </w:rPr>
        <w:t xml:space="preserve"> plan, </w:t>
      </w:r>
      <w:r w:rsidR="0092020A">
        <w:rPr>
          <w:rFonts w:ascii="Calibri" w:hAnsi="Calibri" w:cs="Calibri"/>
        </w:rPr>
        <w:t>the</w:t>
      </w:r>
      <w:r w:rsidR="006415CC" w:rsidRPr="00A94DAB">
        <w:rPr>
          <w:rFonts w:ascii="Calibri" w:eastAsia="Times New Roman" w:hAnsi="Calibri" w:cs="Calibri"/>
          <w:lang w:val="en-GB" w:eastAsia="en-US"/>
        </w:rPr>
        <w:t xml:space="preserve"> issue of financing the ASHI obligation</w:t>
      </w:r>
      <w:r w:rsidR="00012597">
        <w:rPr>
          <w:rFonts w:ascii="Calibri" w:eastAsia="Times New Roman" w:hAnsi="Calibri" w:cs="Calibri"/>
          <w:lang w:val="en-GB" w:eastAsia="en-US"/>
        </w:rPr>
        <w:t xml:space="preserve"> remains and</w:t>
      </w:r>
      <w:r w:rsidR="006415CC" w:rsidRPr="00A94DAB">
        <w:rPr>
          <w:rFonts w:ascii="Calibri" w:eastAsia="Times New Roman" w:hAnsi="Calibri" w:cs="Calibri"/>
          <w:lang w:val="en-GB" w:eastAsia="en-US"/>
        </w:rPr>
        <w:t xml:space="preserve"> is </w:t>
      </w:r>
      <w:r w:rsidR="00012597">
        <w:rPr>
          <w:rFonts w:ascii="Calibri" w:eastAsia="Times New Roman" w:hAnsi="Calibri" w:cs="Calibri"/>
          <w:lang w:val="en-GB" w:eastAsia="en-US"/>
        </w:rPr>
        <w:t xml:space="preserve">still </w:t>
      </w:r>
      <w:r w:rsidR="006415CC" w:rsidRPr="00A94DAB">
        <w:rPr>
          <w:rFonts w:ascii="Calibri" w:eastAsia="Times New Roman" w:hAnsi="Calibri" w:cs="Calibri"/>
          <w:lang w:val="en-GB" w:eastAsia="en-US"/>
        </w:rPr>
        <w:t>common to many UN System organizations.</w:t>
      </w:r>
      <w:r w:rsidR="00012597">
        <w:rPr>
          <w:rFonts w:ascii="Calibri" w:eastAsia="Times New Roman" w:hAnsi="Calibri" w:cs="Calibri"/>
          <w:lang w:val="en-GB" w:eastAsia="en-US"/>
        </w:rPr>
        <w:t xml:space="preserve"> The report issued by the UN ASHI working group has </w:t>
      </w:r>
      <w:r w:rsidR="00084E14">
        <w:rPr>
          <w:rFonts w:ascii="Calibri" w:eastAsia="Times New Roman" w:hAnsi="Calibri" w:cs="Calibri"/>
          <w:lang w:val="en-GB" w:eastAsia="en-US"/>
        </w:rPr>
        <w:t xml:space="preserve">still </w:t>
      </w:r>
      <w:r w:rsidR="0092020A">
        <w:rPr>
          <w:rFonts w:ascii="Calibri" w:eastAsia="Times New Roman" w:hAnsi="Calibri" w:cs="Calibri"/>
          <w:lang w:val="en-GB" w:eastAsia="en-US"/>
        </w:rPr>
        <w:t xml:space="preserve">not </w:t>
      </w:r>
      <w:r w:rsidR="00084E14">
        <w:rPr>
          <w:rFonts w:ascii="Calibri" w:eastAsia="Times New Roman" w:hAnsi="Calibri" w:cs="Calibri"/>
          <w:lang w:val="en-GB" w:eastAsia="en-US"/>
        </w:rPr>
        <w:t>been</w:t>
      </w:r>
      <w:r w:rsidR="0092020A">
        <w:rPr>
          <w:rFonts w:ascii="Calibri" w:eastAsia="Times New Roman" w:hAnsi="Calibri" w:cs="Calibri"/>
          <w:lang w:val="en-GB" w:eastAsia="en-US"/>
        </w:rPr>
        <w:t xml:space="preserve"> considered by</w:t>
      </w:r>
      <w:r w:rsidR="00012597">
        <w:rPr>
          <w:rFonts w:ascii="Calibri" w:eastAsia="Times New Roman" w:hAnsi="Calibri" w:cs="Calibri"/>
          <w:lang w:val="en-GB" w:eastAsia="en-US"/>
        </w:rPr>
        <w:t xml:space="preserve"> the General Assembly</w:t>
      </w:r>
      <w:r w:rsidR="0092020A">
        <w:rPr>
          <w:rFonts w:ascii="Calibri" w:eastAsia="Times New Roman" w:hAnsi="Calibri" w:cs="Calibri"/>
          <w:lang w:val="en-GB" w:eastAsia="en-US"/>
        </w:rPr>
        <w:t xml:space="preserve">. </w:t>
      </w:r>
      <w:r w:rsidR="0092020A" w:rsidRPr="0092020A">
        <w:rPr>
          <w:rFonts w:ascii="Calibri" w:eastAsia="Times New Roman" w:hAnsi="Calibri" w:cs="Calibri"/>
          <w:lang w:val="en-GB" w:eastAsia="en-US"/>
        </w:rPr>
        <w:t>ITU will continue to pay close attention to the study of this report and to the recommendations that will emerge from it.</w:t>
      </w:r>
    </w:p>
    <w:p w14:paraId="44ACF95B" w14:textId="3A83BEB1" w:rsidR="006415CC" w:rsidRPr="00A94DAB" w:rsidRDefault="00586A64" w:rsidP="00715F9E">
      <w:pPr>
        <w:tabs>
          <w:tab w:val="clear" w:pos="567"/>
          <w:tab w:val="clear" w:pos="1134"/>
          <w:tab w:val="clear" w:pos="1701"/>
          <w:tab w:val="clear" w:pos="2268"/>
          <w:tab w:val="clear" w:pos="2835"/>
        </w:tabs>
        <w:snapToGrid w:val="0"/>
        <w:spacing w:after="120"/>
        <w:jc w:val="both"/>
        <w:rPr>
          <w:rFonts w:cs="Calibri"/>
          <w:szCs w:val="24"/>
        </w:rPr>
      </w:pPr>
      <w:bookmarkStart w:id="13" w:name="_Hlk38447710"/>
      <w:r>
        <w:rPr>
          <w:rFonts w:cs="Calibri"/>
          <w:szCs w:val="24"/>
        </w:rPr>
        <w:t>5.2</w:t>
      </w:r>
      <w:r w:rsidR="00176D05">
        <w:rPr>
          <w:rFonts w:cs="Calibri"/>
          <w:szCs w:val="24"/>
        </w:rPr>
        <w:tab/>
      </w:r>
      <w:r w:rsidR="009510F9">
        <w:rPr>
          <w:rFonts w:cs="Calibri"/>
          <w:szCs w:val="24"/>
        </w:rPr>
        <w:t xml:space="preserve">It should be noted that </w:t>
      </w:r>
      <w:r w:rsidR="006415CC" w:rsidRPr="00A94DAB">
        <w:rPr>
          <w:rFonts w:cs="Calibri"/>
          <w:szCs w:val="24"/>
        </w:rPr>
        <w:t>ITU will</w:t>
      </w:r>
      <w:r w:rsidR="009510F9">
        <w:rPr>
          <w:rFonts w:cs="Calibri"/>
          <w:szCs w:val="24"/>
        </w:rPr>
        <w:t xml:space="preserve">, to the extent possible, </w:t>
      </w:r>
      <w:r w:rsidR="006415CC" w:rsidRPr="00A94DAB">
        <w:rPr>
          <w:rFonts w:cs="Calibri"/>
          <w:szCs w:val="24"/>
        </w:rPr>
        <w:t>continue to fund the ASHI reserve according to the budgetary surpluses</w:t>
      </w:r>
      <w:r w:rsidR="00072A17">
        <w:rPr>
          <w:rFonts w:cs="Calibri"/>
          <w:szCs w:val="24"/>
        </w:rPr>
        <w:t xml:space="preserve"> </w:t>
      </w:r>
      <w:r w:rsidR="00DC5ADE">
        <w:rPr>
          <w:rFonts w:cs="Calibri"/>
          <w:szCs w:val="24"/>
        </w:rPr>
        <w:t xml:space="preserve">as well as </w:t>
      </w:r>
      <w:r w:rsidR="00820197">
        <w:rPr>
          <w:rFonts w:cs="Calibri"/>
          <w:szCs w:val="24"/>
        </w:rPr>
        <w:t xml:space="preserve">to </w:t>
      </w:r>
      <w:r w:rsidR="00DC5ADE">
        <w:rPr>
          <w:rFonts w:cs="Calibri"/>
          <w:szCs w:val="24"/>
        </w:rPr>
        <w:t xml:space="preserve">examine </w:t>
      </w:r>
      <w:r w:rsidR="00BF67DA">
        <w:rPr>
          <w:rFonts w:cs="Calibri"/>
          <w:szCs w:val="24"/>
        </w:rPr>
        <w:t>any other options that may be presented to the ITU management.</w:t>
      </w:r>
    </w:p>
    <w:bookmarkEnd w:id="13"/>
    <w:p w14:paraId="3AE6FB30" w14:textId="77777777" w:rsidR="00A94DAB" w:rsidRPr="00A94DAB" w:rsidRDefault="006415CC" w:rsidP="00717364">
      <w:pPr>
        <w:snapToGrid w:val="0"/>
        <w:spacing w:before="840"/>
        <w:jc w:val="center"/>
        <w:rPr>
          <w:rFonts w:cs="Calibri"/>
          <w:szCs w:val="24"/>
        </w:rPr>
      </w:pPr>
      <w:r w:rsidRPr="00A94DAB">
        <w:rPr>
          <w:rFonts w:cs="Calibri"/>
          <w:szCs w:val="24"/>
        </w:rPr>
        <w:t>_________________</w:t>
      </w:r>
    </w:p>
    <w:sectPr w:rsidR="00A94DAB" w:rsidRPr="00A94DAB" w:rsidSect="00B905B1">
      <w:headerReference w:type="default" r:id="rId12"/>
      <w:footerReference w:type="first" r:id="rId13"/>
      <w:pgSz w:w="11907" w:h="16834"/>
      <w:pgMar w:top="1134" w:right="1134" w:bottom="567"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98A8B" w14:textId="77777777" w:rsidR="00AE6DC2" w:rsidRDefault="00AE6DC2">
      <w:r>
        <w:separator/>
      </w:r>
    </w:p>
  </w:endnote>
  <w:endnote w:type="continuationSeparator" w:id="0">
    <w:p w14:paraId="209EA33C" w14:textId="77777777" w:rsidR="00AE6DC2" w:rsidRDefault="00AE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E4C3" w14:textId="77777777" w:rsidR="00624688" w:rsidRDefault="0062468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A6D6F" w14:textId="77777777" w:rsidR="00AE6DC2" w:rsidRDefault="00AE6DC2">
      <w:r>
        <w:t>____________________</w:t>
      </w:r>
    </w:p>
  </w:footnote>
  <w:footnote w:type="continuationSeparator" w:id="0">
    <w:p w14:paraId="69776096" w14:textId="77777777" w:rsidR="00AE6DC2" w:rsidRDefault="00AE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B35ED" w14:textId="77777777" w:rsidR="00624688" w:rsidRDefault="00624688" w:rsidP="00CE433C">
    <w:pPr>
      <w:pStyle w:val="Header"/>
    </w:pPr>
    <w:r>
      <w:fldChar w:fldCharType="begin"/>
    </w:r>
    <w:r>
      <w:instrText>PAGE</w:instrText>
    </w:r>
    <w:r>
      <w:fldChar w:fldCharType="separate"/>
    </w:r>
    <w:r w:rsidR="00314801">
      <w:rPr>
        <w:noProof/>
      </w:rPr>
      <w:t>5</w:t>
    </w:r>
    <w:r>
      <w:rPr>
        <w:noProof/>
      </w:rPr>
      <w:fldChar w:fldCharType="end"/>
    </w:r>
  </w:p>
  <w:p w14:paraId="6160BC02" w14:textId="2150AA72" w:rsidR="00624688" w:rsidRDefault="00624688" w:rsidP="001C3942">
    <w:pPr>
      <w:pStyle w:val="Header"/>
    </w:pPr>
    <w:r>
      <w:t>C</w:t>
    </w:r>
    <w:r w:rsidR="0015344C">
      <w:t>2</w:t>
    </w:r>
    <w:r w:rsidR="008779B5">
      <w:t>1</w:t>
    </w:r>
    <w:r>
      <w:t>/46-E</w:t>
    </w:r>
  </w:p>
  <w:p w14:paraId="2EA7A0C5" w14:textId="77777777" w:rsidR="001C7A7A" w:rsidRDefault="001C7A7A" w:rsidP="001C3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D02355"/>
    <w:multiLevelType w:val="hybridMultilevel"/>
    <w:tmpl w:val="5DB0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151207"/>
    <w:multiLevelType w:val="multilevel"/>
    <w:tmpl w:val="73AACF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8574A9"/>
    <w:multiLevelType w:val="multilevel"/>
    <w:tmpl w:val="A208BD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CC"/>
    <w:rsid w:val="000124C1"/>
    <w:rsid w:val="00012597"/>
    <w:rsid w:val="000210D4"/>
    <w:rsid w:val="00046215"/>
    <w:rsid w:val="000518DA"/>
    <w:rsid w:val="00063016"/>
    <w:rsid w:val="00066795"/>
    <w:rsid w:val="00072A17"/>
    <w:rsid w:val="00076AF6"/>
    <w:rsid w:val="00084E14"/>
    <w:rsid w:val="00085CF2"/>
    <w:rsid w:val="0009300C"/>
    <w:rsid w:val="000B1705"/>
    <w:rsid w:val="000D5628"/>
    <w:rsid w:val="000D6FBB"/>
    <w:rsid w:val="000D75B2"/>
    <w:rsid w:val="000D76A4"/>
    <w:rsid w:val="000F4AC9"/>
    <w:rsid w:val="001023BF"/>
    <w:rsid w:val="0010487B"/>
    <w:rsid w:val="001066A6"/>
    <w:rsid w:val="001121F5"/>
    <w:rsid w:val="001400DC"/>
    <w:rsid w:val="00140CE1"/>
    <w:rsid w:val="00140EDB"/>
    <w:rsid w:val="00143256"/>
    <w:rsid w:val="00147912"/>
    <w:rsid w:val="00151E35"/>
    <w:rsid w:val="0015344C"/>
    <w:rsid w:val="00157205"/>
    <w:rsid w:val="0017539C"/>
    <w:rsid w:val="00175AC2"/>
    <w:rsid w:val="0017609F"/>
    <w:rsid w:val="00176D05"/>
    <w:rsid w:val="00180E91"/>
    <w:rsid w:val="001904A0"/>
    <w:rsid w:val="001925F8"/>
    <w:rsid w:val="00195AD1"/>
    <w:rsid w:val="001A0373"/>
    <w:rsid w:val="001B78D0"/>
    <w:rsid w:val="001C0506"/>
    <w:rsid w:val="001C3942"/>
    <w:rsid w:val="001C628E"/>
    <w:rsid w:val="001C7A7A"/>
    <w:rsid w:val="001D16E4"/>
    <w:rsid w:val="001D3101"/>
    <w:rsid w:val="001D327C"/>
    <w:rsid w:val="001E0F7B"/>
    <w:rsid w:val="001F72FB"/>
    <w:rsid w:val="002119FD"/>
    <w:rsid w:val="002130E0"/>
    <w:rsid w:val="002163A1"/>
    <w:rsid w:val="002163F5"/>
    <w:rsid w:val="00227521"/>
    <w:rsid w:val="002340EB"/>
    <w:rsid w:val="002346D0"/>
    <w:rsid w:val="0024451F"/>
    <w:rsid w:val="00257967"/>
    <w:rsid w:val="0026381E"/>
    <w:rsid w:val="00264425"/>
    <w:rsid w:val="00265875"/>
    <w:rsid w:val="0027303B"/>
    <w:rsid w:val="0027611E"/>
    <w:rsid w:val="002777B6"/>
    <w:rsid w:val="0028109B"/>
    <w:rsid w:val="00296B1F"/>
    <w:rsid w:val="002A0E97"/>
    <w:rsid w:val="002A34FF"/>
    <w:rsid w:val="002B1F58"/>
    <w:rsid w:val="002B37FE"/>
    <w:rsid w:val="002C1C7A"/>
    <w:rsid w:val="002D70E5"/>
    <w:rsid w:val="002E1A20"/>
    <w:rsid w:val="002E7AF5"/>
    <w:rsid w:val="002F098E"/>
    <w:rsid w:val="002F26B6"/>
    <w:rsid w:val="002F6D63"/>
    <w:rsid w:val="0030088E"/>
    <w:rsid w:val="0030160F"/>
    <w:rsid w:val="0030265B"/>
    <w:rsid w:val="003056B3"/>
    <w:rsid w:val="00314801"/>
    <w:rsid w:val="00320EDB"/>
    <w:rsid w:val="00322D0D"/>
    <w:rsid w:val="003420F7"/>
    <w:rsid w:val="00374AD4"/>
    <w:rsid w:val="00391F17"/>
    <w:rsid w:val="003942D4"/>
    <w:rsid w:val="003958A8"/>
    <w:rsid w:val="003B1C6F"/>
    <w:rsid w:val="003B5F5D"/>
    <w:rsid w:val="003C0EEB"/>
    <w:rsid w:val="003C2533"/>
    <w:rsid w:val="003E55F6"/>
    <w:rsid w:val="0040435A"/>
    <w:rsid w:val="0040439F"/>
    <w:rsid w:val="00416A24"/>
    <w:rsid w:val="004304E7"/>
    <w:rsid w:val="00431D9E"/>
    <w:rsid w:val="00432B16"/>
    <w:rsid w:val="00433CE8"/>
    <w:rsid w:val="00434A5C"/>
    <w:rsid w:val="00437361"/>
    <w:rsid w:val="00440CD8"/>
    <w:rsid w:val="004544D9"/>
    <w:rsid w:val="0046155A"/>
    <w:rsid w:val="00462BAF"/>
    <w:rsid w:val="00465878"/>
    <w:rsid w:val="00490E72"/>
    <w:rsid w:val="00491157"/>
    <w:rsid w:val="004921C8"/>
    <w:rsid w:val="004A72D9"/>
    <w:rsid w:val="004C5010"/>
    <w:rsid w:val="004D1851"/>
    <w:rsid w:val="004D599D"/>
    <w:rsid w:val="004E2EA5"/>
    <w:rsid w:val="004E3AEB"/>
    <w:rsid w:val="0050223C"/>
    <w:rsid w:val="005243FF"/>
    <w:rsid w:val="00543E9A"/>
    <w:rsid w:val="00564FBC"/>
    <w:rsid w:val="00571D02"/>
    <w:rsid w:val="00572D51"/>
    <w:rsid w:val="00574E74"/>
    <w:rsid w:val="00582442"/>
    <w:rsid w:val="00586A64"/>
    <w:rsid w:val="005A093A"/>
    <w:rsid w:val="005B4D5F"/>
    <w:rsid w:val="005D0CF6"/>
    <w:rsid w:val="005D437A"/>
    <w:rsid w:val="005F176F"/>
    <w:rsid w:val="00624688"/>
    <w:rsid w:val="0063181A"/>
    <w:rsid w:val="006407A5"/>
    <w:rsid w:val="006415B9"/>
    <w:rsid w:val="006415CC"/>
    <w:rsid w:val="0064737F"/>
    <w:rsid w:val="006535F1"/>
    <w:rsid w:val="0065557D"/>
    <w:rsid w:val="00662984"/>
    <w:rsid w:val="0067154A"/>
    <w:rsid w:val="006716BB"/>
    <w:rsid w:val="00687A68"/>
    <w:rsid w:val="00687F0A"/>
    <w:rsid w:val="006A07AA"/>
    <w:rsid w:val="006A15CD"/>
    <w:rsid w:val="006B47E3"/>
    <w:rsid w:val="006B6680"/>
    <w:rsid w:val="006B6DCC"/>
    <w:rsid w:val="006C0087"/>
    <w:rsid w:val="006E7A7C"/>
    <w:rsid w:val="00702DEF"/>
    <w:rsid w:val="00706861"/>
    <w:rsid w:val="00710A6C"/>
    <w:rsid w:val="00715F9E"/>
    <w:rsid w:val="00717364"/>
    <w:rsid w:val="00726100"/>
    <w:rsid w:val="00727FD6"/>
    <w:rsid w:val="0075051B"/>
    <w:rsid w:val="00754D1B"/>
    <w:rsid w:val="007744D6"/>
    <w:rsid w:val="0078266E"/>
    <w:rsid w:val="00794D34"/>
    <w:rsid w:val="007A1665"/>
    <w:rsid w:val="007A3ACE"/>
    <w:rsid w:val="007B3059"/>
    <w:rsid w:val="007E7A9A"/>
    <w:rsid w:val="00813878"/>
    <w:rsid w:val="00813E5E"/>
    <w:rsid w:val="00820197"/>
    <w:rsid w:val="0083581B"/>
    <w:rsid w:val="0084314E"/>
    <w:rsid w:val="00851D0D"/>
    <w:rsid w:val="00864AFF"/>
    <w:rsid w:val="0087423C"/>
    <w:rsid w:val="008779B5"/>
    <w:rsid w:val="00897315"/>
    <w:rsid w:val="008B23F4"/>
    <w:rsid w:val="008B37DA"/>
    <w:rsid w:val="008B4A6A"/>
    <w:rsid w:val="008C5D71"/>
    <w:rsid w:val="008C7156"/>
    <w:rsid w:val="008C7E27"/>
    <w:rsid w:val="008D08B6"/>
    <w:rsid w:val="008D313C"/>
    <w:rsid w:val="008D3B48"/>
    <w:rsid w:val="009129F4"/>
    <w:rsid w:val="009173EF"/>
    <w:rsid w:val="0092020A"/>
    <w:rsid w:val="00932906"/>
    <w:rsid w:val="009510F9"/>
    <w:rsid w:val="00961B0B"/>
    <w:rsid w:val="009661CD"/>
    <w:rsid w:val="0097188A"/>
    <w:rsid w:val="00974F12"/>
    <w:rsid w:val="00987DBA"/>
    <w:rsid w:val="00990313"/>
    <w:rsid w:val="009A1899"/>
    <w:rsid w:val="009B2B54"/>
    <w:rsid w:val="009B38C3"/>
    <w:rsid w:val="009E17BD"/>
    <w:rsid w:val="009F3AC8"/>
    <w:rsid w:val="00A037FC"/>
    <w:rsid w:val="00A04CEC"/>
    <w:rsid w:val="00A27B50"/>
    <w:rsid w:val="00A27F92"/>
    <w:rsid w:val="00A314D7"/>
    <w:rsid w:val="00A32257"/>
    <w:rsid w:val="00A36D20"/>
    <w:rsid w:val="00A441A6"/>
    <w:rsid w:val="00A516FB"/>
    <w:rsid w:val="00A55622"/>
    <w:rsid w:val="00A564CB"/>
    <w:rsid w:val="00A5667F"/>
    <w:rsid w:val="00A826F9"/>
    <w:rsid w:val="00A83502"/>
    <w:rsid w:val="00A94DAB"/>
    <w:rsid w:val="00A97B5B"/>
    <w:rsid w:val="00AA5DA1"/>
    <w:rsid w:val="00AA5F58"/>
    <w:rsid w:val="00AB2738"/>
    <w:rsid w:val="00AB5BCA"/>
    <w:rsid w:val="00AC13F7"/>
    <w:rsid w:val="00AD15B3"/>
    <w:rsid w:val="00AE0D13"/>
    <w:rsid w:val="00AE6DC2"/>
    <w:rsid w:val="00AE6F5F"/>
    <w:rsid w:val="00AF2E69"/>
    <w:rsid w:val="00AF6E49"/>
    <w:rsid w:val="00AF7F00"/>
    <w:rsid w:val="00B04A67"/>
    <w:rsid w:val="00B0583C"/>
    <w:rsid w:val="00B06858"/>
    <w:rsid w:val="00B21F5B"/>
    <w:rsid w:val="00B36131"/>
    <w:rsid w:val="00B40A81"/>
    <w:rsid w:val="00B40A90"/>
    <w:rsid w:val="00B44910"/>
    <w:rsid w:val="00B72267"/>
    <w:rsid w:val="00B759F2"/>
    <w:rsid w:val="00B76EB6"/>
    <w:rsid w:val="00B7737B"/>
    <w:rsid w:val="00B7777C"/>
    <w:rsid w:val="00B824C8"/>
    <w:rsid w:val="00B903BB"/>
    <w:rsid w:val="00B905B1"/>
    <w:rsid w:val="00BA260F"/>
    <w:rsid w:val="00BA41D1"/>
    <w:rsid w:val="00BB15BB"/>
    <w:rsid w:val="00BB6F62"/>
    <w:rsid w:val="00BC251A"/>
    <w:rsid w:val="00BD032B"/>
    <w:rsid w:val="00BD3FE6"/>
    <w:rsid w:val="00BD4BAF"/>
    <w:rsid w:val="00BD5EA0"/>
    <w:rsid w:val="00BE164A"/>
    <w:rsid w:val="00BE2640"/>
    <w:rsid w:val="00BF4206"/>
    <w:rsid w:val="00BF67DA"/>
    <w:rsid w:val="00C00785"/>
    <w:rsid w:val="00C01189"/>
    <w:rsid w:val="00C0503F"/>
    <w:rsid w:val="00C2461C"/>
    <w:rsid w:val="00C25D50"/>
    <w:rsid w:val="00C374DE"/>
    <w:rsid w:val="00C47AD4"/>
    <w:rsid w:val="00C47E2F"/>
    <w:rsid w:val="00C52D81"/>
    <w:rsid w:val="00C55198"/>
    <w:rsid w:val="00C6105E"/>
    <w:rsid w:val="00C67E33"/>
    <w:rsid w:val="00C7530D"/>
    <w:rsid w:val="00CA0EDB"/>
    <w:rsid w:val="00CA6393"/>
    <w:rsid w:val="00CA798A"/>
    <w:rsid w:val="00CB18FF"/>
    <w:rsid w:val="00CB64C1"/>
    <w:rsid w:val="00CD0C08"/>
    <w:rsid w:val="00CD6387"/>
    <w:rsid w:val="00CE03FB"/>
    <w:rsid w:val="00CE433C"/>
    <w:rsid w:val="00CF33F3"/>
    <w:rsid w:val="00CF674C"/>
    <w:rsid w:val="00D06183"/>
    <w:rsid w:val="00D0634B"/>
    <w:rsid w:val="00D130A5"/>
    <w:rsid w:val="00D1351E"/>
    <w:rsid w:val="00D22151"/>
    <w:rsid w:val="00D22C42"/>
    <w:rsid w:val="00D27AE7"/>
    <w:rsid w:val="00D330EF"/>
    <w:rsid w:val="00D40FE7"/>
    <w:rsid w:val="00D41E79"/>
    <w:rsid w:val="00D57C9B"/>
    <w:rsid w:val="00D65041"/>
    <w:rsid w:val="00D84B1E"/>
    <w:rsid w:val="00D8512D"/>
    <w:rsid w:val="00DB1DA0"/>
    <w:rsid w:val="00DB384B"/>
    <w:rsid w:val="00DC194F"/>
    <w:rsid w:val="00DC2815"/>
    <w:rsid w:val="00DC5ADE"/>
    <w:rsid w:val="00DD5367"/>
    <w:rsid w:val="00DE0646"/>
    <w:rsid w:val="00DE7E69"/>
    <w:rsid w:val="00E00590"/>
    <w:rsid w:val="00E04CC5"/>
    <w:rsid w:val="00E10E80"/>
    <w:rsid w:val="00E12180"/>
    <w:rsid w:val="00E124F0"/>
    <w:rsid w:val="00E167FB"/>
    <w:rsid w:val="00E33F29"/>
    <w:rsid w:val="00E415C7"/>
    <w:rsid w:val="00E60F04"/>
    <w:rsid w:val="00E6566F"/>
    <w:rsid w:val="00E70874"/>
    <w:rsid w:val="00E826DA"/>
    <w:rsid w:val="00E854E4"/>
    <w:rsid w:val="00E87E66"/>
    <w:rsid w:val="00E969FC"/>
    <w:rsid w:val="00EB0D6F"/>
    <w:rsid w:val="00EB2232"/>
    <w:rsid w:val="00EB3703"/>
    <w:rsid w:val="00EC1F05"/>
    <w:rsid w:val="00EC5337"/>
    <w:rsid w:val="00EE30DE"/>
    <w:rsid w:val="00EE417A"/>
    <w:rsid w:val="00F03FA6"/>
    <w:rsid w:val="00F12819"/>
    <w:rsid w:val="00F12FF6"/>
    <w:rsid w:val="00F14916"/>
    <w:rsid w:val="00F2150A"/>
    <w:rsid w:val="00F231D8"/>
    <w:rsid w:val="00F244EA"/>
    <w:rsid w:val="00F27030"/>
    <w:rsid w:val="00F329B8"/>
    <w:rsid w:val="00F32DF1"/>
    <w:rsid w:val="00F46C5F"/>
    <w:rsid w:val="00F671E9"/>
    <w:rsid w:val="00F87F8D"/>
    <w:rsid w:val="00F94A63"/>
    <w:rsid w:val="00FA1C28"/>
    <w:rsid w:val="00FB7596"/>
    <w:rsid w:val="00FD13A7"/>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EF0C85"/>
  <w15:docId w15:val="{3E33BCD6-F699-4D79-9DD4-AAE46609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6415C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5F17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176F"/>
    <w:rPr>
      <w:rFonts w:ascii="Segoe UI" w:hAnsi="Segoe UI" w:cs="Segoe UI"/>
      <w:sz w:val="18"/>
      <w:szCs w:val="18"/>
      <w:lang w:val="en-GB" w:eastAsia="en-US"/>
    </w:rPr>
  </w:style>
  <w:style w:type="paragraph" w:customStyle="1" w:styleId="Default">
    <w:name w:val="Default"/>
    <w:rsid w:val="00DE7E69"/>
    <w:pPr>
      <w:autoSpaceDE w:val="0"/>
      <w:autoSpaceDN w:val="0"/>
      <w:adjustRightInd w:val="0"/>
    </w:pPr>
    <w:rPr>
      <w:rFonts w:ascii="Calibri" w:hAnsi="Calibri" w:cs="Calibri"/>
      <w:color w:val="000000"/>
      <w:sz w:val="24"/>
      <w:szCs w:val="24"/>
    </w:rPr>
  </w:style>
  <w:style w:type="paragraph" w:customStyle="1" w:styleId="xmsonormal">
    <w:name w:val="x_msonormal"/>
    <w:basedOn w:val="Normal"/>
    <w:uiPriority w:val="99"/>
    <w:rsid w:val="009129F4"/>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 w:type="character" w:styleId="CommentReference">
    <w:name w:val="annotation reference"/>
    <w:basedOn w:val="DefaultParagraphFont"/>
    <w:semiHidden/>
    <w:unhideWhenUsed/>
    <w:rsid w:val="00BF67DA"/>
    <w:rPr>
      <w:sz w:val="16"/>
      <w:szCs w:val="16"/>
    </w:rPr>
  </w:style>
  <w:style w:type="paragraph" w:styleId="CommentText">
    <w:name w:val="annotation text"/>
    <w:basedOn w:val="Normal"/>
    <w:link w:val="CommentTextChar"/>
    <w:semiHidden/>
    <w:unhideWhenUsed/>
    <w:rsid w:val="00BF67DA"/>
    <w:rPr>
      <w:sz w:val="20"/>
    </w:rPr>
  </w:style>
  <w:style w:type="character" w:customStyle="1" w:styleId="CommentTextChar">
    <w:name w:val="Comment Text Char"/>
    <w:basedOn w:val="DefaultParagraphFont"/>
    <w:link w:val="CommentText"/>
    <w:semiHidden/>
    <w:rsid w:val="00BF67DA"/>
    <w:rPr>
      <w:rFonts w:ascii="Calibri" w:hAnsi="Calibri"/>
      <w:lang w:val="en-GB" w:eastAsia="en-US"/>
    </w:rPr>
  </w:style>
  <w:style w:type="paragraph" w:styleId="CommentSubject">
    <w:name w:val="annotation subject"/>
    <w:basedOn w:val="CommentText"/>
    <w:next w:val="CommentText"/>
    <w:link w:val="CommentSubjectChar"/>
    <w:semiHidden/>
    <w:unhideWhenUsed/>
    <w:rsid w:val="00BF67DA"/>
    <w:rPr>
      <w:b/>
      <w:bCs/>
    </w:rPr>
  </w:style>
  <w:style w:type="character" w:customStyle="1" w:styleId="CommentSubjectChar">
    <w:name w:val="Comment Subject Char"/>
    <w:basedOn w:val="CommentTextChar"/>
    <w:link w:val="CommentSubject"/>
    <w:semiHidden/>
    <w:rsid w:val="00BF67DA"/>
    <w:rPr>
      <w:rFonts w:ascii="Calibri" w:hAnsi="Calibri"/>
      <w:b/>
      <w:bCs/>
      <w:lang w:val="en-GB" w:eastAsia="en-US"/>
    </w:rPr>
  </w:style>
  <w:style w:type="character" w:styleId="UnresolvedMention">
    <w:name w:val="Unresolved Mention"/>
    <w:basedOn w:val="DefaultParagraphFont"/>
    <w:uiPriority w:val="99"/>
    <w:semiHidden/>
    <w:unhideWhenUsed/>
    <w:rsid w:val="007A3ACE"/>
    <w:rPr>
      <w:color w:val="605E5C"/>
      <w:shd w:val="clear" w:color="auto" w:fill="E1DFDD"/>
    </w:rPr>
  </w:style>
  <w:style w:type="paragraph" w:styleId="ListParagraph">
    <w:name w:val="List Paragraph"/>
    <w:basedOn w:val="Normal"/>
    <w:uiPriority w:val="34"/>
    <w:qFormat/>
    <w:rsid w:val="00B75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22581">
      <w:bodyDiv w:val="1"/>
      <w:marLeft w:val="0"/>
      <w:marRight w:val="0"/>
      <w:marTop w:val="0"/>
      <w:marBottom w:val="0"/>
      <w:divBdr>
        <w:top w:val="none" w:sz="0" w:space="0" w:color="auto"/>
        <w:left w:val="none" w:sz="0" w:space="0" w:color="auto"/>
        <w:bottom w:val="none" w:sz="0" w:space="0" w:color="auto"/>
        <w:right w:val="none" w:sz="0" w:space="0" w:color="auto"/>
      </w:divBdr>
    </w:div>
    <w:div w:id="872233956">
      <w:bodyDiv w:val="1"/>
      <w:marLeft w:val="0"/>
      <w:marRight w:val="0"/>
      <w:marTop w:val="0"/>
      <w:marBottom w:val="0"/>
      <w:divBdr>
        <w:top w:val="none" w:sz="0" w:space="0" w:color="auto"/>
        <w:left w:val="none" w:sz="0" w:space="0" w:color="auto"/>
        <w:bottom w:val="none" w:sz="0" w:space="0" w:color="auto"/>
        <w:right w:val="none" w:sz="0" w:space="0" w:color="auto"/>
      </w:divBdr>
    </w:div>
    <w:div w:id="19669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Documents/fin-hr/ref-dec005.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0-CL-C-0046/en" TargetMode="External"/><Relationship Id="rId4" Type="http://schemas.openxmlformats.org/officeDocument/2006/relationships/settings" Target="settings.xml"/><Relationship Id="rId9" Type="http://schemas.openxmlformats.org/officeDocument/2006/relationships/hyperlink" Target="https://www.itu.int/md/S20-CL-C-0046/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BAE6-7489-4320-A487-7EF62710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1361</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after-service health insurance (ASHI) liability</vt:lpstr>
    </vt:vector>
  </TitlesOfParts>
  <Manager>General Secretariat - Pool</Manager>
  <Company>International Telecommunication Union (ITU)</Company>
  <LinksUpToDate>false</LinksUpToDate>
  <CharactersWithSpaces>8453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2021, Virtual consultation of councillors</dc:subject>
  <dc:creator>Brouard, Ricarda</dc:creator>
  <cp:keywords>C2021, C21, VCC, C21-VCC-1</cp:keywords>
  <dc:description/>
  <cp:lastModifiedBy>Brouard, Ricarda</cp:lastModifiedBy>
  <cp:revision>3</cp:revision>
  <cp:lastPrinted>2019-04-18T09:13:00Z</cp:lastPrinted>
  <dcterms:created xsi:type="dcterms:W3CDTF">2021-03-31T09:54:00Z</dcterms:created>
  <dcterms:modified xsi:type="dcterms:W3CDTF">2021-04-12T18:34:00Z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