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0B0D00" w14:paraId="75979D83" w14:textId="77777777">
        <w:trPr>
          <w:cantSplit/>
        </w:trPr>
        <w:tc>
          <w:tcPr>
            <w:tcW w:w="6912" w:type="dxa"/>
          </w:tcPr>
          <w:p w14:paraId="40403C85" w14:textId="77777777" w:rsidR="00093EEB" w:rsidRPr="000B0D00" w:rsidRDefault="00093EEB" w:rsidP="00C2727F">
            <w:pPr>
              <w:spacing w:before="360"/>
              <w:rPr>
                <w:szCs w:val="24"/>
              </w:rPr>
            </w:pPr>
            <w:bookmarkStart w:id="0" w:name="dc06"/>
            <w:bookmarkStart w:id="1" w:name="dbluepink" w:colFirst="0" w:colLast="0"/>
            <w:bookmarkEnd w:id="0"/>
            <w:r w:rsidRPr="00093EEB">
              <w:rPr>
                <w:b/>
                <w:bCs/>
                <w:sz w:val="30"/>
                <w:szCs w:val="30"/>
              </w:rPr>
              <w:t>Consejo 20</w:t>
            </w:r>
            <w:r w:rsidR="007955DA">
              <w:rPr>
                <w:b/>
                <w:bCs/>
                <w:sz w:val="30"/>
                <w:szCs w:val="30"/>
              </w:rPr>
              <w:t>2</w:t>
            </w:r>
            <w:r w:rsidR="000007D1">
              <w:rPr>
                <w:b/>
                <w:bCs/>
                <w:sz w:val="30"/>
                <w:szCs w:val="30"/>
              </w:rPr>
              <w:t>1</w:t>
            </w:r>
            <w:r w:rsidRPr="00093EEB">
              <w:rPr>
                <w:b/>
                <w:bCs/>
                <w:sz w:val="26"/>
                <w:szCs w:val="26"/>
              </w:rPr>
              <w:br/>
            </w:r>
            <w:bookmarkStart w:id="2" w:name="lt_pId446"/>
            <w:r w:rsidR="000007D1" w:rsidRPr="000007D1">
              <w:rPr>
                <w:b/>
                <w:bCs/>
                <w:sz w:val="26"/>
                <w:szCs w:val="26"/>
              </w:rPr>
              <w:t>Consulta virtual de los consejeros</w:t>
            </w:r>
            <w:bookmarkEnd w:id="2"/>
            <w:r w:rsidRPr="000007D1">
              <w:rPr>
                <w:b/>
                <w:bCs/>
                <w:sz w:val="26"/>
                <w:szCs w:val="26"/>
              </w:rPr>
              <w:t xml:space="preserve">, </w:t>
            </w:r>
            <w:r w:rsidR="000007D1" w:rsidRPr="000007D1">
              <w:rPr>
                <w:b/>
                <w:bCs/>
                <w:sz w:val="26"/>
                <w:szCs w:val="26"/>
              </w:rPr>
              <w:t>8</w:t>
            </w:r>
            <w:r w:rsidRPr="000007D1">
              <w:rPr>
                <w:b/>
                <w:bCs/>
                <w:sz w:val="26"/>
                <w:szCs w:val="26"/>
              </w:rPr>
              <w:t>-</w:t>
            </w:r>
            <w:r w:rsidR="007955DA" w:rsidRPr="000007D1">
              <w:rPr>
                <w:b/>
                <w:bCs/>
                <w:sz w:val="26"/>
                <w:szCs w:val="26"/>
              </w:rPr>
              <w:t>1</w:t>
            </w:r>
            <w:r w:rsidR="000007D1" w:rsidRPr="000007D1">
              <w:rPr>
                <w:b/>
                <w:bCs/>
                <w:sz w:val="26"/>
                <w:szCs w:val="26"/>
              </w:rPr>
              <w:t>8</w:t>
            </w:r>
            <w:r w:rsidRPr="000007D1">
              <w:rPr>
                <w:b/>
                <w:bCs/>
                <w:sz w:val="26"/>
                <w:szCs w:val="26"/>
              </w:rPr>
              <w:t xml:space="preserve"> de </w:t>
            </w:r>
            <w:r w:rsidR="00C2727F" w:rsidRPr="000007D1">
              <w:rPr>
                <w:b/>
                <w:bCs/>
                <w:sz w:val="26"/>
                <w:szCs w:val="26"/>
              </w:rPr>
              <w:t>junio</w:t>
            </w:r>
            <w:r w:rsidRPr="000007D1">
              <w:rPr>
                <w:b/>
                <w:bCs/>
                <w:sz w:val="26"/>
                <w:szCs w:val="26"/>
              </w:rPr>
              <w:t xml:space="preserve"> de 20</w:t>
            </w:r>
            <w:r w:rsidR="007955DA" w:rsidRPr="000007D1">
              <w:rPr>
                <w:b/>
                <w:bCs/>
                <w:sz w:val="26"/>
                <w:szCs w:val="26"/>
              </w:rPr>
              <w:t>2</w:t>
            </w:r>
            <w:r w:rsidR="000007D1" w:rsidRPr="000007D1">
              <w:rPr>
                <w:b/>
                <w:bCs/>
                <w:sz w:val="26"/>
                <w:szCs w:val="26"/>
              </w:rPr>
              <w:t>1</w:t>
            </w:r>
          </w:p>
        </w:tc>
        <w:tc>
          <w:tcPr>
            <w:tcW w:w="3261" w:type="dxa"/>
          </w:tcPr>
          <w:p w14:paraId="7B5E8EC2" w14:textId="77777777" w:rsidR="00093EEB" w:rsidRPr="000B0D00" w:rsidRDefault="007955DA" w:rsidP="007955DA">
            <w:pPr>
              <w:spacing w:before="0"/>
              <w:rPr>
                <w:szCs w:val="24"/>
              </w:rPr>
            </w:pPr>
            <w:bookmarkStart w:id="3" w:name="ditulogo"/>
            <w:bookmarkEnd w:id="3"/>
            <w:r>
              <w:rPr>
                <w:noProof/>
                <w:lang w:eastAsia="zh-CN"/>
              </w:rPr>
              <w:drawing>
                <wp:inline distT="0" distB="0" distL="0" distR="0" wp14:anchorId="5F177FE4" wp14:editId="23923262">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093EEB" w:rsidRPr="000B0D00" w14:paraId="324C919A" w14:textId="77777777">
        <w:trPr>
          <w:cantSplit/>
          <w:trHeight w:val="20"/>
        </w:trPr>
        <w:tc>
          <w:tcPr>
            <w:tcW w:w="10173" w:type="dxa"/>
            <w:gridSpan w:val="2"/>
            <w:tcBorders>
              <w:bottom w:val="single" w:sz="12" w:space="0" w:color="auto"/>
            </w:tcBorders>
          </w:tcPr>
          <w:p w14:paraId="5482A04D" w14:textId="77777777" w:rsidR="00093EEB" w:rsidRPr="00EB1212" w:rsidRDefault="00093EEB">
            <w:pPr>
              <w:spacing w:before="0"/>
              <w:rPr>
                <w:b/>
                <w:bCs/>
                <w:szCs w:val="24"/>
              </w:rPr>
            </w:pPr>
          </w:p>
        </w:tc>
      </w:tr>
      <w:tr w:rsidR="00093EEB" w:rsidRPr="000B0D00" w14:paraId="5BEFF3F8" w14:textId="77777777">
        <w:trPr>
          <w:cantSplit/>
          <w:trHeight w:val="20"/>
        </w:trPr>
        <w:tc>
          <w:tcPr>
            <w:tcW w:w="6912" w:type="dxa"/>
            <w:tcBorders>
              <w:top w:val="single" w:sz="12" w:space="0" w:color="auto"/>
            </w:tcBorders>
          </w:tcPr>
          <w:p w14:paraId="3E7A7C70" w14:textId="77777777" w:rsidR="00093EEB" w:rsidRPr="000B0D00"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14:paraId="7C04B711" w14:textId="77777777" w:rsidR="00093EEB" w:rsidRPr="000B0D00" w:rsidRDefault="00093EEB">
            <w:pPr>
              <w:spacing w:before="0"/>
              <w:rPr>
                <w:b/>
                <w:bCs/>
                <w:szCs w:val="24"/>
              </w:rPr>
            </w:pPr>
          </w:p>
        </w:tc>
      </w:tr>
      <w:tr w:rsidR="00093EEB" w:rsidRPr="000B0D00" w14:paraId="725F03FA" w14:textId="77777777">
        <w:trPr>
          <w:cantSplit/>
          <w:trHeight w:val="20"/>
        </w:trPr>
        <w:tc>
          <w:tcPr>
            <w:tcW w:w="6912" w:type="dxa"/>
            <w:shd w:val="clear" w:color="auto" w:fill="auto"/>
          </w:tcPr>
          <w:p w14:paraId="1F6F6768" w14:textId="2D6963F8" w:rsidR="00093EEB" w:rsidRPr="00093EEB" w:rsidRDefault="00333B09">
            <w:pPr>
              <w:tabs>
                <w:tab w:val="clear" w:pos="2268"/>
                <w:tab w:val="left" w:pos="1560"/>
                <w:tab w:val="left" w:pos="2269"/>
                <w:tab w:val="left" w:pos="3544"/>
                <w:tab w:val="left" w:pos="3969"/>
              </w:tabs>
              <w:spacing w:before="0" w:line="240" w:lineRule="atLeast"/>
              <w:rPr>
                <w:rFonts w:cs="Times"/>
                <w:b/>
                <w:szCs w:val="24"/>
              </w:rPr>
            </w:pPr>
            <w:bookmarkStart w:id="4" w:name="dnum" w:colFirst="1" w:colLast="1"/>
            <w:bookmarkStart w:id="5" w:name="dmeeting" w:colFirst="0" w:colLast="0"/>
            <w:r w:rsidRPr="00333B09">
              <w:rPr>
                <w:rFonts w:cs="Times"/>
                <w:b/>
                <w:szCs w:val="24"/>
              </w:rPr>
              <w:t>Punto del orden del día: ADM 18</w:t>
            </w:r>
          </w:p>
        </w:tc>
        <w:tc>
          <w:tcPr>
            <w:tcW w:w="3261" w:type="dxa"/>
          </w:tcPr>
          <w:p w14:paraId="0FDED35B" w14:textId="09E33712" w:rsidR="00093EEB" w:rsidRPr="00093EEB" w:rsidRDefault="00093EEB" w:rsidP="00C2727F">
            <w:pPr>
              <w:spacing w:before="0"/>
              <w:rPr>
                <w:b/>
                <w:bCs/>
                <w:szCs w:val="24"/>
              </w:rPr>
            </w:pPr>
            <w:r>
              <w:rPr>
                <w:b/>
                <w:bCs/>
                <w:szCs w:val="24"/>
              </w:rPr>
              <w:t>Documento C</w:t>
            </w:r>
            <w:r w:rsidR="007955DA">
              <w:rPr>
                <w:b/>
                <w:bCs/>
                <w:szCs w:val="24"/>
              </w:rPr>
              <w:t>2</w:t>
            </w:r>
            <w:r w:rsidR="000007D1">
              <w:rPr>
                <w:b/>
                <w:bCs/>
                <w:szCs w:val="24"/>
              </w:rPr>
              <w:t>1</w:t>
            </w:r>
            <w:r>
              <w:rPr>
                <w:b/>
                <w:bCs/>
                <w:szCs w:val="24"/>
              </w:rPr>
              <w:t>/</w:t>
            </w:r>
            <w:r w:rsidR="00333B09">
              <w:rPr>
                <w:b/>
                <w:bCs/>
                <w:szCs w:val="24"/>
              </w:rPr>
              <w:t>44</w:t>
            </w:r>
            <w:r>
              <w:rPr>
                <w:b/>
                <w:bCs/>
                <w:szCs w:val="24"/>
              </w:rPr>
              <w:t>-S</w:t>
            </w:r>
          </w:p>
        </w:tc>
      </w:tr>
      <w:tr w:rsidR="00093EEB" w:rsidRPr="000B0D00" w14:paraId="47A928B7" w14:textId="77777777">
        <w:trPr>
          <w:cantSplit/>
          <w:trHeight w:val="20"/>
        </w:trPr>
        <w:tc>
          <w:tcPr>
            <w:tcW w:w="6912" w:type="dxa"/>
            <w:shd w:val="clear" w:color="auto" w:fill="auto"/>
          </w:tcPr>
          <w:p w14:paraId="42287752" w14:textId="77777777" w:rsidR="00093EEB" w:rsidRPr="000B0D00" w:rsidRDefault="00093EEB">
            <w:pPr>
              <w:shd w:val="solid" w:color="FFFFFF" w:fill="FFFFFF"/>
              <w:spacing w:before="0"/>
              <w:rPr>
                <w:smallCaps/>
                <w:szCs w:val="24"/>
              </w:rPr>
            </w:pPr>
            <w:bookmarkStart w:id="6" w:name="ddate" w:colFirst="1" w:colLast="1"/>
            <w:bookmarkEnd w:id="4"/>
            <w:bookmarkEnd w:id="5"/>
          </w:p>
        </w:tc>
        <w:tc>
          <w:tcPr>
            <w:tcW w:w="3261" w:type="dxa"/>
          </w:tcPr>
          <w:p w14:paraId="2576550A" w14:textId="69EF96EA" w:rsidR="00093EEB" w:rsidRPr="00093EEB" w:rsidRDefault="00333B09" w:rsidP="00C2727F">
            <w:pPr>
              <w:spacing w:before="0"/>
              <w:rPr>
                <w:b/>
                <w:bCs/>
                <w:szCs w:val="24"/>
              </w:rPr>
            </w:pPr>
            <w:r w:rsidRPr="00333B09">
              <w:rPr>
                <w:b/>
                <w:bCs/>
                <w:szCs w:val="24"/>
              </w:rPr>
              <w:t>31 de marzo de 2021</w:t>
            </w:r>
          </w:p>
        </w:tc>
      </w:tr>
      <w:tr w:rsidR="00093EEB" w:rsidRPr="000B0D00" w14:paraId="423EA7E8" w14:textId="77777777">
        <w:trPr>
          <w:cantSplit/>
          <w:trHeight w:val="20"/>
        </w:trPr>
        <w:tc>
          <w:tcPr>
            <w:tcW w:w="6912" w:type="dxa"/>
            <w:shd w:val="clear" w:color="auto" w:fill="auto"/>
          </w:tcPr>
          <w:p w14:paraId="3F8BC448" w14:textId="77777777" w:rsidR="00093EEB" w:rsidRPr="000B0D00" w:rsidRDefault="00093EEB">
            <w:pPr>
              <w:shd w:val="solid" w:color="FFFFFF" w:fill="FFFFFF"/>
              <w:spacing w:before="0"/>
              <w:rPr>
                <w:smallCaps/>
                <w:szCs w:val="24"/>
              </w:rPr>
            </w:pPr>
            <w:bookmarkStart w:id="7" w:name="dorlang" w:colFirst="1" w:colLast="1"/>
            <w:bookmarkEnd w:id="6"/>
          </w:p>
        </w:tc>
        <w:tc>
          <w:tcPr>
            <w:tcW w:w="3261" w:type="dxa"/>
          </w:tcPr>
          <w:p w14:paraId="6FF5C2CA" w14:textId="77777777" w:rsidR="00093EEB" w:rsidRPr="00093EEB" w:rsidRDefault="00093EEB" w:rsidP="00093EEB">
            <w:pPr>
              <w:spacing w:before="0"/>
              <w:rPr>
                <w:b/>
                <w:bCs/>
                <w:szCs w:val="24"/>
              </w:rPr>
            </w:pPr>
            <w:r>
              <w:rPr>
                <w:b/>
                <w:bCs/>
                <w:szCs w:val="24"/>
              </w:rPr>
              <w:t>Original: inglés</w:t>
            </w:r>
          </w:p>
        </w:tc>
      </w:tr>
      <w:tr w:rsidR="00093EEB" w:rsidRPr="000B0D00" w14:paraId="6C8CE211" w14:textId="77777777">
        <w:trPr>
          <w:cantSplit/>
        </w:trPr>
        <w:tc>
          <w:tcPr>
            <w:tcW w:w="10173" w:type="dxa"/>
            <w:gridSpan w:val="2"/>
          </w:tcPr>
          <w:p w14:paraId="78BC581A" w14:textId="2F6E375A" w:rsidR="00093EEB" w:rsidRPr="000B0D00" w:rsidRDefault="00333B09">
            <w:pPr>
              <w:pStyle w:val="Source"/>
            </w:pPr>
            <w:bookmarkStart w:id="8" w:name="dsource" w:colFirst="0" w:colLast="0"/>
            <w:bookmarkEnd w:id="1"/>
            <w:bookmarkEnd w:id="7"/>
            <w:r w:rsidRPr="00333B09">
              <w:t>Informe del Secretario General</w:t>
            </w:r>
          </w:p>
        </w:tc>
      </w:tr>
      <w:tr w:rsidR="00093EEB" w:rsidRPr="000B0D00" w14:paraId="172C4994" w14:textId="77777777">
        <w:trPr>
          <w:cantSplit/>
        </w:trPr>
        <w:tc>
          <w:tcPr>
            <w:tcW w:w="10173" w:type="dxa"/>
            <w:gridSpan w:val="2"/>
          </w:tcPr>
          <w:p w14:paraId="73C9937E" w14:textId="5FA3554F" w:rsidR="00093EEB" w:rsidRPr="000B0D00" w:rsidRDefault="00333B09">
            <w:pPr>
              <w:pStyle w:val="Title1"/>
            </w:pPr>
            <w:bookmarkStart w:id="9" w:name="dtitle1" w:colFirst="0" w:colLast="0"/>
            <w:bookmarkEnd w:id="8"/>
            <w:r w:rsidRPr="00333B09">
              <w:t>INFORME DEL AUDITOR INTERNO SOBRE ACTIVIDADES DE AUDITORÍA INTERNA</w:t>
            </w:r>
          </w:p>
        </w:tc>
      </w:tr>
      <w:bookmarkEnd w:id="9"/>
    </w:tbl>
    <w:p w14:paraId="190F6F89" w14:textId="77777777" w:rsidR="00093EEB" w:rsidRPr="000B0D00"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0B0D00" w14:paraId="1BAB49F0"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00369A2A" w14:textId="77777777" w:rsidR="00093EEB" w:rsidRPr="000B0D00" w:rsidRDefault="00093EEB">
            <w:pPr>
              <w:pStyle w:val="Headingb"/>
              <w:rPr>
                <w:lang w:val="es-ES"/>
              </w:rPr>
            </w:pPr>
            <w:r w:rsidRPr="000B0D00">
              <w:rPr>
                <w:lang w:val="es-ES"/>
              </w:rPr>
              <w:t>Resumen</w:t>
            </w:r>
          </w:p>
          <w:p w14:paraId="49C4E3FF" w14:textId="3D503985" w:rsidR="00093EEB" w:rsidRPr="000B0D00" w:rsidRDefault="00333B09">
            <w:pPr>
              <w:rPr>
                <w:lang w:val="es-ES"/>
              </w:rPr>
            </w:pPr>
            <w:r w:rsidRPr="00333B09">
              <w:rPr>
                <w:lang w:val="es-ES"/>
              </w:rPr>
              <w:t xml:space="preserve">El presente Informe se refiere a las actividades de </w:t>
            </w:r>
            <w:r w:rsidR="00152E7D">
              <w:rPr>
                <w:lang w:val="es-ES"/>
              </w:rPr>
              <w:t>a</w:t>
            </w:r>
            <w:r w:rsidRPr="00333B09">
              <w:rPr>
                <w:lang w:val="es-ES"/>
              </w:rPr>
              <w:t xml:space="preserve">uditoría </w:t>
            </w:r>
            <w:r w:rsidR="00152E7D">
              <w:rPr>
                <w:lang w:val="es-ES"/>
              </w:rPr>
              <w:t>i</w:t>
            </w:r>
            <w:r w:rsidRPr="00333B09">
              <w:rPr>
                <w:lang w:val="es-ES"/>
              </w:rPr>
              <w:t>nterna en el periodo comprendido entre mayo de 2020 y marzo de 2021.</w:t>
            </w:r>
          </w:p>
          <w:p w14:paraId="216B83F5" w14:textId="77777777" w:rsidR="00093EEB" w:rsidRPr="000B0D00" w:rsidRDefault="00093EEB">
            <w:pPr>
              <w:pStyle w:val="Headingb"/>
              <w:rPr>
                <w:lang w:val="es-ES"/>
              </w:rPr>
            </w:pPr>
            <w:r w:rsidRPr="000B0D00">
              <w:rPr>
                <w:lang w:val="es-ES"/>
              </w:rPr>
              <w:t>Acción solicitada</w:t>
            </w:r>
          </w:p>
          <w:p w14:paraId="34B21975" w14:textId="5D7B663A" w:rsidR="00093EEB" w:rsidRPr="000B0D00" w:rsidRDefault="00333B09">
            <w:pPr>
              <w:rPr>
                <w:lang w:val="es-ES"/>
              </w:rPr>
            </w:pPr>
            <w:r w:rsidRPr="00333B09">
              <w:rPr>
                <w:lang w:val="es-ES"/>
              </w:rPr>
              <w:t xml:space="preserve">Se transmite el presente Informe al Consejo para </w:t>
            </w:r>
            <w:r w:rsidRPr="00333B09">
              <w:rPr>
                <w:b/>
                <w:bCs/>
                <w:lang w:val="es-ES"/>
              </w:rPr>
              <w:t>examen</w:t>
            </w:r>
            <w:r w:rsidRPr="00333B09">
              <w:rPr>
                <w:lang w:val="es-ES"/>
              </w:rPr>
              <w:t>.</w:t>
            </w:r>
          </w:p>
          <w:p w14:paraId="2F8773F9" w14:textId="77777777" w:rsidR="00093EEB" w:rsidRPr="000B0D00" w:rsidRDefault="00093EEB">
            <w:pPr>
              <w:pStyle w:val="Table"/>
              <w:keepNext w:val="0"/>
              <w:spacing w:before="0" w:after="0"/>
              <w:rPr>
                <w:caps w:val="0"/>
                <w:sz w:val="22"/>
                <w:lang w:val="es-ES"/>
              </w:rPr>
            </w:pPr>
            <w:r w:rsidRPr="000B0D00">
              <w:rPr>
                <w:caps w:val="0"/>
                <w:sz w:val="22"/>
                <w:lang w:val="es-ES"/>
              </w:rPr>
              <w:t>____________</w:t>
            </w:r>
          </w:p>
          <w:p w14:paraId="7A78E275" w14:textId="3C2C12C9" w:rsidR="00093EEB" w:rsidRPr="000B0D00" w:rsidRDefault="00093EEB">
            <w:pPr>
              <w:pStyle w:val="Headingb"/>
              <w:rPr>
                <w:lang w:val="es-ES"/>
              </w:rPr>
            </w:pPr>
            <w:r w:rsidRPr="000B0D00">
              <w:rPr>
                <w:lang w:val="es-ES"/>
              </w:rPr>
              <w:t>Referencia</w:t>
            </w:r>
            <w:r w:rsidR="00333B09">
              <w:rPr>
                <w:lang w:val="es-ES"/>
              </w:rPr>
              <w:t>s</w:t>
            </w:r>
          </w:p>
          <w:p w14:paraId="022D3733" w14:textId="67551F3B" w:rsidR="00093EEB" w:rsidRPr="000B0D00" w:rsidRDefault="004C55F6">
            <w:pPr>
              <w:spacing w:after="120"/>
              <w:rPr>
                <w:i/>
                <w:iCs/>
                <w:lang w:val="es-ES"/>
              </w:rPr>
            </w:pPr>
            <w:hyperlink r:id="rId9" w:history="1">
              <w:r w:rsidR="00333B09" w:rsidRPr="00333B09">
                <w:rPr>
                  <w:rStyle w:val="Hyperlink"/>
                  <w:i/>
                  <w:iCs/>
                  <w:lang w:val="es-ES"/>
                </w:rPr>
                <w:t>Reglamento Financiero y Reglas Financieras de la UIT (2018), Artículo 29</w:t>
              </w:r>
            </w:hyperlink>
          </w:p>
        </w:tc>
      </w:tr>
    </w:tbl>
    <w:p w14:paraId="00190C5F" w14:textId="1FF78E52" w:rsidR="00333B09" w:rsidRDefault="00333B09" w:rsidP="002946AA">
      <w:r>
        <w:br w:type="page"/>
      </w:r>
    </w:p>
    <w:p w14:paraId="56684E3E" w14:textId="3BA940B5" w:rsidR="00333B09" w:rsidRPr="00333B09" w:rsidRDefault="00333B09" w:rsidP="00914A81">
      <w:pPr>
        <w:pStyle w:val="Headingb"/>
        <w:rPr>
          <w:lang w:val="es-ES"/>
        </w:rPr>
      </w:pPr>
      <w:r w:rsidRPr="00333B09">
        <w:rPr>
          <w:lang w:val="es-ES"/>
        </w:rPr>
        <w:lastRenderedPageBreak/>
        <w:t>Introducción</w:t>
      </w:r>
    </w:p>
    <w:p w14:paraId="7A8E96FB" w14:textId="769873A0" w:rsidR="00333B09" w:rsidRPr="00333B09" w:rsidRDefault="00333B09" w:rsidP="00333B09">
      <w:pPr>
        <w:rPr>
          <w:lang w:val="es-ES"/>
        </w:rPr>
      </w:pPr>
      <w:r w:rsidRPr="00333B09">
        <w:rPr>
          <w:lang w:val="es-ES"/>
        </w:rPr>
        <w:t>1</w:t>
      </w:r>
      <w:r w:rsidRPr="00333B09">
        <w:rPr>
          <w:lang w:val="es-ES"/>
        </w:rPr>
        <w:tab/>
        <w:t xml:space="preserve">El presente Informe se transmite al Consejo de la UIT y responde al Artículo 29 del Reglamento Financiero de la UIT (2010). De conformidad con la Carta de Auditoría </w:t>
      </w:r>
      <w:r w:rsidR="00362C61">
        <w:rPr>
          <w:lang w:val="es-ES"/>
        </w:rPr>
        <w:t>i</w:t>
      </w:r>
      <w:r w:rsidRPr="00333B09">
        <w:rPr>
          <w:lang w:val="es-ES"/>
        </w:rPr>
        <w:t>nterna de la</w:t>
      </w:r>
      <w:r w:rsidR="00362C61">
        <w:rPr>
          <w:lang w:val="es-ES"/>
        </w:rPr>
        <w:t> </w:t>
      </w:r>
      <w:r w:rsidRPr="00333B09">
        <w:rPr>
          <w:lang w:val="es-ES"/>
        </w:rPr>
        <w:t>UIT</w:t>
      </w:r>
      <w:r w:rsidR="00914A81">
        <w:rPr>
          <w:rStyle w:val="FootnoteReference"/>
          <w:lang w:val="es-ES"/>
        </w:rPr>
        <w:footnoteReference w:id="1"/>
      </w:r>
      <w:r w:rsidRPr="00333B09">
        <w:rPr>
          <w:lang w:val="es-ES"/>
        </w:rPr>
        <w:t>, el presente Informe se sometió al Secretario General antes de someterlo a la consideración del Consejo. El actual Informe se refiere a actividades realizadas durante el periodo comprendido entre mayo de 2020 y marzo de 2021.</w:t>
      </w:r>
    </w:p>
    <w:p w14:paraId="4B43220E" w14:textId="0A5BE5C5" w:rsidR="00333B09" w:rsidRPr="00333B09" w:rsidRDefault="00333B09" w:rsidP="00333B09">
      <w:pPr>
        <w:rPr>
          <w:lang w:val="es-ES"/>
        </w:rPr>
      </w:pPr>
      <w:r w:rsidRPr="00333B09">
        <w:rPr>
          <w:lang w:val="es-ES"/>
        </w:rPr>
        <w:t>2</w:t>
      </w:r>
      <w:r w:rsidRPr="00333B09">
        <w:rPr>
          <w:lang w:val="es-ES"/>
        </w:rPr>
        <w:tab/>
        <w:t xml:space="preserve">Durante el periodo abarcado por el informe, la Unidad de </w:t>
      </w:r>
      <w:r w:rsidR="002905BD">
        <w:rPr>
          <w:lang w:val="es-ES"/>
        </w:rPr>
        <w:t>a</w:t>
      </w:r>
      <w:r w:rsidRPr="00333B09">
        <w:rPr>
          <w:lang w:val="es-ES"/>
        </w:rPr>
        <w:t xml:space="preserve">uditoría </w:t>
      </w:r>
      <w:r w:rsidR="00362C61">
        <w:rPr>
          <w:lang w:val="es-ES"/>
        </w:rPr>
        <w:t>i</w:t>
      </w:r>
      <w:r w:rsidRPr="00333B09">
        <w:rPr>
          <w:lang w:val="es-ES"/>
        </w:rPr>
        <w:t>nterna estuvo compuesta por tres funcionarios de categoría profesional – un P5 (Jefe de la Unidad), un P3 (Auditor Interno), y un P2 (Auditor Interno subalterno). La unidad contó todo el tiempo con un funcionario de la categoría de servicios generales (Asistente de auditoría) a tiempo completo hasta finales de enero de 2021 cuando se jubiló de la UIT. El puesto de la categoría de servicios generales se suprimió y se creó un puesto de categoría P4 (Auditor Interno principal) que se publicó el 15 de febrero de 2021. En consecuencia, la Unidad está actualmente compuesta por cuatro puestos de categoría profesional, uno de los cuales está vacante a la espera de una contratación a lo largo de 2021.</w:t>
      </w:r>
    </w:p>
    <w:p w14:paraId="697E4B20" w14:textId="75738E02" w:rsidR="00333B09" w:rsidRPr="00333B09" w:rsidRDefault="00333B09" w:rsidP="00333B09">
      <w:pPr>
        <w:rPr>
          <w:lang w:val="es-ES"/>
        </w:rPr>
      </w:pPr>
      <w:r w:rsidRPr="00333B09">
        <w:rPr>
          <w:lang w:val="es-ES"/>
        </w:rPr>
        <w:t>3</w:t>
      </w:r>
      <w:r w:rsidRPr="00333B09">
        <w:rPr>
          <w:lang w:val="es-ES"/>
        </w:rPr>
        <w:tab/>
        <w:t xml:space="preserve">La </w:t>
      </w:r>
      <w:r w:rsidR="00362C61">
        <w:rPr>
          <w:lang w:val="es-ES"/>
        </w:rPr>
        <w:t>a</w:t>
      </w:r>
      <w:r w:rsidRPr="00333B09">
        <w:rPr>
          <w:lang w:val="es-ES"/>
        </w:rPr>
        <w:t xml:space="preserve">uditoría </w:t>
      </w:r>
      <w:r w:rsidR="00362C61">
        <w:rPr>
          <w:lang w:val="es-ES"/>
        </w:rPr>
        <w:t>i</w:t>
      </w:r>
      <w:r w:rsidRPr="00333B09">
        <w:rPr>
          <w:lang w:val="es-ES"/>
        </w:rPr>
        <w:t xml:space="preserve">nterna (AI) confirma que lleva a cabo sus auditorías de conformidad con las Normas Internacionales para la Práctica Profesional de Auditoría </w:t>
      </w:r>
      <w:r w:rsidR="00362C61">
        <w:rPr>
          <w:lang w:val="es-ES"/>
        </w:rPr>
        <w:t>i</w:t>
      </w:r>
      <w:r w:rsidRPr="00333B09">
        <w:rPr>
          <w:lang w:val="es-ES"/>
        </w:rPr>
        <w:t>nterna y el Código Ético establecidos por el Instituto de Auditores Internos (IIA)</w:t>
      </w:r>
      <w:r w:rsidR="00914A81">
        <w:rPr>
          <w:rStyle w:val="FootnoteReference"/>
          <w:lang w:val="es-ES"/>
        </w:rPr>
        <w:footnoteReference w:id="2"/>
      </w:r>
      <w:r w:rsidRPr="00333B09">
        <w:rPr>
          <w:lang w:val="es-ES"/>
        </w:rPr>
        <w:t xml:space="preserve">, así como las disposiciones de la Carta de Auditoría </w:t>
      </w:r>
      <w:r w:rsidR="00362C61">
        <w:rPr>
          <w:lang w:val="es-ES"/>
        </w:rPr>
        <w:t>i</w:t>
      </w:r>
      <w:r w:rsidRPr="00333B09">
        <w:rPr>
          <w:lang w:val="es-ES"/>
        </w:rPr>
        <w:t>nterna de la UIT</w:t>
      </w:r>
      <w:r w:rsidR="00914A81">
        <w:rPr>
          <w:rStyle w:val="FootnoteReference"/>
          <w:lang w:val="es-ES"/>
        </w:rPr>
        <w:footnoteReference w:id="3"/>
      </w:r>
      <w:r w:rsidRPr="00333B09">
        <w:rPr>
          <w:lang w:val="es-ES"/>
        </w:rPr>
        <w:t xml:space="preserve">. Además, la </w:t>
      </w:r>
      <w:r w:rsidR="00BB2E53">
        <w:rPr>
          <w:lang w:val="es-ES"/>
        </w:rPr>
        <w:t>AI</w:t>
      </w:r>
      <w:r w:rsidRPr="00333B09">
        <w:rPr>
          <w:lang w:val="es-ES"/>
        </w:rPr>
        <w:t xml:space="preserve"> confirma que durante el periodo auditado su personal no tuvo autoridad de gestión ni responsabilidad sobre ninguna de las actividades auditadas y no realizó funciones de contabilidad u operacionales en la UIT.</w:t>
      </w:r>
    </w:p>
    <w:p w14:paraId="2D14F4E0" w14:textId="0CD24134" w:rsidR="00333B09" w:rsidRPr="00333B09" w:rsidRDefault="00333B09" w:rsidP="00914A81">
      <w:pPr>
        <w:pStyle w:val="Headingb"/>
        <w:rPr>
          <w:lang w:val="es-ES"/>
        </w:rPr>
      </w:pPr>
      <w:r w:rsidRPr="00333B09">
        <w:rPr>
          <w:lang w:val="es-ES"/>
        </w:rPr>
        <w:t xml:space="preserve">Orientación y ámbito de las actividades de </w:t>
      </w:r>
      <w:r w:rsidR="00152E7D" w:rsidRPr="006C307A">
        <w:rPr>
          <w:lang w:val="es-ES"/>
        </w:rPr>
        <w:t>a</w:t>
      </w:r>
      <w:r w:rsidRPr="00333B09">
        <w:rPr>
          <w:lang w:val="es-ES"/>
        </w:rPr>
        <w:t xml:space="preserve">uditoría </w:t>
      </w:r>
      <w:r w:rsidR="00152E7D" w:rsidRPr="006C307A">
        <w:rPr>
          <w:lang w:val="es-ES"/>
        </w:rPr>
        <w:t>i</w:t>
      </w:r>
      <w:r w:rsidRPr="00333B09">
        <w:rPr>
          <w:lang w:val="es-ES"/>
        </w:rPr>
        <w:t>nterna</w:t>
      </w:r>
    </w:p>
    <w:p w14:paraId="1802FE95" w14:textId="00D00B92" w:rsidR="00333B09" w:rsidRPr="00333B09" w:rsidRDefault="00333B09" w:rsidP="00333B09">
      <w:pPr>
        <w:rPr>
          <w:lang w:val="es-ES"/>
        </w:rPr>
      </w:pPr>
      <w:r w:rsidRPr="00333B09">
        <w:rPr>
          <w:lang w:val="es-ES"/>
        </w:rPr>
        <w:t>4</w:t>
      </w:r>
      <w:r w:rsidRPr="00333B09">
        <w:rPr>
          <w:lang w:val="es-ES"/>
        </w:rPr>
        <w:tab/>
        <w:t xml:space="preserve">Para 2020, el plan de trabajo de </w:t>
      </w:r>
      <w:r w:rsidR="00BB2E53">
        <w:rPr>
          <w:lang w:val="es-ES"/>
        </w:rPr>
        <w:t>a</w:t>
      </w:r>
      <w:r w:rsidRPr="00333B09">
        <w:rPr>
          <w:lang w:val="es-ES"/>
        </w:rPr>
        <w:t>uditor</w:t>
      </w:r>
      <w:r w:rsidR="00BB2E53">
        <w:rPr>
          <w:lang w:val="es-ES"/>
        </w:rPr>
        <w:t>í</w:t>
      </w:r>
      <w:r w:rsidRPr="00333B09">
        <w:rPr>
          <w:lang w:val="es-ES"/>
        </w:rPr>
        <w:t xml:space="preserve">a </w:t>
      </w:r>
      <w:r w:rsidR="00BB2E53">
        <w:rPr>
          <w:lang w:val="es-ES"/>
        </w:rPr>
        <w:t>i</w:t>
      </w:r>
      <w:r w:rsidRPr="00333B09">
        <w:rPr>
          <w:lang w:val="es-ES"/>
        </w:rPr>
        <w:t xml:space="preserve">nterna se elaboró en una versión más reducida a mediados de 2020, principalmente debido a la fuerte participación de la AI en trabajos de investigación que se prolongaron hasta bien entrado el año 2020. De conformidad con la Carta de Auditoría </w:t>
      </w:r>
      <w:r w:rsidR="00362C61">
        <w:rPr>
          <w:lang w:val="es-ES"/>
        </w:rPr>
        <w:t>i</w:t>
      </w:r>
      <w:r w:rsidRPr="00333B09">
        <w:rPr>
          <w:lang w:val="es-ES"/>
        </w:rPr>
        <w:t xml:space="preserve">nterna, el plan de </w:t>
      </w:r>
      <w:r w:rsidR="00362C61">
        <w:rPr>
          <w:lang w:val="es-ES"/>
        </w:rPr>
        <w:t>a</w:t>
      </w:r>
      <w:r w:rsidRPr="00333B09">
        <w:rPr>
          <w:lang w:val="es-ES"/>
        </w:rPr>
        <w:t xml:space="preserve">uditoría </w:t>
      </w:r>
      <w:r w:rsidR="00362C61">
        <w:rPr>
          <w:lang w:val="es-ES"/>
        </w:rPr>
        <w:t>i</w:t>
      </w:r>
      <w:r w:rsidRPr="00333B09">
        <w:rPr>
          <w:lang w:val="es-ES"/>
        </w:rPr>
        <w:t>nterna propuesto para 2021</w:t>
      </w:r>
      <w:r w:rsidR="006C307A">
        <w:rPr>
          <w:lang w:val="es-ES"/>
        </w:rPr>
        <w:t xml:space="preserve"> </w:t>
      </w:r>
      <w:r w:rsidRPr="00333B09">
        <w:rPr>
          <w:lang w:val="es-ES"/>
        </w:rPr>
        <w:t>fue examinado por el Comité Asesor Independiente sobre la Gestión (CAIG) en su</w:t>
      </w:r>
      <w:r w:rsidR="00BB2E53">
        <w:rPr>
          <w:lang w:val="es-ES"/>
        </w:rPr>
        <w:t xml:space="preserve"> </w:t>
      </w:r>
      <w:r w:rsidRPr="00333B09">
        <w:rPr>
          <w:lang w:val="es-ES"/>
        </w:rPr>
        <w:t>28ª</w:t>
      </w:r>
      <w:r w:rsidR="00BB2E53">
        <w:rPr>
          <w:lang w:val="es-ES"/>
        </w:rPr>
        <w:t xml:space="preserve"> </w:t>
      </w:r>
      <w:r w:rsidRPr="00333B09">
        <w:rPr>
          <w:lang w:val="es-ES"/>
        </w:rPr>
        <w:t xml:space="preserve">reunión y fue aprobado por el Secretario General el 29 de marzo de 2021. El tiempo dedicado a investigaciones para 2021 se ha reducido con el fin de permitir que la </w:t>
      </w:r>
      <w:r w:rsidR="00304686">
        <w:rPr>
          <w:lang w:val="es-ES"/>
        </w:rPr>
        <w:t>AI</w:t>
      </w:r>
      <w:r w:rsidRPr="00333B09">
        <w:rPr>
          <w:lang w:val="es-ES"/>
        </w:rPr>
        <w:t xml:space="preserve"> lleve a cabo las labores de su mandato fundamental. Las labores de investigación de la AI se basan en la Carta de Auditoría </w:t>
      </w:r>
      <w:r w:rsidR="00362C61">
        <w:rPr>
          <w:lang w:val="es-ES"/>
        </w:rPr>
        <w:t>i</w:t>
      </w:r>
      <w:r w:rsidRPr="00333B09">
        <w:rPr>
          <w:lang w:val="es-ES"/>
        </w:rPr>
        <w:t xml:space="preserve">nterna, en la que se estipula también que </w:t>
      </w:r>
      <w:r w:rsidRPr="00333B09">
        <w:rPr>
          <w:i/>
          <w:iCs/>
          <w:lang w:val="es-ES"/>
        </w:rPr>
        <w:t xml:space="preserve">la </w:t>
      </w:r>
      <w:r w:rsidR="00304686">
        <w:rPr>
          <w:i/>
          <w:iCs/>
          <w:lang w:val="es-ES"/>
        </w:rPr>
        <w:t>AI</w:t>
      </w:r>
      <w:r w:rsidRPr="00333B09">
        <w:rPr>
          <w:i/>
          <w:iCs/>
          <w:lang w:val="es-ES"/>
        </w:rPr>
        <w:t xml:space="preserve"> estudiará las alegaciones o presunciones de fraude o gestión indebida </w:t>
      </w:r>
      <w:r w:rsidRPr="00333B09">
        <w:rPr>
          <w:lang w:val="es-ES"/>
        </w:rPr>
        <w:t>y que</w:t>
      </w:r>
      <w:r w:rsidRPr="00333B09">
        <w:rPr>
          <w:i/>
          <w:iCs/>
          <w:lang w:val="es-ES"/>
        </w:rPr>
        <w:t xml:space="preserve"> podrá proporcionar servicios de consultoría en la UIT</w:t>
      </w:r>
      <w:r w:rsidRPr="00333B09">
        <w:rPr>
          <w:lang w:val="es-ES"/>
        </w:rPr>
        <w:t>.</w:t>
      </w:r>
    </w:p>
    <w:p w14:paraId="45ED5F5D" w14:textId="7AB00197" w:rsidR="00333B09" w:rsidRPr="00333B09" w:rsidRDefault="00333B09" w:rsidP="00333B09">
      <w:pPr>
        <w:rPr>
          <w:lang w:val="es-ES"/>
        </w:rPr>
      </w:pPr>
      <w:r w:rsidRPr="00333B09">
        <w:rPr>
          <w:lang w:val="es-ES"/>
        </w:rPr>
        <w:t>5</w:t>
      </w:r>
      <w:r w:rsidRPr="00333B09">
        <w:rPr>
          <w:lang w:val="es-ES"/>
        </w:rPr>
        <w:tab/>
        <w:t xml:space="preserve">La AI comparte sistemáticamente copias de los </w:t>
      </w:r>
      <w:r w:rsidR="00152E7D" w:rsidRPr="00333B09">
        <w:rPr>
          <w:lang w:val="es-ES"/>
        </w:rPr>
        <w:t xml:space="preserve">Informes </w:t>
      </w:r>
      <w:r w:rsidRPr="00333B09">
        <w:rPr>
          <w:lang w:val="es-ES"/>
        </w:rPr>
        <w:t xml:space="preserve">de Auditoría </w:t>
      </w:r>
      <w:r w:rsidR="00152E7D">
        <w:rPr>
          <w:lang w:val="es-ES"/>
        </w:rPr>
        <w:t>i</w:t>
      </w:r>
      <w:r w:rsidRPr="00333B09">
        <w:rPr>
          <w:lang w:val="es-ES"/>
        </w:rPr>
        <w:t xml:space="preserve">nterna con el Auditor Externo de la UIT y el CAIG. De conformidad con el Reglamento Financiero de la UIT (Artículo 29, punto 5), los Informes </w:t>
      </w:r>
      <w:r w:rsidR="00152E7D">
        <w:rPr>
          <w:lang w:val="es-ES"/>
        </w:rPr>
        <w:t>f</w:t>
      </w:r>
      <w:r w:rsidRPr="00333B09">
        <w:rPr>
          <w:lang w:val="es-ES"/>
        </w:rPr>
        <w:t xml:space="preserve">inales de Auditoría </w:t>
      </w:r>
      <w:r w:rsidR="00152E7D">
        <w:rPr>
          <w:lang w:val="es-ES"/>
        </w:rPr>
        <w:t>i</w:t>
      </w:r>
      <w:r w:rsidRPr="00333B09">
        <w:rPr>
          <w:lang w:val="es-ES"/>
        </w:rPr>
        <w:t xml:space="preserve">nterna pueden ponerse a disposición de los Estados Miembros o de sus representantes designados. Desde octubre de 2015 existe un mecanismo que facilita el acceso a los Informes de Auditoría </w:t>
      </w:r>
      <w:r w:rsidR="00152E7D">
        <w:rPr>
          <w:lang w:val="es-ES"/>
        </w:rPr>
        <w:t>i</w:t>
      </w:r>
      <w:r w:rsidRPr="00333B09">
        <w:rPr>
          <w:lang w:val="es-ES"/>
        </w:rPr>
        <w:t xml:space="preserve">nterna. Durante el periodo auditado no se recibió ninguna solicitud para consultar informes de la </w:t>
      </w:r>
      <w:r w:rsidR="002905BD">
        <w:rPr>
          <w:lang w:val="es-ES"/>
        </w:rPr>
        <w:t>a</w:t>
      </w:r>
      <w:r w:rsidRPr="00333B09">
        <w:rPr>
          <w:lang w:val="es-ES"/>
        </w:rPr>
        <w:t xml:space="preserve">uditoría </w:t>
      </w:r>
      <w:r w:rsidR="00152E7D">
        <w:rPr>
          <w:lang w:val="es-ES"/>
        </w:rPr>
        <w:t>i</w:t>
      </w:r>
      <w:r w:rsidRPr="00333B09">
        <w:rPr>
          <w:lang w:val="es-ES"/>
        </w:rPr>
        <w:t>nterna a través del mecanismo en línea.</w:t>
      </w:r>
    </w:p>
    <w:p w14:paraId="3E704655" w14:textId="77777777" w:rsidR="00333B09" w:rsidRPr="00333B09" w:rsidRDefault="00333B09" w:rsidP="00914A81">
      <w:pPr>
        <w:pStyle w:val="Headingb"/>
        <w:rPr>
          <w:lang w:val="es-ES"/>
        </w:rPr>
      </w:pPr>
      <w:r w:rsidRPr="00333B09">
        <w:rPr>
          <w:lang w:val="es-ES"/>
        </w:rPr>
        <w:lastRenderedPageBreak/>
        <w:t>Objetivos y conclusiones de los compromisos de garantía</w:t>
      </w:r>
    </w:p>
    <w:p w14:paraId="7446F2A8" w14:textId="77777777" w:rsidR="00333B09" w:rsidRPr="00333B09" w:rsidRDefault="00333B09" w:rsidP="00333B09">
      <w:pPr>
        <w:rPr>
          <w:lang w:val="es-ES"/>
        </w:rPr>
      </w:pPr>
      <w:r w:rsidRPr="00333B09">
        <w:rPr>
          <w:lang w:val="es-ES"/>
        </w:rPr>
        <w:t>6</w:t>
      </w:r>
      <w:r w:rsidRPr="00333B09">
        <w:rPr>
          <w:lang w:val="es-ES"/>
        </w:rPr>
        <w:tab/>
        <w:t>Los objetivos de los compromisos de garantía son evaluar: i) los aspectos de gobernanza de las operaciones verificadas de la Unión; ii) las prácticas de gestión de riesgos; y iii) la eficacia de los controles (internos). La prioridad de las recomendaciones resultantes de los trabajos de auditoría se clasifica de acuerdo con la repercusión y la probabilidad de la deficiencia (alta, media, baja).</w:t>
      </w:r>
    </w:p>
    <w:p w14:paraId="60D817AE" w14:textId="2302D023" w:rsidR="00333B09" w:rsidRPr="00333B09" w:rsidRDefault="00333B09" w:rsidP="00333B09">
      <w:pPr>
        <w:rPr>
          <w:lang w:val="es-ES"/>
        </w:rPr>
      </w:pPr>
      <w:r w:rsidRPr="00333B09">
        <w:rPr>
          <w:lang w:val="es-ES"/>
        </w:rPr>
        <w:t>7</w:t>
      </w:r>
      <w:r w:rsidRPr="00333B09">
        <w:rPr>
          <w:lang w:val="es-ES"/>
        </w:rPr>
        <w:tab/>
        <w:t xml:space="preserve">La </w:t>
      </w:r>
      <w:r w:rsidR="00BB2E53">
        <w:rPr>
          <w:lang w:val="es-ES"/>
        </w:rPr>
        <w:t>AI</w:t>
      </w:r>
      <w:r w:rsidRPr="00333B09">
        <w:rPr>
          <w:lang w:val="es-ES"/>
        </w:rPr>
        <w:t xml:space="preserve"> sigue la implementación de las acciones recomendadas, como y cuando sea necesario. Desde principios de 2021, está disponible un tablero de control del cumplimiento en toda la Unión con esta finalidad y facilita el seguimiento de la implementación de las recomendaciones a los gestores involucrados, aunque no elimina la responsabilidad de la </w:t>
      </w:r>
      <w:r w:rsidR="00BB2E53">
        <w:rPr>
          <w:lang w:val="es-ES"/>
        </w:rPr>
        <w:t>AI</w:t>
      </w:r>
      <w:r w:rsidRPr="00333B09">
        <w:rPr>
          <w:lang w:val="es-ES"/>
        </w:rPr>
        <w:t xml:space="preserve"> en cuanto al seguimiento de las recomendaciones realizadas previamente, de acuerdo con la Norma 2500 del IIA</w:t>
      </w:r>
      <w:r w:rsidR="00914A81">
        <w:rPr>
          <w:rStyle w:val="FootnoteReference"/>
          <w:lang w:val="es-ES"/>
        </w:rPr>
        <w:footnoteReference w:id="4"/>
      </w:r>
      <w:r w:rsidRPr="00333B09">
        <w:rPr>
          <w:lang w:val="es-ES"/>
        </w:rPr>
        <w:t>.</w:t>
      </w:r>
    </w:p>
    <w:p w14:paraId="5D1169C4" w14:textId="4BFDD62C" w:rsidR="00333B09" w:rsidRPr="00333B09" w:rsidRDefault="00333B09" w:rsidP="00914A81">
      <w:pPr>
        <w:pStyle w:val="Headingb"/>
        <w:rPr>
          <w:lang w:val="es-ES"/>
        </w:rPr>
      </w:pPr>
      <w:r w:rsidRPr="00333B09">
        <w:rPr>
          <w:lang w:val="es-ES"/>
        </w:rPr>
        <w:t xml:space="preserve">Investigaciones de la </w:t>
      </w:r>
      <w:r w:rsidR="00362C61" w:rsidRPr="00B2499E">
        <w:rPr>
          <w:lang w:val="es-ES"/>
        </w:rPr>
        <w:t>a</w:t>
      </w:r>
      <w:r w:rsidRPr="00333B09">
        <w:rPr>
          <w:lang w:val="es-ES"/>
        </w:rPr>
        <w:t xml:space="preserve">uditoría </w:t>
      </w:r>
      <w:r w:rsidR="00362C61" w:rsidRPr="00B2499E">
        <w:rPr>
          <w:lang w:val="es-ES"/>
        </w:rPr>
        <w:t>i</w:t>
      </w:r>
      <w:r w:rsidRPr="00333B09">
        <w:rPr>
          <w:lang w:val="es-ES"/>
        </w:rPr>
        <w:t>nterna</w:t>
      </w:r>
    </w:p>
    <w:p w14:paraId="00137234" w14:textId="244FFFAB" w:rsidR="00333B09" w:rsidRPr="00333B09" w:rsidRDefault="00333B09" w:rsidP="00333B09">
      <w:pPr>
        <w:rPr>
          <w:lang w:val="es-ES"/>
        </w:rPr>
      </w:pPr>
      <w:r w:rsidRPr="00333B09">
        <w:rPr>
          <w:lang w:val="es-ES"/>
        </w:rPr>
        <w:t>8</w:t>
      </w:r>
      <w:r w:rsidRPr="00333B09">
        <w:rPr>
          <w:lang w:val="es-ES"/>
        </w:rPr>
        <w:tab/>
        <w:t>En su capacidad como órgano investigador, la AI completó seis investigaciones. La AI también prestó un amplio apoyo a un investigador externo en relación con una investigación de acoso.</w:t>
      </w:r>
    </w:p>
    <w:p w14:paraId="0510DAE2" w14:textId="01079A34" w:rsidR="00333B09" w:rsidRPr="00333B09" w:rsidRDefault="00333B09" w:rsidP="00333B09">
      <w:pPr>
        <w:rPr>
          <w:lang w:val="es-ES"/>
        </w:rPr>
      </w:pPr>
      <w:r w:rsidRPr="00333B09">
        <w:rPr>
          <w:lang w:val="es-ES"/>
        </w:rPr>
        <w:t>9</w:t>
      </w:r>
      <w:r w:rsidRPr="00333B09">
        <w:rPr>
          <w:lang w:val="es-ES"/>
        </w:rPr>
        <w:tab/>
        <w:t>La AI completó seis investigaciones:</w:t>
      </w:r>
    </w:p>
    <w:p w14:paraId="72A9C719" w14:textId="7F930DCA" w:rsidR="00333B09" w:rsidRPr="00333B09" w:rsidRDefault="00333B09" w:rsidP="00914A81">
      <w:pPr>
        <w:pStyle w:val="enumlev1"/>
        <w:rPr>
          <w:lang w:val="es-ES"/>
        </w:rPr>
      </w:pPr>
      <w:r w:rsidRPr="00333B09">
        <w:rPr>
          <w:lang w:val="es-ES"/>
        </w:rPr>
        <w:t>a</w:t>
      </w:r>
      <w:r w:rsidR="00914A81">
        <w:rPr>
          <w:lang w:val="es-ES"/>
        </w:rPr>
        <w:t>)</w:t>
      </w:r>
      <w:r w:rsidRPr="00333B09">
        <w:rPr>
          <w:lang w:val="es-ES"/>
        </w:rPr>
        <w:tab/>
        <w:t>tres investigaciones oficiales relativas a denuncias relacionadas con presuntas actividades externas no autorizadas (gestión y/o propiedad de una empresa)</w:t>
      </w:r>
      <w:r w:rsidR="00914A81">
        <w:rPr>
          <w:lang w:val="es-ES"/>
        </w:rPr>
        <w:t>;</w:t>
      </w:r>
    </w:p>
    <w:p w14:paraId="7647FE03" w14:textId="51A68F01" w:rsidR="00333B09" w:rsidRPr="00333B09" w:rsidRDefault="00333B09" w:rsidP="00914A81">
      <w:pPr>
        <w:pStyle w:val="enumlev1"/>
        <w:rPr>
          <w:lang w:val="es-ES"/>
        </w:rPr>
      </w:pPr>
      <w:r w:rsidRPr="00333B09">
        <w:rPr>
          <w:lang w:val="es-ES"/>
        </w:rPr>
        <w:t>b</w:t>
      </w:r>
      <w:r w:rsidR="00914A81">
        <w:rPr>
          <w:lang w:val="es-ES"/>
        </w:rPr>
        <w:t>)</w:t>
      </w:r>
      <w:r w:rsidRPr="00333B09">
        <w:rPr>
          <w:lang w:val="es-ES"/>
        </w:rPr>
        <w:tab/>
        <w:t>una investigación oficial de la presunta obtención fraudulenta de subsidios y/o derechos por parte de un funcionario</w:t>
      </w:r>
      <w:r w:rsidR="00914A81">
        <w:rPr>
          <w:lang w:val="es-ES"/>
        </w:rPr>
        <w:t>;</w:t>
      </w:r>
    </w:p>
    <w:p w14:paraId="42E8B180" w14:textId="20D38751" w:rsidR="00333B09" w:rsidRPr="00333B09" w:rsidRDefault="00333B09" w:rsidP="00914A81">
      <w:pPr>
        <w:pStyle w:val="enumlev1"/>
        <w:rPr>
          <w:lang w:val="es-ES"/>
        </w:rPr>
      </w:pPr>
      <w:r w:rsidRPr="00333B09">
        <w:rPr>
          <w:lang w:val="es-ES"/>
        </w:rPr>
        <w:t>c</w:t>
      </w:r>
      <w:r w:rsidR="00914A81">
        <w:rPr>
          <w:lang w:val="es-ES"/>
        </w:rPr>
        <w:t>)</w:t>
      </w:r>
      <w:r w:rsidRPr="00333B09">
        <w:rPr>
          <w:lang w:val="es-ES"/>
        </w:rPr>
        <w:tab/>
        <w:t>una investigación oficial debida a una denuncia por fomentar, presenciar y/o intercambiar presuntamente información potencialmente confidencial/sensible por parte de varios funcionarios</w:t>
      </w:r>
      <w:r w:rsidR="00914A81">
        <w:rPr>
          <w:lang w:val="es-ES"/>
        </w:rPr>
        <w:t>;</w:t>
      </w:r>
      <w:r w:rsidRPr="00333B09">
        <w:rPr>
          <w:lang w:val="es-ES"/>
        </w:rPr>
        <w:t xml:space="preserve"> y</w:t>
      </w:r>
    </w:p>
    <w:p w14:paraId="73EE5171" w14:textId="4D54659B" w:rsidR="00333B09" w:rsidRPr="00333B09" w:rsidRDefault="00333B09" w:rsidP="00914A81">
      <w:pPr>
        <w:pStyle w:val="enumlev1"/>
        <w:rPr>
          <w:lang w:val="es-ES"/>
        </w:rPr>
      </w:pPr>
      <w:r w:rsidRPr="00333B09">
        <w:rPr>
          <w:lang w:val="es-ES"/>
        </w:rPr>
        <w:t>d</w:t>
      </w:r>
      <w:r w:rsidR="00914A81">
        <w:rPr>
          <w:lang w:val="es-ES"/>
        </w:rPr>
        <w:t>)</w:t>
      </w:r>
      <w:r w:rsidRPr="00333B09">
        <w:rPr>
          <w:lang w:val="es-ES"/>
        </w:rPr>
        <w:tab/>
        <w:t>una investigación oficial a raíz de una reclamación relacionada con la presunta destrucción y/</w:t>
      </w:r>
      <w:r w:rsidR="00914A81">
        <w:rPr>
          <w:lang w:val="es-ES"/>
        </w:rPr>
        <w:t>u</w:t>
      </w:r>
      <w:r w:rsidRPr="00333B09">
        <w:rPr>
          <w:lang w:val="es-ES"/>
        </w:rPr>
        <w:t xml:space="preserve"> ocultación de registros de la UIT por parte de un funcionario.</w:t>
      </w:r>
    </w:p>
    <w:p w14:paraId="18B74301" w14:textId="041AB61E" w:rsidR="00333B09" w:rsidRPr="00333B09" w:rsidRDefault="00333B09" w:rsidP="00333B09">
      <w:pPr>
        <w:rPr>
          <w:lang w:val="es-ES"/>
        </w:rPr>
      </w:pPr>
      <w:r w:rsidRPr="00333B09">
        <w:rPr>
          <w:lang w:val="es-ES"/>
        </w:rPr>
        <w:t>A la finalización de las investigaciones y de acuerdo con las Directrices de investigación de la UIT, la IA presentó al Secretario General unos informes de investigación confidenciales. La investigación del apartado d</w:t>
      </w:r>
      <w:r w:rsidR="002946AA">
        <w:rPr>
          <w:lang w:val="es-ES"/>
        </w:rPr>
        <w:t>)</w:t>
      </w:r>
      <w:r w:rsidRPr="00333B09">
        <w:rPr>
          <w:lang w:val="es-ES"/>
        </w:rPr>
        <w:t xml:space="preserve"> anterior finalizó con un informe de cierre, al concluirse que la denuncia no tenía fundamento. En relación con la investigación del apartado c</w:t>
      </w:r>
      <w:r w:rsidR="002946AA">
        <w:rPr>
          <w:lang w:val="es-ES"/>
        </w:rPr>
        <w:t>)</w:t>
      </w:r>
      <w:r w:rsidRPr="00333B09">
        <w:rPr>
          <w:lang w:val="es-ES"/>
        </w:rPr>
        <w:t>, y al tratarse de un caso de fraude o de presunto fraude, se informó en febrero de 2021 al Auditor Externo (de acuerdo con el Artículo</w:t>
      </w:r>
      <w:r w:rsidR="002946AA">
        <w:rPr>
          <w:lang w:val="es-ES"/>
        </w:rPr>
        <w:t> </w:t>
      </w:r>
      <w:r w:rsidRPr="00333B09">
        <w:rPr>
          <w:lang w:val="es-ES"/>
        </w:rPr>
        <w:t>28.9 del Reglamento Financiero</w:t>
      </w:r>
      <w:r w:rsidR="00B2499E">
        <w:rPr>
          <w:lang w:val="es-ES"/>
        </w:rPr>
        <w:t>)</w:t>
      </w:r>
      <w:r w:rsidRPr="00333B09">
        <w:rPr>
          <w:lang w:val="es-ES"/>
        </w:rPr>
        <w:t>. En este caso, se comprobó que el funcionario había recibido una cantidad de 11</w:t>
      </w:r>
      <w:r w:rsidR="002946AA">
        <w:rPr>
          <w:lang w:val="es-ES"/>
        </w:rPr>
        <w:t> </w:t>
      </w:r>
      <w:r w:rsidRPr="00333B09">
        <w:rPr>
          <w:lang w:val="es-ES"/>
        </w:rPr>
        <w:t>2</w:t>
      </w:r>
      <w:r w:rsidR="00B2499E">
        <w:rPr>
          <w:lang w:val="es-ES"/>
        </w:rPr>
        <w:t>7</w:t>
      </w:r>
      <w:r w:rsidRPr="00333B09">
        <w:rPr>
          <w:lang w:val="es-ES"/>
        </w:rPr>
        <w:t>9,</w:t>
      </w:r>
      <w:r w:rsidR="00B2499E">
        <w:rPr>
          <w:lang w:val="es-ES"/>
        </w:rPr>
        <w:t>25</w:t>
      </w:r>
      <w:r w:rsidRPr="00333B09">
        <w:rPr>
          <w:lang w:val="es-ES"/>
        </w:rPr>
        <w:t xml:space="preserve"> CHF en exceso de sus derechos.</w:t>
      </w:r>
    </w:p>
    <w:p w14:paraId="49924704" w14:textId="72C3DDA5" w:rsidR="00333B09" w:rsidRPr="00333B09" w:rsidRDefault="00333B09" w:rsidP="00333B09">
      <w:pPr>
        <w:rPr>
          <w:lang w:val="es-ES"/>
        </w:rPr>
      </w:pPr>
      <w:r w:rsidRPr="00333B09">
        <w:rPr>
          <w:lang w:val="es-ES"/>
        </w:rPr>
        <w:t>10</w:t>
      </w:r>
      <w:r w:rsidRPr="00333B09">
        <w:rPr>
          <w:lang w:val="es-ES"/>
        </w:rPr>
        <w:tab/>
        <w:t>Se prestó amplio apoyo a un investigador externo contratado para llevar a cabo una investigación oficial en un caso de supuesto comportamiento inapropiado por parte de un funcionario de la UIT respecto de otros funcionarios. El Departamento de Gestión de Recursos Humanos realiza el seguimiento administrativo de todas las investigaciones en representación del Secretario General.</w:t>
      </w:r>
    </w:p>
    <w:p w14:paraId="0BBB5380" w14:textId="676B8E13" w:rsidR="00333B09" w:rsidRPr="00333B09" w:rsidRDefault="00333B09" w:rsidP="00914A81">
      <w:pPr>
        <w:pStyle w:val="Headingb"/>
        <w:rPr>
          <w:lang w:val="es-ES"/>
        </w:rPr>
      </w:pPr>
      <w:r w:rsidRPr="00333B09">
        <w:rPr>
          <w:lang w:val="es-ES"/>
        </w:rPr>
        <w:lastRenderedPageBreak/>
        <w:t xml:space="preserve">Servicios de consultoría de la </w:t>
      </w:r>
      <w:r w:rsidR="00362C61">
        <w:rPr>
          <w:lang w:val="es-ES"/>
        </w:rPr>
        <w:t>a</w:t>
      </w:r>
      <w:r w:rsidRPr="00333B09">
        <w:rPr>
          <w:lang w:val="es-ES"/>
        </w:rPr>
        <w:t xml:space="preserve">uditoría </w:t>
      </w:r>
      <w:r w:rsidR="00362C61">
        <w:rPr>
          <w:lang w:val="es-ES"/>
        </w:rPr>
        <w:t>i</w:t>
      </w:r>
      <w:r w:rsidRPr="00333B09">
        <w:rPr>
          <w:lang w:val="es-ES"/>
        </w:rPr>
        <w:t>nterna</w:t>
      </w:r>
    </w:p>
    <w:p w14:paraId="2C7F1052" w14:textId="1D354AC0" w:rsidR="00333B09" w:rsidRPr="00914A81" w:rsidRDefault="00333B09" w:rsidP="00914A81">
      <w:pPr>
        <w:pStyle w:val="Headingi"/>
        <w:rPr>
          <w:b/>
          <w:bCs/>
          <w:lang w:val="es-ES"/>
        </w:rPr>
      </w:pPr>
      <w:r w:rsidRPr="00914A81">
        <w:rPr>
          <w:b/>
          <w:bCs/>
          <w:lang w:val="es-ES"/>
        </w:rPr>
        <w:t>Proceso de selección del Auditor Externo de la UIT</w:t>
      </w:r>
    </w:p>
    <w:p w14:paraId="21A1E3D2" w14:textId="41F1C63B" w:rsidR="00333B09" w:rsidRPr="00333B09" w:rsidRDefault="00333B09" w:rsidP="00333B09">
      <w:pPr>
        <w:rPr>
          <w:lang w:val="es-ES"/>
        </w:rPr>
      </w:pPr>
      <w:r w:rsidRPr="00333B09">
        <w:rPr>
          <w:lang w:val="es-ES"/>
        </w:rPr>
        <w:t>11</w:t>
      </w:r>
      <w:r w:rsidRPr="00333B09">
        <w:rPr>
          <w:lang w:val="es-ES"/>
        </w:rPr>
        <w:tab/>
        <w:t>A raíz de la recomendación del CAIG, el Secretario General pidió a la AI que dirigiera para la Secretaría el proceso de selección de un nuevo Auditor Externo. En su reunión de 2018, el Consejo designó las personas recomendadas por las seis organizaciones regionales de telecomunicaciones para formar parte de un Comité de Evaluación e informar al Consejo, en su reunión de 2019, de los resultados de su labor.</w:t>
      </w:r>
      <w:r w:rsidR="00B2499E">
        <w:rPr>
          <w:lang w:val="es-ES"/>
        </w:rPr>
        <w:t xml:space="preserve"> </w:t>
      </w:r>
      <w:r w:rsidRPr="00333B09">
        <w:rPr>
          <w:lang w:val="es-ES"/>
        </w:rPr>
        <w:t>Con el apoyo de la Secretaría de la UIT, el Comité de Evaluación inició su labor en relación con el proceso de licitación destinado a identificar una Institución de Auditoría Suprema (IAS) de un Estado Miembro de la UIT que cumpliese los requisitos estipulados en una petición de propuesta</w:t>
      </w:r>
      <w:r w:rsidR="00B2499E">
        <w:rPr>
          <w:lang w:val="es-ES"/>
        </w:rPr>
        <w:t xml:space="preserve"> </w:t>
      </w:r>
      <w:r w:rsidRPr="00333B09">
        <w:rPr>
          <w:lang w:val="es-ES"/>
        </w:rPr>
        <w:t>(RFP) para realizar la auditoría de las cuentas de la Unión.</w:t>
      </w:r>
    </w:p>
    <w:p w14:paraId="5AADB472" w14:textId="5B145F0F" w:rsidR="00333B09" w:rsidRPr="00333B09" w:rsidRDefault="00333B09" w:rsidP="00333B09">
      <w:pPr>
        <w:rPr>
          <w:lang w:val="es-ES"/>
        </w:rPr>
      </w:pPr>
      <w:r w:rsidRPr="00333B09">
        <w:rPr>
          <w:lang w:val="es-ES"/>
        </w:rPr>
        <w:t>12</w:t>
      </w:r>
      <w:r w:rsidRPr="00333B09">
        <w:rPr>
          <w:lang w:val="es-ES"/>
        </w:rPr>
        <w:tab/>
        <w:t xml:space="preserve">La AI siguió brindando apoyo a lo largo de todo el proceso a los miembros del Comité de Evaluación en el desempeño de su trabajo, y proporcionó orientación sobre cuestiones técnicas de procedimiento y auditoría, según correspondiera. Se presentó un </w:t>
      </w:r>
      <w:r w:rsidR="00B2499E">
        <w:rPr>
          <w:lang w:val="es-ES"/>
        </w:rPr>
        <w:t>i</w:t>
      </w:r>
      <w:r w:rsidRPr="00333B09">
        <w:rPr>
          <w:lang w:val="es-ES"/>
        </w:rPr>
        <w:t>nforme sobre la labor del Comité de Evaluación a la consulta virtual de los consejeros de 2020, después de la cual la AI coordinó las respuestas a las diferentes preguntas que se plantearon en la reunión. Después de la segunda consulta virtual de los consejeros de 2020, se realizó una consulta por correspondencia y se confirmó la selección del Auditor Externo para su contratación (</w:t>
      </w:r>
      <w:hyperlink r:id="rId10" w:history="1">
        <w:r w:rsidRPr="00333B09">
          <w:rPr>
            <w:rStyle w:val="Hyperlink"/>
            <w:lang w:val="es-ES"/>
          </w:rPr>
          <w:t>Acuerdo 621 del Consejo</w:t>
        </w:r>
      </w:hyperlink>
      <w:r w:rsidRPr="00333B09">
        <w:rPr>
          <w:lang w:val="es-ES"/>
        </w:rPr>
        <w:t>).</w:t>
      </w:r>
    </w:p>
    <w:p w14:paraId="54F06C5A" w14:textId="08E7CC48" w:rsidR="00333B09" w:rsidRPr="00333B09" w:rsidRDefault="00333B09" w:rsidP="00914A81">
      <w:pPr>
        <w:pStyle w:val="Headingi"/>
        <w:rPr>
          <w:b/>
          <w:bCs/>
          <w:lang w:val="es-ES"/>
        </w:rPr>
      </w:pPr>
      <w:r w:rsidRPr="00333B09">
        <w:rPr>
          <w:b/>
          <w:bCs/>
          <w:lang w:val="es-ES"/>
        </w:rPr>
        <w:t>Auditoría forense</w:t>
      </w:r>
    </w:p>
    <w:p w14:paraId="2679AAF6" w14:textId="053EFEA8" w:rsidR="00333B09" w:rsidRPr="00333B09" w:rsidRDefault="00333B09" w:rsidP="00333B09">
      <w:pPr>
        <w:rPr>
          <w:lang w:val="es-ES"/>
        </w:rPr>
      </w:pPr>
      <w:r w:rsidRPr="00333B09">
        <w:rPr>
          <w:lang w:val="es-ES"/>
        </w:rPr>
        <w:t>13</w:t>
      </w:r>
      <w:r w:rsidRPr="00333B09">
        <w:rPr>
          <w:lang w:val="es-ES"/>
        </w:rPr>
        <w:tab/>
        <w:t xml:space="preserve">El Consejo de 2019 adoptó el </w:t>
      </w:r>
      <w:hyperlink r:id="rId11" w:history="1">
        <w:r w:rsidRPr="00333B09">
          <w:rPr>
            <w:rStyle w:val="Hyperlink"/>
            <w:lang w:val="es-ES"/>
          </w:rPr>
          <w:t>Acuerdo 613</w:t>
        </w:r>
      </w:hyperlink>
      <w:r w:rsidRPr="00333B09">
        <w:rPr>
          <w:lang w:val="es-ES"/>
        </w:rPr>
        <w:t xml:space="preserve">, en el que se encarga al Secretario General la realización de una auditoría forense. La Oficina de Auditoría </w:t>
      </w:r>
      <w:r w:rsidR="002905BD">
        <w:rPr>
          <w:lang w:val="es-ES"/>
        </w:rPr>
        <w:t>i</w:t>
      </w:r>
      <w:r w:rsidRPr="00333B09">
        <w:rPr>
          <w:lang w:val="es-ES"/>
        </w:rPr>
        <w:t xml:space="preserve">nterna elaboró conjuntamente con la División de Compras un documento de "Expresión de interés" y, a continuación, se publicó una "Petición de propuestas" (RFP) en la que se consideraron seis ofertantes (de </w:t>
      </w:r>
      <w:r w:rsidR="007F170C">
        <w:rPr>
          <w:lang w:val="es-ES"/>
        </w:rPr>
        <w:t>diez</w:t>
      </w:r>
      <w:r w:rsidRPr="00333B09">
        <w:rPr>
          <w:lang w:val="es-ES"/>
        </w:rPr>
        <w:t xml:space="preserve"> propuestas) para una evaluación posterior. </w:t>
      </w:r>
      <w:r w:rsidR="007E14C1">
        <w:rPr>
          <w:lang w:val="es-ES"/>
        </w:rPr>
        <w:t>El</w:t>
      </w:r>
      <w:r w:rsidRPr="00333B09">
        <w:rPr>
          <w:lang w:val="es-ES"/>
        </w:rPr>
        <w:t xml:space="preserve"> ofertante ganador se contrató en enero de 2021, realizando la auditor</w:t>
      </w:r>
      <w:r w:rsidR="00BB2E53">
        <w:rPr>
          <w:lang w:val="es-ES"/>
        </w:rPr>
        <w:t>í</w:t>
      </w:r>
      <w:r w:rsidRPr="00333B09">
        <w:rPr>
          <w:lang w:val="es-ES"/>
        </w:rPr>
        <w:t>a forense con la AI como coordinadora. El Secretario General presenta por separado el Informe de la empresa especializada, a la reunión de 2021 del Consejo.</w:t>
      </w:r>
    </w:p>
    <w:p w14:paraId="24A07948" w14:textId="7C732FA3" w:rsidR="00333B09" w:rsidRPr="00333B09" w:rsidRDefault="00333B09" w:rsidP="00914A81">
      <w:pPr>
        <w:pStyle w:val="Headingb"/>
        <w:rPr>
          <w:lang w:val="es-ES"/>
        </w:rPr>
      </w:pPr>
      <w:r w:rsidRPr="00333B09">
        <w:rPr>
          <w:lang w:val="es-ES"/>
        </w:rPr>
        <w:t xml:space="preserve">Seguimiento de las recomendaciones de la </w:t>
      </w:r>
      <w:r w:rsidR="00152E7D" w:rsidRPr="007E14C1">
        <w:rPr>
          <w:lang w:val="es-ES"/>
        </w:rPr>
        <w:t>a</w:t>
      </w:r>
      <w:r w:rsidRPr="00333B09">
        <w:rPr>
          <w:lang w:val="es-ES"/>
        </w:rPr>
        <w:t xml:space="preserve">uditoría </w:t>
      </w:r>
      <w:r w:rsidR="00152E7D" w:rsidRPr="007E14C1">
        <w:rPr>
          <w:lang w:val="es-ES"/>
        </w:rPr>
        <w:t>i</w:t>
      </w:r>
      <w:r w:rsidRPr="00333B09">
        <w:rPr>
          <w:lang w:val="es-ES"/>
        </w:rPr>
        <w:t>nterna</w:t>
      </w:r>
    </w:p>
    <w:p w14:paraId="3B5997CC" w14:textId="77777777" w:rsidR="00333B09" w:rsidRPr="00333B09" w:rsidRDefault="00333B09" w:rsidP="00914A81">
      <w:pPr>
        <w:spacing w:after="120"/>
        <w:rPr>
          <w:lang w:val="es-ES"/>
        </w:rPr>
      </w:pPr>
      <w:r w:rsidRPr="00333B09">
        <w:rPr>
          <w:lang w:val="es-ES"/>
        </w:rPr>
        <w:t>14</w:t>
      </w:r>
      <w:r w:rsidRPr="00333B09">
        <w:rPr>
          <w:lang w:val="es-ES"/>
        </w:rPr>
        <w:tab/>
        <w:t>A lo largo del periodo abarcado por el informe, la AI siguió las recomendaciones realizadas por auditorías previas. Se observó un progreso en los últimos 12 meses y las estadísticas sobre la implementación (al 31 de marzo de 2021) son las siguientes:</w:t>
      </w:r>
    </w:p>
    <w:tbl>
      <w:tblPr>
        <w:tblW w:w="5000" w:type="pct"/>
        <w:jc w:val="center"/>
        <w:tblLook w:val="04A0" w:firstRow="1" w:lastRow="0" w:firstColumn="1" w:lastColumn="0" w:noHBand="0" w:noVBand="1"/>
      </w:tblPr>
      <w:tblGrid>
        <w:gridCol w:w="3128"/>
        <w:gridCol w:w="581"/>
        <w:gridCol w:w="588"/>
        <w:gridCol w:w="588"/>
        <w:gridCol w:w="581"/>
        <w:gridCol w:w="587"/>
        <w:gridCol w:w="602"/>
        <w:gridCol w:w="588"/>
        <w:gridCol w:w="602"/>
        <w:gridCol w:w="595"/>
        <w:gridCol w:w="581"/>
        <w:gridCol w:w="605"/>
      </w:tblGrid>
      <w:tr w:rsidR="00DE4E59" w:rsidRPr="00333B09" w14:paraId="3B53B6A8" w14:textId="77777777" w:rsidTr="00DE4E59">
        <w:trPr>
          <w:jc w:val="center"/>
        </w:trPr>
        <w:tc>
          <w:tcPr>
            <w:tcW w:w="3128" w:type="dxa"/>
            <w:tcBorders>
              <w:top w:val="single" w:sz="4" w:space="0" w:color="auto"/>
              <w:left w:val="single" w:sz="6" w:space="0" w:color="auto"/>
              <w:bottom w:val="single" w:sz="8" w:space="0" w:color="auto"/>
              <w:right w:val="nil"/>
            </w:tcBorders>
            <w:shd w:val="clear" w:color="000000" w:fill="000000"/>
            <w:noWrap/>
            <w:hideMark/>
          </w:tcPr>
          <w:p w14:paraId="77214260" w14:textId="77777777" w:rsidR="00333B09" w:rsidRPr="00DC4231" w:rsidRDefault="00333B09" w:rsidP="00DE4E59">
            <w:pPr>
              <w:pStyle w:val="Tablehead"/>
              <w:rPr>
                <w:sz w:val="18"/>
                <w:szCs w:val="16"/>
                <w:lang w:val="es-ES"/>
              </w:rPr>
            </w:pPr>
            <w:r w:rsidRPr="00DC4231">
              <w:rPr>
                <w:sz w:val="18"/>
                <w:szCs w:val="16"/>
                <w:lang w:val="es-ES"/>
              </w:rPr>
              <w:t>Año</w:t>
            </w:r>
          </w:p>
        </w:tc>
        <w:tc>
          <w:tcPr>
            <w:tcW w:w="574" w:type="dxa"/>
            <w:tcBorders>
              <w:top w:val="single" w:sz="4" w:space="0" w:color="auto"/>
              <w:left w:val="nil"/>
              <w:bottom w:val="single" w:sz="8" w:space="0" w:color="auto"/>
              <w:right w:val="nil"/>
            </w:tcBorders>
            <w:shd w:val="clear" w:color="000000" w:fill="000000"/>
            <w:noWrap/>
            <w:hideMark/>
          </w:tcPr>
          <w:p w14:paraId="51FC51D6" w14:textId="77777777" w:rsidR="00333B09" w:rsidRPr="00DC4231" w:rsidRDefault="00333B09" w:rsidP="00DE4E59">
            <w:pPr>
              <w:pStyle w:val="Tablehead"/>
              <w:rPr>
                <w:sz w:val="18"/>
                <w:szCs w:val="16"/>
                <w:lang w:val="es-ES"/>
              </w:rPr>
            </w:pPr>
            <w:r w:rsidRPr="00DC4231">
              <w:rPr>
                <w:sz w:val="18"/>
                <w:szCs w:val="16"/>
                <w:lang w:val="es-ES"/>
              </w:rPr>
              <w:t>2011</w:t>
            </w:r>
          </w:p>
        </w:tc>
        <w:tc>
          <w:tcPr>
            <w:tcW w:w="588" w:type="dxa"/>
            <w:tcBorders>
              <w:top w:val="single" w:sz="4" w:space="0" w:color="auto"/>
              <w:left w:val="nil"/>
              <w:bottom w:val="single" w:sz="8" w:space="0" w:color="auto"/>
              <w:right w:val="nil"/>
            </w:tcBorders>
            <w:shd w:val="clear" w:color="000000" w:fill="000000"/>
            <w:noWrap/>
            <w:hideMark/>
          </w:tcPr>
          <w:p w14:paraId="57DC6D69" w14:textId="77777777" w:rsidR="00333B09" w:rsidRPr="00DC4231" w:rsidRDefault="00333B09" w:rsidP="00DE4E59">
            <w:pPr>
              <w:pStyle w:val="Tablehead"/>
              <w:rPr>
                <w:sz w:val="18"/>
                <w:szCs w:val="16"/>
                <w:lang w:val="es-ES"/>
              </w:rPr>
            </w:pPr>
            <w:r w:rsidRPr="00DC4231">
              <w:rPr>
                <w:sz w:val="18"/>
                <w:szCs w:val="16"/>
                <w:lang w:val="es-ES"/>
              </w:rPr>
              <w:t>2012</w:t>
            </w:r>
          </w:p>
        </w:tc>
        <w:tc>
          <w:tcPr>
            <w:tcW w:w="588" w:type="dxa"/>
            <w:tcBorders>
              <w:top w:val="single" w:sz="4" w:space="0" w:color="auto"/>
              <w:left w:val="nil"/>
              <w:bottom w:val="single" w:sz="8" w:space="0" w:color="auto"/>
              <w:right w:val="nil"/>
            </w:tcBorders>
            <w:shd w:val="clear" w:color="000000" w:fill="000000"/>
            <w:noWrap/>
            <w:hideMark/>
          </w:tcPr>
          <w:p w14:paraId="3E5E39D9" w14:textId="77777777" w:rsidR="00333B09" w:rsidRPr="00DC4231" w:rsidRDefault="00333B09" w:rsidP="00DE4E59">
            <w:pPr>
              <w:pStyle w:val="Tablehead"/>
              <w:rPr>
                <w:sz w:val="18"/>
                <w:szCs w:val="16"/>
                <w:lang w:val="es-ES"/>
              </w:rPr>
            </w:pPr>
            <w:r w:rsidRPr="00DC4231">
              <w:rPr>
                <w:sz w:val="18"/>
                <w:szCs w:val="16"/>
                <w:lang w:val="es-ES"/>
              </w:rPr>
              <w:t>2013</w:t>
            </w:r>
          </w:p>
        </w:tc>
        <w:tc>
          <w:tcPr>
            <w:tcW w:w="581" w:type="dxa"/>
            <w:tcBorders>
              <w:top w:val="single" w:sz="4" w:space="0" w:color="auto"/>
              <w:left w:val="nil"/>
              <w:bottom w:val="single" w:sz="8" w:space="0" w:color="auto"/>
              <w:right w:val="nil"/>
            </w:tcBorders>
            <w:shd w:val="clear" w:color="000000" w:fill="000000"/>
            <w:noWrap/>
            <w:hideMark/>
          </w:tcPr>
          <w:p w14:paraId="3FDE1878" w14:textId="77777777" w:rsidR="00333B09" w:rsidRPr="00DC4231" w:rsidRDefault="00333B09" w:rsidP="00DE4E59">
            <w:pPr>
              <w:pStyle w:val="Tablehead"/>
              <w:rPr>
                <w:sz w:val="18"/>
                <w:szCs w:val="16"/>
                <w:lang w:val="es-ES"/>
              </w:rPr>
            </w:pPr>
            <w:r w:rsidRPr="00DC4231">
              <w:rPr>
                <w:sz w:val="18"/>
                <w:szCs w:val="16"/>
                <w:lang w:val="es-ES"/>
              </w:rPr>
              <w:t>2014</w:t>
            </w:r>
          </w:p>
        </w:tc>
        <w:tc>
          <w:tcPr>
            <w:tcW w:w="587" w:type="dxa"/>
            <w:tcBorders>
              <w:top w:val="single" w:sz="4" w:space="0" w:color="auto"/>
              <w:left w:val="nil"/>
              <w:bottom w:val="single" w:sz="8" w:space="0" w:color="auto"/>
              <w:right w:val="nil"/>
            </w:tcBorders>
            <w:shd w:val="clear" w:color="000000" w:fill="000000"/>
            <w:noWrap/>
            <w:hideMark/>
          </w:tcPr>
          <w:p w14:paraId="465D76E1" w14:textId="77777777" w:rsidR="00333B09" w:rsidRPr="00DC4231" w:rsidRDefault="00333B09" w:rsidP="00DE4E59">
            <w:pPr>
              <w:pStyle w:val="Tablehead"/>
              <w:rPr>
                <w:sz w:val="18"/>
                <w:szCs w:val="16"/>
                <w:lang w:val="es-ES"/>
              </w:rPr>
            </w:pPr>
            <w:r w:rsidRPr="00DC4231">
              <w:rPr>
                <w:sz w:val="18"/>
                <w:szCs w:val="16"/>
                <w:lang w:val="es-ES"/>
              </w:rPr>
              <w:t>2015</w:t>
            </w:r>
          </w:p>
        </w:tc>
        <w:tc>
          <w:tcPr>
            <w:tcW w:w="602" w:type="dxa"/>
            <w:tcBorders>
              <w:top w:val="single" w:sz="4" w:space="0" w:color="auto"/>
              <w:left w:val="nil"/>
              <w:bottom w:val="single" w:sz="8" w:space="0" w:color="auto"/>
              <w:right w:val="nil"/>
            </w:tcBorders>
            <w:shd w:val="clear" w:color="000000" w:fill="000000"/>
            <w:noWrap/>
            <w:hideMark/>
          </w:tcPr>
          <w:p w14:paraId="0AA673ED" w14:textId="77777777" w:rsidR="00333B09" w:rsidRPr="00DC4231" w:rsidRDefault="00333B09" w:rsidP="00DE4E59">
            <w:pPr>
              <w:pStyle w:val="Tablehead"/>
              <w:rPr>
                <w:sz w:val="18"/>
                <w:szCs w:val="16"/>
                <w:lang w:val="es-ES"/>
              </w:rPr>
            </w:pPr>
            <w:r w:rsidRPr="00DC4231">
              <w:rPr>
                <w:sz w:val="18"/>
                <w:szCs w:val="16"/>
                <w:lang w:val="es-ES"/>
              </w:rPr>
              <w:t>2016</w:t>
            </w:r>
          </w:p>
        </w:tc>
        <w:tc>
          <w:tcPr>
            <w:tcW w:w="588" w:type="dxa"/>
            <w:tcBorders>
              <w:top w:val="single" w:sz="4" w:space="0" w:color="auto"/>
              <w:left w:val="nil"/>
              <w:bottom w:val="single" w:sz="8" w:space="0" w:color="auto"/>
              <w:right w:val="nil"/>
            </w:tcBorders>
            <w:shd w:val="clear" w:color="000000" w:fill="000000"/>
            <w:noWrap/>
            <w:hideMark/>
          </w:tcPr>
          <w:p w14:paraId="2EBA0AF0" w14:textId="77777777" w:rsidR="00333B09" w:rsidRPr="00DC4231" w:rsidRDefault="00333B09" w:rsidP="00DE4E59">
            <w:pPr>
              <w:pStyle w:val="Tablehead"/>
              <w:rPr>
                <w:sz w:val="18"/>
                <w:szCs w:val="16"/>
                <w:lang w:val="es-ES"/>
              </w:rPr>
            </w:pPr>
            <w:r w:rsidRPr="00DC4231">
              <w:rPr>
                <w:sz w:val="18"/>
                <w:szCs w:val="16"/>
                <w:lang w:val="es-ES"/>
              </w:rPr>
              <w:t>2017</w:t>
            </w:r>
          </w:p>
        </w:tc>
        <w:tc>
          <w:tcPr>
            <w:tcW w:w="602" w:type="dxa"/>
            <w:tcBorders>
              <w:top w:val="single" w:sz="4" w:space="0" w:color="auto"/>
              <w:left w:val="nil"/>
              <w:bottom w:val="single" w:sz="8" w:space="0" w:color="auto"/>
              <w:right w:val="nil"/>
            </w:tcBorders>
            <w:shd w:val="clear" w:color="000000" w:fill="000000"/>
            <w:noWrap/>
            <w:hideMark/>
          </w:tcPr>
          <w:p w14:paraId="324269BD" w14:textId="77777777" w:rsidR="00333B09" w:rsidRPr="00DC4231" w:rsidRDefault="00333B09" w:rsidP="00DE4E59">
            <w:pPr>
              <w:pStyle w:val="Tablehead"/>
              <w:rPr>
                <w:sz w:val="18"/>
                <w:szCs w:val="16"/>
                <w:lang w:val="es-ES"/>
              </w:rPr>
            </w:pPr>
            <w:r w:rsidRPr="00DC4231">
              <w:rPr>
                <w:sz w:val="18"/>
                <w:szCs w:val="16"/>
                <w:lang w:val="es-ES"/>
              </w:rPr>
              <w:t>2018</w:t>
            </w:r>
          </w:p>
        </w:tc>
        <w:tc>
          <w:tcPr>
            <w:tcW w:w="602" w:type="dxa"/>
            <w:tcBorders>
              <w:top w:val="single" w:sz="4" w:space="0" w:color="auto"/>
              <w:left w:val="nil"/>
              <w:bottom w:val="single" w:sz="8" w:space="0" w:color="auto"/>
              <w:right w:val="nil"/>
            </w:tcBorders>
            <w:shd w:val="clear" w:color="000000" w:fill="000000"/>
          </w:tcPr>
          <w:p w14:paraId="38DF3541" w14:textId="77777777" w:rsidR="00333B09" w:rsidRPr="00DC4231" w:rsidRDefault="00333B09" w:rsidP="00DE4E59">
            <w:pPr>
              <w:pStyle w:val="Tablehead"/>
              <w:rPr>
                <w:sz w:val="18"/>
                <w:szCs w:val="16"/>
                <w:lang w:val="es-ES"/>
              </w:rPr>
            </w:pPr>
            <w:r w:rsidRPr="00DC4231">
              <w:rPr>
                <w:sz w:val="18"/>
                <w:szCs w:val="16"/>
                <w:lang w:val="es-ES"/>
              </w:rPr>
              <w:t>2019</w:t>
            </w:r>
          </w:p>
        </w:tc>
        <w:tc>
          <w:tcPr>
            <w:tcW w:w="581" w:type="dxa"/>
            <w:tcBorders>
              <w:top w:val="single" w:sz="4" w:space="0" w:color="auto"/>
              <w:left w:val="nil"/>
              <w:bottom w:val="single" w:sz="8" w:space="0" w:color="auto"/>
              <w:right w:val="nil"/>
            </w:tcBorders>
            <w:shd w:val="clear" w:color="000000" w:fill="000000"/>
            <w:noWrap/>
          </w:tcPr>
          <w:p w14:paraId="660ABDED" w14:textId="77777777" w:rsidR="00333B09" w:rsidRPr="00DC4231" w:rsidRDefault="00333B09" w:rsidP="00DE4E59">
            <w:pPr>
              <w:pStyle w:val="Tablehead"/>
              <w:rPr>
                <w:sz w:val="18"/>
                <w:szCs w:val="16"/>
                <w:lang w:val="es-ES"/>
              </w:rPr>
            </w:pPr>
            <w:r w:rsidRPr="00DC4231">
              <w:rPr>
                <w:sz w:val="18"/>
                <w:szCs w:val="16"/>
                <w:lang w:val="es-ES"/>
              </w:rPr>
              <w:t>2020</w:t>
            </w:r>
          </w:p>
        </w:tc>
        <w:tc>
          <w:tcPr>
            <w:tcW w:w="605" w:type="dxa"/>
            <w:tcBorders>
              <w:top w:val="single" w:sz="4" w:space="0" w:color="auto"/>
              <w:left w:val="nil"/>
              <w:bottom w:val="single" w:sz="8" w:space="0" w:color="auto"/>
              <w:right w:val="single" w:sz="4" w:space="0" w:color="auto"/>
            </w:tcBorders>
            <w:shd w:val="clear" w:color="000000" w:fill="000000"/>
            <w:noWrap/>
            <w:hideMark/>
          </w:tcPr>
          <w:p w14:paraId="45251998" w14:textId="28AF31F6" w:rsidR="00333B09" w:rsidRPr="00DC4231" w:rsidRDefault="00333B09" w:rsidP="00DE4E59">
            <w:pPr>
              <w:pStyle w:val="Tablehead"/>
              <w:rPr>
                <w:sz w:val="18"/>
                <w:szCs w:val="16"/>
                <w:lang w:val="es-ES"/>
              </w:rPr>
            </w:pPr>
            <w:r w:rsidRPr="00DC4231">
              <w:rPr>
                <w:sz w:val="18"/>
                <w:szCs w:val="16"/>
                <w:lang w:val="es-ES"/>
              </w:rPr>
              <w:t>Total</w:t>
            </w:r>
          </w:p>
        </w:tc>
      </w:tr>
      <w:tr w:rsidR="00DE4E59" w:rsidRPr="00333B09" w14:paraId="7B8E8F12" w14:textId="77777777" w:rsidTr="00DE4E59">
        <w:trPr>
          <w:jc w:val="center"/>
        </w:trPr>
        <w:tc>
          <w:tcPr>
            <w:tcW w:w="3128" w:type="dxa"/>
            <w:tcBorders>
              <w:top w:val="single" w:sz="8" w:space="0" w:color="auto"/>
              <w:left w:val="single" w:sz="6" w:space="0" w:color="auto"/>
              <w:bottom w:val="single" w:sz="4" w:space="0" w:color="auto"/>
              <w:right w:val="single" w:sz="4" w:space="0" w:color="auto"/>
            </w:tcBorders>
            <w:shd w:val="clear" w:color="auto" w:fill="auto"/>
            <w:noWrap/>
            <w:hideMark/>
          </w:tcPr>
          <w:p w14:paraId="15932E17" w14:textId="77777777" w:rsidR="00333B09" w:rsidRPr="00DC4231" w:rsidRDefault="00333B09" w:rsidP="00DE4E59">
            <w:pPr>
              <w:pStyle w:val="Tabletext"/>
              <w:rPr>
                <w:sz w:val="18"/>
                <w:szCs w:val="16"/>
                <w:lang w:val="es-ES"/>
              </w:rPr>
            </w:pPr>
            <w:r w:rsidRPr="00DC4231">
              <w:rPr>
                <w:sz w:val="18"/>
                <w:szCs w:val="16"/>
                <w:lang w:val="es-ES"/>
              </w:rPr>
              <w:t>Número de informes/notas de auditoría</w:t>
            </w:r>
          </w:p>
        </w:tc>
        <w:tc>
          <w:tcPr>
            <w:tcW w:w="574" w:type="dxa"/>
            <w:tcBorders>
              <w:top w:val="single" w:sz="8" w:space="0" w:color="auto"/>
              <w:left w:val="nil"/>
              <w:bottom w:val="single" w:sz="4" w:space="0" w:color="auto"/>
              <w:right w:val="single" w:sz="4" w:space="0" w:color="auto"/>
            </w:tcBorders>
            <w:shd w:val="clear" w:color="auto" w:fill="auto"/>
            <w:noWrap/>
            <w:hideMark/>
          </w:tcPr>
          <w:p w14:paraId="4A5BE0C7" w14:textId="77777777" w:rsidR="00333B09" w:rsidRPr="00333B09" w:rsidRDefault="00333B09" w:rsidP="00DE4E59">
            <w:pPr>
              <w:pStyle w:val="Tabletext"/>
              <w:jc w:val="center"/>
              <w:rPr>
                <w:sz w:val="18"/>
                <w:szCs w:val="16"/>
                <w:lang w:val="es-ES"/>
              </w:rPr>
            </w:pPr>
            <w:r w:rsidRPr="00333B09">
              <w:rPr>
                <w:sz w:val="18"/>
                <w:szCs w:val="16"/>
                <w:lang w:val="es-ES"/>
              </w:rPr>
              <w:t>2</w:t>
            </w:r>
          </w:p>
        </w:tc>
        <w:tc>
          <w:tcPr>
            <w:tcW w:w="588" w:type="dxa"/>
            <w:tcBorders>
              <w:top w:val="single" w:sz="8" w:space="0" w:color="auto"/>
              <w:left w:val="nil"/>
              <w:bottom w:val="single" w:sz="4" w:space="0" w:color="auto"/>
              <w:right w:val="single" w:sz="4" w:space="0" w:color="auto"/>
            </w:tcBorders>
            <w:shd w:val="clear" w:color="auto" w:fill="auto"/>
            <w:noWrap/>
            <w:hideMark/>
          </w:tcPr>
          <w:p w14:paraId="41CB0384" w14:textId="77777777" w:rsidR="00333B09" w:rsidRPr="00333B09" w:rsidRDefault="00333B09" w:rsidP="00DE4E59">
            <w:pPr>
              <w:pStyle w:val="Tabletext"/>
              <w:jc w:val="center"/>
              <w:rPr>
                <w:sz w:val="18"/>
                <w:szCs w:val="16"/>
                <w:lang w:val="es-ES"/>
              </w:rPr>
            </w:pPr>
            <w:r w:rsidRPr="00333B09">
              <w:rPr>
                <w:sz w:val="18"/>
                <w:szCs w:val="16"/>
                <w:lang w:val="es-ES"/>
              </w:rPr>
              <w:t>0</w:t>
            </w:r>
          </w:p>
        </w:tc>
        <w:tc>
          <w:tcPr>
            <w:tcW w:w="588" w:type="dxa"/>
            <w:tcBorders>
              <w:top w:val="single" w:sz="8" w:space="0" w:color="auto"/>
              <w:left w:val="nil"/>
              <w:bottom w:val="single" w:sz="4" w:space="0" w:color="auto"/>
              <w:right w:val="single" w:sz="4" w:space="0" w:color="auto"/>
            </w:tcBorders>
            <w:shd w:val="clear" w:color="000000" w:fill="FFFFFF"/>
            <w:noWrap/>
            <w:hideMark/>
          </w:tcPr>
          <w:p w14:paraId="2452B4E6" w14:textId="77777777" w:rsidR="00333B09" w:rsidRPr="00333B09" w:rsidRDefault="00333B09" w:rsidP="00DE4E59">
            <w:pPr>
              <w:pStyle w:val="Tabletext"/>
              <w:jc w:val="center"/>
              <w:rPr>
                <w:sz w:val="18"/>
                <w:szCs w:val="16"/>
                <w:lang w:val="es-ES"/>
              </w:rPr>
            </w:pPr>
            <w:r w:rsidRPr="00333B09">
              <w:rPr>
                <w:sz w:val="18"/>
                <w:szCs w:val="16"/>
                <w:lang w:val="es-ES"/>
              </w:rPr>
              <w:t>4</w:t>
            </w:r>
          </w:p>
        </w:tc>
        <w:tc>
          <w:tcPr>
            <w:tcW w:w="581" w:type="dxa"/>
            <w:tcBorders>
              <w:top w:val="single" w:sz="8" w:space="0" w:color="auto"/>
              <w:left w:val="nil"/>
              <w:bottom w:val="single" w:sz="4" w:space="0" w:color="auto"/>
              <w:right w:val="nil"/>
            </w:tcBorders>
            <w:shd w:val="clear" w:color="000000" w:fill="FFFFFF"/>
            <w:noWrap/>
            <w:hideMark/>
          </w:tcPr>
          <w:p w14:paraId="13F29C25" w14:textId="77777777" w:rsidR="00333B09" w:rsidRPr="00333B09" w:rsidRDefault="00333B09" w:rsidP="00DE4E59">
            <w:pPr>
              <w:pStyle w:val="Tabletext"/>
              <w:jc w:val="center"/>
              <w:rPr>
                <w:sz w:val="18"/>
                <w:szCs w:val="16"/>
                <w:lang w:val="es-ES"/>
              </w:rPr>
            </w:pPr>
            <w:r w:rsidRPr="00333B09">
              <w:rPr>
                <w:sz w:val="18"/>
                <w:szCs w:val="16"/>
                <w:lang w:val="es-ES"/>
              </w:rPr>
              <w:t>4</w:t>
            </w:r>
          </w:p>
        </w:tc>
        <w:tc>
          <w:tcPr>
            <w:tcW w:w="587" w:type="dxa"/>
            <w:tcBorders>
              <w:top w:val="single" w:sz="8" w:space="0" w:color="auto"/>
              <w:left w:val="single" w:sz="4" w:space="0" w:color="auto"/>
              <w:bottom w:val="single" w:sz="4" w:space="0" w:color="auto"/>
              <w:right w:val="nil"/>
            </w:tcBorders>
            <w:shd w:val="clear" w:color="000000" w:fill="FFFFFF"/>
            <w:noWrap/>
            <w:hideMark/>
          </w:tcPr>
          <w:p w14:paraId="5D5D00F2" w14:textId="77777777" w:rsidR="00333B09" w:rsidRPr="00333B09" w:rsidRDefault="00333B09" w:rsidP="00DE4E59">
            <w:pPr>
              <w:pStyle w:val="Tabletext"/>
              <w:jc w:val="center"/>
              <w:rPr>
                <w:sz w:val="18"/>
                <w:szCs w:val="16"/>
                <w:lang w:val="es-ES"/>
              </w:rPr>
            </w:pPr>
            <w:r w:rsidRPr="00333B09">
              <w:rPr>
                <w:sz w:val="18"/>
                <w:szCs w:val="16"/>
                <w:lang w:val="es-ES"/>
              </w:rPr>
              <w:t>7</w:t>
            </w:r>
          </w:p>
        </w:tc>
        <w:tc>
          <w:tcPr>
            <w:tcW w:w="602" w:type="dxa"/>
            <w:tcBorders>
              <w:top w:val="single" w:sz="8" w:space="0" w:color="auto"/>
              <w:left w:val="single" w:sz="4" w:space="0" w:color="auto"/>
              <w:bottom w:val="single" w:sz="4" w:space="0" w:color="auto"/>
              <w:right w:val="nil"/>
            </w:tcBorders>
            <w:shd w:val="clear" w:color="000000" w:fill="FFFFFF"/>
            <w:noWrap/>
            <w:hideMark/>
          </w:tcPr>
          <w:p w14:paraId="53FA2505" w14:textId="77777777" w:rsidR="00333B09" w:rsidRPr="00333B09" w:rsidRDefault="00333B09" w:rsidP="00DE4E59">
            <w:pPr>
              <w:pStyle w:val="Tabletext"/>
              <w:jc w:val="center"/>
              <w:rPr>
                <w:sz w:val="18"/>
                <w:szCs w:val="16"/>
                <w:lang w:val="es-ES"/>
              </w:rPr>
            </w:pPr>
            <w:r w:rsidRPr="00333B09">
              <w:rPr>
                <w:sz w:val="18"/>
                <w:szCs w:val="16"/>
                <w:lang w:val="es-ES"/>
              </w:rPr>
              <w:t>4</w:t>
            </w:r>
          </w:p>
        </w:tc>
        <w:tc>
          <w:tcPr>
            <w:tcW w:w="588" w:type="dxa"/>
            <w:tcBorders>
              <w:top w:val="single" w:sz="8" w:space="0" w:color="auto"/>
              <w:left w:val="single" w:sz="4" w:space="0" w:color="auto"/>
              <w:bottom w:val="single" w:sz="4" w:space="0" w:color="auto"/>
              <w:right w:val="nil"/>
            </w:tcBorders>
            <w:shd w:val="clear" w:color="000000" w:fill="FFFFFF"/>
            <w:noWrap/>
            <w:hideMark/>
          </w:tcPr>
          <w:p w14:paraId="3E6B1A3E" w14:textId="77777777" w:rsidR="00333B09" w:rsidRPr="00333B09" w:rsidRDefault="00333B09" w:rsidP="00DE4E59">
            <w:pPr>
              <w:pStyle w:val="Tabletext"/>
              <w:jc w:val="center"/>
              <w:rPr>
                <w:sz w:val="18"/>
                <w:szCs w:val="16"/>
                <w:lang w:val="es-ES"/>
              </w:rPr>
            </w:pPr>
            <w:r w:rsidRPr="00333B09">
              <w:rPr>
                <w:sz w:val="18"/>
                <w:szCs w:val="16"/>
                <w:lang w:val="es-ES"/>
              </w:rPr>
              <w:t>5</w:t>
            </w:r>
          </w:p>
        </w:tc>
        <w:tc>
          <w:tcPr>
            <w:tcW w:w="602" w:type="dxa"/>
            <w:tcBorders>
              <w:top w:val="single" w:sz="8" w:space="0" w:color="auto"/>
              <w:left w:val="single" w:sz="4" w:space="0" w:color="auto"/>
              <w:bottom w:val="single" w:sz="4" w:space="0" w:color="auto"/>
              <w:right w:val="nil"/>
            </w:tcBorders>
            <w:shd w:val="clear" w:color="000000" w:fill="FFFFFF"/>
            <w:noWrap/>
            <w:hideMark/>
          </w:tcPr>
          <w:p w14:paraId="2DDA85CE" w14:textId="77777777" w:rsidR="00333B09" w:rsidRPr="00333B09" w:rsidRDefault="00333B09" w:rsidP="00DE4E59">
            <w:pPr>
              <w:pStyle w:val="Tabletext"/>
              <w:jc w:val="center"/>
              <w:rPr>
                <w:sz w:val="18"/>
                <w:szCs w:val="16"/>
                <w:lang w:val="es-ES"/>
              </w:rPr>
            </w:pPr>
            <w:r w:rsidRPr="00333B09">
              <w:rPr>
                <w:sz w:val="18"/>
                <w:szCs w:val="16"/>
                <w:lang w:val="es-ES"/>
              </w:rPr>
              <w:t>4</w:t>
            </w:r>
          </w:p>
        </w:tc>
        <w:tc>
          <w:tcPr>
            <w:tcW w:w="602" w:type="dxa"/>
            <w:tcBorders>
              <w:top w:val="single" w:sz="8" w:space="0" w:color="auto"/>
              <w:left w:val="single" w:sz="4" w:space="0" w:color="auto"/>
              <w:bottom w:val="single" w:sz="4" w:space="0" w:color="auto"/>
              <w:right w:val="nil"/>
            </w:tcBorders>
            <w:shd w:val="clear" w:color="000000" w:fill="FFFFFF"/>
          </w:tcPr>
          <w:p w14:paraId="334BFC0A" w14:textId="77777777" w:rsidR="00333B09" w:rsidRPr="00333B09" w:rsidRDefault="00333B09" w:rsidP="00DE4E59">
            <w:pPr>
              <w:pStyle w:val="Tabletext"/>
              <w:jc w:val="center"/>
              <w:rPr>
                <w:sz w:val="18"/>
                <w:szCs w:val="16"/>
                <w:lang w:val="es-ES"/>
              </w:rPr>
            </w:pPr>
            <w:r w:rsidRPr="00333B09">
              <w:rPr>
                <w:sz w:val="18"/>
                <w:szCs w:val="16"/>
                <w:lang w:val="es-ES"/>
              </w:rPr>
              <w:t>2</w:t>
            </w:r>
          </w:p>
        </w:tc>
        <w:tc>
          <w:tcPr>
            <w:tcW w:w="581" w:type="dxa"/>
            <w:tcBorders>
              <w:top w:val="single" w:sz="8" w:space="0" w:color="auto"/>
              <w:left w:val="single" w:sz="4" w:space="0" w:color="auto"/>
              <w:bottom w:val="single" w:sz="4" w:space="0" w:color="auto"/>
              <w:right w:val="single" w:sz="4" w:space="0" w:color="auto"/>
            </w:tcBorders>
            <w:shd w:val="clear" w:color="auto" w:fill="auto"/>
            <w:noWrap/>
          </w:tcPr>
          <w:p w14:paraId="0510DB10" w14:textId="77777777" w:rsidR="00333B09" w:rsidRPr="00333B09" w:rsidRDefault="00333B09" w:rsidP="00DE4E59">
            <w:pPr>
              <w:pStyle w:val="Tabletext"/>
              <w:jc w:val="center"/>
              <w:rPr>
                <w:sz w:val="18"/>
                <w:szCs w:val="16"/>
                <w:lang w:val="es-ES"/>
              </w:rPr>
            </w:pPr>
            <w:r w:rsidRPr="00333B09">
              <w:rPr>
                <w:sz w:val="18"/>
                <w:szCs w:val="16"/>
                <w:lang w:val="es-ES"/>
              </w:rPr>
              <w:t>2</w:t>
            </w:r>
          </w:p>
        </w:tc>
        <w:tc>
          <w:tcPr>
            <w:tcW w:w="605" w:type="dxa"/>
            <w:tcBorders>
              <w:top w:val="single" w:sz="8" w:space="0" w:color="auto"/>
              <w:left w:val="single" w:sz="4" w:space="0" w:color="auto"/>
              <w:bottom w:val="single" w:sz="4" w:space="0" w:color="auto"/>
              <w:right w:val="single" w:sz="4" w:space="0" w:color="auto"/>
            </w:tcBorders>
            <w:shd w:val="clear" w:color="auto" w:fill="A6A6A6" w:themeFill="background1" w:themeFillShade="A6"/>
            <w:noWrap/>
            <w:hideMark/>
          </w:tcPr>
          <w:p w14:paraId="72B0969A" w14:textId="77777777" w:rsidR="00333B09" w:rsidRPr="00333B09" w:rsidRDefault="00333B09" w:rsidP="00DE4E59">
            <w:pPr>
              <w:pStyle w:val="Tabletext"/>
              <w:jc w:val="center"/>
              <w:rPr>
                <w:b/>
                <w:bCs/>
                <w:sz w:val="18"/>
                <w:szCs w:val="16"/>
                <w:lang w:val="es-ES"/>
              </w:rPr>
            </w:pPr>
            <w:r w:rsidRPr="00333B09">
              <w:rPr>
                <w:b/>
                <w:bCs/>
                <w:sz w:val="18"/>
                <w:szCs w:val="16"/>
                <w:lang w:val="es-ES"/>
              </w:rPr>
              <w:t>34</w:t>
            </w:r>
          </w:p>
        </w:tc>
      </w:tr>
      <w:tr w:rsidR="00DE4E59" w:rsidRPr="00333B09" w14:paraId="71AD5168" w14:textId="77777777" w:rsidTr="00DE4E59">
        <w:trPr>
          <w:jc w:val="center"/>
        </w:trPr>
        <w:tc>
          <w:tcPr>
            <w:tcW w:w="3128" w:type="dxa"/>
            <w:tcBorders>
              <w:top w:val="nil"/>
              <w:left w:val="single" w:sz="6" w:space="0" w:color="auto"/>
              <w:bottom w:val="single" w:sz="4" w:space="0" w:color="auto"/>
              <w:right w:val="single" w:sz="4" w:space="0" w:color="auto"/>
            </w:tcBorders>
            <w:shd w:val="clear" w:color="auto" w:fill="auto"/>
            <w:noWrap/>
            <w:hideMark/>
          </w:tcPr>
          <w:p w14:paraId="2713B2EE" w14:textId="77777777" w:rsidR="00333B09" w:rsidRPr="00333B09" w:rsidRDefault="00333B09" w:rsidP="00DE4E59">
            <w:pPr>
              <w:pStyle w:val="Tabletext"/>
              <w:rPr>
                <w:sz w:val="18"/>
                <w:szCs w:val="16"/>
                <w:lang w:val="es-ES"/>
              </w:rPr>
            </w:pPr>
            <w:r w:rsidRPr="00333B09">
              <w:rPr>
                <w:sz w:val="18"/>
                <w:szCs w:val="16"/>
                <w:lang w:val="es-ES"/>
              </w:rPr>
              <w:t>Recomendaciones – Total</w:t>
            </w:r>
          </w:p>
        </w:tc>
        <w:tc>
          <w:tcPr>
            <w:tcW w:w="574" w:type="dxa"/>
            <w:tcBorders>
              <w:top w:val="single" w:sz="4" w:space="0" w:color="auto"/>
              <w:left w:val="nil"/>
              <w:bottom w:val="single" w:sz="4" w:space="0" w:color="auto"/>
              <w:right w:val="single" w:sz="4" w:space="0" w:color="auto"/>
            </w:tcBorders>
            <w:shd w:val="clear" w:color="auto" w:fill="auto"/>
            <w:noWrap/>
            <w:hideMark/>
          </w:tcPr>
          <w:p w14:paraId="39C42502" w14:textId="77777777" w:rsidR="00333B09" w:rsidRPr="00333B09" w:rsidRDefault="00333B09" w:rsidP="00DE4E59">
            <w:pPr>
              <w:pStyle w:val="Tabletext"/>
              <w:jc w:val="center"/>
              <w:rPr>
                <w:sz w:val="18"/>
                <w:szCs w:val="16"/>
                <w:lang w:val="es-ES"/>
              </w:rPr>
            </w:pPr>
            <w:r w:rsidRPr="00333B09">
              <w:rPr>
                <w:sz w:val="18"/>
                <w:szCs w:val="16"/>
                <w:lang w:val="es-ES"/>
              </w:rPr>
              <w:t>17</w:t>
            </w:r>
          </w:p>
        </w:tc>
        <w:tc>
          <w:tcPr>
            <w:tcW w:w="588" w:type="dxa"/>
            <w:tcBorders>
              <w:top w:val="single" w:sz="4" w:space="0" w:color="auto"/>
              <w:left w:val="nil"/>
              <w:bottom w:val="single" w:sz="4" w:space="0" w:color="auto"/>
              <w:right w:val="single" w:sz="4" w:space="0" w:color="auto"/>
            </w:tcBorders>
            <w:shd w:val="clear" w:color="auto" w:fill="auto"/>
            <w:noWrap/>
            <w:hideMark/>
          </w:tcPr>
          <w:p w14:paraId="34CCA1AF" w14:textId="74306BD2" w:rsidR="00333B09" w:rsidRPr="00333B09" w:rsidRDefault="00DE4E59" w:rsidP="00DE4E59">
            <w:pPr>
              <w:pStyle w:val="Tabletext"/>
              <w:jc w:val="center"/>
              <w:rPr>
                <w:sz w:val="18"/>
                <w:szCs w:val="16"/>
                <w:lang w:val="es-ES"/>
              </w:rPr>
            </w:pPr>
            <w:r>
              <w:rPr>
                <w:sz w:val="18"/>
                <w:szCs w:val="16"/>
                <w:lang w:val="es-ES"/>
              </w:rPr>
              <w:t>–</w:t>
            </w:r>
          </w:p>
        </w:tc>
        <w:tc>
          <w:tcPr>
            <w:tcW w:w="588" w:type="dxa"/>
            <w:tcBorders>
              <w:top w:val="single" w:sz="4" w:space="0" w:color="auto"/>
              <w:left w:val="nil"/>
              <w:bottom w:val="single" w:sz="4" w:space="0" w:color="auto"/>
              <w:right w:val="single" w:sz="4" w:space="0" w:color="auto"/>
            </w:tcBorders>
            <w:shd w:val="clear" w:color="000000" w:fill="FFFFFF"/>
            <w:noWrap/>
            <w:hideMark/>
          </w:tcPr>
          <w:p w14:paraId="296375E4" w14:textId="77777777" w:rsidR="00333B09" w:rsidRPr="00333B09" w:rsidRDefault="00333B09" w:rsidP="00DE4E59">
            <w:pPr>
              <w:pStyle w:val="Tabletext"/>
              <w:jc w:val="center"/>
              <w:rPr>
                <w:sz w:val="18"/>
                <w:szCs w:val="16"/>
                <w:lang w:val="es-ES"/>
              </w:rPr>
            </w:pPr>
            <w:r w:rsidRPr="00333B09">
              <w:rPr>
                <w:sz w:val="18"/>
                <w:szCs w:val="16"/>
                <w:lang w:val="es-ES"/>
              </w:rPr>
              <w:t>113</w:t>
            </w:r>
          </w:p>
        </w:tc>
        <w:tc>
          <w:tcPr>
            <w:tcW w:w="581" w:type="dxa"/>
            <w:tcBorders>
              <w:top w:val="single" w:sz="4" w:space="0" w:color="auto"/>
              <w:left w:val="nil"/>
              <w:bottom w:val="single" w:sz="4" w:space="0" w:color="auto"/>
              <w:right w:val="nil"/>
            </w:tcBorders>
            <w:shd w:val="clear" w:color="000000" w:fill="FFFFFF"/>
            <w:noWrap/>
            <w:hideMark/>
          </w:tcPr>
          <w:p w14:paraId="67AE71F5" w14:textId="77777777" w:rsidR="00333B09" w:rsidRPr="00333B09" w:rsidRDefault="00333B09" w:rsidP="00DE4E59">
            <w:pPr>
              <w:pStyle w:val="Tabletext"/>
              <w:jc w:val="center"/>
              <w:rPr>
                <w:sz w:val="18"/>
                <w:szCs w:val="16"/>
                <w:lang w:val="es-ES"/>
              </w:rPr>
            </w:pPr>
            <w:r w:rsidRPr="00333B09">
              <w:rPr>
                <w:sz w:val="18"/>
                <w:szCs w:val="16"/>
                <w:lang w:val="es-ES"/>
              </w:rPr>
              <w:t>55</w:t>
            </w:r>
          </w:p>
        </w:tc>
        <w:tc>
          <w:tcPr>
            <w:tcW w:w="587" w:type="dxa"/>
            <w:tcBorders>
              <w:top w:val="single" w:sz="4" w:space="0" w:color="auto"/>
              <w:left w:val="single" w:sz="4" w:space="0" w:color="auto"/>
              <w:bottom w:val="single" w:sz="4" w:space="0" w:color="auto"/>
              <w:right w:val="nil"/>
            </w:tcBorders>
            <w:shd w:val="clear" w:color="000000" w:fill="FFFFFF"/>
            <w:noWrap/>
            <w:hideMark/>
          </w:tcPr>
          <w:p w14:paraId="2A56C4CF" w14:textId="77777777" w:rsidR="00333B09" w:rsidRPr="00333B09" w:rsidRDefault="00333B09" w:rsidP="00DE4E59">
            <w:pPr>
              <w:pStyle w:val="Tabletext"/>
              <w:jc w:val="center"/>
              <w:rPr>
                <w:sz w:val="18"/>
                <w:szCs w:val="16"/>
                <w:lang w:val="es-ES"/>
              </w:rPr>
            </w:pPr>
            <w:r w:rsidRPr="00333B09">
              <w:rPr>
                <w:sz w:val="18"/>
                <w:szCs w:val="16"/>
                <w:lang w:val="es-ES"/>
              </w:rPr>
              <w:t>34</w:t>
            </w:r>
          </w:p>
        </w:tc>
        <w:tc>
          <w:tcPr>
            <w:tcW w:w="602" w:type="dxa"/>
            <w:tcBorders>
              <w:top w:val="single" w:sz="4" w:space="0" w:color="auto"/>
              <w:left w:val="single" w:sz="4" w:space="0" w:color="auto"/>
              <w:bottom w:val="single" w:sz="4" w:space="0" w:color="auto"/>
              <w:right w:val="nil"/>
            </w:tcBorders>
            <w:shd w:val="clear" w:color="000000" w:fill="FFFFFF"/>
            <w:noWrap/>
            <w:hideMark/>
          </w:tcPr>
          <w:p w14:paraId="5DC8F5E4" w14:textId="77777777" w:rsidR="00333B09" w:rsidRPr="00333B09" w:rsidRDefault="00333B09" w:rsidP="00DE4E59">
            <w:pPr>
              <w:pStyle w:val="Tabletext"/>
              <w:jc w:val="center"/>
              <w:rPr>
                <w:sz w:val="18"/>
                <w:szCs w:val="16"/>
                <w:lang w:val="es-ES"/>
              </w:rPr>
            </w:pPr>
            <w:r w:rsidRPr="00333B09">
              <w:rPr>
                <w:sz w:val="18"/>
                <w:szCs w:val="16"/>
                <w:lang w:val="es-ES"/>
              </w:rPr>
              <w:t>22</w:t>
            </w:r>
          </w:p>
        </w:tc>
        <w:tc>
          <w:tcPr>
            <w:tcW w:w="588" w:type="dxa"/>
            <w:tcBorders>
              <w:top w:val="single" w:sz="4" w:space="0" w:color="auto"/>
              <w:left w:val="single" w:sz="4" w:space="0" w:color="auto"/>
              <w:bottom w:val="single" w:sz="4" w:space="0" w:color="auto"/>
              <w:right w:val="nil"/>
            </w:tcBorders>
            <w:shd w:val="clear" w:color="000000" w:fill="FFFFFF"/>
            <w:noWrap/>
            <w:hideMark/>
          </w:tcPr>
          <w:p w14:paraId="018E0A9E" w14:textId="77777777" w:rsidR="00333B09" w:rsidRPr="00333B09" w:rsidRDefault="00333B09" w:rsidP="00DE4E59">
            <w:pPr>
              <w:pStyle w:val="Tabletext"/>
              <w:jc w:val="center"/>
              <w:rPr>
                <w:sz w:val="18"/>
                <w:szCs w:val="16"/>
                <w:lang w:val="es-ES"/>
              </w:rPr>
            </w:pPr>
            <w:r w:rsidRPr="00333B09">
              <w:rPr>
                <w:sz w:val="18"/>
                <w:szCs w:val="16"/>
                <w:lang w:val="es-ES"/>
              </w:rPr>
              <w:t>30</w:t>
            </w:r>
          </w:p>
        </w:tc>
        <w:tc>
          <w:tcPr>
            <w:tcW w:w="602" w:type="dxa"/>
            <w:tcBorders>
              <w:top w:val="single" w:sz="4" w:space="0" w:color="auto"/>
              <w:left w:val="single" w:sz="4" w:space="0" w:color="auto"/>
              <w:bottom w:val="single" w:sz="4" w:space="0" w:color="auto"/>
              <w:right w:val="nil"/>
            </w:tcBorders>
            <w:shd w:val="clear" w:color="000000" w:fill="FFFFFF"/>
            <w:noWrap/>
            <w:hideMark/>
          </w:tcPr>
          <w:p w14:paraId="4139FA42" w14:textId="77777777" w:rsidR="00333B09" w:rsidRPr="00333B09" w:rsidRDefault="00333B09" w:rsidP="00DE4E59">
            <w:pPr>
              <w:pStyle w:val="Tabletext"/>
              <w:jc w:val="center"/>
              <w:rPr>
                <w:sz w:val="18"/>
                <w:szCs w:val="16"/>
                <w:lang w:val="es-ES"/>
              </w:rPr>
            </w:pPr>
            <w:r w:rsidRPr="00333B09">
              <w:rPr>
                <w:sz w:val="18"/>
                <w:szCs w:val="16"/>
                <w:lang w:val="es-ES"/>
              </w:rPr>
              <w:t>26</w:t>
            </w:r>
          </w:p>
        </w:tc>
        <w:tc>
          <w:tcPr>
            <w:tcW w:w="602" w:type="dxa"/>
            <w:tcBorders>
              <w:top w:val="single" w:sz="4" w:space="0" w:color="auto"/>
              <w:left w:val="single" w:sz="4" w:space="0" w:color="auto"/>
              <w:bottom w:val="single" w:sz="4" w:space="0" w:color="auto"/>
              <w:right w:val="nil"/>
            </w:tcBorders>
            <w:shd w:val="clear" w:color="000000" w:fill="FFFFFF"/>
          </w:tcPr>
          <w:p w14:paraId="68428BEB" w14:textId="77777777" w:rsidR="00333B09" w:rsidRPr="00333B09" w:rsidRDefault="00333B09" w:rsidP="00DE4E59">
            <w:pPr>
              <w:pStyle w:val="Tabletext"/>
              <w:jc w:val="center"/>
              <w:rPr>
                <w:sz w:val="18"/>
                <w:szCs w:val="16"/>
                <w:lang w:val="es-ES"/>
              </w:rPr>
            </w:pPr>
            <w:r w:rsidRPr="00333B09">
              <w:rPr>
                <w:sz w:val="18"/>
                <w:szCs w:val="16"/>
                <w:lang w:val="es-ES"/>
              </w:rPr>
              <w:t>15</w:t>
            </w:r>
          </w:p>
        </w:tc>
        <w:tc>
          <w:tcPr>
            <w:tcW w:w="581" w:type="dxa"/>
            <w:tcBorders>
              <w:top w:val="single" w:sz="4" w:space="0" w:color="auto"/>
              <w:left w:val="single" w:sz="4" w:space="0" w:color="auto"/>
              <w:bottom w:val="single" w:sz="4" w:space="0" w:color="auto"/>
              <w:right w:val="single" w:sz="4" w:space="0" w:color="auto"/>
            </w:tcBorders>
            <w:shd w:val="clear" w:color="auto" w:fill="auto"/>
            <w:noWrap/>
          </w:tcPr>
          <w:p w14:paraId="5BFEA8C9" w14:textId="77777777" w:rsidR="00333B09" w:rsidRPr="00333B09" w:rsidRDefault="00333B09" w:rsidP="00DE4E59">
            <w:pPr>
              <w:pStyle w:val="Tabletext"/>
              <w:jc w:val="center"/>
              <w:rPr>
                <w:sz w:val="18"/>
                <w:szCs w:val="16"/>
                <w:lang w:val="es-ES"/>
              </w:rPr>
            </w:pPr>
            <w:r w:rsidRPr="00333B09">
              <w:rPr>
                <w:sz w:val="18"/>
                <w:szCs w:val="16"/>
                <w:lang w:val="es-ES"/>
              </w:rPr>
              <w:t>9</w:t>
            </w:r>
          </w:p>
        </w:tc>
        <w:tc>
          <w:tcPr>
            <w:tcW w:w="60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hideMark/>
          </w:tcPr>
          <w:p w14:paraId="539E0EDF" w14:textId="77777777" w:rsidR="00333B09" w:rsidRPr="00333B09" w:rsidRDefault="00333B09" w:rsidP="00DE4E59">
            <w:pPr>
              <w:pStyle w:val="Tabletext"/>
              <w:jc w:val="center"/>
              <w:rPr>
                <w:b/>
                <w:bCs/>
                <w:sz w:val="18"/>
                <w:szCs w:val="16"/>
                <w:lang w:val="es-ES"/>
              </w:rPr>
            </w:pPr>
            <w:r w:rsidRPr="00333B09">
              <w:rPr>
                <w:b/>
                <w:bCs/>
                <w:sz w:val="18"/>
                <w:szCs w:val="16"/>
                <w:lang w:val="es-ES"/>
              </w:rPr>
              <w:t>321</w:t>
            </w:r>
          </w:p>
        </w:tc>
      </w:tr>
      <w:tr w:rsidR="00DE4E59" w:rsidRPr="00333B09" w14:paraId="13AC88A0" w14:textId="77777777" w:rsidTr="00DE4E59">
        <w:trPr>
          <w:jc w:val="center"/>
        </w:trPr>
        <w:tc>
          <w:tcPr>
            <w:tcW w:w="3128" w:type="dxa"/>
            <w:tcBorders>
              <w:top w:val="nil"/>
              <w:left w:val="single" w:sz="6" w:space="0" w:color="auto"/>
              <w:bottom w:val="single" w:sz="4" w:space="0" w:color="auto"/>
              <w:right w:val="single" w:sz="4" w:space="0" w:color="auto"/>
            </w:tcBorders>
            <w:shd w:val="clear" w:color="auto" w:fill="auto"/>
            <w:noWrap/>
            <w:hideMark/>
          </w:tcPr>
          <w:p w14:paraId="2118FF2A" w14:textId="546483E3" w:rsidR="00333B09" w:rsidRPr="00333B09" w:rsidRDefault="00DC4231" w:rsidP="00DE4E59">
            <w:pPr>
              <w:pStyle w:val="Tabletext"/>
              <w:tabs>
                <w:tab w:val="left" w:pos="309"/>
              </w:tabs>
              <w:rPr>
                <w:sz w:val="18"/>
                <w:szCs w:val="16"/>
                <w:lang w:val="es-ES"/>
              </w:rPr>
            </w:pPr>
            <w:r w:rsidRPr="00DC4231">
              <w:rPr>
                <w:sz w:val="18"/>
                <w:szCs w:val="16"/>
                <w:lang w:val="es-ES"/>
              </w:rPr>
              <w:tab/>
            </w:r>
            <w:r w:rsidR="00333B09" w:rsidRPr="00333B09">
              <w:rPr>
                <w:sz w:val="18"/>
                <w:szCs w:val="16"/>
                <w:lang w:val="es-ES"/>
              </w:rPr>
              <w:t>En preparación</w:t>
            </w:r>
          </w:p>
        </w:tc>
        <w:tc>
          <w:tcPr>
            <w:tcW w:w="574" w:type="dxa"/>
            <w:tcBorders>
              <w:top w:val="single" w:sz="4" w:space="0" w:color="auto"/>
              <w:left w:val="nil"/>
              <w:bottom w:val="single" w:sz="4" w:space="0" w:color="auto"/>
              <w:right w:val="single" w:sz="4" w:space="0" w:color="auto"/>
            </w:tcBorders>
            <w:shd w:val="clear" w:color="000000" w:fill="FFFFFF"/>
            <w:noWrap/>
            <w:hideMark/>
          </w:tcPr>
          <w:p w14:paraId="5701B5D0" w14:textId="77777777" w:rsidR="00333B09" w:rsidRPr="00333B09" w:rsidRDefault="00333B09" w:rsidP="00DE4E59">
            <w:pPr>
              <w:pStyle w:val="Tabletext"/>
              <w:jc w:val="center"/>
              <w:rPr>
                <w:sz w:val="18"/>
                <w:szCs w:val="16"/>
                <w:lang w:val="es-ES"/>
              </w:rPr>
            </w:pPr>
            <w:r w:rsidRPr="00333B09">
              <w:rPr>
                <w:sz w:val="18"/>
                <w:szCs w:val="16"/>
                <w:lang w:val="es-ES"/>
              </w:rPr>
              <w:t>0</w:t>
            </w:r>
          </w:p>
        </w:tc>
        <w:tc>
          <w:tcPr>
            <w:tcW w:w="588" w:type="dxa"/>
            <w:tcBorders>
              <w:top w:val="single" w:sz="4" w:space="0" w:color="auto"/>
              <w:left w:val="nil"/>
              <w:bottom w:val="single" w:sz="4" w:space="0" w:color="auto"/>
              <w:right w:val="single" w:sz="4" w:space="0" w:color="auto"/>
            </w:tcBorders>
            <w:shd w:val="clear" w:color="auto" w:fill="auto"/>
            <w:noWrap/>
            <w:hideMark/>
          </w:tcPr>
          <w:p w14:paraId="77A8D84E" w14:textId="61EB7289" w:rsidR="00333B09" w:rsidRPr="00333B09" w:rsidRDefault="00DE4E59" w:rsidP="00DE4E59">
            <w:pPr>
              <w:pStyle w:val="Tabletext"/>
              <w:jc w:val="center"/>
              <w:rPr>
                <w:sz w:val="18"/>
                <w:szCs w:val="16"/>
                <w:lang w:val="es-ES"/>
              </w:rPr>
            </w:pPr>
            <w:r>
              <w:rPr>
                <w:sz w:val="18"/>
                <w:szCs w:val="16"/>
                <w:lang w:val="es-ES"/>
              </w:rPr>
              <w:t>–</w:t>
            </w:r>
          </w:p>
        </w:tc>
        <w:tc>
          <w:tcPr>
            <w:tcW w:w="588" w:type="dxa"/>
            <w:tcBorders>
              <w:top w:val="single" w:sz="4" w:space="0" w:color="auto"/>
              <w:left w:val="nil"/>
              <w:bottom w:val="single" w:sz="4" w:space="0" w:color="auto"/>
              <w:right w:val="single" w:sz="4" w:space="0" w:color="auto"/>
            </w:tcBorders>
            <w:shd w:val="clear" w:color="000000" w:fill="FFFFFF"/>
            <w:noWrap/>
            <w:hideMark/>
          </w:tcPr>
          <w:p w14:paraId="237F302F" w14:textId="77777777" w:rsidR="00333B09" w:rsidRPr="00333B09" w:rsidRDefault="00333B09" w:rsidP="00DE4E59">
            <w:pPr>
              <w:pStyle w:val="Tabletext"/>
              <w:jc w:val="center"/>
              <w:rPr>
                <w:sz w:val="18"/>
                <w:szCs w:val="16"/>
                <w:lang w:val="es-ES"/>
              </w:rPr>
            </w:pPr>
            <w:r w:rsidRPr="00333B09">
              <w:rPr>
                <w:sz w:val="18"/>
                <w:szCs w:val="16"/>
                <w:lang w:val="es-ES"/>
              </w:rPr>
              <w:t>4</w:t>
            </w:r>
          </w:p>
        </w:tc>
        <w:tc>
          <w:tcPr>
            <w:tcW w:w="581" w:type="dxa"/>
            <w:tcBorders>
              <w:top w:val="single" w:sz="4" w:space="0" w:color="auto"/>
              <w:left w:val="nil"/>
              <w:bottom w:val="single" w:sz="4" w:space="0" w:color="auto"/>
              <w:right w:val="nil"/>
            </w:tcBorders>
            <w:shd w:val="clear" w:color="000000" w:fill="FFFFFF"/>
            <w:noWrap/>
            <w:hideMark/>
          </w:tcPr>
          <w:p w14:paraId="61683AB0" w14:textId="77777777" w:rsidR="00333B09" w:rsidRPr="00333B09" w:rsidRDefault="00333B09" w:rsidP="00DE4E59">
            <w:pPr>
              <w:pStyle w:val="Tabletext"/>
              <w:jc w:val="center"/>
              <w:rPr>
                <w:sz w:val="18"/>
                <w:szCs w:val="16"/>
                <w:lang w:val="es-ES"/>
              </w:rPr>
            </w:pPr>
            <w:r w:rsidRPr="00333B09">
              <w:rPr>
                <w:sz w:val="18"/>
                <w:szCs w:val="16"/>
                <w:lang w:val="es-ES"/>
              </w:rPr>
              <w:t>2</w:t>
            </w:r>
          </w:p>
        </w:tc>
        <w:tc>
          <w:tcPr>
            <w:tcW w:w="587" w:type="dxa"/>
            <w:tcBorders>
              <w:top w:val="single" w:sz="4" w:space="0" w:color="auto"/>
              <w:left w:val="single" w:sz="4" w:space="0" w:color="auto"/>
              <w:bottom w:val="single" w:sz="4" w:space="0" w:color="auto"/>
              <w:right w:val="nil"/>
            </w:tcBorders>
            <w:shd w:val="clear" w:color="000000" w:fill="FFFFFF"/>
            <w:noWrap/>
            <w:hideMark/>
          </w:tcPr>
          <w:p w14:paraId="76A053F1" w14:textId="77777777" w:rsidR="00333B09" w:rsidRPr="00333B09" w:rsidRDefault="00333B09" w:rsidP="00DE4E59">
            <w:pPr>
              <w:pStyle w:val="Tabletext"/>
              <w:jc w:val="center"/>
              <w:rPr>
                <w:sz w:val="18"/>
                <w:szCs w:val="16"/>
                <w:lang w:val="es-ES"/>
              </w:rPr>
            </w:pPr>
            <w:r w:rsidRPr="00333B09">
              <w:rPr>
                <w:sz w:val="18"/>
                <w:szCs w:val="16"/>
                <w:lang w:val="es-ES"/>
              </w:rPr>
              <w:t>1</w:t>
            </w:r>
          </w:p>
        </w:tc>
        <w:tc>
          <w:tcPr>
            <w:tcW w:w="602" w:type="dxa"/>
            <w:tcBorders>
              <w:top w:val="single" w:sz="4" w:space="0" w:color="auto"/>
              <w:left w:val="single" w:sz="4" w:space="0" w:color="auto"/>
              <w:bottom w:val="single" w:sz="4" w:space="0" w:color="auto"/>
              <w:right w:val="nil"/>
            </w:tcBorders>
            <w:shd w:val="clear" w:color="000000" w:fill="FFFFFF"/>
            <w:noWrap/>
            <w:hideMark/>
          </w:tcPr>
          <w:p w14:paraId="7FC134DD" w14:textId="77777777" w:rsidR="00333B09" w:rsidRPr="00333B09" w:rsidRDefault="00333B09" w:rsidP="00DE4E59">
            <w:pPr>
              <w:pStyle w:val="Tabletext"/>
              <w:jc w:val="center"/>
              <w:rPr>
                <w:sz w:val="18"/>
                <w:szCs w:val="16"/>
                <w:lang w:val="es-ES"/>
              </w:rPr>
            </w:pPr>
            <w:r w:rsidRPr="00333B09">
              <w:rPr>
                <w:sz w:val="18"/>
                <w:szCs w:val="16"/>
                <w:lang w:val="es-ES"/>
              </w:rPr>
              <w:t>6</w:t>
            </w:r>
          </w:p>
        </w:tc>
        <w:tc>
          <w:tcPr>
            <w:tcW w:w="588" w:type="dxa"/>
            <w:tcBorders>
              <w:top w:val="single" w:sz="4" w:space="0" w:color="auto"/>
              <w:left w:val="single" w:sz="4" w:space="0" w:color="auto"/>
              <w:bottom w:val="single" w:sz="4" w:space="0" w:color="auto"/>
              <w:right w:val="nil"/>
            </w:tcBorders>
            <w:shd w:val="clear" w:color="000000" w:fill="FFFFFF"/>
            <w:noWrap/>
            <w:hideMark/>
          </w:tcPr>
          <w:p w14:paraId="32160D47" w14:textId="77777777" w:rsidR="00333B09" w:rsidRPr="00333B09" w:rsidRDefault="00333B09" w:rsidP="00DE4E59">
            <w:pPr>
              <w:pStyle w:val="Tabletext"/>
              <w:jc w:val="center"/>
              <w:rPr>
                <w:sz w:val="18"/>
                <w:szCs w:val="16"/>
                <w:lang w:val="es-ES"/>
              </w:rPr>
            </w:pPr>
            <w:r w:rsidRPr="00333B09">
              <w:rPr>
                <w:sz w:val="18"/>
                <w:szCs w:val="16"/>
                <w:lang w:val="es-ES"/>
              </w:rPr>
              <w:t>8</w:t>
            </w:r>
          </w:p>
        </w:tc>
        <w:tc>
          <w:tcPr>
            <w:tcW w:w="602" w:type="dxa"/>
            <w:tcBorders>
              <w:top w:val="single" w:sz="4" w:space="0" w:color="auto"/>
              <w:left w:val="single" w:sz="4" w:space="0" w:color="auto"/>
              <w:bottom w:val="single" w:sz="4" w:space="0" w:color="auto"/>
              <w:right w:val="nil"/>
            </w:tcBorders>
            <w:shd w:val="clear" w:color="000000" w:fill="FFFFFF"/>
            <w:noWrap/>
            <w:hideMark/>
          </w:tcPr>
          <w:p w14:paraId="13083489" w14:textId="77777777" w:rsidR="00333B09" w:rsidRPr="00333B09" w:rsidRDefault="00333B09" w:rsidP="00DE4E59">
            <w:pPr>
              <w:pStyle w:val="Tabletext"/>
              <w:jc w:val="center"/>
              <w:rPr>
                <w:sz w:val="18"/>
                <w:szCs w:val="16"/>
                <w:lang w:val="es-ES"/>
              </w:rPr>
            </w:pPr>
            <w:r w:rsidRPr="00333B09">
              <w:rPr>
                <w:sz w:val="18"/>
                <w:szCs w:val="16"/>
                <w:lang w:val="es-ES"/>
              </w:rPr>
              <w:t>12</w:t>
            </w:r>
          </w:p>
        </w:tc>
        <w:tc>
          <w:tcPr>
            <w:tcW w:w="602" w:type="dxa"/>
            <w:tcBorders>
              <w:top w:val="single" w:sz="4" w:space="0" w:color="auto"/>
              <w:left w:val="single" w:sz="4" w:space="0" w:color="auto"/>
              <w:bottom w:val="single" w:sz="4" w:space="0" w:color="auto"/>
              <w:right w:val="nil"/>
            </w:tcBorders>
            <w:shd w:val="clear" w:color="000000" w:fill="FFFFFF"/>
          </w:tcPr>
          <w:p w14:paraId="3CD43A25" w14:textId="77777777" w:rsidR="00333B09" w:rsidRPr="00333B09" w:rsidRDefault="00333B09" w:rsidP="00DE4E59">
            <w:pPr>
              <w:pStyle w:val="Tabletext"/>
              <w:jc w:val="center"/>
              <w:rPr>
                <w:sz w:val="18"/>
                <w:szCs w:val="16"/>
                <w:lang w:val="es-ES"/>
              </w:rPr>
            </w:pPr>
            <w:r w:rsidRPr="00333B09">
              <w:rPr>
                <w:sz w:val="18"/>
                <w:szCs w:val="16"/>
                <w:lang w:val="es-ES"/>
              </w:rPr>
              <w:t>11</w:t>
            </w:r>
          </w:p>
        </w:tc>
        <w:tc>
          <w:tcPr>
            <w:tcW w:w="581" w:type="dxa"/>
            <w:tcBorders>
              <w:top w:val="single" w:sz="4" w:space="0" w:color="auto"/>
              <w:left w:val="single" w:sz="4" w:space="0" w:color="auto"/>
              <w:bottom w:val="single" w:sz="4" w:space="0" w:color="auto"/>
              <w:right w:val="single" w:sz="4" w:space="0" w:color="auto"/>
            </w:tcBorders>
            <w:shd w:val="clear" w:color="auto" w:fill="auto"/>
            <w:noWrap/>
          </w:tcPr>
          <w:p w14:paraId="34C77722" w14:textId="77777777" w:rsidR="00333B09" w:rsidRPr="00333B09" w:rsidRDefault="00333B09" w:rsidP="00DE4E59">
            <w:pPr>
              <w:pStyle w:val="Tabletext"/>
              <w:jc w:val="center"/>
              <w:rPr>
                <w:sz w:val="18"/>
                <w:szCs w:val="16"/>
                <w:lang w:val="es-ES"/>
              </w:rPr>
            </w:pPr>
            <w:r w:rsidRPr="00333B09">
              <w:rPr>
                <w:sz w:val="18"/>
                <w:szCs w:val="16"/>
                <w:lang w:val="es-ES"/>
              </w:rPr>
              <w:t>4</w:t>
            </w:r>
          </w:p>
        </w:tc>
        <w:tc>
          <w:tcPr>
            <w:tcW w:w="60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hideMark/>
          </w:tcPr>
          <w:p w14:paraId="63321716" w14:textId="77777777" w:rsidR="00333B09" w:rsidRPr="00333B09" w:rsidRDefault="00333B09" w:rsidP="00DE4E59">
            <w:pPr>
              <w:pStyle w:val="Tabletext"/>
              <w:jc w:val="center"/>
              <w:rPr>
                <w:b/>
                <w:bCs/>
                <w:sz w:val="18"/>
                <w:szCs w:val="16"/>
                <w:lang w:val="es-ES"/>
              </w:rPr>
            </w:pPr>
            <w:r w:rsidRPr="00333B09">
              <w:rPr>
                <w:b/>
                <w:bCs/>
                <w:sz w:val="18"/>
                <w:szCs w:val="16"/>
                <w:lang w:val="es-ES"/>
              </w:rPr>
              <w:t>48</w:t>
            </w:r>
          </w:p>
        </w:tc>
      </w:tr>
      <w:tr w:rsidR="00DE4E59" w:rsidRPr="00333B09" w14:paraId="38541849" w14:textId="77777777" w:rsidTr="00DE4E59">
        <w:trPr>
          <w:jc w:val="center"/>
        </w:trPr>
        <w:tc>
          <w:tcPr>
            <w:tcW w:w="3128" w:type="dxa"/>
            <w:tcBorders>
              <w:top w:val="nil"/>
              <w:left w:val="single" w:sz="6" w:space="0" w:color="auto"/>
              <w:bottom w:val="single" w:sz="4" w:space="0" w:color="auto"/>
              <w:right w:val="single" w:sz="4" w:space="0" w:color="auto"/>
            </w:tcBorders>
            <w:shd w:val="clear" w:color="auto" w:fill="auto"/>
            <w:noWrap/>
            <w:hideMark/>
          </w:tcPr>
          <w:p w14:paraId="5D022F99" w14:textId="786386A8" w:rsidR="00333B09" w:rsidRPr="00333B09" w:rsidRDefault="00DC4231" w:rsidP="00DE4E59">
            <w:pPr>
              <w:pStyle w:val="Tabletext"/>
              <w:tabs>
                <w:tab w:val="left" w:pos="309"/>
              </w:tabs>
              <w:rPr>
                <w:sz w:val="18"/>
                <w:szCs w:val="16"/>
                <w:lang w:val="es-ES"/>
              </w:rPr>
            </w:pPr>
            <w:r w:rsidRPr="00DC4231">
              <w:rPr>
                <w:sz w:val="18"/>
                <w:szCs w:val="16"/>
                <w:lang w:val="es-ES"/>
              </w:rPr>
              <w:tab/>
            </w:r>
            <w:r w:rsidR="00333B09" w:rsidRPr="00333B09">
              <w:rPr>
                <w:sz w:val="18"/>
                <w:szCs w:val="16"/>
                <w:lang w:val="es-ES"/>
              </w:rPr>
              <w:t>Retrasadas</w:t>
            </w:r>
          </w:p>
        </w:tc>
        <w:tc>
          <w:tcPr>
            <w:tcW w:w="574" w:type="dxa"/>
            <w:tcBorders>
              <w:top w:val="single" w:sz="4" w:space="0" w:color="auto"/>
              <w:left w:val="nil"/>
              <w:bottom w:val="single" w:sz="4" w:space="0" w:color="auto"/>
              <w:right w:val="single" w:sz="4" w:space="0" w:color="auto"/>
            </w:tcBorders>
            <w:shd w:val="clear" w:color="000000" w:fill="FFFFFF"/>
            <w:noWrap/>
            <w:hideMark/>
          </w:tcPr>
          <w:p w14:paraId="37E8F9BE" w14:textId="77777777" w:rsidR="00333B09" w:rsidRPr="00333B09" w:rsidRDefault="00333B09" w:rsidP="00DE4E59">
            <w:pPr>
              <w:pStyle w:val="Tabletext"/>
              <w:jc w:val="center"/>
              <w:rPr>
                <w:sz w:val="18"/>
                <w:szCs w:val="16"/>
                <w:lang w:val="es-ES"/>
              </w:rPr>
            </w:pPr>
            <w:r w:rsidRPr="00333B09">
              <w:rPr>
                <w:sz w:val="18"/>
                <w:szCs w:val="16"/>
                <w:lang w:val="es-ES"/>
              </w:rPr>
              <w:t>3</w:t>
            </w:r>
          </w:p>
        </w:tc>
        <w:tc>
          <w:tcPr>
            <w:tcW w:w="588" w:type="dxa"/>
            <w:tcBorders>
              <w:top w:val="single" w:sz="4" w:space="0" w:color="auto"/>
              <w:left w:val="nil"/>
              <w:bottom w:val="single" w:sz="4" w:space="0" w:color="auto"/>
              <w:right w:val="single" w:sz="4" w:space="0" w:color="auto"/>
            </w:tcBorders>
            <w:shd w:val="clear" w:color="auto" w:fill="auto"/>
            <w:noWrap/>
            <w:hideMark/>
          </w:tcPr>
          <w:p w14:paraId="7FC1BCD8" w14:textId="243216D0" w:rsidR="00333B09" w:rsidRPr="00333B09" w:rsidRDefault="00DE4E59" w:rsidP="00DE4E59">
            <w:pPr>
              <w:pStyle w:val="Tabletext"/>
              <w:jc w:val="center"/>
              <w:rPr>
                <w:sz w:val="18"/>
                <w:szCs w:val="16"/>
                <w:lang w:val="es-ES"/>
              </w:rPr>
            </w:pPr>
            <w:r>
              <w:rPr>
                <w:sz w:val="18"/>
                <w:szCs w:val="16"/>
                <w:lang w:val="es-ES"/>
              </w:rPr>
              <w:t>–</w:t>
            </w:r>
          </w:p>
        </w:tc>
        <w:tc>
          <w:tcPr>
            <w:tcW w:w="588" w:type="dxa"/>
            <w:tcBorders>
              <w:top w:val="single" w:sz="4" w:space="0" w:color="auto"/>
              <w:left w:val="nil"/>
              <w:bottom w:val="single" w:sz="4" w:space="0" w:color="auto"/>
              <w:right w:val="single" w:sz="4" w:space="0" w:color="auto"/>
            </w:tcBorders>
            <w:shd w:val="clear" w:color="000000" w:fill="FFFFFF"/>
            <w:noWrap/>
            <w:hideMark/>
          </w:tcPr>
          <w:p w14:paraId="4676ADF8" w14:textId="77777777" w:rsidR="00333B09" w:rsidRPr="00333B09" w:rsidRDefault="00333B09" w:rsidP="00DE4E59">
            <w:pPr>
              <w:pStyle w:val="Tabletext"/>
              <w:jc w:val="center"/>
              <w:rPr>
                <w:sz w:val="18"/>
                <w:szCs w:val="16"/>
                <w:lang w:val="es-ES"/>
              </w:rPr>
            </w:pPr>
            <w:r w:rsidRPr="00333B09">
              <w:rPr>
                <w:sz w:val="18"/>
                <w:szCs w:val="16"/>
                <w:lang w:val="es-ES"/>
              </w:rPr>
              <w:t>0</w:t>
            </w:r>
          </w:p>
        </w:tc>
        <w:tc>
          <w:tcPr>
            <w:tcW w:w="581" w:type="dxa"/>
            <w:tcBorders>
              <w:top w:val="single" w:sz="4" w:space="0" w:color="auto"/>
              <w:left w:val="nil"/>
              <w:bottom w:val="single" w:sz="4" w:space="0" w:color="auto"/>
              <w:right w:val="nil"/>
            </w:tcBorders>
            <w:shd w:val="clear" w:color="000000" w:fill="FFFFFF"/>
            <w:noWrap/>
            <w:hideMark/>
          </w:tcPr>
          <w:p w14:paraId="51FCD48A" w14:textId="77777777" w:rsidR="00333B09" w:rsidRPr="00333B09" w:rsidRDefault="00333B09" w:rsidP="00DE4E59">
            <w:pPr>
              <w:pStyle w:val="Tabletext"/>
              <w:jc w:val="center"/>
              <w:rPr>
                <w:sz w:val="18"/>
                <w:szCs w:val="16"/>
                <w:lang w:val="es-ES"/>
              </w:rPr>
            </w:pPr>
            <w:r w:rsidRPr="00333B09">
              <w:rPr>
                <w:sz w:val="18"/>
                <w:szCs w:val="16"/>
                <w:lang w:val="es-ES"/>
              </w:rPr>
              <w:t>0</w:t>
            </w:r>
          </w:p>
        </w:tc>
        <w:tc>
          <w:tcPr>
            <w:tcW w:w="587" w:type="dxa"/>
            <w:tcBorders>
              <w:top w:val="single" w:sz="4" w:space="0" w:color="auto"/>
              <w:left w:val="single" w:sz="4" w:space="0" w:color="auto"/>
              <w:bottom w:val="single" w:sz="4" w:space="0" w:color="auto"/>
              <w:right w:val="nil"/>
            </w:tcBorders>
            <w:shd w:val="clear" w:color="000000" w:fill="FFFFFF"/>
            <w:noWrap/>
            <w:hideMark/>
          </w:tcPr>
          <w:p w14:paraId="6B729CFA" w14:textId="77777777" w:rsidR="00333B09" w:rsidRPr="00333B09" w:rsidRDefault="00333B09" w:rsidP="00DE4E59">
            <w:pPr>
              <w:pStyle w:val="Tabletext"/>
              <w:jc w:val="center"/>
              <w:rPr>
                <w:sz w:val="18"/>
                <w:szCs w:val="16"/>
                <w:lang w:val="es-ES"/>
              </w:rPr>
            </w:pPr>
            <w:r w:rsidRPr="00333B09">
              <w:rPr>
                <w:sz w:val="18"/>
                <w:szCs w:val="16"/>
                <w:lang w:val="es-ES"/>
              </w:rPr>
              <w:t>0</w:t>
            </w:r>
          </w:p>
        </w:tc>
        <w:tc>
          <w:tcPr>
            <w:tcW w:w="602" w:type="dxa"/>
            <w:tcBorders>
              <w:top w:val="single" w:sz="4" w:space="0" w:color="auto"/>
              <w:left w:val="single" w:sz="4" w:space="0" w:color="auto"/>
              <w:bottom w:val="single" w:sz="4" w:space="0" w:color="auto"/>
              <w:right w:val="nil"/>
            </w:tcBorders>
            <w:shd w:val="clear" w:color="000000" w:fill="FFFFFF"/>
            <w:noWrap/>
            <w:hideMark/>
          </w:tcPr>
          <w:p w14:paraId="26FD23C6" w14:textId="77777777" w:rsidR="00333B09" w:rsidRPr="00333B09" w:rsidRDefault="00333B09" w:rsidP="00DE4E59">
            <w:pPr>
              <w:pStyle w:val="Tabletext"/>
              <w:jc w:val="center"/>
              <w:rPr>
                <w:sz w:val="18"/>
                <w:szCs w:val="16"/>
                <w:lang w:val="es-ES"/>
              </w:rPr>
            </w:pPr>
            <w:r w:rsidRPr="00333B09">
              <w:rPr>
                <w:sz w:val="18"/>
                <w:szCs w:val="16"/>
                <w:lang w:val="es-ES"/>
              </w:rPr>
              <w:t>0</w:t>
            </w:r>
          </w:p>
        </w:tc>
        <w:tc>
          <w:tcPr>
            <w:tcW w:w="588" w:type="dxa"/>
            <w:tcBorders>
              <w:top w:val="single" w:sz="4" w:space="0" w:color="auto"/>
              <w:left w:val="single" w:sz="4" w:space="0" w:color="auto"/>
              <w:bottom w:val="single" w:sz="4" w:space="0" w:color="auto"/>
              <w:right w:val="nil"/>
            </w:tcBorders>
            <w:shd w:val="clear" w:color="000000" w:fill="FFFFFF"/>
            <w:noWrap/>
            <w:hideMark/>
          </w:tcPr>
          <w:p w14:paraId="58522DA2" w14:textId="77777777" w:rsidR="00333B09" w:rsidRPr="00333B09" w:rsidRDefault="00333B09" w:rsidP="00DE4E59">
            <w:pPr>
              <w:pStyle w:val="Tabletext"/>
              <w:jc w:val="center"/>
              <w:rPr>
                <w:sz w:val="18"/>
                <w:szCs w:val="16"/>
                <w:lang w:val="es-ES"/>
              </w:rPr>
            </w:pPr>
            <w:r w:rsidRPr="00333B09">
              <w:rPr>
                <w:sz w:val="18"/>
                <w:szCs w:val="16"/>
                <w:lang w:val="es-ES"/>
              </w:rPr>
              <w:t>0</w:t>
            </w:r>
          </w:p>
        </w:tc>
        <w:tc>
          <w:tcPr>
            <w:tcW w:w="602" w:type="dxa"/>
            <w:tcBorders>
              <w:top w:val="single" w:sz="4" w:space="0" w:color="auto"/>
              <w:left w:val="single" w:sz="4" w:space="0" w:color="auto"/>
              <w:bottom w:val="single" w:sz="4" w:space="0" w:color="auto"/>
              <w:right w:val="nil"/>
            </w:tcBorders>
            <w:shd w:val="clear" w:color="000000" w:fill="FFFFFF"/>
            <w:noWrap/>
            <w:hideMark/>
          </w:tcPr>
          <w:p w14:paraId="63AD7D5C" w14:textId="77777777" w:rsidR="00333B09" w:rsidRPr="00333B09" w:rsidRDefault="00333B09" w:rsidP="00DE4E59">
            <w:pPr>
              <w:pStyle w:val="Tabletext"/>
              <w:jc w:val="center"/>
              <w:rPr>
                <w:sz w:val="18"/>
                <w:szCs w:val="16"/>
                <w:lang w:val="es-ES"/>
              </w:rPr>
            </w:pPr>
            <w:r w:rsidRPr="00333B09">
              <w:rPr>
                <w:sz w:val="18"/>
                <w:szCs w:val="16"/>
                <w:lang w:val="es-ES"/>
              </w:rPr>
              <w:t>0</w:t>
            </w:r>
          </w:p>
        </w:tc>
        <w:tc>
          <w:tcPr>
            <w:tcW w:w="602" w:type="dxa"/>
            <w:tcBorders>
              <w:top w:val="single" w:sz="4" w:space="0" w:color="auto"/>
              <w:left w:val="single" w:sz="4" w:space="0" w:color="auto"/>
              <w:bottom w:val="single" w:sz="4" w:space="0" w:color="auto"/>
              <w:right w:val="nil"/>
            </w:tcBorders>
            <w:shd w:val="clear" w:color="000000" w:fill="FFFFFF"/>
          </w:tcPr>
          <w:p w14:paraId="11AF26A4" w14:textId="77777777" w:rsidR="00333B09" w:rsidRPr="00333B09" w:rsidRDefault="00333B09" w:rsidP="00DE4E59">
            <w:pPr>
              <w:pStyle w:val="Tabletext"/>
              <w:jc w:val="center"/>
              <w:rPr>
                <w:sz w:val="18"/>
                <w:szCs w:val="16"/>
                <w:lang w:val="es-ES"/>
              </w:rPr>
            </w:pPr>
            <w:r w:rsidRPr="00333B09">
              <w:rPr>
                <w:sz w:val="18"/>
                <w:szCs w:val="16"/>
                <w:lang w:val="es-ES"/>
              </w:rPr>
              <w:t>0</w:t>
            </w:r>
          </w:p>
        </w:tc>
        <w:tc>
          <w:tcPr>
            <w:tcW w:w="581" w:type="dxa"/>
            <w:tcBorders>
              <w:top w:val="single" w:sz="4" w:space="0" w:color="auto"/>
              <w:left w:val="single" w:sz="4" w:space="0" w:color="auto"/>
              <w:bottom w:val="single" w:sz="4" w:space="0" w:color="auto"/>
              <w:right w:val="single" w:sz="4" w:space="0" w:color="auto"/>
            </w:tcBorders>
            <w:shd w:val="clear" w:color="auto" w:fill="auto"/>
            <w:noWrap/>
          </w:tcPr>
          <w:p w14:paraId="076A0A7E" w14:textId="77777777" w:rsidR="00333B09" w:rsidRPr="00333B09" w:rsidRDefault="00333B09" w:rsidP="00DE4E59">
            <w:pPr>
              <w:pStyle w:val="Tabletext"/>
              <w:jc w:val="center"/>
              <w:rPr>
                <w:sz w:val="18"/>
                <w:szCs w:val="16"/>
                <w:lang w:val="es-ES"/>
              </w:rPr>
            </w:pPr>
            <w:r w:rsidRPr="00333B09">
              <w:rPr>
                <w:sz w:val="18"/>
                <w:szCs w:val="16"/>
                <w:lang w:val="es-ES"/>
              </w:rPr>
              <w:t>0</w:t>
            </w:r>
          </w:p>
        </w:tc>
        <w:tc>
          <w:tcPr>
            <w:tcW w:w="60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hideMark/>
          </w:tcPr>
          <w:p w14:paraId="0A213DFF" w14:textId="77777777" w:rsidR="00333B09" w:rsidRPr="00333B09" w:rsidRDefault="00333B09" w:rsidP="00DE4E59">
            <w:pPr>
              <w:pStyle w:val="Tabletext"/>
              <w:jc w:val="center"/>
              <w:rPr>
                <w:b/>
                <w:bCs/>
                <w:sz w:val="18"/>
                <w:szCs w:val="16"/>
                <w:lang w:val="es-ES"/>
              </w:rPr>
            </w:pPr>
            <w:r w:rsidRPr="00333B09">
              <w:rPr>
                <w:b/>
                <w:bCs/>
                <w:sz w:val="18"/>
                <w:szCs w:val="16"/>
                <w:lang w:val="es-ES"/>
              </w:rPr>
              <w:t>3</w:t>
            </w:r>
          </w:p>
        </w:tc>
      </w:tr>
      <w:tr w:rsidR="00DE4E59" w:rsidRPr="00333B09" w14:paraId="2363E0CD" w14:textId="77777777" w:rsidTr="00DE4E59">
        <w:trPr>
          <w:jc w:val="center"/>
        </w:trPr>
        <w:tc>
          <w:tcPr>
            <w:tcW w:w="3128" w:type="dxa"/>
            <w:tcBorders>
              <w:top w:val="single" w:sz="4" w:space="0" w:color="auto"/>
              <w:left w:val="single" w:sz="6" w:space="0" w:color="auto"/>
              <w:bottom w:val="single" w:sz="4" w:space="0" w:color="auto"/>
              <w:right w:val="single" w:sz="4" w:space="0" w:color="auto"/>
            </w:tcBorders>
            <w:shd w:val="clear" w:color="auto" w:fill="auto"/>
            <w:noWrap/>
            <w:hideMark/>
          </w:tcPr>
          <w:p w14:paraId="0D346849" w14:textId="1D31C0DC" w:rsidR="00333B09" w:rsidRPr="00333B09" w:rsidRDefault="00DC4231" w:rsidP="00DE4E59">
            <w:pPr>
              <w:pStyle w:val="Tabletext"/>
              <w:tabs>
                <w:tab w:val="left" w:pos="309"/>
              </w:tabs>
              <w:rPr>
                <w:sz w:val="18"/>
                <w:szCs w:val="16"/>
                <w:lang w:val="es-ES"/>
              </w:rPr>
            </w:pPr>
            <w:r w:rsidRPr="00DC4231">
              <w:rPr>
                <w:sz w:val="18"/>
                <w:szCs w:val="16"/>
                <w:lang w:val="es-ES"/>
              </w:rPr>
              <w:tab/>
            </w:r>
            <w:r w:rsidR="00333B09" w:rsidRPr="00333B09">
              <w:rPr>
                <w:sz w:val="18"/>
                <w:szCs w:val="16"/>
                <w:lang w:val="es-ES"/>
              </w:rPr>
              <w:t>Cerradas</w:t>
            </w:r>
          </w:p>
        </w:tc>
        <w:tc>
          <w:tcPr>
            <w:tcW w:w="574" w:type="dxa"/>
            <w:tcBorders>
              <w:top w:val="single" w:sz="4" w:space="0" w:color="auto"/>
              <w:left w:val="nil"/>
              <w:bottom w:val="single" w:sz="4" w:space="0" w:color="auto"/>
              <w:right w:val="single" w:sz="4" w:space="0" w:color="auto"/>
            </w:tcBorders>
            <w:shd w:val="clear" w:color="000000" w:fill="FFFFFF"/>
            <w:noWrap/>
            <w:hideMark/>
          </w:tcPr>
          <w:p w14:paraId="2E91821A" w14:textId="77777777" w:rsidR="00333B09" w:rsidRPr="00333B09" w:rsidRDefault="00333B09" w:rsidP="00DE4E59">
            <w:pPr>
              <w:pStyle w:val="Tabletext"/>
              <w:jc w:val="center"/>
              <w:rPr>
                <w:sz w:val="18"/>
                <w:szCs w:val="16"/>
                <w:lang w:val="es-ES"/>
              </w:rPr>
            </w:pPr>
            <w:r w:rsidRPr="00333B09">
              <w:rPr>
                <w:sz w:val="18"/>
                <w:szCs w:val="16"/>
                <w:lang w:val="es-ES"/>
              </w:rPr>
              <w:t>14</w:t>
            </w:r>
          </w:p>
        </w:tc>
        <w:tc>
          <w:tcPr>
            <w:tcW w:w="588" w:type="dxa"/>
            <w:tcBorders>
              <w:top w:val="single" w:sz="4" w:space="0" w:color="auto"/>
              <w:left w:val="nil"/>
              <w:bottom w:val="single" w:sz="4" w:space="0" w:color="auto"/>
              <w:right w:val="single" w:sz="4" w:space="0" w:color="auto"/>
            </w:tcBorders>
            <w:shd w:val="clear" w:color="auto" w:fill="auto"/>
            <w:noWrap/>
            <w:hideMark/>
          </w:tcPr>
          <w:p w14:paraId="1F38E129" w14:textId="6EEEC8B9" w:rsidR="00333B09" w:rsidRPr="00333B09" w:rsidRDefault="00DE4E59" w:rsidP="00DE4E59">
            <w:pPr>
              <w:pStyle w:val="Tabletext"/>
              <w:jc w:val="center"/>
              <w:rPr>
                <w:sz w:val="18"/>
                <w:szCs w:val="16"/>
                <w:lang w:val="es-ES"/>
              </w:rPr>
            </w:pPr>
            <w:r>
              <w:rPr>
                <w:sz w:val="18"/>
                <w:szCs w:val="16"/>
                <w:lang w:val="es-ES"/>
              </w:rPr>
              <w:t>–</w:t>
            </w:r>
          </w:p>
        </w:tc>
        <w:tc>
          <w:tcPr>
            <w:tcW w:w="588" w:type="dxa"/>
            <w:tcBorders>
              <w:top w:val="single" w:sz="4" w:space="0" w:color="auto"/>
              <w:left w:val="nil"/>
              <w:bottom w:val="single" w:sz="4" w:space="0" w:color="auto"/>
              <w:right w:val="single" w:sz="4" w:space="0" w:color="auto"/>
            </w:tcBorders>
            <w:shd w:val="clear" w:color="000000" w:fill="FFFFFF"/>
            <w:noWrap/>
            <w:hideMark/>
          </w:tcPr>
          <w:p w14:paraId="6422A0D5" w14:textId="77777777" w:rsidR="00333B09" w:rsidRPr="00333B09" w:rsidRDefault="00333B09" w:rsidP="00DE4E59">
            <w:pPr>
              <w:pStyle w:val="Tabletext"/>
              <w:jc w:val="center"/>
              <w:rPr>
                <w:sz w:val="18"/>
                <w:szCs w:val="16"/>
                <w:lang w:val="es-ES"/>
              </w:rPr>
            </w:pPr>
            <w:r w:rsidRPr="00333B09">
              <w:rPr>
                <w:sz w:val="18"/>
                <w:szCs w:val="16"/>
                <w:lang w:val="es-ES"/>
              </w:rPr>
              <w:t>109</w:t>
            </w:r>
          </w:p>
        </w:tc>
        <w:tc>
          <w:tcPr>
            <w:tcW w:w="581" w:type="dxa"/>
            <w:tcBorders>
              <w:top w:val="single" w:sz="4" w:space="0" w:color="auto"/>
              <w:left w:val="nil"/>
              <w:bottom w:val="single" w:sz="4" w:space="0" w:color="auto"/>
              <w:right w:val="nil"/>
            </w:tcBorders>
            <w:shd w:val="clear" w:color="000000" w:fill="FFFFFF"/>
            <w:noWrap/>
            <w:hideMark/>
          </w:tcPr>
          <w:p w14:paraId="1F80FB66" w14:textId="77777777" w:rsidR="00333B09" w:rsidRPr="00333B09" w:rsidRDefault="00333B09" w:rsidP="00DE4E59">
            <w:pPr>
              <w:pStyle w:val="Tabletext"/>
              <w:jc w:val="center"/>
              <w:rPr>
                <w:sz w:val="18"/>
                <w:szCs w:val="16"/>
                <w:lang w:val="es-ES"/>
              </w:rPr>
            </w:pPr>
            <w:r w:rsidRPr="00333B09">
              <w:rPr>
                <w:sz w:val="18"/>
                <w:szCs w:val="16"/>
                <w:lang w:val="es-ES"/>
              </w:rPr>
              <w:t>53</w:t>
            </w:r>
          </w:p>
        </w:tc>
        <w:tc>
          <w:tcPr>
            <w:tcW w:w="587" w:type="dxa"/>
            <w:tcBorders>
              <w:top w:val="single" w:sz="4" w:space="0" w:color="auto"/>
              <w:left w:val="single" w:sz="4" w:space="0" w:color="auto"/>
              <w:bottom w:val="single" w:sz="4" w:space="0" w:color="auto"/>
              <w:right w:val="nil"/>
            </w:tcBorders>
            <w:shd w:val="clear" w:color="000000" w:fill="FFFFFF"/>
            <w:noWrap/>
            <w:hideMark/>
          </w:tcPr>
          <w:p w14:paraId="323940BC" w14:textId="77777777" w:rsidR="00333B09" w:rsidRPr="00333B09" w:rsidRDefault="00333B09" w:rsidP="00DE4E59">
            <w:pPr>
              <w:pStyle w:val="Tabletext"/>
              <w:jc w:val="center"/>
              <w:rPr>
                <w:sz w:val="18"/>
                <w:szCs w:val="16"/>
                <w:lang w:val="es-ES"/>
              </w:rPr>
            </w:pPr>
            <w:r w:rsidRPr="00333B09">
              <w:rPr>
                <w:sz w:val="18"/>
                <w:szCs w:val="16"/>
                <w:lang w:val="es-ES"/>
              </w:rPr>
              <w:t>33</w:t>
            </w:r>
          </w:p>
        </w:tc>
        <w:tc>
          <w:tcPr>
            <w:tcW w:w="602" w:type="dxa"/>
            <w:tcBorders>
              <w:top w:val="single" w:sz="4" w:space="0" w:color="auto"/>
              <w:left w:val="single" w:sz="4" w:space="0" w:color="auto"/>
              <w:bottom w:val="single" w:sz="4" w:space="0" w:color="auto"/>
              <w:right w:val="nil"/>
            </w:tcBorders>
            <w:shd w:val="clear" w:color="000000" w:fill="FFFFFF"/>
            <w:noWrap/>
            <w:hideMark/>
          </w:tcPr>
          <w:p w14:paraId="59754D7A" w14:textId="77777777" w:rsidR="00333B09" w:rsidRPr="00333B09" w:rsidRDefault="00333B09" w:rsidP="00DE4E59">
            <w:pPr>
              <w:pStyle w:val="Tabletext"/>
              <w:jc w:val="center"/>
              <w:rPr>
                <w:sz w:val="18"/>
                <w:szCs w:val="16"/>
                <w:lang w:val="es-ES"/>
              </w:rPr>
            </w:pPr>
            <w:r w:rsidRPr="00333B09">
              <w:rPr>
                <w:sz w:val="18"/>
                <w:szCs w:val="16"/>
                <w:lang w:val="es-ES"/>
              </w:rPr>
              <w:t>16</w:t>
            </w:r>
          </w:p>
        </w:tc>
        <w:tc>
          <w:tcPr>
            <w:tcW w:w="588" w:type="dxa"/>
            <w:tcBorders>
              <w:top w:val="single" w:sz="4" w:space="0" w:color="auto"/>
              <w:left w:val="single" w:sz="4" w:space="0" w:color="auto"/>
              <w:bottom w:val="single" w:sz="4" w:space="0" w:color="auto"/>
              <w:right w:val="nil"/>
            </w:tcBorders>
            <w:shd w:val="clear" w:color="000000" w:fill="FFFFFF"/>
            <w:noWrap/>
            <w:hideMark/>
          </w:tcPr>
          <w:p w14:paraId="042A31B7" w14:textId="77777777" w:rsidR="00333B09" w:rsidRPr="00333B09" w:rsidRDefault="00333B09" w:rsidP="00DE4E59">
            <w:pPr>
              <w:pStyle w:val="Tabletext"/>
              <w:jc w:val="center"/>
              <w:rPr>
                <w:sz w:val="18"/>
                <w:szCs w:val="16"/>
                <w:lang w:val="es-ES"/>
              </w:rPr>
            </w:pPr>
            <w:r w:rsidRPr="00333B09">
              <w:rPr>
                <w:sz w:val="18"/>
                <w:szCs w:val="16"/>
                <w:lang w:val="es-ES"/>
              </w:rPr>
              <w:t>22</w:t>
            </w:r>
          </w:p>
        </w:tc>
        <w:tc>
          <w:tcPr>
            <w:tcW w:w="602" w:type="dxa"/>
            <w:tcBorders>
              <w:top w:val="single" w:sz="4" w:space="0" w:color="auto"/>
              <w:left w:val="single" w:sz="4" w:space="0" w:color="auto"/>
              <w:bottom w:val="single" w:sz="4" w:space="0" w:color="auto"/>
              <w:right w:val="nil"/>
            </w:tcBorders>
            <w:shd w:val="clear" w:color="000000" w:fill="FFFFFF"/>
            <w:noWrap/>
            <w:hideMark/>
          </w:tcPr>
          <w:p w14:paraId="61C1FEA3" w14:textId="77777777" w:rsidR="00333B09" w:rsidRPr="00333B09" w:rsidRDefault="00333B09" w:rsidP="00DE4E59">
            <w:pPr>
              <w:pStyle w:val="Tabletext"/>
              <w:jc w:val="center"/>
              <w:rPr>
                <w:sz w:val="18"/>
                <w:szCs w:val="16"/>
                <w:lang w:val="es-ES"/>
              </w:rPr>
            </w:pPr>
            <w:r w:rsidRPr="00333B09">
              <w:rPr>
                <w:sz w:val="18"/>
                <w:szCs w:val="16"/>
                <w:lang w:val="es-ES"/>
              </w:rPr>
              <w:t>14</w:t>
            </w:r>
          </w:p>
        </w:tc>
        <w:tc>
          <w:tcPr>
            <w:tcW w:w="602" w:type="dxa"/>
            <w:tcBorders>
              <w:top w:val="single" w:sz="4" w:space="0" w:color="auto"/>
              <w:left w:val="single" w:sz="4" w:space="0" w:color="auto"/>
              <w:bottom w:val="single" w:sz="4" w:space="0" w:color="auto"/>
              <w:right w:val="nil"/>
            </w:tcBorders>
            <w:shd w:val="clear" w:color="000000" w:fill="FFFFFF"/>
          </w:tcPr>
          <w:p w14:paraId="6A52A627" w14:textId="77777777" w:rsidR="00333B09" w:rsidRPr="00333B09" w:rsidRDefault="00333B09" w:rsidP="00DE4E59">
            <w:pPr>
              <w:pStyle w:val="Tabletext"/>
              <w:jc w:val="center"/>
              <w:rPr>
                <w:sz w:val="18"/>
                <w:szCs w:val="16"/>
                <w:lang w:val="es-ES"/>
              </w:rPr>
            </w:pPr>
            <w:r w:rsidRPr="00333B09">
              <w:rPr>
                <w:sz w:val="18"/>
                <w:szCs w:val="16"/>
                <w:lang w:val="es-ES"/>
              </w:rPr>
              <w:t>4</w:t>
            </w:r>
          </w:p>
        </w:tc>
        <w:tc>
          <w:tcPr>
            <w:tcW w:w="581" w:type="dxa"/>
            <w:tcBorders>
              <w:top w:val="single" w:sz="4" w:space="0" w:color="auto"/>
              <w:left w:val="single" w:sz="4" w:space="0" w:color="auto"/>
              <w:bottom w:val="single" w:sz="4" w:space="0" w:color="auto"/>
              <w:right w:val="single" w:sz="4" w:space="0" w:color="auto"/>
            </w:tcBorders>
            <w:shd w:val="clear" w:color="auto" w:fill="auto"/>
            <w:noWrap/>
          </w:tcPr>
          <w:p w14:paraId="7FBD186E" w14:textId="77777777" w:rsidR="00333B09" w:rsidRPr="00333B09" w:rsidRDefault="00333B09" w:rsidP="00DE4E59">
            <w:pPr>
              <w:pStyle w:val="Tabletext"/>
              <w:jc w:val="center"/>
              <w:rPr>
                <w:sz w:val="18"/>
                <w:szCs w:val="16"/>
                <w:lang w:val="es-ES"/>
              </w:rPr>
            </w:pPr>
            <w:r w:rsidRPr="00333B09">
              <w:rPr>
                <w:sz w:val="18"/>
                <w:szCs w:val="16"/>
                <w:lang w:val="es-ES"/>
              </w:rPr>
              <w:t>5</w:t>
            </w:r>
          </w:p>
        </w:tc>
        <w:tc>
          <w:tcPr>
            <w:tcW w:w="60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hideMark/>
          </w:tcPr>
          <w:p w14:paraId="145F343E" w14:textId="77777777" w:rsidR="00333B09" w:rsidRPr="00333B09" w:rsidRDefault="00333B09" w:rsidP="00DE4E59">
            <w:pPr>
              <w:pStyle w:val="Tabletext"/>
              <w:jc w:val="center"/>
              <w:rPr>
                <w:b/>
                <w:bCs/>
                <w:sz w:val="18"/>
                <w:szCs w:val="16"/>
                <w:lang w:val="es-ES"/>
              </w:rPr>
            </w:pPr>
            <w:r w:rsidRPr="00333B09">
              <w:rPr>
                <w:b/>
                <w:bCs/>
                <w:sz w:val="18"/>
                <w:szCs w:val="16"/>
                <w:lang w:val="es-ES"/>
              </w:rPr>
              <w:t>270</w:t>
            </w:r>
          </w:p>
        </w:tc>
      </w:tr>
      <w:tr w:rsidR="00DE4E59" w:rsidRPr="00333B09" w14:paraId="3D3A8F98" w14:textId="77777777" w:rsidTr="00DE4E59">
        <w:trPr>
          <w:jc w:val="center"/>
        </w:trPr>
        <w:tc>
          <w:tcPr>
            <w:tcW w:w="3128" w:type="dxa"/>
            <w:tcBorders>
              <w:top w:val="single" w:sz="4" w:space="0" w:color="auto"/>
              <w:left w:val="nil"/>
              <w:bottom w:val="single" w:sz="4" w:space="0" w:color="auto"/>
              <w:right w:val="nil"/>
            </w:tcBorders>
            <w:shd w:val="clear" w:color="auto" w:fill="auto"/>
            <w:noWrap/>
            <w:hideMark/>
          </w:tcPr>
          <w:p w14:paraId="49B3EDBE" w14:textId="77777777" w:rsidR="00333B09" w:rsidRPr="00333B09" w:rsidRDefault="00333B09" w:rsidP="00DE4E59">
            <w:pPr>
              <w:pStyle w:val="Tabletext"/>
              <w:rPr>
                <w:sz w:val="18"/>
                <w:szCs w:val="16"/>
                <w:lang w:val="es-ES"/>
              </w:rPr>
            </w:pPr>
          </w:p>
        </w:tc>
        <w:tc>
          <w:tcPr>
            <w:tcW w:w="574" w:type="dxa"/>
            <w:tcBorders>
              <w:top w:val="nil"/>
              <w:left w:val="nil"/>
              <w:bottom w:val="single" w:sz="4" w:space="0" w:color="auto"/>
              <w:right w:val="nil"/>
            </w:tcBorders>
            <w:shd w:val="clear" w:color="000000" w:fill="FFFFFF"/>
            <w:noWrap/>
            <w:hideMark/>
          </w:tcPr>
          <w:p w14:paraId="16B460A0" w14:textId="532AAE63" w:rsidR="00333B09" w:rsidRPr="00333B09" w:rsidRDefault="00333B09" w:rsidP="00DE4E59">
            <w:pPr>
              <w:pStyle w:val="Tabletext"/>
              <w:jc w:val="center"/>
              <w:rPr>
                <w:sz w:val="18"/>
                <w:szCs w:val="16"/>
                <w:lang w:val="es-ES"/>
              </w:rPr>
            </w:pPr>
          </w:p>
        </w:tc>
        <w:tc>
          <w:tcPr>
            <w:tcW w:w="588" w:type="dxa"/>
            <w:tcBorders>
              <w:top w:val="nil"/>
              <w:left w:val="nil"/>
              <w:bottom w:val="single" w:sz="4" w:space="0" w:color="auto"/>
              <w:right w:val="nil"/>
            </w:tcBorders>
            <w:shd w:val="clear" w:color="auto" w:fill="auto"/>
            <w:noWrap/>
            <w:hideMark/>
          </w:tcPr>
          <w:p w14:paraId="20EBA25C" w14:textId="77777777" w:rsidR="00333B09" w:rsidRPr="00333B09" w:rsidRDefault="00333B09" w:rsidP="00DE4E59">
            <w:pPr>
              <w:pStyle w:val="Tabletext"/>
              <w:jc w:val="center"/>
              <w:rPr>
                <w:sz w:val="18"/>
                <w:szCs w:val="16"/>
                <w:lang w:val="es-ES"/>
              </w:rPr>
            </w:pPr>
          </w:p>
        </w:tc>
        <w:tc>
          <w:tcPr>
            <w:tcW w:w="588" w:type="dxa"/>
            <w:tcBorders>
              <w:top w:val="nil"/>
              <w:left w:val="nil"/>
              <w:bottom w:val="single" w:sz="4" w:space="0" w:color="auto"/>
              <w:right w:val="nil"/>
            </w:tcBorders>
            <w:shd w:val="clear" w:color="000000" w:fill="FFFFFF"/>
            <w:noWrap/>
            <w:hideMark/>
          </w:tcPr>
          <w:p w14:paraId="0AC05ACC" w14:textId="2770FBAF" w:rsidR="00333B09" w:rsidRPr="00333B09" w:rsidRDefault="00333B09" w:rsidP="00DE4E59">
            <w:pPr>
              <w:pStyle w:val="Tabletext"/>
              <w:jc w:val="center"/>
              <w:rPr>
                <w:sz w:val="18"/>
                <w:szCs w:val="16"/>
                <w:lang w:val="es-ES"/>
              </w:rPr>
            </w:pPr>
          </w:p>
        </w:tc>
        <w:tc>
          <w:tcPr>
            <w:tcW w:w="581" w:type="dxa"/>
            <w:tcBorders>
              <w:top w:val="nil"/>
              <w:left w:val="nil"/>
              <w:bottom w:val="single" w:sz="4" w:space="0" w:color="auto"/>
              <w:right w:val="nil"/>
            </w:tcBorders>
            <w:shd w:val="clear" w:color="000000" w:fill="FFFFFF"/>
            <w:noWrap/>
            <w:hideMark/>
          </w:tcPr>
          <w:p w14:paraId="10680081" w14:textId="34743BBF" w:rsidR="00333B09" w:rsidRPr="00333B09" w:rsidRDefault="00333B09" w:rsidP="00DE4E59">
            <w:pPr>
              <w:pStyle w:val="Tabletext"/>
              <w:jc w:val="center"/>
              <w:rPr>
                <w:sz w:val="18"/>
                <w:szCs w:val="16"/>
                <w:lang w:val="es-ES"/>
              </w:rPr>
            </w:pPr>
          </w:p>
        </w:tc>
        <w:tc>
          <w:tcPr>
            <w:tcW w:w="587" w:type="dxa"/>
            <w:tcBorders>
              <w:top w:val="nil"/>
              <w:left w:val="nil"/>
              <w:bottom w:val="single" w:sz="4" w:space="0" w:color="auto"/>
              <w:right w:val="nil"/>
            </w:tcBorders>
            <w:shd w:val="clear" w:color="000000" w:fill="FFFFFF"/>
            <w:noWrap/>
            <w:hideMark/>
          </w:tcPr>
          <w:p w14:paraId="00E817C7" w14:textId="6A24D9B0" w:rsidR="00333B09" w:rsidRPr="00333B09" w:rsidRDefault="00333B09" w:rsidP="00DE4E59">
            <w:pPr>
              <w:pStyle w:val="Tabletext"/>
              <w:jc w:val="center"/>
              <w:rPr>
                <w:sz w:val="18"/>
                <w:szCs w:val="16"/>
                <w:lang w:val="es-ES"/>
              </w:rPr>
            </w:pPr>
          </w:p>
        </w:tc>
        <w:tc>
          <w:tcPr>
            <w:tcW w:w="602" w:type="dxa"/>
            <w:tcBorders>
              <w:top w:val="nil"/>
              <w:left w:val="nil"/>
              <w:bottom w:val="single" w:sz="4" w:space="0" w:color="auto"/>
              <w:right w:val="nil"/>
            </w:tcBorders>
            <w:shd w:val="clear" w:color="000000" w:fill="FFFFFF"/>
            <w:noWrap/>
            <w:hideMark/>
          </w:tcPr>
          <w:p w14:paraId="62E4E8A2" w14:textId="22C023D5" w:rsidR="00333B09" w:rsidRPr="00333B09" w:rsidRDefault="00333B09" w:rsidP="00DE4E59">
            <w:pPr>
              <w:pStyle w:val="Tabletext"/>
              <w:jc w:val="center"/>
              <w:rPr>
                <w:sz w:val="18"/>
                <w:szCs w:val="16"/>
                <w:lang w:val="es-ES"/>
              </w:rPr>
            </w:pPr>
          </w:p>
        </w:tc>
        <w:tc>
          <w:tcPr>
            <w:tcW w:w="588" w:type="dxa"/>
            <w:tcBorders>
              <w:top w:val="nil"/>
              <w:left w:val="nil"/>
              <w:bottom w:val="single" w:sz="4" w:space="0" w:color="auto"/>
              <w:right w:val="nil"/>
            </w:tcBorders>
            <w:shd w:val="clear" w:color="000000" w:fill="FFFFFF"/>
            <w:noWrap/>
            <w:hideMark/>
          </w:tcPr>
          <w:p w14:paraId="02BD89AA" w14:textId="402B75A0" w:rsidR="00333B09" w:rsidRPr="00333B09" w:rsidRDefault="00333B09" w:rsidP="00DE4E59">
            <w:pPr>
              <w:pStyle w:val="Tabletext"/>
              <w:jc w:val="center"/>
              <w:rPr>
                <w:sz w:val="18"/>
                <w:szCs w:val="16"/>
                <w:lang w:val="es-ES"/>
              </w:rPr>
            </w:pPr>
          </w:p>
        </w:tc>
        <w:tc>
          <w:tcPr>
            <w:tcW w:w="602" w:type="dxa"/>
            <w:tcBorders>
              <w:top w:val="nil"/>
              <w:left w:val="nil"/>
              <w:bottom w:val="single" w:sz="4" w:space="0" w:color="auto"/>
              <w:right w:val="nil"/>
            </w:tcBorders>
            <w:shd w:val="clear" w:color="000000" w:fill="FFFFFF"/>
            <w:noWrap/>
            <w:hideMark/>
          </w:tcPr>
          <w:p w14:paraId="3C56F289" w14:textId="5E4C4D65" w:rsidR="00333B09" w:rsidRPr="00333B09" w:rsidRDefault="00333B09" w:rsidP="00DE4E59">
            <w:pPr>
              <w:pStyle w:val="Tabletext"/>
              <w:jc w:val="center"/>
              <w:rPr>
                <w:sz w:val="18"/>
                <w:szCs w:val="16"/>
                <w:lang w:val="es-ES"/>
              </w:rPr>
            </w:pPr>
          </w:p>
        </w:tc>
        <w:tc>
          <w:tcPr>
            <w:tcW w:w="602" w:type="dxa"/>
            <w:tcBorders>
              <w:top w:val="nil"/>
              <w:left w:val="nil"/>
              <w:bottom w:val="single" w:sz="4" w:space="0" w:color="auto"/>
              <w:right w:val="nil"/>
            </w:tcBorders>
            <w:shd w:val="clear" w:color="000000" w:fill="FFFFFF"/>
          </w:tcPr>
          <w:p w14:paraId="6EA338F4" w14:textId="30420677" w:rsidR="00333B09" w:rsidRPr="00333B09" w:rsidRDefault="00333B09" w:rsidP="00DE4E59">
            <w:pPr>
              <w:pStyle w:val="Tabletext"/>
              <w:jc w:val="center"/>
              <w:rPr>
                <w:sz w:val="18"/>
                <w:szCs w:val="16"/>
                <w:lang w:val="es-ES"/>
              </w:rPr>
            </w:pPr>
          </w:p>
        </w:tc>
        <w:tc>
          <w:tcPr>
            <w:tcW w:w="581" w:type="dxa"/>
            <w:tcBorders>
              <w:top w:val="nil"/>
              <w:left w:val="nil"/>
              <w:bottom w:val="single" w:sz="4" w:space="0" w:color="auto"/>
              <w:right w:val="nil"/>
            </w:tcBorders>
            <w:shd w:val="clear" w:color="000000" w:fill="FFFFFF"/>
            <w:noWrap/>
          </w:tcPr>
          <w:p w14:paraId="06CCC88D" w14:textId="77777777" w:rsidR="00333B09" w:rsidRPr="00333B09" w:rsidRDefault="00333B09" w:rsidP="00DE4E59">
            <w:pPr>
              <w:pStyle w:val="Tabletext"/>
              <w:jc w:val="center"/>
              <w:rPr>
                <w:sz w:val="18"/>
                <w:szCs w:val="16"/>
                <w:lang w:val="es-ES"/>
              </w:rPr>
            </w:pPr>
          </w:p>
        </w:tc>
        <w:tc>
          <w:tcPr>
            <w:tcW w:w="605" w:type="dxa"/>
            <w:tcBorders>
              <w:top w:val="nil"/>
              <w:left w:val="nil"/>
              <w:bottom w:val="single" w:sz="4" w:space="0" w:color="auto"/>
              <w:right w:val="nil"/>
            </w:tcBorders>
            <w:shd w:val="clear" w:color="auto" w:fill="FFFFFF" w:themeFill="background1"/>
            <w:noWrap/>
            <w:hideMark/>
          </w:tcPr>
          <w:p w14:paraId="79368FE0" w14:textId="77777777" w:rsidR="00333B09" w:rsidRPr="00333B09" w:rsidRDefault="00333B09" w:rsidP="00DE4E59">
            <w:pPr>
              <w:pStyle w:val="Tabletext"/>
              <w:jc w:val="center"/>
              <w:rPr>
                <w:sz w:val="18"/>
                <w:szCs w:val="16"/>
                <w:lang w:val="es-ES"/>
              </w:rPr>
            </w:pPr>
          </w:p>
        </w:tc>
      </w:tr>
      <w:tr w:rsidR="00DE4E59" w:rsidRPr="00333B09" w14:paraId="6AD6855E" w14:textId="77777777" w:rsidTr="00DE4E59">
        <w:trPr>
          <w:jc w:val="center"/>
        </w:trPr>
        <w:tc>
          <w:tcPr>
            <w:tcW w:w="3128" w:type="dxa"/>
            <w:tcBorders>
              <w:top w:val="single" w:sz="4" w:space="0" w:color="auto"/>
              <w:left w:val="single" w:sz="4" w:space="0" w:color="auto"/>
              <w:bottom w:val="single" w:sz="4" w:space="0" w:color="auto"/>
              <w:right w:val="single" w:sz="4" w:space="0" w:color="auto"/>
            </w:tcBorders>
            <w:shd w:val="clear" w:color="auto" w:fill="auto"/>
            <w:noWrap/>
            <w:hideMark/>
          </w:tcPr>
          <w:p w14:paraId="0AA38094" w14:textId="77777777" w:rsidR="00333B09" w:rsidRPr="00333B09" w:rsidRDefault="00333B09" w:rsidP="00DE4E59">
            <w:pPr>
              <w:pStyle w:val="Tabletext"/>
              <w:rPr>
                <w:sz w:val="18"/>
                <w:szCs w:val="16"/>
                <w:lang w:val="es-ES"/>
              </w:rPr>
            </w:pPr>
            <w:r w:rsidRPr="00333B09">
              <w:rPr>
                <w:sz w:val="18"/>
                <w:szCs w:val="16"/>
                <w:lang w:val="es-ES"/>
              </w:rPr>
              <w:t>% de recomendaciones en preparación</w:t>
            </w:r>
          </w:p>
        </w:tc>
        <w:tc>
          <w:tcPr>
            <w:tcW w:w="574" w:type="dxa"/>
            <w:tcBorders>
              <w:top w:val="single" w:sz="4" w:space="0" w:color="auto"/>
              <w:left w:val="nil"/>
              <w:bottom w:val="single" w:sz="4" w:space="0" w:color="auto"/>
              <w:right w:val="single" w:sz="4" w:space="0" w:color="auto"/>
            </w:tcBorders>
            <w:shd w:val="clear" w:color="auto" w:fill="auto"/>
            <w:noWrap/>
            <w:hideMark/>
          </w:tcPr>
          <w:p w14:paraId="3D8876BF" w14:textId="2A417F6B" w:rsidR="00333B09" w:rsidRPr="00333B09" w:rsidRDefault="00333B09" w:rsidP="00DE4E59">
            <w:pPr>
              <w:pStyle w:val="Tabletext"/>
              <w:jc w:val="center"/>
              <w:rPr>
                <w:sz w:val="18"/>
                <w:szCs w:val="16"/>
                <w:lang w:val="es-ES"/>
              </w:rPr>
            </w:pPr>
            <w:r w:rsidRPr="00333B09">
              <w:rPr>
                <w:sz w:val="18"/>
                <w:szCs w:val="16"/>
                <w:lang w:val="es-ES"/>
              </w:rPr>
              <w:t>0%</w:t>
            </w:r>
          </w:p>
        </w:tc>
        <w:tc>
          <w:tcPr>
            <w:tcW w:w="588" w:type="dxa"/>
            <w:tcBorders>
              <w:top w:val="single" w:sz="4" w:space="0" w:color="auto"/>
              <w:left w:val="nil"/>
              <w:bottom w:val="single" w:sz="4" w:space="0" w:color="auto"/>
              <w:right w:val="single" w:sz="4" w:space="0" w:color="auto"/>
            </w:tcBorders>
            <w:shd w:val="clear" w:color="auto" w:fill="auto"/>
            <w:noWrap/>
            <w:hideMark/>
          </w:tcPr>
          <w:p w14:paraId="37405414" w14:textId="22CB7FDB" w:rsidR="00333B09" w:rsidRPr="00333B09" w:rsidRDefault="00DE4E59" w:rsidP="00DE4E59">
            <w:pPr>
              <w:pStyle w:val="Tabletext"/>
              <w:jc w:val="center"/>
              <w:rPr>
                <w:sz w:val="18"/>
                <w:szCs w:val="16"/>
                <w:lang w:val="es-ES"/>
              </w:rPr>
            </w:pPr>
            <w:r>
              <w:rPr>
                <w:sz w:val="18"/>
                <w:szCs w:val="16"/>
                <w:lang w:val="es-ES"/>
              </w:rPr>
              <w:t>–</w:t>
            </w:r>
          </w:p>
        </w:tc>
        <w:tc>
          <w:tcPr>
            <w:tcW w:w="588" w:type="dxa"/>
            <w:tcBorders>
              <w:top w:val="single" w:sz="4" w:space="0" w:color="auto"/>
              <w:left w:val="nil"/>
              <w:bottom w:val="single" w:sz="4" w:space="0" w:color="auto"/>
              <w:right w:val="single" w:sz="4" w:space="0" w:color="auto"/>
            </w:tcBorders>
            <w:shd w:val="clear" w:color="auto" w:fill="auto"/>
            <w:noWrap/>
            <w:hideMark/>
          </w:tcPr>
          <w:p w14:paraId="39E6632D" w14:textId="34F15B1F" w:rsidR="00333B09" w:rsidRPr="00333B09" w:rsidRDefault="00333B09" w:rsidP="00DE4E59">
            <w:pPr>
              <w:pStyle w:val="Tabletext"/>
              <w:jc w:val="center"/>
              <w:rPr>
                <w:sz w:val="18"/>
                <w:szCs w:val="16"/>
                <w:lang w:val="es-ES"/>
              </w:rPr>
            </w:pPr>
            <w:r w:rsidRPr="00333B09">
              <w:rPr>
                <w:sz w:val="18"/>
                <w:szCs w:val="16"/>
                <w:lang w:val="es-ES"/>
              </w:rPr>
              <w:t>4%</w:t>
            </w:r>
          </w:p>
        </w:tc>
        <w:tc>
          <w:tcPr>
            <w:tcW w:w="581" w:type="dxa"/>
            <w:tcBorders>
              <w:top w:val="single" w:sz="4" w:space="0" w:color="auto"/>
              <w:left w:val="nil"/>
              <w:bottom w:val="single" w:sz="4" w:space="0" w:color="auto"/>
              <w:right w:val="single" w:sz="4" w:space="0" w:color="auto"/>
            </w:tcBorders>
            <w:shd w:val="clear" w:color="auto" w:fill="auto"/>
            <w:noWrap/>
            <w:hideMark/>
          </w:tcPr>
          <w:p w14:paraId="56777C01" w14:textId="6D280FC1" w:rsidR="00333B09" w:rsidRPr="00333B09" w:rsidRDefault="00333B09" w:rsidP="00DE4E59">
            <w:pPr>
              <w:pStyle w:val="Tabletext"/>
              <w:jc w:val="center"/>
              <w:rPr>
                <w:sz w:val="18"/>
                <w:szCs w:val="16"/>
                <w:lang w:val="es-ES"/>
              </w:rPr>
            </w:pPr>
            <w:r w:rsidRPr="00333B09">
              <w:rPr>
                <w:sz w:val="18"/>
                <w:szCs w:val="16"/>
                <w:lang w:val="es-ES"/>
              </w:rPr>
              <w:t>4%</w:t>
            </w:r>
          </w:p>
        </w:tc>
        <w:tc>
          <w:tcPr>
            <w:tcW w:w="587" w:type="dxa"/>
            <w:tcBorders>
              <w:top w:val="single" w:sz="4" w:space="0" w:color="auto"/>
              <w:left w:val="nil"/>
              <w:bottom w:val="single" w:sz="4" w:space="0" w:color="auto"/>
              <w:right w:val="single" w:sz="4" w:space="0" w:color="auto"/>
            </w:tcBorders>
            <w:shd w:val="clear" w:color="auto" w:fill="auto"/>
            <w:noWrap/>
            <w:hideMark/>
          </w:tcPr>
          <w:p w14:paraId="40DD1738" w14:textId="6DD05A60" w:rsidR="00333B09" w:rsidRPr="00333B09" w:rsidRDefault="00333B09" w:rsidP="00DE4E59">
            <w:pPr>
              <w:pStyle w:val="Tabletext"/>
              <w:jc w:val="center"/>
              <w:rPr>
                <w:sz w:val="18"/>
                <w:szCs w:val="16"/>
                <w:lang w:val="es-ES"/>
              </w:rPr>
            </w:pPr>
            <w:r w:rsidRPr="00333B09">
              <w:rPr>
                <w:sz w:val="18"/>
                <w:szCs w:val="16"/>
                <w:lang w:val="es-ES"/>
              </w:rPr>
              <w:t>3%</w:t>
            </w:r>
          </w:p>
        </w:tc>
        <w:tc>
          <w:tcPr>
            <w:tcW w:w="602" w:type="dxa"/>
            <w:tcBorders>
              <w:top w:val="single" w:sz="4" w:space="0" w:color="auto"/>
              <w:left w:val="nil"/>
              <w:bottom w:val="single" w:sz="4" w:space="0" w:color="auto"/>
              <w:right w:val="single" w:sz="4" w:space="0" w:color="auto"/>
            </w:tcBorders>
            <w:shd w:val="clear" w:color="auto" w:fill="auto"/>
            <w:noWrap/>
            <w:hideMark/>
          </w:tcPr>
          <w:p w14:paraId="7CD0858C" w14:textId="6A94E98B" w:rsidR="00333B09" w:rsidRPr="00333B09" w:rsidRDefault="00333B09" w:rsidP="00DE4E59">
            <w:pPr>
              <w:pStyle w:val="Tabletext"/>
              <w:jc w:val="center"/>
              <w:rPr>
                <w:sz w:val="18"/>
                <w:szCs w:val="16"/>
                <w:lang w:val="es-ES"/>
              </w:rPr>
            </w:pPr>
            <w:r w:rsidRPr="00333B09">
              <w:rPr>
                <w:sz w:val="18"/>
                <w:szCs w:val="16"/>
                <w:lang w:val="es-ES"/>
              </w:rPr>
              <w:t>27%</w:t>
            </w:r>
          </w:p>
        </w:tc>
        <w:tc>
          <w:tcPr>
            <w:tcW w:w="588" w:type="dxa"/>
            <w:tcBorders>
              <w:top w:val="single" w:sz="4" w:space="0" w:color="auto"/>
              <w:left w:val="nil"/>
              <w:bottom w:val="single" w:sz="4" w:space="0" w:color="auto"/>
              <w:right w:val="nil"/>
            </w:tcBorders>
            <w:shd w:val="clear" w:color="auto" w:fill="auto"/>
            <w:noWrap/>
            <w:hideMark/>
          </w:tcPr>
          <w:p w14:paraId="66A053A1" w14:textId="7B1187D5" w:rsidR="00333B09" w:rsidRPr="00333B09" w:rsidRDefault="00333B09" w:rsidP="00DE4E59">
            <w:pPr>
              <w:pStyle w:val="Tabletext"/>
              <w:jc w:val="center"/>
              <w:rPr>
                <w:sz w:val="18"/>
                <w:szCs w:val="16"/>
                <w:lang w:val="es-ES"/>
              </w:rPr>
            </w:pPr>
            <w:r w:rsidRPr="00333B09">
              <w:rPr>
                <w:sz w:val="18"/>
                <w:szCs w:val="16"/>
                <w:lang w:val="es-ES"/>
              </w:rPr>
              <w:t>27%</w:t>
            </w:r>
          </w:p>
        </w:tc>
        <w:tc>
          <w:tcPr>
            <w:tcW w:w="602" w:type="dxa"/>
            <w:tcBorders>
              <w:top w:val="single" w:sz="4" w:space="0" w:color="auto"/>
              <w:left w:val="single" w:sz="4" w:space="0" w:color="auto"/>
              <w:bottom w:val="single" w:sz="4" w:space="0" w:color="auto"/>
              <w:right w:val="nil"/>
            </w:tcBorders>
            <w:shd w:val="clear" w:color="auto" w:fill="auto"/>
            <w:noWrap/>
            <w:hideMark/>
          </w:tcPr>
          <w:p w14:paraId="2FB5266C" w14:textId="77FE8A6E" w:rsidR="00333B09" w:rsidRPr="00333B09" w:rsidRDefault="00333B09" w:rsidP="00DE4E59">
            <w:pPr>
              <w:pStyle w:val="Tabletext"/>
              <w:jc w:val="center"/>
              <w:rPr>
                <w:sz w:val="18"/>
                <w:szCs w:val="16"/>
                <w:lang w:val="es-ES"/>
              </w:rPr>
            </w:pPr>
            <w:r w:rsidRPr="00333B09">
              <w:rPr>
                <w:sz w:val="18"/>
                <w:szCs w:val="16"/>
                <w:lang w:val="es-ES"/>
              </w:rPr>
              <w:t>46%</w:t>
            </w:r>
          </w:p>
        </w:tc>
        <w:tc>
          <w:tcPr>
            <w:tcW w:w="602" w:type="dxa"/>
            <w:tcBorders>
              <w:top w:val="single" w:sz="4" w:space="0" w:color="auto"/>
              <w:left w:val="single" w:sz="4" w:space="0" w:color="auto"/>
              <w:bottom w:val="single" w:sz="4" w:space="0" w:color="auto"/>
              <w:right w:val="nil"/>
            </w:tcBorders>
            <w:shd w:val="clear" w:color="auto" w:fill="auto"/>
          </w:tcPr>
          <w:p w14:paraId="538FDC64" w14:textId="7D386819" w:rsidR="00333B09" w:rsidRPr="00333B09" w:rsidRDefault="00333B09" w:rsidP="00DE4E59">
            <w:pPr>
              <w:pStyle w:val="Tabletext"/>
              <w:jc w:val="center"/>
              <w:rPr>
                <w:sz w:val="18"/>
                <w:szCs w:val="16"/>
                <w:lang w:val="es-ES"/>
              </w:rPr>
            </w:pPr>
            <w:r w:rsidRPr="00333B09">
              <w:rPr>
                <w:sz w:val="18"/>
                <w:szCs w:val="16"/>
                <w:lang w:val="es-ES"/>
              </w:rPr>
              <w:t>73%</w:t>
            </w:r>
          </w:p>
        </w:tc>
        <w:tc>
          <w:tcPr>
            <w:tcW w:w="581" w:type="dxa"/>
            <w:tcBorders>
              <w:top w:val="single" w:sz="4" w:space="0" w:color="auto"/>
              <w:left w:val="single" w:sz="4" w:space="0" w:color="auto"/>
              <w:bottom w:val="single" w:sz="4" w:space="0" w:color="auto"/>
              <w:right w:val="single" w:sz="4" w:space="0" w:color="auto"/>
            </w:tcBorders>
            <w:noWrap/>
          </w:tcPr>
          <w:p w14:paraId="5106DC64" w14:textId="0D1F1A16" w:rsidR="00333B09" w:rsidRPr="00333B09" w:rsidRDefault="00333B09" w:rsidP="00DE4E59">
            <w:pPr>
              <w:pStyle w:val="Tabletext"/>
              <w:jc w:val="center"/>
              <w:rPr>
                <w:sz w:val="18"/>
                <w:szCs w:val="16"/>
                <w:lang w:val="es-ES"/>
              </w:rPr>
            </w:pPr>
            <w:r w:rsidRPr="00333B09">
              <w:rPr>
                <w:sz w:val="18"/>
                <w:szCs w:val="16"/>
                <w:lang w:val="es-ES"/>
              </w:rPr>
              <w:t>44%</w:t>
            </w:r>
          </w:p>
        </w:tc>
        <w:tc>
          <w:tcPr>
            <w:tcW w:w="60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hideMark/>
          </w:tcPr>
          <w:p w14:paraId="0F41D008" w14:textId="4ACBF266" w:rsidR="00333B09" w:rsidRPr="00333B09" w:rsidRDefault="00333B09" w:rsidP="00DE4E59">
            <w:pPr>
              <w:pStyle w:val="Tabletext"/>
              <w:jc w:val="center"/>
              <w:rPr>
                <w:b/>
                <w:bCs/>
                <w:sz w:val="18"/>
                <w:szCs w:val="16"/>
                <w:lang w:val="es-ES"/>
              </w:rPr>
            </w:pPr>
            <w:r w:rsidRPr="00333B09">
              <w:rPr>
                <w:b/>
                <w:bCs/>
                <w:sz w:val="18"/>
                <w:szCs w:val="16"/>
                <w:lang w:val="es-ES"/>
              </w:rPr>
              <w:t>15%</w:t>
            </w:r>
          </w:p>
        </w:tc>
      </w:tr>
      <w:tr w:rsidR="00DE4E59" w:rsidRPr="00333B09" w14:paraId="0CD276C6" w14:textId="77777777" w:rsidTr="00DE4E59">
        <w:trPr>
          <w:jc w:val="center"/>
        </w:trPr>
        <w:tc>
          <w:tcPr>
            <w:tcW w:w="3128" w:type="dxa"/>
            <w:tcBorders>
              <w:top w:val="single" w:sz="4" w:space="0" w:color="auto"/>
              <w:left w:val="single" w:sz="4" w:space="0" w:color="auto"/>
              <w:bottom w:val="single" w:sz="4" w:space="0" w:color="auto"/>
              <w:right w:val="single" w:sz="4" w:space="0" w:color="auto"/>
            </w:tcBorders>
            <w:shd w:val="clear" w:color="auto" w:fill="auto"/>
            <w:noWrap/>
            <w:hideMark/>
          </w:tcPr>
          <w:p w14:paraId="42C74569" w14:textId="77777777" w:rsidR="00333B09" w:rsidRPr="00333B09" w:rsidRDefault="00333B09" w:rsidP="00DE4E59">
            <w:pPr>
              <w:pStyle w:val="Tabletext"/>
              <w:rPr>
                <w:sz w:val="18"/>
                <w:szCs w:val="16"/>
                <w:lang w:val="es-ES"/>
              </w:rPr>
            </w:pPr>
            <w:r w:rsidRPr="00333B09">
              <w:rPr>
                <w:sz w:val="18"/>
                <w:szCs w:val="16"/>
                <w:lang w:val="es-ES"/>
              </w:rPr>
              <w:t>% de recomendaciones retrasadas</w:t>
            </w:r>
          </w:p>
        </w:tc>
        <w:tc>
          <w:tcPr>
            <w:tcW w:w="574" w:type="dxa"/>
            <w:tcBorders>
              <w:top w:val="single" w:sz="4" w:space="0" w:color="auto"/>
              <w:left w:val="nil"/>
              <w:bottom w:val="single" w:sz="4" w:space="0" w:color="auto"/>
              <w:right w:val="single" w:sz="4" w:space="0" w:color="auto"/>
            </w:tcBorders>
            <w:shd w:val="clear" w:color="auto" w:fill="auto"/>
            <w:noWrap/>
            <w:hideMark/>
          </w:tcPr>
          <w:p w14:paraId="71BE9419" w14:textId="4BB27EE6" w:rsidR="00333B09" w:rsidRPr="00333B09" w:rsidRDefault="00333B09" w:rsidP="00DE4E59">
            <w:pPr>
              <w:pStyle w:val="Tabletext"/>
              <w:jc w:val="center"/>
              <w:rPr>
                <w:sz w:val="18"/>
                <w:szCs w:val="18"/>
                <w:lang w:val="es-ES"/>
              </w:rPr>
            </w:pPr>
            <w:r w:rsidRPr="00333B09">
              <w:rPr>
                <w:sz w:val="18"/>
                <w:szCs w:val="18"/>
                <w:lang w:val="es-ES"/>
              </w:rPr>
              <w:t>18%</w:t>
            </w:r>
          </w:p>
        </w:tc>
        <w:tc>
          <w:tcPr>
            <w:tcW w:w="588" w:type="dxa"/>
            <w:tcBorders>
              <w:top w:val="single" w:sz="4" w:space="0" w:color="auto"/>
              <w:left w:val="nil"/>
              <w:bottom w:val="single" w:sz="4" w:space="0" w:color="auto"/>
              <w:right w:val="single" w:sz="4" w:space="0" w:color="auto"/>
            </w:tcBorders>
            <w:shd w:val="clear" w:color="auto" w:fill="auto"/>
            <w:noWrap/>
            <w:hideMark/>
          </w:tcPr>
          <w:p w14:paraId="374483CF" w14:textId="0EBB42AC" w:rsidR="00333B09" w:rsidRPr="00333B09" w:rsidRDefault="00DE4E59" w:rsidP="00DE4E59">
            <w:pPr>
              <w:pStyle w:val="Tabletext"/>
              <w:jc w:val="center"/>
              <w:rPr>
                <w:sz w:val="18"/>
                <w:szCs w:val="18"/>
                <w:lang w:val="es-ES"/>
              </w:rPr>
            </w:pPr>
            <w:r>
              <w:rPr>
                <w:sz w:val="18"/>
                <w:szCs w:val="16"/>
                <w:lang w:val="es-ES"/>
              </w:rPr>
              <w:t>–</w:t>
            </w:r>
          </w:p>
        </w:tc>
        <w:tc>
          <w:tcPr>
            <w:tcW w:w="588" w:type="dxa"/>
            <w:tcBorders>
              <w:top w:val="single" w:sz="4" w:space="0" w:color="auto"/>
              <w:left w:val="nil"/>
              <w:bottom w:val="single" w:sz="4" w:space="0" w:color="auto"/>
              <w:right w:val="single" w:sz="4" w:space="0" w:color="auto"/>
            </w:tcBorders>
            <w:shd w:val="clear" w:color="000000" w:fill="FFFFFF"/>
            <w:noWrap/>
            <w:hideMark/>
          </w:tcPr>
          <w:p w14:paraId="5A81786F" w14:textId="19BB0809" w:rsidR="00333B09" w:rsidRPr="00333B09" w:rsidRDefault="00333B09" w:rsidP="00DE4E59">
            <w:pPr>
              <w:pStyle w:val="Tabletext"/>
              <w:jc w:val="center"/>
              <w:rPr>
                <w:sz w:val="18"/>
                <w:szCs w:val="18"/>
                <w:lang w:val="es-ES"/>
              </w:rPr>
            </w:pPr>
            <w:r w:rsidRPr="00333B09">
              <w:rPr>
                <w:sz w:val="18"/>
                <w:szCs w:val="18"/>
                <w:lang w:val="es-ES"/>
              </w:rPr>
              <w:t>0%</w:t>
            </w:r>
          </w:p>
        </w:tc>
        <w:tc>
          <w:tcPr>
            <w:tcW w:w="581" w:type="dxa"/>
            <w:tcBorders>
              <w:top w:val="single" w:sz="4" w:space="0" w:color="auto"/>
              <w:left w:val="nil"/>
              <w:bottom w:val="single" w:sz="4" w:space="0" w:color="auto"/>
              <w:right w:val="single" w:sz="4" w:space="0" w:color="auto"/>
            </w:tcBorders>
            <w:shd w:val="clear" w:color="000000" w:fill="FFFFFF"/>
            <w:noWrap/>
            <w:hideMark/>
          </w:tcPr>
          <w:p w14:paraId="33F62B2B" w14:textId="373009E0" w:rsidR="00333B09" w:rsidRPr="00333B09" w:rsidRDefault="00333B09" w:rsidP="00DE4E59">
            <w:pPr>
              <w:pStyle w:val="Tabletext"/>
              <w:jc w:val="center"/>
              <w:rPr>
                <w:sz w:val="18"/>
                <w:szCs w:val="18"/>
                <w:lang w:val="es-ES"/>
              </w:rPr>
            </w:pPr>
            <w:r w:rsidRPr="00333B09">
              <w:rPr>
                <w:sz w:val="18"/>
                <w:szCs w:val="18"/>
                <w:lang w:val="es-ES"/>
              </w:rPr>
              <w:t>0%</w:t>
            </w:r>
          </w:p>
        </w:tc>
        <w:tc>
          <w:tcPr>
            <w:tcW w:w="587" w:type="dxa"/>
            <w:tcBorders>
              <w:top w:val="single" w:sz="4" w:space="0" w:color="auto"/>
              <w:left w:val="nil"/>
              <w:bottom w:val="single" w:sz="4" w:space="0" w:color="auto"/>
              <w:right w:val="single" w:sz="4" w:space="0" w:color="auto"/>
            </w:tcBorders>
            <w:shd w:val="clear" w:color="auto" w:fill="auto"/>
            <w:noWrap/>
            <w:hideMark/>
          </w:tcPr>
          <w:p w14:paraId="05E2D93B" w14:textId="48F7B097" w:rsidR="00333B09" w:rsidRPr="00333B09" w:rsidRDefault="00333B09" w:rsidP="00DE4E59">
            <w:pPr>
              <w:pStyle w:val="Tabletext"/>
              <w:jc w:val="center"/>
              <w:rPr>
                <w:sz w:val="18"/>
                <w:szCs w:val="18"/>
                <w:lang w:val="es-ES"/>
              </w:rPr>
            </w:pPr>
            <w:r w:rsidRPr="00333B09">
              <w:rPr>
                <w:sz w:val="18"/>
                <w:szCs w:val="18"/>
                <w:lang w:val="es-ES"/>
              </w:rPr>
              <w:t>0%</w:t>
            </w:r>
          </w:p>
        </w:tc>
        <w:tc>
          <w:tcPr>
            <w:tcW w:w="602" w:type="dxa"/>
            <w:tcBorders>
              <w:top w:val="single" w:sz="4" w:space="0" w:color="auto"/>
              <w:left w:val="nil"/>
              <w:bottom w:val="single" w:sz="4" w:space="0" w:color="auto"/>
              <w:right w:val="single" w:sz="4" w:space="0" w:color="auto"/>
            </w:tcBorders>
            <w:shd w:val="clear" w:color="auto" w:fill="auto"/>
            <w:noWrap/>
            <w:hideMark/>
          </w:tcPr>
          <w:p w14:paraId="6AB46048" w14:textId="613E5F01" w:rsidR="00333B09" w:rsidRPr="00333B09" w:rsidRDefault="00333B09" w:rsidP="00DE4E59">
            <w:pPr>
              <w:pStyle w:val="Tabletext"/>
              <w:jc w:val="center"/>
              <w:rPr>
                <w:sz w:val="18"/>
                <w:szCs w:val="18"/>
                <w:lang w:val="es-ES"/>
              </w:rPr>
            </w:pPr>
            <w:r w:rsidRPr="00333B09">
              <w:rPr>
                <w:sz w:val="18"/>
                <w:szCs w:val="18"/>
                <w:lang w:val="es-ES"/>
              </w:rPr>
              <w:t>0%</w:t>
            </w:r>
          </w:p>
        </w:tc>
        <w:tc>
          <w:tcPr>
            <w:tcW w:w="588" w:type="dxa"/>
            <w:tcBorders>
              <w:top w:val="single" w:sz="4" w:space="0" w:color="auto"/>
              <w:left w:val="nil"/>
              <w:bottom w:val="single" w:sz="4" w:space="0" w:color="auto"/>
              <w:right w:val="nil"/>
            </w:tcBorders>
            <w:shd w:val="clear" w:color="auto" w:fill="auto"/>
            <w:noWrap/>
            <w:hideMark/>
          </w:tcPr>
          <w:p w14:paraId="24DE9EAC" w14:textId="30CF9483" w:rsidR="00333B09" w:rsidRPr="00333B09" w:rsidRDefault="00333B09" w:rsidP="00DE4E59">
            <w:pPr>
              <w:pStyle w:val="Tabletext"/>
              <w:jc w:val="center"/>
              <w:rPr>
                <w:sz w:val="18"/>
                <w:szCs w:val="18"/>
                <w:lang w:val="es-ES"/>
              </w:rPr>
            </w:pPr>
            <w:r w:rsidRPr="00333B09">
              <w:rPr>
                <w:sz w:val="18"/>
                <w:szCs w:val="18"/>
                <w:lang w:val="es-ES"/>
              </w:rPr>
              <w:t>0%</w:t>
            </w:r>
          </w:p>
        </w:tc>
        <w:tc>
          <w:tcPr>
            <w:tcW w:w="602" w:type="dxa"/>
            <w:tcBorders>
              <w:top w:val="single" w:sz="4" w:space="0" w:color="auto"/>
              <w:left w:val="single" w:sz="4" w:space="0" w:color="auto"/>
              <w:bottom w:val="single" w:sz="4" w:space="0" w:color="auto"/>
              <w:right w:val="nil"/>
            </w:tcBorders>
            <w:shd w:val="clear" w:color="auto" w:fill="auto"/>
            <w:noWrap/>
            <w:hideMark/>
          </w:tcPr>
          <w:p w14:paraId="0B79F146" w14:textId="268135B1" w:rsidR="00333B09" w:rsidRPr="00333B09" w:rsidRDefault="00333B09" w:rsidP="00DE4E59">
            <w:pPr>
              <w:pStyle w:val="Tabletext"/>
              <w:jc w:val="center"/>
              <w:rPr>
                <w:sz w:val="18"/>
                <w:szCs w:val="18"/>
                <w:lang w:val="es-ES"/>
              </w:rPr>
            </w:pPr>
            <w:r w:rsidRPr="00333B09">
              <w:rPr>
                <w:sz w:val="18"/>
                <w:szCs w:val="18"/>
                <w:lang w:val="es-ES"/>
              </w:rPr>
              <w:t>0%</w:t>
            </w:r>
          </w:p>
        </w:tc>
        <w:tc>
          <w:tcPr>
            <w:tcW w:w="602" w:type="dxa"/>
            <w:tcBorders>
              <w:top w:val="single" w:sz="4" w:space="0" w:color="auto"/>
              <w:left w:val="single" w:sz="4" w:space="0" w:color="auto"/>
              <w:bottom w:val="single" w:sz="4" w:space="0" w:color="auto"/>
              <w:right w:val="nil"/>
            </w:tcBorders>
            <w:shd w:val="clear" w:color="auto" w:fill="auto"/>
          </w:tcPr>
          <w:p w14:paraId="6029B42A" w14:textId="45F58172" w:rsidR="00333B09" w:rsidRPr="00333B09" w:rsidRDefault="00333B09" w:rsidP="00DE4E59">
            <w:pPr>
              <w:pStyle w:val="Tabletext"/>
              <w:jc w:val="center"/>
              <w:rPr>
                <w:sz w:val="18"/>
                <w:szCs w:val="18"/>
                <w:lang w:val="es-ES"/>
              </w:rPr>
            </w:pPr>
            <w:r w:rsidRPr="00333B09">
              <w:rPr>
                <w:sz w:val="18"/>
                <w:szCs w:val="18"/>
                <w:lang w:val="es-ES"/>
              </w:rPr>
              <w:t>0%</w:t>
            </w:r>
          </w:p>
        </w:tc>
        <w:tc>
          <w:tcPr>
            <w:tcW w:w="581" w:type="dxa"/>
            <w:tcBorders>
              <w:top w:val="single" w:sz="4" w:space="0" w:color="auto"/>
              <w:left w:val="single" w:sz="4" w:space="0" w:color="auto"/>
              <w:bottom w:val="single" w:sz="4" w:space="0" w:color="auto"/>
              <w:right w:val="single" w:sz="4" w:space="0" w:color="auto"/>
            </w:tcBorders>
            <w:noWrap/>
          </w:tcPr>
          <w:p w14:paraId="3AF18FC4" w14:textId="7673CA74" w:rsidR="00333B09" w:rsidRPr="00333B09" w:rsidRDefault="00333B09" w:rsidP="00DE4E59">
            <w:pPr>
              <w:pStyle w:val="Tabletext"/>
              <w:jc w:val="center"/>
              <w:rPr>
                <w:sz w:val="18"/>
                <w:szCs w:val="18"/>
                <w:lang w:val="es-ES"/>
              </w:rPr>
            </w:pPr>
            <w:r w:rsidRPr="00333B09">
              <w:rPr>
                <w:sz w:val="18"/>
                <w:szCs w:val="18"/>
                <w:lang w:val="es-ES"/>
              </w:rPr>
              <w:t>0%</w:t>
            </w:r>
          </w:p>
        </w:tc>
        <w:tc>
          <w:tcPr>
            <w:tcW w:w="60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hideMark/>
          </w:tcPr>
          <w:p w14:paraId="60252A3E" w14:textId="0479E344" w:rsidR="00333B09" w:rsidRPr="00333B09" w:rsidRDefault="00333B09" w:rsidP="00DE4E59">
            <w:pPr>
              <w:pStyle w:val="Tabletext"/>
              <w:jc w:val="center"/>
              <w:rPr>
                <w:b/>
                <w:bCs/>
                <w:sz w:val="18"/>
                <w:szCs w:val="18"/>
                <w:lang w:val="es-ES"/>
              </w:rPr>
            </w:pPr>
            <w:r w:rsidRPr="00333B09">
              <w:rPr>
                <w:b/>
                <w:bCs/>
                <w:sz w:val="18"/>
                <w:szCs w:val="18"/>
                <w:lang w:val="es-ES"/>
              </w:rPr>
              <w:t>1%</w:t>
            </w:r>
          </w:p>
        </w:tc>
      </w:tr>
      <w:tr w:rsidR="00DE4E59" w:rsidRPr="00333B09" w14:paraId="576226C1" w14:textId="77777777" w:rsidTr="00DE4E59">
        <w:trPr>
          <w:jc w:val="center"/>
        </w:trPr>
        <w:tc>
          <w:tcPr>
            <w:tcW w:w="3128" w:type="dxa"/>
            <w:tcBorders>
              <w:top w:val="single" w:sz="4" w:space="0" w:color="auto"/>
              <w:left w:val="single" w:sz="4" w:space="0" w:color="auto"/>
              <w:bottom w:val="single" w:sz="4" w:space="0" w:color="auto"/>
              <w:right w:val="single" w:sz="4" w:space="0" w:color="auto"/>
            </w:tcBorders>
            <w:shd w:val="clear" w:color="auto" w:fill="auto"/>
            <w:noWrap/>
            <w:hideMark/>
          </w:tcPr>
          <w:p w14:paraId="01235324" w14:textId="77777777" w:rsidR="00333B09" w:rsidRPr="00333B09" w:rsidRDefault="00333B09" w:rsidP="00DE4E59">
            <w:pPr>
              <w:pStyle w:val="Tabletext"/>
              <w:rPr>
                <w:sz w:val="18"/>
                <w:szCs w:val="18"/>
                <w:lang w:val="es-ES"/>
              </w:rPr>
            </w:pPr>
            <w:r w:rsidRPr="00333B09">
              <w:rPr>
                <w:sz w:val="18"/>
                <w:szCs w:val="18"/>
                <w:lang w:val="es-ES"/>
              </w:rPr>
              <w:t>% de recomendaciones cerradas</w:t>
            </w:r>
          </w:p>
        </w:tc>
        <w:tc>
          <w:tcPr>
            <w:tcW w:w="574" w:type="dxa"/>
            <w:tcBorders>
              <w:top w:val="single" w:sz="4" w:space="0" w:color="auto"/>
              <w:left w:val="nil"/>
              <w:bottom w:val="single" w:sz="4" w:space="0" w:color="auto"/>
              <w:right w:val="single" w:sz="4" w:space="0" w:color="auto"/>
            </w:tcBorders>
            <w:shd w:val="clear" w:color="auto" w:fill="auto"/>
            <w:noWrap/>
            <w:hideMark/>
          </w:tcPr>
          <w:p w14:paraId="43392AF3" w14:textId="1FE5DA95" w:rsidR="00333B09" w:rsidRPr="00333B09" w:rsidRDefault="00333B09" w:rsidP="00DE4E59">
            <w:pPr>
              <w:pStyle w:val="Tabletext"/>
              <w:jc w:val="center"/>
              <w:rPr>
                <w:sz w:val="18"/>
                <w:szCs w:val="18"/>
                <w:lang w:val="es-ES"/>
              </w:rPr>
            </w:pPr>
            <w:r w:rsidRPr="00333B09">
              <w:rPr>
                <w:sz w:val="18"/>
                <w:szCs w:val="18"/>
                <w:lang w:val="es-ES"/>
              </w:rPr>
              <w:t>82%</w:t>
            </w:r>
          </w:p>
        </w:tc>
        <w:tc>
          <w:tcPr>
            <w:tcW w:w="588" w:type="dxa"/>
            <w:tcBorders>
              <w:top w:val="single" w:sz="4" w:space="0" w:color="auto"/>
              <w:left w:val="nil"/>
              <w:bottom w:val="single" w:sz="4" w:space="0" w:color="auto"/>
              <w:right w:val="single" w:sz="4" w:space="0" w:color="auto"/>
            </w:tcBorders>
            <w:shd w:val="clear" w:color="auto" w:fill="auto"/>
            <w:noWrap/>
            <w:hideMark/>
          </w:tcPr>
          <w:p w14:paraId="03317FD4" w14:textId="4D7990BD" w:rsidR="00333B09" w:rsidRPr="00333B09" w:rsidRDefault="00DE4E59" w:rsidP="00DE4E59">
            <w:pPr>
              <w:pStyle w:val="Tabletext"/>
              <w:jc w:val="center"/>
              <w:rPr>
                <w:sz w:val="18"/>
                <w:szCs w:val="18"/>
                <w:lang w:val="es-ES"/>
              </w:rPr>
            </w:pPr>
            <w:r>
              <w:rPr>
                <w:sz w:val="18"/>
                <w:szCs w:val="16"/>
                <w:lang w:val="es-ES"/>
              </w:rPr>
              <w:t>–</w:t>
            </w:r>
          </w:p>
        </w:tc>
        <w:tc>
          <w:tcPr>
            <w:tcW w:w="588" w:type="dxa"/>
            <w:tcBorders>
              <w:top w:val="single" w:sz="4" w:space="0" w:color="auto"/>
              <w:left w:val="nil"/>
              <w:bottom w:val="single" w:sz="4" w:space="0" w:color="auto"/>
              <w:right w:val="single" w:sz="4" w:space="0" w:color="auto"/>
            </w:tcBorders>
            <w:shd w:val="clear" w:color="auto" w:fill="auto"/>
            <w:noWrap/>
            <w:hideMark/>
          </w:tcPr>
          <w:p w14:paraId="1D0194E6" w14:textId="25288E3F" w:rsidR="00333B09" w:rsidRPr="00333B09" w:rsidRDefault="00333B09" w:rsidP="00DE4E59">
            <w:pPr>
              <w:pStyle w:val="Tabletext"/>
              <w:jc w:val="center"/>
              <w:rPr>
                <w:sz w:val="18"/>
                <w:szCs w:val="18"/>
                <w:lang w:val="es-ES"/>
              </w:rPr>
            </w:pPr>
            <w:r w:rsidRPr="00333B09">
              <w:rPr>
                <w:sz w:val="18"/>
                <w:szCs w:val="18"/>
                <w:lang w:val="es-ES"/>
              </w:rPr>
              <w:t>96%</w:t>
            </w:r>
          </w:p>
        </w:tc>
        <w:tc>
          <w:tcPr>
            <w:tcW w:w="581" w:type="dxa"/>
            <w:tcBorders>
              <w:top w:val="single" w:sz="4" w:space="0" w:color="auto"/>
              <w:left w:val="nil"/>
              <w:bottom w:val="single" w:sz="4" w:space="0" w:color="auto"/>
              <w:right w:val="single" w:sz="4" w:space="0" w:color="auto"/>
            </w:tcBorders>
            <w:shd w:val="clear" w:color="auto" w:fill="auto"/>
            <w:noWrap/>
            <w:hideMark/>
          </w:tcPr>
          <w:p w14:paraId="60BA0DD4" w14:textId="1415D8BD" w:rsidR="00333B09" w:rsidRPr="00333B09" w:rsidRDefault="00333B09" w:rsidP="00DE4E59">
            <w:pPr>
              <w:pStyle w:val="Tabletext"/>
              <w:jc w:val="center"/>
              <w:rPr>
                <w:sz w:val="18"/>
                <w:szCs w:val="18"/>
                <w:lang w:val="es-ES"/>
              </w:rPr>
            </w:pPr>
            <w:r w:rsidRPr="00333B09">
              <w:rPr>
                <w:sz w:val="18"/>
                <w:szCs w:val="18"/>
                <w:lang w:val="es-ES"/>
              </w:rPr>
              <w:t>96%</w:t>
            </w:r>
          </w:p>
        </w:tc>
        <w:tc>
          <w:tcPr>
            <w:tcW w:w="587" w:type="dxa"/>
            <w:tcBorders>
              <w:top w:val="single" w:sz="4" w:space="0" w:color="auto"/>
              <w:left w:val="nil"/>
              <w:bottom w:val="single" w:sz="4" w:space="0" w:color="auto"/>
              <w:right w:val="single" w:sz="4" w:space="0" w:color="auto"/>
            </w:tcBorders>
            <w:shd w:val="clear" w:color="auto" w:fill="auto"/>
            <w:noWrap/>
            <w:hideMark/>
          </w:tcPr>
          <w:p w14:paraId="5CB1596D" w14:textId="6101909E" w:rsidR="00333B09" w:rsidRPr="00333B09" w:rsidRDefault="00333B09" w:rsidP="00DE4E59">
            <w:pPr>
              <w:pStyle w:val="Tabletext"/>
              <w:jc w:val="center"/>
              <w:rPr>
                <w:sz w:val="18"/>
                <w:szCs w:val="18"/>
                <w:lang w:val="es-ES"/>
              </w:rPr>
            </w:pPr>
            <w:r w:rsidRPr="00333B09">
              <w:rPr>
                <w:sz w:val="18"/>
                <w:szCs w:val="18"/>
                <w:lang w:val="es-ES"/>
              </w:rPr>
              <w:t>97%</w:t>
            </w:r>
          </w:p>
        </w:tc>
        <w:tc>
          <w:tcPr>
            <w:tcW w:w="602" w:type="dxa"/>
            <w:tcBorders>
              <w:top w:val="single" w:sz="4" w:space="0" w:color="auto"/>
              <w:left w:val="nil"/>
              <w:bottom w:val="single" w:sz="4" w:space="0" w:color="auto"/>
              <w:right w:val="single" w:sz="4" w:space="0" w:color="auto"/>
            </w:tcBorders>
            <w:shd w:val="clear" w:color="auto" w:fill="auto"/>
            <w:noWrap/>
            <w:hideMark/>
          </w:tcPr>
          <w:p w14:paraId="1AC09B84" w14:textId="17061FE0" w:rsidR="00333B09" w:rsidRPr="00333B09" w:rsidRDefault="00333B09" w:rsidP="00DE4E59">
            <w:pPr>
              <w:pStyle w:val="Tabletext"/>
              <w:jc w:val="center"/>
              <w:rPr>
                <w:sz w:val="18"/>
                <w:szCs w:val="18"/>
                <w:lang w:val="es-ES"/>
              </w:rPr>
            </w:pPr>
            <w:r w:rsidRPr="00333B09">
              <w:rPr>
                <w:sz w:val="18"/>
                <w:szCs w:val="18"/>
                <w:lang w:val="es-ES"/>
              </w:rPr>
              <w:t>73%</w:t>
            </w:r>
          </w:p>
        </w:tc>
        <w:tc>
          <w:tcPr>
            <w:tcW w:w="588" w:type="dxa"/>
            <w:tcBorders>
              <w:top w:val="single" w:sz="4" w:space="0" w:color="auto"/>
              <w:left w:val="nil"/>
              <w:bottom w:val="single" w:sz="4" w:space="0" w:color="auto"/>
              <w:right w:val="nil"/>
            </w:tcBorders>
            <w:shd w:val="clear" w:color="auto" w:fill="auto"/>
            <w:noWrap/>
            <w:hideMark/>
          </w:tcPr>
          <w:p w14:paraId="6A1AE686" w14:textId="0713A0A2" w:rsidR="00333B09" w:rsidRPr="00333B09" w:rsidRDefault="00333B09" w:rsidP="00DE4E59">
            <w:pPr>
              <w:pStyle w:val="Tabletext"/>
              <w:jc w:val="center"/>
              <w:rPr>
                <w:sz w:val="18"/>
                <w:szCs w:val="18"/>
                <w:lang w:val="es-ES"/>
              </w:rPr>
            </w:pPr>
            <w:r w:rsidRPr="00333B09">
              <w:rPr>
                <w:sz w:val="18"/>
                <w:szCs w:val="18"/>
                <w:lang w:val="es-ES"/>
              </w:rPr>
              <w:t>73%</w:t>
            </w:r>
          </w:p>
        </w:tc>
        <w:tc>
          <w:tcPr>
            <w:tcW w:w="602" w:type="dxa"/>
            <w:tcBorders>
              <w:top w:val="single" w:sz="4" w:space="0" w:color="auto"/>
              <w:left w:val="single" w:sz="4" w:space="0" w:color="auto"/>
              <w:bottom w:val="single" w:sz="4" w:space="0" w:color="auto"/>
              <w:right w:val="nil"/>
            </w:tcBorders>
            <w:shd w:val="clear" w:color="auto" w:fill="auto"/>
            <w:noWrap/>
            <w:hideMark/>
          </w:tcPr>
          <w:p w14:paraId="250A9F23" w14:textId="149DDC28" w:rsidR="00333B09" w:rsidRPr="00333B09" w:rsidRDefault="00333B09" w:rsidP="00DE4E59">
            <w:pPr>
              <w:pStyle w:val="Tabletext"/>
              <w:jc w:val="center"/>
              <w:rPr>
                <w:sz w:val="18"/>
                <w:szCs w:val="18"/>
                <w:lang w:val="es-ES"/>
              </w:rPr>
            </w:pPr>
            <w:r w:rsidRPr="00333B09">
              <w:rPr>
                <w:sz w:val="18"/>
                <w:szCs w:val="18"/>
                <w:lang w:val="es-ES"/>
              </w:rPr>
              <w:t>54%</w:t>
            </w:r>
          </w:p>
        </w:tc>
        <w:tc>
          <w:tcPr>
            <w:tcW w:w="602" w:type="dxa"/>
            <w:tcBorders>
              <w:top w:val="single" w:sz="4" w:space="0" w:color="auto"/>
              <w:left w:val="single" w:sz="4" w:space="0" w:color="auto"/>
              <w:bottom w:val="single" w:sz="4" w:space="0" w:color="auto"/>
              <w:right w:val="nil"/>
            </w:tcBorders>
            <w:shd w:val="clear" w:color="auto" w:fill="auto"/>
          </w:tcPr>
          <w:p w14:paraId="2387D03E" w14:textId="46ADCCFD" w:rsidR="00333B09" w:rsidRPr="00333B09" w:rsidRDefault="00333B09" w:rsidP="00DE4E59">
            <w:pPr>
              <w:pStyle w:val="Tabletext"/>
              <w:jc w:val="center"/>
              <w:rPr>
                <w:sz w:val="18"/>
                <w:szCs w:val="18"/>
                <w:lang w:val="es-ES"/>
              </w:rPr>
            </w:pPr>
            <w:r w:rsidRPr="00333B09">
              <w:rPr>
                <w:sz w:val="18"/>
                <w:szCs w:val="18"/>
                <w:lang w:val="es-ES"/>
              </w:rPr>
              <w:t>27%</w:t>
            </w:r>
          </w:p>
        </w:tc>
        <w:tc>
          <w:tcPr>
            <w:tcW w:w="581" w:type="dxa"/>
            <w:tcBorders>
              <w:top w:val="single" w:sz="4" w:space="0" w:color="auto"/>
              <w:left w:val="single" w:sz="4" w:space="0" w:color="auto"/>
              <w:bottom w:val="single" w:sz="4" w:space="0" w:color="auto"/>
              <w:right w:val="single" w:sz="4" w:space="0" w:color="auto"/>
            </w:tcBorders>
            <w:noWrap/>
          </w:tcPr>
          <w:p w14:paraId="2C4C9BCA" w14:textId="772AF960" w:rsidR="00333B09" w:rsidRPr="00333B09" w:rsidRDefault="00333B09" w:rsidP="00DE4E59">
            <w:pPr>
              <w:pStyle w:val="Tabletext"/>
              <w:jc w:val="center"/>
              <w:rPr>
                <w:sz w:val="18"/>
                <w:szCs w:val="18"/>
                <w:lang w:val="es-ES"/>
              </w:rPr>
            </w:pPr>
            <w:r w:rsidRPr="00333B09">
              <w:rPr>
                <w:sz w:val="18"/>
                <w:szCs w:val="18"/>
                <w:lang w:val="es-ES"/>
              </w:rPr>
              <w:t>56%</w:t>
            </w:r>
          </w:p>
        </w:tc>
        <w:tc>
          <w:tcPr>
            <w:tcW w:w="60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hideMark/>
          </w:tcPr>
          <w:p w14:paraId="12014FE1" w14:textId="44F49CAA" w:rsidR="00333B09" w:rsidRPr="00333B09" w:rsidRDefault="00333B09" w:rsidP="00DE4E59">
            <w:pPr>
              <w:pStyle w:val="Tabletext"/>
              <w:jc w:val="center"/>
              <w:rPr>
                <w:b/>
                <w:bCs/>
                <w:sz w:val="18"/>
                <w:szCs w:val="18"/>
                <w:lang w:val="es-ES"/>
              </w:rPr>
            </w:pPr>
            <w:r w:rsidRPr="00333B09">
              <w:rPr>
                <w:b/>
                <w:bCs/>
                <w:sz w:val="18"/>
                <w:szCs w:val="18"/>
                <w:lang w:val="es-ES"/>
              </w:rPr>
              <w:t>84%</w:t>
            </w:r>
          </w:p>
        </w:tc>
      </w:tr>
    </w:tbl>
    <w:p w14:paraId="787EC98A" w14:textId="3D8AB099" w:rsidR="007E14C1" w:rsidRDefault="007E14C1" w:rsidP="007E14C1">
      <w:pPr>
        <w:rPr>
          <w:lang w:val="es-ES"/>
        </w:rPr>
      </w:pPr>
      <w:r>
        <w:rPr>
          <w:lang w:val="es-ES"/>
        </w:rPr>
        <w:br w:type="page"/>
      </w:r>
    </w:p>
    <w:p w14:paraId="6B75A6E8" w14:textId="016693C8" w:rsidR="00333B09" w:rsidRPr="00333B09" w:rsidRDefault="00333B09" w:rsidP="007E14C1">
      <w:pPr>
        <w:pStyle w:val="Normalaftertitle"/>
        <w:keepNext/>
        <w:keepLines/>
        <w:rPr>
          <w:lang w:val="es-ES"/>
        </w:rPr>
      </w:pPr>
      <w:r w:rsidRPr="00333B09">
        <w:rPr>
          <w:lang w:val="es-ES"/>
        </w:rPr>
        <w:lastRenderedPageBreak/>
        <w:t>15</w:t>
      </w:r>
      <w:r w:rsidRPr="00333B09">
        <w:rPr>
          <w:lang w:val="es-ES"/>
        </w:rPr>
        <w:tab/>
        <w:t>Información general sobre la importancia de las recomendaciones en curso de formulación</w:t>
      </w:r>
      <w:r w:rsidR="007E14C1">
        <w:rPr>
          <w:lang w:val="es-ES"/>
        </w:rPr>
        <w:t>:</w:t>
      </w:r>
    </w:p>
    <w:p w14:paraId="1B910898" w14:textId="5F7B58A5" w:rsidR="00333B09" w:rsidRPr="00333B09" w:rsidRDefault="007E14C1" w:rsidP="00914A81">
      <w:pPr>
        <w:pStyle w:val="Figure"/>
        <w:rPr>
          <w:lang w:val="es-ES"/>
        </w:rPr>
      </w:pPr>
      <w:r>
        <w:rPr>
          <w:noProof/>
        </w:rPr>
        <mc:AlternateContent>
          <mc:Choice Requires="wps">
            <w:drawing>
              <wp:anchor distT="0" distB="0" distL="114300" distR="114300" simplePos="0" relativeHeight="251665408" behindDoc="0" locked="0" layoutInCell="1" allowOverlap="1" wp14:anchorId="4D14442E" wp14:editId="473B715C">
                <wp:simplePos x="0" y="0"/>
                <wp:positionH relativeFrom="column">
                  <wp:posOffset>2231390</wp:posOffset>
                </wp:positionH>
                <wp:positionV relativeFrom="paragraph">
                  <wp:posOffset>2004266</wp:posOffset>
                </wp:positionV>
                <wp:extent cx="401320" cy="12001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120015"/>
                        </a:xfrm>
                        <a:prstGeom prst="rect">
                          <a:avLst/>
                        </a:prstGeom>
                        <a:solidFill>
                          <a:srgbClr val="FFFFFF"/>
                        </a:solidFill>
                        <a:ln w="9525">
                          <a:noFill/>
                          <a:miter lim="800000"/>
                          <a:headEnd/>
                          <a:tailEnd/>
                        </a:ln>
                      </wps:spPr>
                      <wps:txbx>
                        <w:txbxContent>
                          <w:p w14:paraId="74BECF6E" w14:textId="77777777" w:rsidR="00DE4E59" w:rsidRPr="006723CE" w:rsidRDefault="00DE4E59" w:rsidP="00DE4E59">
                            <w:pPr>
                              <w:pStyle w:val="NormalWeb"/>
                              <w:spacing w:before="0"/>
                              <w:rPr>
                                <w:rFonts w:asciiTheme="minorHAnsi" w:hAnsiTheme="minorHAnsi"/>
                                <w:color w:val="000000" w:themeColor="text1"/>
                                <w:sz w:val="14"/>
                                <w:lang w:val="es-ES"/>
                              </w:rPr>
                            </w:pPr>
                            <w:r w:rsidRPr="006723CE">
                              <w:rPr>
                                <w:rFonts w:asciiTheme="minorHAnsi" w:hAnsiTheme="minorHAnsi"/>
                                <w:color w:val="000000" w:themeColor="text1"/>
                                <w:sz w:val="14"/>
                                <w:lang w:val="es-ES"/>
                              </w:rPr>
                              <w:t>Cr</w:t>
                            </w:r>
                            <w:r>
                              <w:rPr>
                                <w:rFonts w:asciiTheme="minorHAnsi" w:hAnsiTheme="minorHAnsi"/>
                                <w:color w:val="000000" w:themeColor="text1"/>
                                <w:sz w:val="14"/>
                                <w:lang w:val="es-ES"/>
                              </w:rPr>
                              <w:t>ítica</w:t>
                            </w:r>
                          </w:p>
                        </w:txbxContent>
                      </wps:txbx>
                      <wps:bodyPr rot="0" vert="horz" wrap="square" lIns="0" tIns="0" rIns="0" bIns="0" anchor="t" anchorCtr="0">
                        <a:noAutofit/>
                      </wps:bodyPr>
                    </wps:wsp>
                  </a:graphicData>
                </a:graphic>
              </wp:anchor>
            </w:drawing>
          </mc:Choice>
          <mc:Fallback>
            <w:pict>
              <v:shapetype w14:anchorId="4D14442E" id="_x0000_t202" coordsize="21600,21600" o:spt="202" path="m,l,21600r21600,l21600,xe">
                <v:stroke joinstyle="miter"/>
                <v:path gradientshapeok="t" o:connecttype="rect"/>
              </v:shapetype>
              <v:shape id="Text Box 2" o:spid="_x0000_s1026" type="#_x0000_t202" style="position:absolute;left:0;text-align:left;margin-left:175.7pt;margin-top:157.8pt;width:31.6pt;height:9.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" stroked="f">
                <v:textbox inset="0,0,0,0">
                  <w:txbxContent>
                    <w:p w14:paraId="74BECF6E" w14:textId="77777777" w:rsidR="00DE4E59" w:rsidRPr="006723CE" w:rsidRDefault="00DE4E59" w:rsidP="00DE4E59">
                      <w:pPr>
                        <w:pStyle w:val="NormalWeb"/>
                        <w:spacing w:before="0"/>
                        <w:rPr>
                          <w:rFonts w:asciiTheme="minorHAnsi" w:hAnsiTheme="minorHAnsi"/>
                          <w:color w:val="000000" w:themeColor="text1"/>
                          <w:sz w:val="14"/>
                          <w:lang w:val="es-ES"/>
                        </w:rPr>
                      </w:pPr>
                      <w:r w:rsidRPr="006723CE">
                        <w:rPr>
                          <w:rFonts w:asciiTheme="minorHAnsi" w:hAnsiTheme="minorHAnsi"/>
                          <w:color w:val="000000" w:themeColor="text1"/>
                          <w:sz w:val="14"/>
                          <w:lang w:val="es-ES"/>
                        </w:rPr>
                        <w:t>Cr</w:t>
                      </w:r>
                      <w:r>
                        <w:rPr>
                          <w:rFonts w:asciiTheme="minorHAnsi" w:hAnsiTheme="minorHAnsi"/>
                          <w:color w:val="000000" w:themeColor="text1"/>
                          <w:sz w:val="14"/>
                          <w:lang w:val="es-ES"/>
                        </w:rPr>
                        <w:t>ítica</w:t>
                      </w:r>
                    </w:p>
                  </w:txbxContent>
                </v:textbox>
              </v:shape>
            </w:pict>
          </mc:Fallback>
        </mc:AlternateContent>
      </w:r>
      <w:r w:rsidR="002946AA">
        <w:rPr>
          <w:noProof/>
        </w:rPr>
        <mc:AlternateContent>
          <mc:Choice Requires="wps">
            <w:drawing>
              <wp:anchor distT="0" distB="0" distL="114300" distR="114300" simplePos="0" relativeHeight="251667456" behindDoc="0" locked="0" layoutInCell="1" allowOverlap="1" wp14:anchorId="7B12CE52" wp14:editId="1A049E4A">
                <wp:simplePos x="0" y="0"/>
                <wp:positionH relativeFrom="column">
                  <wp:posOffset>1155700</wp:posOffset>
                </wp:positionH>
                <wp:positionV relativeFrom="paragraph">
                  <wp:posOffset>148161</wp:posOffset>
                </wp:positionV>
                <wp:extent cx="3192493" cy="385845"/>
                <wp:effectExtent l="0" t="0" r="8255" b="0"/>
                <wp:wrapNone/>
                <wp:docPr id="9" name="Rectángulo 9"/>
                <wp:cNvGraphicFramePr/>
                <a:graphic xmlns:a="http://schemas.openxmlformats.org/drawingml/2006/main">
                  <a:graphicData uri="http://schemas.microsoft.com/office/word/2010/wordprocessingShape">
                    <wps:wsp>
                      <wps:cNvSpPr/>
                      <wps:spPr>
                        <a:xfrm>
                          <a:off x="0" y="0"/>
                          <a:ext cx="3192493" cy="385845"/>
                        </a:xfrm>
                        <a:prstGeom prst="rect">
                          <a:avLst/>
                        </a:prstGeom>
                        <a:solidFill>
                          <a:schemeClr val="bg1"/>
                        </a:solidFill>
                      </wps:spPr>
                      <wps:txbx>
                        <w:txbxContent>
                          <w:p w14:paraId="39386E16" w14:textId="77777777" w:rsidR="002946AA" w:rsidRPr="006723CE" w:rsidRDefault="002946AA" w:rsidP="002946AA">
                            <w:pPr>
                              <w:pStyle w:val="NormalWeb"/>
                              <w:spacing w:before="0"/>
                              <w:jc w:val="center"/>
                              <w:rPr>
                                <w:lang w:val="es-ES"/>
                              </w:rPr>
                            </w:pPr>
                            <w:r>
                              <w:rPr>
                                <w:rFonts w:asciiTheme="minorHAnsi" w:hAnsi="Calibri" w:cstheme="minorBidi"/>
                                <w:color w:val="000000" w:themeColor="text1"/>
                                <w:kern w:val="24"/>
                                <w:lang w:val="es-ES"/>
                              </w:rPr>
                              <w:t xml:space="preserve">Nivel de importancia de las recomendaciones </w:t>
                            </w:r>
                            <w:r>
                              <w:rPr>
                                <w:rFonts w:asciiTheme="minorHAnsi" w:hAnsi="Calibri" w:cstheme="minorBidi"/>
                                <w:color w:val="000000" w:themeColor="text1"/>
                                <w:kern w:val="24"/>
                                <w:lang w:val="es-ES"/>
                              </w:rPr>
                              <w:br/>
                              <w:t>en curso/tardías</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B12CE52" id="Rectángulo 9" o:spid="_x0000_s1027" style="position:absolute;left:0;text-align:left;margin-left:91pt;margin-top:11.65pt;width:251.4pt;height:3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" fillcolor="white [3212]" stroked="f">
                <v:textbox inset="0,0,0,0">
                  <w:txbxContent>
                    <w:p w14:paraId="39386E16" w14:textId="77777777" w:rsidR="002946AA" w:rsidRPr="006723CE" w:rsidRDefault="002946AA" w:rsidP="002946AA">
                      <w:pPr>
                        <w:pStyle w:val="NormalWeb"/>
                        <w:spacing w:before="0"/>
                        <w:jc w:val="center"/>
                        <w:rPr>
                          <w:lang w:val="es-ES"/>
                        </w:rPr>
                      </w:pPr>
                      <w:r>
                        <w:rPr>
                          <w:rFonts w:asciiTheme="minorHAnsi" w:hAnsi="Calibri" w:cstheme="minorBidi"/>
                          <w:color w:val="000000" w:themeColor="text1"/>
                          <w:kern w:val="24"/>
                          <w:lang w:val="es-ES"/>
                        </w:rPr>
                        <w:t xml:space="preserve">Nivel de importancia de las recomendaciones </w:t>
                      </w:r>
                      <w:r>
                        <w:rPr>
                          <w:rFonts w:asciiTheme="minorHAnsi" w:hAnsi="Calibri" w:cstheme="minorBidi"/>
                          <w:color w:val="000000" w:themeColor="text1"/>
                          <w:kern w:val="24"/>
                          <w:lang w:val="es-ES"/>
                        </w:rPr>
                        <w:br/>
                        <w:t>en curso/tardías</w:t>
                      </w:r>
                    </w:p>
                  </w:txbxContent>
                </v:textbox>
              </v:rect>
            </w:pict>
          </mc:Fallback>
        </mc:AlternateContent>
      </w:r>
      <w:r w:rsidR="002946AA">
        <w:rPr>
          <w:noProof/>
        </w:rPr>
        <mc:AlternateContent>
          <mc:Choice Requires="wps">
            <w:drawing>
              <wp:anchor distT="0" distB="0" distL="114300" distR="114300" simplePos="0" relativeHeight="251663360" behindDoc="0" locked="0" layoutInCell="1" allowOverlap="1" wp14:anchorId="5278AF72" wp14:editId="4E78BA13">
                <wp:simplePos x="0" y="0"/>
                <wp:positionH relativeFrom="column">
                  <wp:posOffset>2737485</wp:posOffset>
                </wp:positionH>
                <wp:positionV relativeFrom="paragraph">
                  <wp:posOffset>2005330</wp:posOffset>
                </wp:positionV>
                <wp:extent cx="306000" cy="1188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 cy="118800"/>
                        </a:xfrm>
                        <a:prstGeom prst="rect">
                          <a:avLst/>
                        </a:prstGeom>
                        <a:solidFill>
                          <a:srgbClr val="FFFFFF"/>
                        </a:solidFill>
                        <a:ln w="9525">
                          <a:noFill/>
                          <a:miter lim="800000"/>
                          <a:headEnd/>
                          <a:tailEnd/>
                        </a:ln>
                      </wps:spPr>
                      <wps:txbx>
                        <w:txbxContent>
                          <w:p w14:paraId="412A3131" w14:textId="77777777" w:rsidR="00DE4E59" w:rsidRPr="00DE4E59" w:rsidRDefault="00DE4E59" w:rsidP="00DE4E59">
                            <w:pPr>
                              <w:pStyle w:val="NormalWeb"/>
                              <w:spacing w:before="0"/>
                              <w:rPr>
                                <w:color w:val="000000" w:themeColor="text1"/>
                                <w:sz w:val="14"/>
                                <w:szCs w:val="14"/>
                              </w:rPr>
                            </w:pPr>
                            <w:r w:rsidRPr="006723CE">
                              <w:rPr>
                                <w:rFonts w:ascii="Calibri" w:hAnsi="Calibri" w:cs="Calibri"/>
                                <w:color w:val="000000" w:themeColor="text1"/>
                                <w:kern w:val="24"/>
                                <w:sz w:val="14"/>
                                <w:szCs w:val="14"/>
                                <w:lang w:val="es-ES"/>
                              </w:rPr>
                              <w:t>Elevad</w:t>
                            </w:r>
                            <w:r>
                              <w:rPr>
                                <w:rFonts w:ascii="Calibri" w:hAnsi="Calibri" w:cs="Calibri"/>
                                <w:color w:val="000000" w:themeColor="text1"/>
                                <w:kern w:val="24"/>
                                <w:sz w:val="14"/>
                                <w:szCs w:val="14"/>
                                <w:lang w:val="es-ES"/>
                              </w:rPr>
                              <w:t>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8AF72" id="_x0000_s1028" type="#_x0000_t202" style="position:absolute;left:0;text-align:left;margin-left:215.55pt;margin-top:157.9pt;width:24.1pt;height: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" stroked="f">
                <v:textbox inset="0,0,0,0">
                  <w:txbxContent>
                    <w:p w14:paraId="412A3131" w14:textId="77777777" w:rsidR="00DE4E59" w:rsidRPr="00DE4E59" w:rsidRDefault="00DE4E59" w:rsidP="00DE4E59">
                      <w:pPr>
                        <w:pStyle w:val="NormalWeb"/>
                        <w:spacing w:before="0"/>
                        <w:rPr>
                          <w:color w:val="000000" w:themeColor="text1"/>
                          <w:sz w:val="14"/>
                          <w:szCs w:val="14"/>
                        </w:rPr>
                      </w:pPr>
                      <w:r w:rsidRPr="006723CE">
                        <w:rPr>
                          <w:rFonts w:ascii="Calibri" w:hAnsi="Calibri" w:cs="Calibri"/>
                          <w:color w:val="000000" w:themeColor="text1"/>
                          <w:kern w:val="24"/>
                          <w:sz w:val="14"/>
                          <w:szCs w:val="14"/>
                          <w:lang w:val="es-ES"/>
                        </w:rPr>
                        <w:t>Elevad</w:t>
                      </w:r>
                      <w:r>
                        <w:rPr>
                          <w:rFonts w:ascii="Calibri" w:hAnsi="Calibri" w:cs="Calibri"/>
                          <w:color w:val="000000" w:themeColor="text1"/>
                          <w:kern w:val="24"/>
                          <w:sz w:val="14"/>
                          <w:szCs w:val="14"/>
                          <w:lang w:val="es-ES"/>
                        </w:rPr>
                        <w:t>a</w:t>
                      </w:r>
                    </w:p>
                  </w:txbxContent>
                </v:textbox>
              </v:shape>
            </w:pict>
          </mc:Fallback>
        </mc:AlternateContent>
      </w:r>
      <w:r w:rsidR="00DE4E59">
        <w:rPr>
          <w:noProof/>
        </w:rPr>
        <mc:AlternateContent>
          <mc:Choice Requires="wps">
            <w:drawing>
              <wp:anchor distT="0" distB="0" distL="114300" distR="114300" simplePos="0" relativeHeight="251661312" behindDoc="0" locked="0" layoutInCell="1" allowOverlap="1" wp14:anchorId="33E9B484" wp14:editId="08875B13">
                <wp:simplePos x="0" y="0"/>
                <wp:positionH relativeFrom="column">
                  <wp:posOffset>3176616</wp:posOffset>
                </wp:positionH>
                <wp:positionV relativeFrom="paragraph">
                  <wp:posOffset>2005330</wp:posOffset>
                </wp:positionV>
                <wp:extent cx="403200" cy="11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00" cy="118800"/>
                        </a:xfrm>
                        <a:prstGeom prst="rect">
                          <a:avLst/>
                        </a:prstGeom>
                        <a:solidFill>
                          <a:srgbClr val="FFFFFF"/>
                        </a:solidFill>
                        <a:ln w="9525">
                          <a:noFill/>
                          <a:miter lim="800000"/>
                          <a:headEnd/>
                          <a:tailEnd/>
                        </a:ln>
                      </wps:spPr>
                      <wps:txbx>
                        <w:txbxContent>
                          <w:p w14:paraId="6224F441" w14:textId="77777777" w:rsidR="00DE4E59" w:rsidRPr="00DE4E59" w:rsidRDefault="00DE4E59" w:rsidP="00DE4E59">
                            <w:pPr>
                              <w:pStyle w:val="NormalWeb"/>
                              <w:spacing w:before="0"/>
                              <w:rPr>
                                <w:color w:val="000000" w:themeColor="text1"/>
                                <w:sz w:val="14"/>
                                <w:szCs w:val="14"/>
                              </w:rPr>
                            </w:pPr>
                            <w:r w:rsidRPr="006723CE">
                              <w:rPr>
                                <w:rFonts w:ascii="Calibri" w:hAnsi="Calibri" w:cs="Calibri"/>
                                <w:color w:val="000000" w:themeColor="text1"/>
                                <w:kern w:val="24"/>
                                <w:sz w:val="14"/>
                                <w:szCs w:val="14"/>
                                <w:lang w:val="es-ES"/>
                              </w:rPr>
                              <w:t>Medi</w:t>
                            </w:r>
                            <w:r>
                              <w:rPr>
                                <w:rFonts w:ascii="Calibri" w:hAnsi="Calibri" w:cs="Calibri"/>
                                <w:color w:val="000000" w:themeColor="text1"/>
                                <w:kern w:val="24"/>
                                <w:sz w:val="14"/>
                                <w:szCs w:val="14"/>
                                <w:lang w:val="es-ES"/>
                              </w:rPr>
                              <w:t>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9B484" id="_x0000_s1029" type="#_x0000_t202" style="position:absolute;left:0;text-align:left;margin-left:250.15pt;margin-top:157.9pt;width:31.75pt;height: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" stroked="f">
                <v:textbox inset="0,0,0,0">
                  <w:txbxContent>
                    <w:p w14:paraId="6224F441" w14:textId="77777777" w:rsidR="00DE4E59" w:rsidRPr="00DE4E59" w:rsidRDefault="00DE4E59" w:rsidP="00DE4E59">
                      <w:pPr>
                        <w:pStyle w:val="NormalWeb"/>
                        <w:spacing w:before="0"/>
                        <w:rPr>
                          <w:color w:val="000000" w:themeColor="text1"/>
                          <w:sz w:val="14"/>
                          <w:szCs w:val="14"/>
                        </w:rPr>
                      </w:pPr>
                      <w:r w:rsidRPr="006723CE">
                        <w:rPr>
                          <w:rFonts w:ascii="Calibri" w:hAnsi="Calibri" w:cs="Calibri"/>
                          <w:color w:val="000000" w:themeColor="text1"/>
                          <w:kern w:val="24"/>
                          <w:sz w:val="14"/>
                          <w:szCs w:val="14"/>
                          <w:lang w:val="es-ES"/>
                        </w:rPr>
                        <w:t>Medi</w:t>
                      </w:r>
                      <w:r>
                        <w:rPr>
                          <w:rFonts w:ascii="Calibri" w:hAnsi="Calibri" w:cs="Calibri"/>
                          <w:color w:val="000000" w:themeColor="text1"/>
                          <w:kern w:val="24"/>
                          <w:sz w:val="14"/>
                          <w:szCs w:val="14"/>
                          <w:lang w:val="es-ES"/>
                        </w:rPr>
                        <w:t>a</w:t>
                      </w:r>
                    </w:p>
                  </w:txbxContent>
                </v:textbox>
              </v:shape>
            </w:pict>
          </mc:Fallback>
        </mc:AlternateContent>
      </w:r>
      <w:r w:rsidR="00DE4E59">
        <w:rPr>
          <w:noProof/>
        </w:rPr>
        <mc:AlternateContent>
          <mc:Choice Requires="wps">
            <w:drawing>
              <wp:anchor distT="0" distB="0" distL="114300" distR="114300" simplePos="0" relativeHeight="251659264" behindDoc="0" locked="0" layoutInCell="1" allowOverlap="1" wp14:anchorId="48D8FECE" wp14:editId="4BBD9828">
                <wp:simplePos x="0" y="0"/>
                <wp:positionH relativeFrom="column">
                  <wp:posOffset>3746294</wp:posOffset>
                </wp:positionH>
                <wp:positionV relativeFrom="paragraph">
                  <wp:posOffset>2005330</wp:posOffset>
                </wp:positionV>
                <wp:extent cx="403200" cy="1188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00" cy="118800"/>
                        </a:xfrm>
                        <a:prstGeom prst="rect">
                          <a:avLst/>
                        </a:prstGeom>
                        <a:solidFill>
                          <a:srgbClr val="FFFFFF"/>
                        </a:solidFill>
                        <a:ln w="9525">
                          <a:noFill/>
                          <a:miter lim="800000"/>
                          <a:headEnd/>
                          <a:tailEnd/>
                        </a:ln>
                      </wps:spPr>
                      <wps:txbx>
                        <w:txbxContent>
                          <w:p w14:paraId="53A28493" w14:textId="77777777" w:rsidR="00DE4E59" w:rsidRPr="00DE4E59" w:rsidRDefault="00DE4E59" w:rsidP="00DE4E59">
                            <w:pPr>
                              <w:pStyle w:val="NormalWeb"/>
                              <w:spacing w:before="0"/>
                              <w:rPr>
                                <w:color w:val="000000" w:themeColor="text1"/>
                                <w:sz w:val="14"/>
                                <w:szCs w:val="14"/>
                              </w:rPr>
                            </w:pPr>
                            <w:r w:rsidRPr="006723CE">
                              <w:rPr>
                                <w:rFonts w:ascii="Calibri" w:hAnsi="Calibri" w:cs="Calibri"/>
                                <w:color w:val="000000" w:themeColor="text1"/>
                                <w:kern w:val="24"/>
                                <w:sz w:val="14"/>
                                <w:szCs w:val="14"/>
                                <w:lang w:val="es-ES"/>
                              </w:rPr>
                              <w:t>Baj</w:t>
                            </w:r>
                            <w:r>
                              <w:rPr>
                                <w:rFonts w:ascii="Calibri" w:hAnsi="Calibri" w:cs="Calibri"/>
                                <w:color w:val="000000" w:themeColor="text1"/>
                                <w:kern w:val="24"/>
                                <w:sz w:val="14"/>
                                <w:szCs w:val="14"/>
                                <w:lang w:val="es-ES"/>
                              </w:rPr>
                              <w:t>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8FECE" id="_x0000_s1030" type="#_x0000_t202" style="position:absolute;left:0;text-align:left;margin-left:295pt;margin-top:157.9pt;width:31.75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" stroked="f">
                <v:textbox inset="0,0,0,0">
                  <w:txbxContent>
                    <w:p w14:paraId="53A28493" w14:textId="77777777" w:rsidR="00DE4E59" w:rsidRPr="00DE4E59" w:rsidRDefault="00DE4E59" w:rsidP="00DE4E59">
                      <w:pPr>
                        <w:pStyle w:val="NormalWeb"/>
                        <w:spacing w:before="0"/>
                        <w:rPr>
                          <w:color w:val="000000" w:themeColor="text1"/>
                          <w:sz w:val="14"/>
                          <w:szCs w:val="14"/>
                        </w:rPr>
                      </w:pPr>
                      <w:r w:rsidRPr="006723CE">
                        <w:rPr>
                          <w:rFonts w:ascii="Calibri" w:hAnsi="Calibri" w:cs="Calibri"/>
                          <w:color w:val="000000" w:themeColor="text1"/>
                          <w:kern w:val="24"/>
                          <w:sz w:val="14"/>
                          <w:szCs w:val="14"/>
                          <w:lang w:val="es-ES"/>
                        </w:rPr>
                        <w:t>Baj</w:t>
                      </w:r>
                      <w:r>
                        <w:rPr>
                          <w:rFonts w:ascii="Calibri" w:hAnsi="Calibri" w:cs="Calibri"/>
                          <w:color w:val="000000" w:themeColor="text1"/>
                          <w:kern w:val="24"/>
                          <w:sz w:val="14"/>
                          <w:szCs w:val="14"/>
                          <w:lang w:val="es-ES"/>
                        </w:rPr>
                        <w:t>a</w:t>
                      </w:r>
                    </w:p>
                  </w:txbxContent>
                </v:textbox>
              </v:shape>
            </w:pict>
          </mc:Fallback>
        </mc:AlternateContent>
      </w:r>
      <w:r w:rsidR="002946AA">
        <w:rPr>
          <w:noProof/>
          <w:lang w:val="es-ES"/>
        </w:rPr>
        <w:drawing>
          <wp:inline distT="0" distB="0" distL="0" distR="0" wp14:anchorId="24F3E52F" wp14:editId="60E6115A">
            <wp:extent cx="5108575" cy="2190115"/>
            <wp:effectExtent l="0" t="0" r="0" b="63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8575" cy="2190115"/>
                    </a:xfrm>
                    <a:prstGeom prst="rect">
                      <a:avLst/>
                    </a:prstGeom>
                    <a:noFill/>
                  </pic:spPr>
                </pic:pic>
              </a:graphicData>
            </a:graphic>
          </wp:inline>
        </w:drawing>
      </w:r>
    </w:p>
    <w:p w14:paraId="260381DE" w14:textId="799C3636" w:rsidR="00333B09" w:rsidRDefault="00333B09" w:rsidP="00914A81">
      <w:pPr>
        <w:pStyle w:val="Normalaftertitle"/>
        <w:rPr>
          <w:lang w:val="es-ES"/>
        </w:rPr>
      </w:pPr>
      <w:r w:rsidRPr="00333B09">
        <w:rPr>
          <w:lang w:val="es-ES"/>
        </w:rPr>
        <w:t>16</w:t>
      </w:r>
      <w:r w:rsidRPr="00333B09">
        <w:rPr>
          <w:lang w:val="es-ES"/>
        </w:rPr>
        <w:tab/>
        <w:t>Las recomendaciones críticas de 2019 y 2020 se basan en la carta de gestión que la AI elaboró a raíz de la investigación del caso de fraude. Se refieren principalmente a la necesidad de que el Departamento de Gestión de Recursos Humanos establezca en toda la UIT procedimientos competitivos y refuerce los controles con respecto a la contratación de expertos externos (en el marco de los acuerdos de servicios especiales). Con respecto a las recomendaciones formuladas anteriormente, la dirección informó periódicamente a la AI (y al CAIG) de los avances registrados y el Grupo de Trabajo encargado de los controles internos presidido por la Directora de la BDT supervisó más en detalle la implantación de las recomendaciones realizadas anteriormente.</w:t>
      </w:r>
    </w:p>
    <w:p w14:paraId="7B99FE08" w14:textId="77777777" w:rsidR="00333B09" w:rsidRPr="00333B09" w:rsidRDefault="00333B09" w:rsidP="00333B09">
      <w:pPr>
        <w:rPr>
          <w:lang w:val="es-ES"/>
        </w:rPr>
      </w:pPr>
    </w:p>
    <w:p w14:paraId="6F99E289" w14:textId="77777777" w:rsidR="00333B09" w:rsidRPr="00333B09" w:rsidRDefault="00333B09" w:rsidP="00333B09">
      <w:pPr>
        <w:jc w:val="center"/>
        <w:rPr>
          <w:lang w:val="es-ES"/>
        </w:rPr>
      </w:pPr>
      <w:r w:rsidRPr="00333B09">
        <w:rPr>
          <w:lang w:val="es-ES"/>
        </w:rPr>
        <w:t>______________</w:t>
      </w:r>
    </w:p>
    <w:sectPr w:rsidR="00333B09" w:rsidRPr="00333B09" w:rsidSect="006710F6">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95B6F" w14:textId="77777777" w:rsidR="004C55F6" w:rsidRDefault="004C55F6">
      <w:r>
        <w:separator/>
      </w:r>
    </w:p>
  </w:endnote>
  <w:endnote w:type="continuationSeparator" w:id="0">
    <w:p w14:paraId="6ACF546D" w14:textId="77777777" w:rsidR="004C55F6" w:rsidRDefault="004C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BBE4" w14:textId="594AC911" w:rsidR="00760F1C" w:rsidRPr="00C32492" w:rsidRDefault="00304686">
    <w:pPr>
      <w:pStyle w:val="Footer"/>
      <w:rPr>
        <w:lang w:val="fr-FR"/>
      </w:rPr>
    </w:pPr>
    <w:r>
      <w:fldChar w:fldCharType="begin"/>
    </w:r>
    <w:r w:rsidRPr="00C32492">
      <w:rPr>
        <w:lang w:val="fr-FR"/>
      </w:rPr>
      <w:instrText xml:space="preserve"> FILENAME \p \* MERGEFORMAT </w:instrText>
    </w:r>
    <w:r>
      <w:fldChar w:fldCharType="separate"/>
    </w:r>
    <w:r w:rsidR="00914A81" w:rsidRPr="00C32492">
      <w:rPr>
        <w:lang w:val="fr-FR"/>
      </w:rPr>
      <w:t>P:\ESP\SG\CONSEIL\C21\000\044S.docx</w:t>
    </w:r>
    <w:r>
      <w:rPr>
        <w:lang w:val="en-US"/>
      </w:rPr>
      <w:fldChar w:fldCharType="end"/>
    </w:r>
    <w:r w:rsidR="00914A81" w:rsidRPr="00C32492">
      <w:rPr>
        <w:lang w:val="fr-FR"/>
      </w:rPr>
      <w:t xml:space="preserve"> (483240)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3984" w14:textId="77777777"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38C6C" w14:textId="77777777" w:rsidR="004C55F6" w:rsidRDefault="004C55F6">
      <w:r>
        <w:t>____________________</w:t>
      </w:r>
    </w:p>
  </w:footnote>
  <w:footnote w:type="continuationSeparator" w:id="0">
    <w:p w14:paraId="3CC89B81" w14:textId="77777777" w:rsidR="004C55F6" w:rsidRDefault="004C55F6">
      <w:r>
        <w:continuationSeparator/>
      </w:r>
    </w:p>
  </w:footnote>
  <w:footnote w:id="1">
    <w:p w14:paraId="708B813E" w14:textId="19581B37" w:rsidR="00914A81" w:rsidRPr="00914A81" w:rsidRDefault="00914A81">
      <w:pPr>
        <w:pStyle w:val="FootnoteText"/>
        <w:rPr>
          <w:lang w:val="es-ES"/>
        </w:rPr>
      </w:pPr>
      <w:r>
        <w:rPr>
          <w:rStyle w:val="FootnoteReference"/>
        </w:rPr>
        <w:footnoteRef/>
      </w:r>
      <w:r>
        <w:tab/>
      </w:r>
      <w:r w:rsidRPr="00914A81">
        <w:t>Nota de servicio 13/09</w:t>
      </w:r>
      <w:r>
        <w:t>,</w:t>
      </w:r>
      <w:r w:rsidRPr="00914A81">
        <w:t xml:space="preserve"> promulgada por el Secretario General el 27 de junio de 2013</w:t>
      </w:r>
    </w:p>
  </w:footnote>
  <w:footnote w:id="2">
    <w:p w14:paraId="0F623F23" w14:textId="4C7FBC19" w:rsidR="00914A81" w:rsidRPr="00914A81" w:rsidRDefault="00914A81">
      <w:pPr>
        <w:pStyle w:val="FootnoteText"/>
        <w:rPr>
          <w:lang w:val="es-ES"/>
        </w:rPr>
      </w:pPr>
      <w:r>
        <w:rPr>
          <w:rStyle w:val="FootnoteReference"/>
        </w:rPr>
        <w:footnoteRef/>
      </w:r>
      <w:r>
        <w:tab/>
      </w:r>
      <w:r w:rsidRPr="00914A81">
        <w:t xml:space="preserve">Instituto de Auditores Internos, </w:t>
      </w:r>
      <w:hyperlink r:id="rId1" w:history="1">
        <w:r w:rsidRPr="00914A81">
          <w:rPr>
            <w:rStyle w:val="Hyperlink"/>
          </w:rPr>
          <w:t>www.theiia.org</w:t>
        </w:r>
      </w:hyperlink>
    </w:p>
  </w:footnote>
  <w:footnote w:id="3">
    <w:p w14:paraId="0731B6AE" w14:textId="340E0810" w:rsidR="00914A81" w:rsidRPr="00914A81" w:rsidRDefault="00914A81">
      <w:pPr>
        <w:pStyle w:val="FootnoteText"/>
        <w:rPr>
          <w:lang w:val="es-ES"/>
        </w:rPr>
      </w:pPr>
      <w:r>
        <w:rPr>
          <w:rStyle w:val="FootnoteReference"/>
        </w:rPr>
        <w:footnoteRef/>
      </w:r>
      <w:r>
        <w:tab/>
      </w:r>
      <w:r w:rsidRPr="00914A81">
        <w:t>Nota de servicio 13/09, promulgada por el Secretario General el 27 de junio de 2013</w:t>
      </w:r>
    </w:p>
  </w:footnote>
  <w:footnote w:id="4">
    <w:p w14:paraId="0211D962" w14:textId="6230B11D" w:rsidR="00914A81" w:rsidRPr="00914A81" w:rsidRDefault="00914A81">
      <w:pPr>
        <w:pStyle w:val="FootnoteText"/>
        <w:rPr>
          <w:lang w:val="es-ES"/>
        </w:rPr>
      </w:pPr>
      <w:r>
        <w:rPr>
          <w:rStyle w:val="FootnoteReference"/>
        </w:rPr>
        <w:footnoteRef/>
      </w:r>
      <w:r>
        <w:tab/>
      </w:r>
      <w:r w:rsidRPr="00C32492">
        <w:rPr>
          <w:lang w:val="es-ES"/>
        </w:rPr>
        <w:t xml:space="preserve">2500. </w:t>
      </w:r>
      <w:r w:rsidRPr="00914A81">
        <w:rPr>
          <w:lang w:val="es-ES"/>
        </w:rPr>
        <w:t>A1 – El director de auditoría interna debe establecer un proceso de seguimiento para vigilar y asegurar que las acciones de la dirección hayan sido implantadas eficazmente o que la alta dirección haya aceptado el riesgo de no tomar medidas.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C06C" w14:textId="77777777" w:rsidR="00760F1C" w:rsidRDefault="000B7C15" w:rsidP="007657F0">
    <w:pPr>
      <w:pStyle w:val="Header"/>
    </w:pPr>
    <w:r>
      <w:fldChar w:fldCharType="begin"/>
    </w:r>
    <w:r>
      <w:instrText>PAGE</w:instrText>
    </w:r>
    <w:r>
      <w:fldChar w:fldCharType="separate"/>
    </w:r>
    <w:r w:rsidR="00C2727F">
      <w:rPr>
        <w:noProof/>
      </w:rPr>
      <w:t>2</w:t>
    </w:r>
    <w:r>
      <w:rPr>
        <w:noProof/>
      </w:rPr>
      <w:fldChar w:fldCharType="end"/>
    </w:r>
  </w:p>
  <w:p w14:paraId="3FC2D6B6" w14:textId="103AEA5B" w:rsidR="00760F1C" w:rsidRDefault="00760F1C" w:rsidP="00C2727F">
    <w:pPr>
      <w:pStyle w:val="Header"/>
    </w:pPr>
    <w:r>
      <w:t>C</w:t>
    </w:r>
    <w:r w:rsidR="007955DA">
      <w:t>2</w:t>
    </w:r>
    <w:r w:rsidR="000007D1">
      <w:t>1</w:t>
    </w:r>
    <w:r>
      <w:t>/</w:t>
    </w:r>
    <w:r w:rsidR="00914A81">
      <w:t>44</w:t>
    </w:r>
    <w: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62E6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F4D4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0E060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8E5C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A326A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60BC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5682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F256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A218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70120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09"/>
    <w:rsid w:val="000007D1"/>
    <w:rsid w:val="00066F52"/>
    <w:rsid w:val="00093EEB"/>
    <w:rsid w:val="000B0D00"/>
    <w:rsid w:val="000B7C15"/>
    <w:rsid w:val="000D1D0F"/>
    <w:rsid w:val="000E25FA"/>
    <w:rsid w:val="000F5290"/>
    <w:rsid w:val="0010165C"/>
    <w:rsid w:val="00146BFB"/>
    <w:rsid w:val="00152E7D"/>
    <w:rsid w:val="001F14A2"/>
    <w:rsid w:val="002801AA"/>
    <w:rsid w:val="002905BD"/>
    <w:rsid w:val="002946AA"/>
    <w:rsid w:val="002C4676"/>
    <w:rsid w:val="002C70B0"/>
    <w:rsid w:val="002F3CC4"/>
    <w:rsid w:val="00304686"/>
    <w:rsid w:val="00333B09"/>
    <w:rsid w:val="00362C61"/>
    <w:rsid w:val="004C55F6"/>
    <w:rsid w:val="00513630"/>
    <w:rsid w:val="00560125"/>
    <w:rsid w:val="00585553"/>
    <w:rsid w:val="005B34D9"/>
    <w:rsid w:val="005D0CCF"/>
    <w:rsid w:val="005F3BCB"/>
    <w:rsid w:val="005F410F"/>
    <w:rsid w:val="0060149A"/>
    <w:rsid w:val="00601924"/>
    <w:rsid w:val="006447EA"/>
    <w:rsid w:val="0064731F"/>
    <w:rsid w:val="00664572"/>
    <w:rsid w:val="006710F6"/>
    <w:rsid w:val="006C1B56"/>
    <w:rsid w:val="006C307A"/>
    <w:rsid w:val="006D4761"/>
    <w:rsid w:val="00726872"/>
    <w:rsid w:val="00760F1C"/>
    <w:rsid w:val="007657F0"/>
    <w:rsid w:val="0077252D"/>
    <w:rsid w:val="007955DA"/>
    <w:rsid w:val="007E14C1"/>
    <w:rsid w:val="007E5DD3"/>
    <w:rsid w:val="007F170C"/>
    <w:rsid w:val="007F350B"/>
    <w:rsid w:val="00820BE4"/>
    <w:rsid w:val="008451E8"/>
    <w:rsid w:val="0084634E"/>
    <w:rsid w:val="00913B9C"/>
    <w:rsid w:val="00914A81"/>
    <w:rsid w:val="00956E77"/>
    <w:rsid w:val="009F4811"/>
    <w:rsid w:val="00AA390C"/>
    <w:rsid w:val="00B0200A"/>
    <w:rsid w:val="00B2499E"/>
    <w:rsid w:val="00B574DB"/>
    <w:rsid w:val="00B826C2"/>
    <w:rsid w:val="00B8298E"/>
    <w:rsid w:val="00BB2E53"/>
    <w:rsid w:val="00BD0723"/>
    <w:rsid w:val="00BD2518"/>
    <w:rsid w:val="00BF1D1C"/>
    <w:rsid w:val="00C20C59"/>
    <w:rsid w:val="00C2727F"/>
    <w:rsid w:val="00C32492"/>
    <w:rsid w:val="00C55B1F"/>
    <w:rsid w:val="00CF1A67"/>
    <w:rsid w:val="00D2750E"/>
    <w:rsid w:val="00D62446"/>
    <w:rsid w:val="00DA4EA2"/>
    <w:rsid w:val="00DC3D3E"/>
    <w:rsid w:val="00DC4231"/>
    <w:rsid w:val="00DE2C90"/>
    <w:rsid w:val="00DE3B24"/>
    <w:rsid w:val="00DE4E59"/>
    <w:rsid w:val="00E06947"/>
    <w:rsid w:val="00E3592D"/>
    <w:rsid w:val="00E92DE8"/>
    <w:rsid w:val="00EB1212"/>
    <w:rsid w:val="00ED65AB"/>
    <w:rsid w:val="00F12850"/>
    <w:rsid w:val="00F33BF4"/>
    <w:rsid w:val="00F7105E"/>
    <w:rsid w:val="00F75F57"/>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B4F50"/>
  <w15:docId w15:val="{F35E9D76-3C66-4BFE-B45C-605F7899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
    <w:basedOn w:val="DefaultParagraphFont"/>
    <w:uiPriority w:val="99"/>
    <w:rsid w:val="000B0D00"/>
    <w:rPr>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styleId="UnresolvedMention">
    <w:name w:val="Unresolved Mention"/>
    <w:basedOn w:val="DefaultParagraphFont"/>
    <w:uiPriority w:val="99"/>
    <w:semiHidden/>
    <w:unhideWhenUsed/>
    <w:rsid w:val="00333B09"/>
    <w:rPr>
      <w:color w:val="605E5C"/>
      <w:shd w:val="clear" w:color="auto" w:fill="E1DFDD"/>
    </w:rPr>
  </w:style>
  <w:style w:type="paragraph" w:styleId="NormalWeb">
    <w:name w:val="Normal (Web)"/>
    <w:basedOn w:val="Normal"/>
    <w:semiHidden/>
    <w:unhideWhenUsed/>
    <w:rsid w:val="00333B09"/>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9-CL-C-0130/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u.int/md/S20-CL-C-0083/es" TargetMode="External"/><Relationship Id="rId4" Type="http://schemas.openxmlformats.org/officeDocument/2006/relationships/settings" Target="settings.xml"/><Relationship Id="rId9" Type="http://schemas.openxmlformats.org/officeDocument/2006/relationships/hyperlink" Target="https://www.itu.int/en/council/Documents/Financial-Regulations/S-GEN-REG_RGTFIN-2018-PDF-S.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heii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PS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266B8-144A-4CA6-9F97-8F30A8660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PS_C21.dotx</Template>
  <TotalTime>108</TotalTime>
  <Pages>5</Pages>
  <Words>1617</Words>
  <Characters>9218</Characters>
  <Application>Microsoft Office Word</Application>
  <DocSecurity>0</DocSecurity>
  <Lines>76</Lines>
  <Paragraphs>21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10814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Auditor Interno sobre las actividades de auditoría interna</dc:title>
  <dc:subject>Consejo 2021, Virtual consultation of councillors</dc:subject>
  <dc:creator>Spanish83</dc:creator>
  <cp:keywords>C2021, C21, VCC, C21-VCC-1</cp:keywords>
  <dc:description/>
  <cp:lastModifiedBy>Mendoza-Pinto, Yelitza</cp:lastModifiedBy>
  <cp:revision>11</cp:revision>
  <cp:lastPrinted>2006-03-24T09:51:00Z</cp:lastPrinted>
  <dcterms:created xsi:type="dcterms:W3CDTF">2021-04-26T13:00:00Z</dcterms:created>
  <dcterms:modified xsi:type="dcterms:W3CDTF">2021-04-27T09:39:00Z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