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375F2" w:rsidRPr="00DD7414" w14:paraId="645200FF" w14:textId="77777777">
        <w:trPr>
          <w:cantSplit/>
        </w:trPr>
        <w:tc>
          <w:tcPr>
            <w:tcW w:w="6911" w:type="dxa"/>
          </w:tcPr>
          <w:p w14:paraId="5B0BA874" w14:textId="3A51CB40" w:rsidR="000375F2" w:rsidRPr="00DD7414" w:rsidRDefault="000375F2" w:rsidP="000375F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D7414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DD741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DD7414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DD7414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0375F2" w:rsidRPr="00DD7414" w:rsidRDefault="000375F2" w:rsidP="000375F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D7414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D741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DD741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DD741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741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DD741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DD741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7414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28DFF8C0" w:rsidR="00BC7BC0" w:rsidRPr="00DD741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D741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0C48" w:rsidRPr="00DD7414">
              <w:rPr>
                <w:b/>
                <w:bCs/>
                <w:caps/>
                <w:szCs w:val="22"/>
                <w:lang w:val="ru-RU"/>
              </w:rPr>
              <w:t>ADM 18</w:t>
            </w:r>
          </w:p>
        </w:tc>
        <w:tc>
          <w:tcPr>
            <w:tcW w:w="3120" w:type="dxa"/>
          </w:tcPr>
          <w:p w14:paraId="667A31B9" w14:textId="31D2DD6E" w:rsidR="00BC7BC0" w:rsidRPr="00DD7414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="000375F2" w:rsidRPr="00DD7414">
              <w:rPr>
                <w:b/>
                <w:bCs/>
                <w:szCs w:val="22"/>
                <w:lang w:val="ru-RU"/>
              </w:rPr>
              <w:t>1</w:t>
            </w:r>
            <w:r w:rsidRPr="00DD7414">
              <w:rPr>
                <w:b/>
                <w:bCs/>
                <w:szCs w:val="22"/>
                <w:lang w:val="ru-RU"/>
              </w:rPr>
              <w:t>/</w:t>
            </w:r>
            <w:r w:rsidR="00191301" w:rsidRPr="00DD7414">
              <w:rPr>
                <w:b/>
                <w:bCs/>
                <w:szCs w:val="22"/>
                <w:lang w:val="ru-RU"/>
              </w:rPr>
              <w:t>44</w:t>
            </w:r>
            <w:r w:rsidRPr="00DD74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D741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4E5644CE" w:rsidR="00BC7BC0" w:rsidRPr="00DD7414" w:rsidRDefault="00E17FB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31 марта</w:t>
            </w:r>
            <w:r w:rsidR="00080C48" w:rsidRPr="00DD741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D7414">
              <w:rPr>
                <w:b/>
                <w:bCs/>
                <w:szCs w:val="22"/>
                <w:lang w:val="ru-RU"/>
              </w:rPr>
              <w:t>20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Pr="00DD7414">
              <w:rPr>
                <w:b/>
                <w:bCs/>
                <w:szCs w:val="22"/>
                <w:lang w:val="ru-RU"/>
              </w:rPr>
              <w:t>1</w:t>
            </w:r>
            <w:r w:rsidR="00BC7BC0" w:rsidRPr="00DD741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D741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DD741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D741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276E8F7" w:rsidR="00BC7BC0" w:rsidRPr="00DD7414" w:rsidRDefault="00BC7BC0" w:rsidP="00DD7414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DD7414">
              <w:rPr>
                <w:lang w:val="ru-RU"/>
              </w:rPr>
              <w:t>Отчет Генерального секретаря</w:t>
            </w:r>
          </w:p>
        </w:tc>
      </w:tr>
      <w:tr w:rsidR="00BC7BC0" w:rsidRPr="003E5C17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6B49B99" w:rsidR="00BC7BC0" w:rsidRPr="00DD7414" w:rsidRDefault="00080C4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D7414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14:paraId="4B6F74DD" w14:textId="77777777" w:rsidR="002D2F57" w:rsidRPr="00DD741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00C47" w14:paraId="2FF89862" w14:textId="77777777" w:rsidTr="00080C48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DD7414" w:rsidRDefault="002D2F57">
            <w:pPr>
              <w:pStyle w:val="Headingb"/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>Резюме</w:t>
            </w:r>
          </w:p>
          <w:p w14:paraId="1E17E567" w14:textId="2398C796" w:rsidR="00080C48" w:rsidRPr="00DD7414" w:rsidRDefault="00080C48" w:rsidP="00080C48">
            <w:pPr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>В настоящем отчете охватывается деятельность по внутреннему аудиту с мая 20</w:t>
            </w:r>
            <w:r w:rsidR="00FC4B2E" w:rsidRPr="00DD7414">
              <w:rPr>
                <w:szCs w:val="22"/>
                <w:lang w:val="ru-RU"/>
              </w:rPr>
              <w:t>20</w:t>
            </w:r>
            <w:r w:rsidRPr="00DD7414">
              <w:rPr>
                <w:szCs w:val="22"/>
                <w:lang w:val="ru-RU"/>
              </w:rPr>
              <w:t xml:space="preserve"> года по </w:t>
            </w:r>
            <w:r w:rsidR="00FC4B2E" w:rsidRPr="00DD7414">
              <w:rPr>
                <w:szCs w:val="22"/>
                <w:lang w:val="ru-RU"/>
              </w:rPr>
              <w:t>март</w:t>
            </w:r>
            <w:r w:rsidRPr="00DD7414">
              <w:rPr>
                <w:szCs w:val="22"/>
                <w:lang w:val="ru-RU"/>
              </w:rPr>
              <w:t xml:space="preserve"> 202</w:t>
            </w:r>
            <w:r w:rsidR="00FC4B2E" w:rsidRPr="00DD7414">
              <w:rPr>
                <w:szCs w:val="22"/>
                <w:lang w:val="ru-RU"/>
              </w:rPr>
              <w:t>1</w:t>
            </w:r>
            <w:r w:rsidRPr="00DD7414">
              <w:rPr>
                <w:szCs w:val="22"/>
                <w:lang w:val="ru-RU"/>
              </w:rPr>
              <w:t xml:space="preserve"> года.</w:t>
            </w:r>
          </w:p>
          <w:p w14:paraId="08D54458" w14:textId="77777777" w:rsidR="002D2F57" w:rsidRPr="00DD7414" w:rsidRDefault="002D2F57" w:rsidP="00E55121">
            <w:pPr>
              <w:pStyle w:val="Headingb"/>
              <w:rPr>
                <w:lang w:val="ru-RU"/>
              </w:rPr>
            </w:pPr>
            <w:r w:rsidRPr="00DD7414">
              <w:rPr>
                <w:lang w:val="ru-RU"/>
              </w:rPr>
              <w:t xml:space="preserve">Необходимые </w:t>
            </w:r>
            <w:r w:rsidR="00F5225B" w:rsidRPr="00DD7414">
              <w:rPr>
                <w:lang w:val="ru-RU"/>
              </w:rPr>
              <w:t>действия</w:t>
            </w:r>
          </w:p>
          <w:p w14:paraId="78AB9C76" w14:textId="1D3AF491" w:rsidR="002D2F57" w:rsidRPr="00DD7414" w:rsidRDefault="00080C48">
            <w:pPr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 xml:space="preserve">Настоящий отчет направляется Совету </w:t>
            </w:r>
            <w:r w:rsidRPr="00DD7414">
              <w:rPr>
                <w:b/>
                <w:bCs/>
                <w:szCs w:val="22"/>
                <w:lang w:val="ru-RU"/>
              </w:rPr>
              <w:t>для рассмотрения</w:t>
            </w:r>
            <w:r w:rsidRPr="00DD7414">
              <w:rPr>
                <w:szCs w:val="22"/>
                <w:lang w:val="ru-RU"/>
              </w:rPr>
              <w:t>.</w:t>
            </w:r>
          </w:p>
          <w:p w14:paraId="6A9E596B" w14:textId="77777777" w:rsidR="002D2F57" w:rsidRPr="00DD7414" w:rsidRDefault="002D2F57" w:rsidP="00080C4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DD7414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DD7414" w:rsidRDefault="002D2F57">
            <w:pPr>
              <w:pStyle w:val="Headingb"/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>Справочные материалы</w:t>
            </w:r>
          </w:p>
          <w:p w14:paraId="47CA1E48" w14:textId="4E3FCAEC" w:rsidR="002D2F57" w:rsidRPr="00DD7414" w:rsidRDefault="00DF605A" w:rsidP="00A90A2E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E00C4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00C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00C47">
              <w:rPr>
                <w:lang w:val="ru-RU"/>
              </w:rPr>
              <w:instrText>://</w:instrText>
            </w:r>
            <w:r>
              <w:instrText>www</w:instrText>
            </w:r>
            <w:r w:rsidRPr="00E00C47">
              <w:rPr>
                <w:lang w:val="ru-RU"/>
              </w:rPr>
              <w:instrText>.</w:instrText>
            </w:r>
            <w:r>
              <w:instrText>itu</w:instrText>
            </w:r>
            <w:r w:rsidRPr="00E00C47">
              <w:rPr>
                <w:lang w:val="ru-RU"/>
              </w:rPr>
              <w:instrText>.</w:instrText>
            </w:r>
            <w:r>
              <w:instrText>int</w:instrText>
            </w:r>
            <w:r w:rsidRPr="00E00C47">
              <w:rPr>
                <w:lang w:val="ru-RU"/>
              </w:rPr>
              <w:instrText>/</w:instrText>
            </w:r>
            <w:r>
              <w:instrText>en</w:instrText>
            </w:r>
            <w:r w:rsidRPr="00E00C47">
              <w:rPr>
                <w:lang w:val="ru-RU"/>
              </w:rPr>
              <w:instrText>/</w:instrText>
            </w:r>
            <w:r>
              <w:instrText>council</w:instrText>
            </w:r>
            <w:r w:rsidRPr="00E00C47">
              <w:rPr>
                <w:lang w:val="ru-RU"/>
              </w:rPr>
              <w:instrText>/</w:instrText>
            </w:r>
            <w:r>
              <w:instrText>Documents</w:instrText>
            </w:r>
            <w:r w:rsidRPr="00E00C47">
              <w:rPr>
                <w:lang w:val="ru-RU"/>
              </w:rPr>
              <w:instrText>/</w:instrText>
            </w:r>
            <w:r>
              <w:instrText>Financial</w:instrText>
            </w:r>
            <w:r w:rsidRPr="00E00C47">
              <w:rPr>
                <w:lang w:val="ru-RU"/>
              </w:rPr>
              <w:instrText>-</w:instrText>
            </w:r>
            <w:r>
              <w:instrText>Regulations</w:instrText>
            </w:r>
            <w:r w:rsidRPr="00E00C47">
              <w:rPr>
                <w:lang w:val="ru-RU"/>
              </w:rPr>
              <w:instrText>/</w:instrText>
            </w:r>
            <w:r>
              <w:instrText>S</w:instrText>
            </w:r>
            <w:r w:rsidRPr="00E00C47">
              <w:rPr>
                <w:lang w:val="ru-RU"/>
              </w:rPr>
              <w:instrText>-</w:instrText>
            </w:r>
            <w:r>
              <w:instrText>GEN</w:instrText>
            </w:r>
            <w:r w:rsidRPr="00E00C47">
              <w:rPr>
                <w:lang w:val="ru-RU"/>
              </w:rPr>
              <w:instrText>-</w:instrText>
            </w:r>
            <w:r>
              <w:instrText>REG</w:instrText>
            </w:r>
            <w:r w:rsidRPr="00E00C47">
              <w:rPr>
                <w:lang w:val="ru-RU"/>
              </w:rPr>
              <w:instrText>_</w:instrText>
            </w:r>
            <w:r>
              <w:instrText>RGTFIN</w:instrText>
            </w:r>
            <w:r w:rsidRPr="00E00C47">
              <w:rPr>
                <w:lang w:val="ru-RU"/>
              </w:rPr>
              <w:instrText>-2018-</w:instrText>
            </w:r>
            <w:r>
              <w:instrText>PDF</w:instrText>
            </w:r>
            <w:r w:rsidRPr="00E00C47">
              <w:rPr>
                <w:lang w:val="ru-RU"/>
              </w:rPr>
              <w:instrText>-</w:instrText>
            </w:r>
            <w:r>
              <w:instrText>R</w:instrText>
            </w:r>
            <w:r w:rsidRPr="00E00C47">
              <w:rPr>
                <w:lang w:val="ru-RU"/>
              </w:rPr>
              <w:instrText>.</w:instrText>
            </w:r>
            <w:r>
              <w:instrText>pdf</w:instrText>
            </w:r>
            <w:r w:rsidRPr="00E00C4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80C48" w:rsidRPr="00DD7414">
              <w:rPr>
                <w:rStyle w:val="Hyperlink"/>
                <w:i/>
                <w:iCs/>
                <w:szCs w:val="22"/>
                <w:lang w:val="ru-RU"/>
              </w:rPr>
              <w:t>Финансовый регламент и Финансовые правила МСЭ (2018 г.), Статья 29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22EA9419" w14:textId="1C3B232D" w:rsidR="00A90A2E" w:rsidRPr="00DD7414" w:rsidRDefault="00A90A2E" w:rsidP="00483E27">
      <w:pPr>
        <w:rPr>
          <w:lang w:val="ru-RU"/>
        </w:rPr>
      </w:pPr>
      <w:r w:rsidRPr="00DD7414">
        <w:rPr>
          <w:lang w:val="ru-RU"/>
        </w:rPr>
        <w:br w:type="page"/>
      </w:r>
    </w:p>
    <w:p w14:paraId="7FEA09E8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lastRenderedPageBreak/>
        <w:t>Введение</w:t>
      </w:r>
    </w:p>
    <w:p w14:paraId="508AF819" w14:textId="584984F8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1</w:t>
      </w:r>
      <w:r w:rsidRPr="00DD7414">
        <w:rPr>
          <w:lang w:val="ru-RU"/>
        </w:rPr>
        <w:tab/>
        <w:t>Настоящий отчет направляется Совету МСЭ и подготовлен согласно Статье 29 Финансового регламента (2010 г.). В соответствии с Уставом Службы внутреннего аудита МСЭ</w:t>
      </w:r>
      <w:r w:rsidRPr="00DD7414">
        <w:rPr>
          <w:rStyle w:val="FootnoteReference"/>
          <w:lang w:val="ru-RU"/>
        </w:rPr>
        <w:footnoteReference w:id="1"/>
      </w:r>
      <w:r w:rsidRPr="00DD7414">
        <w:rPr>
          <w:position w:val="6"/>
          <w:sz w:val="16"/>
          <w:lang w:val="ru-RU"/>
        </w:rPr>
        <w:t xml:space="preserve"> </w:t>
      </w:r>
      <w:r w:rsidRPr="00DD7414">
        <w:rPr>
          <w:lang w:val="ru-RU"/>
        </w:rPr>
        <w:t xml:space="preserve">настоящий отчет передается Генеральному секретарю и представляется Совету для рассмотрения. </w:t>
      </w:r>
      <w:r w:rsidR="00600038">
        <w:rPr>
          <w:lang w:val="ru-RU"/>
        </w:rPr>
        <w:t xml:space="preserve">Настоящий </w:t>
      </w:r>
      <w:r w:rsidRPr="00DD7414">
        <w:rPr>
          <w:lang w:val="ru-RU"/>
        </w:rPr>
        <w:t>отчет охватывает деятельность за период с мая 20</w:t>
      </w:r>
      <w:r w:rsidR="00FC4B2E" w:rsidRPr="00DD7414">
        <w:rPr>
          <w:lang w:val="ru-RU"/>
        </w:rPr>
        <w:t>20</w:t>
      </w:r>
      <w:r w:rsidRPr="00DD7414">
        <w:rPr>
          <w:lang w:val="ru-RU"/>
        </w:rPr>
        <w:t xml:space="preserve"> года по </w:t>
      </w:r>
      <w:r w:rsidR="00FC4B2E" w:rsidRPr="00DD7414">
        <w:rPr>
          <w:lang w:val="ru-RU"/>
        </w:rPr>
        <w:t>март</w:t>
      </w:r>
      <w:r w:rsidRPr="00DD7414">
        <w:rPr>
          <w:lang w:val="ru-RU"/>
        </w:rPr>
        <w:t xml:space="preserve"> 202</w:t>
      </w:r>
      <w:r w:rsidR="00FC4B2E" w:rsidRPr="00DD7414">
        <w:rPr>
          <w:lang w:val="ru-RU"/>
        </w:rPr>
        <w:t>1</w:t>
      </w:r>
      <w:r w:rsidRPr="00DD7414">
        <w:rPr>
          <w:lang w:val="ru-RU"/>
        </w:rPr>
        <w:t xml:space="preserve"> года</w:t>
      </w:r>
      <w:r w:rsidRPr="00DD7414">
        <w:rPr>
          <w:color w:val="000000" w:themeColor="text1"/>
          <w:lang w:val="ru-RU"/>
        </w:rPr>
        <w:t>.</w:t>
      </w:r>
    </w:p>
    <w:p w14:paraId="138D31D4" w14:textId="22BCDAA8" w:rsidR="00FC4B2E" w:rsidRPr="0079703B" w:rsidRDefault="00080C48" w:rsidP="00080C48">
      <w:pPr>
        <w:rPr>
          <w:lang w:val="ru-RU"/>
        </w:rPr>
      </w:pPr>
      <w:r w:rsidRPr="00DD7414">
        <w:rPr>
          <w:lang w:val="ru-RU"/>
        </w:rPr>
        <w:t>2</w:t>
      </w:r>
      <w:r w:rsidRPr="00DD7414">
        <w:rPr>
          <w:lang w:val="ru-RU"/>
        </w:rPr>
        <w:tab/>
        <w:t>На протяжении всего отчетного периода подразделение внутреннего аудита состояло из трех сотрудников категории специалистов: одного сотрудника категории P.5 (руководитель подразделения), одного сотрудника категории P.3 (Внутренний аудитор) и одного сотрудника категории P.2 (младший Внутренний аудитор)</w:t>
      </w:r>
      <w:r w:rsidR="00EE2991">
        <w:rPr>
          <w:lang w:val="ru-RU"/>
        </w:rPr>
        <w:t xml:space="preserve">. В </w:t>
      </w:r>
      <w:r w:rsidR="00600038">
        <w:rPr>
          <w:lang w:val="ru-RU"/>
        </w:rPr>
        <w:t>п</w:t>
      </w:r>
      <w:r w:rsidR="00EE2991">
        <w:rPr>
          <w:lang w:val="ru-RU"/>
        </w:rPr>
        <w:t xml:space="preserve">одразделении работал сотрудник категории общего обслуживания </w:t>
      </w:r>
      <w:r w:rsidR="00EE2991" w:rsidRPr="00EE2991">
        <w:rPr>
          <w:color w:val="000000"/>
          <w:lang w:val="ru-RU"/>
        </w:rPr>
        <w:t xml:space="preserve">(помощник </w:t>
      </w:r>
      <w:r w:rsidR="00600038">
        <w:rPr>
          <w:color w:val="000000"/>
          <w:lang w:val="ru-RU"/>
        </w:rPr>
        <w:t>а</w:t>
      </w:r>
      <w:r w:rsidR="00EE2991" w:rsidRPr="00EE2991">
        <w:rPr>
          <w:color w:val="000000"/>
          <w:lang w:val="ru-RU"/>
        </w:rPr>
        <w:t>удитора) на условиях полного рабочего дня</w:t>
      </w:r>
      <w:r w:rsidRPr="00DD7414">
        <w:rPr>
          <w:lang w:val="ru-RU"/>
        </w:rPr>
        <w:t xml:space="preserve"> </w:t>
      </w:r>
      <w:r w:rsidR="00EE2991">
        <w:rPr>
          <w:lang w:val="ru-RU"/>
        </w:rPr>
        <w:t>до конца января</w:t>
      </w:r>
      <w:r w:rsidR="00FC4B2E" w:rsidRPr="00DD7414">
        <w:rPr>
          <w:lang w:val="ru-RU"/>
        </w:rPr>
        <w:t xml:space="preserve"> 2021</w:t>
      </w:r>
      <w:r w:rsidR="00EE2991">
        <w:rPr>
          <w:lang w:val="ru-RU"/>
        </w:rPr>
        <w:t> года, когда занимавший эту должность уволился из МСЭ</w:t>
      </w:r>
      <w:r w:rsidR="00FC4B2E" w:rsidRPr="00DD7414">
        <w:rPr>
          <w:lang w:val="ru-RU"/>
        </w:rPr>
        <w:t xml:space="preserve">. </w:t>
      </w:r>
      <w:r w:rsidR="0079703B">
        <w:rPr>
          <w:lang w:val="ru-RU"/>
        </w:rPr>
        <w:t>Должность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категории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общего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обслуживания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была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упразднена</w:t>
      </w:r>
      <w:r w:rsidR="0079703B" w:rsidRPr="0079703B">
        <w:rPr>
          <w:lang w:val="ru-RU"/>
        </w:rPr>
        <w:t xml:space="preserve">, </w:t>
      </w:r>
      <w:r w:rsidR="0079703B">
        <w:rPr>
          <w:lang w:val="ru-RU"/>
        </w:rPr>
        <w:t>и</w:t>
      </w:r>
      <w:r w:rsidR="00600038">
        <w:rPr>
          <w:lang w:val="ru-RU"/>
        </w:rPr>
        <w:t xml:space="preserve"> </w:t>
      </w:r>
      <w:r w:rsidR="0079703B">
        <w:rPr>
          <w:lang w:val="ru-RU"/>
        </w:rPr>
        <w:t>15 февраля 2021 года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была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создана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должность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категории</w:t>
      </w:r>
      <w:r w:rsidR="0079703B" w:rsidRPr="0079703B">
        <w:rPr>
          <w:lang w:val="ru-RU"/>
        </w:rPr>
        <w:t xml:space="preserve"> </w:t>
      </w:r>
      <w:r w:rsidR="00FC4B2E" w:rsidRPr="00EE2991">
        <w:t>P</w:t>
      </w:r>
      <w:r w:rsidR="00FC4B2E" w:rsidRPr="0079703B">
        <w:rPr>
          <w:lang w:val="ru-RU"/>
        </w:rPr>
        <w:t>4 (</w:t>
      </w:r>
      <w:r w:rsidR="0079703B">
        <w:rPr>
          <w:lang w:val="ru-RU"/>
        </w:rPr>
        <w:t>старший Внутренний аудитор)</w:t>
      </w:r>
      <w:r w:rsidR="00FC4B2E" w:rsidRPr="0079703B">
        <w:rPr>
          <w:lang w:val="ru-RU"/>
        </w:rPr>
        <w:t xml:space="preserve">. </w:t>
      </w:r>
      <w:r w:rsidR="0079703B">
        <w:rPr>
          <w:lang w:val="ru-RU"/>
        </w:rPr>
        <w:t>Таким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образом</w:t>
      </w:r>
      <w:r w:rsidR="0079703B" w:rsidRPr="0079703B">
        <w:rPr>
          <w:lang w:val="ru-RU"/>
        </w:rPr>
        <w:t xml:space="preserve">, </w:t>
      </w:r>
      <w:r w:rsidR="0079703B">
        <w:rPr>
          <w:lang w:val="ru-RU"/>
        </w:rPr>
        <w:t>в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настоящее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время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подразделение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состоит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из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четырех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должностей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категории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специалистов</w:t>
      </w:r>
      <w:r w:rsidR="0079703B" w:rsidRPr="0079703B">
        <w:rPr>
          <w:lang w:val="ru-RU"/>
        </w:rPr>
        <w:t xml:space="preserve">, </w:t>
      </w:r>
      <w:r w:rsidR="0079703B">
        <w:rPr>
          <w:lang w:val="ru-RU"/>
        </w:rPr>
        <w:t>из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которых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одна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вакантна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в ожидании замещения в 2021 году</w:t>
      </w:r>
      <w:r w:rsidR="00FC4B2E" w:rsidRPr="0079703B">
        <w:rPr>
          <w:lang w:val="ru-RU"/>
        </w:rPr>
        <w:t>.</w:t>
      </w:r>
    </w:p>
    <w:p w14:paraId="48B67478" w14:textId="77777777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3</w:t>
      </w:r>
      <w:r w:rsidRPr="00DD7414">
        <w:rPr>
          <w:lang w:val="ru-RU"/>
        </w:rPr>
        <w:tab/>
        <w:t>Служба внутреннего аудита (IA) подтверждает, что проводит свои аудиторские проверки в соответствии с Международными стандартами профессиональной практики внутреннего аудита и Кодексом этики, установленным Институтом внутренних аудиторов</w:t>
      </w:r>
      <w:r w:rsidRPr="00DD7414">
        <w:rPr>
          <w:rStyle w:val="FootnoteReference"/>
          <w:lang w:val="ru-RU"/>
        </w:rPr>
        <w:footnoteReference w:id="2"/>
      </w:r>
      <w:r w:rsidRPr="00DD7414">
        <w:rPr>
          <w:lang w:val="ru-RU"/>
        </w:rPr>
        <w:t xml:space="preserve"> (IIA), а также положениями Устава Службы внутреннего аудита МСЭ</w:t>
      </w:r>
      <w:r w:rsidRPr="00DD7414">
        <w:rPr>
          <w:rStyle w:val="FootnoteReference"/>
          <w:lang w:val="ru-RU"/>
        </w:rPr>
        <w:footnoteReference w:id="3"/>
      </w:r>
      <w:r w:rsidRPr="00DD7414">
        <w:rPr>
          <w:lang w:val="ru-RU"/>
        </w:rPr>
        <w:t>. Кроме того, Служба IA подтверждает, что что за отчетный период ее сотрудники не имели управленческих полномочий и не несли ответственности в связи с какой-либо деятельностью, в отношении которой проводилась аудиторская проверка, и не выполняли учетных или оперативных функций в МСЭ.</w:t>
      </w:r>
    </w:p>
    <w:p w14:paraId="1A9F0606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Направленность и сфера охвата деятельности по внутреннему аудиту</w:t>
      </w:r>
    </w:p>
    <w:p w14:paraId="61B6D345" w14:textId="7B4EA91F" w:rsidR="00080C48" w:rsidRPr="00DD7414" w:rsidRDefault="00080C48" w:rsidP="00080C48">
      <w:pPr>
        <w:rPr>
          <w:lang w:val="ru-RU"/>
        </w:rPr>
      </w:pPr>
      <w:r w:rsidRPr="00FE3A6B">
        <w:rPr>
          <w:lang w:val="ru-RU"/>
        </w:rPr>
        <w:t>4</w:t>
      </w:r>
      <w:r w:rsidRPr="00FE3A6B">
        <w:rPr>
          <w:lang w:val="ru-RU"/>
        </w:rPr>
        <w:tab/>
      </w:r>
      <w:r w:rsidR="0079703B">
        <w:rPr>
          <w:lang w:val="ru-RU"/>
        </w:rPr>
        <w:t>План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работы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Службы</w:t>
      </w:r>
      <w:r w:rsidR="00FC4B2E" w:rsidRPr="00FE3A6B">
        <w:rPr>
          <w:lang w:val="ru-RU"/>
        </w:rPr>
        <w:t xml:space="preserve"> </w:t>
      </w:r>
      <w:r w:rsidR="00FC4B2E" w:rsidRPr="00EE2991">
        <w:t>IA</w:t>
      </w:r>
      <w:r w:rsidR="00FC4B2E" w:rsidRPr="00FE3A6B">
        <w:rPr>
          <w:lang w:val="ru-RU"/>
        </w:rPr>
        <w:t xml:space="preserve"> </w:t>
      </w:r>
      <w:r w:rsidR="0079703B">
        <w:rPr>
          <w:lang w:val="ru-RU"/>
        </w:rPr>
        <w:t>на</w:t>
      </w:r>
      <w:r w:rsidR="0079703B" w:rsidRPr="00FE3A6B">
        <w:rPr>
          <w:lang w:val="ru-RU"/>
        </w:rPr>
        <w:t xml:space="preserve"> 2020</w:t>
      </w:r>
      <w:r w:rsidR="0079703B" w:rsidRPr="0079703B">
        <w:t> </w:t>
      </w:r>
      <w:r w:rsidR="0079703B">
        <w:rPr>
          <w:lang w:val="ru-RU"/>
        </w:rPr>
        <w:t>год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был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составлен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в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более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кратком</w:t>
      </w:r>
      <w:r w:rsidR="0079703B" w:rsidRPr="00FE3A6B">
        <w:rPr>
          <w:lang w:val="ru-RU"/>
        </w:rPr>
        <w:t xml:space="preserve"> </w:t>
      </w:r>
      <w:r w:rsidR="0079703B">
        <w:rPr>
          <w:lang w:val="ru-RU"/>
        </w:rPr>
        <w:t>варианте</w:t>
      </w:r>
      <w:r w:rsidR="00600038">
        <w:rPr>
          <w:lang w:val="ru-RU"/>
        </w:rPr>
        <w:t xml:space="preserve"> в середине 2020 года</w:t>
      </w:r>
      <w:r w:rsidR="00FE3A6B" w:rsidRPr="00FE3A6B">
        <w:rPr>
          <w:lang w:val="ru-RU"/>
        </w:rPr>
        <w:t xml:space="preserve">, </w:t>
      </w:r>
      <w:r w:rsidR="00FE3A6B">
        <w:rPr>
          <w:lang w:val="ru-RU"/>
        </w:rPr>
        <w:t>в</w:t>
      </w:r>
      <w:r w:rsidR="00FE3A6B" w:rsidRPr="00FE3A6B">
        <w:rPr>
          <w:lang w:val="ru-RU"/>
        </w:rPr>
        <w:t xml:space="preserve"> </w:t>
      </w:r>
      <w:proofErr w:type="gramStart"/>
      <w:r w:rsidR="00FE3A6B">
        <w:rPr>
          <w:lang w:val="ru-RU"/>
        </w:rPr>
        <w:t>основном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потому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что</w:t>
      </w:r>
      <w:proofErr w:type="gramEnd"/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Служба</w:t>
      </w:r>
      <w:r w:rsidR="00FE3A6B" w:rsidRPr="00FE3A6B">
        <w:rPr>
          <w:lang w:val="ru-RU"/>
        </w:rPr>
        <w:t xml:space="preserve"> </w:t>
      </w:r>
      <w:r w:rsidR="00FC4B2E" w:rsidRPr="00EE2991">
        <w:t>IA</w:t>
      </w:r>
      <w:r w:rsidR="00FC4B2E" w:rsidRPr="00FE3A6B">
        <w:rPr>
          <w:lang w:val="ru-RU"/>
        </w:rPr>
        <w:t xml:space="preserve"> </w:t>
      </w:r>
      <w:r w:rsidR="00FE3A6B">
        <w:rPr>
          <w:lang w:val="ru-RU"/>
        </w:rPr>
        <w:t>принимала активное участие в расследованиях, которые продолжались на протяжении большей части 2020 года</w:t>
      </w:r>
      <w:r w:rsidR="00FC4B2E" w:rsidRPr="00FE3A6B">
        <w:rPr>
          <w:lang w:val="ru-RU"/>
        </w:rPr>
        <w:t xml:space="preserve">. </w:t>
      </w:r>
      <w:r w:rsidR="00FE3A6B">
        <w:rPr>
          <w:lang w:val="ru-RU"/>
        </w:rPr>
        <w:t>Работа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по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аудиту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началась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в</w:t>
      </w:r>
      <w:r w:rsidR="00FE3A6B" w:rsidRPr="00FE3A6B">
        <w:rPr>
          <w:lang w:val="ru-RU"/>
        </w:rPr>
        <w:t xml:space="preserve"> 2020</w:t>
      </w:r>
      <w:r w:rsidR="00FE3A6B" w:rsidRPr="00FE3A6B">
        <w:t> </w:t>
      </w:r>
      <w:r w:rsidR="00FE3A6B">
        <w:rPr>
          <w:lang w:val="ru-RU"/>
        </w:rPr>
        <w:t>году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несколько поз</w:t>
      </w:r>
      <w:r w:rsidR="008F4708">
        <w:rPr>
          <w:lang w:val="ru-RU"/>
        </w:rPr>
        <w:t>ж</w:t>
      </w:r>
      <w:r w:rsidR="00FE3A6B">
        <w:rPr>
          <w:lang w:val="ru-RU"/>
        </w:rPr>
        <w:t>е</w:t>
      </w:r>
      <w:r w:rsidR="00FC4B2E" w:rsidRPr="00FE3A6B">
        <w:rPr>
          <w:lang w:val="ru-RU"/>
        </w:rPr>
        <w:t xml:space="preserve">. </w:t>
      </w:r>
      <w:r w:rsidRPr="00DD7414">
        <w:rPr>
          <w:lang w:val="ru-RU"/>
        </w:rPr>
        <w:t>В соответствии с Уставом Службы IA план по IA на 20</w:t>
      </w:r>
      <w:r w:rsidR="00FC4B2E" w:rsidRPr="00DD7414">
        <w:rPr>
          <w:lang w:val="ru-RU"/>
        </w:rPr>
        <w:t>21</w:t>
      </w:r>
      <w:r w:rsidRPr="00DD7414">
        <w:rPr>
          <w:lang w:val="ru-RU"/>
        </w:rPr>
        <w:t xml:space="preserve"> год был рассмотрен на 2</w:t>
      </w:r>
      <w:r w:rsidR="00FC4B2E" w:rsidRPr="00DD7414">
        <w:rPr>
          <w:lang w:val="ru-RU"/>
        </w:rPr>
        <w:t>8</w:t>
      </w:r>
      <w:r w:rsidR="003E5C17">
        <w:rPr>
          <w:lang w:val="ru-RU"/>
        </w:rPr>
        <w:noBreakHyphen/>
      </w:r>
      <w:r w:rsidRPr="00DD7414">
        <w:rPr>
          <w:lang w:val="ru-RU"/>
        </w:rPr>
        <w:t>м</w:t>
      </w:r>
      <w:r w:rsidR="003E5C17">
        <w:rPr>
          <w:lang w:val="ru-RU"/>
        </w:rPr>
        <w:t> </w:t>
      </w:r>
      <w:r w:rsidRPr="00DD7414">
        <w:rPr>
          <w:lang w:val="ru-RU"/>
        </w:rPr>
        <w:t xml:space="preserve">собрании </w:t>
      </w:r>
      <w:r w:rsidRPr="00DD7414">
        <w:rPr>
          <w:color w:val="000000"/>
          <w:lang w:val="ru-RU"/>
        </w:rPr>
        <w:t xml:space="preserve">Независимого консультативного комитета по управлению </w:t>
      </w:r>
      <w:r w:rsidRPr="00E00C47">
        <w:rPr>
          <w:lang w:val="ru-RU"/>
        </w:rPr>
        <w:t>(</w:t>
      </w:r>
      <w:r w:rsidRPr="00EE2991">
        <w:t>IMAC</w:t>
      </w:r>
      <w:r w:rsidRPr="00E00C47">
        <w:rPr>
          <w:lang w:val="ru-RU"/>
        </w:rPr>
        <w:t xml:space="preserve">) </w:t>
      </w:r>
      <w:r w:rsidRPr="00DD7414">
        <w:rPr>
          <w:lang w:val="ru-RU"/>
        </w:rPr>
        <w:t>и</w:t>
      </w:r>
      <w:r w:rsidRPr="00E00C47">
        <w:rPr>
          <w:lang w:val="ru-RU"/>
        </w:rPr>
        <w:t xml:space="preserve"> </w:t>
      </w:r>
      <w:r w:rsidRPr="00DD7414">
        <w:rPr>
          <w:lang w:val="ru-RU"/>
        </w:rPr>
        <w:t>утвержден</w:t>
      </w:r>
      <w:r w:rsidRPr="00E00C47">
        <w:rPr>
          <w:lang w:val="ru-RU"/>
        </w:rPr>
        <w:t xml:space="preserve"> </w:t>
      </w:r>
      <w:r w:rsidRPr="00DD7414">
        <w:rPr>
          <w:lang w:val="ru-RU"/>
        </w:rPr>
        <w:t>Генеральным</w:t>
      </w:r>
      <w:r w:rsidRPr="00E00C47">
        <w:rPr>
          <w:lang w:val="ru-RU"/>
        </w:rPr>
        <w:t xml:space="preserve"> </w:t>
      </w:r>
      <w:r w:rsidRPr="00DD7414">
        <w:rPr>
          <w:lang w:val="ru-RU"/>
        </w:rPr>
        <w:t>секретарем</w:t>
      </w:r>
      <w:r w:rsidRPr="00E00C47">
        <w:rPr>
          <w:lang w:val="ru-RU"/>
        </w:rPr>
        <w:t xml:space="preserve"> 2</w:t>
      </w:r>
      <w:r w:rsidR="00FC4B2E" w:rsidRPr="00E00C47">
        <w:rPr>
          <w:lang w:val="ru-RU"/>
        </w:rPr>
        <w:t>9</w:t>
      </w:r>
      <w:r w:rsidRPr="00E00C47">
        <w:rPr>
          <w:lang w:val="ru-RU"/>
        </w:rPr>
        <w:t xml:space="preserve"> </w:t>
      </w:r>
      <w:r w:rsidRPr="00DD7414">
        <w:rPr>
          <w:lang w:val="ru-RU"/>
        </w:rPr>
        <w:t>марта</w:t>
      </w:r>
      <w:r w:rsidRPr="00E00C47">
        <w:rPr>
          <w:lang w:val="ru-RU"/>
        </w:rPr>
        <w:t xml:space="preserve"> 20</w:t>
      </w:r>
      <w:r w:rsidR="00FC4B2E" w:rsidRPr="00E00C47">
        <w:rPr>
          <w:lang w:val="ru-RU"/>
        </w:rPr>
        <w:t>21</w:t>
      </w:r>
      <w:r w:rsidRPr="00E00C47">
        <w:rPr>
          <w:lang w:val="ru-RU"/>
        </w:rPr>
        <w:t xml:space="preserve"> </w:t>
      </w:r>
      <w:r w:rsidRPr="00DD7414">
        <w:rPr>
          <w:lang w:val="ru-RU"/>
        </w:rPr>
        <w:t>года</w:t>
      </w:r>
      <w:r w:rsidRPr="00E00C47">
        <w:rPr>
          <w:lang w:val="ru-RU"/>
        </w:rPr>
        <w:t xml:space="preserve">. </w:t>
      </w:r>
      <w:r w:rsidR="00FE3A6B">
        <w:rPr>
          <w:lang w:val="ru-RU"/>
        </w:rPr>
        <w:t>На</w:t>
      </w:r>
      <w:r w:rsidR="00FE3A6B" w:rsidRPr="00FE3A6B">
        <w:rPr>
          <w:lang w:val="ru-RU"/>
        </w:rPr>
        <w:t xml:space="preserve"> 2021</w:t>
      </w:r>
      <w:r w:rsidR="00FE3A6B" w:rsidRPr="00FE3A6B">
        <w:t> </w:t>
      </w:r>
      <w:r w:rsidR="00FE3A6B">
        <w:rPr>
          <w:lang w:val="ru-RU"/>
        </w:rPr>
        <w:t>год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выделенное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для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расследований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время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было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сокращено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минимума</w:t>
      </w:r>
      <w:r w:rsidR="00FE3A6B" w:rsidRPr="00FE3A6B">
        <w:rPr>
          <w:lang w:val="ru-RU"/>
        </w:rPr>
        <w:t xml:space="preserve">, </w:t>
      </w:r>
      <w:r w:rsidR="00FE3A6B">
        <w:rPr>
          <w:lang w:val="ru-RU"/>
        </w:rPr>
        <w:t>чтобы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дать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Службе</w:t>
      </w:r>
      <w:r w:rsidR="00FE3A6B" w:rsidRPr="00FE3A6B">
        <w:rPr>
          <w:lang w:val="ru-RU"/>
        </w:rPr>
        <w:t xml:space="preserve"> </w:t>
      </w:r>
      <w:r w:rsidR="00FC4B2E" w:rsidRPr="00EE2991">
        <w:t>IA</w:t>
      </w:r>
      <w:r w:rsidR="00FC4B2E" w:rsidRPr="00FE3A6B">
        <w:rPr>
          <w:lang w:val="ru-RU"/>
        </w:rPr>
        <w:t xml:space="preserve"> </w:t>
      </w:r>
      <w:r w:rsidR="00FE3A6B">
        <w:rPr>
          <w:lang w:val="ru-RU"/>
        </w:rPr>
        <w:t>возможность выполнения основной части ее мандата</w:t>
      </w:r>
      <w:r w:rsidR="00FC4B2E" w:rsidRPr="00FE3A6B">
        <w:rPr>
          <w:lang w:val="ru-RU"/>
        </w:rPr>
        <w:t>.</w:t>
      </w:r>
      <w:r w:rsidR="00CB1006" w:rsidRPr="00FE3A6B">
        <w:rPr>
          <w:lang w:val="ru-RU"/>
        </w:rPr>
        <w:t xml:space="preserve"> </w:t>
      </w:r>
      <w:r w:rsidR="00CB1006" w:rsidRPr="00DD7414">
        <w:rPr>
          <w:lang w:val="ru-RU"/>
        </w:rPr>
        <w:t xml:space="preserve">Служба AI ведет работу по расследованию, опираясь на Устав Службы внутреннего аудита, в котором </w:t>
      </w:r>
      <w:r w:rsidRPr="00DD7414">
        <w:rPr>
          <w:lang w:val="ru-RU"/>
        </w:rPr>
        <w:t xml:space="preserve">также говорится, что </w:t>
      </w:r>
      <w:r w:rsidRPr="00DD7414">
        <w:rPr>
          <w:i/>
          <w:iCs/>
          <w:color w:val="000000"/>
          <w:lang w:val="ru-RU"/>
        </w:rPr>
        <w:t xml:space="preserve">Служба внутреннего аудита </w:t>
      </w:r>
      <w:r w:rsidRPr="00DD7414">
        <w:rPr>
          <w:i/>
          <w:iCs/>
          <w:lang w:val="ru-RU"/>
        </w:rPr>
        <w:t>расследует утверждения или предположения о мошенничестве или ненадлежащем управлении, а также что Служба внутреннего аудита может оказывать в рамках МСЭ консультационные услуги</w:t>
      </w:r>
      <w:r w:rsidRPr="00DD7414">
        <w:rPr>
          <w:lang w:val="ru-RU"/>
        </w:rPr>
        <w:t>.</w:t>
      </w:r>
    </w:p>
    <w:p w14:paraId="3DD3D5A8" w14:textId="2AAD96EE" w:rsidR="00080C48" w:rsidRPr="00DD7414" w:rsidRDefault="00080C48" w:rsidP="00080C48">
      <w:pPr>
        <w:rPr>
          <w:sz w:val="24"/>
          <w:szCs w:val="24"/>
          <w:lang w:val="ru-RU"/>
        </w:rPr>
      </w:pPr>
      <w:r w:rsidRPr="00DD7414">
        <w:rPr>
          <w:lang w:val="ru-RU"/>
        </w:rPr>
        <w:t>5</w:t>
      </w:r>
      <w:r w:rsidRPr="00DD7414">
        <w:rPr>
          <w:lang w:val="ru-RU"/>
        </w:rPr>
        <w:tab/>
        <w:t>Служба IA систематически направляет копии отчетов о внутреннем аудите Внешнему аудитору МСЭ и IMAC. 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представителям. С октября 2015 года существует упрощенный механизм доступа к отчетам о внутреннем аудите. В течение отчетного периода через этот онлайновый механизм не было получено запросов на доступ к отчетам о внутреннем аудите.</w:t>
      </w:r>
    </w:p>
    <w:p w14:paraId="02B874D6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Задания по подтверждению достоверности информации и полученные выводы</w:t>
      </w:r>
    </w:p>
    <w:p w14:paraId="7966F14F" w14:textId="5CC9AA78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6</w:t>
      </w:r>
      <w:r w:rsidRPr="00DD7414">
        <w:rPr>
          <w:lang w:val="ru-RU"/>
        </w:rPr>
        <w:tab/>
        <w:t>Цели заданий по подтверждению достоверности информации заключа</w:t>
      </w:r>
      <w:r w:rsidR="00FE3A6B">
        <w:rPr>
          <w:lang w:val="ru-RU"/>
        </w:rPr>
        <w:t>ются</w:t>
      </w:r>
      <w:r w:rsidRPr="00DD7414">
        <w:rPr>
          <w:lang w:val="ru-RU"/>
        </w:rPr>
        <w:t xml:space="preserve"> в оценке: i) аспектов руководства проверенными операциями Союза; </w:t>
      </w:r>
      <w:proofErr w:type="spellStart"/>
      <w:r w:rsidRPr="00DD7414">
        <w:rPr>
          <w:lang w:val="ru-RU"/>
        </w:rPr>
        <w:t>ii</w:t>
      </w:r>
      <w:proofErr w:type="spellEnd"/>
      <w:r w:rsidRPr="00DD7414">
        <w:rPr>
          <w:lang w:val="ru-RU"/>
        </w:rPr>
        <w:t xml:space="preserve">) практики управления рисками; и </w:t>
      </w:r>
      <w:proofErr w:type="spellStart"/>
      <w:r w:rsidRPr="00DD7414">
        <w:rPr>
          <w:lang w:val="ru-RU"/>
        </w:rPr>
        <w:lastRenderedPageBreak/>
        <w:t>iii</w:t>
      </w:r>
      <w:proofErr w:type="spellEnd"/>
      <w:r w:rsidRPr="00DD7414">
        <w:rPr>
          <w:lang w:val="ru-RU"/>
        </w:rPr>
        <w:t>) эффективности мер (внутреннего) контроля. Приоритет рекомендаций, вытекающих из аудиторской проверки, устанавливается в зависимости от воздействия и вероятности нарушений (высокий, средний, низкий приоритеты).</w:t>
      </w:r>
    </w:p>
    <w:p w14:paraId="404CC51D" w14:textId="40442CED" w:rsidR="00080C48" w:rsidRPr="004673AA" w:rsidRDefault="00080C48" w:rsidP="00080C48">
      <w:pPr>
        <w:rPr>
          <w:lang w:val="ru-RU"/>
        </w:rPr>
      </w:pPr>
      <w:r w:rsidRPr="00DD7414">
        <w:rPr>
          <w:lang w:val="ru-RU"/>
        </w:rPr>
        <w:t>7</w:t>
      </w:r>
      <w:r w:rsidRPr="00DD7414">
        <w:rPr>
          <w:lang w:val="ru-RU"/>
        </w:rPr>
        <w:tab/>
        <w:t>Служба IA в случаях, когда это требуется, следит за выполнением рекомендованных мер.</w:t>
      </w:r>
      <w:r w:rsidR="00FC4B2E" w:rsidRPr="00DD7414">
        <w:rPr>
          <w:lang w:val="ru-RU"/>
        </w:rPr>
        <w:t xml:space="preserve"> </w:t>
      </w:r>
      <w:r w:rsidR="004673AA">
        <w:rPr>
          <w:lang w:val="ru-RU"/>
        </w:rPr>
        <w:t>С</w:t>
      </w:r>
      <w:r w:rsidR="00600038">
        <w:rPr>
          <w:lang w:val="ru-RU"/>
        </w:rPr>
        <w:t> </w:t>
      </w:r>
      <w:r w:rsidR="004673AA">
        <w:rPr>
          <w:lang w:val="ru-RU"/>
        </w:rPr>
        <w:t>начала</w:t>
      </w:r>
      <w:r w:rsidR="004673AA" w:rsidRPr="004673AA">
        <w:rPr>
          <w:lang w:val="ru-RU"/>
        </w:rPr>
        <w:t xml:space="preserve"> </w:t>
      </w:r>
      <w:r w:rsidR="00FC4B2E" w:rsidRPr="004673AA">
        <w:rPr>
          <w:lang w:val="ru-RU"/>
        </w:rPr>
        <w:t>2021</w:t>
      </w:r>
      <w:r w:rsidR="004673AA" w:rsidRPr="004673AA">
        <w:t> </w:t>
      </w:r>
      <w:r w:rsidR="004673AA">
        <w:rPr>
          <w:lang w:val="ru-RU"/>
        </w:rPr>
        <w:t>года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для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этого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в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масштабах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всего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Союза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существует</w:t>
      </w:r>
      <w:r w:rsidR="004673AA" w:rsidRPr="004673AA">
        <w:rPr>
          <w:lang w:val="ru-RU"/>
        </w:rPr>
        <w:t xml:space="preserve"> </w:t>
      </w:r>
      <w:r w:rsidR="004673AA">
        <w:rPr>
          <w:color w:val="000000"/>
          <w:lang w:val="ru-RU"/>
        </w:rPr>
        <w:t>и</w:t>
      </w:r>
      <w:r w:rsidR="004673AA" w:rsidRPr="004673AA">
        <w:rPr>
          <w:color w:val="000000"/>
          <w:lang w:val="ru-RU"/>
        </w:rPr>
        <w:t xml:space="preserve">нформационная панель по вопросам соблюдения, </w:t>
      </w:r>
      <w:r w:rsidR="004673AA">
        <w:rPr>
          <w:color w:val="000000"/>
          <w:lang w:val="ru-RU"/>
        </w:rPr>
        <w:t>которая</w:t>
      </w:r>
      <w:r w:rsidR="004673AA" w:rsidRPr="004673AA">
        <w:rPr>
          <w:color w:val="000000"/>
          <w:lang w:val="ru-RU"/>
        </w:rPr>
        <w:t xml:space="preserve"> </w:t>
      </w:r>
      <w:r w:rsidR="004673AA">
        <w:rPr>
          <w:color w:val="000000"/>
          <w:lang w:val="ru-RU"/>
        </w:rPr>
        <w:t>упрощает</w:t>
      </w:r>
      <w:r w:rsidR="004673AA" w:rsidRPr="004673AA">
        <w:rPr>
          <w:color w:val="000000"/>
          <w:lang w:val="ru-RU"/>
        </w:rPr>
        <w:t xml:space="preserve"> </w:t>
      </w:r>
      <w:r w:rsidR="004673AA">
        <w:rPr>
          <w:color w:val="000000"/>
          <w:lang w:val="ru-RU"/>
        </w:rPr>
        <w:t>отслеживание</w:t>
      </w:r>
      <w:r w:rsidR="004673AA" w:rsidRPr="004673AA">
        <w:rPr>
          <w:color w:val="000000"/>
          <w:lang w:val="ru-RU"/>
        </w:rPr>
        <w:t xml:space="preserve"> </w:t>
      </w:r>
      <w:r w:rsidR="004673AA" w:rsidRPr="00DD7414">
        <w:rPr>
          <w:lang w:val="ru-RU"/>
        </w:rPr>
        <w:t>выполнени</w:t>
      </w:r>
      <w:r w:rsidR="004673AA">
        <w:rPr>
          <w:lang w:val="ru-RU"/>
        </w:rPr>
        <w:t>я</w:t>
      </w:r>
      <w:r w:rsidR="004673AA" w:rsidRPr="004673AA">
        <w:rPr>
          <w:lang w:val="ru-RU"/>
        </w:rPr>
        <w:t xml:space="preserve"> </w:t>
      </w:r>
      <w:r w:rsidR="004673AA" w:rsidRPr="00DD7414">
        <w:rPr>
          <w:lang w:val="ru-RU"/>
        </w:rPr>
        <w:t>рекомендованных</w:t>
      </w:r>
      <w:r w:rsidR="004673AA" w:rsidRPr="004673AA">
        <w:rPr>
          <w:lang w:val="ru-RU"/>
        </w:rPr>
        <w:t xml:space="preserve"> </w:t>
      </w:r>
      <w:r w:rsidR="004673AA" w:rsidRPr="00DD7414">
        <w:rPr>
          <w:lang w:val="ru-RU"/>
        </w:rPr>
        <w:t>мер</w:t>
      </w:r>
      <w:r w:rsidR="00FC4B2E" w:rsidRPr="004673AA">
        <w:rPr>
          <w:lang w:val="ru-RU"/>
        </w:rPr>
        <w:t xml:space="preserve"> </w:t>
      </w:r>
      <w:r w:rsidR="004673AA">
        <w:rPr>
          <w:lang w:val="ru-RU"/>
        </w:rPr>
        <w:t>для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соответствующих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руководителей</w:t>
      </w:r>
      <w:r w:rsidR="004673AA" w:rsidRPr="004673AA">
        <w:rPr>
          <w:lang w:val="ru-RU"/>
        </w:rPr>
        <w:t xml:space="preserve">, </w:t>
      </w:r>
      <w:r w:rsidR="004673AA">
        <w:rPr>
          <w:lang w:val="ru-RU"/>
        </w:rPr>
        <w:t>но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не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снимает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 xml:space="preserve">Службы </w:t>
      </w:r>
      <w:r w:rsidR="004673AA">
        <w:rPr>
          <w:lang w:val="en-US"/>
        </w:rPr>
        <w:t>IA</w:t>
      </w:r>
      <w:r w:rsidR="004673AA">
        <w:rPr>
          <w:lang w:val="ru-RU"/>
        </w:rPr>
        <w:t xml:space="preserve"> обязанности </w:t>
      </w:r>
      <w:r w:rsidR="00F14C72">
        <w:rPr>
          <w:lang w:val="ru-RU"/>
        </w:rPr>
        <w:t xml:space="preserve">принимать последующие меры по сделанным ранее рекомендациям </w:t>
      </w:r>
      <w:r w:rsidR="00F14C72" w:rsidRPr="00F14C72">
        <w:rPr>
          <w:color w:val="000000"/>
          <w:lang w:val="ru-RU"/>
        </w:rPr>
        <w:t>в соответствии со стандартом 2500</w:t>
      </w:r>
      <w:r w:rsidR="00F14C72">
        <w:rPr>
          <w:color w:val="000000"/>
          <w:lang w:val="ru-RU"/>
        </w:rPr>
        <w:t xml:space="preserve"> </w:t>
      </w:r>
      <w:r w:rsidR="00F14C72">
        <w:rPr>
          <w:color w:val="000000"/>
          <w:lang w:val="en-US"/>
        </w:rPr>
        <w:t>IIA</w:t>
      </w:r>
      <w:r w:rsidR="00FC4B2E" w:rsidRPr="00DD7414">
        <w:rPr>
          <w:rStyle w:val="FootnoteReference"/>
          <w:rFonts w:cstheme="minorHAnsi"/>
          <w:szCs w:val="24"/>
          <w:lang w:val="ru-RU"/>
        </w:rPr>
        <w:footnoteReference w:id="4"/>
      </w:r>
      <w:r w:rsidR="00FC4B2E" w:rsidRPr="004673AA">
        <w:rPr>
          <w:rFonts w:cstheme="minorHAnsi"/>
          <w:sz w:val="24"/>
          <w:szCs w:val="24"/>
          <w:lang w:val="ru-RU"/>
        </w:rPr>
        <w:t>.</w:t>
      </w:r>
    </w:p>
    <w:p w14:paraId="4BFA99BF" w14:textId="77777777" w:rsidR="00080C48" w:rsidRPr="00DD7414" w:rsidRDefault="00080C48" w:rsidP="00080C48">
      <w:pPr>
        <w:pStyle w:val="Headingb"/>
        <w:rPr>
          <w:highlight w:val="lightGray"/>
          <w:lang w:val="ru-RU"/>
        </w:rPr>
      </w:pPr>
      <w:r w:rsidRPr="00DD7414">
        <w:rPr>
          <w:lang w:val="ru-RU"/>
        </w:rPr>
        <w:t>Расследования подразделения внутреннего аудита</w:t>
      </w:r>
    </w:p>
    <w:p w14:paraId="4E972348" w14:textId="4B10B1CA" w:rsidR="00D70687" w:rsidRPr="00F14C72" w:rsidRDefault="00CA37FA" w:rsidP="00D70687">
      <w:pPr>
        <w:rPr>
          <w:lang w:val="ru-RU"/>
        </w:rPr>
      </w:pPr>
      <w:r w:rsidRPr="00DD7414">
        <w:rPr>
          <w:lang w:val="ru-RU"/>
        </w:rPr>
        <w:t>8</w:t>
      </w:r>
      <w:r w:rsidR="00D70687" w:rsidRPr="00DD7414">
        <w:rPr>
          <w:lang w:val="ru-RU"/>
        </w:rPr>
        <w:tab/>
      </w:r>
      <w:r w:rsidR="00754197" w:rsidRPr="00DD7414">
        <w:rPr>
          <w:lang w:val="ru-RU"/>
        </w:rPr>
        <w:t>Служба IA в своем следственном качестве провела шест</w:t>
      </w:r>
      <w:r w:rsidR="00F14C72">
        <w:rPr>
          <w:lang w:val="ru-RU"/>
        </w:rPr>
        <w:t>ь</w:t>
      </w:r>
      <w:r w:rsidR="00754197" w:rsidRPr="00DD7414">
        <w:rPr>
          <w:lang w:val="ru-RU"/>
        </w:rPr>
        <w:t xml:space="preserve"> расследовани</w:t>
      </w:r>
      <w:r w:rsidR="00F14C72">
        <w:rPr>
          <w:lang w:val="ru-RU"/>
        </w:rPr>
        <w:t>й</w:t>
      </w:r>
      <w:r w:rsidR="00754197" w:rsidRPr="00DD7414">
        <w:rPr>
          <w:lang w:val="ru-RU"/>
        </w:rPr>
        <w:t>. Служба</w:t>
      </w:r>
      <w:r w:rsidR="00754197" w:rsidRPr="00F14C72">
        <w:rPr>
          <w:lang w:val="ru-RU"/>
        </w:rPr>
        <w:t xml:space="preserve"> </w:t>
      </w:r>
      <w:r w:rsidR="00754197" w:rsidRPr="00EE2991">
        <w:t>IA</w:t>
      </w:r>
      <w:r w:rsidR="00754197" w:rsidRPr="00F14C72">
        <w:rPr>
          <w:lang w:val="ru-RU"/>
        </w:rPr>
        <w:t xml:space="preserve"> </w:t>
      </w:r>
      <w:r w:rsidR="00754197" w:rsidRPr="00DD7414">
        <w:rPr>
          <w:lang w:val="ru-RU"/>
        </w:rPr>
        <w:t>также</w:t>
      </w:r>
      <w:r w:rsidR="00754197" w:rsidRPr="00F14C72">
        <w:rPr>
          <w:lang w:val="ru-RU"/>
        </w:rPr>
        <w:t xml:space="preserve"> </w:t>
      </w:r>
      <w:r w:rsidR="00754197" w:rsidRPr="00DD7414">
        <w:rPr>
          <w:lang w:val="ru-RU"/>
        </w:rPr>
        <w:t>оказывала</w:t>
      </w:r>
      <w:r w:rsidR="00754197" w:rsidRPr="00F14C72">
        <w:rPr>
          <w:lang w:val="ru-RU"/>
        </w:rPr>
        <w:t xml:space="preserve"> </w:t>
      </w:r>
      <w:r w:rsidR="00754197" w:rsidRPr="00DD7414">
        <w:rPr>
          <w:lang w:val="ru-RU"/>
        </w:rPr>
        <w:t>всеобъемлющую</w:t>
      </w:r>
      <w:r w:rsidR="00754197" w:rsidRPr="00F14C72">
        <w:rPr>
          <w:lang w:val="ru-RU"/>
        </w:rPr>
        <w:t xml:space="preserve"> </w:t>
      </w:r>
      <w:r w:rsidR="00754197" w:rsidRPr="00DD7414">
        <w:rPr>
          <w:lang w:val="ru-RU"/>
        </w:rPr>
        <w:t>поддержку</w:t>
      </w:r>
      <w:r w:rsidR="00754197" w:rsidRPr="00F14C72">
        <w:rPr>
          <w:lang w:val="ru-RU"/>
        </w:rPr>
        <w:t xml:space="preserve"> </w:t>
      </w:r>
      <w:r w:rsidR="00F14C72">
        <w:rPr>
          <w:lang w:val="ru-RU"/>
        </w:rPr>
        <w:t>внешнему</w:t>
      </w:r>
      <w:r w:rsidR="00F14C72" w:rsidRPr="00F14C72">
        <w:rPr>
          <w:lang w:val="ru-RU"/>
        </w:rPr>
        <w:t xml:space="preserve"> </w:t>
      </w:r>
      <w:r w:rsidR="00F14C72">
        <w:rPr>
          <w:lang w:val="ru-RU"/>
        </w:rPr>
        <w:t>специалисту</w:t>
      </w:r>
      <w:r w:rsidR="00F14C72" w:rsidRPr="00F14C72">
        <w:rPr>
          <w:lang w:val="ru-RU"/>
        </w:rPr>
        <w:t xml:space="preserve"> </w:t>
      </w:r>
      <w:r w:rsidR="00F14C72">
        <w:rPr>
          <w:lang w:val="ru-RU"/>
        </w:rPr>
        <w:t>по</w:t>
      </w:r>
      <w:r w:rsidR="00F14C72" w:rsidRPr="00F14C72">
        <w:rPr>
          <w:lang w:val="ru-RU"/>
        </w:rPr>
        <w:t xml:space="preserve"> </w:t>
      </w:r>
      <w:r w:rsidR="00F14C72">
        <w:rPr>
          <w:lang w:val="ru-RU"/>
        </w:rPr>
        <w:t>расследованиям в расследовании случая домогательства</w:t>
      </w:r>
      <w:r w:rsidR="00D70687" w:rsidRPr="00F14C72">
        <w:rPr>
          <w:lang w:val="ru-RU"/>
        </w:rPr>
        <w:t>.</w:t>
      </w:r>
    </w:p>
    <w:p w14:paraId="3B053646" w14:textId="2644FA77" w:rsidR="00CA37FA" w:rsidRPr="00DD7414" w:rsidRDefault="00CA37FA" w:rsidP="00D70687">
      <w:pPr>
        <w:rPr>
          <w:lang w:val="ru-RU"/>
        </w:rPr>
      </w:pPr>
      <w:r w:rsidRPr="00DD7414">
        <w:rPr>
          <w:lang w:val="ru-RU"/>
        </w:rPr>
        <w:t>9</w:t>
      </w:r>
      <w:r w:rsidR="00D70687" w:rsidRPr="00DD7414">
        <w:rPr>
          <w:lang w:val="ru-RU"/>
        </w:rPr>
        <w:tab/>
      </w:r>
      <w:r w:rsidR="00754197" w:rsidRPr="00DD7414">
        <w:rPr>
          <w:lang w:val="ru-RU"/>
        </w:rPr>
        <w:t xml:space="preserve">Служба IA </w:t>
      </w:r>
      <w:r w:rsidR="00F14C72">
        <w:rPr>
          <w:lang w:val="ru-RU"/>
        </w:rPr>
        <w:t>завершила</w:t>
      </w:r>
      <w:r w:rsidR="00754197" w:rsidRPr="00DD7414">
        <w:rPr>
          <w:lang w:val="ru-RU"/>
        </w:rPr>
        <w:t xml:space="preserve"> шесть расследований: </w:t>
      </w:r>
    </w:p>
    <w:p w14:paraId="17C82FBF" w14:textId="7567A924" w:rsidR="00CA37FA" w:rsidRPr="00DD7414" w:rsidRDefault="00CA37FA" w:rsidP="00CA37FA">
      <w:pPr>
        <w:pStyle w:val="enumlev1"/>
        <w:rPr>
          <w:lang w:val="ru-RU"/>
        </w:rPr>
      </w:pPr>
      <w:r w:rsidRPr="00DD7414">
        <w:rPr>
          <w:lang w:val="ru-RU"/>
        </w:rPr>
        <w:t>a)</w:t>
      </w:r>
      <w:r w:rsidRPr="00DD7414">
        <w:rPr>
          <w:lang w:val="ru-RU"/>
        </w:rPr>
        <w:tab/>
      </w:r>
      <w:r w:rsidR="00754197" w:rsidRPr="00DD7414">
        <w:rPr>
          <w:lang w:val="ru-RU"/>
        </w:rPr>
        <w:t>три</w:t>
      </w:r>
      <w:r w:rsidR="003E368A">
        <w:rPr>
          <w:lang w:val="ru-RU"/>
        </w:rPr>
        <w:t xml:space="preserve"> официальных</w:t>
      </w:r>
      <w:r w:rsidR="00754197" w:rsidRPr="00DD7414">
        <w:rPr>
          <w:lang w:val="ru-RU"/>
        </w:rPr>
        <w:t xml:space="preserve"> расследования в связи с жалобами по поводу предполагаемой несанкционированной внеслужебной деятельности</w:t>
      </w:r>
      <w:r w:rsidR="003E368A">
        <w:rPr>
          <w:lang w:val="ru-RU"/>
        </w:rPr>
        <w:t xml:space="preserve"> (управление и/или владение компанией)</w:t>
      </w:r>
      <w:r w:rsidR="00754197" w:rsidRPr="00DD7414">
        <w:rPr>
          <w:lang w:val="ru-RU"/>
        </w:rPr>
        <w:t xml:space="preserve">; </w:t>
      </w:r>
    </w:p>
    <w:p w14:paraId="58B5D101" w14:textId="5DC2F0A6" w:rsidR="00CA37FA" w:rsidRPr="00DD7414" w:rsidRDefault="00CA37FA" w:rsidP="00CA37FA">
      <w:pPr>
        <w:pStyle w:val="enumlev1"/>
        <w:rPr>
          <w:lang w:val="ru-RU"/>
        </w:rPr>
      </w:pPr>
      <w:r w:rsidRPr="00DD7414">
        <w:rPr>
          <w:lang w:val="ru-RU"/>
        </w:rPr>
        <w:t>b)</w:t>
      </w:r>
      <w:r w:rsidRPr="00DD7414">
        <w:rPr>
          <w:lang w:val="ru-RU"/>
        </w:rPr>
        <w:tab/>
      </w:r>
      <w:r w:rsidR="003E368A">
        <w:rPr>
          <w:lang w:val="ru-RU"/>
        </w:rPr>
        <w:t xml:space="preserve">официальное </w:t>
      </w:r>
      <w:r w:rsidR="00754197" w:rsidRPr="00DD7414">
        <w:rPr>
          <w:lang w:val="ru-RU"/>
        </w:rPr>
        <w:t xml:space="preserve">расследование в отношении предполагаемого мошенничества при получении сотрудником пособий и/или надбавок; </w:t>
      </w:r>
    </w:p>
    <w:p w14:paraId="3435C97A" w14:textId="5899EB0F" w:rsidR="00CA37FA" w:rsidRPr="00DD7414" w:rsidRDefault="00CA37FA" w:rsidP="00CA37FA">
      <w:pPr>
        <w:pStyle w:val="enumlev1"/>
        <w:rPr>
          <w:lang w:val="ru-RU"/>
        </w:rPr>
      </w:pPr>
      <w:r w:rsidRPr="00DD7414">
        <w:rPr>
          <w:lang w:val="ru-RU"/>
        </w:rPr>
        <w:t>c)</w:t>
      </w:r>
      <w:r w:rsidRPr="00DD7414">
        <w:rPr>
          <w:lang w:val="ru-RU"/>
        </w:rPr>
        <w:tab/>
      </w:r>
      <w:r w:rsidR="003E368A">
        <w:rPr>
          <w:lang w:val="ru-RU"/>
        </w:rPr>
        <w:t>официальное</w:t>
      </w:r>
      <w:r w:rsidR="003E368A" w:rsidRPr="00DD7414">
        <w:rPr>
          <w:lang w:val="ru-RU"/>
        </w:rPr>
        <w:t xml:space="preserve"> </w:t>
      </w:r>
      <w:r w:rsidR="00754197" w:rsidRPr="00DD7414">
        <w:rPr>
          <w:lang w:val="ru-RU"/>
        </w:rPr>
        <w:t>расследование в связи с жалобой в отношении нескольких сотрудников, которые предположительно побуждали к предоставлению потенциально секретной/конфиденциальной информации внешним сторонам, были свидетелями таких действий и/или активно участвовали в них; и</w:t>
      </w:r>
    </w:p>
    <w:p w14:paraId="36C70868" w14:textId="21648B29" w:rsidR="00D70687" w:rsidRPr="00DD7414" w:rsidRDefault="00CA37FA" w:rsidP="00CA37FA">
      <w:pPr>
        <w:pStyle w:val="enumlev1"/>
        <w:rPr>
          <w:lang w:val="ru-RU"/>
        </w:rPr>
      </w:pPr>
      <w:r w:rsidRPr="00DD7414">
        <w:rPr>
          <w:lang w:val="ru-RU"/>
        </w:rPr>
        <w:t>d)</w:t>
      </w:r>
      <w:r w:rsidRPr="00DD7414">
        <w:rPr>
          <w:lang w:val="ru-RU"/>
        </w:rPr>
        <w:tab/>
      </w:r>
      <w:r w:rsidR="003E368A">
        <w:rPr>
          <w:lang w:val="ru-RU"/>
        </w:rPr>
        <w:t>официальное</w:t>
      </w:r>
      <w:r w:rsidR="003E368A" w:rsidRPr="00DD7414">
        <w:rPr>
          <w:lang w:val="ru-RU"/>
        </w:rPr>
        <w:t xml:space="preserve"> </w:t>
      </w:r>
      <w:r w:rsidR="00754197" w:rsidRPr="00DD7414">
        <w:rPr>
          <w:lang w:val="ru-RU"/>
        </w:rPr>
        <w:t>расследование, связанное с жалобой в отношении предполагаемого уничтожения и/или сокрытия сотрудником архивов МСЭ</w:t>
      </w:r>
      <w:r w:rsidR="00D70687" w:rsidRPr="00DD7414">
        <w:rPr>
          <w:lang w:val="ru-RU"/>
        </w:rPr>
        <w:t xml:space="preserve">. </w:t>
      </w:r>
    </w:p>
    <w:p w14:paraId="60B8DDB4" w14:textId="07F7FB4A" w:rsidR="00CA37FA" w:rsidRPr="00561097" w:rsidRDefault="005348A4" w:rsidP="00CA37FA">
      <w:pPr>
        <w:rPr>
          <w:lang w:val="ru-RU"/>
        </w:rPr>
      </w:pPr>
      <w:r>
        <w:rPr>
          <w:lang w:val="ru-RU"/>
        </w:rPr>
        <w:t>По</w:t>
      </w:r>
      <w:r w:rsidRPr="005348A4">
        <w:rPr>
          <w:lang w:val="ru-RU"/>
        </w:rPr>
        <w:t xml:space="preserve"> </w:t>
      </w:r>
      <w:r>
        <w:rPr>
          <w:lang w:val="ru-RU"/>
        </w:rPr>
        <w:t>завершении</w:t>
      </w:r>
      <w:r w:rsidRPr="005348A4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5348A4">
        <w:rPr>
          <w:lang w:val="ru-RU"/>
        </w:rPr>
        <w:t xml:space="preserve"> </w:t>
      </w:r>
      <w:r>
        <w:rPr>
          <w:lang w:val="ru-RU"/>
        </w:rPr>
        <w:t>и</w:t>
      </w:r>
      <w:r w:rsidRPr="005348A4">
        <w:rPr>
          <w:lang w:val="ru-RU"/>
        </w:rPr>
        <w:t xml:space="preserve"> </w:t>
      </w:r>
      <w:r>
        <w:rPr>
          <w:lang w:val="ru-RU"/>
        </w:rPr>
        <w:t>в</w:t>
      </w:r>
      <w:r w:rsidRPr="005348A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348A4">
        <w:rPr>
          <w:lang w:val="ru-RU"/>
        </w:rPr>
        <w:t xml:space="preserve"> </w:t>
      </w:r>
      <w:r>
        <w:rPr>
          <w:lang w:val="ru-RU"/>
        </w:rPr>
        <w:t>с</w:t>
      </w:r>
      <w:r w:rsidRPr="005348A4">
        <w:rPr>
          <w:lang w:val="ru-RU"/>
        </w:rPr>
        <w:t xml:space="preserve"> </w:t>
      </w:r>
      <w:r w:rsidRPr="005348A4">
        <w:rPr>
          <w:color w:val="000000"/>
          <w:lang w:val="ru-RU"/>
        </w:rPr>
        <w:t>руководящим</w:t>
      </w:r>
      <w:r>
        <w:rPr>
          <w:color w:val="000000"/>
          <w:lang w:val="ru-RU"/>
        </w:rPr>
        <w:t>и</w:t>
      </w:r>
      <w:r w:rsidRPr="005348A4">
        <w:rPr>
          <w:color w:val="000000"/>
          <w:lang w:val="ru-RU"/>
        </w:rPr>
        <w:t xml:space="preserve"> указаниям</w:t>
      </w:r>
      <w:r>
        <w:rPr>
          <w:color w:val="000000"/>
          <w:lang w:val="ru-RU"/>
        </w:rPr>
        <w:t>и</w:t>
      </w:r>
      <w:r w:rsidRPr="005348A4">
        <w:rPr>
          <w:color w:val="000000"/>
          <w:lang w:val="ru-RU"/>
        </w:rPr>
        <w:t xml:space="preserve"> МСЭ по проведению расследований </w:t>
      </w:r>
      <w:r>
        <w:rPr>
          <w:color w:val="000000"/>
          <w:lang w:val="ru-RU"/>
        </w:rPr>
        <w:t>Служба</w:t>
      </w:r>
      <w:r>
        <w:rPr>
          <w:lang w:val="ru-RU"/>
        </w:rPr>
        <w:t xml:space="preserve"> </w:t>
      </w:r>
      <w:r w:rsidR="00CA37FA" w:rsidRPr="00EE2991">
        <w:t>IA</w:t>
      </w:r>
      <w:r w:rsidR="00CA37FA" w:rsidRPr="005348A4">
        <w:rPr>
          <w:lang w:val="ru-RU"/>
        </w:rPr>
        <w:t xml:space="preserve"> </w:t>
      </w:r>
      <w:r>
        <w:rPr>
          <w:lang w:val="ru-RU"/>
        </w:rPr>
        <w:t>представила Генеральному секретарю конфиденциальные отчеты по расследованиям</w:t>
      </w:r>
      <w:r w:rsidR="00CA37FA" w:rsidRPr="005348A4">
        <w:rPr>
          <w:lang w:val="ru-RU"/>
        </w:rPr>
        <w:t xml:space="preserve">. </w:t>
      </w:r>
      <w:r w:rsidR="006A3B28">
        <w:rPr>
          <w:lang w:val="ru-RU"/>
        </w:rPr>
        <w:t>По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расследованию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по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пункту</w:t>
      </w:r>
      <w:r w:rsidR="006A3B28" w:rsidRPr="006A3B28">
        <w:rPr>
          <w:lang w:val="ru-RU"/>
        </w:rPr>
        <w:t xml:space="preserve"> </w:t>
      </w:r>
      <w:r w:rsidR="00CA37FA" w:rsidRPr="00EE2991">
        <w:t>d</w:t>
      </w:r>
      <w:r w:rsidR="006A3B28" w:rsidRPr="006A3B28">
        <w:rPr>
          <w:lang w:val="ru-RU"/>
        </w:rPr>
        <w:t xml:space="preserve">), </w:t>
      </w:r>
      <w:r w:rsidR="006A3B28">
        <w:rPr>
          <w:lang w:val="ru-RU"/>
        </w:rPr>
        <w:t>выше</w:t>
      </w:r>
      <w:r w:rsidR="006A3B28" w:rsidRPr="006A3B28">
        <w:rPr>
          <w:lang w:val="ru-RU"/>
        </w:rPr>
        <w:t xml:space="preserve">, </w:t>
      </w:r>
      <w:r w:rsidR="006A3B28">
        <w:rPr>
          <w:lang w:val="ru-RU"/>
        </w:rPr>
        <w:t>был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представлен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отчет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о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закрытии</w:t>
      </w:r>
      <w:r w:rsidR="006A3B28" w:rsidRPr="006A3B28">
        <w:rPr>
          <w:lang w:val="ru-RU"/>
        </w:rPr>
        <w:t xml:space="preserve">, </w:t>
      </w:r>
      <w:r w:rsidR="006A3B28">
        <w:rPr>
          <w:lang w:val="ru-RU"/>
        </w:rPr>
        <w:t>поскольку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был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сделан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вывод</w:t>
      </w:r>
      <w:r w:rsidR="006A3B28" w:rsidRPr="006A3B28">
        <w:rPr>
          <w:lang w:val="ru-RU"/>
        </w:rPr>
        <w:t xml:space="preserve">, </w:t>
      </w:r>
      <w:r w:rsidR="006A3B28">
        <w:rPr>
          <w:lang w:val="ru-RU"/>
        </w:rPr>
        <w:t>что</w:t>
      </w:r>
      <w:r w:rsidR="006A3B28" w:rsidRPr="006A3B28">
        <w:rPr>
          <w:lang w:val="ru-RU"/>
        </w:rPr>
        <w:t xml:space="preserve"> </w:t>
      </w:r>
      <w:r w:rsidR="006A3B28">
        <w:rPr>
          <w:lang w:val="ru-RU"/>
        </w:rPr>
        <w:t>предположения были необоснованными</w:t>
      </w:r>
      <w:r w:rsidR="00CA37FA" w:rsidRPr="006A3B28">
        <w:rPr>
          <w:lang w:val="ru-RU"/>
        </w:rPr>
        <w:t xml:space="preserve">. </w:t>
      </w:r>
      <w:r w:rsidR="006A3B28">
        <w:rPr>
          <w:lang w:val="ru-RU"/>
        </w:rPr>
        <w:t>Относительно</w:t>
      </w:r>
      <w:r w:rsidR="006A3B28" w:rsidRPr="00561097">
        <w:rPr>
          <w:lang w:val="ru-RU"/>
        </w:rPr>
        <w:t xml:space="preserve"> </w:t>
      </w:r>
      <w:r w:rsidR="006A3B28">
        <w:rPr>
          <w:lang w:val="ru-RU"/>
        </w:rPr>
        <w:t>расследования</w:t>
      </w:r>
      <w:r w:rsidR="006A3B28" w:rsidRPr="00561097">
        <w:rPr>
          <w:lang w:val="ru-RU"/>
        </w:rPr>
        <w:t xml:space="preserve"> </w:t>
      </w:r>
      <w:r w:rsidR="006A3B28">
        <w:rPr>
          <w:lang w:val="ru-RU"/>
        </w:rPr>
        <w:t>по</w:t>
      </w:r>
      <w:r w:rsidR="006A3B28" w:rsidRPr="00561097">
        <w:rPr>
          <w:lang w:val="ru-RU"/>
        </w:rPr>
        <w:t xml:space="preserve"> </w:t>
      </w:r>
      <w:r w:rsidR="006A3B28">
        <w:rPr>
          <w:lang w:val="ru-RU"/>
        </w:rPr>
        <w:t>пункту</w:t>
      </w:r>
      <w:r w:rsidR="006A3B28" w:rsidRPr="006A3B28">
        <w:t> </w:t>
      </w:r>
      <w:r w:rsidR="00CA37FA" w:rsidRPr="00EE2991">
        <w:t>c</w:t>
      </w:r>
      <w:r w:rsidR="006A3B28" w:rsidRPr="00561097">
        <w:rPr>
          <w:lang w:val="ru-RU"/>
        </w:rPr>
        <w:t>)</w:t>
      </w:r>
      <w:r w:rsidR="00561097" w:rsidRPr="00561097">
        <w:rPr>
          <w:lang w:val="ru-RU"/>
        </w:rPr>
        <w:t xml:space="preserve">, </w:t>
      </w:r>
      <w:r w:rsidR="00561097">
        <w:rPr>
          <w:lang w:val="ru-RU"/>
        </w:rPr>
        <w:t>выше</w:t>
      </w:r>
      <w:r w:rsidR="00561097" w:rsidRPr="00561097">
        <w:rPr>
          <w:lang w:val="ru-RU"/>
        </w:rPr>
        <w:t xml:space="preserve">, </w:t>
      </w:r>
      <w:r w:rsidR="00561097">
        <w:rPr>
          <w:lang w:val="ru-RU"/>
        </w:rPr>
        <w:t>с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учетом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того</w:t>
      </w:r>
      <w:r w:rsidR="00561097" w:rsidRPr="00561097">
        <w:rPr>
          <w:lang w:val="ru-RU"/>
        </w:rPr>
        <w:t xml:space="preserve">, </w:t>
      </w:r>
      <w:r w:rsidR="00561097">
        <w:rPr>
          <w:lang w:val="ru-RU"/>
        </w:rPr>
        <w:t>что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оно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касается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случая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мошенничества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или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предполагаемого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мошенничества</w:t>
      </w:r>
      <w:r w:rsidR="00561097" w:rsidRPr="00561097">
        <w:rPr>
          <w:lang w:val="ru-RU"/>
        </w:rPr>
        <w:t xml:space="preserve">, </w:t>
      </w:r>
      <w:r w:rsidR="00561097">
        <w:rPr>
          <w:lang w:val="ru-RU"/>
        </w:rPr>
        <w:t>в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феврале</w:t>
      </w:r>
      <w:r w:rsidR="00561097" w:rsidRPr="00561097">
        <w:rPr>
          <w:lang w:val="ru-RU"/>
        </w:rPr>
        <w:t xml:space="preserve"> 2021</w:t>
      </w:r>
      <w:r w:rsidR="00561097" w:rsidRPr="00561097">
        <w:t> </w:t>
      </w:r>
      <w:r w:rsidR="00561097">
        <w:rPr>
          <w:lang w:val="ru-RU"/>
        </w:rPr>
        <w:t>года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нем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было сообщено Внешнему аудитору</w:t>
      </w:r>
      <w:r w:rsidR="00CA37FA" w:rsidRPr="00561097">
        <w:rPr>
          <w:lang w:val="ru-RU"/>
        </w:rPr>
        <w:t xml:space="preserve"> </w:t>
      </w:r>
      <w:r w:rsidR="00561097">
        <w:rPr>
          <w:lang w:val="ru-RU"/>
        </w:rPr>
        <w:t>(в</w:t>
      </w:r>
      <w:r w:rsidR="008F4708">
        <w:rPr>
          <w:lang w:val="ru-RU"/>
        </w:rPr>
        <w:t> </w:t>
      </w:r>
      <w:r w:rsidR="00561097">
        <w:rPr>
          <w:lang w:val="ru-RU"/>
        </w:rPr>
        <w:t xml:space="preserve">соответствии с </w:t>
      </w:r>
      <w:r w:rsidR="00561097" w:rsidRPr="00561097">
        <w:rPr>
          <w:color w:val="000000"/>
          <w:lang w:val="ru-RU"/>
        </w:rPr>
        <w:t>положением 28.9 Финансового регламента МСЭ</w:t>
      </w:r>
      <w:r w:rsidR="00CA37FA" w:rsidRPr="00561097">
        <w:rPr>
          <w:lang w:val="ru-RU"/>
        </w:rPr>
        <w:t xml:space="preserve">). </w:t>
      </w:r>
      <w:r w:rsidR="00561097">
        <w:rPr>
          <w:lang w:val="ru-RU"/>
        </w:rPr>
        <w:t>По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данному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случаю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было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установлено</w:t>
      </w:r>
      <w:r w:rsidR="00561097" w:rsidRPr="00561097">
        <w:rPr>
          <w:lang w:val="ru-RU"/>
        </w:rPr>
        <w:t xml:space="preserve">, </w:t>
      </w:r>
      <w:r w:rsidR="00561097">
        <w:rPr>
          <w:lang w:val="ru-RU"/>
        </w:rPr>
        <w:t>что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сотрудник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получил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сумму</w:t>
      </w:r>
      <w:r w:rsidR="00561097" w:rsidRPr="00561097">
        <w:rPr>
          <w:lang w:val="ru-RU"/>
        </w:rPr>
        <w:t xml:space="preserve"> </w:t>
      </w:r>
      <w:r w:rsidR="00561097">
        <w:rPr>
          <w:lang w:val="ru-RU"/>
        </w:rPr>
        <w:t>в</w:t>
      </w:r>
      <w:r w:rsidR="00561097" w:rsidRPr="00561097">
        <w:rPr>
          <w:lang w:val="ru-RU"/>
        </w:rPr>
        <w:t xml:space="preserve"> </w:t>
      </w:r>
      <w:r w:rsidR="00BA5E60">
        <w:rPr>
          <w:lang w:val="ru-RU"/>
        </w:rPr>
        <w:t xml:space="preserve">размере </w:t>
      </w:r>
      <w:r w:rsidR="00CA37FA" w:rsidRPr="00561097">
        <w:rPr>
          <w:lang w:val="ru-RU"/>
        </w:rPr>
        <w:t>11</w:t>
      </w:r>
      <w:r w:rsidR="00561097">
        <w:rPr>
          <w:lang w:val="ru-RU"/>
        </w:rPr>
        <w:t> </w:t>
      </w:r>
      <w:r w:rsidR="00CA37FA" w:rsidRPr="00561097">
        <w:rPr>
          <w:lang w:val="ru-RU"/>
        </w:rPr>
        <w:t>279</w:t>
      </w:r>
      <w:r w:rsidR="00BA5E60">
        <w:rPr>
          <w:lang w:val="ru-RU"/>
        </w:rPr>
        <w:t>,</w:t>
      </w:r>
      <w:r w:rsidR="00CA37FA" w:rsidRPr="00561097">
        <w:rPr>
          <w:lang w:val="ru-RU"/>
        </w:rPr>
        <w:t>25</w:t>
      </w:r>
      <w:r w:rsidR="00561097">
        <w:rPr>
          <w:lang w:val="ru-RU"/>
        </w:rPr>
        <w:t> швейцарского франка, что представляет собой превышение положенных выплат</w:t>
      </w:r>
      <w:r w:rsidR="00CA37FA" w:rsidRPr="00561097">
        <w:rPr>
          <w:lang w:val="ru-RU"/>
        </w:rPr>
        <w:t>.</w:t>
      </w:r>
    </w:p>
    <w:p w14:paraId="2C60BE0F" w14:textId="55ED75D5" w:rsidR="00D70687" w:rsidRPr="0000207C" w:rsidRDefault="00D70687" w:rsidP="009B7714">
      <w:pPr>
        <w:rPr>
          <w:lang w:val="ru-RU"/>
        </w:rPr>
      </w:pPr>
      <w:r w:rsidRPr="00DD7414">
        <w:rPr>
          <w:lang w:val="ru-RU"/>
        </w:rPr>
        <w:t>1</w:t>
      </w:r>
      <w:r w:rsidR="009B7714" w:rsidRPr="00DD7414">
        <w:rPr>
          <w:lang w:val="ru-RU"/>
        </w:rPr>
        <w:t>0</w:t>
      </w:r>
      <w:r w:rsidRPr="00DD7414">
        <w:rPr>
          <w:lang w:val="ru-RU"/>
        </w:rPr>
        <w:tab/>
      </w:r>
      <w:r w:rsidR="00754197" w:rsidRPr="00DD7414">
        <w:rPr>
          <w:lang w:val="ru-RU"/>
        </w:rPr>
        <w:t>Была оказана всеобъемлющая поддержка внешнему специалисту по расследованиям, который был нанят для проведения</w:t>
      </w:r>
      <w:r w:rsidR="009B7714" w:rsidRPr="00DD7414">
        <w:rPr>
          <w:lang w:val="ru-RU"/>
        </w:rPr>
        <w:t xml:space="preserve"> </w:t>
      </w:r>
      <w:r w:rsidR="00754197" w:rsidRPr="00DD7414">
        <w:rPr>
          <w:lang w:val="ru-RU"/>
        </w:rPr>
        <w:t xml:space="preserve">официального расследования в отношении предполагаемого ненадлежащего поведения сотрудника МСЭ по отношению к </w:t>
      </w:r>
      <w:r w:rsidR="00786CC9">
        <w:rPr>
          <w:lang w:val="ru-RU"/>
        </w:rPr>
        <w:t xml:space="preserve">ряду </w:t>
      </w:r>
      <w:r w:rsidR="00754197" w:rsidRPr="00DD7414">
        <w:rPr>
          <w:lang w:val="ru-RU"/>
        </w:rPr>
        <w:t>други</w:t>
      </w:r>
      <w:r w:rsidR="00786CC9">
        <w:rPr>
          <w:lang w:val="ru-RU"/>
        </w:rPr>
        <w:t>х</w:t>
      </w:r>
      <w:r w:rsidR="00754197" w:rsidRPr="00DD7414">
        <w:rPr>
          <w:lang w:val="ru-RU"/>
        </w:rPr>
        <w:t xml:space="preserve"> сотрудник</w:t>
      </w:r>
      <w:r w:rsidR="00786CC9">
        <w:rPr>
          <w:lang w:val="ru-RU"/>
        </w:rPr>
        <w:t>ов</w:t>
      </w:r>
      <w:r w:rsidRPr="00DD7414">
        <w:rPr>
          <w:lang w:val="ru-RU"/>
        </w:rPr>
        <w:t>.</w:t>
      </w:r>
      <w:r w:rsidR="009B7714" w:rsidRPr="00DD7414">
        <w:rPr>
          <w:lang w:val="ru-RU"/>
        </w:rPr>
        <w:t xml:space="preserve"> </w:t>
      </w:r>
      <w:r w:rsidR="00786CC9">
        <w:rPr>
          <w:lang w:val="ru-RU"/>
        </w:rPr>
        <w:t>Административный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контроль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за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всеми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расследованиями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ведет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Департамент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управления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людскими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ресурсами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от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имени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Генерального</w:t>
      </w:r>
      <w:r w:rsidR="00786CC9" w:rsidRPr="0000207C">
        <w:rPr>
          <w:lang w:val="ru-RU"/>
        </w:rPr>
        <w:t xml:space="preserve"> </w:t>
      </w:r>
      <w:r w:rsidR="00786CC9">
        <w:rPr>
          <w:lang w:val="ru-RU"/>
        </w:rPr>
        <w:t>секретаря</w:t>
      </w:r>
      <w:r w:rsidR="009B7714" w:rsidRPr="0000207C">
        <w:rPr>
          <w:lang w:val="ru-RU"/>
        </w:rPr>
        <w:t>.</w:t>
      </w:r>
    </w:p>
    <w:p w14:paraId="1D3805F7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lastRenderedPageBreak/>
        <w:t>Консультационные услуги, предоставляемые подразделением внутреннего аудита</w:t>
      </w:r>
    </w:p>
    <w:p w14:paraId="09498CA1" w14:textId="4BA01B51" w:rsidR="00080C48" w:rsidRPr="00DD7414" w:rsidRDefault="00080C48" w:rsidP="009B7714">
      <w:pPr>
        <w:pStyle w:val="Headingi"/>
        <w:rPr>
          <w:b/>
          <w:bCs/>
          <w:i/>
          <w:highlight w:val="lightGray"/>
          <w:lang w:val="ru-RU"/>
        </w:rPr>
      </w:pPr>
      <w:r w:rsidRPr="00DD7414">
        <w:rPr>
          <w:b/>
          <w:bCs/>
          <w:i/>
          <w:lang w:val="ru-RU"/>
        </w:rPr>
        <w:t>Процесс отбора Внешнего аудитора МСЭ</w:t>
      </w:r>
    </w:p>
    <w:p w14:paraId="7CE50708" w14:textId="11DA28FE" w:rsidR="00080C48" w:rsidRPr="00DD7414" w:rsidRDefault="00082FD2" w:rsidP="00080C48">
      <w:pPr>
        <w:rPr>
          <w:lang w:val="ru-RU"/>
        </w:rPr>
      </w:pPr>
      <w:r w:rsidRPr="00DD7414">
        <w:rPr>
          <w:lang w:val="ru-RU"/>
        </w:rPr>
        <w:t>1</w:t>
      </w:r>
      <w:r w:rsidR="0023051E" w:rsidRPr="00DD7414">
        <w:rPr>
          <w:lang w:val="ru-RU"/>
        </w:rPr>
        <w:t>1</w:t>
      </w:r>
      <w:r w:rsidR="00080C48" w:rsidRPr="00DD7414">
        <w:rPr>
          <w:lang w:val="ru-RU"/>
        </w:rPr>
        <w:tab/>
        <w:t xml:space="preserve">По рекомендации IMAC Генеральный секретарь обратился к Службе IA с просьбой провести от имени Секретариата процесс выбора нового Внешнего аудитора. Совет на своей сессии в 2018 году назначил лиц, рекомендованных шестью региональными организациями электросвязи, членами Комитета по оценке, которые должны </w:t>
      </w:r>
      <w:r w:rsidR="00600038">
        <w:rPr>
          <w:lang w:val="ru-RU"/>
        </w:rPr>
        <w:t xml:space="preserve">были </w:t>
      </w:r>
      <w:r w:rsidR="00080C48" w:rsidRPr="00DD7414">
        <w:rPr>
          <w:lang w:val="ru-RU"/>
        </w:rPr>
        <w:t xml:space="preserve">представить Совету 2019 года отчет о результатах своей работы. При поддержке </w:t>
      </w:r>
      <w:r w:rsidR="00600038">
        <w:rPr>
          <w:lang w:val="ru-RU"/>
        </w:rPr>
        <w:t>с</w:t>
      </w:r>
      <w:r w:rsidR="00080C48" w:rsidRPr="00DD7414">
        <w:rPr>
          <w:lang w:val="ru-RU"/>
        </w:rPr>
        <w:t>екретариата МСЭ Комитет по оценке выполнил работу по проведению тендера в целях определения высшего ревизионного органа (SAI) одного из Государств</w:t>
      </w:r>
      <w:r w:rsidRPr="00DD7414">
        <w:rPr>
          <w:lang w:val="ru-RU"/>
        </w:rPr>
        <w:t> </w:t>
      </w:r>
      <w:r w:rsidR="00080C48" w:rsidRPr="00DD7414">
        <w:rPr>
          <w:lang w:val="ru-RU"/>
        </w:rPr>
        <w:t>− Членов МСЭ, наилучшим образом отвечающего критериям, изложенным в объявлении о принятии предложений (</w:t>
      </w:r>
      <w:proofErr w:type="spellStart"/>
      <w:r w:rsidR="00080C48" w:rsidRPr="00DD7414">
        <w:rPr>
          <w:lang w:val="ru-RU"/>
        </w:rPr>
        <w:t>RfP</w:t>
      </w:r>
      <w:proofErr w:type="spellEnd"/>
      <w:r w:rsidR="00080C48" w:rsidRPr="00DD7414">
        <w:rPr>
          <w:lang w:val="ru-RU"/>
        </w:rPr>
        <w:t>) для аудиторской проверки счетов Союза.</w:t>
      </w:r>
    </w:p>
    <w:p w14:paraId="3140060C" w14:textId="2AC7ADD6" w:rsidR="0023051E" w:rsidRPr="00277B82" w:rsidRDefault="00082FD2" w:rsidP="00080C48">
      <w:pPr>
        <w:rPr>
          <w:rFonts w:cstheme="minorHAnsi"/>
          <w:color w:val="000000"/>
          <w:szCs w:val="22"/>
          <w:lang w:val="ru-RU"/>
        </w:rPr>
      </w:pPr>
      <w:r w:rsidRPr="00DD7414">
        <w:rPr>
          <w:lang w:val="ru-RU"/>
        </w:rPr>
        <w:t>1</w:t>
      </w:r>
      <w:r w:rsidR="0023051E" w:rsidRPr="00DD7414">
        <w:rPr>
          <w:lang w:val="ru-RU"/>
        </w:rPr>
        <w:t>2</w:t>
      </w:r>
      <w:r w:rsidR="00080C48" w:rsidRPr="00DD7414">
        <w:rPr>
          <w:lang w:val="ru-RU"/>
        </w:rPr>
        <w:tab/>
        <w:t xml:space="preserve">В течение всего процесса </w:t>
      </w:r>
      <w:r w:rsidR="00080C48" w:rsidRPr="00DD7414">
        <w:rPr>
          <w:color w:val="000000"/>
          <w:lang w:val="ru-RU"/>
        </w:rPr>
        <w:t>Служба IA</w:t>
      </w:r>
      <w:r w:rsidR="00080C48" w:rsidRPr="00DD7414">
        <w:rPr>
          <w:lang w:val="ru-RU"/>
        </w:rPr>
        <w:t xml:space="preserve"> продолжала оказывать помощь членам Комитета по оценке в их работе и, в случае необходимости, предоставляла руководящие указания по процедурным и техническим вопросам аудита. </w:t>
      </w:r>
      <w:r w:rsidR="0000207C">
        <w:rPr>
          <w:lang w:val="ru-RU"/>
        </w:rPr>
        <w:t>Первым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виртуальным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консультациям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Советников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в</w:t>
      </w:r>
      <w:r w:rsidR="0000207C" w:rsidRPr="00277B82">
        <w:rPr>
          <w:lang w:val="ru-RU"/>
        </w:rPr>
        <w:t xml:space="preserve"> 2020</w:t>
      </w:r>
      <w:r w:rsidR="0000207C" w:rsidRPr="0000207C">
        <w:t> </w:t>
      </w:r>
      <w:r w:rsidR="0000207C">
        <w:rPr>
          <w:lang w:val="ru-RU"/>
        </w:rPr>
        <w:t>году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был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представлен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отчет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о</w:t>
      </w:r>
      <w:r w:rsidR="0000207C" w:rsidRPr="00277B82">
        <w:rPr>
          <w:lang w:val="ru-RU"/>
        </w:rPr>
        <w:t xml:space="preserve"> </w:t>
      </w:r>
      <w:r w:rsidR="0000207C">
        <w:rPr>
          <w:lang w:val="ru-RU"/>
        </w:rPr>
        <w:t>работе</w:t>
      </w:r>
      <w:r w:rsidR="0000207C" w:rsidRPr="00277B82">
        <w:rPr>
          <w:lang w:val="ru-RU"/>
        </w:rPr>
        <w:t xml:space="preserve"> </w:t>
      </w:r>
      <w:r w:rsidR="0000207C" w:rsidRPr="00277B82">
        <w:rPr>
          <w:color w:val="000000"/>
          <w:lang w:val="ru-RU"/>
        </w:rPr>
        <w:t xml:space="preserve">Комитета по оценке, </w:t>
      </w:r>
      <w:r w:rsidR="0000207C">
        <w:rPr>
          <w:color w:val="000000"/>
          <w:lang w:val="ru-RU"/>
        </w:rPr>
        <w:t>после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чего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ответы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на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различные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вопросы</w:t>
      </w:r>
      <w:r w:rsidR="0000207C" w:rsidRPr="00277B82">
        <w:rPr>
          <w:color w:val="000000"/>
          <w:lang w:val="ru-RU"/>
        </w:rPr>
        <w:t xml:space="preserve">, </w:t>
      </w:r>
      <w:r w:rsidR="0000207C">
        <w:rPr>
          <w:color w:val="000000"/>
          <w:lang w:val="ru-RU"/>
        </w:rPr>
        <w:t>поднятые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на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этой</w:t>
      </w:r>
      <w:r w:rsidR="0000207C" w:rsidRPr="00277B82">
        <w:rPr>
          <w:color w:val="000000"/>
          <w:lang w:val="ru-RU"/>
        </w:rPr>
        <w:t xml:space="preserve"> </w:t>
      </w:r>
      <w:r w:rsidR="0000207C">
        <w:rPr>
          <w:color w:val="000000"/>
          <w:lang w:val="ru-RU"/>
        </w:rPr>
        <w:t>сессии</w:t>
      </w:r>
      <w:r w:rsidR="00277B82">
        <w:rPr>
          <w:color w:val="000000"/>
          <w:lang w:val="ru-RU"/>
        </w:rPr>
        <w:t>, координировались Службой</w:t>
      </w:r>
      <w:r w:rsidR="0023051E" w:rsidRPr="00277B82">
        <w:rPr>
          <w:lang w:val="ru-RU"/>
        </w:rPr>
        <w:t xml:space="preserve"> </w:t>
      </w:r>
      <w:r w:rsidR="0023051E" w:rsidRPr="00EE2991">
        <w:t>IA</w:t>
      </w:r>
      <w:r w:rsidR="0023051E" w:rsidRPr="00277B82">
        <w:rPr>
          <w:lang w:val="ru-RU"/>
        </w:rPr>
        <w:t xml:space="preserve">. </w:t>
      </w:r>
      <w:r w:rsidR="00277B82">
        <w:rPr>
          <w:lang w:val="ru-RU"/>
        </w:rPr>
        <w:t>После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вторых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виртуальных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консультаций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Советников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в</w:t>
      </w:r>
      <w:r w:rsidR="00277B82" w:rsidRPr="00277B82">
        <w:rPr>
          <w:lang w:val="ru-RU"/>
        </w:rPr>
        <w:t xml:space="preserve"> 2020</w:t>
      </w:r>
      <w:r w:rsidR="00277B82" w:rsidRPr="00277B82">
        <w:t> </w:t>
      </w:r>
      <w:r w:rsidR="00277B82">
        <w:rPr>
          <w:lang w:val="ru-RU"/>
        </w:rPr>
        <w:t>году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были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проведены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консультации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по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переписке</w:t>
      </w:r>
      <w:r w:rsidR="00277B82" w:rsidRPr="00277B82">
        <w:rPr>
          <w:lang w:val="ru-RU"/>
        </w:rPr>
        <w:t xml:space="preserve">, </w:t>
      </w:r>
      <w:r w:rsidR="00277B82">
        <w:rPr>
          <w:lang w:val="ru-RU"/>
        </w:rPr>
        <w:t>и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был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подтвержден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выбор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Внешнего</w:t>
      </w:r>
      <w:r w:rsidR="00277B82" w:rsidRPr="00277B82">
        <w:rPr>
          <w:lang w:val="ru-RU"/>
        </w:rPr>
        <w:t xml:space="preserve"> </w:t>
      </w:r>
      <w:r w:rsidR="00277B82">
        <w:rPr>
          <w:lang w:val="ru-RU"/>
        </w:rPr>
        <w:t>аудитора для назначения</w:t>
      </w:r>
      <w:r w:rsidR="0023051E" w:rsidRPr="00277B82">
        <w:rPr>
          <w:rFonts w:cstheme="minorHAnsi"/>
          <w:color w:val="000000"/>
          <w:szCs w:val="22"/>
          <w:lang w:val="ru-RU"/>
        </w:rPr>
        <w:t xml:space="preserve"> (</w:t>
      </w:r>
      <w:hyperlink r:id="rId12" w:history="1">
        <w:r w:rsidR="0023051E" w:rsidRPr="00DD7414">
          <w:rPr>
            <w:rStyle w:val="Hyperlink"/>
            <w:rFonts w:cstheme="minorHAnsi"/>
            <w:szCs w:val="22"/>
            <w:lang w:val="ru-RU"/>
          </w:rPr>
          <w:t>Решение</w:t>
        </w:r>
        <w:r w:rsidR="0023051E" w:rsidRPr="00277B82">
          <w:rPr>
            <w:rStyle w:val="Hyperlink"/>
            <w:rFonts w:cstheme="minorHAnsi"/>
            <w:szCs w:val="22"/>
            <w:lang w:val="ru-RU"/>
          </w:rPr>
          <w:t xml:space="preserve"> 621 </w:t>
        </w:r>
        <w:r w:rsidR="0023051E" w:rsidRPr="00DD7414">
          <w:rPr>
            <w:rStyle w:val="Hyperlink"/>
            <w:rFonts w:cstheme="minorHAnsi"/>
            <w:szCs w:val="22"/>
            <w:lang w:val="ru-RU"/>
          </w:rPr>
          <w:t>Совета</w:t>
        </w:r>
      </w:hyperlink>
      <w:r w:rsidR="0023051E" w:rsidRPr="00277B82">
        <w:rPr>
          <w:rFonts w:cstheme="minorHAnsi"/>
          <w:color w:val="000000"/>
          <w:szCs w:val="22"/>
          <w:lang w:val="ru-RU"/>
        </w:rPr>
        <w:t>).</w:t>
      </w:r>
    </w:p>
    <w:p w14:paraId="7F9285DE" w14:textId="099C59D1" w:rsidR="0023051E" w:rsidRPr="000F0FC3" w:rsidRDefault="000F0FC3" w:rsidP="0023051E">
      <w:pPr>
        <w:pStyle w:val="Headingi"/>
        <w:rPr>
          <w:b/>
          <w:bCs/>
          <w:i/>
          <w:iCs/>
          <w:lang w:val="ru-RU"/>
        </w:rPr>
      </w:pPr>
      <w:r w:rsidRPr="003E5C17">
        <w:rPr>
          <w:b/>
          <w:bCs/>
          <w:i/>
          <w:iCs/>
          <w:color w:val="000000"/>
          <w:lang w:val="ru-RU"/>
        </w:rPr>
        <w:t>Судебно-бухгалтерск</w:t>
      </w:r>
      <w:r w:rsidRPr="000F0FC3">
        <w:rPr>
          <w:b/>
          <w:bCs/>
          <w:i/>
          <w:iCs/>
          <w:color w:val="000000"/>
          <w:lang w:val="ru-RU"/>
        </w:rPr>
        <w:t>ая</w:t>
      </w:r>
      <w:r w:rsidRPr="003E5C17">
        <w:rPr>
          <w:b/>
          <w:bCs/>
          <w:i/>
          <w:iCs/>
          <w:color w:val="000000"/>
          <w:lang w:val="ru-RU"/>
        </w:rPr>
        <w:t xml:space="preserve"> экспертиз</w:t>
      </w:r>
      <w:r w:rsidRPr="000F0FC3">
        <w:rPr>
          <w:b/>
          <w:bCs/>
          <w:i/>
          <w:iCs/>
          <w:color w:val="000000"/>
          <w:lang w:val="ru-RU"/>
        </w:rPr>
        <w:t>а</w:t>
      </w:r>
    </w:p>
    <w:p w14:paraId="3E349525" w14:textId="3D9FD813" w:rsidR="0023051E" w:rsidRPr="00425C3A" w:rsidRDefault="00082FD2" w:rsidP="00082FD2">
      <w:pPr>
        <w:rPr>
          <w:lang w:val="ru-RU"/>
        </w:rPr>
      </w:pPr>
      <w:r w:rsidRPr="00DD7414">
        <w:rPr>
          <w:rFonts w:cstheme="minorHAnsi"/>
          <w:color w:val="000000"/>
          <w:lang w:val="ru-RU"/>
        </w:rPr>
        <w:t>1</w:t>
      </w:r>
      <w:r w:rsidR="0023051E" w:rsidRPr="00DD7414">
        <w:rPr>
          <w:rFonts w:cstheme="minorHAnsi"/>
          <w:color w:val="000000"/>
          <w:lang w:val="ru-RU"/>
        </w:rPr>
        <w:t>3</w:t>
      </w:r>
      <w:r w:rsidRPr="00DD7414">
        <w:rPr>
          <w:rFonts w:cstheme="minorHAnsi"/>
          <w:color w:val="000000"/>
          <w:lang w:val="ru-RU"/>
        </w:rPr>
        <w:tab/>
      </w:r>
      <w:r w:rsidR="00754197" w:rsidRPr="00DD7414">
        <w:rPr>
          <w:lang w:val="ru-RU"/>
        </w:rPr>
        <w:t xml:space="preserve">На сессии Совета 2019 года </w:t>
      </w:r>
      <w:r w:rsidR="00754197" w:rsidRPr="00DD7414">
        <w:rPr>
          <w:szCs w:val="22"/>
          <w:lang w:val="ru-RU"/>
        </w:rPr>
        <w:t xml:space="preserve">было принято </w:t>
      </w:r>
      <w:hyperlink r:id="rId13" w:history="1">
        <w:r w:rsidR="0023051E" w:rsidRPr="00DD7414">
          <w:rPr>
            <w:rStyle w:val="Hyperlink"/>
            <w:rFonts w:cstheme="minorHAnsi"/>
            <w:szCs w:val="22"/>
            <w:lang w:val="ru-RU"/>
          </w:rPr>
          <w:t>Решение 613</w:t>
        </w:r>
      </w:hyperlink>
      <w:r w:rsidR="00754197" w:rsidRPr="00DD7414">
        <w:rPr>
          <w:szCs w:val="22"/>
          <w:lang w:val="ru-RU"/>
        </w:rPr>
        <w:t>, согласно которому</w:t>
      </w:r>
      <w:r w:rsidR="00754197" w:rsidRPr="00DD7414">
        <w:rPr>
          <w:lang w:val="ru-RU"/>
        </w:rPr>
        <w:t xml:space="preserve"> Генеральному секретарю было поручено провести судебно-бухгалтерскую экспертизу. Служба IA совместно с Отделом закупок разработали документ "Выражение заинтересованности"</w:t>
      </w:r>
      <w:r w:rsidR="006F562F">
        <w:rPr>
          <w:lang w:val="ru-RU"/>
        </w:rPr>
        <w:t>,</w:t>
      </w:r>
      <w:r w:rsidR="00754197" w:rsidRPr="00DD7414">
        <w:rPr>
          <w:lang w:val="ru-RU"/>
        </w:rPr>
        <w:t xml:space="preserve"> и </w:t>
      </w:r>
      <w:r w:rsidR="006F562F">
        <w:rPr>
          <w:lang w:val="ru-RU"/>
        </w:rPr>
        <w:t>впоследствии было опубликовано "О</w:t>
      </w:r>
      <w:r w:rsidR="006F562F" w:rsidRPr="006F562F">
        <w:rPr>
          <w:color w:val="000000"/>
          <w:lang w:val="ru-RU"/>
        </w:rPr>
        <w:t>бъявлени</w:t>
      </w:r>
      <w:r w:rsidR="006F562F">
        <w:rPr>
          <w:color w:val="000000"/>
          <w:lang w:val="ru-RU"/>
        </w:rPr>
        <w:t>е</w:t>
      </w:r>
      <w:r w:rsidR="006F562F" w:rsidRPr="006F562F">
        <w:rPr>
          <w:color w:val="000000"/>
          <w:lang w:val="ru-RU"/>
        </w:rPr>
        <w:t xml:space="preserve"> о принятии предл</w:t>
      </w:r>
      <w:r w:rsidR="006F562F">
        <w:rPr>
          <w:color w:val="000000"/>
          <w:lang w:val="ru-RU"/>
        </w:rPr>
        <w:t>ожений",</w:t>
      </w:r>
      <w:r w:rsidR="00AA7750" w:rsidRPr="00DD7414">
        <w:rPr>
          <w:lang w:val="ru-RU"/>
        </w:rPr>
        <w:t xml:space="preserve"> </w:t>
      </w:r>
      <w:r w:rsidR="006F562F">
        <w:rPr>
          <w:lang w:val="ru-RU"/>
        </w:rPr>
        <w:t>по которому для дальнейшей оценки рассматривались шесть участников тендера (из десяти представивших предложения)</w:t>
      </w:r>
      <w:r w:rsidR="00AA7750" w:rsidRPr="00DD7414">
        <w:rPr>
          <w:lang w:val="ru-RU"/>
        </w:rPr>
        <w:t xml:space="preserve">. </w:t>
      </w:r>
      <w:r w:rsidR="006F562F">
        <w:rPr>
          <w:lang w:val="ru-RU"/>
        </w:rPr>
        <w:t>С</w:t>
      </w:r>
      <w:r w:rsidR="006F562F" w:rsidRPr="00425C3A">
        <w:rPr>
          <w:lang w:val="ru-RU"/>
        </w:rPr>
        <w:t xml:space="preserve"> </w:t>
      </w:r>
      <w:r w:rsidR="006F562F">
        <w:rPr>
          <w:lang w:val="ru-RU"/>
        </w:rPr>
        <w:t>победившим</w:t>
      </w:r>
      <w:r w:rsidR="006F562F" w:rsidRPr="00425C3A">
        <w:rPr>
          <w:lang w:val="ru-RU"/>
        </w:rPr>
        <w:t xml:space="preserve"> </w:t>
      </w:r>
      <w:r w:rsidR="006F562F">
        <w:rPr>
          <w:lang w:val="ru-RU"/>
        </w:rPr>
        <w:t>участником</w:t>
      </w:r>
      <w:r w:rsidR="006F562F" w:rsidRPr="00425C3A">
        <w:rPr>
          <w:lang w:val="ru-RU"/>
        </w:rPr>
        <w:t xml:space="preserve"> </w:t>
      </w:r>
      <w:r w:rsidR="006F562F">
        <w:rPr>
          <w:lang w:val="ru-RU"/>
        </w:rPr>
        <w:t>тендера</w:t>
      </w:r>
      <w:r w:rsidR="006F562F" w:rsidRPr="00425C3A">
        <w:rPr>
          <w:lang w:val="ru-RU"/>
        </w:rPr>
        <w:t xml:space="preserve"> </w:t>
      </w:r>
      <w:r w:rsidR="00425C3A">
        <w:rPr>
          <w:lang w:val="ru-RU"/>
        </w:rPr>
        <w:t>в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январе</w:t>
      </w:r>
      <w:r w:rsidR="00425C3A" w:rsidRPr="00425C3A">
        <w:rPr>
          <w:lang w:val="ru-RU"/>
        </w:rPr>
        <w:t xml:space="preserve"> 2021</w:t>
      </w:r>
      <w:r w:rsidR="00425C3A" w:rsidRPr="00425C3A">
        <w:t> </w:t>
      </w:r>
      <w:r w:rsidR="00425C3A">
        <w:rPr>
          <w:lang w:val="ru-RU"/>
        </w:rPr>
        <w:t>года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был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заключен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контракт</w:t>
      </w:r>
      <w:r w:rsidR="00425C3A" w:rsidRPr="00425C3A">
        <w:rPr>
          <w:lang w:val="ru-RU"/>
        </w:rPr>
        <w:t xml:space="preserve">, </w:t>
      </w:r>
      <w:r w:rsidR="00425C3A">
        <w:rPr>
          <w:lang w:val="ru-RU"/>
        </w:rPr>
        <w:t>и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он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ведет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работу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по</w:t>
      </w:r>
      <w:r w:rsidR="00425C3A" w:rsidRPr="00425C3A">
        <w:rPr>
          <w:lang w:val="ru-RU"/>
        </w:rPr>
        <w:t xml:space="preserve"> </w:t>
      </w:r>
      <w:r w:rsidR="00425C3A" w:rsidRPr="00DD7414">
        <w:rPr>
          <w:lang w:val="ru-RU"/>
        </w:rPr>
        <w:t>судебно-бухгалтерск</w:t>
      </w:r>
      <w:r w:rsidR="00425C3A">
        <w:rPr>
          <w:lang w:val="ru-RU"/>
        </w:rPr>
        <w:t>ой</w:t>
      </w:r>
      <w:r w:rsidR="00425C3A" w:rsidRPr="00DD7414">
        <w:rPr>
          <w:lang w:val="ru-RU"/>
        </w:rPr>
        <w:t xml:space="preserve"> экспертиз</w:t>
      </w:r>
      <w:r w:rsidR="00425C3A">
        <w:rPr>
          <w:lang w:val="ru-RU"/>
        </w:rPr>
        <w:t xml:space="preserve">е со Службой </w:t>
      </w:r>
      <w:r w:rsidR="00AA7750" w:rsidRPr="00EE2991">
        <w:t>IA</w:t>
      </w:r>
      <w:r w:rsidR="00AA7750" w:rsidRPr="00425C3A">
        <w:rPr>
          <w:lang w:val="ru-RU"/>
        </w:rPr>
        <w:t xml:space="preserve"> </w:t>
      </w:r>
      <w:r w:rsidR="00425C3A">
        <w:rPr>
          <w:lang w:val="ru-RU"/>
        </w:rPr>
        <w:t>в качестве координатора</w:t>
      </w:r>
      <w:r w:rsidR="00AA7750" w:rsidRPr="00425C3A">
        <w:rPr>
          <w:lang w:val="ru-RU"/>
        </w:rPr>
        <w:t xml:space="preserve">. </w:t>
      </w:r>
      <w:r w:rsidR="00425C3A">
        <w:rPr>
          <w:lang w:val="ru-RU"/>
        </w:rPr>
        <w:t>Генеральный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секретарь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представляет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Совету</w:t>
      </w:r>
      <w:r w:rsidR="00425C3A" w:rsidRPr="00425C3A">
        <w:rPr>
          <w:lang w:val="ru-RU"/>
        </w:rPr>
        <w:t xml:space="preserve"> 2021</w:t>
      </w:r>
      <w:r w:rsidR="00425C3A" w:rsidRPr="00425C3A">
        <w:t> </w:t>
      </w:r>
      <w:r w:rsidR="00425C3A">
        <w:rPr>
          <w:lang w:val="ru-RU"/>
        </w:rPr>
        <w:t>года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отдельный</w:t>
      </w:r>
      <w:r w:rsidR="00425C3A" w:rsidRPr="00425C3A">
        <w:rPr>
          <w:lang w:val="ru-RU"/>
        </w:rPr>
        <w:t xml:space="preserve"> </w:t>
      </w:r>
      <w:r w:rsidR="00425C3A">
        <w:rPr>
          <w:lang w:val="ru-RU"/>
        </w:rPr>
        <w:t>отчет</w:t>
      </w:r>
      <w:r w:rsidR="00425C3A" w:rsidRPr="00425C3A">
        <w:rPr>
          <w:lang w:val="ru-RU"/>
        </w:rPr>
        <w:t xml:space="preserve"> </w:t>
      </w:r>
      <w:r w:rsidR="00F2590D">
        <w:rPr>
          <w:lang w:val="ru-RU"/>
        </w:rPr>
        <w:t xml:space="preserve">этой </w:t>
      </w:r>
      <w:r w:rsidR="00425C3A">
        <w:rPr>
          <w:lang w:val="ru-RU"/>
        </w:rPr>
        <w:t>специализированной</w:t>
      </w:r>
      <w:r w:rsidR="00425C3A" w:rsidRPr="00425C3A">
        <w:rPr>
          <w:lang w:val="ru-RU"/>
        </w:rPr>
        <w:t xml:space="preserve"> </w:t>
      </w:r>
      <w:r w:rsidR="00425C3A" w:rsidRPr="009F7E03">
        <w:rPr>
          <w:lang w:val="ru-RU"/>
        </w:rPr>
        <w:t>ф</w:t>
      </w:r>
      <w:r w:rsidR="009F7E03" w:rsidRPr="009F7E03">
        <w:rPr>
          <w:lang w:val="ru-RU"/>
        </w:rPr>
        <w:t>и</w:t>
      </w:r>
      <w:r w:rsidR="00425C3A" w:rsidRPr="009F7E03">
        <w:rPr>
          <w:lang w:val="ru-RU"/>
        </w:rPr>
        <w:t>рм</w:t>
      </w:r>
      <w:r w:rsidR="009D45F4">
        <w:rPr>
          <w:lang w:val="ru-RU"/>
        </w:rPr>
        <w:t>ы</w:t>
      </w:r>
      <w:r w:rsidR="00425C3A">
        <w:rPr>
          <w:lang w:val="ru-RU"/>
        </w:rPr>
        <w:t>.</w:t>
      </w:r>
    </w:p>
    <w:p w14:paraId="6B5B77D0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Последующие меры в связи с рекомендациями по итогам внутреннего аудита</w:t>
      </w:r>
    </w:p>
    <w:p w14:paraId="2F10457F" w14:textId="5A7CE244" w:rsidR="00080C48" w:rsidRPr="00DD7414" w:rsidRDefault="00080C48" w:rsidP="001C08E6">
      <w:pPr>
        <w:spacing w:after="240"/>
        <w:rPr>
          <w:rFonts w:cstheme="majorBidi"/>
          <w:lang w:val="ru-RU"/>
        </w:rPr>
      </w:pPr>
      <w:r w:rsidRPr="00DD7414">
        <w:rPr>
          <w:lang w:val="ru-RU"/>
        </w:rPr>
        <w:t>1</w:t>
      </w:r>
      <w:r w:rsidR="00AA7750" w:rsidRPr="00DD7414">
        <w:rPr>
          <w:lang w:val="ru-RU"/>
        </w:rPr>
        <w:t>4</w:t>
      </w:r>
      <w:r w:rsidRPr="00DD7414">
        <w:rPr>
          <w:lang w:val="ru-RU"/>
        </w:rPr>
        <w:tab/>
        <w:t xml:space="preserve">На протяжении отчетного периода Служба </w:t>
      </w:r>
      <w:r w:rsidR="00754197" w:rsidRPr="00DD7414">
        <w:rPr>
          <w:lang w:val="ru-RU"/>
        </w:rPr>
        <w:t>IA</w:t>
      </w:r>
      <w:r w:rsidRPr="00DD7414">
        <w:rPr>
          <w:lang w:val="ru-RU"/>
        </w:rPr>
        <w:t xml:space="preserve"> продолжала отслеживать последующие меры, принятые в связи с рекомендациями, содержащимися в предыдущих отчетах об аудите</w:t>
      </w:r>
      <w:r w:rsidRPr="00DD7414">
        <w:rPr>
          <w:rFonts w:cstheme="majorBidi"/>
          <w:lang w:val="ru-RU"/>
        </w:rPr>
        <w:t xml:space="preserve">. </w:t>
      </w:r>
      <w:r w:rsidRPr="00DD7414">
        <w:rPr>
          <w:lang w:val="ru-RU"/>
        </w:rPr>
        <w:t>За</w:t>
      </w:r>
      <w:r w:rsidR="001C08E6" w:rsidRPr="00DD7414">
        <w:rPr>
          <w:lang w:val="ru-RU"/>
        </w:rPr>
        <w:t> </w:t>
      </w:r>
      <w:r w:rsidRPr="00DD7414">
        <w:rPr>
          <w:lang w:val="ru-RU"/>
        </w:rPr>
        <w:t xml:space="preserve">последние 12 месяцев отмечен дальнейший прогресс, и ниже представлены статистические данные по выполнению рекомендаций (по состоянию на </w:t>
      </w:r>
      <w:r w:rsidR="00920E2B" w:rsidRPr="00DD7414">
        <w:rPr>
          <w:lang w:val="ru-RU"/>
        </w:rPr>
        <w:t>31 марта</w:t>
      </w:r>
      <w:r w:rsidRPr="00DD7414">
        <w:rPr>
          <w:lang w:val="ru-RU"/>
        </w:rPr>
        <w:t xml:space="preserve"> 20</w:t>
      </w:r>
      <w:r w:rsidR="00920E2B" w:rsidRPr="00DD7414">
        <w:rPr>
          <w:lang w:val="ru-RU"/>
        </w:rPr>
        <w:t>21</w:t>
      </w:r>
      <w:r w:rsidRPr="00DD7414">
        <w:rPr>
          <w:lang w:val="ru-RU"/>
        </w:rPr>
        <w:t xml:space="preserve"> г.</w:t>
      </w:r>
      <w:r w:rsidRPr="00DD7414">
        <w:rPr>
          <w:rFonts w:cstheme="majorBidi"/>
          <w:lang w:val="ru-RU"/>
        </w:rPr>
        <w:t>):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  <w:gridCol w:w="856"/>
      </w:tblGrid>
      <w:tr w:rsidR="00920E2B" w:rsidRPr="00DD7414" w14:paraId="675D75A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6F85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B3292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3FAD4B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E7D915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7FD55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294FB6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E3EDC8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25E473" w14:textId="77777777" w:rsidR="00920E2B" w:rsidRPr="00DD7414" w:rsidRDefault="00920E2B" w:rsidP="00C12E2E">
            <w:pPr>
              <w:pStyle w:val="Tablehead"/>
              <w:rPr>
                <w:rFonts w:cs="Calibri"/>
                <w:color w:val="FFFFFF" w:themeColor="background1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color w:val="FFFFFF" w:themeColor="background1"/>
                <w:sz w:val="18"/>
                <w:szCs w:val="18"/>
                <w:lang w:val="ru-RU"/>
              </w:rPr>
              <w:t>2017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EBA04F6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715D54DD" w14:textId="1D6A6A9D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7BE21DF" w14:textId="614E935E" w:rsidR="00920E2B" w:rsidRPr="00DD7414" w:rsidRDefault="007A4543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8D9A19" w14:textId="4557E3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Итого</w:t>
            </w:r>
          </w:p>
        </w:tc>
      </w:tr>
      <w:tr w:rsidR="001C08E6" w:rsidRPr="00DD7414" w14:paraId="3E02017F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F623" w14:textId="5EDA495B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Количество отчетов</w:t>
            </w:r>
            <w:r w:rsidR="00202728">
              <w:rPr>
                <w:rFonts w:cs="Calibri"/>
                <w:sz w:val="18"/>
                <w:szCs w:val="18"/>
                <w:lang w:val="ru-RU"/>
              </w:rPr>
              <w:t>/</w:t>
            </w:r>
            <w:r w:rsidR="009F7E03">
              <w:rPr>
                <w:rFonts w:cs="Calibri"/>
                <w:sz w:val="18"/>
                <w:szCs w:val="18"/>
                <w:lang w:val="ru-RU"/>
              </w:rPr>
              <w:br/>
            </w:r>
            <w:r w:rsidR="00202728">
              <w:rPr>
                <w:rFonts w:cs="Calibri"/>
                <w:sz w:val="18"/>
                <w:szCs w:val="18"/>
                <w:lang w:val="ru-RU"/>
              </w:rPr>
              <w:t>записок</w:t>
            </w:r>
            <w:r w:rsidRPr="00DD7414">
              <w:rPr>
                <w:rFonts w:cs="Calibri"/>
                <w:sz w:val="18"/>
                <w:szCs w:val="18"/>
                <w:lang w:val="ru-RU"/>
              </w:rPr>
              <w:t xml:space="preserve"> об аудите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338" w14:textId="0918DAC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89F" w14:textId="198CCD1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C093" w14:textId="49A4E74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F0A80F" w14:textId="5649C5F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6C2D6C" w14:textId="673D7F6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17909B" w14:textId="3D4CB1D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5444" w14:textId="424F336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72E5" w14:textId="737426B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8BE4" w14:textId="49FE706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121" w14:textId="412B208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EB755C" w14:textId="2E8B66E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34</w:t>
            </w:r>
          </w:p>
        </w:tc>
      </w:tr>
      <w:tr w:rsidR="001C08E6" w:rsidRPr="00DD7414" w14:paraId="28F80AC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C0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Количество рекомендаций − всего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8F37" w14:textId="34F6BA6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EAE6" w14:textId="0922597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color w:val="000000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7630F" w14:textId="292C30F0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6FE056" w14:textId="1F5E222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E0B53" w14:textId="7951307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53EF3" w14:textId="3ABE5B6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B47" w14:textId="33C5E54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F4F4" w14:textId="49F97A4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1D63" w14:textId="02D408E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84BB" w14:textId="1B672280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925C9F" w14:textId="5EA3370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321</w:t>
            </w:r>
          </w:p>
        </w:tc>
      </w:tr>
      <w:tr w:rsidR="001C08E6" w:rsidRPr="00DD7414" w14:paraId="53B4DAF0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439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Выполняемые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7726F" w14:textId="3683170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0376" w14:textId="1B47FB2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9884" w14:textId="420B068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72C0D6" w14:textId="3C0683B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5CDD7B" w14:textId="60F719E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A9AEBF" w14:textId="02A9B5B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A0FD" w14:textId="43AE196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EE50" w14:textId="09118D6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5C31" w14:textId="016A014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575A" w14:textId="5AC0EE3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657135" w14:textId="367FAED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48</w:t>
            </w:r>
          </w:p>
        </w:tc>
      </w:tr>
      <w:tr w:rsidR="001C08E6" w:rsidRPr="00DD7414" w14:paraId="5C2A4D98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1D7A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Просроченные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A791" w14:textId="5B64356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1BC5" w14:textId="67EC1BF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A5A51" w14:textId="6018836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F791BE" w14:textId="277585E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F0854" w14:textId="629E719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0F6457" w14:textId="7379828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581D" w14:textId="1792585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29C6" w14:textId="64545BB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7795" w14:textId="134F98A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A111" w14:textId="6FA1283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616346" w14:textId="148FEFF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</w:tr>
      <w:tr w:rsidR="001C08E6" w:rsidRPr="00DD7414" w14:paraId="45DA8B4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9FE7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Выполненные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63908" w14:textId="70F59C7C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91F" w14:textId="64D6138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465B6" w14:textId="0F4F1EF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109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4EBCB9" w14:textId="696387D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AAFB98" w14:textId="2A5F90C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82CFC3" w14:textId="2F4239A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21A3" w14:textId="1AAA6BD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5416" w14:textId="16F835C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C315" w14:textId="4B34EEBC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85E0" w14:textId="48B7866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B2D677" w14:textId="43ABEAA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270</w:t>
            </w:r>
          </w:p>
        </w:tc>
      </w:tr>
      <w:tr w:rsidR="00920E2B" w:rsidRPr="00DD7414" w14:paraId="5143A91F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1D893D" w14:textId="77777777" w:rsidR="00920E2B" w:rsidRPr="00DD7414" w:rsidRDefault="00920E2B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26EBAF" w14:textId="42F20ABB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C829A" w14:textId="77777777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A9B023E" w14:textId="6468E794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B1FC7D" w14:textId="1201A6CE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2FF378" w14:textId="5F2E65BB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49C14F1" w14:textId="6448FD68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C2CEE" w14:textId="493A7FE3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75F6" w14:textId="42EAEAB2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E2D7F" w14:textId="5A928AFD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DB4CC" w14:textId="77777777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D6B" w14:textId="3C74C030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1C08E6" w:rsidRPr="00DD7414" w14:paraId="6ECBDDD0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EFA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выполняемых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3733" w14:textId="5766BA9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8A73" w14:textId="460FEA3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3F56" w14:textId="096013B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CE6" w14:textId="45E046B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3869" w14:textId="4804C28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DA5A" w14:textId="79A780C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27%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901A" w14:textId="2A04DE1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27%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462" w14:textId="17C8D30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46%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AC65" w14:textId="0E546FA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73%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B6C" w14:textId="584B8D9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44%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B592C2" w14:textId="6584B23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15%</w:t>
            </w:r>
          </w:p>
        </w:tc>
      </w:tr>
      <w:tr w:rsidR="001C08E6" w:rsidRPr="00DD7414" w14:paraId="7FB8EA9E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5D6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просроченных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D4C" w14:textId="2EB62E0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18%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0BF" w14:textId="6539874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E0F" w14:textId="6D7D0ED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D53DD" w14:textId="71B0797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2AE4" w14:textId="1A31D9F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2BFE" w14:textId="0584016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8DD6" w14:textId="343654A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070F" w14:textId="235AB07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ACC1" w14:textId="69315DC3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71F6" w14:textId="25E6DE1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164DF0" w14:textId="24E26FB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1%</w:t>
            </w:r>
          </w:p>
        </w:tc>
      </w:tr>
      <w:tr w:rsidR="001C08E6" w:rsidRPr="00DD7414" w14:paraId="3FE77EE7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81B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выполненных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05A0" w14:textId="1DE5BAF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82%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A1AC" w14:textId="62045F5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EF17" w14:textId="650B958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96%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A9E" w14:textId="08757A1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96%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AEF8" w14:textId="1DD9E12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97%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567" w14:textId="4AA0823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73%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BAEE" w14:textId="0AB07663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73%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267C" w14:textId="2EBA77D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54%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3DB5" w14:textId="4294AF6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27%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63FE" w14:textId="5D19C7A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4840B8" w14:textId="410D253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84%</w:t>
            </w:r>
          </w:p>
        </w:tc>
      </w:tr>
    </w:tbl>
    <w:p w14:paraId="3DB5E721" w14:textId="1463E2E1" w:rsidR="00080C48" w:rsidRPr="00DD7414" w:rsidRDefault="00062D0C" w:rsidP="009F7E03">
      <w:pPr>
        <w:keepNext/>
        <w:keepLines/>
        <w:spacing w:before="240"/>
        <w:rPr>
          <w:lang w:val="ru-RU"/>
        </w:rPr>
      </w:pPr>
      <w:r w:rsidRPr="00DD7414">
        <w:rPr>
          <w:lang w:val="ru-RU"/>
        </w:rPr>
        <w:lastRenderedPageBreak/>
        <w:t>1</w:t>
      </w:r>
      <w:r w:rsidR="001C08E6" w:rsidRPr="00DD7414">
        <w:rPr>
          <w:lang w:val="ru-RU"/>
        </w:rPr>
        <w:t>5</w:t>
      </w:r>
      <w:r w:rsidR="00080C48" w:rsidRPr="00DD7414">
        <w:rPr>
          <w:lang w:val="ru-RU"/>
        </w:rPr>
        <w:tab/>
      </w:r>
      <w:r w:rsidR="00754197" w:rsidRPr="00DD7414">
        <w:rPr>
          <w:lang w:val="ru-RU"/>
        </w:rPr>
        <w:t xml:space="preserve">Обзор </w:t>
      </w:r>
      <w:r w:rsidR="00080C48" w:rsidRPr="00DD7414">
        <w:rPr>
          <w:lang w:val="ru-RU"/>
        </w:rPr>
        <w:t>степеней важности рекомендаций</w:t>
      </w:r>
      <w:r w:rsidR="00202728">
        <w:rPr>
          <w:lang w:val="ru-RU"/>
        </w:rPr>
        <w:t>, выполнение которых продолжается</w:t>
      </w:r>
      <w:r w:rsidR="00080C48" w:rsidRPr="00DD7414">
        <w:rPr>
          <w:lang w:val="ru-RU"/>
        </w:rPr>
        <w:t>:</w:t>
      </w:r>
    </w:p>
    <w:p w14:paraId="67479D29" w14:textId="574FC2BE" w:rsidR="001060D3" w:rsidRPr="00DD7414" w:rsidRDefault="00E17FB3" w:rsidP="00080C48">
      <w:pPr>
        <w:jc w:val="center"/>
        <w:rPr>
          <w:lang w:val="ru-RU"/>
        </w:rPr>
      </w:pPr>
      <w:r w:rsidRPr="00DD7414">
        <w:rPr>
          <w:noProof/>
          <w:lang w:val="ru-RU"/>
        </w:rPr>
        <w:drawing>
          <wp:inline distT="0" distB="0" distL="0" distR="0" wp14:anchorId="29EEE165" wp14:editId="614A1E2B">
            <wp:extent cx="5686425" cy="2919095"/>
            <wp:effectExtent l="0" t="0" r="9525" b="146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EE5F0E0-A589-49F9-8E43-2CF5E6229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87A72F" w14:textId="6648D82A" w:rsidR="00080C48" w:rsidRPr="00377BEE" w:rsidRDefault="001C08E6" w:rsidP="00433642">
      <w:pPr>
        <w:spacing w:before="280"/>
        <w:rPr>
          <w:lang w:val="ru-RU"/>
        </w:rPr>
      </w:pPr>
      <w:r w:rsidRPr="00DD7414">
        <w:rPr>
          <w:lang w:val="ru-RU"/>
        </w:rPr>
        <w:t>16</w:t>
      </w:r>
      <w:r w:rsidR="00080C48" w:rsidRPr="00DD7414">
        <w:rPr>
          <w:lang w:val="ru-RU"/>
        </w:rPr>
        <w:tab/>
        <w:t>Важнейшие рекомендации 2019</w:t>
      </w:r>
      <w:r w:rsidR="00DD7414" w:rsidRPr="00DD7414">
        <w:rPr>
          <w:lang w:val="ru-RU"/>
        </w:rPr>
        <w:t xml:space="preserve"> и 2020</w:t>
      </w:r>
      <w:r w:rsidR="00080C48" w:rsidRPr="00DD7414">
        <w:rPr>
          <w:lang w:val="ru-RU"/>
        </w:rPr>
        <w:t xml:space="preserve"> год</w:t>
      </w:r>
      <w:r w:rsidR="00DD7414" w:rsidRPr="00DD7414">
        <w:rPr>
          <w:lang w:val="ru-RU"/>
        </w:rPr>
        <w:t>ов</w:t>
      </w:r>
      <w:r w:rsidR="00080C48" w:rsidRPr="00DD7414">
        <w:rPr>
          <w:lang w:val="ru-RU"/>
        </w:rPr>
        <w:t xml:space="preserve"> связаны с письмом руководства, опубликованным Службой IA, по итогам расследования случая мошенничества. Они касаются главным образом необходимости </w:t>
      </w:r>
      <w:r w:rsidR="00377BEE">
        <w:rPr>
          <w:lang w:val="ru-RU"/>
        </w:rPr>
        <w:t xml:space="preserve">введения </w:t>
      </w:r>
      <w:r w:rsidR="00377BEE">
        <w:rPr>
          <w:lang w:val="en-US"/>
        </w:rPr>
        <w:t>HRMD</w:t>
      </w:r>
      <w:r w:rsidR="00377BEE" w:rsidRPr="00377BEE">
        <w:rPr>
          <w:lang w:val="ru-RU"/>
        </w:rPr>
        <w:t xml:space="preserve"> </w:t>
      </w:r>
      <w:r w:rsidR="00377BEE">
        <w:rPr>
          <w:lang w:val="ru-RU"/>
        </w:rPr>
        <w:t xml:space="preserve">процедур конкуренции в масштабах МСЭ в целом </w:t>
      </w:r>
      <w:r w:rsidR="00F2590D">
        <w:rPr>
          <w:lang w:val="ru-RU"/>
        </w:rPr>
        <w:t xml:space="preserve">и </w:t>
      </w:r>
      <w:r w:rsidR="00080C48" w:rsidRPr="00DD7414">
        <w:rPr>
          <w:lang w:val="ru-RU"/>
        </w:rPr>
        <w:t>усиления мер контроля в отношении найма внешних экспертов (по</w:t>
      </w:r>
      <w:r w:rsidR="00433642">
        <w:rPr>
          <w:lang w:val="ru-RU"/>
        </w:rPr>
        <w:t> </w:t>
      </w:r>
      <w:r w:rsidR="00080C48" w:rsidRPr="00DD7414">
        <w:rPr>
          <w:lang w:val="ru-RU"/>
        </w:rPr>
        <w:t>специальным соглашениям об услугах). Что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касается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ранее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вынесенных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рекомендаций</w:t>
      </w:r>
      <w:r w:rsidR="00080C48" w:rsidRPr="00377BEE">
        <w:rPr>
          <w:lang w:val="ru-RU"/>
        </w:rPr>
        <w:t xml:space="preserve">, </w:t>
      </w:r>
      <w:r w:rsidR="00080C48" w:rsidRPr="00DD7414">
        <w:rPr>
          <w:lang w:val="ru-RU"/>
        </w:rPr>
        <w:t>то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руководство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регулярно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информировало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Службу</w:t>
      </w:r>
      <w:r w:rsidR="00080C48" w:rsidRPr="00377BEE">
        <w:rPr>
          <w:lang w:val="ru-RU"/>
        </w:rPr>
        <w:t xml:space="preserve"> </w:t>
      </w:r>
      <w:r w:rsidR="00080C48" w:rsidRPr="00EE2991">
        <w:t>IA</w:t>
      </w:r>
      <w:r w:rsidR="00080C48" w:rsidRPr="00377BEE">
        <w:rPr>
          <w:lang w:val="ru-RU"/>
        </w:rPr>
        <w:t xml:space="preserve"> (</w:t>
      </w:r>
      <w:r w:rsidR="00080C48" w:rsidRPr="00DD7414">
        <w:rPr>
          <w:lang w:val="ru-RU"/>
        </w:rPr>
        <w:t>и</w:t>
      </w:r>
      <w:r w:rsidR="00080C48" w:rsidRPr="00377BEE">
        <w:rPr>
          <w:lang w:val="ru-RU"/>
        </w:rPr>
        <w:t xml:space="preserve"> </w:t>
      </w:r>
      <w:r w:rsidR="00080C48" w:rsidRPr="00EE2991">
        <w:t>IMAC</w:t>
      </w:r>
      <w:r w:rsidR="00080C48" w:rsidRPr="00377BEE">
        <w:rPr>
          <w:lang w:val="ru-RU"/>
        </w:rPr>
        <w:t xml:space="preserve">) </w:t>
      </w:r>
      <w:r w:rsidR="00080C48" w:rsidRPr="00DD7414">
        <w:rPr>
          <w:lang w:val="ru-RU"/>
        </w:rPr>
        <w:t>о</w:t>
      </w:r>
      <w:r w:rsidR="00DD7414" w:rsidRPr="00EE2991">
        <w:t> </w:t>
      </w:r>
      <w:r w:rsidR="00080C48" w:rsidRPr="00DD7414">
        <w:rPr>
          <w:lang w:val="ru-RU"/>
        </w:rPr>
        <w:t>ходе</w:t>
      </w:r>
      <w:r w:rsidR="00080C48" w:rsidRPr="00377BEE">
        <w:rPr>
          <w:lang w:val="ru-RU"/>
        </w:rPr>
        <w:t xml:space="preserve"> </w:t>
      </w:r>
      <w:r w:rsidR="00080C48" w:rsidRPr="00DD7414">
        <w:rPr>
          <w:lang w:val="ru-RU"/>
        </w:rPr>
        <w:t>работы</w:t>
      </w:r>
      <w:r w:rsidR="00377BEE" w:rsidRPr="00377BEE">
        <w:rPr>
          <w:lang w:val="ru-RU"/>
        </w:rPr>
        <w:t xml:space="preserve">, </w:t>
      </w:r>
      <w:r w:rsidR="00377BEE">
        <w:rPr>
          <w:lang w:val="ru-RU"/>
        </w:rPr>
        <w:t>а</w:t>
      </w:r>
      <w:r w:rsidR="00377BEE" w:rsidRPr="00377BEE">
        <w:rPr>
          <w:lang w:val="ru-RU"/>
        </w:rPr>
        <w:t xml:space="preserve"> </w:t>
      </w:r>
      <w:r w:rsidR="00377BEE" w:rsidRPr="00377BEE">
        <w:rPr>
          <w:color w:val="000000"/>
          <w:lang w:val="ru-RU"/>
        </w:rPr>
        <w:t>Рабоч</w:t>
      </w:r>
      <w:r w:rsidR="00377BEE">
        <w:rPr>
          <w:color w:val="000000"/>
          <w:lang w:val="ru-RU"/>
        </w:rPr>
        <w:t>ая</w:t>
      </w:r>
      <w:r w:rsidR="00377BEE" w:rsidRPr="00377BEE">
        <w:rPr>
          <w:color w:val="000000"/>
          <w:lang w:val="ru-RU"/>
        </w:rPr>
        <w:t xml:space="preserve"> групп</w:t>
      </w:r>
      <w:r w:rsidR="00377BEE">
        <w:rPr>
          <w:color w:val="000000"/>
          <w:lang w:val="ru-RU"/>
        </w:rPr>
        <w:t>а</w:t>
      </w:r>
      <w:r w:rsidR="00377BEE" w:rsidRPr="00377BEE">
        <w:rPr>
          <w:color w:val="000000"/>
          <w:lang w:val="ru-RU"/>
        </w:rPr>
        <w:t xml:space="preserve"> по внутреннему контролю</w:t>
      </w:r>
      <w:r w:rsidR="00377BEE">
        <w:rPr>
          <w:color w:val="000000"/>
          <w:lang w:val="ru-RU"/>
        </w:rPr>
        <w:t xml:space="preserve">, возглавляемая Директором БРЭ, осуществляла более пристальное наблюдение за выполнением </w:t>
      </w:r>
      <w:r w:rsidR="00375B9F">
        <w:rPr>
          <w:color w:val="000000"/>
          <w:lang w:val="ru-RU"/>
        </w:rPr>
        <w:t>представленных ранее рекомендаций</w:t>
      </w:r>
      <w:r w:rsidR="00080C48" w:rsidRPr="00377BEE">
        <w:rPr>
          <w:lang w:val="ru-RU"/>
        </w:rPr>
        <w:t xml:space="preserve">. </w:t>
      </w:r>
    </w:p>
    <w:p w14:paraId="2C909003" w14:textId="77777777" w:rsidR="00080C48" w:rsidRPr="00DD7414" w:rsidRDefault="00080C48" w:rsidP="00080C48">
      <w:pPr>
        <w:spacing w:before="720"/>
        <w:jc w:val="center"/>
        <w:rPr>
          <w:lang w:val="ru-RU"/>
        </w:rPr>
      </w:pPr>
      <w:r w:rsidRPr="00DD7414">
        <w:rPr>
          <w:lang w:val="ru-RU"/>
        </w:rPr>
        <w:t>_______________</w:t>
      </w:r>
    </w:p>
    <w:sectPr w:rsidR="00080C48" w:rsidRPr="00DD7414" w:rsidSect="001060D3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6585" w14:textId="77777777" w:rsidR="00DF605A" w:rsidRDefault="00DF605A">
      <w:r>
        <w:separator/>
      </w:r>
    </w:p>
  </w:endnote>
  <w:endnote w:type="continuationSeparator" w:id="0">
    <w:p w14:paraId="34B50BAC" w14:textId="77777777" w:rsidR="00DF605A" w:rsidRDefault="00D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0A336B01" w:rsidR="000F0FC3" w:rsidRPr="001060D3" w:rsidRDefault="00DF605A" w:rsidP="009B0BAE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F0FC3">
      <w:t>P:\RUS\SG\CONSEIL\C21\000\044R.docx</w:t>
    </w:r>
    <w:r>
      <w:fldChar w:fldCharType="end"/>
    </w:r>
    <w:r w:rsidR="000F0FC3" w:rsidRPr="001060D3">
      <w:t xml:space="preserve"> (483240)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A61" w14:textId="77777777" w:rsidR="000F0FC3" w:rsidRDefault="000F0FC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A2A4" w14:textId="77777777" w:rsidR="00DF605A" w:rsidRDefault="00DF605A">
      <w:r>
        <w:t>____________________</w:t>
      </w:r>
    </w:p>
  </w:footnote>
  <w:footnote w:type="continuationSeparator" w:id="0">
    <w:p w14:paraId="1671877C" w14:textId="77777777" w:rsidR="00DF605A" w:rsidRDefault="00DF605A">
      <w:r>
        <w:continuationSeparator/>
      </w:r>
    </w:p>
  </w:footnote>
  <w:footnote w:id="1">
    <w:p w14:paraId="19D900CC" w14:textId="77777777" w:rsidR="000F0FC3" w:rsidRPr="009D213E" w:rsidRDefault="000F0FC3" w:rsidP="007C5EA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sz w:val="18"/>
          <w:szCs w:val="18"/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2">
    <w:p w14:paraId="350042AA" w14:textId="77777777" w:rsidR="000F0FC3" w:rsidRPr="009D213E" w:rsidRDefault="000F0FC3" w:rsidP="007C5EA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hyperlink r:id="rId1" w:history="1">
        <w:r w:rsidRPr="00E25A17">
          <w:rPr>
            <w:rStyle w:val="Hyperlink"/>
          </w:rPr>
          <w:t>www</w:t>
        </w:r>
        <w:r w:rsidRPr="009D213E">
          <w:rPr>
            <w:rStyle w:val="Hyperlink"/>
            <w:lang w:val="ru-RU"/>
          </w:rPr>
          <w:t>.</w:t>
        </w:r>
        <w:proofErr w:type="spellStart"/>
        <w:r w:rsidRPr="00E25A17">
          <w:rPr>
            <w:rStyle w:val="Hyperlink"/>
          </w:rPr>
          <w:t>theiia</w:t>
        </w:r>
        <w:proofErr w:type="spellEnd"/>
        <w:r w:rsidRPr="009D213E">
          <w:rPr>
            <w:rStyle w:val="Hyperlink"/>
            <w:lang w:val="ru-RU"/>
          </w:rPr>
          <w:t>.</w:t>
        </w:r>
        <w:r w:rsidRPr="00E25A17">
          <w:rPr>
            <w:rStyle w:val="Hyperlink"/>
          </w:rPr>
          <w:t>org</w:t>
        </w:r>
      </w:hyperlink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3">
    <w:p w14:paraId="660A4235" w14:textId="77777777" w:rsidR="000F0FC3" w:rsidRPr="009D213E" w:rsidRDefault="000F0FC3" w:rsidP="007C5EA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4">
    <w:p w14:paraId="6CBBF940" w14:textId="476DBF8A" w:rsidR="000F0FC3" w:rsidRPr="0000207C" w:rsidRDefault="000F0FC3" w:rsidP="007C5EA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ru-RU"/>
        </w:rPr>
      </w:pPr>
      <w:r w:rsidRPr="0050030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C17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3E5C17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3E5C17">
        <w:rPr>
          <w:lang w:val="ru-RU"/>
        </w:rPr>
        <w:t xml:space="preserve">2500. </w:t>
      </w:r>
      <w:r w:rsidRPr="00EE2991">
        <w:t>A</w:t>
      </w:r>
      <w:r w:rsidRPr="0000207C">
        <w:rPr>
          <w:lang w:val="ru-RU"/>
        </w:rPr>
        <w:t xml:space="preserve">1 – </w:t>
      </w:r>
      <w:r>
        <w:rPr>
          <w:rFonts w:cstheme="minorHAnsi"/>
          <w:lang w:val="ru-RU"/>
        </w:rPr>
        <w:t>Г</w:t>
      </w:r>
      <w:r w:rsidRPr="0000207C">
        <w:rPr>
          <w:rFonts w:cstheme="minorHAnsi"/>
          <w:lang w:val="ru-RU"/>
        </w:rPr>
        <w:t>лавны</w:t>
      </w:r>
      <w:r>
        <w:rPr>
          <w:rFonts w:cstheme="minorHAnsi"/>
          <w:lang w:val="ru-RU"/>
        </w:rPr>
        <w:t>й</w:t>
      </w:r>
      <w:r w:rsidRPr="0000207C">
        <w:rPr>
          <w:rFonts w:cstheme="minorHAnsi"/>
          <w:lang w:val="ru-RU"/>
        </w:rPr>
        <w:t xml:space="preserve"> исполнительны</w:t>
      </w:r>
      <w:r>
        <w:rPr>
          <w:rFonts w:cstheme="minorHAnsi"/>
          <w:lang w:val="ru-RU"/>
        </w:rPr>
        <w:t>й</w:t>
      </w:r>
      <w:r w:rsidRPr="0000207C">
        <w:rPr>
          <w:rFonts w:cstheme="minorHAnsi"/>
          <w:lang w:val="ru-RU"/>
        </w:rPr>
        <w:t xml:space="preserve"> сотрудник по аудиту</w:t>
      </w:r>
      <w:r w:rsidRPr="0000207C">
        <w:rPr>
          <w:lang w:val="ru-RU"/>
        </w:rPr>
        <w:t xml:space="preserve"> </w:t>
      </w:r>
      <w:r>
        <w:rPr>
          <w:lang w:val="ru-RU"/>
        </w:rPr>
        <w:t>должен</w:t>
      </w:r>
      <w:r w:rsidRPr="0000207C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00207C">
        <w:rPr>
          <w:lang w:val="ru-RU"/>
        </w:rPr>
        <w:t xml:space="preserve"> </w:t>
      </w:r>
      <w:r>
        <w:rPr>
          <w:lang w:val="ru-RU"/>
        </w:rPr>
        <w:t>процесс</w:t>
      </w:r>
      <w:r w:rsidRPr="0000207C">
        <w:rPr>
          <w:lang w:val="ru-RU"/>
        </w:rPr>
        <w:t xml:space="preserve"> </w:t>
      </w:r>
      <w:r>
        <w:rPr>
          <w:lang w:val="ru-RU"/>
        </w:rPr>
        <w:t>принятия</w:t>
      </w:r>
      <w:r w:rsidRPr="0000207C">
        <w:rPr>
          <w:lang w:val="ru-RU"/>
        </w:rPr>
        <w:t xml:space="preserve"> </w:t>
      </w:r>
      <w:r>
        <w:rPr>
          <w:lang w:val="ru-RU"/>
        </w:rPr>
        <w:t>последующи</w:t>
      </w:r>
      <w:r w:rsidR="00600038">
        <w:rPr>
          <w:lang w:val="ru-RU"/>
        </w:rPr>
        <w:t>х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 xml:space="preserve"> </w:t>
      </w:r>
      <w:r>
        <w:rPr>
          <w:lang w:val="ru-RU"/>
        </w:rPr>
        <w:t>для</w:t>
      </w:r>
      <w:r w:rsidRPr="0000207C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00207C">
        <w:rPr>
          <w:lang w:val="ru-RU"/>
        </w:rPr>
        <w:t xml:space="preserve"> </w:t>
      </w:r>
      <w:r>
        <w:rPr>
          <w:lang w:val="ru-RU"/>
        </w:rPr>
        <w:t>контроля</w:t>
      </w:r>
      <w:r w:rsidRPr="0000207C">
        <w:rPr>
          <w:lang w:val="ru-RU"/>
        </w:rPr>
        <w:t xml:space="preserve"> </w:t>
      </w:r>
      <w:r>
        <w:rPr>
          <w:lang w:val="ru-RU"/>
        </w:rPr>
        <w:t>и</w:t>
      </w:r>
      <w:r w:rsidRPr="0000207C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0207C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00207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 xml:space="preserve"> </w:t>
      </w:r>
      <w:r>
        <w:rPr>
          <w:lang w:val="ru-RU"/>
        </w:rPr>
        <w:t>по</w:t>
      </w:r>
      <w:r w:rsidRPr="0000207C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00207C">
        <w:rPr>
          <w:lang w:val="ru-RU"/>
        </w:rPr>
        <w:t xml:space="preserve"> </w:t>
      </w:r>
      <w:r>
        <w:rPr>
          <w:lang w:val="ru-RU"/>
        </w:rPr>
        <w:t>или</w:t>
      </w:r>
      <w:r w:rsidRPr="0000207C">
        <w:rPr>
          <w:lang w:val="ru-RU"/>
        </w:rPr>
        <w:t xml:space="preserve"> </w:t>
      </w:r>
      <w:r>
        <w:rPr>
          <w:lang w:val="ru-RU"/>
        </w:rPr>
        <w:t>же</w:t>
      </w:r>
      <w:r w:rsidRPr="0000207C">
        <w:rPr>
          <w:lang w:val="ru-RU"/>
        </w:rPr>
        <w:t xml:space="preserve"> </w:t>
      </w:r>
      <w:r>
        <w:rPr>
          <w:lang w:val="ru-RU"/>
        </w:rPr>
        <w:t>согласия</w:t>
      </w:r>
      <w:r w:rsidRPr="0000207C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00207C">
        <w:rPr>
          <w:lang w:val="ru-RU"/>
        </w:rPr>
        <w:t xml:space="preserve"> </w:t>
      </w:r>
      <w:r>
        <w:rPr>
          <w:lang w:val="ru-RU"/>
        </w:rPr>
        <w:t>высшего</w:t>
      </w:r>
      <w:r w:rsidRPr="0000207C">
        <w:rPr>
          <w:lang w:val="ru-RU"/>
        </w:rPr>
        <w:t xml:space="preserve"> </w:t>
      </w:r>
      <w:r>
        <w:rPr>
          <w:lang w:val="ru-RU"/>
        </w:rPr>
        <w:t>звена</w:t>
      </w:r>
      <w:r w:rsidRPr="0000207C">
        <w:rPr>
          <w:lang w:val="ru-RU"/>
        </w:rPr>
        <w:t xml:space="preserve"> </w:t>
      </w:r>
      <w:r>
        <w:rPr>
          <w:lang w:val="ru-RU"/>
        </w:rPr>
        <w:t>на</w:t>
      </w:r>
      <w:r w:rsidRPr="0000207C">
        <w:rPr>
          <w:lang w:val="ru-RU"/>
        </w:rPr>
        <w:t xml:space="preserve"> </w:t>
      </w:r>
      <w:r>
        <w:rPr>
          <w:lang w:val="ru-RU"/>
        </w:rPr>
        <w:t>риск</w:t>
      </w:r>
      <w:r w:rsidRPr="0000207C">
        <w:rPr>
          <w:lang w:val="ru-RU"/>
        </w:rPr>
        <w:t xml:space="preserve"> </w:t>
      </w:r>
      <w:r>
        <w:rPr>
          <w:lang w:val="ru-RU"/>
        </w:rPr>
        <w:t>неприятия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64539039" w:rsidR="000F0FC3" w:rsidRDefault="000F0FC3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71A9E69" w14:textId="3CBCB3B1" w:rsidR="000F0FC3" w:rsidRDefault="000F0FC3" w:rsidP="001060D3">
    <w:pPr>
      <w:pStyle w:val="Header"/>
    </w:pPr>
    <w:r>
      <w:t>C2</w:t>
    </w:r>
    <w:r>
      <w:rPr>
        <w:lang w:val="ru-RU"/>
      </w:rPr>
      <w:t>1</w:t>
    </w:r>
    <w:r>
      <w:t>/</w:t>
    </w:r>
    <w:r>
      <w:rPr>
        <w:lang w:val="ru-RU"/>
      </w:rPr>
      <w:t>44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07C"/>
    <w:rsid w:val="0002183E"/>
    <w:rsid w:val="000375F2"/>
    <w:rsid w:val="000569B4"/>
    <w:rsid w:val="00062D0C"/>
    <w:rsid w:val="00080C48"/>
    <w:rsid w:val="00080E82"/>
    <w:rsid w:val="00082B74"/>
    <w:rsid w:val="00082FD2"/>
    <w:rsid w:val="000E568E"/>
    <w:rsid w:val="000F0FC3"/>
    <w:rsid w:val="001060D3"/>
    <w:rsid w:val="0014734F"/>
    <w:rsid w:val="0015710D"/>
    <w:rsid w:val="00163A32"/>
    <w:rsid w:val="00191301"/>
    <w:rsid w:val="00192B41"/>
    <w:rsid w:val="001B7B09"/>
    <w:rsid w:val="001C08E6"/>
    <w:rsid w:val="001E6719"/>
    <w:rsid w:val="00202728"/>
    <w:rsid w:val="00225368"/>
    <w:rsid w:val="00227FF0"/>
    <w:rsid w:val="0023051E"/>
    <w:rsid w:val="0026526C"/>
    <w:rsid w:val="00277B82"/>
    <w:rsid w:val="00291EB6"/>
    <w:rsid w:val="002D2F57"/>
    <w:rsid w:val="002D48C5"/>
    <w:rsid w:val="00344DD4"/>
    <w:rsid w:val="00375B9F"/>
    <w:rsid w:val="00377BEE"/>
    <w:rsid w:val="003E368A"/>
    <w:rsid w:val="003E5C17"/>
    <w:rsid w:val="003F099E"/>
    <w:rsid w:val="003F235E"/>
    <w:rsid w:val="004023E0"/>
    <w:rsid w:val="00403DD8"/>
    <w:rsid w:val="00425C3A"/>
    <w:rsid w:val="0042702E"/>
    <w:rsid w:val="00433642"/>
    <w:rsid w:val="00442515"/>
    <w:rsid w:val="0045686C"/>
    <w:rsid w:val="004673AA"/>
    <w:rsid w:val="00483E27"/>
    <w:rsid w:val="004918C4"/>
    <w:rsid w:val="00497703"/>
    <w:rsid w:val="004A0374"/>
    <w:rsid w:val="004A45B5"/>
    <w:rsid w:val="004D0129"/>
    <w:rsid w:val="005348A4"/>
    <w:rsid w:val="00561097"/>
    <w:rsid w:val="005A64D5"/>
    <w:rsid w:val="005B3DEC"/>
    <w:rsid w:val="00600038"/>
    <w:rsid w:val="00601994"/>
    <w:rsid w:val="00623DB1"/>
    <w:rsid w:val="00644801"/>
    <w:rsid w:val="00646DC6"/>
    <w:rsid w:val="006A3B28"/>
    <w:rsid w:val="006E2D42"/>
    <w:rsid w:val="006F0449"/>
    <w:rsid w:val="006F562F"/>
    <w:rsid w:val="00703676"/>
    <w:rsid w:val="00707304"/>
    <w:rsid w:val="00732269"/>
    <w:rsid w:val="00754197"/>
    <w:rsid w:val="00785ABD"/>
    <w:rsid w:val="00786CC9"/>
    <w:rsid w:val="0079703B"/>
    <w:rsid w:val="007A2DD4"/>
    <w:rsid w:val="007A4543"/>
    <w:rsid w:val="007C5EA2"/>
    <w:rsid w:val="007D38B5"/>
    <w:rsid w:val="007E7EA0"/>
    <w:rsid w:val="00807255"/>
    <w:rsid w:val="0081023E"/>
    <w:rsid w:val="008173AA"/>
    <w:rsid w:val="00824655"/>
    <w:rsid w:val="00825B31"/>
    <w:rsid w:val="00840A14"/>
    <w:rsid w:val="008B091D"/>
    <w:rsid w:val="008B62B4"/>
    <w:rsid w:val="008B7D4F"/>
    <w:rsid w:val="008D2D7B"/>
    <w:rsid w:val="008E0737"/>
    <w:rsid w:val="008F4708"/>
    <w:rsid w:val="008F7C2C"/>
    <w:rsid w:val="00920E2B"/>
    <w:rsid w:val="00940E96"/>
    <w:rsid w:val="009B0BAE"/>
    <w:rsid w:val="009B7714"/>
    <w:rsid w:val="009C1C89"/>
    <w:rsid w:val="009D45F4"/>
    <w:rsid w:val="009F3448"/>
    <w:rsid w:val="009F7E03"/>
    <w:rsid w:val="00A01CF9"/>
    <w:rsid w:val="00A71773"/>
    <w:rsid w:val="00A90A2E"/>
    <w:rsid w:val="00AA7750"/>
    <w:rsid w:val="00AB5FCD"/>
    <w:rsid w:val="00AC1AD9"/>
    <w:rsid w:val="00AD1E22"/>
    <w:rsid w:val="00AE2C85"/>
    <w:rsid w:val="00B12A37"/>
    <w:rsid w:val="00B63EF2"/>
    <w:rsid w:val="00BA5E60"/>
    <w:rsid w:val="00BA7D89"/>
    <w:rsid w:val="00BC0D39"/>
    <w:rsid w:val="00BC7BC0"/>
    <w:rsid w:val="00BD57B7"/>
    <w:rsid w:val="00BE63E2"/>
    <w:rsid w:val="00C12E2E"/>
    <w:rsid w:val="00CA37FA"/>
    <w:rsid w:val="00CB1006"/>
    <w:rsid w:val="00CD2009"/>
    <w:rsid w:val="00CF629C"/>
    <w:rsid w:val="00D70687"/>
    <w:rsid w:val="00D92EEA"/>
    <w:rsid w:val="00DA5D4E"/>
    <w:rsid w:val="00DC01F5"/>
    <w:rsid w:val="00DD7414"/>
    <w:rsid w:val="00DF605A"/>
    <w:rsid w:val="00E00C47"/>
    <w:rsid w:val="00E176BA"/>
    <w:rsid w:val="00E17FB3"/>
    <w:rsid w:val="00E423EC"/>
    <w:rsid w:val="00E55121"/>
    <w:rsid w:val="00E5563F"/>
    <w:rsid w:val="00EB4FCB"/>
    <w:rsid w:val="00EC6BC5"/>
    <w:rsid w:val="00EE2991"/>
    <w:rsid w:val="00F14C72"/>
    <w:rsid w:val="00F2590D"/>
    <w:rsid w:val="00F35898"/>
    <w:rsid w:val="00F5225B"/>
    <w:rsid w:val="00FC304F"/>
    <w:rsid w:val="00FC4B2E"/>
    <w:rsid w:val="00FE3A6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771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B77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C48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082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82FD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082F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130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83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ii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Приоритет выполняемых/просроченных рекомендаций</a:t>
            </a:r>
          </a:p>
        </c:rich>
      </c:tx>
      <c:layout>
        <c:manualLayout>
          <c:xMode val="edge"/>
          <c:yMode val="edge"/>
          <c:x val="0.21226693396993718"/>
          <c:y val="6.09092886665216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448651833093728E-2"/>
          <c:y val="0.19329997824668263"/>
          <c:w val="0.89858373230984334"/>
          <c:h val="0.60625022481282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Важнейший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Sheet1!$B$1:$K$1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84-417A-8E3F-5BDE5B11CF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Sheet1!$B$1:$K$1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2">
                  <c:v>2</c:v>
                </c:pt>
                <c:pt idx="3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84-417A-8E3F-5BDE5B11CF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Sheet1!$B$1:$K$1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2</c:v>
                </c:pt>
                <c:pt idx="2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84-417A-8E3F-5BDE5B11CF8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Sheet1!$B$1:$K$1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  <c:pt idx="0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84-417A-8E3F-5BDE5B11C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0163648"/>
        <c:axId val="1680164896"/>
      </c:barChart>
      <c:catAx>
        <c:axId val="168016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164896"/>
        <c:crosses val="autoZero"/>
        <c:auto val="1"/>
        <c:lblAlgn val="ctr"/>
        <c:lblOffset val="100"/>
        <c:noMultiLvlLbl val="0"/>
      </c:catAx>
      <c:valAx>
        <c:axId val="168016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16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85417066769092"/>
          <c:y val="0.90962023662490632"/>
          <c:w val="0.55629148795424965"/>
          <c:h val="6.6673718333608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F6425-02DD-4EC2-961E-10AC399F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00E75-4AC4-4E2A-AE84-64114DAEF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688E2-C038-4959-9C78-DF624030E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5671F-7158-4C2A-B43B-9F7B5EB6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76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Internal Auditor on internal audit activities</vt:lpstr>
    </vt:vector>
  </TitlesOfParts>
  <Manager>General Secretariat - Pool</Manager>
  <Company>International Telecommunication Union (ITU)</Company>
  <LinksUpToDate>false</LinksUpToDate>
  <CharactersWithSpaces>10773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2021, Virtual consultation of councillors</dc:subject>
  <dc:creator>Russian</dc:creator>
  <cp:keywords>C2021, C21, VCC, C21-VCC-1</cp:keywords>
  <dc:description/>
  <cp:lastModifiedBy>Mendoza-Pinto, Yelitza</cp:lastModifiedBy>
  <cp:revision>7</cp:revision>
  <cp:lastPrinted>2006-03-28T16:12:00Z</cp:lastPrinted>
  <dcterms:created xsi:type="dcterms:W3CDTF">2021-05-04T13:40:00Z</dcterms:created>
  <dcterms:modified xsi:type="dcterms:W3CDTF">2021-05-06T15:17:00Z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