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F37F3" w14:paraId="0522A17D" w14:textId="77777777">
        <w:trPr>
          <w:cantSplit/>
        </w:trPr>
        <w:tc>
          <w:tcPr>
            <w:tcW w:w="6912" w:type="dxa"/>
          </w:tcPr>
          <w:p w14:paraId="5086ED17" w14:textId="77777777" w:rsidR="00520F36" w:rsidRPr="009F37F3" w:rsidRDefault="00520F36" w:rsidP="00D90AD4">
            <w:pPr>
              <w:spacing w:before="360"/>
            </w:pPr>
            <w:bookmarkStart w:id="0" w:name="dc06"/>
            <w:bookmarkEnd w:id="0"/>
            <w:r w:rsidRPr="009F37F3">
              <w:rPr>
                <w:b/>
                <w:bCs/>
                <w:sz w:val="30"/>
                <w:szCs w:val="30"/>
              </w:rPr>
              <w:t>Conseil 20</w:t>
            </w:r>
            <w:r w:rsidR="009C353C" w:rsidRPr="009F37F3">
              <w:rPr>
                <w:b/>
                <w:bCs/>
                <w:sz w:val="30"/>
                <w:szCs w:val="30"/>
              </w:rPr>
              <w:t>2</w:t>
            </w:r>
            <w:r w:rsidR="004D1D50" w:rsidRPr="009F37F3">
              <w:rPr>
                <w:b/>
                <w:bCs/>
                <w:sz w:val="30"/>
                <w:szCs w:val="30"/>
              </w:rPr>
              <w:t>1</w:t>
            </w:r>
            <w:r w:rsidRPr="009F37F3">
              <w:rPr>
                <w:rFonts w:ascii="Verdana" w:hAnsi="Verdana"/>
                <w:b/>
                <w:bCs/>
                <w:sz w:val="26"/>
                <w:szCs w:val="26"/>
              </w:rPr>
              <w:br/>
            </w:r>
            <w:r w:rsidR="004D1D50" w:rsidRPr="009F37F3">
              <w:rPr>
                <w:b/>
                <w:bCs/>
                <w:sz w:val="28"/>
                <w:szCs w:val="28"/>
              </w:rPr>
              <w:t>Consultation virtuelle des Conseillers</w:t>
            </w:r>
            <w:r w:rsidRPr="009F37F3">
              <w:rPr>
                <w:b/>
                <w:bCs/>
                <w:sz w:val="28"/>
                <w:szCs w:val="28"/>
              </w:rPr>
              <w:t xml:space="preserve">, </w:t>
            </w:r>
            <w:r w:rsidR="004D1D50" w:rsidRPr="009F37F3">
              <w:rPr>
                <w:b/>
                <w:bCs/>
                <w:sz w:val="28"/>
                <w:szCs w:val="28"/>
              </w:rPr>
              <w:t>8</w:t>
            </w:r>
            <w:r w:rsidRPr="009F37F3">
              <w:rPr>
                <w:b/>
                <w:bCs/>
                <w:sz w:val="28"/>
                <w:szCs w:val="28"/>
              </w:rPr>
              <w:t>-</w:t>
            </w:r>
            <w:r w:rsidR="009C353C" w:rsidRPr="009F37F3">
              <w:rPr>
                <w:b/>
                <w:bCs/>
                <w:sz w:val="28"/>
                <w:szCs w:val="28"/>
              </w:rPr>
              <w:t>1</w:t>
            </w:r>
            <w:r w:rsidR="004D1D50" w:rsidRPr="009F37F3">
              <w:rPr>
                <w:b/>
                <w:bCs/>
                <w:sz w:val="28"/>
                <w:szCs w:val="28"/>
              </w:rPr>
              <w:t>8</w:t>
            </w:r>
            <w:r w:rsidR="00106B19" w:rsidRPr="009F37F3">
              <w:rPr>
                <w:b/>
                <w:bCs/>
                <w:sz w:val="28"/>
                <w:szCs w:val="28"/>
              </w:rPr>
              <w:t xml:space="preserve"> juin</w:t>
            </w:r>
            <w:r w:rsidRPr="009F37F3">
              <w:rPr>
                <w:b/>
                <w:bCs/>
                <w:sz w:val="28"/>
                <w:szCs w:val="28"/>
              </w:rPr>
              <w:t xml:space="preserve"> 20</w:t>
            </w:r>
            <w:r w:rsidR="009C353C" w:rsidRPr="009F37F3">
              <w:rPr>
                <w:b/>
                <w:bCs/>
                <w:sz w:val="28"/>
                <w:szCs w:val="28"/>
              </w:rPr>
              <w:t>2</w:t>
            </w:r>
            <w:r w:rsidR="004D1D50" w:rsidRPr="009F37F3">
              <w:rPr>
                <w:b/>
                <w:bCs/>
                <w:sz w:val="28"/>
                <w:szCs w:val="28"/>
              </w:rPr>
              <w:t>1</w:t>
            </w:r>
          </w:p>
        </w:tc>
        <w:tc>
          <w:tcPr>
            <w:tcW w:w="3261" w:type="dxa"/>
          </w:tcPr>
          <w:p w14:paraId="634264D1" w14:textId="77777777" w:rsidR="00520F36" w:rsidRPr="009F37F3" w:rsidRDefault="009C353C" w:rsidP="00D90AD4">
            <w:pPr>
              <w:spacing w:before="0"/>
            </w:pPr>
            <w:bookmarkStart w:id="1" w:name="ditulogo"/>
            <w:bookmarkEnd w:id="1"/>
            <w:r w:rsidRPr="009F37F3">
              <w:rPr>
                <w:noProof/>
                <w:lang w:val="en-US"/>
              </w:rPr>
              <w:drawing>
                <wp:inline distT="0" distB="0" distL="0" distR="0" wp14:anchorId="169FFB26" wp14:editId="12729CF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F37F3" w14:paraId="2E5BD5AD" w14:textId="77777777" w:rsidTr="00EF41DD">
        <w:trPr>
          <w:cantSplit/>
          <w:trHeight w:val="20"/>
        </w:trPr>
        <w:tc>
          <w:tcPr>
            <w:tcW w:w="6912" w:type="dxa"/>
            <w:tcBorders>
              <w:bottom w:val="single" w:sz="12" w:space="0" w:color="auto"/>
            </w:tcBorders>
            <w:vAlign w:val="center"/>
          </w:tcPr>
          <w:p w14:paraId="1C99D9AE" w14:textId="77777777" w:rsidR="00520F36" w:rsidRPr="009F37F3" w:rsidRDefault="00520F36" w:rsidP="00D90AD4">
            <w:pPr>
              <w:spacing w:before="0"/>
              <w:rPr>
                <w:b/>
                <w:bCs/>
                <w:sz w:val="26"/>
                <w:szCs w:val="26"/>
              </w:rPr>
            </w:pPr>
          </w:p>
        </w:tc>
        <w:tc>
          <w:tcPr>
            <w:tcW w:w="3261" w:type="dxa"/>
            <w:tcBorders>
              <w:bottom w:val="single" w:sz="12" w:space="0" w:color="auto"/>
            </w:tcBorders>
          </w:tcPr>
          <w:p w14:paraId="5540B490" w14:textId="77777777" w:rsidR="00520F36" w:rsidRPr="009F37F3" w:rsidRDefault="00520F36" w:rsidP="00D90AD4">
            <w:pPr>
              <w:spacing w:before="0"/>
              <w:rPr>
                <w:b/>
                <w:bCs/>
              </w:rPr>
            </w:pPr>
          </w:p>
        </w:tc>
      </w:tr>
      <w:tr w:rsidR="00520F36" w:rsidRPr="009F37F3" w14:paraId="1F4E87E5" w14:textId="77777777">
        <w:trPr>
          <w:cantSplit/>
          <w:trHeight w:val="20"/>
        </w:trPr>
        <w:tc>
          <w:tcPr>
            <w:tcW w:w="6912" w:type="dxa"/>
            <w:tcBorders>
              <w:top w:val="single" w:sz="12" w:space="0" w:color="auto"/>
            </w:tcBorders>
          </w:tcPr>
          <w:p w14:paraId="14210DC4" w14:textId="77777777" w:rsidR="00520F36" w:rsidRPr="009F37F3" w:rsidRDefault="00520F36" w:rsidP="00D90AD4">
            <w:pPr>
              <w:spacing w:before="0"/>
              <w:rPr>
                <w:smallCaps/>
                <w:sz w:val="22"/>
              </w:rPr>
            </w:pPr>
          </w:p>
        </w:tc>
        <w:tc>
          <w:tcPr>
            <w:tcW w:w="3261" w:type="dxa"/>
            <w:tcBorders>
              <w:top w:val="single" w:sz="12" w:space="0" w:color="auto"/>
            </w:tcBorders>
          </w:tcPr>
          <w:p w14:paraId="5319C95B" w14:textId="77777777" w:rsidR="00520F36" w:rsidRPr="009F37F3" w:rsidRDefault="00520F36" w:rsidP="00D90AD4">
            <w:pPr>
              <w:spacing w:before="0"/>
              <w:rPr>
                <w:b/>
                <w:bCs/>
              </w:rPr>
            </w:pPr>
          </w:p>
        </w:tc>
      </w:tr>
      <w:tr w:rsidR="00520F36" w:rsidRPr="009F37F3" w14:paraId="289C8551" w14:textId="77777777">
        <w:trPr>
          <w:cantSplit/>
          <w:trHeight w:val="20"/>
        </w:trPr>
        <w:tc>
          <w:tcPr>
            <w:tcW w:w="6912" w:type="dxa"/>
            <w:vMerge w:val="restart"/>
          </w:tcPr>
          <w:p w14:paraId="22C01BE2" w14:textId="17EEEDE6" w:rsidR="00520F36" w:rsidRPr="009F37F3" w:rsidRDefault="009C0949" w:rsidP="00D90AD4">
            <w:pPr>
              <w:spacing w:before="0"/>
              <w:rPr>
                <w:rFonts w:cs="Times"/>
                <w:b/>
                <w:bCs/>
                <w:szCs w:val="24"/>
              </w:rPr>
            </w:pPr>
            <w:bookmarkStart w:id="2" w:name="dnum" w:colFirst="1" w:colLast="1"/>
            <w:bookmarkStart w:id="3" w:name="dmeeting" w:colFirst="0" w:colLast="0"/>
            <w:r w:rsidRPr="009F37F3">
              <w:rPr>
                <w:rFonts w:cs="Times"/>
                <w:b/>
                <w:bCs/>
                <w:szCs w:val="24"/>
              </w:rPr>
              <w:t xml:space="preserve">Point de l'ordre du </w:t>
            </w:r>
            <w:proofErr w:type="gramStart"/>
            <w:r w:rsidRPr="009F37F3">
              <w:rPr>
                <w:rFonts w:cs="Times"/>
                <w:b/>
                <w:bCs/>
                <w:szCs w:val="24"/>
              </w:rPr>
              <w:t>jour:</w:t>
            </w:r>
            <w:proofErr w:type="gramEnd"/>
            <w:r w:rsidRPr="009F37F3">
              <w:rPr>
                <w:rFonts w:cs="Times"/>
                <w:b/>
                <w:bCs/>
                <w:szCs w:val="24"/>
              </w:rPr>
              <w:t xml:space="preserve"> ADM 18</w:t>
            </w:r>
          </w:p>
        </w:tc>
        <w:tc>
          <w:tcPr>
            <w:tcW w:w="3261" w:type="dxa"/>
          </w:tcPr>
          <w:p w14:paraId="3EFA6FB7" w14:textId="5D7DE5B9" w:rsidR="00520F36" w:rsidRPr="009F37F3" w:rsidRDefault="00520F36" w:rsidP="00D90AD4">
            <w:pPr>
              <w:spacing w:before="0"/>
              <w:rPr>
                <w:b/>
                <w:bCs/>
              </w:rPr>
            </w:pPr>
            <w:r w:rsidRPr="009F37F3">
              <w:rPr>
                <w:b/>
                <w:bCs/>
              </w:rPr>
              <w:t>Document C</w:t>
            </w:r>
            <w:r w:rsidR="009C353C" w:rsidRPr="009F37F3">
              <w:rPr>
                <w:b/>
                <w:bCs/>
              </w:rPr>
              <w:t>2</w:t>
            </w:r>
            <w:r w:rsidR="004D1D50" w:rsidRPr="009F37F3">
              <w:rPr>
                <w:b/>
                <w:bCs/>
              </w:rPr>
              <w:t>1</w:t>
            </w:r>
            <w:r w:rsidRPr="009F37F3">
              <w:rPr>
                <w:b/>
                <w:bCs/>
              </w:rPr>
              <w:t>/</w:t>
            </w:r>
            <w:r w:rsidR="009C0949" w:rsidRPr="009F37F3">
              <w:rPr>
                <w:b/>
                <w:bCs/>
              </w:rPr>
              <w:t>44</w:t>
            </w:r>
            <w:r w:rsidRPr="009F37F3">
              <w:rPr>
                <w:b/>
                <w:bCs/>
              </w:rPr>
              <w:t>-F</w:t>
            </w:r>
          </w:p>
        </w:tc>
      </w:tr>
      <w:tr w:rsidR="00520F36" w:rsidRPr="009F37F3" w14:paraId="3F02A410" w14:textId="77777777">
        <w:trPr>
          <w:cantSplit/>
          <w:trHeight w:val="20"/>
        </w:trPr>
        <w:tc>
          <w:tcPr>
            <w:tcW w:w="6912" w:type="dxa"/>
            <w:vMerge/>
          </w:tcPr>
          <w:p w14:paraId="17B332FE" w14:textId="77777777" w:rsidR="00520F36" w:rsidRPr="009F37F3" w:rsidRDefault="00520F36" w:rsidP="00D90AD4">
            <w:pPr>
              <w:shd w:val="solid" w:color="FFFFFF" w:fill="FFFFFF"/>
              <w:spacing w:before="180"/>
              <w:rPr>
                <w:smallCaps/>
              </w:rPr>
            </w:pPr>
            <w:bookmarkStart w:id="4" w:name="ddate" w:colFirst="1" w:colLast="1"/>
            <w:bookmarkEnd w:id="2"/>
            <w:bookmarkEnd w:id="3"/>
          </w:p>
        </w:tc>
        <w:tc>
          <w:tcPr>
            <w:tcW w:w="3261" w:type="dxa"/>
          </w:tcPr>
          <w:p w14:paraId="50B80773" w14:textId="5087EE97" w:rsidR="00520F36" w:rsidRPr="009F37F3" w:rsidRDefault="009C0949" w:rsidP="00D90AD4">
            <w:pPr>
              <w:spacing w:before="0"/>
              <w:rPr>
                <w:b/>
                <w:bCs/>
              </w:rPr>
            </w:pPr>
            <w:r w:rsidRPr="009F37F3">
              <w:rPr>
                <w:b/>
                <w:bCs/>
              </w:rPr>
              <w:t>31 mars</w:t>
            </w:r>
            <w:r w:rsidR="00520F36" w:rsidRPr="009F37F3">
              <w:rPr>
                <w:b/>
                <w:bCs/>
              </w:rPr>
              <w:t xml:space="preserve"> 20</w:t>
            </w:r>
            <w:r w:rsidR="009C353C" w:rsidRPr="009F37F3">
              <w:rPr>
                <w:b/>
                <w:bCs/>
              </w:rPr>
              <w:t>2</w:t>
            </w:r>
            <w:r w:rsidR="0097363B" w:rsidRPr="009F37F3">
              <w:rPr>
                <w:b/>
                <w:bCs/>
              </w:rPr>
              <w:t>1</w:t>
            </w:r>
          </w:p>
        </w:tc>
      </w:tr>
      <w:tr w:rsidR="00520F36" w:rsidRPr="009F37F3" w14:paraId="00A63804" w14:textId="77777777">
        <w:trPr>
          <w:cantSplit/>
          <w:trHeight w:val="20"/>
        </w:trPr>
        <w:tc>
          <w:tcPr>
            <w:tcW w:w="6912" w:type="dxa"/>
            <w:vMerge/>
          </w:tcPr>
          <w:p w14:paraId="635CD91F" w14:textId="77777777" w:rsidR="00520F36" w:rsidRPr="009F37F3" w:rsidRDefault="00520F36" w:rsidP="00D90AD4">
            <w:pPr>
              <w:shd w:val="solid" w:color="FFFFFF" w:fill="FFFFFF"/>
              <w:spacing w:before="180"/>
              <w:rPr>
                <w:smallCaps/>
              </w:rPr>
            </w:pPr>
            <w:bookmarkStart w:id="5" w:name="dorlang" w:colFirst="1" w:colLast="1"/>
            <w:bookmarkEnd w:id="4"/>
          </w:p>
        </w:tc>
        <w:tc>
          <w:tcPr>
            <w:tcW w:w="3261" w:type="dxa"/>
          </w:tcPr>
          <w:p w14:paraId="7C0255E5" w14:textId="77777777" w:rsidR="00520F36" w:rsidRPr="009F37F3" w:rsidRDefault="00520F36" w:rsidP="00D90AD4">
            <w:pPr>
              <w:spacing w:before="0"/>
              <w:rPr>
                <w:b/>
                <w:bCs/>
              </w:rPr>
            </w:pPr>
            <w:proofErr w:type="gramStart"/>
            <w:r w:rsidRPr="009F37F3">
              <w:rPr>
                <w:b/>
                <w:bCs/>
              </w:rPr>
              <w:t>Original:</w:t>
            </w:r>
            <w:proofErr w:type="gramEnd"/>
            <w:r w:rsidRPr="009F37F3">
              <w:rPr>
                <w:b/>
                <w:bCs/>
              </w:rPr>
              <w:t xml:space="preserve"> anglais</w:t>
            </w:r>
          </w:p>
        </w:tc>
      </w:tr>
      <w:tr w:rsidR="00520F36" w:rsidRPr="009F37F3" w14:paraId="6C8874B7" w14:textId="77777777">
        <w:trPr>
          <w:cantSplit/>
        </w:trPr>
        <w:tc>
          <w:tcPr>
            <w:tcW w:w="10173" w:type="dxa"/>
            <w:gridSpan w:val="2"/>
          </w:tcPr>
          <w:p w14:paraId="03BFB4D1" w14:textId="22F6CC5B" w:rsidR="00520F36" w:rsidRPr="009F37F3" w:rsidRDefault="009C0949" w:rsidP="00D90AD4">
            <w:pPr>
              <w:pStyle w:val="Source"/>
            </w:pPr>
            <w:bookmarkStart w:id="6" w:name="dsource" w:colFirst="0" w:colLast="0"/>
            <w:bookmarkEnd w:id="5"/>
            <w:r w:rsidRPr="009F37F3">
              <w:t>Rapport du Secrétaire général</w:t>
            </w:r>
          </w:p>
        </w:tc>
      </w:tr>
      <w:tr w:rsidR="00520F36" w:rsidRPr="009F37F3" w14:paraId="76DADD7D" w14:textId="77777777">
        <w:trPr>
          <w:cantSplit/>
        </w:trPr>
        <w:tc>
          <w:tcPr>
            <w:tcW w:w="10173" w:type="dxa"/>
            <w:gridSpan w:val="2"/>
          </w:tcPr>
          <w:p w14:paraId="49F27E0F" w14:textId="5BD7D5B1" w:rsidR="00520F36" w:rsidRPr="009F37F3" w:rsidRDefault="009C0949" w:rsidP="00D90AD4">
            <w:pPr>
              <w:pStyle w:val="Title1"/>
            </w:pPr>
            <w:bookmarkStart w:id="7" w:name="dtitle1" w:colFirst="0" w:colLast="0"/>
            <w:bookmarkEnd w:id="6"/>
            <w:r w:rsidRPr="009F37F3">
              <w:t>RAPPORT DE L'A</w:t>
            </w:r>
            <w:r w:rsidR="00BE4427" w:rsidRPr="009F37F3">
              <w:t>UDITEUR INTERNE SUR LES ACTIVITÉ</w:t>
            </w:r>
            <w:r w:rsidRPr="009F37F3">
              <w:t>S D'AUDIT INTERNE</w:t>
            </w:r>
          </w:p>
        </w:tc>
      </w:tr>
      <w:bookmarkEnd w:id="7"/>
    </w:tbl>
    <w:p w14:paraId="456FEEA9" w14:textId="77777777" w:rsidR="00520F36" w:rsidRPr="009F37F3" w:rsidRDefault="00520F36" w:rsidP="00D90AD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F37F3" w14:paraId="51337AC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22392BF" w14:textId="77777777" w:rsidR="00520F36" w:rsidRPr="009F37F3" w:rsidRDefault="00520F36" w:rsidP="00D90AD4">
            <w:pPr>
              <w:pStyle w:val="Headingb"/>
            </w:pPr>
            <w:r w:rsidRPr="009F37F3">
              <w:t>Résumé</w:t>
            </w:r>
          </w:p>
          <w:p w14:paraId="59C1A2EB" w14:textId="1FA6A6A5" w:rsidR="00520F36" w:rsidRPr="009F37F3" w:rsidRDefault="009C0949" w:rsidP="00D90AD4">
            <w:r w:rsidRPr="009F37F3">
              <w:t>Le présent rapport couvre les activités d'audit interne menées durant la période allant de mai 2020 à mars 2021.</w:t>
            </w:r>
          </w:p>
          <w:p w14:paraId="7494032F" w14:textId="77777777" w:rsidR="00520F36" w:rsidRPr="009F37F3" w:rsidRDefault="00520F36" w:rsidP="00D90AD4">
            <w:pPr>
              <w:pStyle w:val="Headingb"/>
            </w:pPr>
            <w:proofErr w:type="gramStart"/>
            <w:r w:rsidRPr="009F37F3">
              <w:t>Suite à</w:t>
            </w:r>
            <w:proofErr w:type="gramEnd"/>
            <w:r w:rsidRPr="009F37F3">
              <w:t xml:space="preserve"> donner</w:t>
            </w:r>
          </w:p>
          <w:p w14:paraId="6D4B1EE7" w14:textId="5F829A5C" w:rsidR="00520F36" w:rsidRPr="009F37F3" w:rsidRDefault="009C0949" w:rsidP="00D90AD4">
            <w:r w:rsidRPr="009F37F3">
              <w:t xml:space="preserve">Le présent rapport est transmis au Conseil </w:t>
            </w:r>
            <w:r w:rsidRPr="009F37F3">
              <w:rPr>
                <w:b/>
              </w:rPr>
              <w:t>pour examen</w:t>
            </w:r>
            <w:r w:rsidRPr="009F37F3">
              <w:t>.</w:t>
            </w:r>
          </w:p>
          <w:p w14:paraId="75ED756E" w14:textId="77777777" w:rsidR="00520F36" w:rsidRPr="009F37F3" w:rsidRDefault="00520F36" w:rsidP="00D90AD4">
            <w:pPr>
              <w:pStyle w:val="Table"/>
              <w:keepNext w:val="0"/>
              <w:spacing w:before="0" w:after="0"/>
              <w:rPr>
                <w:rFonts w:ascii="Calibri" w:hAnsi="Calibri"/>
                <w:caps w:val="0"/>
                <w:sz w:val="22"/>
                <w:lang w:val="fr-FR"/>
              </w:rPr>
            </w:pPr>
            <w:r w:rsidRPr="009F37F3">
              <w:rPr>
                <w:rFonts w:ascii="Calibri" w:hAnsi="Calibri"/>
                <w:caps w:val="0"/>
                <w:sz w:val="22"/>
                <w:lang w:val="fr-FR"/>
              </w:rPr>
              <w:t>____________</w:t>
            </w:r>
          </w:p>
          <w:p w14:paraId="31BF045C" w14:textId="77777777" w:rsidR="00520F36" w:rsidRPr="009F37F3" w:rsidRDefault="00520F36" w:rsidP="00D90AD4">
            <w:pPr>
              <w:pStyle w:val="Headingb"/>
            </w:pPr>
            <w:r w:rsidRPr="009F37F3">
              <w:t>Références</w:t>
            </w:r>
          </w:p>
          <w:p w14:paraId="7471EA39" w14:textId="27509E62" w:rsidR="00520F36" w:rsidRPr="009F37F3" w:rsidRDefault="00556C8C" w:rsidP="00D90AD4">
            <w:pPr>
              <w:spacing w:after="120"/>
              <w:rPr>
                <w:i/>
                <w:iCs/>
              </w:rPr>
            </w:pPr>
            <w:hyperlink r:id="rId7" w:history="1">
              <w:r w:rsidR="009C0949" w:rsidRPr="009F37F3">
                <w:rPr>
                  <w:rStyle w:val="Hyperlink"/>
                  <w:i/>
                  <w:iCs/>
                </w:rPr>
                <w:t>Règlement financier et Règles financières de l'UIT (2018), Article 29</w:t>
              </w:r>
            </w:hyperlink>
          </w:p>
        </w:tc>
      </w:tr>
    </w:tbl>
    <w:p w14:paraId="0635B620" w14:textId="77777777" w:rsidR="009C0949" w:rsidRPr="009F37F3" w:rsidRDefault="009C0949" w:rsidP="00D90AD4">
      <w:pPr>
        <w:pStyle w:val="Headingb"/>
        <w:spacing w:before="480"/>
      </w:pPr>
      <w:r w:rsidRPr="009F37F3">
        <w:br w:type="page"/>
      </w:r>
    </w:p>
    <w:p w14:paraId="559898E7" w14:textId="6BA7B275" w:rsidR="009C0949" w:rsidRPr="00CA1775" w:rsidRDefault="009C0949" w:rsidP="00CA1775">
      <w:pPr>
        <w:pStyle w:val="Headingb"/>
      </w:pPr>
      <w:r w:rsidRPr="00CA1775">
        <w:lastRenderedPageBreak/>
        <w:t>Introduction</w:t>
      </w:r>
    </w:p>
    <w:p w14:paraId="5A2EC75C" w14:textId="5D216B3C" w:rsidR="009C0949" w:rsidRPr="009F37F3" w:rsidRDefault="009C0949" w:rsidP="00D90AD4">
      <w:r w:rsidRPr="009F37F3">
        <w:t>1</w:t>
      </w:r>
      <w:r w:rsidRPr="009F37F3">
        <w:tab/>
        <w:t>Le présent rapport est transmis au Conseil de l'UIT au titre de l'Article 29 du Règlement financier (2010). Conformément à la Charte d'audit interne de l'UIT</w:t>
      </w:r>
      <w:r w:rsidRPr="009F37F3">
        <w:rPr>
          <w:rStyle w:val="FootnoteReference"/>
        </w:rPr>
        <w:footnoteReference w:id="1"/>
      </w:r>
      <w:r w:rsidRPr="009F37F3">
        <w:t>, le présent rapport est soumis au Secrétaire général et présenté au Conseil pour examen. Il couvre les activités menées durant la période allant de mai 2020 à mars 2021.</w:t>
      </w:r>
    </w:p>
    <w:p w14:paraId="4FA2EE69" w14:textId="3620EE12" w:rsidR="009C0949" w:rsidRPr="009F37F3" w:rsidRDefault="009C0949" w:rsidP="00D90AD4">
      <w:r w:rsidRPr="009F37F3">
        <w:t>2</w:t>
      </w:r>
      <w:r w:rsidRPr="009F37F3">
        <w:tab/>
        <w:t xml:space="preserve">S'agissant de la période couverte par le rapport, l'Unité de l'audit interne se composait de trois fonctionnaires de la catégorie professionnelle – un P5 (chef de l'Unité), un P3 (auditeur interne) et un P2 (auditeur interne junior). Un fonctionnaire de la catégorie des services généraux (assistant d'audit) a travaillé à temps plein à l'Unité </w:t>
      </w:r>
      <w:r w:rsidR="00BE4427" w:rsidRPr="009F37F3">
        <w:t xml:space="preserve">jusqu'à </w:t>
      </w:r>
      <w:r w:rsidR="009F0C9E" w:rsidRPr="009F37F3">
        <w:t>son départ en retraite de l'UIT</w:t>
      </w:r>
      <w:r w:rsidR="00831DD0" w:rsidRPr="009F37F3">
        <w:t xml:space="preserve"> à la fin</w:t>
      </w:r>
      <w:r w:rsidR="00D90AD4" w:rsidRPr="009F37F3">
        <w:t> </w:t>
      </w:r>
      <w:r w:rsidR="00831DD0" w:rsidRPr="009F37F3">
        <w:t>de janvier 2021</w:t>
      </w:r>
      <w:r w:rsidRPr="009F37F3">
        <w:t xml:space="preserve">. </w:t>
      </w:r>
      <w:r w:rsidR="00BE4427" w:rsidRPr="009F37F3">
        <w:t>Le poste de la catégorie des services géné</w:t>
      </w:r>
      <w:r w:rsidR="0082035C" w:rsidRPr="009F37F3">
        <w:t xml:space="preserve">raux a été supprimé, </w:t>
      </w:r>
      <w:r w:rsidR="00BE4427" w:rsidRPr="009F37F3">
        <w:t>et un</w:t>
      </w:r>
      <w:r w:rsidRPr="009F37F3">
        <w:t xml:space="preserve"> </w:t>
      </w:r>
      <w:r w:rsidR="00BE4427" w:rsidRPr="009F37F3">
        <w:t>poste</w:t>
      </w:r>
      <w:r w:rsidR="00F750B8" w:rsidRPr="009F37F3">
        <w:t xml:space="preserve"> de grade</w:t>
      </w:r>
      <w:r w:rsidR="00D90AD4" w:rsidRPr="009F37F3">
        <w:t xml:space="preserve"> </w:t>
      </w:r>
      <w:r w:rsidRPr="009F37F3">
        <w:t>P4 (</w:t>
      </w:r>
      <w:r w:rsidR="00BE4427" w:rsidRPr="009F37F3">
        <w:t>auditeur interne principal</w:t>
      </w:r>
      <w:r w:rsidRPr="009F37F3">
        <w:t xml:space="preserve">) </w:t>
      </w:r>
      <w:r w:rsidR="00BE4427" w:rsidRPr="009F37F3">
        <w:t>a été créé</w:t>
      </w:r>
      <w:r w:rsidRPr="009F37F3">
        <w:t xml:space="preserve"> </w:t>
      </w:r>
      <w:r w:rsidR="00BE4427" w:rsidRPr="009F37F3">
        <w:t>et</w:t>
      </w:r>
      <w:r w:rsidR="00D90AD4" w:rsidRPr="009F37F3">
        <w:t xml:space="preserve"> </w:t>
      </w:r>
      <w:r w:rsidR="00F750B8" w:rsidRPr="009F37F3">
        <w:t>mis au concours</w:t>
      </w:r>
      <w:r w:rsidRPr="009F37F3">
        <w:t xml:space="preserve"> </w:t>
      </w:r>
      <w:r w:rsidR="00BE4427" w:rsidRPr="009F37F3">
        <w:t>le 15 février</w:t>
      </w:r>
      <w:r w:rsidRPr="009F37F3">
        <w:t xml:space="preserve"> 2021.</w:t>
      </w:r>
      <w:r w:rsidR="00D90AD4" w:rsidRPr="009F37F3">
        <w:t xml:space="preserve"> </w:t>
      </w:r>
      <w:r w:rsidR="00F750B8" w:rsidRPr="009F37F3">
        <w:t>Actuellement</w:t>
      </w:r>
      <w:r w:rsidR="00BE4427" w:rsidRPr="009F37F3">
        <w:t>, l'Unité compte donc quatre postes</w:t>
      </w:r>
      <w:r w:rsidRPr="009F37F3">
        <w:t xml:space="preserve"> </w:t>
      </w:r>
      <w:r w:rsidR="00BE4427" w:rsidRPr="009F37F3">
        <w:t>de la catégorie professionnelle</w:t>
      </w:r>
      <w:r w:rsidRPr="009F37F3">
        <w:t xml:space="preserve">, </w:t>
      </w:r>
      <w:r w:rsidR="003E5A8D" w:rsidRPr="009F37F3">
        <w:t>dont l'un est</w:t>
      </w:r>
      <w:r w:rsidRPr="009F37F3">
        <w:t xml:space="preserve"> vacant </w:t>
      </w:r>
      <w:r w:rsidR="003E5A8D" w:rsidRPr="009F37F3">
        <w:t xml:space="preserve">dans l'attente </w:t>
      </w:r>
      <w:r w:rsidR="00744672" w:rsidRPr="009F37F3">
        <w:t>d'un recrutement</w:t>
      </w:r>
      <w:r w:rsidRPr="009F37F3">
        <w:t xml:space="preserve"> </w:t>
      </w:r>
      <w:r w:rsidR="003E5A8D" w:rsidRPr="009F37F3">
        <w:t>au cours de</w:t>
      </w:r>
      <w:r w:rsidR="00D90AD4" w:rsidRPr="009F37F3">
        <w:t xml:space="preserve"> </w:t>
      </w:r>
      <w:r w:rsidRPr="009F37F3">
        <w:t>2021.</w:t>
      </w:r>
    </w:p>
    <w:p w14:paraId="38A111C1" w14:textId="77777777" w:rsidR="009C0949" w:rsidRPr="009F37F3" w:rsidRDefault="009C0949" w:rsidP="00D90AD4">
      <w:r w:rsidRPr="009F37F3">
        <w:t>3</w:t>
      </w:r>
      <w:r w:rsidRPr="009F37F3">
        <w:tab/>
        <w:t>L'Unité de l'audit interne confirme qu'elle se conforme dans ses activités d'audit aux Normes internationales pour la pratique professionnelle de l'audit interne et au Code de déontologie établis par l'Institut des auditeurs internes (IIA)</w:t>
      </w:r>
      <w:r w:rsidRPr="009F37F3">
        <w:rPr>
          <w:rStyle w:val="FootnoteReference"/>
        </w:rPr>
        <w:footnoteReference w:id="2"/>
      </w:r>
      <w:r w:rsidRPr="009F37F3">
        <w:t>, ainsi qu'aux dispositions de la Charte d'audit interne de l'UIT</w:t>
      </w:r>
      <w:r w:rsidRPr="009F37F3">
        <w:rPr>
          <w:rStyle w:val="FootnoteReference"/>
        </w:rPr>
        <w:footnoteReference w:id="3"/>
      </w:r>
      <w:r w:rsidRPr="009F37F3">
        <w:t>. En outre, elle confirme qu'au cours de la période couverte par le présent rapport, ses membres n'ont supervisé aucune des activités ayant fait l'objet d'un audit, ni n'en ont été responsables, et qu'ils n'ont pas exercé à l'UIT de fonctions comptables ou opérationnelles.</w:t>
      </w:r>
    </w:p>
    <w:p w14:paraId="1632EA43" w14:textId="77777777" w:rsidR="009C0949" w:rsidRPr="009F37F3" w:rsidRDefault="009C0949" w:rsidP="00D90AD4">
      <w:pPr>
        <w:pStyle w:val="Headingb"/>
      </w:pPr>
      <w:r w:rsidRPr="009F37F3">
        <w:t>Orientation et champ des activités d'audit interne</w:t>
      </w:r>
    </w:p>
    <w:p w14:paraId="3A51DB51" w14:textId="3004DE72" w:rsidR="009C0949" w:rsidRPr="009F37F3" w:rsidRDefault="009C0949" w:rsidP="00D90AD4">
      <w:r w:rsidRPr="009F37F3">
        <w:t>4</w:t>
      </w:r>
      <w:r w:rsidRPr="009F37F3">
        <w:tab/>
      </w:r>
      <w:r w:rsidR="003E5A8D" w:rsidRPr="009F37F3">
        <w:t>Le</w:t>
      </w:r>
      <w:r w:rsidR="00F750B8" w:rsidRPr="009F37F3">
        <w:t xml:space="preserve"> plan</w:t>
      </w:r>
      <w:r w:rsidR="003E5A8D" w:rsidRPr="009F37F3">
        <w:t xml:space="preserve"> de travail</w:t>
      </w:r>
      <w:r w:rsidR="00D90AD4" w:rsidRPr="009F37F3">
        <w:t xml:space="preserve"> </w:t>
      </w:r>
      <w:r w:rsidR="00F750B8" w:rsidRPr="009F37F3">
        <w:t xml:space="preserve">pour </w:t>
      </w:r>
      <w:r w:rsidR="003E5A8D" w:rsidRPr="009F37F3">
        <w:t>l'Unité de l'audit interne pour 2020 a été élaboré dans une version abrégée à la mi-2020</w:t>
      </w:r>
      <w:r w:rsidRPr="009F37F3">
        <w:t xml:space="preserve">, </w:t>
      </w:r>
      <w:r w:rsidR="003E5A8D" w:rsidRPr="009F37F3">
        <w:t>essentiellement parce que l'Unité</w:t>
      </w:r>
      <w:r w:rsidR="00D90AD4" w:rsidRPr="009F37F3">
        <w:t xml:space="preserve"> </w:t>
      </w:r>
      <w:r w:rsidR="00F750B8" w:rsidRPr="009F37F3">
        <w:t>a activement participé</w:t>
      </w:r>
      <w:r w:rsidR="00D90AD4" w:rsidRPr="009F37F3">
        <w:t xml:space="preserve"> </w:t>
      </w:r>
      <w:r w:rsidR="00F750B8" w:rsidRPr="009F37F3">
        <w:t>à des</w:t>
      </w:r>
      <w:r w:rsidR="00D90AD4" w:rsidRPr="009F37F3">
        <w:t xml:space="preserve"> </w:t>
      </w:r>
      <w:r w:rsidR="003E5A8D" w:rsidRPr="009F37F3">
        <w:t>travaux</w:t>
      </w:r>
      <w:r w:rsidR="00D90AD4" w:rsidRPr="009F37F3">
        <w:t xml:space="preserve"> </w:t>
      </w:r>
      <w:r w:rsidR="00F750B8" w:rsidRPr="009F37F3">
        <w:rPr>
          <w:color w:val="000000"/>
        </w:rPr>
        <w:t xml:space="preserve">d'investigations </w:t>
      </w:r>
      <w:r w:rsidR="003E5A8D" w:rsidRPr="009F37F3">
        <w:t>qui se sont poursuivis durant une grande partie de l'année</w:t>
      </w:r>
      <w:r w:rsidRPr="009F37F3">
        <w:t xml:space="preserve"> 2020. </w:t>
      </w:r>
      <w:r w:rsidR="003E5A8D" w:rsidRPr="009F37F3">
        <w:t>Les travaux d'audit ont débuté</w:t>
      </w:r>
      <w:r w:rsidR="00D90AD4" w:rsidRPr="009F37F3">
        <w:t xml:space="preserve"> </w:t>
      </w:r>
      <w:r w:rsidR="00F750B8" w:rsidRPr="009F37F3">
        <w:t>un peu</w:t>
      </w:r>
      <w:r w:rsidR="00F82801" w:rsidRPr="009F37F3">
        <w:t xml:space="preserve"> </w:t>
      </w:r>
      <w:r w:rsidR="003E5A8D" w:rsidRPr="009F37F3">
        <w:t>plus tard en</w:t>
      </w:r>
      <w:r w:rsidRPr="009F37F3">
        <w:t xml:space="preserve"> 2020. Conformément à la Charte d</w:t>
      </w:r>
      <w:r w:rsidRPr="009F37F3">
        <w:rPr>
          <w:b/>
        </w:rPr>
        <w:t>'</w:t>
      </w:r>
      <w:r w:rsidRPr="009F37F3">
        <w:t>audit interne, le plan pour l</w:t>
      </w:r>
      <w:r w:rsidRPr="009F37F3">
        <w:rPr>
          <w:b/>
        </w:rPr>
        <w:t>'</w:t>
      </w:r>
      <w:r w:rsidRPr="009F37F3">
        <w:t>Unité de l</w:t>
      </w:r>
      <w:r w:rsidRPr="009F37F3">
        <w:rPr>
          <w:b/>
        </w:rPr>
        <w:t>'</w:t>
      </w:r>
      <w:r w:rsidRPr="009F37F3">
        <w:t>audit interne pour 2021 a été examiné par le Comité consultatif indépendant pour les questions de gestion (CCIG) à sa 28ème réunion et approu</w:t>
      </w:r>
      <w:r w:rsidR="00CA1775">
        <w:t>vé par le Secrétaire général le </w:t>
      </w:r>
      <w:r w:rsidRPr="009F37F3">
        <w:t xml:space="preserve">29 mars 2021. </w:t>
      </w:r>
      <w:r w:rsidR="00F82801" w:rsidRPr="009F37F3">
        <w:t>Les délais impartis pour les</w:t>
      </w:r>
      <w:r w:rsidR="00D90AD4" w:rsidRPr="009F37F3">
        <w:t xml:space="preserve"> </w:t>
      </w:r>
      <w:r w:rsidR="00F750B8" w:rsidRPr="009F37F3">
        <w:t xml:space="preserve">investigations </w:t>
      </w:r>
      <w:r w:rsidR="00F82801" w:rsidRPr="009F37F3">
        <w:t>ont été réduits</w:t>
      </w:r>
      <w:r w:rsidR="00D90AD4" w:rsidRPr="009F37F3">
        <w:t xml:space="preserve"> </w:t>
      </w:r>
      <w:r w:rsidR="00F750B8" w:rsidRPr="009F37F3">
        <w:t xml:space="preserve">autant que possible </w:t>
      </w:r>
      <w:r w:rsidR="0045560D" w:rsidRPr="009F37F3">
        <w:t xml:space="preserve">pour 2021, </w:t>
      </w:r>
      <w:r w:rsidR="00F82801" w:rsidRPr="009F37F3">
        <w:t xml:space="preserve">de façon à permettre à l'Unité de l'audit interne de mener </w:t>
      </w:r>
      <w:r w:rsidR="00F174B7" w:rsidRPr="009F37F3">
        <w:t xml:space="preserve">à bien </w:t>
      </w:r>
      <w:r w:rsidR="00F82801" w:rsidRPr="009F37F3">
        <w:t>sa mission première</w:t>
      </w:r>
      <w:r w:rsidRPr="009F37F3">
        <w:t>. Les travaux de l'Unité de l'audit interne sur les enquêtes s'appuient sur la Charte d</w:t>
      </w:r>
      <w:r w:rsidRPr="009F37F3">
        <w:rPr>
          <w:b/>
        </w:rPr>
        <w:t>'</w:t>
      </w:r>
      <w:r w:rsidRPr="009F37F3">
        <w:t xml:space="preserve">audit interne, qui stipule que </w:t>
      </w:r>
      <w:r w:rsidRPr="009F37F3">
        <w:rPr>
          <w:i/>
        </w:rPr>
        <w:t xml:space="preserve">les auditeurs internes procèdent à des enquêtes en cas d'allégation ou de présomption de fraude ou de mauvaise administration </w:t>
      </w:r>
      <w:r w:rsidRPr="009F37F3">
        <w:t xml:space="preserve">et que </w:t>
      </w:r>
      <w:r w:rsidRPr="009F37F3">
        <w:rPr>
          <w:i/>
        </w:rPr>
        <w:t>l'Unité de l</w:t>
      </w:r>
      <w:r w:rsidRPr="009F37F3">
        <w:rPr>
          <w:b/>
          <w:i/>
        </w:rPr>
        <w:t>'</w:t>
      </w:r>
      <w:r w:rsidRPr="009F37F3">
        <w:rPr>
          <w:i/>
        </w:rPr>
        <w:t>audit interne peut fournir des services de conseil au sein de l'UIT.</w:t>
      </w:r>
    </w:p>
    <w:p w14:paraId="71577722" w14:textId="77777777" w:rsidR="009C0949" w:rsidRPr="009F37F3" w:rsidRDefault="009C0949" w:rsidP="00D90AD4">
      <w:r w:rsidRPr="009F37F3">
        <w:t>5</w:t>
      </w:r>
      <w:r w:rsidRPr="009F37F3">
        <w:tab/>
        <w:t>L'Unité de l'audit interne remet systématiquement des exemplaires des rapports d'audit interne au Vérificateur extérieur des comptes de l'UIT ainsi qu'au CCIG. Conformément à la disposition 29.5 du Règlement financier de l'UIT, des rapports finals d'audit interne peuvent être mis à la disposition des États Membres ou de leurs représentants désignés. Un mécanisme simplifié d'accès aux rapports d'audit interne est en place depuis octobre 2015. Au cours de la période couverte par le présent rapport, aucune demande d'accès à des rapports d'audit interne n'a été reçue via le nouveau mécanisme en ligne.</w:t>
      </w:r>
    </w:p>
    <w:p w14:paraId="774B3D18" w14:textId="77777777" w:rsidR="009C0949" w:rsidRPr="009F37F3" w:rsidRDefault="009C0949" w:rsidP="00D90AD4">
      <w:pPr>
        <w:pStyle w:val="Headingb"/>
      </w:pPr>
      <w:r w:rsidRPr="009F37F3">
        <w:lastRenderedPageBreak/>
        <w:t>Objectifs et conclusions des missions d'assurance</w:t>
      </w:r>
    </w:p>
    <w:p w14:paraId="1F8FF04F" w14:textId="768F040F" w:rsidR="009C0949" w:rsidRPr="009F37F3" w:rsidRDefault="009C0949" w:rsidP="00D90AD4">
      <w:r w:rsidRPr="009F37F3">
        <w:t>6</w:t>
      </w:r>
      <w:r w:rsidRPr="009F37F3">
        <w:tab/>
        <w:t xml:space="preserve">Les missions d'assurance </w:t>
      </w:r>
      <w:r w:rsidR="00D757FD" w:rsidRPr="009F37F3">
        <w:t>ont</w:t>
      </w:r>
      <w:r w:rsidRPr="009F37F3">
        <w:t xml:space="preserve"> pour objectif </w:t>
      </w:r>
      <w:proofErr w:type="gramStart"/>
      <w:r w:rsidRPr="009F37F3">
        <w:t>d'évaluer:</w:t>
      </w:r>
      <w:proofErr w:type="gramEnd"/>
      <w:r w:rsidRPr="009F37F3">
        <w:t xml:space="preserve"> i) les aspects liés à la gouvernance des opérations de l'Union auditées; ii) les pratiques en matière de gestion des risques; et iii) l'efficacité des contrôles (internes). Un niveau de priorité est attribué aux recommandations résultant des travaux d'audit, en fonction des incidences et de la probabilité d'une déficience (élevée, moyenne, faible).</w:t>
      </w:r>
    </w:p>
    <w:p w14:paraId="092609A1" w14:textId="6EFF0CEC" w:rsidR="009C0949" w:rsidRPr="009F37F3" w:rsidRDefault="009C0949" w:rsidP="00D90AD4">
      <w:r w:rsidRPr="009F37F3">
        <w:t>7</w:t>
      </w:r>
      <w:r w:rsidRPr="009F37F3">
        <w:tab/>
        <w:t xml:space="preserve">L'Unité de l'audit interne assure le suivi de la mise en œuvre des mesures recommandées, si nécessaire. </w:t>
      </w:r>
      <w:r w:rsidR="007F5E75" w:rsidRPr="009F37F3">
        <w:rPr>
          <w:rFonts w:cstheme="minorHAnsi"/>
          <w:szCs w:val="24"/>
        </w:rPr>
        <w:t>Un tableau de bord de la conformité</w:t>
      </w:r>
      <w:r w:rsidRPr="009F37F3">
        <w:rPr>
          <w:rFonts w:cstheme="minorHAnsi"/>
          <w:szCs w:val="24"/>
        </w:rPr>
        <w:t xml:space="preserve"> </w:t>
      </w:r>
      <w:r w:rsidR="007F5E75" w:rsidRPr="009F37F3">
        <w:rPr>
          <w:rFonts w:cstheme="minorHAnsi"/>
          <w:szCs w:val="24"/>
        </w:rPr>
        <w:t xml:space="preserve">à l'échelle de l'Union </w:t>
      </w:r>
      <w:r w:rsidR="008F1EB0" w:rsidRPr="009F37F3">
        <w:rPr>
          <w:rFonts w:cstheme="minorHAnsi"/>
          <w:szCs w:val="24"/>
        </w:rPr>
        <w:t>est en place depuis le</w:t>
      </w:r>
      <w:r w:rsidR="007F5E75" w:rsidRPr="009F37F3">
        <w:rPr>
          <w:rFonts w:cstheme="minorHAnsi"/>
          <w:szCs w:val="24"/>
        </w:rPr>
        <w:t xml:space="preserve"> début</w:t>
      </w:r>
      <w:r w:rsidR="00D90AD4" w:rsidRPr="009F37F3">
        <w:rPr>
          <w:rFonts w:cstheme="minorHAnsi"/>
          <w:szCs w:val="24"/>
        </w:rPr>
        <w:t> </w:t>
      </w:r>
      <w:r w:rsidR="007F5E75" w:rsidRPr="009F37F3">
        <w:rPr>
          <w:rFonts w:cstheme="minorHAnsi"/>
          <w:szCs w:val="24"/>
        </w:rPr>
        <w:t>de</w:t>
      </w:r>
      <w:r w:rsidR="00D90AD4" w:rsidRPr="009F37F3">
        <w:rPr>
          <w:rFonts w:cstheme="minorHAnsi"/>
          <w:szCs w:val="24"/>
        </w:rPr>
        <w:t xml:space="preserve"> </w:t>
      </w:r>
      <w:r w:rsidR="007F5E75" w:rsidRPr="009F37F3">
        <w:rPr>
          <w:rFonts w:cstheme="minorHAnsi"/>
          <w:szCs w:val="24"/>
        </w:rPr>
        <w:t xml:space="preserve">2021 </w:t>
      </w:r>
      <w:r w:rsidR="008F1EB0" w:rsidRPr="009F37F3">
        <w:rPr>
          <w:rFonts w:cstheme="minorHAnsi"/>
          <w:szCs w:val="24"/>
        </w:rPr>
        <w:t>à cette fin</w:t>
      </w:r>
      <w:r w:rsidR="00B17E1E" w:rsidRPr="009F37F3">
        <w:rPr>
          <w:rFonts w:cstheme="minorHAnsi"/>
          <w:szCs w:val="24"/>
        </w:rPr>
        <w:t>, ainsi que</w:t>
      </w:r>
      <w:r w:rsidR="007F5E75" w:rsidRPr="009F37F3">
        <w:rPr>
          <w:rFonts w:cstheme="minorHAnsi"/>
          <w:szCs w:val="24"/>
        </w:rPr>
        <w:t xml:space="preserve"> </w:t>
      </w:r>
      <w:r w:rsidR="008F1EB0" w:rsidRPr="009F37F3">
        <w:rPr>
          <w:rFonts w:cstheme="minorHAnsi"/>
          <w:szCs w:val="24"/>
        </w:rPr>
        <w:t xml:space="preserve">pour </w:t>
      </w:r>
      <w:r w:rsidR="007F5E75" w:rsidRPr="009F37F3">
        <w:rPr>
          <w:rFonts w:cstheme="minorHAnsi"/>
          <w:szCs w:val="24"/>
        </w:rPr>
        <w:t>faciliter</w:t>
      </w:r>
      <w:r w:rsidR="00D757FD" w:rsidRPr="009F37F3">
        <w:rPr>
          <w:rFonts w:cstheme="minorHAnsi"/>
          <w:szCs w:val="24"/>
        </w:rPr>
        <w:t xml:space="preserve"> le suivi de la mise en œuvre des recommandations</w:t>
      </w:r>
      <w:r w:rsidRPr="009F37F3">
        <w:rPr>
          <w:rFonts w:cstheme="minorHAnsi"/>
          <w:szCs w:val="24"/>
        </w:rPr>
        <w:t xml:space="preserve"> </w:t>
      </w:r>
      <w:r w:rsidR="007F5E75" w:rsidRPr="009F37F3">
        <w:rPr>
          <w:rFonts w:cstheme="minorHAnsi"/>
          <w:szCs w:val="24"/>
        </w:rPr>
        <w:t>par les responsables concernés</w:t>
      </w:r>
      <w:r w:rsidR="00B17E1E" w:rsidRPr="009F37F3">
        <w:rPr>
          <w:rFonts w:cstheme="minorHAnsi"/>
          <w:szCs w:val="24"/>
        </w:rPr>
        <w:t>. Toutefois,</w:t>
      </w:r>
      <w:r w:rsidR="00F174B7" w:rsidRPr="009F37F3">
        <w:rPr>
          <w:rFonts w:cstheme="minorHAnsi"/>
          <w:szCs w:val="24"/>
        </w:rPr>
        <w:t xml:space="preserve"> il ne dispense pas</w:t>
      </w:r>
      <w:r w:rsidR="00D90AD4" w:rsidRPr="009F37F3">
        <w:rPr>
          <w:rFonts w:cstheme="minorHAnsi"/>
          <w:szCs w:val="24"/>
        </w:rPr>
        <w:t xml:space="preserve"> </w:t>
      </w:r>
      <w:r w:rsidR="00D757FD" w:rsidRPr="009F37F3">
        <w:rPr>
          <w:rFonts w:cstheme="minorHAnsi"/>
          <w:szCs w:val="24"/>
        </w:rPr>
        <w:t>l'Unité de l'audit interne</w:t>
      </w:r>
      <w:r w:rsidR="00D90AD4" w:rsidRPr="009F37F3">
        <w:rPr>
          <w:rFonts w:cstheme="minorHAnsi"/>
          <w:szCs w:val="24"/>
        </w:rPr>
        <w:t xml:space="preserve"> </w:t>
      </w:r>
      <w:r w:rsidR="00F174B7" w:rsidRPr="009F37F3">
        <w:rPr>
          <w:rFonts w:cstheme="minorHAnsi"/>
          <w:szCs w:val="24"/>
        </w:rPr>
        <w:t xml:space="preserve">de la responsabilité qui est la sienne </w:t>
      </w:r>
      <w:r w:rsidR="00F174B7" w:rsidRPr="009F37F3">
        <w:rPr>
          <w:color w:val="000000"/>
        </w:rPr>
        <w:t>et qui consiste</w:t>
      </w:r>
      <w:r w:rsidR="00D90AD4" w:rsidRPr="009F37F3">
        <w:rPr>
          <w:color w:val="000000"/>
        </w:rPr>
        <w:t xml:space="preserve"> </w:t>
      </w:r>
      <w:r w:rsidR="00F174B7" w:rsidRPr="009F37F3">
        <w:rPr>
          <w:rFonts w:cstheme="minorHAnsi"/>
          <w:szCs w:val="24"/>
        </w:rPr>
        <w:t>à</w:t>
      </w:r>
      <w:r w:rsidR="00D90AD4" w:rsidRPr="009F37F3">
        <w:rPr>
          <w:rFonts w:cstheme="minorHAnsi"/>
          <w:szCs w:val="24"/>
        </w:rPr>
        <w:t xml:space="preserve"> </w:t>
      </w:r>
      <w:r w:rsidR="00F174B7" w:rsidRPr="009F37F3">
        <w:rPr>
          <w:rFonts w:cstheme="minorHAnsi"/>
          <w:szCs w:val="24"/>
        </w:rPr>
        <w:t>assurer le suivi des</w:t>
      </w:r>
      <w:r w:rsidR="0005615C" w:rsidRPr="009F37F3">
        <w:rPr>
          <w:rFonts w:cstheme="minorHAnsi"/>
          <w:szCs w:val="24"/>
        </w:rPr>
        <w:t xml:space="preserve"> recommandations qu'elle a</w:t>
      </w:r>
      <w:r w:rsidR="00D757FD" w:rsidRPr="009F37F3">
        <w:rPr>
          <w:rFonts w:cstheme="minorHAnsi"/>
          <w:szCs w:val="24"/>
        </w:rPr>
        <w:t xml:space="preserve"> formulées</w:t>
      </w:r>
      <w:r w:rsidRPr="009F37F3">
        <w:rPr>
          <w:rFonts w:cstheme="minorHAnsi"/>
          <w:szCs w:val="24"/>
        </w:rPr>
        <w:t xml:space="preserve"> </w:t>
      </w:r>
      <w:r w:rsidR="00D757FD" w:rsidRPr="009F37F3">
        <w:rPr>
          <w:rFonts w:cstheme="minorHAnsi"/>
          <w:szCs w:val="24"/>
        </w:rPr>
        <w:t>antérieurement</w:t>
      </w:r>
      <w:r w:rsidRPr="009F37F3">
        <w:rPr>
          <w:rFonts w:cstheme="minorHAnsi"/>
          <w:szCs w:val="24"/>
        </w:rPr>
        <w:t xml:space="preserve">, </w:t>
      </w:r>
      <w:r w:rsidR="00D757FD" w:rsidRPr="009F37F3">
        <w:rPr>
          <w:rFonts w:cstheme="minorHAnsi"/>
          <w:szCs w:val="24"/>
        </w:rPr>
        <w:t>conformément à la Norme 2500</w:t>
      </w:r>
      <w:r w:rsidRPr="009F37F3">
        <w:rPr>
          <w:rFonts w:cstheme="minorHAnsi"/>
          <w:szCs w:val="24"/>
        </w:rPr>
        <w:t xml:space="preserve"> </w:t>
      </w:r>
      <w:r w:rsidR="00D757FD" w:rsidRPr="009F37F3">
        <w:rPr>
          <w:rFonts w:cstheme="minorHAnsi"/>
          <w:szCs w:val="24"/>
        </w:rPr>
        <w:t>de l'</w:t>
      </w:r>
      <w:r w:rsidRPr="009F37F3">
        <w:rPr>
          <w:rFonts w:cstheme="minorHAnsi"/>
          <w:szCs w:val="24"/>
        </w:rPr>
        <w:t>IIA</w:t>
      </w:r>
      <w:r w:rsidRPr="009F37F3">
        <w:rPr>
          <w:rStyle w:val="FootnoteReference"/>
        </w:rPr>
        <w:footnoteReference w:id="4"/>
      </w:r>
      <w:r w:rsidRPr="009F37F3">
        <w:rPr>
          <w:rFonts w:cstheme="minorHAnsi"/>
          <w:szCs w:val="24"/>
        </w:rPr>
        <w:t>.</w:t>
      </w:r>
    </w:p>
    <w:p w14:paraId="134C1C90" w14:textId="77777777" w:rsidR="009C0949" w:rsidRPr="009F37F3" w:rsidRDefault="009C0949" w:rsidP="00D90AD4">
      <w:pPr>
        <w:pStyle w:val="Headingb"/>
      </w:pPr>
      <w:r w:rsidRPr="009F37F3">
        <w:t>Enquêtes de l'Unité de l'audit interne</w:t>
      </w:r>
    </w:p>
    <w:p w14:paraId="00087311" w14:textId="1DA7D2F1" w:rsidR="009C0949" w:rsidRPr="009F37F3" w:rsidRDefault="009C0949" w:rsidP="00D90AD4">
      <w:r w:rsidRPr="009F37F3">
        <w:t>8</w:t>
      </w:r>
      <w:r w:rsidRPr="009F37F3">
        <w:tab/>
        <w:t xml:space="preserve">L'Unité de l'audit interne, en sa qualité d'instance habilitée à réaliser des enquêtes, a mené à bien six enquêtes. Elle a également fourni un appui important à </w:t>
      </w:r>
      <w:r w:rsidR="007005CA" w:rsidRPr="009F37F3">
        <w:t>un enquêteur extérieur</w:t>
      </w:r>
      <w:r w:rsidRPr="009F37F3">
        <w:t xml:space="preserve"> dans le cadre </w:t>
      </w:r>
      <w:r w:rsidR="007005CA" w:rsidRPr="009F37F3">
        <w:t>d'une enquête sur un cas de harcèlement</w:t>
      </w:r>
      <w:r w:rsidRPr="009F37F3">
        <w:t>.</w:t>
      </w:r>
    </w:p>
    <w:p w14:paraId="502DB475" w14:textId="7C48DE86" w:rsidR="009C0949" w:rsidRPr="009F37F3" w:rsidRDefault="009C0949" w:rsidP="00D90AD4">
      <w:r w:rsidRPr="009F37F3">
        <w:t>9</w:t>
      </w:r>
      <w:r w:rsidRPr="009F37F3">
        <w:tab/>
        <w:t xml:space="preserve">Six enquêtes </w:t>
      </w:r>
      <w:r w:rsidR="007005CA" w:rsidRPr="009F37F3">
        <w:t>ont été</w:t>
      </w:r>
      <w:r w:rsidRPr="009F37F3">
        <w:t xml:space="preserve"> menées </w:t>
      </w:r>
      <w:r w:rsidR="005F303A" w:rsidRPr="009F37F3">
        <w:t xml:space="preserve">à bien </w:t>
      </w:r>
      <w:r w:rsidRPr="009F37F3">
        <w:t xml:space="preserve">par l'Unité de l'audit </w:t>
      </w:r>
      <w:proofErr w:type="gramStart"/>
      <w:r w:rsidRPr="009F37F3">
        <w:t>interne:</w:t>
      </w:r>
      <w:proofErr w:type="gramEnd"/>
    </w:p>
    <w:p w14:paraId="4407B5D0" w14:textId="1AE0E426" w:rsidR="009C0949" w:rsidRPr="009F37F3" w:rsidRDefault="009C0949" w:rsidP="00D90AD4">
      <w:pPr>
        <w:pStyle w:val="enumlev1"/>
      </w:pPr>
      <w:r w:rsidRPr="009F37F3">
        <w:t>a)</w:t>
      </w:r>
      <w:r w:rsidRPr="009F37F3">
        <w:tab/>
        <w:t>trois enquêtes</w:t>
      </w:r>
      <w:r w:rsidR="007005CA" w:rsidRPr="009F37F3">
        <w:t xml:space="preserve"> </w:t>
      </w:r>
      <w:r w:rsidR="00970395" w:rsidRPr="009F37F3">
        <w:t>formelles</w:t>
      </w:r>
      <w:r w:rsidRPr="009F37F3">
        <w:t xml:space="preserve"> </w:t>
      </w:r>
      <w:r w:rsidR="00970395" w:rsidRPr="009F37F3">
        <w:t>faisant</w:t>
      </w:r>
      <w:r w:rsidRPr="009F37F3">
        <w:t xml:space="preserve"> suite à des plaintes </w:t>
      </w:r>
      <w:r w:rsidR="007005CA" w:rsidRPr="009F37F3">
        <w:t>concernant l'exercice présumé d'</w:t>
      </w:r>
      <w:r w:rsidRPr="009F37F3">
        <w:t>activités extérieures non autorisées</w:t>
      </w:r>
      <w:r w:rsidR="007005CA" w:rsidRPr="009F37F3">
        <w:t xml:space="preserve"> (</w:t>
      </w:r>
      <w:r w:rsidR="00464F24" w:rsidRPr="009F37F3">
        <w:t xml:space="preserve">propriété </w:t>
      </w:r>
      <w:r w:rsidR="007005CA" w:rsidRPr="009F37F3">
        <w:t xml:space="preserve">et/ou </w:t>
      </w:r>
      <w:r w:rsidR="00464F24" w:rsidRPr="009F37F3">
        <w:t>exploitation</w:t>
      </w:r>
      <w:r w:rsidR="007005CA" w:rsidRPr="009F37F3">
        <w:t xml:space="preserve"> d'une </w:t>
      </w:r>
      <w:r w:rsidR="00464F24" w:rsidRPr="009F37F3">
        <w:t>entreprise</w:t>
      </w:r>
      <w:proofErr w:type="gramStart"/>
      <w:r w:rsidR="00464F24" w:rsidRPr="009F37F3">
        <w:t>)</w:t>
      </w:r>
      <w:r w:rsidRPr="009F37F3">
        <w:t>;</w:t>
      </w:r>
      <w:proofErr w:type="gramEnd"/>
    </w:p>
    <w:p w14:paraId="3A436E8D" w14:textId="59CE2AA2" w:rsidR="009C0949" w:rsidRPr="009F37F3" w:rsidRDefault="009C0949" w:rsidP="00D90AD4">
      <w:pPr>
        <w:pStyle w:val="enumlev1"/>
      </w:pPr>
      <w:r w:rsidRPr="009F37F3">
        <w:t>b)</w:t>
      </w:r>
      <w:r w:rsidRPr="009F37F3">
        <w:tab/>
        <w:t xml:space="preserve">une enquête </w:t>
      </w:r>
      <w:r w:rsidR="00970395" w:rsidRPr="009F37F3">
        <w:t>formelle visant</w:t>
      </w:r>
      <w:r w:rsidRPr="009F37F3">
        <w:t xml:space="preserve"> un membre du personnel qui aurait obtenu des allocations et/ou indemnités auxquelles il n'a pas </w:t>
      </w:r>
      <w:proofErr w:type="gramStart"/>
      <w:r w:rsidRPr="009F37F3">
        <w:t>droit;</w:t>
      </w:r>
      <w:proofErr w:type="gramEnd"/>
    </w:p>
    <w:p w14:paraId="198BF31A" w14:textId="0F75514E" w:rsidR="009C0949" w:rsidRPr="009F37F3" w:rsidRDefault="009C0949" w:rsidP="00D90AD4">
      <w:pPr>
        <w:pStyle w:val="enumlev1"/>
      </w:pPr>
      <w:r w:rsidRPr="009F37F3">
        <w:t>c)</w:t>
      </w:r>
      <w:r w:rsidRPr="009F37F3">
        <w:tab/>
        <w:t xml:space="preserve">une enquête </w:t>
      </w:r>
      <w:r w:rsidR="00970395" w:rsidRPr="009F37F3">
        <w:t>formelle</w:t>
      </w:r>
      <w:r w:rsidR="00715AA7" w:rsidRPr="009F37F3">
        <w:t xml:space="preserve"> faisant</w:t>
      </w:r>
      <w:r w:rsidRPr="009F37F3">
        <w:t xml:space="preserve"> suite à une plainte visant plusieurs membres du personnel qui auraient encouragé la diffusion d'informations potentiellement confidentielles ou sensibles à l'extérieur, en auraient été témoins ou y auraient participé </w:t>
      </w:r>
      <w:proofErr w:type="gramStart"/>
      <w:r w:rsidRPr="009F37F3">
        <w:t>activement;</w:t>
      </w:r>
      <w:proofErr w:type="gramEnd"/>
      <w:r w:rsidRPr="009F37F3">
        <w:t xml:space="preserve"> et </w:t>
      </w:r>
    </w:p>
    <w:p w14:paraId="5F330141" w14:textId="5EAA4EA7" w:rsidR="009C0949" w:rsidRPr="009F37F3" w:rsidRDefault="009C0949" w:rsidP="00D90AD4">
      <w:pPr>
        <w:pStyle w:val="enumlev1"/>
      </w:pPr>
      <w:r w:rsidRPr="009F37F3">
        <w:t>d)</w:t>
      </w:r>
      <w:r w:rsidRPr="009F37F3">
        <w:tab/>
        <w:t xml:space="preserve">une enquête </w:t>
      </w:r>
      <w:r w:rsidR="00970395" w:rsidRPr="009F37F3">
        <w:t>formelle</w:t>
      </w:r>
      <w:r w:rsidR="00715AA7" w:rsidRPr="009F37F3">
        <w:t xml:space="preserve"> faisant</w:t>
      </w:r>
      <w:r w:rsidRPr="009F37F3">
        <w:t xml:space="preserve"> suite à une plainte visant un membre du personnel qui aurait détruit et/ou dissimulé des dossiers de l'UIT.</w:t>
      </w:r>
    </w:p>
    <w:p w14:paraId="51E74455" w14:textId="68C84370" w:rsidR="006A37FE" w:rsidRPr="009F37F3" w:rsidRDefault="00715AA7" w:rsidP="00D90AD4">
      <w:r w:rsidRPr="009F37F3">
        <w:t>Une fois les enquêtes terminées,</w:t>
      </w:r>
      <w:r w:rsidR="006A37FE" w:rsidRPr="009F37F3">
        <w:t xml:space="preserve"> </w:t>
      </w:r>
      <w:r w:rsidRPr="009F37F3">
        <w:t>et conformément aux</w:t>
      </w:r>
      <w:r w:rsidR="006A37FE" w:rsidRPr="009F37F3">
        <w:t xml:space="preserve"> </w:t>
      </w:r>
      <w:r w:rsidRPr="009F37F3">
        <w:t>Lignes directrices en matière d'enquête à l'UIT</w:t>
      </w:r>
      <w:r w:rsidR="006A37FE" w:rsidRPr="009F37F3">
        <w:t xml:space="preserve">, </w:t>
      </w:r>
      <w:r w:rsidRPr="009F37F3">
        <w:t>l'Unité de l'audit interne</w:t>
      </w:r>
      <w:r w:rsidR="006A37FE" w:rsidRPr="009F37F3">
        <w:t xml:space="preserve"> </w:t>
      </w:r>
      <w:r w:rsidRPr="009F37F3">
        <w:t>a présenté au Secrétaire général des rapports d'enquête confidentiels</w:t>
      </w:r>
      <w:r w:rsidR="006A37FE" w:rsidRPr="009F37F3">
        <w:t xml:space="preserve">. </w:t>
      </w:r>
      <w:r w:rsidRPr="009F37F3">
        <w:t>L'enquête visée au point</w:t>
      </w:r>
      <w:r w:rsidR="006A37FE" w:rsidRPr="009F37F3">
        <w:t xml:space="preserve"> d</w:t>
      </w:r>
      <w:r w:rsidR="00D90AD4" w:rsidRPr="009F37F3">
        <w:t>)</w:t>
      </w:r>
      <w:r w:rsidR="006A37FE" w:rsidRPr="009F37F3">
        <w:t xml:space="preserve"> </w:t>
      </w:r>
      <w:r w:rsidRPr="009F37F3">
        <w:t>ci-dessus</w:t>
      </w:r>
      <w:r w:rsidR="006A37FE" w:rsidRPr="009F37F3">
        <w:t xml:space="preserve"> </w:t>
      </w:r>
      <w:r w:rsidRPr="009F37F3">
        <w:t xml:space="preserve">a </w:t>
      </w:r>
      <w:r w:rsidR="00970395" w:rsidRPr="009F37F3">
        <w:t>fait l'objet</w:t>
      </w:r>
      <w:r w:rsidRPr="009F37F3">
        <w:t xml:space="preserve"> </w:t>
      </w:r>
      <w:r w:rsidR="00970395" w:rsidRPr="009F37F3">
        <w:t>d'</w:t>
      </w:r>
      <w:r w:rsidRPr="009F37F3">
        <w:t>un rapport de clôture, puisqu'il a été conclu que les allégations étaient infondées</w:t>
      </w:r>
      <w:r w:rsidR="00382BDE" w:rsidRPr="009F37F3">
        <w:t xml:space="preserve">. </w:t>
      </w:r>
      <w:r w:rsidRPr="009F37F3">
        <w:t xml:space="preserve">S'agissant de l'enquête </w:t>
      </w:r>
      <w:r w:rsidR="00772B07" w:rsidRPr="009F37F3">
        <w:t>mentionnée</w:t>
      </w:r>
      <w:r w:rsidRPr="009F37F3">
        <w:t xml:space="preserve"> au point</w:t>
      </w:r>
      <w:r w:rsidR="00772B07" w:rsidRPr="009F37F3">
        <w:t xml:space="preserve"> b</w:t>
      </w:r>
      <w:r w:rsidR="00290E98" w:rsidRPr="009F37F3">
        <w:t>)</w:t>
      </w:r>
      <w:r w:rsidR="006A37FE" w:rsidRPr="009F37F3">
        <w:t xml:space="preserve"> </w:t>
      </w:r>
      <w:r w:rsidRPr="009F37F3">
        <w:t>ci</w:t>
      </w:r>
      <w:r w:rsidR="00290E98" w:rsidRPr="009F37F3">
        <w:noBreakHyphen/>
      </w:r>
      <w:r w:rsidRPr="009F37F3">
        <w:t>dessus</w:t>
      </w:r>
      <w:r w:rsidR="006A37FE" w:rsidRPr="009F37F3">
        <w:t>,</w:t>
      </w:r>
      <w:r w:rsidR="00D90AD4" w:rsidRPr="009F37F3">
        <w:t xml:space="preserve"> </w:t>
      </w:r>
      <w:r w:rsidR="005F303A" w:rsidRPr="009F37F3">
        <w:t>et étant donné</w:t>
      </w:r>
      <w:r w:rsidRPr="009F37F3">
        <w:t xml:space="preserve"> qu'elle porte sur un cas de fraude ou de présomption de fraude</w:t>
      </w:r>
      <w:r w:rsidR="006A37FE" w:rsidRPr="009F37F3">
        <w:t xml:space="preserve">, </w:t>
      </w:r>
      <w:r w:rsidR="00772B07" w:rsidRPr="009F37F3">
        <w:t>le</w:t>
      </w:r>
      <w:r w:rsidRPr="009F37F3">
        <w:t xml:space="preserve"> </w:t>
      </w:r>
      <w:r w:rsidR="00290E98" w:rsidRPr="009F37F3">
        <w:t>V</w:t>
      </w:r>
      <w:r w:rsidRPr="009F37F3">
        <w:t>érificateur extérieur des comptes</w:t>
      </w:r>
      <w:r w:rsidR="00772B07" w:rsidRPr="009F37F3">
        <w:t xml:space="preserve"> en a été informé en février 2021</w:t>
      </w:r>
      <w:r w:rsidR="006A37FE" w:rsidRPr="009F37F3">
        <w:t xml:space="preserve"> (</w:t>
      </w:r>
      <w:r w:rsidR="00772B07" w:rsidRPr="009F37F3">
        <w:t xml:space="preserve">conformément </w:t>
      </w:r>
      <w:r w:rsidR="0045560D" w:rsidRPr="009F37F3">
        <w:t>à la disposition 29.8</w:t>
      </w:r>
      <w:r w:rsidR="00772B07" w:rsidRPr="009F37F3">
        <w:t xml:space="preserve"> du Règlement financier de l'UIT</w:t>
      </w:r>
      <w:r w:rsidR="006A37FE" w:rsidRPr="009F37F3">
        <w:t xml:space="preserve">). </w:t>
      </w:r>
      <w:r w:rsidR="00772B07" w:rsidRPr="009F37F3">
        <w:t>L'enquête a révélé que le membre du personnel avait perçu la somme de</w:t>
      </w:r>
      <w:r w:rsidR="006A37FE" w:rsidRPr="009F37F3">
        <w:t xml:space="preserve"> </w:t>
      </w:r>
      <w:r w:rsidR="00772B07" w:rsidRPr="009F37F3">
        <w:t>11 </w:t>
      </w:r>
      <w:r w:rsidR="006A37FE" w:rsidRPr="009F37F3">
        <w:t>279</w:t>
      </w:r>
      <w:r w:rsidR="00290E98" w:rsidRPr="009F37F3">
        <w:t>,</w:t>
      </w:r>
      <w:r w:rsidR="006A37FE" w:rsidRPr="009F37F3">
        <w:t xml:space="preserve">25 </w:t>
      </w:r>
      <w:r w:rsidR="00772B07" w:rsidRPr="009F37F3">
        <w:t xml:space="preserve">CHF, </w:t>
      </w:r>
      <w:r w:rsidR="005F303A" w:rsidRPr="009F37F3">
        <w:t>c</w:t>
      </w:r>
      <w:r w:rsidR="00D90AD4" w:rsidRPr="009F37F3">
        <w:t>'</w:t>
      </w:r>
      <w:r w:rsidR="005F303A" w:rsidRPr="009F37F3">
        <w:t xml:space="preserve">est-à-dire </w:t>
      </w:r>
      <w:r w:rsidR="00822E99" w:rsidRPr="009F37F3">
        <w:t>un montant supérieur aux indemnités auxquelles il a droit</w:t>
      </w:r>
      <w:r w:rsidR="006A37FE" w:rsidRPr="009F37F3">
        <w:t>.</w:t>
      </w:r>
    </w:p>
    <w:p w14:paraId="2B63FEBA" w14:textId="77777777" w:rsidR="00290E98" w:rsidRPr="009F37F3" w:rsidRDefault="00290E98" w:rsidP="00D90AD4">
      <w:r w:rsidRPr="009F37F3">
        <w:br w:type="page"/>
      </w:r>
    </w:p>
    <w:p w14:paraId="73986EB9" w14:textId="14055394" w:rsidR="009C0949" w:rsidRPr="009F37F3" w:rsidRDefault="009C0949" w:rsidP="00D90AD4">
      <w:pPr>
        <w:rPr>
          <w:rFonts w:cstheme="minorHAnsi"/>
        </w:rPr>
      </w:pPr>
      <w:r w:rsidRPr="009F37F3">
        <w:lastRenderedPageBreak/>
        <w:t>1</w:t>
      </w:r>
      <w:r w:rsidR="006A37FE" w:rsidRPr="009F37F3">
        <w:t>0</w:t>
      </w:r>
      <w:r w:rsidRPr="009F37F3">
        <w:tab/>
        <w:t>Un appui important a été fourni à un enquêteur externe recruté en vue de mener à bien</w:t>
      </w:r>
      <w:r w:rsidR="006A37FE" w:rsidRPr="009F37F3">
        <w:t xml:space="preserve"> </w:t>
      </w:r>
      <w:r w:rsidRPr="009F37F3">
        <w:t>une enquête formelle concernant le comportement inapproprié présumé d'un membre du personnel de l'UIT à l'encontre de plusieurs autres membres du personnel.</w:t>
      </w:r>
      <w:r w:rsidR="006A37FE" w:rsidRPr="009F37F3">
        <w:t xml:space="preserve"> </w:t>
      </w:r>
      <w:r w:rsidR="006261AE" w:rsidRPr="009F37F3">
        <w:t>Un suivi administratif de toutes les enquêtes est assuré par le Département de la gestion des ressources humaines</w:t>
      </w:r>
      <w:r w:rsidR="006A37FE" w:rsidRPr="009F37F3">
        <w:t xml:space="preserve"> </w:t>
      </w:r>
      <w:r w:rsidR="0044152B" w:rsidRPr="009F37F3">
        <w:t>au nom</w:t>
      </w:r>
      <w:r w:rsidR="006261AE" w:rsidRPr="009F37F3">
        <w:t xml:space="preserve"> du Secrétaire général</w:t>
      </w:r>
      <w:r w:rsidR="006A37FE" w:rsidRPr="009F37F3">
        <w:t>.</w:t>
      </w:r>
    </w:p>
    <w:p w14:paraId="39DCA3B9" w14:textId="77777777" w:rsidR="009C0949" w:rsidRPr="009F37F3" w:rsidRDefault="009C0949" w:rsidP="00D90AD4">
      <w:pPr>
        <w:pStyle w:val="Headingb"/>
      </w:pPr>
      <w:r w:rsidRPr="009F37F3">
        <w:t>Services de conseil de l'Unité de l'audit interne</w:t>
      </w:r>
    </w:p>
    <w:p w14:paraId="6081B511" w14:textId="1FEC5236" w:rsidR="009C0949" w:rsidRPr="009F37F3" w:rsidRDefault="009C0949" w:rsidP="00D90AD4">
      <w:pPr>
        <w:pStyle w:val="Headingb"/>
        <w:rPr>
          <w:i/>
        </w:rPr>
      </w:pPr>
      <w:r w:rsidRPr="009F37F3">
        <w:rPr>
          <w:i/>
        </w:rPr>
        <w:t>Procédure de sélection du Vérificateur extérieur des comptes de l'UIT</w:t>
      </w:r>
    </w:p>
    <w:p w14:paraId="6B0C243D" w14:textId="66F86C97" w:rsidR="009C0949" w:rsidRPr="009F37F3" w:rsidRDefault="009C0949" w:rsidP="00D90AD4">
      <w:r w:rsidRPr="009F37F3">
        <w:t>1</w:t>
      </w:r>
      <w:r w:rsidR="009E0AFE" w:rsidRPr="009F37F3">
        <w:t>1</w:t>
      </w:r>
      <w:r w:rsidRPr="009F37F3">
        <w:tab/>
        <w:t>Sur recommandation du CCIG, le Secrétaire général a demandé à l'Unité de l'audit interne de diriger le processus de sélection d'un nouveau Vérificateur extérieur des comptes. À sa session de 2018, le Conseil a désigné les personnes recommandées par les six organisations régionales de télécommunication pour devenir membres du Comité d'évaluation et soumettre au Conseil à sa session de 2019 un rapport sur les résultats de ses travaux. Avec l'appui du secrétariat de l'UIT, le Comité d'évaluation a mené à bien ses travaux concernant la procédure d'appel d'offres en vue d'identifier l'institution supérieure de contrôle des finances publiques d'un État Membre de l'UIT qui répond le mieux aux critères établis dans la Demande de propositions en vue de la vérification des comptes de l'Union.</w:t>
      </w:r>
    </w:p>
    <w:p w14:paraId="4BD73AE9" w14:textId="77B1ECF6" w:rsidR="009C0949" w:rsidRPr="009F37F3" w:rsidRDefault="009C0949" w:rsidP="00D90AD4">
      <w:r w:rsidRPr="009F37F3">
        <w:t>1</w:t>
      </w:r>
      <w:r w:rsidR="009E0AFE" w:rsidRPr="009F37F3">
        <w:t>2</w:t>
      </w:r>
      <w:r w:rsidRPr="009F37F3">
        <w:tab/>
        <w:t xml:space="preserve">L'Unité de l'audit interne a continué d'aider les membres du Comité d'évaluation, tout au long de la procédure, à mener ses travaux, et a fourni des orientations sur les questions de procédure et les questions techniques liées à l'audit, le cas échéant. </w:t>
      </w:r>
      <w:r w:rsidR="00EE13B9" w:rsidRPr="009F37F3">
        <w:t xml:space="preserve">Un rapport </w:t>
      </w:r>
      <w:r w:rsidR="003A5DAB" w:rsidRPr="009F37F3">
        <w:t xml:space="preserve">sur les travaux </w:t>
      </w:r>
      <w:r w:rsidR="00EE13B9" w:rsidRPr="009F37F3">
        <w:t>du Comité d'évaluation a été soumis à la première</w:t>
      </w:r>
      <w:r w:rsidR="003A5DAB" w:rsidRPr="009F37F3">
        <w:t xml:space="preserve"> c</w:t>
      </w:r>
      <w:r w:rsidR="009E0AFE" w:rsidRPr="009F37F3">
        <w:t xml:space="preserve">onsultation </w:t>
      </w:r>
      <w:r w:rsidR="00EE13B9" w:rsidRPr="009F37F3">
        <w:t>virtuelle des</w:t>
      </w:r>
      <w:r w:rsidR="009E0AFE" w:rsidRPr="009F37F3">
        <w:t xml:space="preserve"> </w:t>
      </w:r>
      <w:r w:rsidR="00EE13B9" w:rsidRPr="009F37F3">
        <w:t>Conseillers de 2020. L'Unité de l'audit interne a</w:t>
      </w:r>
      <w:r w:rsidR="00D90AD4" w:rsidRPr="009F37F3">
        <w:t xml:space="preserve"> </w:t>
      </w:r>
      <w:r w:rsidR="005F303A" w:rsidRPr="009F37F3">
        <w:t xml:space="preserve">par la suite </w:t>
      </w:r>
      <w:r w:rsidR="00EE13B9" w:rsidRPr="009F37F3">
        <w:t>assuré la coordination des réponses aux différentes questions soulevées lors de cette session</w:t>
      </w:r>
      <w:r w:rsidR="009E0AFE" w:rsidRPr="009F37F3">
        <w:t xml:space="preserve">. </w:t>
      </w:r>
      <w:r w:rsidR="00EE13B9" w:rsidRPr="009F37F3">
        <w:t>Après la seconde consultation virtuelle des Conseillers de 2020, une</w:t>
      </w:r>
      <w:r w:rsidR="009E0AFE" w:rsidRPr="009F37F3">
        <w:t xml:space="preserve"> consultation </w:t>
      </w:r>
      <w:r w:rsidR="00EE13B9" w:rsidRPr="009F37F3">
        <w:t>par correspondance a été organisée et</w:t>
      </w:r>
      <w:r w:rsidR="009E0AFE" w:rsidRPr="009F37F3">
        <w:t xml:space="preserve"> </w:t>
      </w:r>
      <w:r w:rsidR="00EE13B9" w:rsidRPr="009F37F3">
        <w:t>la</w:t>
      </w:r>
      <w:r w:rsidR="005F303A" w:rsidRPr="009F37F3">
        <w:t xml:space="preserve"> sélection</w:t>
      </w:r>
      <w:r w:rsidR="00EE13B9" w:rsidRPr="009F37F3">
        <w:t xml:space="preserve"> </w:t>
      </w:r>
      <w:r w:rsidR="00FE0749" w:rsidRPr="009F37F3">
        <w:t>d'un nouveau</w:t>
      </w:r>
      <w:r w:rsidR="00EE13B9" w:rsidRPr="009F37F3">
        <w:t xml:space="preserve"> Vérificateur extérieur des comptes</w:t>
      </w:r>
      <w:r w:rsidR="005F303A" w:rsidRPr="009F37F3">
        <w:t xml:space="preserve"> en vue de sa nomination</w:t>
      </w:r>
      <w:r w:rsidR="009E0AFE" w:rsidRPr="009F37F3">
        <w:t xml:space="preserve"> </w:t>
      </w:r>
      <w:r w:rsidR="00FE0749" w:rsidRPr="009F37F3">
        <w:t>a été confirmée</w:t>
      </w:r>
      <w:r w:rsidR="009E0AFE" w:rsidRPr="009F37F3">
        <w:t xml:space="preserve"> (</w:t>
      </w:r>
      <w:hyperlink r:id="rId8" w:history="1">
        <w:r w:rsidR="00EE13B9" w:rsidRPr="009F37F3">
          <w:rPr>
            <w:rStyle w:val="Hyperlink"/>
          </w:rPr>
          <w:t>Décision 621 du Conseil</w:t>
        </w:r>
      </w:hyperlink>
      <w:r w:rsidR="009E0AFE" w:rsidRPr="009F37F3">
        <w:t>).</w:t>
      </w:r>
    </w:p>
    <w:p w14:paraId="1AFBD523" w14:textId="58398FDA" w:rsidR="009C0949" w:rsidRPr="009F37F3" w:rsidRDefault="00FE0749" w:rsidP="00D90AD4">
      <w:pPr>
        <w:pStyle w:val="Headingb"/>
        <w:rPr>
          <w:i/>
        </w:rPr>
      </w:pPr>
      <w:r w:rsidRPr="009F37F3">
        <w:rPr>
          <w:bCs/>
          <w:i/>
          <w:iCs/>
        </w:rPr>
        <w:t xml:space="preserve">Vérification </w:t>
      </w:r>
      <w:proofErr w:type="spellStart"/>
      <w:r w:rsidRPr="009F37F3">
        <w:rPr>
          <w:bCs/>
          <w:i/>
          <w:iCs/>
        </w:rPr>
        <w:t>juricomptable</w:t>
      </w:r>
      <w:proofErr w:type="spellEnd"/>
    </w:p>
    <w:p w14:paraId="4A2C670C" w14:textId="56A98CDA" w:rsidR="009C0949" w:rsidRPr="009F37F3" w:rsidRDefault="009C0949" w:rsidP="00D90AD4">
      <w:pPr>
        <w:rPr>
          <w:bCs/>
        </w:rPr>
      </w:pPr>
      <w:r w:rsidRPr="009F37F3">
        <w:rPr>
          <w:rFonts w:cstheme="minorHAnsi"/>
          <w:color w:val="000000"/>
          <w:szCs w:val="24"/>
        </w:rPr>
        <w:t>1</w:t>
      </w:r>
      <w:r w:rsidR="009E0AFE" w:rsidRPr="009F37F3">
        <w:rPr>
          <w:rFonts w:cstheme="minorHAnsi"/>
          <w:color w:val="000000"/>
          <w:szCs w:val="24"/>
        </w:rPr>
        <w:t>3</w:t>
      </w:r>
      <w:r w:rsidRPr="009F37F3">
        <w:rPr>
          <w:rFonts w:cstheme="minorHAnsi"/>
          <w:color w:val="000000"/>
          <w:szCs w:val="24"/>
        </w:rPr>
        <w:tab/>
        <w:t xml:space="preserve">À sa session de 2019, le Conseil a adopté la </w:t>
      </w:r>
      <w:hyperlink r:id="rId9" w:history="1">
        <w:r w:rsidR="009E0AFE" w:rsidRPr="009F37F3">
          <w:rPr>
            <w:rStyle w:val="Hyperlink"/>
            <w:rFonts w:cstheme="minorHAnsi"/>
            <w:szCs w:val="24"/>
          </w:rPr>
          <w:t>Décision 613</w:t>
        </w:r>
      </w:hyperlink>
      <w:r w:rsidRPr="009F37F3">
        <w:rPr>
          <w:rFonts w:cstheme="minorHAnsi"/>
          <w:color w:val="000000"/>
          <w:szCs w:val="24"/>
        </w:rPr>
        <w:t xml:space="preserve">, par laquelle le Secrétaire général est chargé de procéder à une vérification </w:t>
      </w:r>
      <w:proofErr w:type="spellStart"/>
      <w:r w:rsidRPr="009F37F3">
        <w:rPr>
          <w:rFonts w:cstheme="minorHAnsi"/>
          <w:color w:val="000000"/>
          <w:szCs w:val="24"/>
        </w:rPr>
        <w:t>juricomptable</w:t>
      </w:r>
      <w:proofErr w:type="spellEnd"/>
      <w:r w:rsidRPr="009F37F3">
        <w:rPr>
          <w:rFonts w:cs="Calibri"/>
          <w:szCs w:val="24"/>
        </w:rPr>
        <w:t>. L'Unité de l'audit interne a élaboré un "appel à manifestation d'intérêt" conjointeme</w:t>
      </w:r>
      <w:r w:rsidR="00FE0749" w:rsidRPr="009F37F3">
        <w:rPr>
          <w:rFonts w:cs="Calibri"/>
          <w:szCs w:val="24"/>
        </w:rPr>
        <w:t>nt avec la Division des achats. U</w:t>
      </w:r>
      <w:r w:rsidRPr="009F37F3">
        <w:rPr>
          <w:rFonts w:cs="Calibri"/>
          <w:szCs w:val="24"/>
        </w:rPr>
        <w:t xml:space="preserve">ne "demande de propositions" </w:t>
      </w:r>
      <w:r w:rsidR="00FE0749" w:rsidRPr="009F37F3">
        <w:rPr>
          <w:rFonts w:cs="Calibri"/>
          <w:szCs w:val="24"/>
        </w:rPr>
        <w:t>a</w:t>
      </w:r>
      <w:r w:rsidR="00D90AD4" w:rsidRPr="009F37F3">
        <w:rPr>
          <w:rFonts w:cs="Calibri"/>
          <w:szCs w:val="24"/>
        </w:rPr>
        <w:t xml:space="preserve"> </w:t>
      </w:r>
      <w:r w:rsidR="00992068" w:rsidRPr="009F37F3">
        <w:rPr>
          <w:rFonts w:cs="Calibri"/>
          <w:szCs w:val="24"/>
        </w:rPr>
        <w:t xml:space="preserve">par la suite </w:t>
      </w:r>
      <w:r w:rsidR="00FE0749" w:rsidRPr="009F37F3">
        <w:rPr>
          <w:rFonts w:cs="Calibri"/>
          <w:szCs w:val="24"/>
        </w:rPr>
        <w:t>été publiée</w:t>
      </w:r>
      <w:r w:rsidRPr="009F37F3">
        <w:rPr>
          <w:rFonts w:cs="Calibri"/>
          <w:szCs w:val="24"/>
        </w:rPr>
        <w:t xml:space="preserve">. </w:t>
      </w:r>
      <w:r w:rsidR="00FE0749" w:rsidRPr="009F37F3">
        <w:rPr>
          <w:rFonts w:cs="Calibri"/>
          <w:szCs w:val="24"/>
        </w:rPr>
        <w:t xml:space="preserve">Six soumissionnaires (sur dix) ont </w:t>
      </w:r>
      <w:r w:rsidR="00AA518A" w:rsidRPr="009F37F3">
        <w:rPr>
          <w:rFonts w:cs="Calibri"/>
          <w:szCs w:val="24"/>
        </w:rPr>
        <w:t xml:space="preserve">été pris en </w:t>
      </w:r>
      <w:r w:rsidR="009E7DF1" w:rsidRPr="009F37F3">
        <w:rPr>
          <w:rFonts w:cs="Calibri"/>
          <w:szCs w:val="24"/>
        </w:rPr>
        <w:t>considération</w:t>
      </w:r>
      <w:r w:rsidR="00AA518A" w:rsidRPr="009F37F3">
        <w:rPr>
          <w:rFonts w:cs="Calibri"/>
          <w:szCs w:val="24"/>
        </w:rPr>
        <w:t xml:space="preserve"> dans la suite du processus d'évaluation</w:t>
      </w:r>
      <w:r w:rsidR="00FE0749" w:rsidRPr="009F37F3">
        <w:rPr>
          <w:rFonts w:cs="Calibri"/>
          <w:szCs w:val="24"/>
        </w:rPr>
        <w:t>.</w:t>
      </w:r>
      <w:r w:rsidR="00D90AD4" w:rsidRPr="009F37F3">
        <w:rPr>
          <w:rFonts w:cs="Calibri"/>
          <w:szCs w:val="24"/>
        </w:rPr>
        <w:t xml:space="preserve"> </w:t>
      </w:r>
      <w:r w:rsidR="00992068" w:rsidRPr="009F37F3">
        <w:rPr>
          <w:rFonts w:cs="Calibri"/>
          <w:szCs w:val="24"/>
        </w:rPr>
        <w:t>L</w:t>
      </w:r>
      <w:r w:rsidR="00290E98" w:rsidRPr="009F37F3">
        <w:rPr>
          <w:rFonts w:cs="Calibri"/>
          <w:szCs w:val="24"/>
        </w:rPr>
        <w:t>'</w:t>
      </w:r>
      <w:r w:rsidR="00992068" w:rsidRPr="009F37F3">
        <w:t xml:space="preserve">adjudicataire </w:t>
      </w:r>
      <w:r w:rsidR="003A5DAB" w:rsidRPr="009F37F3">
        <w:rPr>
          <w:rFonts w:cs="Calibri"/>
          <w:szCs w:val="24"/>
        </w:rPr>
        <w:t>a été recruté en janvier 2021 et</w:t>
      </w:r>
      <w:r w:rsidR="00D90AD4" w:rsidRPr="009F37F3">
        <w:rPr>
          <w:rFonts w:cs="Calibri"/>
          <w:szCs w:val="24"/>
        </w:rPr>
        <w:t xml:space="preserve"> </w:t>
      </w:r>
      <w:r w:rsidR="00992068" w:rsidRPr="009F37F3">
        <w:rPr>
          <w:rFonts w:cs="Calibri"/>
          <w:szCs w:val="24"/>
        </w:rPr>
        <w:t xml:space="preserve">procède à </w:t>
      </w:r>
      <w:r w:rsidR="00456B8D" w:rsidRPr="009F37F3">
        <w:rPr>
          <w:rFonts w:cs="Calibri"/>
          <w:szCs w:val="24"/>
        </w:rPr>
        <w:t xml:space="preserve">la vérification </w:t>
      </w:r>
      <w:proofErr w:type="spellStart"/>
      <w:r w:rsidR="00456B8D" w:rsidRPr="009F37F3">
        <w:rPr>
          <w:rFonts w:cs="Calibri"/>
          <w:szCs w:val="24"/>
        </w:rPr>
        <w:t>juricomptable</w:t>
      </w:r>
      <w:proofErr w:type="spellEnd"/>
      <w:r w:rsidR="00992068" w:rsidRPr="009F37F3">
        <w:rPr>
          <w:rFonts w:cs="Calibri"/>
          <w:szCs w:val="24"/>
        </w:rPr>
        <w:t xml:space="preserve"> et</w:t>
      </w:r>
      <w:r w:rsidR="00D90AD4" w:rsidRPr="009F37F3">
        <w:rPr>
          <w:rFonts w:cs="Calibri"/>
          <w:szCs w:val="24"/>
        </w:rPr>
        <w:t xml:space="preserve"> </w:t>
      </w:r>
      <w:r w:rsidR="00456B8D" w:rsidRPr="009F37F3">
        <w:rPr>
          <w:rFonts w:cs="Calibri"/>
          <w:szCs w:val="24"/>
        </w:rPr>
        <w:t>l'Unité de l'audit interne</w:t>
      </w:r>
      <w:r w:rsidR="00D90AD4" w:rsidRPr="009F37F3">
        <w:rPr>
          <w:rFonts w:cs="Calibri"/>
          <w:szCs w:val="24"/>
        </w:rPr>
        <w:t xml:space="preserve"> </w:t>
      </w:r>
      <w:r w:rsidR="00F47B23" w:rsidRPr="009F37F3">
        <w:rPr>
          <w:color w:val="000000"/>
        </w:rPr>
        <w:t>assume les fonctions</w:t>
      </w:r>
      <w:r w:rsidR="00D90AD4" w:rsidRPr="009F37F3">
        <w:rPr>
          <w:color w:val="000000"/>
        </w:rPr>
        <w:t xml:space="preserve"> </w:t>
      </w:r>
      <w:r w:rsidR="00456B8D" w:rsidRPr="009F37F3">
        <w:rPr>
          <w:rFonts w:cs="Calibri"/>
          <w:szCs w:val="24"/>
        </w:rPr>
        <w:t>de coordonnateur</w:t>
      </w:r>
      <w:r w:rsidRPr="009F37F3">
        <w:rPr>
          <w:rFonts w:cs="Calibri"/>
          <w:szCs w:val="24"/>
        </w:rPr>
        <w:t xml:space="preserve">. </w:t>
      </w:r>
      <w:r w:rsidR="00456B8D" w:rsidRPr="009F37F3">
        <w:rPr>
          <w:rFonts w:cs="Calibri"/>
          <w:szCs w:val="24"/>
        </w:rPr>
        <w:t>Le Secrétaire général soumet séparément le rapport</w:t>
      </w:r>
      <w:r w:rsidR="00D90AD4" w:rsidRPr="009F37F3">
        <w:rPr>
          <w:rFonts w:cs="Calibri"/>
          <w:szCs w:val="24"/>
        </w:rPr>
        <w:t xml:space="preserve"> </w:t>
      </w:r>
      <w:r w:rsidR="00F47B23" w:rsidRPr="009F37F3">
        <w:rPr>
          <w:rFonts w:cs="Calibri"/>
          <w:szCs w:val="24"/>
        </w:rPr>
        <w:t>du cabinet</w:t>
      </w:r>
      <w:r w:rsidR="00456B8D" w:rsidRPr="009F37F3">
        <w:rPr>
          <w:rFonts w:cs="Calibri"/>
          <w:szCs w:val="24"/>
        </w:rPr>
        <w:t xml:space="preserve"> </w:t>
      </w:r>
      <w:r w:rsidR="00F47B23" w:rsidRPr="009F37F3">
        <w:rPr>
          <w:rFonts w:cs="Calibri"/>
          <w:szCs w:val="24"/>
        </w:rPr>
        <w:t>spécialisé</w:t>
      </w:r>
      <w:r w:rsidR="00D90AD4" w:rsidRPr="009F37F3">
        <w:rPr>
          <w:rFonts w:cs="Calibri"/>
          <w:szCs w:val="24"/>
        </w:rPr>
        <w:t xml:space="preserve"> </w:t>
      </w:r>
      <w:r w:rsidR="00456B8D" w:rsidRPr="009F37F3">
        <w:rPr>
          <w:rFonts w:cs="Calibri"/>
          <w:szCs w:val="24"/>
        </w:rPr>
        <w:t>au Conseil à sa session</w:t>
      </w:r>
      <w:r w:rsidR="00290E98" w:rsidRPr="009F37F3">
        <w:rPr>
          <w:rFonts w:cs="Calibri"/>
          <w:szCs w:val="24"/>
        </w:rPr>
        <w:t> </w:t>
      </w:r>
      <w:r w:rsidR="00456B8D" w:rsidRPr="009F37F3">
        <w:rPr>
          <w:rFonts w:cs="Calibri"/>
          <w:szCs w:val="24"/>
        </w:rPr>
        <w:t>de 2021.</w:t>
      </w:r>
    </w:p>
    <w:p w14:paraId="247A0E34" w14:textId="77777777" w:rsidR="009C0949" w:rsidRPr="009F37F3" w:rsidRDefault="009C0949" w:rsidP="00D90AD4">
      <w:pPr>
        <w:pStyle w:val="Headingb"/>
      </w:pPr>
      <w:r w:rsidRPr="009F37F3">
        <w:t>Suite donnée aux recommandations formulées par l'Unité de l'audit interne</w:t>
      </w:r>
    </w:p>
    <w:p w14:paraId="797FA85E" w14:textId="03B80C34" w:rsidR="009C0949" w:rsidRPr="009F37F3" w:rsidRDefault="009C0949" w:rsidP="00D90AD4">
      <w:pPr>
        <w:spacing w:after="120"/>
      </w:pPr>
      <w:r w:rsidRPr="009F37F3">
        <w:t>1</w:t>
      </w:r>
      <w:r w:rsidR="009E0AFE" w:rsidRPr="009F37F3">
        <w:t>4</w:t>
      </w:r>
      <w:r w:rsidRPr="009F37F3">
        <w:tab/>
        <w:t>Durant la période couverte par le rapport, l'Unité de l'audit interne a continué de donner suite aux recommandations formulées dans les rapports d'audit précédents. Il a été noté que des progrès avaient été accomplis au cours des 12 derniers mois et les statistiques relatives à la mise en œuvre se présentent comme suit (au </w:t>
      </w:r>
      <w:r w:rsidR="009E0AFE" w:rsidRPr="009F37F3">
        <w:t>31 mars 2021</w:t>
      </w:r>
      <w:proofErr w:type="gramStart"/>
      <w:r w:rsidRPr="009F37F3">
        <w:t>):</w:t>
      </w:r>
      <w:proofErr w:type="gramEnd"/>
    </w:p>
    <w:p w14:paraId="316B294B" w14:textId="77777777" w:rsidR="009C0949" w:rsidRPr="009F37F3" w:rsidRDefault="009C0949" w:rsidP="00D90AD4">
      <w:pPr>
        <w:spacing w:after="480"/>
      </w:pPr>
      <w:r w:rsidRPr="009F37F3">
        <w:br w:type="page"/>
      </w:r>
    </w:p>
    <w:tbl>
      <w:tblPr>
        <w:tblW w:w="10351" w:type="dxa"/>
        <w:jc w:val="center"/>
        <w:tblLook w:val="04A0" w:firstRow="1" w:lastRow="0" w:firstColumn="1" w:lastColumn="0" w:noHBand="0" w:noVBand="1"/>
      </w:tblPr>
      <w:tblGrid>
        <w:gridCol w:w="2391"/>
        <w:gridCol w:w="713"/>
        <w:gridCol w:w="628"/>
        <w:gridCol w:w="711"/>
        <w:gridCol w:w="712"/>
        <w:gridCol w:w="712"/>
        <w:gridCol w:w="712"/>
        <w:gridCol w:w="880"/>
        <w:gridCol w:w="622"/>
        <w:gridCol w:w="846"/>
        <w:gridCol w:w="712"/>
        <w:gridCol w:w="712"/>
      </w:tblGrid>
      <w:tr w:rsidR="009E0AFE" w:rsidRPr="009F37F3" w14:paraId="32046996" w14:textId="77777777" w:rsidTr="006826E6">
        <w:trPr>
          <w:trHeight w:val="315"/>
          <w:jc w:val="center"/>
        </w:trPr>
        <w:tc>
          <w:tcPr>
            <w:tcW w:w="2391" w:type="dxa"/>
            <w:tcBorders>
              <w:top w:val="single" w:sz="8" w:space="0" w:color="auto"/>
              <w:left w:val="single" w:sz="8" w:space="0" w:color="auto"/>
              <w:bottom w:val="nil"/>
              <w:right w:val="nil"/>
            </w:tcBorders>
            <w:shd w:val="clear" w:color="auto" w:fill="000000"/>
            <w:noWrap/>
            <w:vAlign w:val="bottom"/>
            <w:hideMark/>
          </w:tcPr>
          <w:p w14:paraId="771BE18F" w14:textId="77777777" w:rsidR="009E0AFE" w:rsidRPr="009F37F3" w:rsidRDefault="009E0AFE" w:rsidP="00D90AD4">
            <w:pPr>
              <w:pStyle w:val="Tablehead"/>
              <w:jc w:val="left"/>
              <w:rPr>
                <w:sz w:val="20"/>
                <w:lang w:eastAsia="zh-CN"/>
              </w:rPr>
            </w:pPr>
            <w:r w:rsidRPr="009F37F3">
              <w:rPr>
                <w:sz w:val="20"/>
                <w:lang w:eastAsia="zh-CN"/>
              </w:rPr>
              <w:lastRenderedPageBreak/>
              <w:t>Année</w:t>
            </w:r>
          </w:p>
        </w:tc>
        <w:tc>
          <w:tcPr>
            <w:tcW w:w="713" w:type="dxa"/>
            <w:tcBorders>
              <w:top w:val="single" w:sz="8" w:space="0" w:color="auto"/>
              <w:left w:val="nil"/>
              <w:bottom w:val="nil"/>
              <w:right w:val="nil"/>
            </w:tcBorders>
            <w:shd w:val="clear" w:color="auto" w:fill="000000"/>
            <w:noWrap/>
            <w:vAlign w:val="bottom"/>
            <w:hideMark/>
          </w:tcPr>
          <w:p w14:paraId="03A91773" w14:textId="77777777" w:rsidR="009E0AFE" w:rsidRPr="009F37F3" w:rsidRDefault="009E0AFE" w:rsidP="00D90AD4">
            <w:pPr>
              <w:pStyle w:val="Tablehead"/>
              <w:rPr>
                <w:sz w:val="20"/>
                <w:lang w:eastAsia="zh-CN"/>
              </w:rPr>
            </w:pPr>
            <w:r w:rsidRPr="009F37F3">
              <w:rPr>
                <w:sz w:val="20"/>
                <w:lang w:eastAsia="zh-CN"/>
              </w:rPr>
              <w:t>2011</w:t>
            </w:r>
          </w:p>
        </w:tc>
        <w:tc>
          <w:tcPr>
            <w:tcW w:w="628" w:type="dxa"/>
            <w:tcBorders>
              <w:top w:val="single" w:sz="8" w:space="0" w:color="auto"/>
              <w:left w:val="nil"/>
              <w:bottom w:val="nil"/>
              <w:right w:val="nil"/>
            </w:tcBorders>
            <w:shd w:val="clear" w:color="auto" w:fill="000000"/>
            <w:noWrap/>
            <w:vAlign w:val="bottom"/>
            <w:hideMark/>
          </w:tcPr>
          <w:p w14:paraId="08F54ADB" w14:textId="77777777" w:rsidR="009E0AFE" w:rsidRPr="009F37F3" w:rsidRDefault="009E0AFE" w:rsidP="00D90AD4">
            <w:pPr>
              <w:pStyle w:val="Tablehead"/>
              <w:rPr>
                <w:sz w:val="20"/>
                <w:lang w:eastAsia="zh-CN"/>
              </w:rPr>
            </w:pPr>
            <w:r w:rsidRPr="009F37F3">
              <w:rPr>
                <w:sz w:val="20"/>
                <w:lang w:eastAsia="zh-CN"/>
              </w:rPr>
              <w:t>2012</w:t>
            </w:r>
          </w:p>
        </w:tc>
        <w:tc>
          <w:tcPr>
            <w:tcW w:w="711" w:type="dxa"/>
            <w:tcBorders>
              <w:top w:val="single" w:sz="8" w:space="0" w:color="auto"/>
              <w:left w:val="nil"/>
              <w:bottom w:val="nil"/>
              <w:right w:val="nil"/>
            </w:tcBorders>
            <w:shd w:val="clear" w:color="auto" w:fill="000000"/>
            <w:noWrap/>
            <w:vAlign w:val="bottom"/>
            <w:hideMark/>
          </w:tcPr>
          <w:p w14:paraId="45457040" w14:textId="77777777" w:rsidR="009E0AFE" w:rsidRPr="009F37F3" w:rsidRDefault="009E0AFE" w:rsidP="00D90AD4">
            <w:pPr>
              <w:pStyle w:val="Tablehead"/>
              <w:rPr>
                <w:sz w:val="20"/>
                <w:lang w:eastAsia="zh-CN"/>
              </w:rPr>
            </w:pPr>
            <w:r w:rsidRPr="009F37F3">
              <w:rPr>
                <w:sz w:val="20"/>
                <w:lang w:eastAsia="zh-CN"/>
              </w:rPr>
              <w:t>2013</w:t>
            </w:r>
          </w:p>
        </w:tc>
        <w:tc>
          <w:tcPr>
            <w:tcW w:w="712" w:type="dxa"/>
            <w:tcBorders>
              <w:top w:val="single" w:sz="8" w:space="0" w:color="auto"/>
              <w:left w:val="nil"/>
              <w:bottom w:val="nil"/>
              <w:right w:val="nil"/>
            </w:tcBorders>
            <w:shd w:val="clear" w:color="auto" w:fill="000000"/>
            <w:noWrap/>
            <w:vAlign w:val="bottom"/>
            <w:hideMark/>
          </w:tcPr>
          <w:p w14:paraId="13F0260A" w14:textId="77777777" w:rsidR="009E0AFE" w:rsidRPr="009F37F3" w:rsidRDefault="009E0AFE" w:rsidP="00D90AD4">
            <w:pPr>
              <w:pStyle w:val="Tablehead"/>
              <w:rPr>
                <w:sz w:val="20"/>
                <w:lang w:eastAsia="zh-CN"/>
              </w:rPr>
            </w:pPr>
            <w:r w:rsidRPr="009F37F3">
              <w:rPr>
                <w:sz w:val="20"/>
                <w:lang w:eastAsia="zh-CN"/>
              </w:rPr>
              <w:t>2014</w:t>
            </w:r>
          </w:p>
        </w:tc>
        <w:tc>
          <w:tcPr>
            <w:tcW w:w="712" w:type="dxa"/>
            <w:tcBorders>
              <w:top w:val="single" w:sz="8" w:space="0" w:color="auto"/>
              <w:left w:val="nil"/>
              <w:bottom w:val="nil"/>
              <w:right w:val="nil"/>
            </w:tcBorders>
            <w:shd w:val="clear" w:color="auto" w:fill="000000"/>
            <w:noWrap/>
            <w:vAlign w:val="bottom"/>
            <w:hideMark/>
          </w:tcPr>
          <w:p w14:paraId="7EEFF87D" w14:textId="77777777" w:rsidR="009E0AFE" w:rsidRPr="009F37F3" w:rsidRDefault="009E0AFE" w:rsidP="00D90AD4">
            <w:pPr>
              <w:pStyle w:val="Tablehead"/>
              <w:rPr>
                <w:sz w:val="20"/>
                <w:lang w:eastAsia="zh-CN"/>
              </w:rPr>
            </w:pPr>
            <w:r w:rsidRPr="009F37F3">
              <w:rPr>
                <w:sz w:val="20"/>
                <w:lang w:eastAsia="zh-CN"/>
              </w:rPr>
              <w:t>2015</w:t>
            </w:r>
          </w:p>
        </w:tc>
        <w:tc>
          <w:tcPr>
            <w:tcW w:w="712" w:type="dxa"/>
            <w:tcBorders>
              <w:top w:val="single" w:sz="8" w:space="0" w:color="auto"/>
              <w:left w:val="nil"/>
              <w:bottom w:val="nil"/>
              <w:right w:val="nil"/>
            </w:tcBorders>
            <w:shd w:val="clear" w:color="auto" w:fill="000000"/>
            <w:noWrap/>
            <w:vAlign w:val="bottom"/>
            <w:hideMark/>
          </w:tcPr>
          <w:p w14:paraId="571CCFB7" w14:textId="77777777" w:rsidR="009E0AFE" w:rsidRPr="009F37F3" w:rsidRDefault="009E0AFE" w:rsidP="00D90AD4">
            <w:pPr>
              <w:pStyle w:val="Tablehead"/>
              <w:rPr>
                <w:sz w:val="20"/>
                <w:lang w:eastAsia="zh-CN"/>
              </w:rPr>
            </w:pPr>
            <w:r w:rsidRPr="009F37F3">
              <w:rPr>
                <w:sz w:val="20"/>
                <w:lang w:eastAsia="zh-CN"/>
              </w:rPr>
              <w:t>2016</w:t>
            </w:r>
          </w:p>
        </w:tc>
        <w:tc>
          <w:tcPr>
            <w:tcW w:w="880" w:type="dxa"/>
            <w:tcBorders>
              <w:top w:val="single" w:sz="8" w:space="0" w:color="auto"/>
              <w:left w:val="nil"/>
              <w:bottom w:val="nil"/>
              <w:right w:val="nil"/>
            </w:tcBorders>
            <w:shd w:val="clear" w:color="auto" w:fill="000000"/>
            <w:noWrap/>
            <w:vAlign w:val="bottom"/>
            <w:hideMark/>
          </w:tcPr>
          <w:p w14:paraId="07598683" w14:textId="77777777" w:rsidR="009E0AFE" w:rsidRPr="009F37F3" w:rsidRDefault="009E0AFE" w:rsidP="00D90AD4">
            <w:pPr>
              <w:pStyle w:val="Tablehead"/>
              <w:rPr>
                <w:sz w:val="20"/>
                <w:lang w:eastAsia="zh-CN"/>
              </w:rPr>
            </w:pPr>
            <w:r w:rsidRPr="009F37F3">
              <w:rPr>
                <w:sz w:val="20"/>
                <w:lang w:eastAsia="zh-CN"/>
              </w:rPr>
              <w:t>2017</w:t>
            </w:r>
          </w:p>
        </w:tc>
        <w:tc>
          <w:tcPr>
            <w:tcW w:w="622" w:type="dxa"/>
            <w:tcBorders>
              <w:top w:val="single" w:sz="8" w:space="0" w:color="auto"/>
              <w:left w:val="nil"/>
              <w:bottom w:val="single" w:sz="8" w:space="0" w:color="auto"/>
              <w:right w:val="nil"/>
            </w:tcBorders>
            <w:shd w:val="clear" w:color="auto" w:fill="000000"/>
            <w:hideMark/>
          </w:tcPr>
          <w:p w14:paraId="1089F9B4" w14:textId="77777777" w:rsidR="009E0AFE" w:rsidRPr="009F37F3" w:rsidRDefault="009E0AFE" w:rsidP="00D90AD4">
            <w:pPr>
              <w:pStyle w:val="Tablehead"/>
              <w:rPr>
                <w:sz w:val="20"/>
                <w:lang w:eastAsia="zh-CN"/>
              </w:rPr>
            </w:pPr>
            <w:r w:rsidRPr="009F37F3">
              <w:rPr>
                <w:sz w:val="20"/>
                <w:lang w:eastAsia="zh-CN"/>
              </w:rPr>
              <w:t>2018</w:t>
            </w:r>
          </w:p>
        </w:tc>
        <w:tc>
          <w:tcPr>
            <w:tcW w:w="846" w:type="dxa"/>
            <w:tcBorders>
              <w:top w:val="single" w:sz="8" w:space="0" w:color="auto"/>
              <w:left w:val="nil"/>
              <w:bottom w:val="single" w:sz="8" w:space="0" w:color="auto"/>
              <w:right w:val="nil"/>
            </w:tcBorders>
            <w:shd w:val="clear" w:color="auto" w:fill="000000"/>
            <w:hideMark/>
          </w:tcPr>
          <w:p w14:paraId="183D2504" w14:textId="226FBF1C" w:rsidR="009E0AFE" w:rsidRPr="009F37F3" w:rsidRDefault="009E0AFE" w:rsidP="00D90AD4">
            <w:pPr>
              <w:pStyle w:val="Tablehead"/>
              <w:rPr>
                <w:sz w:val="20"/>
                <w:lang w:eastAsia="zh-CN"/>
              </w:rPr>
            </w:pPr>
            <w:r w:rsidRPr="009F37F3">
              <w:rPr>
                <w:sz w:val="20"/>
                <w:lang w:eastAsia="zh-CN"/>
              </w:rPr>
              <w:t>2019</w:t>
            </w:r>
          </w:p>
        </w:tc>
        <w:tc>
          <w:tcPr>
            <w:tcW w:w="712" w:type="dxa"/>
            <w:tcBorders>
              <w:top w:val="single" w:sz="8" w:space="0" w:color="auto"/>
              <w:left w:val="nil"/>
              <w:right w:val="nil"/>
            </w:tcBorders>
            <w:shd w:val="clear" w:color="auto" w:fill="000000"/>
          </w:tcPr>
          <w:p w14:paraId="06EC12C6" w14:textId="1D2AE303" w:rsidR="009E0AFE" w:rsidRPr="009F37F3" w:rsidRDefault="009E0AFE" w:rsidP="00D90AD4">
            <w:pPr>
              <w:pStyle w:val="Tablehead"/>
              <w:rPr>
                <w:sz w:val="20"/>
                <w:lang w:eastAsia="zh-CN"/>
              </w:rPr>
            </w:pPr>
            <w:r w:rsidRPr="009F37F3">
              <w:rPr>
                <w:sz w:val="20"/>
                <w:lang w:eastAsia="zh-CN"/>
              </w:rPr>
              <w:t>2020</w:t>
            </w:r>
          </w:p>
        </w:tc>
        <w:tc>
          <w:tcPr>
            <w:tcW w:w="712" w:type="dxa"/>
            <w:tcBorders>
              <w:top w:val="single" w:sz="8" w:space="0" w:color="auto"/>
              <w:left w:val="nil"/>
              <w:bottom w:val="nil"/>
              <w:right w:val="single" w:sz="8" w:space="0" w:color="auto"/>
            </w:tcBorders>
            <w:shd w:val="clear" w:color="auto" w:fill="000000"/>
            <w:noWrap/>
            <w:vAlign w:val="bottom"/>
            <w:hideMark/>
          </w:tcPr>
          <w:p w14:paraId="7CC1CDE3" w14:textId="374C5881" w:rsidR="009E0AFE" w:rsidRPr="009F37F3" w:rsidRDefault="009E0AFE" w:rsidP="00D90AD4">
            <w:pPr>
              <w:pStyle w:val="Tablehead"/>
              <w:rPr>
                <w:sz w:val="20"/>
                <w:lang w:eastAsia="zh-CN"/>
              </w:rPr>
            </w:pPr>
            <w:r w:rsidRPr="009F37F3">
              <w:rPr>
                <w:sz w:val="20"/>
                <w:lang w:eastAsia="zh-CN"/>
              </w:rPr>
              <w:t xml:space="preserve">Total </w:t>
            </w:r>
          </w:p>
        </w:tc>
      </w:tr>
      <w:tr w:rsidR="009E0AFE" w:rsidRPr="009F37F3" w14:paraId="2D873F40" w14:textId="77777777" w:rsidTr="006826E6">
        <w:trPr>
          <w:trHeight w:val="300"/>
          <w:jc w:val="center"/>
        </w:trPr>
        <w:tc>
          <w:tcPr>
            <w:tcW w:w="2391" w:type="dxa"/>
            <w:tcBorders>
              <w:top w:val="single" w:sz="8" w:space="0" w:color="auto"/>
              <w:left w:val="single" w:sz="8" w:space="0" w:color="auto"/>
              <w:bottom w:val="single" w:sz="4" w:space="0" w:color="auto"/>
              <w:right w:val="single" w:sz="4" w:space="0" w:color="auto"/>
            </w:tcBorders>
            <w:noWrap/>
            <w:vAlign w:val="bottom"/>
            <w:hideMark/>
          </w:tcPr>
          <w:p w14:paraId="6E537D86" w14:textId="6CDE3037" w:rsidR="009E0AFE" w:rsidRPr="009F37F3" w:rsidRDefault="009E0AFE" w:rsidP="00D90AD4">
            <w:pPr>
              <w:spacing w:before="40" w:after="40"/>
              <w:rPr>
                <w:sz w:val="20"/>
                <w:lang w:eastAsia="zh-CN"/>
              </w:rPr>
            </w:pPr>
            <w:r w:rsidRPr="009F37F3">
              <w:rPr>
                <w:sz w:val="20"/>
                <w:lang w:eastAsia="zh-CN"/>
              </w:rPr>
              <w:t>Nombre de rapports</w:t>
            </w:r>
            <w:r w:rsidR="009E7DF1" w:rsidRPr="009F37F3">
              <w:rPr>
                <w:sz w:val="20"/>
                <w:lang w:eastAsia="zh-CN"/>
              </w:rPr>
              <w:t>/notes</w:t>
            </w:r>
            <w:r w:rsidRPr="009F37F3">
              <w:rPr>
                <w:sz w:val="20"/>
                <w:lang w:eastAsia="zh-CN"/>
              </w:rPr>
              <w:t xml:space="preserve"> d'audit</w:t>
            </w:r>
          </w:p>
        </w:tc>
        <w:tc>
          <w:tcPr>
            <w:tcW w:w="713" w:type="dxa"/>
            <w:tcBorders>
              <w:top w:val="single" w:sz="8" w:space="0" w:color="auto"/>
              <w:left w:val="nil"/>
              <w:bottom w:val="single" w:sz="4" w:space="0" w:color="auto"/>
              <w:right w:val="single" w:sz="4" w:space="0" w:color="auto"/>
            </w:tcBorders>
            <w:noWrap/>
            <w:vAlign w:val="center"/>
            <w:hideMark/>
          </w:tcPr>
          <w:p w14:paraId="14037C50" w14:textId="77777777" w:rsidR="009E0AFE" w:rsidRPr="009F37F3" w:rsidRDefault="009E0AFE" w:rsidP="00D90AD4">
            <w:pPr>
              <w:spacing w:before="40" w:after="40"/>
              <w:jc w:val="center"/>
              <w:rPr>
                <w:sz w:val="20"/>
                <w:lang w:eastAsia="zh-CN"/>
              </w:rPr>
            </w:pPr>
            <w:r w:rsidRPr="009F37F3">
              <w:rPr>
                <w:sz w:val="20"/>
                <w:lang w:eastAsia="zh-CN"/>
              </w:rPr>
              <w:t>2</w:t>
            </w:r>
          </w:p>
        </w:tc>
        <w:tc>
          <w:tcPr>
            <w:tcW w:w="628" w:type="dxa"/>
            <w:tcBorders>
              <w:top w:val="single" w:sz="8" w:space="0" w:color="auto"/>
              <w:left w:val="nil"/>
              <w:bottom w:val="single" w:sz="4" w:space="0" w:color="auto"/>
              <w:right w:val="single" w:sz="4" w:space="0" w:color="auto"/>
            </w:tcBorders>
            <w:noWrap/>
            <w:vAlign w:val="center"/>
            <w:hideMark/>
          </w:tcPr>
          <w:p w14:paraId="64C4BBA3" w14:textId="77777777" w:rsidR="009E0AFE" w:rsidRPr="009F37F3" w:rsidRDefault="009E0AFE" w:rsidP="00D90AD4">
            <w:pPr>
              <w:spacing w:before="40" w:after="40"/>
              <w:jc w:val="center"/>
              <w:rPr>
                <w:sz w:val="20"/>
                <w:lang w:eastAsia="zh-CN"/>
              </w:rPr>
            </w:pPr>
            <w:r w:rsidRPr="009F37F3">
              <w:rPr>
                <w:sz w:val="20"/>
                <w:lang w:eastAsia="zh-CN"/>
              </w:rPr>
              <w:t>0</w:t>
            </w:r>
          </w:p>
        </w:tc>
        <w:tc>
          <w:tcPr>
            <w:tcW w:w="711" w:type="dxa"/>
            <w:tcBorders>
              <w:top w:val="single" w:sz="8" w:space="0" w:color="auto"/>
              <w:left w:val="nil"/>
              <w:bottom w:val="single" w:sz="4" w:space="0" w:color="auto"/>
              <w:right w:val="single" w:sz="4" w:space="0" w:color="auto"/>
            </w:tcBorders>
            <w:shd w:val="clear" w:color="auto" w:fill="FFFFFF"/>
            <w:noWrap/>
            <w:vAlign w:val="center"/>
            <w:hideMark/>
          </w:tcPr>
          <w:p w14:paraId="6A5F4D5B" w14:textId="3DF58978" w:rsidR="009E0AFE" w:rsidRPr="009F37F3" w:rsidRDefault="009E0AFE" w:rsidP="00D90AD4">
            <w:pPr>
              <w:spacing w:before="40" w:after="40"/>
              <w:jc w:val="center"/>
              <w:rPr>
                <w:sz w:val="20"/>
              </w:rPr>
            </w:pPr>
            <w:r w:rsidRPr="009F37F3">
              <w:rPr>
                <w:sz w:val="20"/>
              </w:rPr>
              <w:t>4</w:t>
            </w:r>
          </w:p>
        </w:tc>
        <w:tc>
          <w:tcPr>
            <w:tcW w:w="712" w:type="dxa"/>
            <w:tcBorders>
              <w:top w:val="single" w:sz="8" w:space="0" w:color="auto"/>
              <w:left w:val="nil"/>
              <w:bottom w:val="single" w:sz="4" w:space="0" w:color="auto"/>
              <w:right w:val="nil"/>
            </w:tcBorders>
            <w:shd w:val="clear" w:color="auto" w:fill="FFFFFF"/>
            <w:noWrap/>
            <w:vAlign w:val="center"/>
            <w:hideMark/>
          </w:tcPr>
          <w:p w14:paraId="65278089" w14:textId="2BB707AE" w:rsidR="009E0AFE" w:rsidRPr="009F37F3" w:rsidRDefault="009E0AFE" w:rsidP="00D90AD4">
            <w:pPr>
              <w:spacing w:before="40" w:after="40"/>
              <w:jc w:val="center"/>
              <w:rPr>
                <w:sz w:val="20"/>
              </w:rPr>
            </w:pPr>
            <w:r w:rsidRPr="009F37F3">
              <w:rPr>
                <w:sz w:val="20"/>
              </w:rPr>
              <w:t>4</w:t>
            </w:r>
          </w:p>
        </w:tc>
        <w:tc>
          <w:tcPr>
            <w:tcW w:w="712" w:type="dxa"/>
            <w:tcBorders>
              <w:top w:val="single" w:sz="8" w:space="0" w:color="auto"/>
              <w:left w:val="single" w:sz="4" w:space="0" w:color="auto"/>
              <w:bottom w:val="single" w:sz="4" w:space="0" w:color="auto"/>
              <w:right w:val="nil"/>
            </w:tcBorders>
            <w:shd w:val="clear" w:color="auto" w:fill="FFFFFF"/>
            <w:noWrap/>
            <w:vAlign w:val="center"/>
            <w:hideMark/>
          </w:tcPr>
          <w:p w14:paraId="377AF7DD" w14:textId="67B6E521" w:rsidR="009E0AFE" w:rsidRPr="009F37F3" w:rsidRDefault="009E0AFE" w:rsidP="00D90AD4">
            <w:pPr>
              <w:spacing w:before="40" w:after="40"/>
              <w:jc w:val="center"/>
              <w:rPr>
                <w:sz w:val="20"/>
              </w:rPr>
            </w:pPr>
            <w:r w:rsidRPr="009F37F3">
              <w:rPr>
                <w:sz w:val="20"/>
              </w:rPr>
              <w:t>7</w:t>
            </w:r>
          </w:p>
        </w:tc>
        <w:tc>
          <w:tcPr>
            <w:tcW w:w="712" w:type="dxa"/>
            <w:tcBorders>
              <w:top w:val="single" w:sz="8" w:space="0" w:color="auto"/>
              <w:left w:val="single" w:sz="4" w:space="0" w:color="auto"/>
              <w:bottom w:val="single" w:sz="4" w:space="0" w:color="auto"/>
              <w:right w:val="nil"/>
            </w:tcBorders>
            <w:shd w:val="clear" w:color="auto" w:fill="FFFFFF"/>
            <w:noWrap/>
            <w:vAlign w:val="center"/>
            <w:hideMark/>
          </w:tcPr>
          <w:p w14:paraId="0383A8F0" w14:textId="6A300BFB" w:rsidR="009E0AFE" w:rsidRPr="009F37F3" w:rsidRDefault="009E0AFE" w:rsidP="00D90AD4">
            <w:pPr>
              <w:spacing w:before="40" w:after="40"/>
              <w:jc w:val="center"/>
              <w:rPr>
                <w:sz w:val="20"/>
              </w:rPr>
            </w:pPr>
            <w:r w:rsidRPr="009F37F3">
              <w:rPr>
                <w:sz w:val="20"/>
              </w:rPr>
              <w:t>4</w:t>
            </w:r>
          </w:p>
        </w:tc>
        <w:tc>
          <w:tcPr>
            <w:tcW w:w="880" w:type="dxa"/>
            <w:tcBorders>
              <w:top w:val="single" w:sz="8" w:space="0" w:color="auto"/>
              <w:left w:val="single" w:sz="4" w:space="0" w:color="auto"/>
              <w:bottom w:val="single" w:sz="4" w:space="0" w:color="auto"/>
              <w:right w:val="nil"/>
            </w:tcBorders>
            <w:shd w:val="clear" w:color="auto" w:fill="FFFFFF"/>
            <w:noWrap/>
            <w:vAlign w:val="center"/>
            <w:hideMark/>
          </w:tcPr>
          <w:p w14:paraId="6CF4B5E2" w14:textId="0A0F3163" w:rsidR="009E0AFE" w:rsidRPr="009F37F3" w:rsidRDefault="009E0AFE" w:rsidP="00D90AD4">
            <w:pPr>
              <w:spacing w:before="40" w:after="40"/>
              <w:jc w:val="center"/>
              <w:rPr>
                <w:sz w:val="20"/>
              </w:rPr>
            </w:pPr>
            <w:r w:rsidRPr="009F37F3">
              <w:rPr>
                <w:sz w:val="20"/>
              </w:rPr>
              <w:t>5</w:t>
            </w:r>
          </w:p>
        </w:tc>
        <w:tc>
          <w:tcPr>
            <w:tcW w:w="622" w:type="dxa"/>
            <w:tcBorders>
              <w:top w:val="single" w:sz="8" w:space="0" w:color="auto"/>
              <w:left w:val="single" w:sz="4" w:space="0" w:color="auto"/>
              <w:bottom w:val="single" w:sz="4" w:space="0" w:color="auto"/>
              <w:right w:val="single" w:sz="4" w:space="0" w:color="auto"/>
            </w:tcBorders>
            <w:vAlign w:val="center"/>
            <w:hideMark/>
          </w:tcPr>
          <w:p w14:paraId="02F28FDF" w14:textId="34CE92E6" w:rsidR="009E0AFE" w:rsidRPr="009F37F3" w:rsidRDefault="009E0AFE" w:rsidP="00D90AD4">
            <w:pPr>
              <w:spacing w:before="40" w:after="40"/>
              <w:jc w:val="center"/>
              <w:rPr>
                <w:sz w:val="20"/>
              </w:rPr>
            </w:pPr>
            <w:r w:rsidRPr="009F37F3">
              <w:rPr>
                <w:sz w:val="20"/>
              </w:rPr>
              <w:t>4</w:t>
            </w:r>
          </w:p>
        </w:tc>
        <w:tc>
          <w:tcPr>
            <w:tcW w:w="846" w:type="dxa"/>
            <w:tcBorders>
              <w:top w:val="single" w:sz="8" w:space="0" w:color="auto"/>
              <w:left w:val="single" w:sz="4" w:space="0" w:color="auto"/>
              <w:bottom w:val="single" w:sz="4" w:space="0" w:color="auto"/>
              <w:right w:val="single" w:sz="8" w:space="0" w:color="auto"/>
            </w:tcBorders>
            <w:vAlign w:val="center"/>
            <w:hideMark/>
          </w:tcPr>
          <w:p w14:paraId="2E861FBA" w14:textId="65D7542C" w:rsidR="009E0AFE" w:rsidRPr="009F37F3" w:rsidRDefault="009E0AFE" w:rsidP="00D90AD4">
            <w:pPr>
              <w:spacing w:before="40" w:after="40"/>
              <w:jc w:val="center"/>
              <w:rPr>
                <w:sz w:val="20"/>
              </w:rPr>
            </w:pPr>
            <w:r w:rsidRPr="009F37F3">
              <w:rPr>
                <w:sz w:val="20"/>
              </w:rPr>
              <w:t>2</w:t>
            </w:r>
          </w:p>
        </w:tc>
        <w:tc>
          <w:tcPr>
            <w:tcW w:w="712" w:type="dxa"/>
            <w:tcBorders>
              <w:left w:val="single" w:sz="8" w:space="0" w:color="auto"/>
              <w:bottom w:val="single" w:sz="8" w:space="0" w:color="auto"/>
              <w:right w:val="single" w:sz="8" w:space="0" w:color="auto"/>
            </w:tcBorders>
            <w:shd w:val="clear" w:color="auto" w:fill="FFFFFF" w:themeFill="background1"/>
            <w:vAlign w:val="center"/>
          </w:tcPr>
          <w:p w14:paraId="6CF3CD48" w14:textId="10C51A64" w:rsidR="009E0AFE" w:rsidRPr="009F37F3" w:rsidRDefault="009E0AFE" w:rsidP="00D90AD4">
            <w:pPr>
              <w:spacing w:before="40" w:after="40"/>
              <w:jc w:val="center"/>
              <w:rPr>
                <w:sz w:val="20"/>
              </w:rPr>
            </w:pPr>
            <w:r w:rsidRPr="009F37F3">
              <w:rPr>
                <w:sz w:val="20"/>
              </w:rPr>
              <w:t>2</w:t>
            </w:r>
          </w:p>
        </w:tc>
        <w:tc>
          <w:tcPr>
            <w:tcW w:w="712" w:type="dxa"/>
            <w:tcBorders>
              <w:top w:val="single" w:sz="8" w:space="0" w:color="auto"/>
              <w:left w:val="single" w:sz="8" w:space="0" w:color="auto"/>
              <w:bottom w:val="single" w:sz="4" w:space="0" w:color="auto"/>
              <w:right w:val="single" w:sz="8" w:space="0" w:color="auto"/>
            </w:tcBorders>
            <w:shd w:val="clear" w:color="auto" w:fill="AEAAAA"/>
            <w:noWrap/>
            <w:vAlign w:val="center"/>
            <w:hideMark/>
          </w:tcPr>
          <w:p w14:paraId="6A7BE183" w14:textId="279D3130" w:rsidR="009E0AFE" w:rsidRPr="009F37F3" w:rsidRDefault="009E0AFE" w:rsidP="00D90AD4">
            <w:pPr>
              <w:spacing w:before="40" w:after="40"/>
              <w:jc w:val="center"/>
              <w:rPr>
                <w:b/>
                <w:bCs/>
                <w:sz w:val="20"/>
              </w:rPr>
            </w:pPr>
            <w:r w:rsidRPr="009F37F3">
              <w:rPr>
                <w:b/>
                <w:bCs/>
                <w:sz w:val="20"/>
              </w:rPr>
              <w:t>34</w:t>
            </w:r>
          </w:p>
        </w:tc>
      </w:tr>
      <w:tr w:rsidR="009E0AFE" w:rsidRPr="009F37F3" w14:paraId="0EAE92B6" w14:textId="77777777" w:rsidTr="006826E6">
        <w:trPr>
          <w:trHeight w:val="300"/>
          <w:jc w:val="center"/>
        </w:trPr>
        <w:tc>
          <w:tcPr>
            <w:tcW w:w="2391" w:type="dxa"/>
            <w:tcBorders>
              <w:top w:val="nil"/>
              <w:left w:val="single" w:sz="8" w:space="0" w:color="auto"/>
              <w:bottom w:val="single" w:sz="4" w:space="0" w:color="auto"/>
              <w:right w:val="single" w:sz="4" w:space="0" w:color="auto"/>
            </w:tcBorders>
            <w:noWrap/>
            <w:vAlign w:val="bottom"/>
            <w:hideMark/>
          </w:tcPr>
          <w:p w14:paraId="389239DD" w14:textId="77777777" w:rsidR="009E0AFE" w:rsidRPr="009F37F3" w:rsidRDefault="009E0AFE" w:rsidP="00D90AD4">
            <w:pPr>
              <w:spacing w:before="40" w:after="40"/>
              <w:rPr>
                <w:sz w:val="20"/>
                <w:lang w:eastAsia="zh-CN"/>
              </w:rPr>
            </w:pPr>
            <w:r w:rsidRPr="009F37F3">
              <w:rPr>
                <w:sz w:val="20"/>
                <w:lang w:eastAsia="zh-CN"/>
              </w:rPr>
              <w:t>Recommandations – Total</w:t>
            </w:r>
          </w:p>
        </w:tc>
        <w:tc>
          <w:tcPr>
            <w:tcW w:w="713" w:type="dxa"/>
            <w:tcBorders>
              <w:top w:val="nil"/>
              <w:left w:val="nil"/>
              <w:bottom w:val="single" w:sz="4" w:space="0" w:color="auto"/>
              <w:right w:val="single" w:sz="4" w:space="0" w:color="auto"/>
            </w:tcBorders>
            <w:noWrap/>
            <w:vAlign w:val="center"/>
            <w:hideMark/>
          </w:tcPr>
          <w:p w14:paraId="5CC2B54A" w14:textId="77777777" w:rsidR="009E0AFE" w:rsidRPr="009F37F3" w:rsidRDefault="009E0AFE" w:rsidP="00D90AD4">
            <w:pPr>
              <w:spacing w:before="40" w:after="40"/>
              <w:jc w:val="center"/>
              <w:rPr>
                <w:sz w:val="20"/>
                <w:lang w:eastAsia="zh-CN"/>
              </w:rPr>
            </w:pPr>
            <w:r w:rsidRPr="009F37F3">
              <w:rPr>
                <w:sz w:val="20"/>
                <w:lang w:eastAsia="zh-CN"/>
              </w:rPr>
              <w:t>17</w:t>
            </w:r>
          </w:p>
        </w:tc>
        <w:tc>
          <w:tcPr>
            <w:tcW w:w="628" w:type="dxa"/>
            <w:tcBorders>
              <w:top w:val="nil"/>
              <w:left w:val="nil"/>
              <w:bottom w:val="single" w:sz="4" w:space="0" w:color="auto"/>
              <w:right w:val="single" w:sz="4" w:space="0" w:color="auto"/>
            </w:tcBorders>
            <w:noWrap/>
            <w:vAlign w:val="center"/>
            <w:hideMark/>
          </w:tcPr>
          <w:p w14:paraId="34B1C834" w14:textId="77777777" w:rsidR="009E0AFE" w:rsidRPr="009F37F3" w:rsidRDefault="009E0AFE" w:rsidP="00D90AD4">
            <w:pPr>
              <w:spacing w:before="40" w:after="40"/>
              <w:jc w:val="center"/>
              <w:rPr>
                <w:sz w:val="20"/>
                <w:lang w:eastAsia="zh-CN"/>
              </w:rPr>
            </w:pPr>
            <w:r w:rsidRPr="009F37F3">
              <w:rPr>
                <w:sz w:val="20"/>
                <w:lang w:eastAsia="zh-CN"/>
              </w:rPr>
              <w:t>–</w:t>
            </w:r>
          </w:p>
        </w:tc>
        <w:tc>
          <w:tcPr>
            <w:tcW w:w="711" w:type="dxa"/>
            <w:tcBorders>
              <w:top w:val="nil"/>
              <w:left w:val="nil"/>
              <w:bottom w:val="single" w:sz="4" w:space="0" w:color="auto"/>
              <w:right w:val="single" w:sz="4" w:space="0" w:color="auto"/>
            </w:tcBorders>
            <w:shd w:val="clear" w:color="auto" w:fill="FFFFFF"/>
            <w:noWrap/>
            <w:vAlign w:val="center"/>
            <w:hideMark/>
          </w:tcPr>
          <w:p w14:paraId="235A3115" w14:textId="1E8650E7" w:rsidR="009E0AFE" w:rsidRPr="009F37F3" w:rsidRDefault="009E0AFE" w:rsidP="00D90AD4">
            <w:pPr>
              <w:spacing w:before="40" w:after="40"/>
              <w:jc w:val="center"/>
              <w:rPr>
                <w:sz w:val="20"/>
              </w:rPr>
            </w:pPr>
            <w:r w:rsidRPr="009F37F3">
              <w:rPr>
                <w:sz w:val="20"/>
              </w:rPr>
              <w:t>113</w:t>
            </w:r>
          </w:p>
        </w:tc>
        <w:tc>
          <w:tcPr>
            <w:tcW w:w="712" w:type="dxa"/>
            <w:tcBorders>
              <w:top w:val="nil"/>
              <w:left w:val="nil"/>
              <w:bottom w:val="single" w:sz="4" w:space="0" w:color="auto"/>
              <w:right w:val="nil"/>
            </w:tcBorders>
            <w:shd w:val="clear" w:color="auto" w:fill="FFFFFF"/>
            <w:noWrap/>
            <w:vAlign w:val="center"/>
            <w:hideMark/>
          </w:tcPr>
          <w:p w14:paraId="5619C353" w14:textId="5444156E" w:rsidR="009E0AFE" w:rsidRPr="009F37F3" w:rsidRDefault="009E0AFE" w:rsidP="00D90AD4">
            <w:pPr>
              <w:spacing w:before="40" w:after="40"/>
              <w:jc w:val="center"/>
              <w:rPr>
                <w:sz w:val="20"/>
              </w:rPr>
            </w:pPr>
            <w:r w:rsidRPr="009F37F3">
              <w:rPr>
                <w:sz w:val="20"/>
              </w:rPr>
              <w:t>55</w:t>
            </w:r>
          </w:p>
        </w:tc>
        <w:tc>
          <w:tcPr>
            <w:tcW w:w="712" w:type="dxa"/>
            <w:tcBorders>
              <w:top w:val="nil"/>
              <w:left w:val="single" w:sz="4" w:space="0" w:color="auto"/>
              <w:bottom w:val="single" w:sz="4" w:space="0" w:color="auto"/>
              <w:right w:val="nil"/>
            </w:tcBorders>
            <w:shd w:val="clear" w:color="auto" w:fill="FFFFFF"/>
            <w:noWrap/>
            <w:vAlign w:val="center"/>
            <w:hideMark/>
          </w:tcPr>
          <w:p w14:paraId="3567390B" w14:textId="662AB65E" w:rsidR="009E0AFE" w:rsidRPr="009F37F3" w:rsidRDefault="009E0AFE" w:rsidP="00D90AD4">
            <w:pPr>
              <w:spacing w:before="40" w:after="40"/>
              <w:jc w:val="center"/>
              <w:rPr>
                <w:sz w:val="20"/>
              </w:rPr>
            </w:pPr>
            <w:r w:rsidRPr="009F37F3">
              <w:rPr>
                <w:sz w:val="20"/>
              </w:rPr>
              <w:t>34</w:t>
            </w:r>
          </w:p>
        </w:tc>
        <w:tc>
          <w:tcPr>
            <w:tcW w:w="712" w:type="dxa"/>
            <w:tcBorders>
              <w:top w:val="nil"/>
              <w:left w:val="single" w:sz="4" w:space="0" w:color="auto"/>
              <w:bottom w:val="single" w:sz="4" w:space="0" w:color="auto"/>
              <w:right w:val="nil"/>
            </w:tcBorders>
            <w:shd w:val="clear" w:color="auto" w:fill="FFFFFF"/>
            <w:noWrap/>
            <w:vAlign w:val="center"/>
            <w:hideMark/>
          </w:tcPr>
          <w:p w14:paraId="5404386E" w14:textId="01FCBF4E" w:rsidR="009E0AFE" w:rsidRPr="009F37F3" w:rsidRDefault="009E0AFE" w:rsidP="00D90AD4">
            <w:pPr>
              <w:spacing w:before="40" w:after="40"/>
              <w:jc w:val="center"/>
              <w:rPr>
                <w:sz w:val="20"/>
              </w:rPr>
            </w:pPr>
            <w:r w:rsidRPr="009F37F3">
              <w:rPr>
                <w:sz w:val="20"/>
              </w:rPr>
              <w:t>22</w:t>
            </w:r>
          </w:p>
        </w:tc>
        <w:tc>
          <w:tcPr>
            <w:tcW w:w="880" w:type="dxa"/>
            <w:tcBorders>
              <w:top w:val="nil"/>
              <w:left w:val="single" w:sz="4" w:space="0" w:color="auto"/>
              <w:bottom w:val="single" w:sz="4" w:space="0" w:color="auto"/>
              <w:right w:val="nil"/>
            </w:tcBorders>
            <w:shd w:val="clear" w:color="auto" w:fill="FFFFFF"/>
            <w:noWrap/>
            <w:vAlign w:val="center"/>
            <w:hideMark/>
          </w:tcPr>
          <w:p w14:paraId="40F5C135" w14:textId="39A23D16" w:rsidR="009E0AFE" w:rsidRPr="009F37F3" w:rsidRDefault="009E0AFE" w:rsidP="00D90AD4">
            <w:pPr>
              <w:spacing w:before="40" w:after="40"/>
              <w:jc w:val="center"/>
              <w:rPr>
                <w:sz w:val="20"/>
              </w:rPr>
            </w:pPr>
            <w:r w:rsidRPr="009F37F3">
              <w:rPr>
                <w:sz w:val="20"/>
              </w:rPr>
              <w:t>30</w:t>
            </w:r>
          </w:p>
        </w:tc>
        <w:tc>
          <w:tcPr>
            <w:tcW w:w="622" w:type="dxa"/>
            <w:tcBorders>
              <w:top w:val="single" w:sz="4" w:space="0" w:color="auto"/>
              <w:left w:val="single" w:sz="4" w:space="0" w:color="auto"/>
              <w:bottom w:val="single" w:sz="4" w:space="0" w:color="auto"/>
              <w:right w:val="single" w:sz="4" w:space="0" w:color="auto"/>
            </w:tcBorders>
            <w:vAlign w:val="center"/>
            <w:hideMark/>
          </w:tcPr>
          <w:p w14:paraId="2F01E1A7" w14:textId="5C91D9FA" w:rsidR="009E0AFE" w:rsidRPr="009F37F3" w:rsidRDefault="009E0AFE" w:rsidP="00D90AD4">
            <w:pPr>
              <w:spacing w:before="40" w:after="40"/>
              <w:jc w:val="center"/>
              <w:rPr>
                <w:sz w:val="20"/>
              </w:rPr>
            </w:pPr>
            <w:r w:rsidRPr="009F37F3">
              <w:rPr>
                <w:sz w:val="20"/>
              </w:rPr>
              <w:t>26</w:t>
            </w:r>
          </w:p>
        </w:tc>
        <w:tc>
          <w:tcPr>
            <w:tcW w:w="846" w:type="dxa"/>
            <w:tcBorders>
              <w:top w:val="single" w:sz="4" w:space="0" w:color="auto"/>
              <w:left w:val="single" w:sz="4" w:space="0" w:color="auto"/>
              <w:bottom w:val="single" w:sz="4" w:space="0" w:color="auto"/>
              <w:right w:val="single" w:sz="8" w:space="0" w:color="auto"/>
            </w:tcBorders>
            <w:vAlign w:val="center"/>
            <w:hideMark/>
          </w:tcPr>
          <w:p w14:paraId="763A7D82" w14:textId="38DFE0BA" w:rsidR="009E0AFE" w:rsidRPr="009F37F3" w:rsidRDefault="009E0AFE" w:rsidP="00D90AD4">
            <w:pPr>
              <w:spacing w:before="40" w:after="40"/>
              <w:jc w:val="center"/>
              <w:rPr>
                <w:sz w:val="20"/>
              </w:rPr>
            </w:pPr>
            <w:r w:rsidRPr="009F37F3">
              <w:rPr>
                <w:sz w:val="20"/>
              </w:rPr>
              <w:t>15</w:t>
            </w:r>
          </w:p>
        </w:tc>
        <w:tc>
          <w:tcPr>
            <w:tcW w:w="7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128BA5" w14:textId="7FBD2385" w:rsidR="009E0AFE" w:rsidRPr="009F37F3" w:rsidRDefault="009E0AFE" w:rsidP="00D90AD4">
            <w:pPr>
              <w:spacing w:before="40" w:after="40"/>
              <w:jc w:val="center"/>
              <w:rPr>
                <w:sz w:val="20"/>
              </w:rPr>
            </w:pPr>
            <w:r w:rsidRPr="009F37F3">
              <w:rPr>
                <w:sz w:val="20"/>
              </w:rPr>
              <w:t>9</w:t>
            </w:r>
          </w:p>
        </w:tc>
        <w:tc>
          <w:tcPr>
            <w:tcW w:w="712" w:type="dxa"/>
            <w:tcBorders>
              <w:top w:val="nil"/>
              <w:left w:val="single" w:sz="8" w:space="0" w:color="auto"/>
              <w:bottom w:val="single" w:sz="4" w:space="0" w:color="auto"/>
              <w:right w:val="single" w:sz="8" w:space="0" w:color="auto"/>
            </w:tcBorders>
            <w:shd w:val="clear" w:color="auto" w:fill="AEAAAA"/>
            <w:noWrap/>
            <w:vAlign w:val="center"/>
            <w:hideMark/>
          </w:tcPr>
          <w:p w14:paraId="3CEDED1F" w14:textId="6688DCA1" w:rsidR="009E0AFE" w:rsidRPr="009F37F3" w:rsidRDefault="009E0AFE" w:rsidP="00D90AD4">
            <w:pPr>
              <w:spacing w:before="40" w:after="40"/>
              <w:jc w:val="center"/>
              <w:rPr>
                <w:b/>
                <w:bCs/>
                <w:sz w:val="20"/>
              </w:rPr>
            </w:pPr>
            <w:r w:rsidRPr="009F37F3">
              <w:rPr>
                <w:b/>
                <w:bCs/>
                <w:sz w:val="20"/>
              </w:rPr>
              <w:t>321</w:t>
            </w:r>
          </w:p>
        </w:tc>
      </w:tr>
      <w:tr w:rsidR="009E0AFE" w:rsidRPr="009F37F3" w14:paraId="40850C5B" w14:textId="77777777" w:rsidTr="006826E6">
        <w:trPr>
          <w:trHeight w:val="300"/>
          <w:jc w:val="center"/>
        </w:trPr>
        <w:tc>
          <w:tcPr>
            <w:tcW w:w="2391" w:type="dxa"/>
            <w:tcBorders>
              <w:top w:val="nil"/>
              <w:left w:val="single" w:sz="8" w:space="0" w:color="auto"/>
              <w:bottom w:val="single" w:sz="4" w:space="0" w:color="auto"/>
              <w:right w:val="single" w:sz="4" w:space="0" w:color="auto"/>
            </w:tcBorders>
            <w:noWrap/>
            <w:vAlign w:val="bottom"/>
            <w:hideMark/>
          </w:tcPr>
          <w:p w14:paraId="5A3EF86D" w14:textId="77777777" w:rsidR="009E0AFE" w:rsidRPr="009F37F3" w:rsidRDefault="009E0AFE" w:rsidP="00D90AD4">
            <w:pPr>
              <w:tabs>
                <w:tab w:val="clear" w:pos="567"/>
                <w:tab w:val="left" w:pos="308"/>
              </w:tabs>
              <w:spacing w:before="40" w:after="40"/>
              <w:rPr>
                <w:sz w:val="20"/>
                <w:lang w:eastAsia="zh-CN"/>
              </w:rPr>
            </w:pPr>
            <w:r w:rsidRPr="009F37F3">
              <w:rPr>
                <w:sz w:val="20"/>
                <w:lang w:eastAsia="zh-CN"/>
              </w:rPr>
              <w:tab/>
              <w:t>En cours</w:t>
            </w:r>
          </w:p>
        </w:tc>
        <w:tc>
          <w:tcPr>
            <w:tcW w:w="713" w:type="dxa"/>
            <w:tcBorders>
              <w:top w:val="nil"/>
              <w:left w:val="nil"/>
              <w:bottom w:val="single" w:sz="4" w:space="0" w:color="auto"/>
              <w:right w:val="single" w:sz="4" w:space="0" w:color="auto"/>
            </w:tcBorders>
            <w:shd w:val="clear" w:color="auto" w:fill="FFFFFF"/>
            <w:noWrap/>
            <w:vAlign w:val="center"/>
            <w:hideMark/>
          </w:tcPr>
          <w:p w14:paraId="3CCD6329" w14:textId="77777777" w:rsidR="009E0AFE" w:rsidRPr="009F37F3" w:rsidRDefault="009E0AFE" w:rsidP="00D90AD4">
            <w:pPr>
              <w:spacing w:before="40" w:after="40"/>
              <w:jc w:val="center"/>
              <w:rPr>
                <w:sz w:val="20"/>
                <w:lang w:eastAsia="zh-CN"/>
              </w:rPr>
            </w:pPr>
            <w:r w:rsidRPr="009F37F3">
              <w:rPr>
                <w:sz w:val="20"/>
                <w:lang w:eastAsia="zh-CN"/>
              </w:rPr>
              <w:t>0</w:t>
            </w:r>
          </w:p>
        </w:tc>
        <w:tc>
          <w:tcPr>
            <w:tcW w:w="628" w:type="dxa"/>
            <w:tcBorders>
              <w:top w:val="nil"/>
              <w:left w:val="nil"/>
              <w:bottom w:val="single" w:sz="4" w:space="0" w:color="auto"/>
              <w:right w:val="single" w:sz="4" w:space="0" w:color="auto"/>
            </w:tcBorders>
            <w:noWrap/>
            <w:vAlign w:val="center"/>
            <w:hideMark/>
          </w:tcPr>
          <w:p w14:paraId="2E61F583" w14:textId="77777777" w:rsidR="009E0AFE" w:rsidRPr="009F37F3" w:rsidRDefault="009E0AFE" w:rsidP="00D90AD4">
            <w:pPr>
              <w:spacing w:before="40" w:after="40"/>
              <w:jc w:val="center"/>
              <w:rPr>
                <w:sz w:val="20"/>
                <w:lang w:eastAsia="zh-CN"/>
              </w:rPr>
            </w:pPr>
            <w:r w:rsidRPr="009F37F3">
              <w:rPr>
                <w:sz w:val="20"/>
                <w:lang w:eastAsia="zh-CN"/>
              </w:rPr>
              <w:t>–</w:t>
            </w:r>
          </w:p>
        </w:tc>
        <w:tc>
          <w:tcPr>
            <w:tcW w:w="711" w:type="dxa"/>
            <w:tcBorders>
              <w:top w:val="nil"/>
              <w:left w:val="nil"/>
              <w:bottom w:val="single" w:sz="4" w:space="0" w:color="auto"/>
              <w:right w:val="single" w:sz="4" w:space="0" w:color="auto"/>
            </w:tcBorders>
            <w:shd w:val="clear" w:color="auto" w:fill="FFFFFF"/>
            <w:noWrap/>
            <w:vAlign w:val="center"/>
            <w:hideMark/>
          </w:tcPr>
          <w:p w14:paraId="7F145F5A" w14:textId="25A74921" w:rsidR="009E0AFE" w:rsidRPr="009F37F3" w:rsidRDefault="009E0AFE" w:rsidP="00D90AD4">
            <w:pPr>
              <w:spacing w:before="40" w:after="40"/>
              <w:jc w:val="center"/>
              <w:rPr>
                <w:sz w:val="20"/>
              </w:rPr>
            </w:pPr>
            <w:r w:rsidRPr="009F37F3">
              <w:rPr>
                <w:sz w:val="20"/>
              </w:rPr>
              <w:t>4</w:t>
            </w:r>
          </w:p>
        </w:tc>
        <w:tc>
          <w:tcPr>
            <w:tcW w:w="712" w:type="dxa"/>
            <w:tcBorders>
              <w:top w:val="nil"/>
              <w:left w:val="nil"/>
              <w:bottom w:val="single" w:sz="4" w:space="0" w:color="auto"/>
              <w:right w:val="nil"/>
            </w:tcBorders>
            <w:shd w:val="clear" w:color="auto" w:fill="FFFFFF"/>
            <w:noWrap/>
            <w:vAlign w:val="center"/>
            <w:hideMark/>
          </w:tcPr>
          <w:p w14:paraId="4B9B0BD0" w14:textId="180EFFB9" w:rsidR="009E0AFE" w:rsidRPr="009F37F3" w:rsidRDefault="009E0AFE" w:rsidP="00D90AD4">
            <w:pPr>
              <w:spacing w:before="40" w:after="40"/>
              <w:jc w:val="center"/>
              <w:rPr>
                <w:sz w:val="20"/>
              </w:rPr>
            </w:pPr>
            <w:r w:rsidRPr="009F37F3">
              <w:rPr>
                <w:sz w:val="20"/>
              </w:rPr>
              <w:t>2</w:t>
            </w:r>
          </w:p>
        </w:tc>
        <w:tc>
          <w:tcPr>
            <w:tcW w:w="712" w:type="dxa"/>
            <w:tcBorders>
              <w:top w:val="nil"/>
              <w:left w:val="single" w:sz="4" w:space="0" w:color="auto"/>
              <w:bottom w:val="single" w:sz="4" w:space="0" w:color="auto"/>
              <w:right w:val="nil"/>
            </w:tcBorders>
            <w:shd w:val="clear" w:color="auto" w:fill="FFFFFF"/>
            <w:noWrap/>
            <w:vAlign w:val="center"/>
            <w:hideMark/>
          </w:tcPr>
          <w:p w14:paraId="1620F7D1" w14:textId="31FB4652" w:rsidR="009E0AFE" w:rsidRPr="009F37F3" w:rsidRDefault="009E0AFE" w:rsidP="00D90AD4">
            <w:pPr>
              <w:spacing w:before="40" w:after="40"/>
              <w:jc w:val="center"/>
              <w:rPr>
                <w:sz w:val="20"/>
              </w:rPr>
            </w:pPr>
            <w:r w:rsidRPr="009F37F3">
              <w:rPr>
                <w:sz w:val="20"/>
              </w:rPr>
              <w:t>1</w:t>
            </w:r>
          </w:p>
        </w:tc>
        <w:tc>
          <w:tcPr>
            <w:tcW w:w="712" w:type="dxa"/>
            <w:tcBorders>
              <w:top w:val="nil"/>
              <w:left w:val="single" w:sz="4" w:space="0" w:color="auto"/>
              <w:bottom w:val="single" w:sz="4" w:space="0" w:color="auto"/>
              <w:right w:val="nil"/>
            </w:tcBorders>
            <w:shd w:val="clear" w:color="auto" w:fill="FFFFFF"/>
            <w:noWrap/>
            <w:vAlign w:val="center"/>
            <w:hideMark/>
          </w:tcPr>
          <w:p w14:paraId="09CFCAD2" w14:textId="2A1A3788" w:rsidR="009E0AFE" w:rsidRPr="009F37F3" w:rsidRDefault="009E0AFE" w:rsidP="00D90AD4">
            <w:pPr>
              <w:spacing w:before="40" w:after="40"/>
              <w:jc w:val="center"/>
              <w:rPr>
                <w:sz w:val="20"/>
              </w:rPr>
            </w:pPr>
            <w:r w:rsidRPr="009F37F3">
              <w:rPr>
                <w:sz w:val="20"/>
              </w:rPr>
              <w:t>6</w:t>
            </w:r>
          </w:p>
        </w:tc>
        <w:tc>
          <w:tcPr>
            <w:tcW w:w="880" w:type="dxa"/>
            <w:tcBorders>
              <w:top w:val="nil"/>
              <w:left w:val="single" w:sz="4" w:space="0" w:color="auto"/>
              <w:bottom w:val="single" w:sz="4" w:space="0" w:color="auto"/>
              <w:right w:val="nil"/>
            </w:tcBorders>
            <w:shd w:val="clear" w:color="auto" w:fill="FFFFFF"/>
            <w:noWrap/>
            <w:vAlign w:val="center"/>
            <w:hideMark/>
          </w:tcPr>
          <w:p w14:paraId="03A48F1E" w14:textId="551857B5" w:rsidR="009E0AFE" w:rsidRPr="009F37F3" w:rsidRDefault="009E0AFE" w:rsidP="00D90AD4">
            <w:pPr>
              <w:spacing w:before="40" w:after="40"/>
              <w:jc w:val="center"/>
              <w:rPr>
                <w:sz w:val="20"/>
              </w:rPr>
            </w:pPr>
            <w:r w:rsidRPr="009F37F3">
              <w:rPr>
                <w:sz w:val="20"/>
              </w:rPr>
              <w:t>8</w:t>
            </w:r>
          </w:p>
        </w:tc>
        <w:tc>
          <w:tcPr>
            <w:tcW w:w="622" w:type="dxa"/>
            <w:tcBorders>
              <w:top w:val="single" w:sz="4" w:space="0" w:color="auto"/>
              <w:left w:val="single" w:sz="4" w:space="0" w:color="auto"/>
              <w:bottom w:val="single" w:sz="4" w:space="0" w:color="auto"/>
              <w:right w:val="single" w:sz="4" w:space="0" w:color="auto"/>
            </w:tcBorders>
            <w:vAlign w:val="center"/>
            <w:hideMark/>
          </w:tcPr>
          <w:p w14:paraId="5B13278C" w14:textId="1A356E8A" w:rsidR="009E0AFE" w:rsidRPr="009F37F3" w:rsidRDefault="009E0AFE" w:rsidP="00D90AD4">
            <w:pPr>
              <w:spacing w:before="40" w:after="40"/>
              <w:jc w:val="center"/>
              <w:rPr>
                <w:sz w:val="20"/>
              </w:rPr>
            </w:pPr>
            <w:r w:rsidRPr="009F37F3">
              <w:rPr>
                <w:sz w:val="20"/>
              </w:rPr>
              <w:t>12</w:t>
            </w:r>
          </w:p>
        </w:tc>
        <w:tc>
          <w:tcPr>
            <w:tcW w:w="846" w:type="dxa"/>
            <w:tcBorders>
              <w:top w:val="single" w:sz="4" w:space="0" w:color="auto"/>
              <w:left w:val="single" w:sz="4" w:space="0" w:color="auto"/>
              <w:bottom w:val="single" w:sz="4" w:space="0" w:color="auto"/>
              <w:right w:val="single" w:sz="8" w:space="0" w:color="auto"/>
            </w:tcBorders>
            <w:vAlign w:val="center"/>
            <w:hideMark/>
          </w:tcPr>
          <w:p w14:paraId="08E101CD" w14:textId="0332A914" w:rsidR="009E0AFE" w:rsidRPr="009F37F3" w:rsidRDefault="009E0AFE" w:rsidP="00D90AD4">
            <w:pPr>
              <w:spacing w:before="40" w:after="40"/>
              <w:jc w:val="center"/>
              <w:rPr>
                <w:sz w:val="20"/>
              </w:rPr>
            </w:pPr>
            <w:r w:rsidRPr="009F37F3">
              <w:rPr>
                <w:sz w:val="20"/>
              </w:rPr>
              <w:t>11</w:t>
            </w:r>
          </w:p>
        </w:tc>
        <w:tc>
          <w:tcPr>
            <w:tcW w:w="7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D63AAB" w14:textId="498D28C0" w:rsidR="009E0AFE" w:rsidRPr="009F37F3" w:rsidRDefault="009E0AFE" w:rsidP="00D90AD4">
            <w:pPr>
              <w:spacing w:before="40" w:after="40"/>
              <w:jc w:val="center"/>
              <w:rPr>
                <w:sz w:val="20"/>
              </w:rPr>
            </w:pPr>
            <w:r w:rsidRPr="009F37F3">
              <w:rPr>
                <w:sz w:val="20"/>
              </w:rPr>
              <w:t>4</w:t>
            </w:r>
          </w:p>
        </w:tc>
        <w:tc>
          <w:tcPr>
            <w:tcW w:w="712" w:type="dxa"/>
            <w:tcBorders>
              <w:top w:val="nil"/>
              <w:left w:val="single" w:sz="8" w:space="0" w:color="auto"/>
              <w:bottom w:val="single" w:sz="4" w:space="0" w:color="auto"/>
              <w:right w:val="single" w:sz="8" w:space="0" w:color="auto"/>
            </w:tcBorders>
            <w:shd w:val="clear" w:color="auto" w:fill="AEAAAA"/>
            <w:noWrap/>
            <w:vAlign w:val="center"/>
            <w:hideMark/>
          </w:tcPr>
          <w:p w14:paraId="3B0EC414" w14:textId="7555733C" w:rsidR="009E0AFE" w:rsidRPr="009F37F3" w:rsidRDefault="009E0AFE" w:rsidP="00D90AD4">
            <w:pPr>
              <w:spacing w:before="40" w:after="40"/>
              <w:jc w:val="center"/>
              <w:rPr>
                <w:b/>
                <w:bCs/>
                <w:sz w:val="20"/>
              </w:rPr>
            </w:pPr>
            <w:r w:rsidRPr="009F37F3">
              <w:rPr>
                <w:b/>
                <w:bCs/>
                <w:sz w:val="20"/>
              </w:rPr>
              <w:t>48</w:t>
            </w:r>
          </w:p>
        </w:tc>
      </w:tr>
      <w:tr w:rsidR="009E0AFE" w:rsidRPr="009F37F3" w14:paraId="541807D5" w14:textId="77777777" w:rsidTr="006826E6">
        <w:trPr>
          <w:trHeight w:val="300"/>
          <w:jc w:val="center"/>
        </w:trPr>
        <w:tc>
          <w:tcPr>
            <w:tcW w:w="2391" w:type="dxa"/>
            <w:tcBorders>
              <w:top w:val="nil"/>
              <w:left w:val="single" w:sz="8" w:space="0" w:color="auto"/>
              <w:bottom w:val="single" w:sz="4" w:space="0" w:color="auto"/>
              <w:right w:val="single" w:sz="4" w:space="0" w:color="auto"/>
            </w:tcBorders>
            <w:noWrap/>
            <w:vAlign w:val="bottom"/>
            <w:hideMark/>
          </w:tcPr>
          <w:p w14:paraId="4B37D7C6" w14:textId="77777777" w:rsidR="009E0AFE" w:rsidRPr="009F37F3" w:rsidRDefault="009E0AFE" w:rsidP="00D90AD4">
            <w:pPr>
              <w:tabs>
                <w:tab w:val="clear" w:pos="567"/>
                <w:tab w:val="left" w:pos="308"/>
              </w:tabs>
              <w:spacing w:before="40" w:after="40"/>
              <w:rPr>
                <w:sz w:val="20"/>
                <w:lang w:eastAsia="zh-CN"/>
              </w:rPr>
            </w:pPr>
            <w:r w:rsidRPr="009F37F3">
              <w:rPr>
                <w:sz w:val="20"/>
                <w:lang w:eastAsia="zh-CN"/>
              </w:rPr>
              <w:tab/>
              <w:t>Retardées</w:t>
            </w:r>
          </w:p>
        </w:tc>
        <w:tc>
          <w:tcPr>
            <w:tcW w:w="713" w:type="dxa"/>
            <w:tcBorders>
              <w:top w:val="nil"/>
              <w:left w:val="nil"/>
              <w:bottom w:val="single" w:sz="4" w:space="0" w:color="auto"/>
              <w:right w:val="single" w:sz="4" w:space="0" w:color="auto"/>
            </w:tcBorders>
            <w:shd w:val="clear" w:color="auto" w:fill="FFFFFF"/>
            <w:noWrap/>
            <w:vAlign w:val="center"/>
            <w:hideMark/>
          </w:tcPr>
          <w:p w14:paraId="385DA32B" w14:textId="77777777" w:rsidR="009E0AFE" w:rsidRPr="009F37F3" w:rsidRDefault="009E0AFE" w:rsidP="00D90AD4">
            <w:pPr>
              <w:spacing w:before="40" w:after="40"/>
              <w:jc w:val="center"/>
              <w:rPr>
                <w:sz w:val="20"/>
                <w:lang w:eastAsia="zh-CN"/>
              </w:rPr>
            </w:pPr>
            <w:r w:rsidRPr="009F37F3">
              <w:rPr>
                <w:sz w:val="20"/>
                <w:lang w:eastAsia="zh-CN"/>
              </w:rPr>
              <w:t>3</w:t>
            </w:r>
          </w:p>
        </w:tc>
        <w:tc>
          <w:tcPr>
            <w:tcW w:w="628" w:type="dxa"/>
            <w:tcBorders>
              <w:top w:val="nil"/>
              <w:left w:val="nil"/>
              <w:bottom w:val="single" w:sz="4" w:space="0" w:color="auto"/>
              <w:right w:val="single" w:sz="4" w:space="0" w:color="auto"/>
            </w:tcBorders>
            <w:noWrap/>
            <w:vAlign w:val="center"/>
            <w:hideMark/>
          </w:tcPr>
          <w:p w14:paraId="7B497319" w14:textId="77777777" w:rsidR="009E0AFE" w:rsidRPr="009F37F3" w:rsidRDefault="009E0AFE" w:rsidP="00D90AD4">
            <w:pPr>
              <w:spacing w:before="40" w:after="40"/>
              <w:jc w:val="center"/>
              <w:rPr>
                <w:sz w:val="20"/>
                <w:lang w:eastAsia="zh-CN"/>
              </w:rPr>
            </w:pPr>
            <w:r w:rsidRPr="009F37F3">
              <w:rPr>
                <w:sz w:val="20"/>
                <w:lang w:eastAsia="zh-CN"/>
              </w:rPr>
              <w:t>–</w:t>
            </w:r>
          </w:p>
        </w:tc>
        <w:tc>
          <w:tcPr>
            <w:tcW w:w="711" w:type="dxa"/>
            <w:tcBorders>
              <w:top w:val="nil"/>
              <w:left w:val="nil"/>
              <w:bottom w:val="single" w:sz="4" w:space="0" w:color="auto"/>
              <w:right w:val="single" w:sz="4" w:space="0" w:color="auto"/>
            </w:tcBorders>
            <w:shd w:val="clear" w:color="auto" w:fill="FFFFFF"/>
            <w:noWrap/>
            <w:vAlign w:val="center"/>
            <w:hideMark/>
          </w:tcPr>
          <w:p w14:paraId="4BD1750D" w14:textId="36E21829" w:rsidR="009E0AFE" w:rsidRPr="009F37F3" w:rsidRDefault="009E0AFE" w:rsidP="00D90AD4">
            <w:pPr>
              <w:spacing w:before="40" w:after="40"/>
              <w:jc w:val="center"/>
              <w:rPr>
                <w:sz w:val="20"/>
              </w:rPr>
            </w:pPr>
            <w:r w:rsidRPr="009F37F3">
              <w:rPr>
                <w:sz w:val="20"/>
              </w:rPr>
              <w:t>0</w:t>
            </w:r>
          </w:p>
        </w:tc>
        <w:tc>
          <w:tcPr>
            <w:tcW w:w="712" w:type="dxa"/>
            <w:tcBorders>
              <w:top w:val="nil"/>
              <w:left w:val="nil"/>
              <w:bottom w:val="single" w:sz="4" w:space="0" w:color="auto"/>
              <w:right w:val="nil"/>
            </w:tcBorders>
            <w:shd w:val="clear" w:color="auto" w:fill="FFFFFF"/>
            <w:noWrap/>
            <w:vAlign w:val="center"/>
            <w:hideMark/>
          </w:tcPr>
          <w:p w14:paraId="3D844E03" w14:textId="2E7036ED" w:rsidR="009E0AFE" w:rsidRPr="009F37F3" w:rsidRDefault="009E0AFE" w:rsidP="00D90AD4">
            <w:pPr>
              <w:spacing w:before="40" w:after="40"/>
              <w:jc w:val="center"/>
              <w:rPr>
                <w:sz w:val="20"/>
              </w:rPr>
            </w:pPr>
            <w:r w:rsidRPr="009F37F3">
              <w:rPr>
                <w:sz w:val="20"/>
              </w:rPr>
              <w:t>0</w:t>
            </w:r>
          </w:p>
        </w:tc>
        <w:tc>
          <w:tcPr>
            <w:tcW w:w="712" w:type="dxa"/>
            <w:tcBorders>
              <w:top w:val="nil"/>
              <w:left w:val="single" w:sz="4" w:space="0" w:color="auto"/>
              <w:bottom w:val="single" w:sz="4" w:space="0" w:color="auto"/>
              <w:right w:val="nil"/>
            </w:tcBorders>
            <w:shd w:val="clear" w:color="auto" w:fill="FFFFFF"/>
            <w:noWrap/>
            <w:vAlign w:val="center"/>
            <w:hideMark/>
          </w:tcPr>
          <w:p w14:paraId="17B19E36" w14:textId="4060E52E" w:rsidR="009E0AFE" w:rsidRPr="009F37F3" w:rsidRDefault="009E0AFE" w:rsidP="00D90AD4">
            <w:pPr>
              <w:spacing w:before="40" w:after="40"/>
              <w:jc w:val="center"/>
              <w:rPr>
                <w:sz w:val="20"/>
              </w:rPr>
            </w:pPr>
            <w:r w:rsidRPr="009F37F3">
              <w:rPr>
                <w:sz w:val="20"/>
              </w:rPr>
              <w:t>0</w:t>
            </w:r>
          </w:p>
        </w:tc>
        <w:tc>
          <w:tcPr>
            <w:tcW w:w="712" w:type="dxa"/>
            <w:tcBorders>
              <w:top w:val="nil"/>
              <w:left w:val="single" w:sz="4" w:space="0" w:color="auto"/>
              <w:bottom w:val="single" w:sz="4" w:space="0" w:color="auto"/>
              <w:right w:val="nil"/>
            </w:tcBorders>
            <w:shd w:val="clear" w:color="auto" w:fill="FFFFFF"/>
            <w:noWrap/>
            <w:vAlign w:val="center"/>
            <w:hideMark/>
          </w:tcPr>
          <w:p w14:paraId="140F3E49" w14:textId="4FF46267" w:rsidR="009E0AFE" w:rsidRPr="009F37F3" w:rsidRDefault="009E0AFE" w:rsidP="00D90AD4">
            <w:pPr>
              <w:spacing w:before="40" w:after="40"/>
              <w:jc w:val="center"/>
              <w:rPr>
                <w:sz w:val="20"/>
              </w:rPr>
            </w:pPr>
            <w:r w:rsidRPr="009F37F3">
              <w:rPr>
                <w:sz w:val="20"/>
              </w:rPr>
              <w:t>0</w:t>
            </w:r>
          </w:p>
        </w:tc>
        <w:tc>
          <w:tcPr>
            <w:tcW w:w="880" w:type="dxa"/>
            <w:tcBorders>
              <w:top w:val="nil"/>
              <w:left w:val="single" w:sz="4" w:space="0" w:color="auto"/>
              <w:bottom w:val="single" w:sz="4" w:space="0" w:color="auto"/>
              <w:right w:val="nil"/>
            </w:tcBorders>
            <w:shd w:val="clear" w:color="auto" w:fill="FFFFFF"/>
            <w:noWrap/>
            <w:vAlign w:val="center"/>
            <w:hideMark/>
          </w:tcPr>
          <w:p w14:paraId="27D520A2" w14:textId="78EF86D3" w:rsidR="009E0AFE" w:rsidRPr="009F37F3" w:rsidRDefault="009E0AFE" w:rsidP="00D90AD4">
            <w:pPr>
              <w:spacing w:before="40" w:after="40"/>
              <w:jc w:val="center"/>
              <w:rPr>
                <w:sz w:val="20"/>
              </w:rPr>
            </w:pPr>
            <w:r w:rsidRPr="009F37F3">
              <w:rPr>
                <w:sz w:val="20"/>
              </w:rPr>
              <w:t>0</w:t>
            </w:r>
          </w:p>
        </w:tc>
        <w:tc>
          <w:tcPr>
            <w:tcW w:w="622" w:type="dxa"/>
            <w:tcBorders>
              <w:top w:val="single" w:sz="4" w:space="0" w:color="auto"/>
              <w:left w:val="single" w:sz="4" w:space="0" w:color="auto"/>
              <w:bottom w:val="single" w:sz="4" w:space="0" w:color="auto"/>
              <w:right w:val="single" w:sz="4" w:space="0" w:color="auto"/>
            </w:tcBorders>
            <w:vAlign w:val="center"/>
            <w:hideMark/>
          </w:tcPr>
          <w:p w14:paraId="36519D7A" w14:textId="5EBB34F5" w:rsidR="009E0AFE" w:rsidRPr="009F37F3" w:rsidRDefault="009E0AFE" w:rsidP="00D90AD4">
            <w:pPr>
              <w:spacing w:before="40" w:after="40"/>
              <w:jc w:val="center"/>
              <w:rPr>
                <w:sz w:val="20"/>
              </w:rPr>
            </w:pPr>
            <w:r w:rsidRPr="009F37F3">
              <w:rPr>
                <w:sz w:val="20"/>
              </w:rPr>
              <w:t>0</w:t>
            </w:r>
          </w:p>
        </w:tc>
        <w:tc>
          <w:tcPr>
            <w:tcW w:w="846" w:type="dxa"/>
            <w:tcBorders>
              <w:top w:val="single" w:sz="4" w:space="0" w:color="auto"/>
              <w:left w:val="single" w:sz="4" w:space="0" w:color="auto"/>
              <w:bottom w:val="single" w:sz="4" w:space="0" w:color="auto"/>
              <w:right w:val="single" w:sz="8" w:space="0" w:color="auto"/>
            </w:tcBorders>
            <w:vAlign w:val="center"/>
            <w:hideMark/>
          </w:tcPr>
          <w:p w14:paraId="741314C1" w14:textId="3D3E4DFD" w:rsidR="009E0AFE" w:rsidRPr="009F37F3" w:rsidRDefault="009E0AFE" w:rsidP="00D90AD4">
            <w:pPr>
              <w:spacing w:before="40" w:after="40"/>
              <w:jc w:val="center"/>
              <w:rPr>
                <w:sz w:val="20"/>
              </w:rPr>
            </w:pPr>
            <w:r w:rsidRPr="009F37F3">
              <w:rPr>
                <w:sz w:val="20"/>
              </w:rPr>
              <w:t>0</w:t>
            </w:r>
          </w:p>
        </w:tc>
        <w:tc>
          <w:tcPr>
            <w:tcW w:w="7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1597CB" w14:textId="1A42C837" w:rsidR="009E0AFE" w:rsidRPr="009F37F3" w:rsidRDefault="009E0AFE" w:rsidP="00D90AD4">
            <w:pPr>
              <w:spacing w:before="40" w:after="40"/>
              <w:jc w:val="center"/>
              <w:rPr>
                <w:sz w:val="20"/>
              </w:rPr>
            </w:pPr>
            <w:r w:rsidRPr="009F37F3">
              <w:rPr>
                <w:sz w:val="20"/>
              </w:rPr>
              <w:t>0</w:t>
            </w:r>
          </w:p>
        </w:tc>
        <w:tc>
          <w:tcPr>
            <w:tcW w:w="712" w:type="dxa"/>
            <w:tcBorders>
              <w:top w:val="nil"/>
              <w:left w:val="single" w:sz="8" w:space="0" w:color="auto"/>
              <w:bottom w:val="single" w:sz="4" w:space="0" w:color="auto"/>
              <w:right w:val="single" w:sz="8" w:space="0" w:color="auto"/>
            </w:tcBorders>
            <w:shd w:val="clear" w:color="auto" w:fill="AEAAAA"/>
            <w:noWrap/>
            <w:vAlign w:val="center"/>
            <w:hideMark/>
          </w:tcPr>
          <w:p w14:paraId="1B101C3D" w14:textId="34E9C8E5" w:rsidR="009E0AFE" w:rsidRPr="009F37F3" w:rsidRDefault="009E0AFE" w:rsidP="00D90AD4">
            <w:pPr>
              <w:spacing w:before="40" w:after="40"/>
              <w:jc w:val="center"/>
              <w:rPr>
                <w:b/>
                <w:bCs/>
                <w:sz w:val="20"/>
              </w:rPr>
            </w:pPr>
            <w:r w:rsidRPr="009F37F3">
              <w:rPr>
                <w:b/>
                <w:bCs/>
                <w:sz w:val="20"/>
              </w:rPr>
              <w:t>3</w:t>
            </w:r>
          </w:p>
        </w:tc>
      </w:tr>
      <w:tr w:rsidR="009E0AFE" w:rsidRPr="009F37F3" w14:paraId="654DF16F" w14:textId="77777777" w:rsidTr="006826E6">
        <w:trPr>
          <w:trHeight w:val="315"/>
          <w:jc w:val="center"/>
        </w:trPr>
        <w:tc>
          <w:tcPr>
            <w:tcW w:w="2391" w:type="dxa"/>
            <w:tcBorders>
              <w:top w:val="single" w:sz="4" w:space="0" w:color="auto"/>
              <w:left w:val="single" w:sz="8" w:space="0" w:color="auto"/>
              <w:bottom w:val="single" w:sz="4" w:space="0" w:color="auto"/>
              <w:right w:val="single" w:sz="4" w:space="0" w:color="auto"/>
            </w:tcBorders>
            <w:noWrap/>
            <w:vAlign w:val="bottom"/>
            <w:hideMark/>
          </w:tcPr>
          <w:p w14:paraId="38F14EA5" w14:textId="77777777" w:rsidR="009E0AFE" w:rsidRPr="009F37F3" w:rsidRDefault="009E0AFE" w:rsidP="00D90AD4">
            <w:pPr>
              <w:tabs>
                <w:tab w:val="clear" w:pos="567"/>
                <w:tab w:val="left" w:pos="308"/>
              </w:tabs>
              <w:spacing w:before="40" w:after="40"/>
              <w:rPr>
                <w:sz w:val="20"/>
                <w:lang w:eastAsia="zh-CN"/>
              </w:rPr>
            </w:pPr>
            <w:r w:rsidRPr="009F37F3">
              <w:rPr>
                <w:sz w:val="20"/>
                <w:lang w:eastAsia="zh-CN"/>
              </w:rPr>
              <w:tab/>
              <w:t>Closes</w:t>
            </w:r>
          </w:p>
        </w:tc>
        <w:tc>
          <w:tcPr>
            <w:tcW w:w="713" w:type="dxa"/>
            <w:tcBorders>
              <w:top w:val="single" w:sz="4" w:space="0" w:color="auto"/>
              <w:left w:val="nil"/>
              <w:bottom w:val="single" w:sz="4" w:space="0" w:color="auto"/>
              <w:right w:val="single" w:sz="4" w:space="0" w:color="auto"/>
            </w:tcBorders>
            <w:shd w:val="clear" w:color="auto" w:fill="FFFFFF"/>
            <w:noWrap/>
            <w:vAlign w:val="center"/>
            <w:hideMark/>
          </w:tcPr>
          <w:p w14:paraId="1C62E8BC" w14:textId="77777777" w:rsidR="009E0AFE" w:rsidRPr="009F37F3" w:rsidRDefault="009E0AFE" w:rsidP="00D90AD4">
            <w:pPr>
              <w:spacing w:before="40" w:after="40"/>
              <w:jc w:val="center"/>
              <w:rPr>
                <w:sz w:val="20"/>
                <w:lang w:eastAsia="zh-CN"/>
              </w:rPr>
            </w:pPr>
            <w:r w:rsidRPr="009F37F3">
              <w:rPr>
                <w:sz w:val="20"/>
                <w:lang w:eastAsia="zh-CN"/>
              </w:rPr>
              <w:t>14</w:t>
            </w:r>
          </w:p>
        </w:tc>
        <w:tc>
          <w:tcPr>
            <w:tcW w:w="628" w:type="dxa"/>
            <w:tcBorders>
              <w:top w:val="single" w:sz="4" w:space="0" w:color="auto"/>
              <w:left w:val="nil"/>
              <w:bottom w:val="single" w:sz="4" w:space="0" w:color="auto"/>
              <w:right w:val="single" w:sz="4" w:space="0" w:color="auto"/>
            </w:tcBorders>
            <w:noWrap/>
            <w:vAlign w:val="center"/>
            <w:hideMark/>
          </w:tcPr>
          <w:p w14:paraId="19873124" w14:textId="77777777" w:rsidR="009E0AFE" w:rsidRPr="009F37F3" w:rsidRDefault="009E0AFE" w:rsidP="00D90AD4">
            <w:pPr>
              <w:spacing w:before="40" w:after="40"/>
              <w:jc w:val="center"/>
              <w:rPr>
                <w:sz w:val="20"/>
                <w:lang w:eastAsia="zh-CN"/>
              </w:rPr>
            </w:pPr>
            <w:r w:rsidRPr="009F37F3">
              <w:rPr>
                <w:sz w:val="20"/>
                <w:lang w:eastAsia="zh-CN"/>
              </w:rPr>
              <w:t>–</w:t>
            </w:r>
          </w:p>
        </w:tc>
        <w:tc>
          <w:tcPr>
            <w:tcW w:w="711" w:type="dxa"/>
            <w:tcBorders>
              <w:top w:val="single" w:sz="4" w:space="0" w:color="auto"/>
              <w:left w:val="nil"/>
              <w:bottom w:val="single" w:sz="4" w:space="0" w:color="auto"/>
              <w:right w:val="single" w:sz="4" w:space="0" w:color="auto"/>
            </w:tcBorders>
            <w:shd w:val="clear" w:color="auto" w:fill="FFFFFF"/>
            <w:noWrap/>
            <w:vAlign w:val="center"/>
            <w:hideMark/>
          </w:tcPr>
          <w:p w14:paraId="7274F86F" w14:textId="58E25EE7" w:rsidR="009E0AFE" w:rsidRPr="009F37F3" w:rsidRDefault="009E0AFE" w:rsidP="00D90AD4">
            <w:pPr>
              <w:spacing w:before="40" w:after="40"/>
              <w:jc w:val="center"/>
              <w:rPr>
                <w:sz w:val="20"/>
              </w:rPr>
            </w:pPr>
            <w:r w:rsidRPr="009F37F3">
              <w:rPr>
                <w:sz w:val="20"/>
              </w:rPr>
              <w:t>109</w:t>
            </w:r>
          </w:p>
        </w:tc>
        <w:tc>
          <w:tcPr>
            <w:tcW w:w="712" w:type="dxa"/>
            <w:tcBorders>
              <w:top w:val="single" w:sz="4" w:space="0" w:color="auto"/>
              <w:left w:val="nil"/>
              <w:bottom w:val="single" w:sz="4" w:space="0" w:color="auto"/>
              <w:right w:val="nil"/>
            </w:tcBorders>
            <w:shd w:val="clear" w:color="auto" w:fill="FFFFFF"/>
            <w:noWrap/>
            <w:vAlign w:val="center"/>
            <w:hideMark/>
          </w:tcPr>
          <w:p w14:paraId="0C6BA9AC" w14:textId="14DA4EA1" w:rsidR="009E0AFE" w:rsidRPr="009F37F3" w:rsidRDefault="009E0AFE" w:rsidP="00D90AD4">
            <w:pPr>
              <w:spacing w:before="40" w:after="40"/>
              <w:jc w:val="center"/>
              <w:rPr>
                <w:sz w:val="20"/>
              </w:rPr>
            </w:pPr>
            <w:r w:rsidRPr="009F37F3">
              <w:rPr>
                <w:sz w:val="20"/>
              </w:rPr>
              <w:t>53</w:t>
            </w:r>
          </w:p>
        </w:tc>
        <w:tc>
          <w:tcPr>
            <w:tcW w:w="712" w:type="dxa"/>
            <w:tcBorders>
              <w:top w:val="single" w:sz="4" w:space="0" w:color="auto"/>
              <w:left w:val="single" w:sz="4" w:space="0" w:color="auto"/>
              <w:bottom w:val="single" w:sz="4" w:space="0" w:color="auto"/>
              <w:right w:val="nil"/>
            </w:tcBorders>
            <w:shd w:val="clear" w:color="auto" w:fill="FFFFFF"/>
            <w:noWrap/>
            <w:vAlign w:val="center"/>
            <w:hideMark/>
          </w:tcPr>
          <w:p w14:paraId="1958DBF7" w14:textId="2F908FFC" w:rsidR="009E0AFE" w:rsidRPr="009F37F3" w:rsidRDefault="009E0AFE" w:rsidP="00D90AD4">
            <w:pPr>
              <w:spacing w:before="40" w:after="40"/>
              <w:jc w:val="center"/>
              <w:rPr>
                <w:sz w:val="20"/>
              </w:rPr>
            </w:pPr>
            <w:r w:rsidRPr="009F37F3">
              <w:rPr>
                <w:sz w:val="20"/>
              </w:rPr>
              <w:t>33</w:t>
            </w:r>
          </w:p>
        </w:tc>
        <w:tc>
          <w:tcPr>
            <w:tcW w:w="712" w:type="dxa"/>
            <w:tcBorders>
              <w:top w:val="single" w:sz="4" w:space="0" w:color="auto"/>
              <w:left w:val="single" w:sz="4" w:space="0" w:color="auto"/>
              <w:bottom w:val="single" w:sz="4" w:space="0" w:color="auto"/>
              <w:right w:val="nil"/>
            </w:tcBorders>
            <w:shd w:val="clear" w:color="auto" w:fill="FFFFFF"/>
            <w:noWrap/>
            <w:vAlign w:val="center"/>
            <w:hideMark/>
          </w:tcPr>
          <w:p w14:paraId="00FB5A37" w14:textId="4175C7EF" w:rsidR="009E0AFE" w:rsidRPr="009F37F3" w:rsidRDefault="009E0AFE" w:rsidP="00D90AD4">
            <w:pPr>
              <w:spacing w:before="40" w:after="40"/>
              <w:jc w:val="center"/>
              <w:rPr>
                <w:sz w:val="20"/>
              </w:rPr>
            </w:pPr>
            <w:r w:rsidRPr="009F37F3">
              <w:rPr>
                <w:sz w:val="20"/>
              </w:rPr>
              <w:t>16</w:t>
            </w:r>
          </w:p>
        </w:tc>
        <w:tc>
          <w:tcPr>
            <w:tcW w:w="880" w:type="dxa"/>
            <w:tcBorders>
              <w:top w:val="single" w:sz="4" w:space="0" w:color="auto"/>
              <w:left w:val="single" w:sz="4" w:space="0" w:color="auto"/>
              <w:bottom w:val="single" w:sz="4" w:space="0" w:color="auto"/>
              <w:right w:val="nil"/>
            </w:tcBorders>
            <w:shd w:val="clear" w:color="auto" w:fill="FFFFFF"/>
            <w:noWrap/>
            <w:vAlign w:val="center"/>
            <w:hideMark/>
          </w:tcPr>
          <w:p w14:paraId="45C0AE65" w14:textId="04B6EBFD" w:rsidR="009E0AFE" w:rsidRPr="009F37F3" w:rsidRDefault="009E0AFE" w:rsidP="00D90AD4">
            <w:pPr>
              <w:spacing w:before="40" w:after="40"/>
              <w:jc w:val="center"/>
              <w:rPr>
                <w:sz w:val="20"/>
              </w:rPr>
            </w:pPr>
            <w:r w:rsidRPr="009F37F3">
              <w:rPr>
                <w:sz w:val="20"/>
              </w:rPr>
              <w:t>22</w:t>
            </w:r>
          </w:p>
        </w:tc>
        <w:tc>
          <w:tcPr>
            <w:tcW w:w="622" w:type="dxa"/>
            <w:tcBorders>
              <w:top w:val="single" w:sz="4" w:space="0" w:color="auto"/>
              <w:left w:val="single" w:sz="4" w:space="0" w:color="auto"/>
              <w:bottom w:val="single" w:sz="4" w:space="0" w:color="auto"/>
              <w:right w:val="single" w:sz="4" w:space="0" w:color="auto"/>
            </w:tcBorders>
            <w:vAlign w:val="center"/>
            <w:hideMark/>
          </w:tcPr>
          <w:p w14:paraId="0BEF3E4D" w14:textId="150F6673" w:rsidR="009E0AFE" w:rsidRPr="009F37F3" w:rsidRDefault="009E0AFE" w:rsidP="00D90AD4">
            <w:pPr>
              <w:spacing w:before="40" w:after="40"/>
              <w:jc w:val="center"/>
              <w:rPr>
                <w:sz w:val="20"/>
              </w:rPr>
            </w:pPr>
            <w:r w:rsidRPr="009F37F3">
              <w:rPr>
                <w:sz w:val="20"/>
              </w:rPr>
              <w:t>14</w:t>
            </w:r>
          </w:p>
        </w:tc>
        <w:tc>
          <w:tcPr>
            <w:tcW w:w="846" w:type="dxa"/>
            <w:tcBorders>
              <w:top w:val="single" w:sz="4" w:space="0" w:color="auto"/>
              <w:left w:val="single" w:sz="4" w:space="0" w:color="auto"/>
              <w:bottom w:val="single" w:sz="4" w:space="0" w:color="auto"/>
              <w:right w:val="single" w:sz="8" w:space="0" w:color="auto"/>
            </w:tcBorders>
            <w:vAlign w:val="center"/>
            <w:hideMark/>
          </w:tcPr>
          <w:p w14:paraId="7435B43C" w14:textId="68037637" w:rsidR="009E0AFE" w:rsidRPr="009F37F3" w:rsidRDefault="009E0AFE" w:rsidP="00D90AD4">
            <w:pPr>
              <w:spacing w:before="40" w:after="40"/>
              <w:jc w:val="center"/>
              <w:rPr>
                <w:sz w:val="20"/>
              </w:rPr>
            </w:pPr>
            <w:r w:rsidRPr="009F37F3">
              <w:rPr>
                <w:sz w:val="20"/>
              </w:rPr>
              <w:t>4</w:t>
            </w:r>
          </w:p>
        </w:tc>
        <w:tc>
          <w:tcPr>
            <w:tcW w:w="712" w:type="dxa"/>
            <w:tcBorders>
              <w:top w:val="single" w:sz="8" w:space="0" w:color="auto"/>
              <w:left w:val="single" w:sz="8" w:space="0" w:color="auto"/>
              <w:right w:val="single" w:sz="8" w:space="0" w:color="auto"/>
            </w:tcBorders>
            <w:shd w:val="clear" w:color="auto" w:fill="FFFFFF" w:themeFill="background1"/>
            <w:vAlign w:val="center"/>
          </w:tcPr>
          <w:p w14:paraId="4E7915BE" w14:textId="67DB0028" w:rsidR="009E0AFE" w:rsidRPr="009F37F3" w:rsidRDefault="009E0AFE" w:rsidP="00D90AD4">
            <w:pPr>
              <w:spacing w:before="40" w:after="40"/>
              <w:jc w:val="center"/>
              <w:rPr>
                <w:sz w:val="20"/>
              </w:rPr>
            </w:pPr>
            <w:r w:rsidRPr="009F37F3">
              <w:rPr>
                <w:sz w:val="20"/>
              </w:rPr>
              <w:t>5</w:t>
            </w:r>
          </w:p>
        </w:tc>
        <w:tc>
          <w:tcPr>
            <w:tcW w:w="712" w:type="dxa"/>
            <w:tcBorders>
              <w:top w:val="single" w:sz="4" w:space="0" w:color="auto"/>
              <w:left w:val="single" w:sz="8" w:space="0" w:color="auto"/>
              <w:bottom w:val="single" w:sz="4" w:space="0" w:color="auto"/>
              <w:right w:val="single" w:sz="8" w:space="0" w:color="auto"/>
            </w:tcBorders>
            <w:shd w:val="clear" w:color="auto" w:fill="AEAAAA"/>
            <w:noWrap/>
            <w:vAlign w:val="center"/>
            <w:hideMark/>
          </w:tcPr>
          <w:p w14:paraId="4B505EB4" w14:textId="7BDEADAA" w:rsidR="009E0AFE" w:rsidRPr="009F37F3" w:rsidRDefault="009E0AFE" w:rsidP="00D90AD4">
            <w:pPr>
              <w:spacing w:before="40" w:after="40"/>
              <w:jc w:val="center"/>
              <w:rPr>
                <w:b/>
                <w:bCs/>
                <w:sz w:val="20"/>
              </w:rPr>
            </w:pPr>
            <w:r w:rsidRPr="009F37F3">
              <w:rPr>
                <w:b/>
                <w:bCs/>
                <w:sz w:val="20"/>
              </w:rPr>
              <w:t>270</w:t>
            </w:r>
          </w:p>
        </w:tc>
      </w:tr>
      <w:tr w:rsidR="009E0AFE" w:rsidRPr="009F37F3" w14:paraId="3E77C692" w14:textId="77777777" w:rsidTr="006826E6">
        <w:trPr>
          <w:trHeight w:val="105"/>
          <w:jc w:val="center"/>
        </w:trPr>
        <w:tc>
          <w:tcPr>
            <w:tcW w:w="2391" w:type="dxa"/>
            <w:tcBorders>
              <w:top w:val="single" w:sz="4" w:space="0" w:color="auto"/>
              <w:bottom w:val="nil"/>
            </w:tcBorders>
          </w:tcPr>
          <w:p w14:paraId="4B956CED" w14:textId="77777777" w:rsidR="009E0AFE" w:rsidRPr="009F37F3" w:rsidRDefault="009E0AFE" w:rsidP="00D90AD4">
            <w:pPr>
              <w:rPr>
                <w:sz w:val="20"/>
                <w:lang w:eastAsia="zh-CN"/>
              </w:rPr>
            </w:pPr>
          </w:p>
        </w:tc>
        <w:tc>
          <w:tcPr>
            <w:tcW w:w="7960" w:type="dxa"/>
            <w:gridSpan w:val="11"/>
            <w:tcBorders>
              <w:top w:val="single" w:sz="4" w:space="0" w:color="auto"/>
              <w:bottom w:val="nil"/>
            </w:tcBorders>
            <w:noWrap/>
            <w:vAlign w:val="bottom"/>
            <w:hideMark/>
          </w:tcPr>
          <w:p w14:paraId="7A342B8D" w14:textId="16440C38" w:rsidR="009E0AFE" w:rsidRPr="009F37F3" w:rsidRDefault="009E0AFE" w:rsidP="00D90AD4">
            <w:pPr>
              <w:rPr>
                <w:sz w:val="20"/>
                <w:lang w:eastAsia="zh-CN"/>
              </w:rPr>
            </w:pPr>
          </w:p>
        </w:tc>
      </w:tr>
      <w:tr w:rsidR="009E0AFE" w:rsidRPr="009F37F3" w14:paraId="4B2BA9A0" w14:textId="77777777" w:rsidTr="006826E6">
        <w:trPr>
          <w:trHeight w:val="315"/>
          <w:jc w:val="center"/>
        </w:trPr>
        <w:tc>
          <w:tcPr>
            <w:tcW w:w="2391" w:type="dxa"/>
            <w:tcBorders>
              <w:top w:val="single" w:sz="8" w:space="0" w:color="auto"/>
              <w:left w:val="single" w:sz="8" w:space="0" w:color="auto"/>
              <w:bottom w:val="single" w:sz="8" w:space="0" w:color="auto"/>
              <w:right w:val="single" w:sz="4" w:space="0" w:color="auto"/>
            </w:tcBorders>
            <w:noWrap/>
            <w:vAlign w:val="bottom"/>
            <w:hideMark/>
          </w:tcPr>
          <w:p w14:paraId="14099CBE" w14:textId="77777777" w:rsidR="009E0AFE" w:rsidRPr="009F37F3" w:rsidRDefault="009E0AFE" w:rsidP="00D90AD4">
            <w:pPr>
              <w:spacing w:before="40" w:after="40"/>
              <w:rPr>
                <w:sz w:val="20"/>
                <w:lang w:eastAsia="zh-CN"/>
              </w:rPr>
            </w:pPr>
            <w:r w:rsidRPr="009F37F3">
              <w:rPr>
                <w:sz w:val="20"/>
                <w:lang w:eastAsia="zh-CN"/>
              </w:rPr>
              <w:t>% de recommandations en cours</w:t>
            </w:r>
          </w:p>
        </w:tc>
        <w:tc>
          <w:tcPr>
            <w:tcW w:w="713" w:type="dxa"/>
            <w:tcBorders>
              <w:top w:val="single" w:sz="8" w:space="0" w:color="auto"/>
              <w:left w:val="nil"/>
              <w:bottom w:val="single" w:sz="8" w:space="0" w:color="auto"/>
              <w:right w:val="single" w:sz="4" w:space="0" w:color="auto"/>
            </w:tcBorders>
            <w:noWrap/>
            <w:vAlign w:val="center"/>
            <w:hideMark/>
          </w:tcPr>
          <w:p w14:paraId="4FCEE65C" w14:textId="77777777" w:rsidR="009E0AFE" w:rsidRPr="009F37F3" w:rsidRDefault="009E0AFE" w:rsidP="00D90AD4">
            <w:pPr>
              <w:spacing w:before="40" w:after="40"/>
              <w:jc w:val="center"/>
              <w:rPr>
                <w:sz w:val="20"/>
                <w:lang w:eastAsia="zh-CN"/>
              </w:rPr>
            </w:pPr>
            <w:r w:rsidRPr="009F37F3">
              <w:rPr>
                <w:sz w:val="20"/>
                <w:lang w:eastAsia="zh-CN"/>
              </w:rPr>
              <w:t>0%</w:t>
            </w:r>
          </w:p>
        </w:tc>
        <w:tc>
          <w:tcPr>
            <w:tcW w:w="628" w:type="dxa"/>
            <w:tcBorders>
              <w:top w:val="single" w:sz="8" w:space="0" w:color="auto"/>
              <w:left w:val="nil"/>
              <w:bottom w:val="single" w:sz="8" w:space="0" w:color="auto"/>
              <w:right w:val="single" w:sz="4" w:space="0" w:color="auto"/>
            </w:tcBorders>
            <w:noWrap/>
            <w:vAlign w:val="center"/>
            <w:hideMark/>
          </w:tcPr>
          <w:p w14:paraId="4F68403F" w14:textId="77777777" w:rsidR="009E0AFE" w:rsidRPr="009F37F3" w:rsidRDefault="009E0AFE" w:rsidP="00D90AD4">
            <w:pPr>
              <w:spacing w:before="40" w:after="40"/>
              <w:jc w:val="center"/>
              <w:rPr>
                <w:sz w:val="20"/>
                <w:lang w:eastAsia="zh-CN"/>
              </w:rPr>
            </w:pPr>
            <w:r w:rsidRPr="009F37F3">
              <w:rPr>
                <w:sz w:val="20"/>
                <w:lang w:eastAsia="zh-CN"/>
              </w:rPr>
              <w:t>–</w:t>
            </w:r>
          </w:p>
        </w:tc>
        <w:tc>
          <w:tcPr>
            <w:tcW w:w="711" w:type="dxa"/>
            <w:tcBorders>
              <w:top w:val="single" w:sz="8" w:space="0" w:color="auto"/>
              <w:left w:val="nil"/>
              <w:bottom w:val="single" w:sz="8" w:space="0" w:color="auto"/>
              <w:right w:val="single" w:sz="4" w:space="0" w:color="auto"/>
            </w:tcBorders>
            <w:noWrap/>
            <w:vAlign w:val="center"/>
            <w:hideMark/>
          </w:tcPr>
          <w:p w14:paraId="6D758F25" w14:textId="4C2F7C08" w:rsidR="009E0AFE" w:rsidRPr="009F37F3" w:rsidRDefault="009E0AFE" w:rsidP="00D90AD4">
            <w:pPr>
              <w:spacing w:before="40" w:after="40"/>
              <w:jc w:val="center"/>
              <w:rPr>
                <w:sz w:val="20"/>
              </w:rPr>
            </w:pPr>
            <w:r w:rsidRPr="009F37F3">
              <w:rPr>
                <w:sz w:val="20"/>
              </w:rPr>
              <w:t>4%</w:t>
            </w:r>
          </w:p>
        </w:tc>
        <w:tc>
          <w:tcPr>
            <w:tcW w:w="712" w:type="dxa"/>
            <w:tcBorders>
              <w:top w:val="single" w:sz="8" w:space="0" w:color="auto"/>
              <w:left w:val="nil"/>
              <w:bottom w:val="single" w:sz="8" w:space="0" w:color="auto"/>
              <w:right w:val="single" w:sz="4" w:space="0" w:color="auto"/>
            </w:tcBorders>
            <w:noWrap/>
            <w:vAlign w:val="center"/>
            <w:hideMark/>
          </w:tcPr>
          <w:p w14:paraId="52016B9C" w14:textId="68F72806" w:rsidR="009E0AFE" w:rsidRPr="009F37F3" w:rsidRDefault="009E0AFE" w:rsidP="00D90AD4">
            <w:pPr>
              <w:spacing w:before="40" w:after="40"/>
              <w:jc w:val="center"/>
              <w:rPr>
                <w:sz w:val="20"/>
              </w:rPr>
            </w:pPr>
            <w:r w:rsidRPr="009F37F3">
              <w:rPr>
                <w:sz w:val="20"/>
              </w:rPr>
              <w:t>4%</w:t>
            </w:r>
          </w:p>
        </w:tc>
        <w:tc>
          <w:tcPr>
            <w:tcW w:w="712" w:type="dxa"/>
            <w:tcBorders>
              <w:top w:val="single" w:sz="8" w:space="0" w:color="auto"/>
              <w:left w:val="nil"/>
              <w:bottom w:val="single" w:sz="8" w:space="0" w:color="auto"/>
              <w:right w:val="single" w:sz="4" w:space="0" w:color="auto"/>
            </w:tcBorders>
            <w:noWrap/>
            <w:vAlign w:val="center"/>
            <w:hideMark/>
          </w:tcPr>
          <w:p w14:paraId="1B8A328A" w14:textId="34E070F4" w:rsidR="009E0AFE" w:rsidRPr="009F37F3" w:rsidRDefault="009E0AFE" w:rsidP="00D90AD4">
            <w:pPr>
              <w:spacing w:before="40" w:after="40"/>
              <w:jc w:val="center"/>
              <w:rPr>
                <w:sz w:val="20"/>
              </w:rPr>
            </w:pPr>
            <w:r w:rsidRPr="009F37F3">
              <w:rPr>
                <w:sz w:val="20"/>
              </w:rPr>
              <w:t>3%</w:t>
            </w:r>
          </w:p>
        </w:tc>
        <w:tc>
          <w:tcPr>
            <w:tcW w:w="712" w:type="dxa"/>
            <w:tcBorders>
              <w:top w:val="single" w:sz="8" w:space="0" w:color="auto"/>
              <w:left w:val="nil"/>
              <w:bottom w:val="single" w:sz="8" w:space="0" w:color="auto"/>
              <w:right w:val="single" w:sz="4" w:space="0" w:color="auto"/>
            </w:tcBorders>
            <w:noWrap/>
            <w:vAlign w:val="center"/>
            <w:hideMark/>
          </w:tcPr>
          <w:p w14:paraId="1FC19D12" w14:textId="18213915" w:rsidR="009E0AFE" w:rsidRPr="009F37F3" w:rsidRDefault="009E0AFE" w:rsidP="00D90AD4">
            <w:pPr>
              <w:spacing w:before="40" w:after="40"/>
              <w:jc w:val="center"/>
              <w:rPr>
                <w:sz w:val="20"/>
              </w:rPr>
            </w:pPr>
            <w:r w:rsidRPr="009F37F3">
              <w:rPr>
                <w:sz w:val="20"/>
              </w:rPr>
              <w:t>27%</w:t>
            </w:r>
          </w:p>
        </w:tc>
        <w:tc>
          <w:tcPr>
            <w:tcW w:w="880" w:type="dxa"/>
            <w:tcBorders>
              <w:top w:val="single" w:sz="8" w:space="0" w:color="auto"/>
              <w:left w:val="nil"/>
              <w:bottom w:val="single" w:sz="8" w:space="0" w:color="auto"/>
              <w:right w:val="nil"/>
            </w:tcBorders>
            <w:noWrap/>
            <w:vAlign w:val="center"/>
            <w:hideMark/>
          </w:tcPr>
          <w:p w14:paraId="61B37336" w14:textId="4D808D75" w:rsidR="009E0AFE" w:rsidRPr="009F37F3" w:rsidRDefault="009E0AFE" w:rsidP="00D90AD4">
            <w:pPr>
              <w:spacing w:before="40" w:after="40"/>
              <w:jc w:val="center"/>
              <w:rPr>
                <w:sz w:val="20"/>
              </w:rPr>
            </w:pPr>
            <w:r w:rsidRPr="009F37F3">
              <w:rPr>
                <w:sz w:val="20"/>
              </w:rPr>
              <w:t>27%</w:t>
            </w:r>
          </w:p>
        </w:tc>
        <w:tc>
          <w:tcPr>
            <w:tcW w:w="622" w:type="dxa"/>
            <w:tcBorders>
              <w:top w:val="single" w:sz="8" w:space="0" w:color="auto"/>
              <w:left w:val="single" w:sz="4" w:space="0" w:color="auto"/>
              <w:bottom w:val="single" w:sz="8" w:space="0" w:color="auto"/>
              <w:right w:val="single" w:sz="4" w:space="0" w:color="auto"/>
            </w:tcBorders>
            <w:vAlign w:val="center"/>
            <w:hideMark/>
          </w:tcPr>
          <w:p w14:paraId="3C57B6E2" w14:textId="6F0D35BD" w:rsidR="009E0AFE" w:rsidRPr="009F37F3" w:rsidRDefault="009E0AFE" w:rsidP="00D90AD4">
            <w:pPr>
              <w:spacing w:before="40" w:after="40"/>
              <w:jc w:val="center"/>
              <w:rPr>
                <w:sz w:val="20"/>
              </w:rPr>
            </w:pPr>
            <w:r w:rsidRPr="009F37F3">
              <w:rPr>
                <w:sz w:val="20"/>
              </w:rPr>
              <w:t>46%</w:t>
            </w:r>
          </w:p>
        </w:tc>
        <w:tc>
          <w:tcPr>
            <w:tcW w:w="846" w:type="dxa"/>
            <w:tcBorders>
              <w:top w:val="single" w:sz="8" w:space="0" w:color="auto"/>
              <w:left w:val="single" w:sz="4" w:space="0" w:color="auto"/>
              <w:bottom w:val="single" w:sz="8" w:space="0" w:color="auto"/>
              <w:right w:val="single" w:sz="4" w:space="0" w:color="auto"/>
            </w:tcBorders>
            <w:vAlign w:val="center"/>
            <w:hideMark/>
          </w:tcPr>
          <w:p w14:paraId="0C0FD4E5" w14:textId="15D12E92" w:rsidR="009E0AFE" w:rsidRPr="009F37F3" w:rsidRDefault="009E0AFE" w:rsidP="00D90AD4">
            <w:pPr>
              <w:spacing w:before="40" w:after="40"/>
              <w:jc w:val="center"/>
              <w:rPr>
                <w:sz w:val="20"/>
              </w:rPr>
            </w:pPr>
            <w:r w:rsidRPr="009F37F3">
              <w:rPr>
                <w:sz w:val="20"/>
              </w:rPr>
              <w:t>73%</w:t>
            </w:r>
          </w:p>
        </w:tc>
        <w:tc>
          <w:tcPr>
            <w:tcW w:w="71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670E78D0" w14:textId="14F4662B" w:rsidR="009E0AFE" w:rsidRPr="009F37F3" w:rsidRDefault="009E0AFE" w:rsidP="00D90AD4">
            <w:pPr>
              <w:spacing w:before="40" w:after="40"/>
              <w:jc w:val="center"/>
              <w:rPr>
                <w:sz w:val="20"/>
              </w:rPr>
            </w:pPr>
            <w:r w:rsidRPr="009F37F3">
              <w:rPr>
                <w:sz w:val="20"/>
              </w:rPr>
              <w:t>44%</w:t>
            </w:r>
          </w:p>
        </w:tc>
        <w:tc>
          <w:tcPr>
            <w:tcW w:w="712" w:type="dxa"/>
            <w:tcBorders>
              <w:top w:val="single" w:sz="8" w:space="0" w:color="auto"/>
              <w:left w:val="single" w:sz="4" w:space="0" w:color="auto"/>
              <w:bottom w:val="single" w:sz="8" w:space="0" w:color="auto"/>
              <w:right w:val="single" w:sz="8" w:space="0" w:color="auto"/>
            </w:tcBorders>
            <w:shd w:val="clear" w:color="auto" w:fill="AEAAAA"/>
            <w:noWrap/>
            <w:vAlign w:val="center"/>
            <w:hideMark/>
          </w:tcPr>
          <w:p w14:paraId="56671208" w14:textId="44A1242B" w:rsidR="009E0AFE" w:rsidRPr="009F37F3" w:rsidRDefault="009E0AFE" w:rsidP="00D90AD4">
            <w:pPr>
              <w:spacing w:before="40" w:after="40"/>
              <w:jc w:val="center"/>
              <w:rPr>
                <w:b/>
                <w:bCs/>
                <w:sz w:val="20"/>
              </w:rPr>
            </w:pPr>
            <w:r w:rsidRPr="009F37F3">
              <w:rPr>
                <w:b/>
                <w:bCs/>
                <w:sz w:val="20"/>
              </w:rPr>
              <w:t>15%</w:t>
            </w:r>
          </w:p>
        </w:tc>
      </w:tr>
      <w:tr w:rsidR="009E0AFE" w:rsidRPr="009F37F3" w14:paraId="055E1A42" w14:textId="77777777" w:rsidTr="006826E6">
        <w:trPr>
          <w:trHeight w:val="315"/>
          <w:jc w:val="center"/>
        </w:trPr>
        <w:tc>
          <w:tcPr>
            <w:tcW w:w="2391" w:type="dxa"/>
            <w:tcBorders>
              <w:top w:val="nil"/>
              <w:left w:val="single" w:sz="8" w:space="0" w:color="auto"/>
              <w:bottom w:val="single" w:sz="8" w:space="0" w:color="auto"/>
              <w:right w:val="single" w:sz="4" w:space="0" w:color="auto"/>
            </w:tcBorders>
            <w:noWrap/>
            <w:vAlign w:val="bottom"/>
            <w:hideMark/>
          </w:tcPr>
          <w:p w14:paraId="65174E77" w14:textId="77777777" w:rsidR="009E0AFE" w:rsidRPr="009F37F3" w:rsidRDefault="009E0AFE" w:rsidP="00D90AD4">
            <w:pPr>
              <w:spacing w:before="40" w:after="40"/>
              <w:rPr>
                <w:sz w:val="20"/>
                <w:lang w:eastAsia="zh-CN"/>
              </w:rPr>
            </w:pPr>
            <w:r w:rsidRPr="009F37F3">
              <w:rPr>
                <w:sz w:val="20"/>
                <w:lang w:eastAsia="zh-CN"/>
              </w:rPr>
              <w:t>% de recommandations retardées</w:t>
            </w:r>
          </w:p>
        </w:tc>
        <w:tc>
          <w:tcPr>
            <w:tcW w:w="713" w:type="dxa"/>
            <w:tcBorders>
              <w:top w:val="nil"/>
              <w:left w:val="nil"/>
              <w:bottom w:val="single" w:sz="8" w:space="0" w:color="auto"/>
              <w:right w:val="single" w:sz="4" w:space="0" w:color="auto"/>
            </w:tcBorders>
            <w:noWrap/>
            <w:vAlign w:val="center"/>
            <w:hideMark/>
          </w:tcPr>
          <w:p w14:paraId="4A2A2849" w14:textId="77777777" w:rsidR="009E0AFE" w:rsidRPr="009F37F3" w:rsidRDefault="009E0AFE" w:rsidP="00D90AD4">
            <w:pPr>
              <w:spacing w:before="40" w:after="40"/>
              <w:jc w:val="center"/>
              <w:rPr>
                <w:sz w:val="20"/>
                <w:lang w:eastAsia="zh-CN"/>
              </w:rPr>
            </w:pPr>
            <w:r w:rsidRPr="009F37F3">
              <w:rPr>
                <w:sz w:val="20"/>
                <w:lang w:eastAsia="zh-CN"/>
              </w:rPr>
              <w:t>18%</w:t>
            </w:r>
          </w:p>
        </w:tc>
        <w:tc>
          <w:tcPr>
            <w:tcW w:w="628" w:type="dxa"/>
            <w:tcBorders>
              <w:top w:val="nil"/>
              <w:left w:val="nil"/>
              <w:bottom w:val="single" w:sz="8" w:space="0" w:color="auto"/>
              <w:right w:val="single" w:sz="4" w:space="0" w:color="auto"/>
            </w:tcBorders>
            <w:noWrap/>
            <w:vAlign w:val="center"/>
            <w:hideMark/>
          </w:tcPr>
          <w:p w14:paraId="4E58586D" w14:textId="77777777" w:rsidR="009E0AFE" w:rsidRPr="009F37F3" w:rsidRDefault="009E0AFE" w:rsidP="00D90AD4">
            <w:pPr>
              <w:spacing w:before="40" w:after="40"/>
              <w:jc w:val="center"/>
              <w:rPr>
                <w:sz w:val="20"/>
                <w:lang w:eastAsia="zh-CN"/>
              </w:rPr>
            </w:pPr>
            <w:r w:rsidRPr="009F37F3">
              <w:rPr>
                <w:sz w:val="20"/>
                <w:lang w:eastAsia="zh-CN"/>
              </w:rPr>
              <w:t>–</w:t>
            </w:r>
          </w:p>
        </w:tc>
        <w:tc>
          <w:tcPr>
            <w:tcW w:w="711" w:type="dxa"/>
            <w:tcBorders>
              <w:top w:val="nil"/>
              <w:left w:val="nil"/>
              <w:bottom w:val="single" w:sz="8" w:space="0" w:color="auto"/>
              <w:right w:val="single" w:sz="4" w:space="0" w:color="auto"/>
            </w:tcBorders>
            <w:shd w:val="clear" w:color="auto" w:fill="FFFFFF"/>
            <w:noWrap/>
            <w:vAlign w:val="center"/>
            <w:hideMark/>
          </w:tcPr>
          <w:p w14:paraId="2E453A9F" w14:textId="061C6F5E" w:rsidR="009E0AFE" w:rsidRPr="009F37F3" w:rsidRDefault="009E0AFE" w:rsidP="00D90AD4">
            <w:pPr>
              <w:spacing w:before="40" w:after="40"/>
              <w:jc w:val="center"/>
              <w:rPr>
                <w:sz w:val="20"/>
              </w:rPr>
            </w:pPr>
            <w:r w:rsidRPr="009F37F3">
              <w:rPr>
                <w:sz w:val="20"/>
              </w:rPr>
              <w:t>0%</w:t>
            </w:r>
          </w:p>
        </w:tc>
        <w:tc>
          <w:tcPr>
            <w:tcW w:w="712" w:type="dxa"/>
            <w:tcBorders>
              <w:top w:val="nil"/>
              <w:left w:val="nil"/>
              <w:bottom w:val="single" w:sz="8" w:space="0" w:color="auto"/>
              <w:right w:val="single" w:sz="4" w:space="0" w:color="auto"/>
            </w:tcBorders>
            <w:shd w:val="clear" w:color="auto" w:fill="FFFFFF"/>
            <w:noWrap/>
            <w:vAlign w:val="center"/>
            <w:hideMark/>
          </w:tcPr>
          <w:p w14:paraId="30E6A441" w14:textId="0A54E848" w:rsidR="009E0AFE" w:rsidRPr="009F37F3" w:rsidRDefault="009E0AFE" w:rsidP="00D90AD4">
            <w:pPr>
              <w:spacing w:before="40" w:after="40"/>
              <w:jc w:val="center"/>
              <w:rPr>
                <w:sz w:val="20"/>
              </w:rPr>
            </w:pPr>
            <w:r w:rsidRPr="009F37F3">
              <w:rPr>
                <w:sz w:val="20"/>
              </w:rPr>
              <w:t>0%</w:t>
            </w:r>
          </w:p>
        </w:tc>
        <w:tc>
          <w:tcPr>
            <w:tcW w:w="712" w:type="dxa"/>
            <w:tcBorders>
              <w:top w:val="nil"/>
              <w:left w:val="nil"/>
              <w:bottom w:val="single" w:sz="8" w:space="0" w:color="auto"/>
              <w:right w:val="single" w:sz="4" w:space="0" w:color="auto"/>
            </w:tcBorders>
            <w:noWrap/>
            <w:vAlign w:val="center"/>
            <w:hideMark/>
          </w:tcPr>
          <w:p w14:paraId="1B3817D3" w14:textId="53BD630E" w:rsidR="009E0AFE" w:rsidRPr="009F37F3" w:rsidRDefault="009E0AFE" w:rsidP="00D90AD4">
            <w:pPr>
              <w:spacing w:before="40" w:after="40"/>
              <w:jc w:val="center"/>
              <w:rPr>
                <w:sz w:val="20"/>
              </w:rPr>
            </w:pPr>
            <w:r w:rsidRPr="009F37F3">
              <w:rPr>
                <w:sz w:val="20"/>
              </w:rPr>
              <w:t>0%</w:t>
            </w:r>
          </w:p>
        </w:tc>
        <w:tc>
          <w:tcPr>
            <w:tcW w:w="712" w:type="dxa"/>
            <w:tcBorders>
              <w:top w:val="nil"/>
              <w:left w:val="nil"/>
              <w:bottom w:val="single" w:sz="8" w:space="0" w:color="auto"/>
              <w:right w:val="single" w:sz="4" w:space="0" w:color="auto"/>
            </w:tcBorders>
            <w:noWrap/>
            <w:vAlign w:val="center"/>
            <w:hideMark/>
          </w:tcPr>
          <w:p w14:paraId="51F6B4B2" w14:textId="19E051E8" w:rsidR="009E0AFE" w:rsidRPr="009F37F3" w:rsidRDefault="009E0AFE" w:rsidP="00D90AD4">
            <w:pPr>
              <w:spacing w:before="40" w:after="40"/>
              <w:jc w:val="center"/>
              <w:rPr>
                <w:sz w:val="20"/>
              </w:rPr>
            </w:pPr>
            <w:r w:rsidRPr="009F37F3">
              <w:rPr>
                <w:sz w:val="20"/>
              </w:rPr>
              <w:t>0%</w:t>
            </w:r>
          </w:p>
        </w:tc>
        <w:tc>
          <w:tcPr>
            <w:tcW w:w="880" w:type="dxa"/>
            <w:tcBorders>
              <w:top w:val="nil"/>
              <w:left w:val="nil"/>
              <w:bottom w:val="single" w:sz="8" w:space="0" w:color="auto"/>
              <w:right w:val="nil"/>
            </w:tcBorders>
            <w:noWrap/>
            <w:vAlign w:val="center"/>
            <w:hideMark/>
          </w:tcPr>
          <w:p w14:paraId="007EEF9A" w14:textId="633DF54D" w:rsidR="009E0AFE" w:rsidRPr="009F37F3" w:rsidRDefault="009E0AFE" w:rsidP="00D90AD4">
            <w:pPr>
              <w:spacing w:before="40" w:after="40"/>
              <w:jc w:val="center"/>
              <w:rPr>
                <w:sz w:val="20"/>
              </w:rPr>
            </w:pPr>
            <w:r w:rsidRPr="009F37F3">
              <w:rPr>
                <w:sz w:val="20"/>
              </w:rPr>
              <w:t>0%</w:t>
            </w:r>
          </w:p>
        </w:tc>
        <w:tc>
          <w:tcPr>
            <w:tcW w:w="622" w:type="dxa"/>
            <w:tcBorders>
              <w:top w:val="nil"/>
              <w:left w:val="single" w:sz="4" w:space="0" w:color="auto"/>
              <w:bottom w:val="single" w:sz="8" w:space="0" w:color="auto"/>
              <w:right w:val="single" w:sz="4" w:space="0" w:color="auto"/>
            </w:tcBorders>
            <w:vAlign w:val="center"/>
            <w:hideMark/>
          </w:tcPr>
          <w:p w14:paraId="20BA9FBE" w14:textId="09D827DB" w:rsidR="009E0AFE" w:rsidRPr="009F37F3" w:rsidRDefault="009E0AFE" w:rsidP="00D90AD4">
            <w:pPr>
              <w:spacing w:before="40" w:after="40"/>
              <w:jc w:val="center"/>
              <w:rPr>
                <w:sz w:val="20"/>
              </w:rPr>
            </w:pPr>
            <w:r w:rsidRPr="009F37F3">
              <w:rPr>
                <w:sz w:val="20"/>
              </w:rPr>
              <w:t>0%</w:t>
            </w:r>
          </w:p>
        </w:tc>
        <w:tc>
          <w:tcPr>
            <w:tcW w:w="846" w:type="dxa"/>
            <w:tcBorders>
              <w:top w:val="nil"/>
              <w:left w:val="single" w:sz="4" w:space="0" w:color="auto"/>
              <w:bottom w:val="single" w:sz="8" w:space="0" w:color="auto"/>
              <w:right w:val="single" w:sz="4" w:space="0" w:color="auto"/>
            </w:tcBorders>
            <w:vAlign w:val="center"/>
            <w:hideMark/>
          </w:tcPr>
          <w:p w14:paraId="328F09BA" w14:textId="229DF48D" w:rsidR="009E0AFE" w:rsidRPr="009F37F3" w:rsidRDefault="009E0AFE" w:rsidP="00D90AD4">
            <w:pPr>
              <w:spacing w:before="40" w:after="40"/>
              <w:jc w:val="center"/>
              <w:rPr>
                <w:sz w:val="20"/>
              </w:rPr>
            </w:pPr>
            <w:r w:rsidRPr="009F37F3">
              <w:rPr>
                <w:sz w:val="20"/>
              </w:rPr>
              <w:t>0%</w:t>
            </w:r>
          </w:p>
        </w:tc>
        <w:tc>
          <w:tcPr>
            <w:tcW w:w="71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2863F533" w14:textId="20BB8297" w:rsidR="009E0AFE" w:rsidRPr="009F37F3" w:rsidRDefault="009E0AFE" w:rsidP="00D90AD4">
            <w:pPr>
              <w:spacing w:before="40" w:after="40"/>
              <w:jc w:val="center"/>
              <w:rPr>
                <w:sz w:val="20"/>
              </w:rPr>
            </w:pPr>
            <w:r w:rsidRPr="009F37F3">
              <w:rPr>
                <w:sz w:val="20"/>
              </w:rPr>
              <w:t>0%</w:t>
            </w:r>
          </w:p>
        </w:tc>
        <w:tc>
          <w:tcPr>
            <w:tcW w:w="712" w:type="dxa"/>
            <w:tcBorders>
              <w:top w:val="nil"/>
              <w:left w:val="single" w:sz="4" w:space="0" w:color="auto"/>
              <w:bottom w:val="single" w:sz="8" w:space="0" w:color="auto"/>
              <w:right w:val="single" w:sz="8" w:space="0" w:color="auto"/>
            </w:tcBorders>
            <w:shd w:val="clear" w:color="auto" w:fill="AEAAAA"/>
            <w:noWrap/>
            <w:vAlign w:val="center"/>
            <w:hideMark/>
          </w:tcPr>
          <w:p w14:paraId="3474F169" w14:textId="59FE11FC" w:rsidR="009E0AFE" w:rsidRPr="009F37F3" w:rsidRDefault="009E0AFE" w:rsidP="00D90AD4">
            <w:pPr>
              <w:spacing w:before="40" w:after="40"/>
              <w:jc w:val="center"/>
              <w:rPr>
                <w:b/>
                <w:bCs/>
                <w:sz w:val="20"/>
              </w:rPr>
            </w:pPr>
            <w:r w:rsidRPr="009F37F3">
              <w:rPr>
                <w:b/>
                <w:bCs/>
                <w:sz w:val="20"/>
              </w:rPr>
              <w:t>1%</w:t>
            </w:r>
          </w:p>
        </w:tc>
      </w:tr>
      <w:tr w:rsidR="009E0AFE" w:rsidRPr="009F37F3" w14:paraId="33700E8D" w14:textId="77777777" w:rsidTr="006826E6">
        <w:trPr>
          <w:trHeight w:val="315"/>
          <w:jc w:val="center"/>
        </w:trPr>
        <w:tc>
          <w:tcPr>
            <w:tcW w:w="2391" w:type="dxa"/>
            <w:tcBorders>
              <w:top w:val="single" w:sz="8" w:space="0" w:color="auto"/>
              <w:left w:val="single" w:sz="8" w:space="0" w:color="auto"/>
              <w:bottom w:val="single" w:sz="4" w:space="0" w:color="auto"/>
              <w:right w:val="single" w:sz="4" w:space="0" w:color="auto"/>
            </w:tcBorders>
            <w:noWrap/>
            <w:vAlign w:val="bottom"/>
            <w:hideMark/>
          </w:tcPr>
          <w:p w14:paraId="06220E4A" w14:textId="77777777" w:rsidR="009E0AFE" w:rsidRPr="009F37F3" w:rsidRDefault="009E0AFE" w:rsidP="00D90AD4">
            <w:pPr>
              <w:spacing w:before="40" w:after="40"/>
              <w:rPr>
                <w:sz w:val="20"/>
                <w:lang w:eastAsia="zh-CN"/>
              </w:rPr>
            </w:pPr>
            <w:r w:rsidRPr="009F37F3">
              <w:rPr>
                <w:sz w:val="20"/>
                <w:lang w:eastAsia="zh-CN"/>
              </w:rPr>
              <w:t>% de recommandations closes</w:t>
            </w:r>
          </w:p>
        </w:tc>
        <w:tc>
          <w:tcPr>
            <w:tcW w:w="713" w:type="dxa"/>
            <w:tcBorders>
              <w:top w:val="single" w:sz="8" w:space="0" w:color="auto"/>
              <w:left w:val="nil"/>
              <w:bottom w:val="single" w:sz="4" w:space="0" w:color="auto"/>
              <w:right w:val="single" w:sz="4" w:space="0" w:color="auto"/>
            </w:tcBorders>
            <w:noWrap/>
            <w:vAlign w:val="center"/>
            <w:hideMark/>
          </w:tcPr>
          <w:p w14:paraId="638AE078" w14:textId="77777777" w:rsidR="009E0AFE" w:rsidRPr="009F37F3" w:rsidRDefault="009E0AFE" w:rsidP="00D90AD4">
            <w:pPr>
              <w:spacing w:before="40" w:after="40"/>
              <w:jc w:val="center"/>
              <w:rPr>
                <w:sz w:val="20"/>
                <w:lang w:eastAsia="zh-CN"/>
              </w:rPr>
            </w:pPr>
            <w:r w:rsidRPr="009F37F3">
              <w:rPr>
                <w:sz w:val="20"/>
                <w:lang w:eastAsia="zh-CN"/>
              </w:rPr>
              <w:t>82%</w:t>
            </w:r>
          </w:p>
        </w:tc>
        <w:tc>
          <w:tcPr>
            <w:tcW w:w="628" w:type="dxa"/>
            <w:tcBorders>
              <w:top w:val="single" w:sz="8" w:space="0" w:color="auto"/>
              <w:left w:val="nil"/>
              <w:bottom w:val="single" w:sz="4" w:space="0" w:color="auto"/>
              <w:right w:val="single" w:sz="4" w:space="0" w:color="auto"/>
            </w:tcBorders>
            <w:noWrap/>
            <w:vAlign w:val="center"/>
            <w:hideMark/>
          </w:tcPr>
          <w:p w14:paraId="61D24AE6" w14:textId="77777777" w:rsidR="009E0AFE" w:rsidRPr="009F37F3" w:rsidRDefault="009E0AFE" w:rsidP="00D90AD4">
            <w:pPr>
              <w:spacing w:before="40" w:after="40"/>
              <w:jc w:val="center"/>
              <w:rPr>
                <w:sz w:val="20"/>
                <w:lang w:eastAsia="zh-CN"/>
              </w:rPr>
            </w:pPr>
            <w:r w:rsidRPr="009F37F3">
              <w:rPr>
                <w:sz w:val="20"/>
                <w:lang w:eastAsia="zh-CN"/>
              </w:rPr>
              <w:t>–</w:t>
            </w:r>
          </w:p>
        </w:tc>
        <w:tc>
          <w:tcPr>
            <w:tcW w:w="711" w:type="dxa"/>
            <w:tcBorders>
              <w:top w:val="single" w:sz="8" w:space="0" w:color="auto"/>
              <w:left w:val="nil"/>
              <w:bottom w:val="single" w:sz="4" w:space="0" w:color="auto"/>
              <w:right w:val="single" w:sz="4" w:space="0" w:color="auto"/>
            </w:tcBorders>
            <w:noWrap/>
            <w:vAlign w:val="center"/>
            <w:hideMark/>
          </w:tcPr>
          <w:p w14:paraId="5B903FE8" w14:textId="69C0EA8A" w:rsidR="009E0AFE" w:rsidRPr="009F37F3" w:rsidRDefault="009E0AFE" w:rsidP="00D90AD4">
            <w:pPr>
              <w:spacing w:before="40" w:after="40"/>
              <w:jc w:val="center"/>
              <w:rPr>
                <w:sz w:val="20"/>
              </w:rPr>
            </w:pPr>
            <w:r w:rsidRPr="009F37F3">
              <w:rPr>
                <w:sz w:val="20"/>
              </w:rPr>
              <w:t>96%</w:t>
            </w:r>
          </w:p>
        </w:tc>
        <w:tc>
          <w:tcPr>
            <w:tcW w:w="712" w:type="dxa"/>
            <w:tcBorders>
              <w:top w:val="single" w:sz="8" w:space="0" w:color="auto"/>
              <w:left w:val="nil"/>
              <w:bottom w:val="single" w:sz="4" w:space="0" w:color="auto"/>
              <w:right w:val="single" w:sz="4" w:space="0" w:color="auto"/>
            </w:tcBorders>
            <w:noWrap/>
            <w:vAlign w:val="center"/>
            <w:hideMark/>
          </w:tcPr>
          <w:p w14:paraId="47F085C4" w14:textId="7FE56D1D" w:rsidR="009E0AFE" w:rsidRPr="009F37F3" w:rsidRDefault="009E0AFE" w:rsidP="00D90AD4">
            <w:pPr>
              <w:spacing w:before="40" w:after="40"/>
              <w:jc w:val="center"/>
              <w:rPr>
                <w:sz w:val="20"/>
              </w:rPr>
            </w:pPr>
            <w:r w:rsidRPr="009F37F3">
              <w:rPr>
                <w:sz w:val="20"/>
              </w:rPr>
              <w:t>96%</w:t>
            </w:r>
          </w:p>
        </w:tc>
        <w:tc>
          <w:tcPr>
            <w:tcW w:w="712" w:type="dxa"/>
            <w:tcBorders>
              <w:top w:val="single" w:sz="8" w:space="0" w:color="auto"/>
              <w:left w:val="nil"/>
              <w:bottom w:val="single" w:sz="4" w:space="0" w:color="auto"/>
              <w:right w:val="single" w:sz="4" w:space="0" w:color="auto"/>
            </w:tcBorders>
            <w:noWrap/>
            <w:vAlign w:val="center"/>
            <w:hideMark/>
          </w:tcPr>
          <w:p w14:paraId="71488BEA" w14:textId="235B2ED3" w:rsidR="009E0AFE" w:rsidRPr="009F37F3" w:rsidRDefault="009E0AFE" w:rsidP="00D90AD4">
            <w:pPr>
              <w:spacing w:before="40" w:after="40"/>
              <w:jc w:val="center"/>
              <w:rPr>
                <w:sz w:val="20"/>
              </w:rPr>
            </w:pPr>
            <w:r w:rsidRPr="009F37F3">
              <w:rPr>
                <w:sz w:val="20"/>
              </w:rPr>
              <w:t>97%</w:t>
            </w:r>
          </w:p>
        </w:tc>
        <w:tc>
          <w:tcPr>
            <w:tcW w:w="712" w:type="dxa"/>
            <w:tcBorders>
              <w:top w:val="single" w:sz="8" w:space="0" w:color="auto"/>
              <w:left w:val="nil"/>
              <w:bottom w:val="single" w:sz="4" w:space="0" w:color="auto"/>
              <w:right w:val="single" w:sz="4" w:space="0" w:color="auto"/>
            </w:tcBorders>
            <w:noWrap/>
            <w:vAlign w:val="center"/>
            <w:hideMark/>
          </w:tcPr>
          <w:p w14:paraId="072C7670" w14:textId="74044A3C" w:rsidR="009E0AFE" w:rsidRPr="009F37F3" w:rsidRDefault="009E0AFE" w:rsidP="00D90AD4">
            <w:pPr>
              <w:spacing w:before="40" w:after="40"/>
              <w:jc w:val="center"/>
              <w:rPr>
                <w:sz w:val="20"/>
              </w:rPr>
            </w:pPr>
            <w:r w:rsidRPr="009F37F3">
              <w:rPr>
                <w:sz w:val="20"/>
              </w:rPr>
              <w:t>73%</w:t>
            </w:r>
          </w:p>
        </w:tc>
        <w:tc>
          <w:tcPr>
            <w:tcW w:w="880" w:type="dxa"/>
            <w:tcBorders>
              <w:top w:val="single" w:sz="8" w:space="0" w:color="auto"/>
              <w:left w:val="nil"/>
              <w:bottom w:val="single" w:sz="4" w:space="0" w:color="auto"/>
              <w:right w:val="nil"/>
            </w:tcBorders>
            <w:noWrap/>
            <w:vAlign w:val="center"/>
            <w:hideMark/>
          </w:tcPr>
          <w:p w14:paraId="4FC865DA" w14:textId="2CA47E6C" w:rsidR="009E0AFE" w:rsidRPr="009F37F3" w:rsidRDefault="009E0AFE" w:rsidP="00D90AD4">
            <w:pPr>
              <w:spacing w:before="40" w:after="40"/>
              <w:jc w:val="center"/>
              <w:rPr>
                <w:sz w:val="20"/>
              </w:rPr>
            </w:pPr>
            <w:r w:rsidRPr="009F37F3">
              <w:rPr>
                <w:sz w:val="20"/>
              </w:rPr>
              <w:t>73%</w:t>
            </w:r>
          </w:p>
        </w:tc>
        <w:tc>
          <w:tcPr>
            <w:tcW w:w="622" w:type="dxa"/>
            <w:tcBorders>
              <w:top w:val="single" w:sz="8" w:space="0" w:color="auto"/>
              <w:left w:val="single" w:sz="4" w:space="0" w:color="auto"/>
              <w:bottom w:val="single" w:sz="4" w:space="0" w:color="auto"/>
              <w:right w:val="single" w:sz="4" w:space="0" w:color="auto"/>
            </w:tcBorders>
            <w:vAlign w:val="center"/>
            <w:hideMark/>
          </w:tcPr>
          <w:p w14:paraId="55F83AC1" w14:textId="4261519F" w:rsidR="009E0AFE" w:rsidRPr="009F37F3" w:rsidRDefault="009E0AFE" w:rsidP="00D90AD4">
            <w:pPr>
              <w:spacing w:before="40" w:after="40"/>
              <w:jc w:val="center"/>
              <w:rPr>
                <w:sz w:val="20"/>
              </w:rPr>
            </w:pPr>
            <w:r w:rsidRPr="009F37F3">
              <w:rPr>
                <w:sz w:val="20"/>
              </w:rPr>
              <w:t>54%</w:t>
            </w:r>
          </w:p>
        </w:tc>
        <w:tc>
          <w:tcPr>
            <w:tcW w:w="846" w:type="dxa"/>
            <w:tcBorders>
              <w:top w:val="single" w:sz="8" w:space="0" w:color="auto"/>
              <w:left w:val="single" w:sz="4" w:space="0" w:color="auto"/>
              <w:bottom w:val="single" w:sz="4" w:space="0" w:color="auto"/>
              <w:right w:val="single" w:sz="4" w:space="0" w:color="auto"/>
            </w:tcBorders>
            <w:vAlign w:val="center"/>
            <w:hideMark/>
          </w:tcPr>
          <w:p w14:paraId="2EF2E0CC" w14:textId="4D468F8B" w:rsidR="009E0AFE" w:rsidRPr="009F37F3" w:rsidRDefault="009E0AFE" w:rsidP="00D90AD4">
            <w:pPr>
              <w:spacing w:before="40" w:after="40"/>
              <w:jc w:val="center"/>
              <w:rPr>
                <w:sz w:val="20"/>
              </w:rPr>
            </w:pPr>
            <w:r w:rsidRPr="009F37F3">
              <w:rPr>
                <w:sz w:val="20"/>
              </w:rPr>
              <w:t>27%</w:t>
            </w:r>
          </w:p>
        </w:tc>
        <w:tc>
          <w:tcPr>
            <w:tcW w:w="712"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442AE98B" w14:textId="26FD9C04" w:rsidR="009E0AFE" w:rsidRPr="009F37F3" w:rsidRDefault="009E0AFE" w:rsidP="00D90AD4">
            <w:pPr>
              <w:spacing w:before="40" w:after="40"/>
              <w:jc w:val="center"/>
              <w:rPr>
                <w:sz w:val="20"/>
              </w:rPr>
            </w:pPr>
            <w:r w:rsidRPr="009F37F3">
              <w:rPr>
                <w:sz w:val="20"/>
              </w:rPr>
              <w:t>56%</w:t>
            </w:r>
          </w:p>
        </w:tc>
        <w:tc>
          <w:tcPr>
            <w:tcW w:w="712" w:type="dxa"/>
            <w:tcBorders>
              <w:top w:val="single" w:sz="8" w:space="0" w:color="auto"/>
              <w:left w:val="single" w:sz="4" w:space="0" w:color="auto"/>
              <w:bottom w:val="single" w:sz="4" w:space="0" w:color="auto"/>
              <w:right w:val="single" w:sz="8" w:space="0" w:color="auto"/>
            </w:tcBorders>
            <w:shd w:val="clear" w:color="auto" w:fill="AEAAAA"/>
            <w:noWrap/>
            <w:vAlign w:val="center"/>
            <w:hideMark/>
          </w:tcPr>
          <w:p w14:paraId="36A6AE0E" w14:textId="2AB75929" w:rsidR="009E0AFE" w:rsidRPr="009F37F3" w:rsidRDefault="009E0AFE" w:rsidP="00D90AD4">
            <w:pPr>
              <w:spacing w:before="40" w:after="40"/>
              <w:jc w:val="center"/>
              <w:rPr>
                <w:b/>
                <w:bCs/>
                <w:sz w:val="20"/>
              </w:rPr>
            </w:pPr>
            <w:r w:rsidRPr="009F37F3">
              <w:rPr>
                <w:b/>
                <w:bCs/>
                <w:sz w:val="20"/>
              </w:rPr>
              <w:t>84%</w:t>
            </w:r>
          </w:p>
        </w:tc>
      </w:tr>
    </w:tbl>
    <w:p w14:paraId="45BFE8EE" w14:textId="1E53A2BF" w:rsidR="009C0949" w:rsidRPr="009F37F3" w:rsidRDefault="009C0949" w:rsidP="00D90AD4">
      <w:pPr>
        <w:spacing w:before="240" w:after="240"/>
      </w:pPr>
      <w:r w:rsidRPr="009F37F3">
        <w:t>1</w:t>
      </w:r>
      <w:r w:rsidR="009E0AFE" w:rsidRPr="009F37F3">
        <w:t>5</w:t>
      </w:r>
      <w:r w:rsidRPr="009F37F3">
        <w:tab/>
        <w:t>La description générale de l'importance des recommandations tou</w:t>
      </w:r>
      <w:r w:rsidR="00635101" w:rsidRPr="009F37F3">
        <w:t>jours en cours de mise en œuvre</w:t>
      </w:r>
      <w:r w:rsidRPr="009F37F3">
        <w:t xml:space="preserve"> se présente comme </w:t>
      </w:r>
      <w:proofErr w:type="gramStart"/>
      <w:r w:rsidRPr="009F37F3">
        <w:t>suit:</w:t>
      </w:r>
      <w:proofErr w:type="gramEnd"/>
    </w:p>
    <w:p w14:paraId="16D1F08D" w14:textId="4828E537" w:rsidR="009E0AFE" w:rsidRPr="009F37F3" w:rsidRDefault="00CA1775" w:rsidP="00D90AD4">
      <w:pPr>
        <w:pStyle w:val="Figure"/>
      </w:pPr>
      <w:r w:rsidRPr="009F37F3">
        <w:rPr>
          <w:noProof/>
          <w:lang w:val="en-US"/>
        </w:rPr>
        <mc:AlternateContent>
          <mc:Choice Requires="wps">
            <w:drawing>
              <wp:anchor distT="0" distB="0" distL="114300" distR="114300" simplePos="0" relativeHeight="251665408" behindDoc="0" locked="0" layoutInCell="1" allowOverlap="1" wp14:anchorId="64A6CD2A" wp14:editId="15102FAC">
                <wp:simplePos x="0" y="0"/>
                <wp:positionH relativeFrom="column">
                  <wp:posOffset>3727552</wp:posOffset>
                </wp:positionH>
                <wp:positionV relativeFrom="paragraph">
                  <wp:posOffset>1887169</wp:posOffset>
                </wp:positionV>
                <wp:extent cx="429641" cy="234087"/>
                <wp:effectExtent l="0" t="0" r="889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641" cy="234087"/>
                        </a:xfrm>
                        <a:prstGeom prst="rect">
                          <a:avLst/>
                        </a:prstGeom>
                        <a:solidFill>
                          <a:srgbClr val="FFFFFF"/>
                        </a:solidFill>
                        <a:ln w="9525">
                          <a:noFill/>
                          <a:miter lim="800000"/>
                          <a:headEnd/>
                          <a:tailEnd/>
                        </a:ln>
                      </wps:spPr>
                      <wps:txbx>
                        <w:txbxContent>
                          <w:p w14:paraId="36BC00EF" w14:textId="77777777" w:rsidR="009E0AFE" w:rsidRPr="008B1451" w:rsidRDefault="009E0AFE" w:rsidP="00CA1775">
                            <w:pPr>
                              <w:spacing w:before="20"/>
                              <w:rPr>
                                <w:color w:val="FFFFFF" w:themeColor="background1"/>
                                <w:sz w:val="16"/>
                                <w:szCs w:val="16"/>
                                <w:lang w:val="en-US"/>
                                <w14:textOutline w14:w="9525" w14:cap="rnd" w14:cmpd="sng" w14:algn="ctr">
                                  <w14:noFill/>
                                  <w14:prstDash w14:val="solid"/>
                                  <w14:bevel/>
                                </w14:textOutline>
                                <w14:textFill>
                                  <w14:noFill/>
                                </w14:textFill>
                              </w:rPr>
                            </w:pPr>
                            <w:r>
                              <w:rPr>
                                <w:sz w:val="16"/>
                                <w:szCs w:val="16"/>
                              </w:rPr>
                              <w:t>Faibl</w:t>
                            </w:r>
                            <w:r w:rsidRPr="008B1451">
                              <w:rPr>
                                <w:sz w:val="16"/>
                                <w:szCs w:val="16"/>
                              </w:rPr>
                              <w:t>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6CD2A" id="_x0000_t202" coordsize="21600,21600" o:spt="202" path="m,l,21600r21600,l21600,xe">
                <v:stroke joinstyle="miter"/>
                <v:path gradientshapeok="t" o:connecttype="rect"/>
              </v:shapetype>
              <v:shape id="Text Box 2" o:spid="_x0000_s1026" type="#_x0000_t202" style="position:absolute;left:0;text-align:left;margin-left:293.5pt;margin-top:148.6pt;width:33.85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" stroked="f">
                <v:textbox inset="0,0,0,0">
                  <w:txbxContent>
                    <w:p w14:paraId="36BC00EF" w14:textId="77777777" w:rsidR="009E0AFE" w:rsidRPr="008B1451" w:rsidRDefault="009E0AFE" w:rsidP="00CA1775">
                      <w:pPr>
                        <w:spacing w:before="20"/>
                        <w:rPr>
                          <w:color w:val="FFFFFF" w:themeColor="background1"/>
                          <w:sz w:val="16"/>
                          <w:szCs w:val="16"/>
                          <w:lang w:val="en-US"/>
                          <w14:textOutline w14:w="9525" w14:cap="rnd" w14:cmpd="sng" w14:algn="ctr">
                            <w14:noFill/>
                            <w14:prstDash w14:val="solid"/>
                            <w14:bevel/>
                          </w14:textOutline>
                          <w14:textFill>
                            <w14:noFill/>
                          </w14:textFill>
                        </w:rPr>
                      </w:pPr>
                      <w:r>
                        <w:rPr>
                          <w:sz w:val="16"/>
                          <w:szCs w:val="16"/>
                        </w:rPr>
                        <w:t>Faibl</w:t>
                      </w:r>
                      <w:r w:rsidRPr="008B1451">
                        <w:rPr>
                          <w:sz w:val="16"/>
                          <w:szCs w:val="16"/>
                        </w:rPr>
                        <w:t>e</w:t>
                      </w:r>
                    </w:p>
                  </w:txbxContent>
                </v:textbox>
              </v:shape>
            </w:pict>
          </mc:Fallback>
        </mc:AlternateContent>
      </w:r>
      <w:r w:rsidRPr="009F37F3">
        <w:rPr>
          <w:noProof/>
          <w:lang w:val="en-US"/>
        </w:rPr>
        <mc:AlternateContent>
          <mc:Choice Requires="wps">
            <w:drawing>
              <wp:anchor distT="0" distB="0" distL="114300" distR="114300" simplePos="0" relativeHeight="251663360" behindDoc="0" locked="0" layoutInCell="1" allowOverlap="1" wp14:anchorId="260F21F7" wp14:editId="4C42B85E">
                <wp:simplePos x="0" y="0"/>
                <wp:positionH relativeFrom="column">
                  <wp:posOffset>3171825</wp:posOffset>
                </wp:positionH>
                <wp:positionV relativeFrom="paragraph">
                  <wp:posOffset>1885848</wp:posOffset>
                </wp:positionV>
                <wp:extent cx="429895" cy="182880"/>
                <wp:effectExtent l="0" t="0" r="825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2880"/>
                        </a:xfrm>
                        <a:prstGeom prst="rect">
                          <a:avLst/>
                        </a:prstGeom>
                        <a:solidFill>
                          <a:srgbClr val="FFFFFF"/>
                        </a:solidFill>
                        <a:ln w="9525">
                          <a:noFill/>
                          <a:miter lim="800000"/>
                          <a:headEnd/>
                          <a:tailEnd/>
                        </a:ln>
                      </wps:spPr>
                      <wps:txbx>
                        <w:txbxContent>
                          <w:p w14:paraId="2796C57D" w14:textId="77777777" w:rsidR="009E0AFE" w:rsidRDefault="009E0AFE" w:rsidP="00CA1775">
                            <w:pPr>
                              <w:spacing w:before="40"/>
                              <w:rPr>
                                <w:sz w:val="16"/>
                                <w:szCs w:val="16"/>
                              </w:rPr>
                            </w:pPr>
                            <w:r>
                              <w:rPr>
                                <w:sz w:val="16"/>
                                <w:szCs w:val="16"/>
                              </w:rPr>
                              <w:t>Moyenne</w:t>
                            </w:r>
                          </w:p>
                        </w:txbxContent>
                      </wps:txbx>
                      <wps:bodyPr rot="0" vert="horz" wrap="square" lIns="0" tIns="0" rIns="0" bIns="0" anchor="t" anchorCtr="0">
                        <a:noAutofit/>
                      </wps:bodyPr>
                    </wps:wsp>
                  </a:graphicData>
                </a:graphic>
              </wp:anchor>
            </w:drawing>
          </mc:Choice>
          <mc:Fallback>
            <w:pict>
              <v:shape w14:anchorId="260F21F7" id="Text Box 9" o:spid="_x0000_s1027" type="#_x0000_t202" style="position:absolute;left:0;text-align:left;margin-left:249.75pt;margin-top:148.5pt;width:33.85pt;height:14.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" stroked="f">
                <v:textbox inset="0,0,0,0">
                  <w:txbxContent>
                    <w:p w14:paraId="2796C57D" w14:textId="77777777" w:rsidR="009E0AFE" w:rsidRDefault="009E0AFE" w:rsidP="00CA1775">
                      <w:pPr>
                        <w:spacing w:before="40"/>
                        <w:rPr>
                          <w:sz w:val="16"/>
                          <w:szCs w:val="16"/>
                        </w:rPr>
                      </w:pPr>
                      <w:r>
                        <w:rPr>
                          <w:sz w:val="16"/>
                          <w:szCs w:val="16"/>
                        </w:rPr>
                        <w:t>Moyenne</w:t>
                      </w:r>
                    </w:p>
                  </w:txbxContent>
                </v:textbox>
              </v:shape>
            </w:pict>
          </mc:Fallback>
        </mc:AlternateContent>
      </w:r>
      <w:r w:rsidRPr="009F37F3">
        <w:rPr>
          <w:noProof/>
          <w:lang w:val="en-US"/>
        </w:rPr>
        <mc:AlternateContent>
          <mc:Choice Requires="wps">
            <w:drawing>
              <wp:anchor distT="0" distB="0" distL="114300" distR="114300" simplePos="0" relativeHeight="251661312" behindDoc="0" locked="0" layoutInCell="1" allowOverlap="1" wp14:anchorId="4A97EF50" wp14:editId="086833F0">
                <wp:simplePos x="0" y="0"/>
                <wp:positionH relativeFrom="column">
                  <wp:posOffset>2747010</wp:posOffset>
                </wp:positionH>
                <wp:positionV relativeFrom="paragraph">
                  <wp:posOffset>1893265</wp:posOffset>
                </wp:positionV>
                <wp:extent cx="342900" cy="133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33350"/>
                        </a:xfrm>
                        <a:prstGeom prst="rect">
                          <a:avLst/>
                        </a:prstGeom>
                        <a:solidFill>
                          <a:srgbClr val="FFFFFF"/>
                        </a:solidFill>
                        <a:ln w="9525">
                          <a:noFill/>
                          <a:miter lim="800000"/>
                          <a:headEnd/>
                          <a:tailEnd/>
                        </a:ln>
                      </wps:spPr>
                      <wps:txbx>
                        <w:txbxContent>
                          <w:p w14:paraId="1F628501" w14:textId="77777777" w:rsidR="009E0AFE" w:rsidRDefault="009E0AFE" w:rsidP="00CA1775">
                            <w:pPr>
                              <w:spacing w:before="40"/>
                              <w:rPr>
                                <w:rFonts w:asciiTheme="minorHAnsi" w:cstheme="minorBidi"/>
                                <w:sz w:val="16"/>
                                <w:szCs w:val="16"/>
                                <w:lang w:val="fr-CH"/>
                              </w:rPr>
                            </w:pPr>
                            <w:r>
                              <w:rPr>
                                <w:rFonts w:asciiTheme="minorHAnsi" w:cstheme="minorBidi"/>
                                <w:sz w:val="16"/>
                                <w:szCs w:val="16"/>
                                <w:lang w:val="fr-CH"/>
                              </w:rPr>
                              <w:t>Élevée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7EF50" id="Text Box 1" o:spid="_x0000_s1028" type="#_x0000_t202" style="position:absolute;left:0;text-align:left;margin-left:216.3pt;margin-top:149.1pt;width:27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" stroked="f">
                <v:textbox inset="0,0,0,0">
                  <w:txbxContent>
                    <w:p w14:paraId="1F628501" w14:textId="77777777" w:rsidR="009E0AFE" w:rsidRDefault="009E0AFE" w:rsidP="00CA1775">
                      <w:pPr>
                        <w:spacing w:before="40"/>
                        <w:rPr>
                          <w:rFonts w:asciiTheme="minorHAnsi" w:cstheme="minorBidi"/>
                          <w:sz w:val="16"/>
                          <w:szCs w:val="16"/>
                          <w:lang w:val="fr-CH"/>
                        </w:rPr>
                      </w:pPr>
                      <w:r>
                        <w:rPr>
                          <w:rFonts w:asciiTheme="minorHAnsi" w:cstheme="minorBidi"/>
                          <w:sz w:val="16"/>
                          <w:szCs w:val="16"/>
                          <w:lang w:val="fr-CH"/>
                        </w:rPr>
                        <w:t>Élevée</w:t>
                      </w:r>
                    </w:p>
                  </w:txbxContent>
                </v:textbox>
              </v:shape>
            </w:pict>
          </mc:Fallback>
        </mc:AlternateContent>
      </w:r>
      <w:r w:rsidR="00317F34" w:rsidRPr="009F37F3">
        <w:rPr>
          <w:noProof/>
          <w:lang w:val="en-US"/>
        </w:rPr>
        <mc:AlternateContent>
          <mc:Choice Requires="wps">
            <w:drawing>
              <wp:anchor distT="0" distB="0" distL="114300" distR="114300" simplePos="0" relativeHeight="251659264" behindDoc="0" locked="0" layoutInCell="1" allowOverlap="1" wp14:anchorId="42D93D78" wp14:editId="60A9CDBF">
                <wp:simplePos x="0" y="0"/>
                <wp:positionH relativeFrom="column">
                  <wp:posOffset>2213305</wp:posOffset>
                </wp:positionH>
                <wp:positionV relativeFrom="paragraph">
                  <wp:posOffset>1887170</wp:posOffset>
                </wp:positionV>
                <wp:extent cx="429895" cy="145822"/>
                <wp:effectExtent l="0" t="0" r="8255"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45822"/>
                        </a:xfrm>
                        <a:prstGeom prst="rect">
                          <a:avLst/>
                        </a:prstGeom>
                        <a:solidFill>
                          <a:srgbClr val="FFFFFF"/>
                        </a:solidFill>
                        <a:ln w="9525">
                          <a:noFill/>
                          <a:miter lim="800000"/>
                          <a:headEnd/>
                          <a:tailEnd/>
                        </a:ln>
                      </wps:spPr>
                      <wps:txbx>
                        <w:txbxContent>
                          <w:p w14:paraId="6C11E972" w14:textId="77777777" w:rsidR="009C0949" w:rsidRPr="008B1451" w:rsidRDefault="009C0949" w:rsidP="00CA1775">
                            <w:pPr>
                              <w:spacing w:before="40"/>
                              <w:rPr>
                                <w:color w:val="FFFFFF" w:themeColor="background1"/>
                                <w:sz w:val="16"/>
                                <w:szCs w:val="16"/>
                                <w:lang w:val="en-US"/>
                                <w14:textOutline w14:w="9525" w14:cap="rnd" w14:cmpd="sng" w14:algn="ctr">
                                  <w14:noFill/>
                                  <w14:prstDash w14:val="solid"/>
                                  <w14:bevel/>
                                </w14:textOutline>
                                <w14:textFill>
                                  <w14:noFill/>
                                </w14:textFill>
                              </w:rPr>
                            </w:pPr>
                            <w:r w:rsidRPr="008B1451">
                              <w:rPr>
                                <w:sz w:val="16"/>
                                <w:szCs w:val="16"/>
                              </w:rPr>
                              <w:t>Critique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93D78" id="_x0000_s1029" type="#_x0000_t202" style="position:absolute;left:0;text-align:left;margin-left:174.3pt;margin-top:148.6pt;width:33.8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" stroked="f">
                <v:textbox inset="0,0,0,0">
                  <w:txbxContent>
                    <w:p w14:paraId="6C11E972" w14:textId="77777777" w:rsidR="009C0949" w:rsidRPr="008B1451" w:rsidRDefault="009C0949" w:rsidP="00CA1775">
                      <w:pPr>
                        <w:spacing w:before="40"/>
                        <w:rPr>
                          <w:color w:val="FFFFFF" w:themeColor="background1"/>
                          <w:sz w:val="16"/>
                          <w:szCs w:val="16"/>
                          <w:lang w:val="en-US"/>
                          <w14:textOutline w14:w="9525" w14:cap="rnd" w14:cmpd="sng" w14:algn="ctr">
                            <w14:noFill/>
                            <w14:prstDash w14:val="solid"/>
                            <w14:bevel/>
                          </w14:textOutline>
                          <w14:textFill>
                            <w14:noFill/>
                          </w14:textFill>
                        </w:rPr>
                      </w:pPr>
                      <w:r w:rsidRPr="008B1451">
                        <w:rPr>
                          <w:sz w:val="16"/>
                          <w:szCs w:val="16"/>
                        </w:rPr>
                        <w:t>Critique</w:t>
                      </w:r>
                    </w:p>
                  </w:txbxContent>
                </v:textbox>
              </v:shape>
            </w:pict>
          </mc:Fallback>
        </mc:AlternateContent>
      </w:r>
      <w:r w:rsidR="00317F34" w:rsidRPr="009F37F3">
        <w:rPr>
          <w:noProof/>
          <w:lang w:val="en-US"/>
        </w:rPr>
        <mc:AlternateContent>
          <mc:Choice Requires="wps">
            <w:drawing>
              <wp:anchor distT="0" distB="0" distL="114300" distR="114300" simplePos="0" relativeHeight="251667456" behindDoc="0" locked="0" layoutInCell="1" allowOverlap="1" wp14:anchorId="66DA0068" wp14:editId="5F6109BC">
                <wp:simplePos x="0" y="0"/>
                <wp:positionH relativeFrom="column">
                  <wp:posOffset>1403985</wp:posOffset>
                </wp:positionH>
                <wp:positionV relativeFrom="paragraph">
                  <wp:posOffset>97155</wp:posOffset>
                </wp:positionV>
                <wp:extent cx="3552825" cy="361950"/>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61950"/>
                        </a:xfrm>
                        <a:prstGeom prst="rect">
                          <a:avLst/>
                        </a:prstGeom>
                        <a:solidFill>
                          <a:srgbClr val="FFFFFF"/>
                        </a:solidFill>
                        <a:ln w="9525">
                          <a:noFill/>
                          <a:miter lim="800000"/>
                          <a:headEnd/>
                          <a:tailEnd/>
                        </a:ln>
                      </wps:spPr>
                      <wps:txbx>
                        <w:txbxContent>
                          <w:p w14:paraId="609E2B83" w14:textId="77777777" w:rsidR="00317F34" w:rsidRPr="00317F34" w:rsidRDefault="00317F34" w:rsidP="00317F34">
                            <w:pPr>
                              <w:spacing w:before="0"/>
                              <w:rPr>
                                <w:szCs w:val="24"/>
                                <w:lang w:val="fr-CH"/>
                              </w:rPr>
                            </w:pPr>
                            <w:r w:rsidRPr="00317F34">
                              <w:rPr>
                                <w:szCs w:val="24"/>
                                <w:lang w:val="fr-CH"/>
                              </w:rPr>
                              <w:t>Importance des recommandations en cours/retardées</w:t>
                            </w:r>
                          </w:p>
                          <w:p w14:paraId="0A025075" w14:textId="56FDC5E8" w:rsidR="00317F34" w:rsidRPr="00317F34" w:rsidRDefault="00317F34" w:rsidP="00317F34">
                            <w:pPr>
                              <w:spacing w:before="0"/>
                              <w:rPr>
                                <w:color w:val="FFFFFF" w:themeColor="background1"/>
                                <w:sz w:val="16"/>
                                <w:szCs w:val="16"/>
                                <w:lang w:val="fr-CH"/>
                                <w14:textOutline w14:w="9525" w14:cap="rnd" w14:cmpd="sng" w14:algn="ctr">
                                  <w14:noFill/>
                                  <w14:prstDash w14:val="solid"/>
                                  <w14:bevel/>
                                </w14:textOutline>
                                <w14:textFill>
                                  <w14:noFill/>
                                </w14:textFil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A0068" id="_x0000_s1030" type="#_x0000_t202" style="position:absolute;left:0;text-align:left;margin-left:110.55pt;margin-top:7.65pt;width:279.7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" stroked="f">
                <v:textbox inset="0,0,0,0">
                  <w:txbxContent>
                    <w:p w14:paraId="609E2B83" w14:textId="77777777" w:rsidR="00317F34" w:rsidRPr="00317F34" w:rsidRDefault="00317F34" w:rsidP="00317F34">
                      <w:pPr>
                        <w:spacing w:before="0"/>
                        <w:rPr>
                          <w:szCs w:val="24"/>
                          <w:lang w:val="fr-CH"/>
                        </w:rPr>
                      </w:pPr>
                      <w:r w:rsidRPr="00317F34">
                        <w:rPr>
                          <w:szCs w:val="24"/>
                          <w:lang w:val="fr-CH"/>
                        </w:rPr>
                        <w:t>Importance des recommandations en cours/retardées</w:t>
                      </w:r>
                    </w:p>
                    <w:p w14:paraId="0A025075" w14:textId="56FDC5E8" w:rsidR="00317F34" w:rsidRPr="00317F34" w:rsidRDefault="00317F34" w:rsidP="00317F34">
                      <w:pPr>
                        <w:spacing w:before="0"/>
                        <w:rPr>
                          <w:color w:val="FFFFFF" w:themeColor="background1"/>
                          <w:sz w:val="16"/>
                          <w:szCs w:val="16"/>
                          <w:lang w:val="fr-CH"/>
                          <w14:textOutline w14:w="9525" w14:cap="rnd" w14:cmpd="sng" w14:algn="ctr">
                            <w14:noFill/>
                            <w14:prstDash w14:val="solid"/>
                            <w14:bevel/>
                          </w14:textOutline>
                          <w14:textFill>
                            <w14:noFill/>
                          </w14:textFill>
                        </w:rPr>
                      </w:pPr>
                    </w:p>
                  </w:txbxContent>
                </v:textbox>
              </v:shape>
            </w:pict>
          </mc:Fallback>
        </mc:AlternateContent>
      </w:r>
      <w:r w:rsidR="009C0949" w:rsidRPr="009F37F3">
        <w:rPr>
          <w:noProof/>
          <w:lang w:val="en-US"/>
        </w:rPr>
        <mc:AlternateContent>
          <mc:Choice Requires="wps">
            <w:drawing>
              <wp:anchor distT="0" distB="0" distL="114300" distR="114300" simplePos="0" relativeHeight="251660288" behindDoc="0" locked="0" layoutInCell="1" allowOverlap="1" wp14:anchorId="40574785" wp14:editId="7C8DF05A">
                <wp:simplePos x="0" y="0"/>
                <wp:positionH relativeFrom="column">
                  <wp:posOffset>3767328</wp:posOffset>
                </wp:positionH>
                <wp:positionV relativeFrom="paragraph">
                  <wp:posOffset>1994128</wp:posOffset>
                </wp:positionV>
                <wp:extent cx="429895" cy="182880"/>
                <wp:effectExtent l="0" t="0" r="8255" b="76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2880"/>
                        </a:xfrm>
                        <a:prstGeom prst="rect">
                          <a:avLst/>
                        </a:prstGeom>
                        <a:solidFill>
                          <a:srgbClr val="FFFFFF"/>
                        </a:solidFill>
                        <a:ln w="9525">
                          <a:noFill/>
                          <a:miter lim="800000"/>
                          <a:headEnd/>
                          <a:tailEnd/>
                        </a:ln>
                      </wps:spPr>
                      <wps:txbx>
                        <w:txbxContent>
                          <w:p w14:paraId="6F74BA09" w14:textId="77777777" w:rsidR="009C0949" w:rsidRPr="008B1451" w:rsidRDefault="009C0949" w:rsidP="009C0949">
                            <w:pPr>
                              <w:spacing w:before="0"/>
                              <w:rPr>
                                <w:color w:val="FFFFFF" w:themeColor="background1"/>
                                <w:sz w:val="16"/>
                                <w:szCs w:val="16"/>
                                <w:lang w:val="en-US"/>
                                <w14:textOutline w14:w="9525" w14:cap="rnd" w14:cmpd="sng" w14:algn="ctr">
                                  <w14:noFill/>
                                  <w14:prstDash w14:val="solid"/>
                                  <w14:bevel/>
                                </w14:textOutline>
                                <w14:textFill>
                                  <w14:noFill/>
                                </w14:textFill>
                              </w:rPr>
                            </w:pPr>
                            <w:r>
                              <w:rPr>
                                <w:sz w:val="16"/>
                                <w:szCs w:val="16"/>
                              </w:rPr>
                              <w:t>Faibl</w:t>
                            </w:r>
                            <w:r w:rsidRPr="008B1451">
                              <w:rPr>
                                <w:sz w:val="16"/>
                                <w:szCs w:val="16"/>
                              </w:rPr>
                              <w:t>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74785" id="_x0000_s1031" type="#_x0000_t202" style="position:absolute;left:0;text-align:left;margin-left:296.65pt;margin-top:157pt;width:33.8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" stroked="f">
                <v:textbox inset="0,0,0,0">
                  <w:txbxContent>
                    <w:p w14:paraId="6F74BA09" w14:textId="77777777" w:rsidR="009C0949" w:rsidRPr="008B1451" w:rsidRDefault="009C0949" w:rsidP="009C0949">
                      <w:pPr>
                        <w:spacing w:before="0"/>
                        <w:rPr>
                          <w:color w:val="FFFFFF" w:themeColor="background1"/>
                          <w:sz w:val="16"/>
                          <w:szCs w:val="16"/>
                          <w:lang w:val="en-US"/>
                          <w14:textOutline w14:w="9525" w14:cap="rnd" w14:cmpd="sng" w14:algn="ctr">
                            <w14:noFill/>
                            <w14:prstDash w14:val="solid"/>
                            <w14:bevel/>
                          </w14:textOutline>
                          <w14:textFill>
                            <w14:noFill/>
                          </w14:textFill>
                        </w:rPr>
                      </w:pPr>
                      <w:r>
                        <w:rPr>
                          <w:sz w:val="16"/>
                          <w:szCs w:val="16"/>
                        </w:rPr>
                        <w:t>Faibl</w:t>
                      </w:r>
                      <w:r w:rsidRPr="008B1451">
                        <w:rPr>
                          <w:sz w:val="16"/>
                          <w:szCs w:val="16"/>
                        </w:rPr>
                        <w:t>e</w:t>
                      </w:r>
                    </w:p>
                  </w:txbxContent>
                </v:textbox>
              </v:shape>
            </w:pict>
          </mc:Fallback>
        </mc:AlternateContent>
      </w:r>
      <w:r w:rsidR="009E0AFE" w:rsidRPr="009F37F3">
        <w:rPr>
          <w:noProof/>
          <w:lang w:val="en-US"/>
        </w:rPr>
        <w:drawing>
          <wp:inline distT="0" distB="0" distL="0" distR="0" wp14:anchorId="2E30BA49" wp14:editId="2EE8B06C">
            <wp:extent cx="5108575" cy="219064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0747" cy="2247320"/>
                    </a:xfrm>
                    <a:prstGeom prst="rect">
                      <a:avLst/>
                    </a:prstGeom>
                    <a:noFill/>
                  </pic:spPr>
                </pic:pic>
              </a:graphicData>
            </a:graphic>
          </wp:inline>
        </w:drawing>
      </w:r>
    </w:p>
    <w:p w14:paraId="3A004F3D" w14:textId="59F5E5C5" w:rsidR="009C0949" w:rsidRPr="009F37F3" w:rsidRDefault="00317F34" w:rsidP="00D90AD4">
      <w:pPr>
        <w:spacing w:before="480"/>
        <w:rPr>
          <w:b/>
        </w:rPr>
      </w:pPr>
      <w:r w:rsidRPr="009F37F3">
        <w:t>16</w:t>
      </w:r>
      <w:r w:rsidR="009C0949" w:rsidRPr="009F37F3">
        <w:tab/>
        <w:t>Les recommandations essentielles datant de 2019</w:t>
      </w:r>
      <w:r w:rsidRPr="009F37F3">
        <w:t xml:space="preserve"> et 2020</w:t>
      </w:r>
      <w:r w:rsidR="009C0949" w:rsidRPr="009F37F3">
        <w:t xml:space="preserve"> sont issues de la lettre de recommandation que l'Unité de l'audit interne a établie, </w:t>
      </w:r>
      <w:proofErr w:type="gramStart"/>
      <w:r w:rsidR="009C0949" w:rsidRPr="009F37F3">
        <w:t>suite à</w:t>
      </w:r>
      <w:proofErr w:type="gramEnd"/>
      <w:r w:rsidR="009C0949" w:rsidRPr="009F37F3">
        <w:t xml:space="preserve"> l'enquête concernant le cas de fraude. Elles concernent essentiellement la nécessité </w:t>
      </w:r>
      <w:r w:rsidR="00955097" w:rsidRPr="009F37F3">
        <w:t>pour le Département</w:t>
      </w:r>
      <w:r w:rsidR="00D90AD4" w:rsidRPr="009F37F3">
        <w:t xml:space="preserve"> </w:t>
      </w:r>
      <w:r w:rsidR="00F47B23" w:rsidRPr="009F37F3">
        <w:rPr>
          <w:color w:val="000000"/>
        </w:rPr>
        <w:t>de la gestion des ressources humaines (HRMD)</w:t>
      </w:r>
      <w:r w:rsidR="00955097" w:rsidRPr="009F37F3">
        <w:t xml:space="preserve"> de mettre en place des procédures de mise en concurrence et des contrôles renforcés</w:t>
      </w:r>
      <w:r w:rsidR="009C0949" w:rsidRPr="009F37F3">
        <w:t xml:space="preserve"> </w:t>
      </w:r>
      <w:r w:rsidR="00A44C9C" w:rsidRPr="009F37F3">
        <w:t xml:space="preserve">à l'échelle de l'UIT </w:t>
      </w:r>
      <w:r w:rsidR="009C0949" w:rsidRPr="009F37F3">
        <w:t>pour ce qui est du recru</w:t>
      </w:r>
      <w:r w:rsidR="006826E6">
        <w:t>tement d'experts extérieurs (au </w:t>
      </w:r>
      <w:r w:rsidR="009C0949" w:rsidRPr="009F37F3">
        <w:t>titre de contrats d'engagements spéciaux). S'agissant des recommandations formulées antérieurement, la direction a tenu régulièrement informée l'Unité de l'audit interne (et le CCIG) des progrès accomplis en la matière</w:t>
      </w:r>
      <w:r w:rsidR="00F47B23" w:rsidRPr="009F37F3">
        <w:t xml:space="preserve"> </w:t>
      </w:r>
      <w:r w:rsidR="00A44C9C" w:rsidRPr="009F37F3">
        <w:t>et le Groupe de travail sur les contrôles internes</w:t>
      </w:r>
      <w:r w:rsidR="00F47B23" w:rsidRPr="009F37F3">
        <w:t>,</w:t>
      </w:r>
      <w:r w:rsidR="00A44C9C" w:rsidRPr="009F37F3">
        <w:t xml:space="preserve"> présidé par la Directrice du BDT</w:t>
      </w:r>
      <w:r w:rsidR="00F47B23" w:rsidRPr="009F37F3">
        <w:t>,</w:t>
      </w:r>
      <w:r w:rsidRPr="009F37F3">
        <w:t xml:space="preserve"> </w:t>
      </w:r>
      <w:r w:rsidR="00A44C9C" w:rsidRPr="009F37F3">
        <w:t>a</w:t>
      </w:r>
      <w:r w:rsidR="00F47B23" w:rsidRPr="009F37F3">
        <w:t xml:space="preserve"> suivi</w:t>
      </w:r>
      <w:r w:rsidR="00D90AD4" w:rsidRPr="009F37F3">
        <w:t xml:space="preserve"> </w:t>
      </w:r>
      <w:r w:rsidR="00A44C9C" w:rsidRPr="009F37F3">
        <w:t>de plus près la mise en œuvre des recommandations formulées antérieurement</w:t>
      </w:r>
      <w:r w:rsidR="009C0949" w:rsidRPr="009F37F3">
        <w:t>.</w:t>
      </w:r>
    </w:p>
    <w:p w14:paraId="0F4E0D0C" w14:textId="77777777" w:rsidR="009C0949" w:rsidRPr="009F37F3" w:rsidRDefault="009C0949" w:rsidP="00D90AD4">
      <w:pPr>
        <w:spacing w:before="360"/>
        <w:jc w:val="center"/>
      </w:pPr>
      <w:r w:rsidRPr="009F37F3">
        <w:t>______________</w:t>
      </w:r>
    </w:p>
    <w:sectPr w:rsidR="009C0949" w:rsidRPr="009F37F3" w:rsidSect="005C3890">
      <w:headerReference w:type="even" r:id="rId11"/>
      <w:headerReference w:type="default" r:id="rId12"/>
      <w:footerReference w:type="even" r:id="rId13"/>
      <w:footerReference w:type="default"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A2538" w14:textId="77777777" w:rsidR="00556C8C" w:rsidRDefault="00556C8C">
      <w:r>
        <w:separator/>
      </w:r>
    </w:p>
  </w:endnote>
  <w:endnote w:type="continuationSeparator" w:id="0">
    <w:p w14:paraId="538C36BB" w14:textId="77777777" w:rsidR="00556C8C" w:rsidRDefault="0055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D437" w14:textId="7B0E6C9D" w:rsidR="00732045" w:rsidRDefault="00893573">
    <w:pPr>
      <w:pStyle w:val="Footer"/>
    </w:pPr>
    <w:fldSimple w:instr=" FILENAME \p \* MERGEFORMAT ">
      <w:r>
        <w:t>P:\FRA\SG\CONSEIL\C21\000\044F.docx</w:t>
      </w:r>
    </w:fldSimple>
    <w:r w:rsidR="00732045">
      <w:tab/>
    </w:r>
    <w:r w:rsidR="002F1B76">
      <w:fldChar w:fldCharType="begin"/>
    </w:r>
    <w:r w:rsidR="00732045">
      <w:instrText xml:space="preserve"> savedate \@ dd.MM.yy </w:instrText>
    </w:r>
    <w:r w:rsidR="002F1B76">
      <w:fldChar w:fldCharType="separate"/>
    </w:r>
    <w:r w:rsidR="00972B4B">
      <w:t>21.04.21</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235C" w14:textId="3AF022DB" w:rsidR="00732045" w:rsidRDefault="00893573">
    <w:pPr>
      <w:pStyle w:val="Footer"/>
    </w:pPr>
    <w:fldSimple w:instr=" FILENAME \p \* MERGEFORMAT ">
      <w:r>
        <w:t>P:\FRA\SG\CONSEIL\C21\000\044F.docx</w:t>
      </w:r>
    </w:fldSimple>
    <w:r w:rsidR="00317F34">
      <w:t xml:space="preserve"> (483240)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2890"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862CF" w14:textId="77777777" w:rsidR="00556C8C" w:rsidRDefault="00556C8C">
      <w:r>
        <w:t>____________________</w:t>
      </w:r>
    </w:p>
  </w:footnote>
  <w:footnote w:type="continuationSeparator" w:id="0">
    <w:p w14:paraId="60DCF13D" w14:textId="77777777" w:rsidR="00556C8C" w:rsidRDefault="00556C8C">
      <w:r>
        <w:continuationSeparator/>
      </w:r>
    </w:p>
  </w:footnote>
  <w:footnote w:id="1">
    <w:p w14:paraId="20E2E39F" w14:textId="77777777" w:rsidR="009C0949" w:rsidRDefault="009C0949" w:rsidP="009C0949">
      <w:pPr>
        <w:pStyle w:val="FootnoteText"/>
      </w:pPr>
      <w:r>
        <w:rPr>
          <w:rStyle w:val="FootnoteReference"/>
        </w:rPr>
        <w:footnoteRef/>
      </w:r>
      <w:r>
        <w:tab/>
      </w:r>
      <w:r>
        <w:rPr>
          <w:szCs w:val="24"/>
          <w:lang w:val="fr-CH"/>
        </w:rPr>
        <w:t>Ordre de service 13/09, promulgué par le Secrétaire général le 27 juin 2013.</w:t>
      </w:r>
    </w:p>
  </w:footnote>
  <w:footnote w:id="2">
    <w:p w14:paraId="3B431D42" w14:textId="6335CE1E" w:rsidR="009C0949" w:rsidRDefault="009C0949" w:rsidP="009C0949">
      <w:pPr>
        <w:pStyle w:val="FootnoteText"/>
        <w:spacing w:before="40"/>
        <w:ind w:left="255" w:hanging="255"/>
        <w:rPr>
          <w:lang w:val="fr-CH"/>
        </w:rPr>
      </w:pPr>
      <w:r>
        <w:rPr>
          <w:rStyle w:val="FootnoteReference"/>
        </w:rPr>
        <w:footnoteRef/>
      </w:r>
      <w:r>
        <w:rPr>
          <w:lang w:val="fr-CH"/>
        </w:rPr>
        <w:tab/>
      </w:r>
      <w:r>
        <w:rPr>
          <w:szCs w:val="24"/>
          <w:lang w:val="fr-CH"/>
        </w:rPr>
        <w:t xml:space="preserve">Institut des auditeurs internes, </w:t>
      </w:r>
      <w:hyperlink r:id="rId1" w:history="1">
        <w:r>
          <w:rPr>
            <w:rStyle w:val="Hyperlink"/>
          </w:rPr>
          <w:t>www.theiia.org</w:t>
        </w:r>
      </w:hyperlink>
      <w:r w:rsidRPr="00BA69CF">
        <w:rPr>
          <w:szCs w:val="24"/>
        </w:rPr>
        <w:t>.</w:t>
      </w:r>
    </w:p>
  </w:footnote>
  <w:footnote w:id="3">
    <w:p w14:paraId="18C6464B" w14:textId="223139C1" w:rsidR="009C0949" w:rsidRDefault="009C0949" w:rsidP="009C0949">
      <w:pPr>
        <w:pStyle w:val="FootnoteText"/>
        <w:spacing w:before="40"/>
        <w:ind w:left="255" w:hanging="255"/>
        <w:rPr>
          <w:lang w:val="fr-CH"/>
        </w:rPr>
      </w:pPr>
      <w:r>
        <w:rPr>
          <w:rStyle w:val="FootnoteReference"/>
        </w:rPr>
        <w:footnoteRef/>
      </w:r>
      <w:r>
        <w:rPr>
          <w:lang w:val="fr-CH"/>
        </w:rPr>
        <w:tab/>
        <w:t>Ordre de service 13/09, promulgué par le Secrétaire général le 27 juin 2013.</w:t>
      </w:r>
    </w:p>
  </w:footnote>
  <w:footnote w:id="4">
    <w:p w14:paraId="333150E4" w14:textId="540A1C12" w:rsidR="009C0949" w:rsidRPr="001F4242" w:rsidRDefault="009C0949" w:rsidP="009C0949">
      <w:pPr>
        <w:pStyle w:val="FootnoteText"/>
        <w:rPr>
          <w:rFonts w:asciiTheme="minorHAnsi" w:hAnsiTheme="minorHAnsi" w:cstheme="minorHAnsi"/>
          <w:sz w:val="18"/>
          <w:szCs w:val="18"/>
        </w:rPr>
      </w:pPr>
      <w:r w:rsidRPr="00500302">
        <w:rPr>
          <w:rStyle w:val="FootnoteReference"/>
          <w:rFonts w:asciiTheme="minorHAnsi" w:hAnsiTheme="minorHAnsi" w:cstheme="minorHAnsi"/>
          <w:sz w:val="18"/>
          <w:szCs w:val="18"/>
        </w:rPr>
        <w:footnoteRef/>
      </w:r>
      <w:r w:rsidRPr="0044152B">
        <w:rPr>
          <w:rFonts w:asciiTheme="minorHAnsi" w:hAnsiTheme="minorHAnsi" w:cstheme="minorHAnsi"/>
          <w:sz w:val="18"/>
          <w:szCs w:val="18"/>
        </w:rPr>
        <w:tab/>
      </w:r>
      <w:r w:rsidRPr="0044152B">
        <w:t xml:space="preserve">2500. </w:t>
      </w:r>
      <w:r w:rsidRPr="001F4242">
        <w:t xml:space="preserve">A1 – </w:t>
      </w:r>
      <w:r w:rsidR="001F4242" w:rsidRPr="001F4242">
        <w:t>Le responsable de l</w:t>
      </w:r>
      <w:r w:rsidR="00D90AD4">
        <w:t>'</w:t>
      </w:r>
      <w:r w:rsidR="001F4242" w:rsidRPr="001F4242">
        <w:t>audit interne doit mettre en place un processus de suivi permettant de surveiller et de garantir que des mesures ont été effectivement mises en œuvre par le management ou que la direction générale a accepté de pre</w:t>
      </w:r>
      <w:r w:rsidR="001F4242">
        <w:t>ndre le risque de ne rien faire</w:t>
      </w:r>
      <w:r w:rsidRPr="001F424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1948"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6DDC9EE"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03AD" w14:textId="00D2832F" w:rsidR="00732045" w:rsidRDefault="00C27A7C" w:rsidP="00475FB3">
    <w:pPr>
      <w:pStyle w:val="Header"/>
    </w:pPr>
    <w:r>
      <w:fldChar w:fldCharType="begin"/>
    </w:r>
    <w:r>
      <w:instrText>PAGE</w:instrText>
    </w:r>
    <w:r>
      <w:fldChar w:fldCharType="separate"/>
    </w:r>
    <w:r w:rsidR="00893573">
      <w:rPr>
        <w:noProof/>
      </w:rPr>
      <w:t>5</w:t>
    </w:r>
    <w:r>
      <w:rPr>
        <w:noProof/>
      </w:rPr>
      <w:fldChar w:fldCharType="end"/>
    </w:r>
  </w:p>
  <w:p w14:paraId="2705DAD7" w14:textId="3ACD28EC" w:rsidR="00732045" w:rsidRDefault="00732045" w:rsidP="00106B19">
    <w:pPr>
      <w:pStyle w:val="Header"/>
    </w:pPr>
    <w:r>
      <w:t>C</w:t>
    </w:r>
    <w:r w:rsidR="009C353C">
      <w:t>2</w:t>
    </w:r>
    <w:r w:rsidR="004D1D50">
      <w:t>1</w:t>
    </w:r>
    <w:r>
      <w:t>/</w:t>
    </w:r>
    <w:r w:rsidR="009C0949">
      <w:t>44</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4A42D3F-C6E3-4A9A-834D-7E23EBEE8100}"/>
    <w:docVar w:name="dgnword-eventsink" w:val="1606755812016"/>
  </w:docVars>
  <w:rsids>
    <w:rsidRoot w:val="009C0949"/>
    <w:rsid w:val="00044882"/>
    <w:rsid w:val="0005615C"/>
    <w:rsid w:val="000D0D0A"/>
    <w:rsid w:val="00103163"/>
    <w:rsid w:val="00106B19"/>
    <w:rsid w:val="00115D93"/>
    <w:rsid w:val="001247A8"/>
    <w:rsid w:val="001378C0"/>
    <w:rsid w:val="0018694A"/>
    <w:rsid w:val="001A3287"/>
    <w:rsid w:val="001A37EC"/>
    <w:rsid w:val="001A6508"/>
    <w:rsid w:val="001D4C31"/>
    <w:rsid w:val="001E4D21"/>
    <w:rsid w:val="001F4242"/>
    <w:rsid w:val="00207CD1"/>
    <w:rsid w:val="002477A2"/>
    <w:rsid w:val="00263A51"/>
    <w:rsid w:val="00267E02"/>
    <w:rsid w:val="00290E98"/>
    <w:rsid w:val="002A5D44"/>
    <w:rsid w:val="002E0BC4"/>
    <w:rsid w:val="002F1B76"/>
    <w:rsid w:val="00317F34"/>
    <w:rsid w:val="0033568E"/>
    <w:rsid w:val="00355FF5"/>
    <w:rsid w:val="00361350"/>
    <w:rsid w:val="00382BDE"/>
    <w:rsid w:val="00385941"/>
    <w:rsid w:val="003A5DAB"/>
    <w:rsid w:val="003A72B4"/>
    <w:rsid w:val="003C3FAE"/>
    <w:rsid w:val="003D73BE"/>
    <w:rsid w:val="003E5A8D"/>
    <w:rsid w:val="004038CB"/>
    <w:rsid w:val="0040546F"/>
    <w:rsid w:val="0042404A"/>
    <w:rsid w:val="0044152B"/>
    <w:rsid w:val="0044618F"/>
    <w:rsid w:val="0045560D"/>
    <w:rsid w:val="00456B8D"/>
    <w:rsid w:val="00464F24"/>
    <w:rsid w:val="0046769A"/>
    <w:rsid w:val="00475FB3"/>
    <w:rsid w:val="004C37A9"/>
    <w:rsid w:val="004D1D50"/>
    <w:rsid w:val="004F259E"/>
    <w:rsid w:val="00511F1D"/>
    <w:rsid w:val="005123DD"/>
    <w:rsid w:val="00520F36"/>
    <w:rsid w:val="00540615"/>
    <w:rsid w:val="00540A6D"/>
    <w:rsid w:val="00556C8C"/>
    <w:rsid w:val="00571EEA"/>
    <w:rsid w:val="00575417"/>
    <w:rsid w:val="005768E1"/>
    <w:rsid w:val="005B1938"/>
    <w:rsid w:val="005C3890"/>
    <w:rsid w:val="005F303A"/>
    <w:rsid w:val="005F7BFE"/>
    <w:rsid w:val="00600017"/>
    <w:rsid w:val="006235CA"/>
    <w:rsid w:val="006261AE"/>
    <w:rsid w:val="00635101"/>
    <w:rsid w:val="006643AB"/>
    <w:rsid w:val="006826E6"/>
    <w:rsid w:val="006A37FE"/>
    <w:rsid w:val="007005CA"/>
    <w:rsid w:val="00707460"/>
    <w:rsid w:val="00715AA7"/>
    <w:rsid w:val="007210CD"/>
    <w:rsid w:val="00732045"/>
    <w:rsid w:val="007369DB"/>
    <w:rsid w:val="00744672"/>
    <w:rsid w:val="00772B07"/>
    <w:rsid w:val="007956C2"/>
    <w:rsid w:val="007A187E"/>
    <w:rsid w:val="007C72C2"/>
    <w:rsid w:val="007D4436"/>
    <w:rsid w:val="007F257A"/>
    <w:rsid w:val="007F3665"/>
    <w:rsid w:val="007F5E75"/>
    <w:rsid w:val="00800037"/>
    <w:rsid w:val="0082035C"/>
    <w:rsid w:val="00822E99"/>
    <w:rsid w:val="00831DD0"/>
    <w:rsid w:val="00861D73"/>
    <w:rsid w:val="00893573"/>
    <w:rsid w:val="00897553"/>
    <w:rsid w:val="008A4E87"/>
    <w:rsid w:val="008D76E6"/>
    <w:rsid w:val="008F1EB0"/>
    <w:rsid w:val="0092392D"/>
    <w:rsid w:val="0093234A"/>
    <w:rsid w:val="00955097"/>
    <w:rsid w:val="00970395"/>
    <w:rsid w:val="00972B4B"/>
    <w:rsid w:val="0097363B"/>
    <w:rsid w:val="00992068"/>
    <w:rsid w:val="009C0949"/>
    <w:rsid w:val="009C307F"/>
    <w:rsid w:val="009C353C"/>
    <w:rsid w:val="009E0AFE"/>
    <w:rsid w:val="009E7DF1"/>
    <w:rsid w:val="009F0C9E"/>
    <w:rsid w:val="009F37F3"/>
    <w:rsid w:val="00A2113E"/>
    <w:rsid w:val="00A23A51"/>
    <w:rsid w:val="00A24607"/>
    <w:rsid w:val="00A25CD3"/>
    <w:rsid w:val="00A44C9C"/>
    <w:rsid w:val="00A709FE"/>
    <w:rsid w:val="00A82767"/>
    <w:rsid w:val="00AA332F"/>
    <w:rsid w:val="00AA518A"/>
    <w:rsid w:val="00AA7BBB"/>
    <w:rsid w:val="00AB406E"/>
    <w:rsid w:val="00AB64A8"/>
    <w:rsid w:val="00AC0266"/>
    <w:rsid w:val="00AD0B5B"/>
    <w:rsid w:val="00AD24EC"/>
    <w:rsid w:val="00B17E1E"/>
    <w:rsid w:val="00B309F9"/>
    <w:rsid w:val="00B32B60"/>
    <w:rsid w:val="00B61619"/>
    <w:rsid w:val="00BA26DD"/>
    <w:rsid w:val="00BB4545"/>
    <w:rsid w:val="00BD4485"/>
    <w:rsid w:val="00BD5873"/>
    <w:rsid w:val="00BE4427"/>
    <w:rsid w:val="00C04BE3"/>
    <w:rsid w:val="00C25D29"/>
    <w:rsid w:val="00C27A7C"/>
    <w:rsid w:val="00C97FD6"/>
    <w:rsid w:val="00CA08ED"/>
    <w:rsid w:val="00CA1775"/>
    <w:rsid w:val="00CF183B"/>
    <w:rsid w:val="00D375CD"/>
    <w:rsid w:val="00D553A2"/>
    <w:rsid w:val="00D757FD"/>
    <w:rsid w:val="00D774D3"/>
    <w:rsid w:val="00D904E8"/>
    <w:rsid w:val="00D90AD4"/>
    <w:rsid w:val="00DA08C3"/>
    <w:rsid w:val="00DB5A3E"/>
    <w:rsid w:val="00DC22AA"/>
    <w:rsid w:val="00DF74DD"/>
    <w:rsid w:val="00E25AD0"/>
    <w:rsid w:val="00EB6350"/>
    <w:rsid w:val="00EE13B9"/>
    <w:rsid w:val="00F15B57"/>
    <w:rsid w:val="00F174B7"/>
    <w:rsid w:val="00F427DB"/>
    <w:rsid w:val="00F47B23"/>
    <w:rsid w:val="00F750B8"/>
    <w:rsid w:val="00F82801"/>
    <w:rsid w:val="00FA5EB1"/>
    <w:rsid w:val="00FA7439"/>
    <w:rsid w:val="00FC4EC0"/>
    <w:rsid w:val="00FE0749"/>
    <w:rsid w:val="00FE7D3F"/>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661FF"/>
  <w15:docId w15:val="{2F07FCE4-F50B-460B-B1E0-9693113C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9C0949"/>
    <w:rPr>
      <w:color w:val="605E5C"/>
      <w:shd w:val="clear" w:color="auto" w:fill="E1DFDD"/>
    </w:rPr>
  </w:style>
  <w:style w:type="character" w:customStyle="1" w:styleId="FootnoteTextChar">
    <w:name w:val="Footnote Text Char"/>
    <w:basedOn w:val="DefaultParagraphFont"/>
    <w:link w:val="FootnoteText"/>
    <w:rsid w:val="009C0949"/>
    <w:rPr>
      <w:rFonts w:ascii="Calibri" w:hAnsi="Calibri"/>
      <w:sz w:val="24"/>
      <w:lang w:val="fr-FR" w:eastAsia="en-US"/>
    </w:rPr>
  </w:style>
  <w:style w:type="paragraph" w:styleId="ListParagraph">
    <w:name w:val="List Paragraph"/>
    <w:aliases w:val="List Paragraph (numbered (a)),WB Para,List Paragraph1,Bullets,Lapis Bulleted List,Dot pt,F5 List Paragraph,No Spacing1,List Paragraph Char Char Char,Indicator Text,Numbered Para 1,Bullet 1,List Paragraph12,Bullet Points,MAIN CONTENT,L"/>
    <w:basedOn w:val="Normal"/>
    <w:link w:val="ListParagraphChar"/>
    <w:uiPriority w:val="34"/>
    <w:qFormat/>
    <w:rsid w:val="009C094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aliases w:val="List Paragraph (numbered (a)) Char,WB Para Char,List Paragraph1 Char,Bullets Char,Lapis Bulleted List Char,Dot pt Char,F5 List Paragraph Char,No Spacing1 Char,List Paragraph Char Char Char Char,Indicator Text Char,Bullet 1 Char"/>
    <w:basedOn w:val="DefaultParagraphFont"/>
    <w:link w:val="ListParagraph"/>
    <w:uiPriority w:val="34"/>
    <w:locked/>
    <w:rsid w:val="009C0949"/>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1F4242"/>
    <w:rPr>
      <w:sz w:val="16"/>
      <w:szCs w:val="16"/>
    </w:rPr>
  </w:style>
  <w:style w:type="paragraph" w:styleId="CommentText">
    <w:name w:val="annotation text"/>
    <w:basedOn w:val="Normal"/>
    <w:link w:val="CommentTextChar"/>
    <w:semiHidden/>
    <w:unhideWhenUsed/>
    <w:rsid w:val="001F4242"/>
    <w:rPr>
      <w:sz w:val="20"/>
    </w:rPr>
  </w:style>
  <w:style w:type="character" w:customStyle="1" w:styleId="CommentTextChar">
    <w:name w:val="Comment Text Char"/>
    <w:basedOn w:val="DefaultParagraphFont"/>
    <w:link w:val="CommentText"/>
    <w:semiHidden/>
    <w:rsid w:val="001F4242"/>
    <w:rPr>
      <w:rFonts w:ascii="Calibri" w:hAnsi="Calibri"/>
      <w:lang w:val="fr-FR" w:eastAsia="en-US"/>
    </w:rPr>
  </w:style>
  <w:style w:type="paragraph" w:styleId="CommentSubject">
    <w:name w:val="annotation subject"/>
    <w:basedOn w:val="CommentText"/>
    <w:next w:val="CommentText"/>
    <w:link w:val="CommentSubjectChar"/>
    <w:semiHidden/>
    <w:unhideWhenUsed/>
    <w:rsid w:val="001F4242"/>
    <w:rPr>
      <w:b/>
      <w:bCs/>
    </w:rPr>
  </w:style>
  <w:style w:type="character" w:customStyle="1" w:styleId="CommentSubjectChar">
    <w:name w:val="Comment Subject Char"/>
    <w:basedOn w:val="CommentTextChar"/>
    <w:link w:val="CommentSubject"/>
    <w:semiHidden/>
    <w:rsid w:val="001F4242"/>
    <w:rPr>
      <w:rFonts w:ascii="Calibri" w:hAnsi="Calibri"/>
      <w:b/>
      <w:bCs/>
      <w:lang w:val="fr-FR" w:eastAsia="en-US"/>
    </w:rPr>
  </w:style>
  <w:style w:type="paragraph" w:styleId="Revision">
    <w:name w:val="Revision"/>
    <w:hidden/>
    <w:uiPriority w:val="99"/>
    <w:semiHidden/>
    <w:rsid w:val="001F4242"/>
    <w:rPr>
      <w:rFonts w:ascii="Calibri" w:hAnsi="Calibri"/>
      <w:sz w:val="24"/>
      <w:lang w:val="fr-FR" w:eastAsia="en-US"/>
    </w:rPr>
  </w:style>
  <w:style w:type="paragraph" w:styleId="BalloonText">
    <w:name w:val="Balloon Text"/>
    <w:basedOn w:val="Normal"/>
    <w:link w:val="BalloonTextChar"/>
    <w:semiHidden/>
    <w:unhideWhenUsed/>
    <w:rsid w:val="001F424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F4242"/>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24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83/e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en/council/Documents/Financial-Regulations/S-GEN-REG_RGTFIN-2018-PDF-F.pdf"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www.itu.int/md/S19-CL-C-0130/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hei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41</TotalTime>
  <Pages>5</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11710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l’auditeur interne sur les activités d’audit interne</dc:title>
  <dc:subject>Conseil 2021, Virtual consultation of councillors</dc:subject>
  <dc:creator>Chanavat, Emilie</dc:creator>
  <cp:keywords>C2021, C21, VCC, C21-VCC-1</cp:keywords>
  <dc:description/>
  <cp:lastModifiedBy>Mendoza-Pinto, Yelitza</cp:lastModifiedBy>
  <cp:revision>9</cp:revision>
  <cp:lastPrinted>2000-07-18T08:55:00Z</cp:lastPrinted>
  <dcterms:created xsi:type="dcterms:W3CDTF">2021-04-21T05:38:00Z</dcterms:created>
  <dcterms:modified xsi:type="dcterms:W3CDTF">2021-04-27T09:36:00Z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