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1A41ECE4"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DC75FD">
              <w:rPr>
                <w:b/>
              </w:rPr>
              <w:t>ADM 18</w:t>
            </w:r>
          </w:p>
        </w:tc>
        <w:tc>
          <w:tcPr>
            <w:tcW w:w="3120" w:type="dxa"/>
          </w:tcPr>
          <w:p w14:paraId="1727AC2C" w14:textId="79273C61"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EB6D14">
              <w:rPr>
                <w:b/>
              </w:rPr>
              <w:t>44</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088C0C60" w:rsidR="002A2188" w:rsidRPr="00E85629" w:rsidRDefault="00EB6D14" w:rsidP="009F66A3">
            <w:pPr>
              <w:tabs>
                <w:tab w:val="left" w:pos="993"/>
              </w:tabs>
              <w:spacing w:before="0"/>
              <w:rPr>
                <w:b/>
              </w:rPr>
            </w:pPr>
            <w:r>
              <w:rPr>
                <w:b/>
              </w:rPr>
              <w:t>31 March</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2DD99742" w:rsidR="00EA2120" w:rsidRPr="00DE4373" w:rsidRDefault="00EB6D14" w:rsidP="00722181">
            <w:pPr>
              <w:pStyle w:val="Source"/>
            </w:pPr>
            <w:bookmarkStart w:id="6" w:name="dsource" w:colFirst="0" w:colLast="0"/>
            <w:bookmarkEnd w:id="5"/>
            <w:r>
              <w:t>Report by the Secretary-General</w:t>
            </w:r>
          </w:p>
        </w:tc>
      </w:tr>
      <w:tr w:rsidR="002A2188" w:rsidRPr="00813E5E" w14:paraId="73F317E2" w14:textId="77777777" w:rsidTr="00464B6C">
        <w:trPr>
          <w:cantSplit/>
        </w:trPr>
        <w:tc>
          <w:tcPr>
            <w:tcW w:w="10031" w:type="dxa"/>
            <w:gridSpan w:val="2"/>
          </w:tcPr>
          <w:p w14:paraId="29B3DB5C" w14:textId="75DD0FCD" w:rsidR="002A2188" w:rsidRPr="00813E5E" w:rsidRDefault="00EB6D14" w:rsidP="00464B6C">
            <w:pPr>
              <w:pStyle w:val="Title1"/>
            </w:pPr>
            <w:bookmarkStart w:id="7" w:name="_Hlk38976514"/>
            <w:bookmarkStart w:id="8" w:name="dtitle1" w:colFirst="0" w:colLast="0"/>
            <w:bookmarkEnd w:id="6"/>
            <w:r w:rsidRPr="00B763B8">
              <w:t>REPORT OF THE INTERNAL AUDITOR ON INTERNAL AUDIT ACTIVITIES</w:t>
            </w:r>
            <w:bookmarkEnd w:id="7"/>
          </w:p>
        </w:tc>
      </w:tr>
      <w:bookmarkEnd w:id="8"/>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9D5CEC3" w14:textId="77777777" w:rsidR="00EB6D14" w:rsidRPr="00CF2765" w:rsidRDefault="00EB6D14" w:rsidP="00EB6D14">
            <w:pPr>
              <w:pStyle w:val="Headingb"/>
              <w:spacing w:before="120" w:after="120"/>
              <w:rPr>
                <w:szCs w:val="24"/>
              </w:rPr>
            </w:pPr>
            <w:r w:rsidRPr="00CF2765">
              <w:rPr>
                <w:szCs w:val="24"/>
              </w:rPr>
              <w:t>Summary</w:t>
            </w:r>
          </w:p>
          <w:p w14:paraId="4A6A0E4B" w14:textId="77777777" w:rsidR="00EB6D14" w:rsidRPr="00CF2765" w:rsidRDefault="00EB6D14" w:rsidP="00EB6D14">
            <w:pPr>
              <w:pStyle w:val="ListParagraph"/>
              <w:adjustRightInd w:val="0"/>
              <w:snapToGrid w:val="0"/>
              <w:spacing w:before="120" w:after="120" w:line="240" w:lineRule="auto"/>
              <w:ind w:left="0"/>
              <w:contextualSpacing w:val="0"/>
              <w:jc w:val="both"/>
              <w:rPr>
                <w:rFonts w:cs="Calibri"/>
                <w:color w:val="000000"/>
                <w:sz w:val="24"/>
                <w:szCs w:val="24"/>
              </w:rPr>
            </w:pPr>
            <w:r w:rsidRPr="00CF2765">
              <w:rPr>
                <w:sz w:val="24"/>
                <w:szCs w:val="24"/>
              </w:rPr>
              <w:t>This report covers the internal audit activities for the period from May 2020 to March 2021</w:t>
            </w:r>
            <w:r w:rsidRPr="00CF2765">
              <w:rPr>
                <w:rFonts w:cs="Calibri"/>
                <w:color w:val="000000"/>
                <w:sz w:val="24"/>
                <w:szCs w:val="24"/>
              </w:rPr>
              <w:t>.</w:t>
            </w:r>
          </w:p>
          <w:p w14:paraId="61B32BF6" w14:textId="77777777" w:rsidR="00EB6D14" w:rsidRPr="00CF2765" w:rsidRDefault="00EB6D14" w:rsidP="00EB6D14">
            <w:pPr>
              <w:pStyle w:val="ListParagraph"/>
              <w:adjustRightInd w:val="0"/>
              <w:snapToGrid w:val="0"/>
              <w:spacing w:before="120" w:after="120" w:line="240" w:lineRule="auto"/>
              <w:ind w:left="0"/>
              <w:contextualSpacing w:val="0"/>
              <w:jc w:val="both"/>
              <w:rPr>
                <w:b/>
                <w:bCs/>
                <w:sz w:val="24"/>
                <w:szCs w:val="24"/>
              </w:rPr>
            </w:pPr>
            <w:r w:rsidRPr="00CF2765">
              <w:rPr>
                <w:b/>
                <w:bCs/>
                <w:sz w:val="24"/>
                <w:szCs w:val="24"/>
              </w:rPr>
              <w:t xml:space="preserve">Action </w:t>
            </w:r>
            <w:proofErr w:type="gramStart"/>
            <w:r w:rsidRPr="00CF2765">
              <w:rPr>
                <w:b/>
                <w:bCs/>
                <w:sz w:val="24"/>
                <w:szCs w:val="24"/>
              </w:rPr>
              <w:t>required</w:t>
            </w:r>
            <w:proofErr w:type="gramEnd"/>
          </w:p>
          <w:p w14:paraId="31AA589B" w14:textId="77777777" w:rsidR="00EB6D14" w:rsidRPr="00CF2765" w:rsidRDefault="00EB6D14" w:rsidP="00EB6D14">
            <w:pPr>
              <w:snapToGrid w:val="0"/>
              <w:spacing w:after="120"/>
              <w:jc w:val="both"/>
              <w:rPr>
                <w:szCs w:val="24"/>
              </w:rPr>
            </w:pPr>
            <w:r w:rsidRPr="00CF2765">
              <w:rPr>
                <w:szCs w:val="24"/>
              </w:rPr>
              <w:t xml:space="preserve">This report is transmitted to the Council </w:t>
            </w:r>
            <w:r w:rsidRPr="00CF2765">
              <w:rPr>
                <w:b/>
                <w:bCs/>
                <w:szCs w:val="24"/>
              </w:rPr>
              <w:t>for consideration</w:t>
            </w:r>
            <w:r w:rsidRPr="00CF2765">
              <w:rPr>
                <w:szCs w:val="24"/>
              </w:rPr>
              <w:t>.</w:t>
            </w:r>
          </w:p>
          <w:p w14:paraId="6F15FCC9" w14:textId="77777777" w:rsidR="00EB6D14" w:rsidRPr="00CF2765" w:rsidRDefault="00EB6D14" w:rsidP="00EB6D14">
            <w:pPr>
              <w:pStyle w:val="Table"/>
              <w:keepNext w:val="0"/>
              <w:spacing w:before="120"/>
              <w:rPr>
                <w:rFonts w:ascii="Calibri" w:hAnsi="Calibri"/>
                <w:caps w:val="0"/>
                <w:szCs w:val="24"/>
              </w:rPr>
            </w:pPr>
            <w:r w:rsidRPr="00CF2765">
              <w:rPr>
                <w:rFonts w:ascii="Calibri" w:hAnsi="Calibri"/>
                <w:caps w:val="0"/>
                <w:szCs w:val="24"/>
              </w:rPr>
              <w:t>____________</w:t>
            </w:r>
          </w:p>
          <w:p w14:paraId="398F99FD" w14:textId="77777777" w:rsidR="00EB6D14" w:rsidRPr="00CF2765" w:rsidRDefault="00EB6D14" w:rsidP="00EB6D14">
            <w:pPr>
              <w:pStyle w:val="Headingb"/>
              <w:spacing w:before="120" w:after="120"/>
              <w:rPr>
                <w:szCs w:val="24"/>
              </w:rPr>
            </w:pPr>
            <w:r w:rsidRPr="00CF2765">
              <w:rPr>
                <w:szCs w:val="24"/>
              </w:rPr>
              <w:t>References</w:t>
            </w:r>
          </w:p>
          <w:p w14:paraId="2E0343C9" w14:textId="55135933" w:rsidR="00DE4373" w:rsidRPr="00CF5A9F" w:rsidRDefault="00CF2765" w:rsidP="00EB6D14">
            <w:pPr>
              <w:pStyle w:val="NoSpacing"/>
              <w:spacing w:before="120" w:after="120"/>
              <w:rPr>
                <w:sz w:val="24"/>
                <w:szCs w:val="24"/>
              </w:rPr>
            </w:pPr>
            <w:hyperlink r:id="rId9" w:history="1">
              <w:r w:rsidR="00EB6D14" w:rsidRPr="00CF2765">
                <w:rPr>
                  <w:rStyle w:val="Hyperlink"/>
                  <w:i/>
                  <w:iCs/>
                  <w:sz w:val="24"/>
                  <w:szCs w:val="24"/>
                </w:rPr>
                <w:t>ITU Financial Regulations and Rules (2018), Article 29</w:t>
              </w:r>
            </w:hyperlink>
          </w:p>
        </w:tc>
      </w:tr>
    </w:tbl>
    <w:p w14:paraId="5D7E80AD" w14:textId="77777777" w:rsidR="00264425" w:rsidRDefault="00264425" w:rsidP="00DB384B">
      <w:pPr>
        <w:rPr>
          <w:lang w:val="en-US"/>
        </w:rPr>
      </w:pPr>
      <w:bookmarkStart w:id="9" w:name="dstart"/>
      <w:bookmarkStart w:id="10" w:name="dbreak"/>
      <w:bookmarkEnd w:id="9"/>
      <w:bookmarkEnd w:id="10"/>
    </w:p>
    <w:p w14:paraId="081DDD91" w14:textId="77777777" w:rsidR="00423739" w:rsidRPr="001C1B79" w:rsidRDefault="00D338E0" w:rsidP="00423739">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8"/>
        </w:rPr>
      </w:pPr>
      <w:r>
        <w:rPr>
          <w:lang w:val="en-US"/>
        </w:rPr>
        <w:br w:type="page"/>
      </w:r>
      <w:r w:rsidR="00423739" w:rsidRPr="001C1B79">
        <w:rPr>
          <w:rFonts w:asciiTheme="minorHAnsi" w:hAnsiTheme="minorHAnsi" w:cstheme="minorHAnsi"/>
          <w:szCs w:val="28"/>
        </w:rPr>
        <w:lastRenderedPageBreak/>
        <w:t>Introduction</w:t>
      </w:r>
    </w:p>
    <w:p w14:paraId="7CC9BB0B" w14:textId="77777777" w:rsidR="00423739" w:rsidRPr="001C1B79" w:rsidRDefault="00423739" w:rsidP="00423739">
      <w:pPr>
        <w:pStyle w:val="Normalaftertitle"/>
        <w:numPr>
          <w:ilvl w:val="0"/>
          <w:numId w:val="12"/>
        </w:numPr>
        <w:tabs>
          <w:tab w:val="clear" w:pos="567"/>
          <w:tab w:val="clear" w:pos="1134"/>
          <w:tab w:val="clear" w:pos="1701"/>
          <w:tab w:val="clear" w:pos="2268"/>
          <w:tab w:val="clear" w:pos="2835"/>
        </w:tabs>
        <w:overflowPunct/>
        <w:autoSpaceDE/>
        <w:autoSpaceDN/>
        <w:snapToGrid w:val="0"/>
        <w:spacing w:before="120" w:after="120"/>
        <w:ind w:left="0" w:firstLine="0"/>
        <w:jc w:val="both"/>
        <w:textAlignment w:val="auto"/>
        <w:rPr>
          <w:rFonts w:asciiTheme="minorHAnsi" w:hAnsiTheme="minorHAnsi" w:cstheme="minorHAnsi"/>
          <w:szCs w:val="24"/>
        </w:rPr>
      </w:pPr>
      <w:r w:rsidRPr="001C1B79">
        <w:rPr>
          <w:rFonts w:asciiTheme="minorHAnsi" w:hAnsiTheme="minorHAnsi" w:cstheme="minorHAnsi"/>
          <w:szCs w:val="24"/>
        </w:rPr>
        <w:t>This report is transmitted to the ITU Council and responds to Article 29 of the Financial Regulations (2010). In accordance with the ITU Internal Audit charter,</w:t>
      </w:r>
      <w:r w:rsidRPr="001C1B79">
        <w:rPr>
          <w:rStyle w:val="FootnoteReference"/>
          <w:rFonts w:asciiTheme="minorHAnsi" w:hAnsiTheme="minorHAnsi" w:cstheme="minorHAnsi"/>
          <w:sz w:val="18"/>
          <w:szCs w:val="18"/>
        </w:rPr>
        <w:footnoteReference w:id="1"/>
      </w:r>
      <w:r w:rsidRPr="001C1B79">
        <w:rPr>
          <w:rFonts w:asciiTheme="minorHAnsi" w:hAnsiTheme="minorHAnsi" w:cstheme="minorHAnsi"/>
          <w:szCs w:val="24"/>
        </w:rPr>
        <w:t xml:space="preserve"> this report is submitted to the Secretary-General and presented to the Council for consideration. The current report covers activities from the period between </w:t>
      </w:r>
      <w:r w:rsidRPr="001C1B79">
        <w:rPr>
          <w:rFonts w:asciiTheme="minorHAnsi" w:hAnsiTheme="minorHAnsi" w:cstheme="minorHAnsi"/>
          <w:color w:val="000000" w:themeColor="text1"/>
          <w:szCs w:val="24"/>
        </w:rPr>
        <w:t>May 2020 and March 2021.</w:t>
      </w:r>
    </w:p>
    <w:p w14:paraId="62199E1D"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 xml:space="preserve">For the period reported on, the Internal Audit Unit comprised three Professional staff – a P.5 (Head of the Unit), a P.3 (Internal Auditor), and a P2 (Junior Internal Auditor). A General Services staff (Audit Assistant) was working in the Unit on a full-time basis until end of January 2021 when the incumbent retired from ITU. </w:t>
      </w:r>
      <w:r w:rsidRPr="001C1B79">
        <w:rPr>
          <w:rFonts w:ascii="Calibri" w:hAnsi="Calibri" w:cs="Calibri"/>
          <w:color w:val="000000"/>
          <w:sz w:val="24"/>
          <w:szCs w:val="24"/>
        </w:rPr>
        <w:t xml:space="preserve">The General Services post was abolished and a P4 (Senior Internal Auditor) post was established and advertised on 15 February 2021. </w:t>
      </w:r>
      <w:r w:rsidRPr="001C1B79">
        <w:rPr>
          <w:rFonts w:cstheme="minorHAnsi"/>
          <w:sz w:val="24"/>
          <w:szCs w:val="24"/>
        </w:rPr>
        <w:t>C</w:t>
      </w:r>
      <w:r w:rsidRPr="001C1B79">
        <w:rPr>
          <w:rFonts w:cstheme="minorHAnsi"/>
          <w:color w:val="000000"/>
          <w:sz w:val="24"/>
          <w:szCs w:val="24"/>
        </w:rPr>
        <w:t>urrently the Unit consists thus of four professional posts, of which one is vacant pending recruitment in the course of 2021</w:t>
      </w:r>
      <w:r w:rsidRPr="001C1B79">
        <w:rPr>
          <w:rFonts w:cstheme="minorHAnsi"/>
          <w:sz w:val="24"/>
          <w:szCs w:val="24"/>
        </w:rPr>
        <w:t>.</w:t>
      </w:r>
    </w:p>
    <w:p w14:paraId="0BD3A7F6"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Internal Audit (IA) confirms that it conducts its audits in accordance with the International Standards for the Professional Practice of Internal Auditing and the Code of Ethics established by the Institute of Internal Auditors (IIA),</w:t>
      </w:r>
      <w:r w:rsidRPr="001C1B79">
        <w:rPr>
          <w:rStyle w:val="FootnoteReference"/>
          <w:rFonts w:asciiTheme="minorHAnsi" w:hAnsiTheme="minorHAnsi" w:cstheme="minorHAnsi"/>
          <w:sz w:val="18"/>
          <w:szCs w:val="18"/>
        </w:rPr>
        <w:footnoteReference w:id="2"/>
      </w:r>
      <w:r w:rsidRPr="001C1B79">
        <w:rPr>
          <w:rFonts w:cstheme="minorHAnsi"/>
          <w:sz w:val="24"/>
          <w:szCs w:val="24"/>
        </w:rPr>
        <w:t xml:space="preserve"> as well as with the provisions of the ITU Internal Audit Charter.</w:t>
      </w:r>
      <w:r w:rsidRPr="001C1B79">
        <w:rPr>
          <w:rStyle w:val="FootnoteReference"/>
          <w:rFonts w:asciiTheme="minorHAnsi" w:hAnsiTheme="minorHAnsi" w:cstheme="minorHAnsi"/>
          <w:sz w:val="18"/>
          <w:szCs w:val="18"/>
        </w:rPr>
        <w:footnoteReference w:id="3"/>
      </w:r>
      <w:r w:rsidRPr="001C1B79">
        <w:rPr>
          <w:rFonts w:cstheme="minorHAnsi"/>
          <w:sz w:val="24"/>
          <w:szCs w:val="24"/>
        </w:rPr>
        <w:t xml:space="preserve"> In addition, IA confirms that, for the period reported on, its staff had no managerial authority over, nor responsibility for any of the activities audited and did not perform accounting or operational functions within ITU.</w:t>
      </w:r>
    </w:p>
    <w:p w14:paraId="51DF51A5" w14:textId="77777777" w:rsidR="00423739" w:rsidRPr="001C1B79" w:rsidRDefault="00423739" w:rsidP="00423739">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1C1B79">
        <w:rPr>
          <w:rFonts w:asciiTheme="minorHAnsi" w:hAnsiTheme="minorHAnsi" w:cstheme="minorHAnsi"/>
          <w:szCs w:val="28"/>
          <w:lang w:val="en-CA"/>
        </w:rPr>
        <w:t>Orientation and scope of the internal audit activities</w:t>
      </w:r>
    </w:p>
    <w:p w14:paraId="7F4C1981" w14:textId="123CAACF"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 xml:space="preserve">For 2020, the IA work plan was drawn up in a shorter version mid-2020, mainly because the IA had been heavily involved in investigations work which continued well into 2020. Audit work commenced sometime later in 2020. </w:t>
      </w:r>
      <w:r w:rsidRPr="001C1B79">
        <w:rPr>
          <w:rFonts w:cstheme="minorHAnsi"/>
          <w:sz w:val="24"/>
          <w:szCs w:val="24"/>
          <w:lang w:val="en-CA"/>
        </w:rPr>
        <w:t>In line with the IA Charter, t</w:t>
      </w:r>
      <w:r w:rsidRPr="001C1B79">
        <w:rPr>
          <w:rFonts w:cstheme="minorHAnsi"/>
          <w:sz w:val="24"/>
          <w:szCs w:val="24"/>
        </w:rPr>
        <w:t>he IA plan for 2021 was reviewed by the Independent Management Advisory Committee (IMAC) at its 28</w:t>
      </w:r>
      <w:r w:rsidRPr="0086597E">
        <w:rPr>
          <w:rFonts w:cstheme="minorHAnsi"/>
          <w:sz w:val="24"/>
          <w:szCs w:val="24"/>
        </w:rPr>
        <w:t>th</w:t>
      </w:r>
      <w:r w:rsidRPr="001C1B79">
        <w:rPr>
          <w:rFonts w:cstheme="minorHAnsi"/>
          <w:sz w:val="24"/>
          <w:szCs w:val="24"/>
        </w:rPr>
        <w:t xml:space="preserve"> meeting and on 29 March </w:t>
      </w:r>
      <w:r w:rsidRPr="0086597E">
        <w:rPr>
          <w:rFonts w:cstheme="minorHAnsi"/>
          <w:spacing w:val="-2"/>
          <w:sz w:val="24"/>
          <w:szCs w:val="24"/>
        </w:rPr>
        <w:t>2021 approved by the Secretary-General. The allotted time for investigations was for 2021 minimized</w:t>
      </w:r>
      <w:r w:rsidRPr="001C1B79">
        <w:rPr>
          <w:rFonts w:cstheme="minorHAnsi"/>
          <w:sz w:val="24"/>
          <w:szCs w:val="24"/>
        </w:rPr>
        <w:t xml:space="preserve"> as to allow IA to conduct the core of its mandate. IA’s work on investigations is based on the Internal Audit Charter stipulating also that </w:t>
      </w:r>
      <w:r w:rsidRPr="001C1B79">
        <w:rPr>
          <w:rFonts w:cstheme="minorHAnsi"/>
          <w:i/>
          <w:iCs/>
          <w:sz w:val="24"/>
          <w:szCs w:val="24"/>
        </w:rPr>
        <w:t>IA shall investigate allegations, or presumptions, of fraud or mismanagement</w:t>
      </w:r>
      <w:r w:rsidRPr="001C1B79">
        <w:rPr>
          <w:rFonts w:cstheme="minorHAnsi"/>
          <w:sz w:val="24"/>
          <w:szCs w:val="24"/>
        </w:rPr>
        <w:t xml:space="preserve"> as well as that </w:t>
      </w:r>
      <w:r w:rsidRPr="001C1B79">
        <w:rPr>
          <w:rFonts w:cstheme="minorHAnsi"/>
          <w:i/>
          <w:iCs/>
          <w:sz w:val="24"/>
          <w:szCs w:val="24"/>
        </w:rPr>
        <w:t>Internal Audit may provide consulting services within ITU</w:t>
      </w:r>
      <w:r w:rsidRPr="001C1B79">
        <w:rPr>
          <w:rFonts w:cstheme="minorHAnsi"/>
          <w:sz w:val="24"/>
          <w:szCs w:val="24"/>
        </w:rPr>
        <w:t>.</w:t>
      </w:r>
    </w:p>
    <w:p w14:paraId="257B5FA7"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 xml:space="preserve">IA systematically shares copies of internal audit reports with the ITU External Auditor and with the IMAC. In accordance with ITU Financial Regulation 29.5, final internal audit reports can be made available to Member States or their designated representatives. A facilitated mechanism for accessing internal audit reports has been put in place since October 2015. During the period reported on, no requests for accessing internal audit reports were received via the online mechanism. </w:t>
      </w:r>
    </w:p>
    <w:p w14:paraId="091151D4" w14:textId="77777777" w:rsidR="00423739" w:rsidRPr="001C1B79" w:rsidRDefault="00423739" w:rsidP="00423739">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1C1B79">
        <w:rPr>
          <w:rFonts w:asciiTheme="minorHAnsi" w:hAnsiTheme="minorHAnsi" w:cstheme="minorHAnsi"/>
          <w:szCs w:val="28"/>
          <w:lang w:val="en-CA"/>
        </w:rPr>
        <w:t>Objectives and conclusions of the assurance engagements</w:t>
      </w:r>
    </w:p>
    <w:p w14:paraId="787CE26B"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The objectives of the assurance engagements are to assess: (</w:t>
      </w:r>
      <w:proofErr w:type="spellStart"/>
      <w:r w:rsidRPr="001C1B79">
        <w:rPr>
          <w:rFonts w:cstheme="minorHAnsi"/>
          <w:sz w:val="24"/>
          <w:szCs w:val="24"/>
        </w:rPr>
        <w:t>i</w:t>
      </w:r>
      <w:proofErr w:type="spellEnd"/>
      <w:r w:rsidRPr="001C1B79">
        <w:rPr>
          <w:rFonts w:cstheme="minorHAnsi"/>
          <w:sz w:val="24"/>
          <w:szCs w:val="24"/>
        </w:rPr>
        <w:t>) the governance aspects of the Union’s operations audited; (ii) the risk management practices; and (iii) the effectiveness of (internal) controls. The priority of the recommendations resulting from the audit work is classified according to the impact and likelihood of the deficiency (high, medium, low).</w:t>
      </w:r>
    </w:p>
    <w:p w14:paraId="6A0709BF"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lastRenderedPageBreak/>
        <w:t xml:space="preserve">The implementation of recommended actions is followed up by IA, as and when required. Since early 2021 a compliance dashboard is for that purpose Union-wide available and facilitates the tracking of recommendation implementation for concerned </w:t>
      </w:r>
      <w:proofErr w:type="gramStart"/>
      <w:r w:rsidRPr="001C1B79">
        <w:rPr>
          <w:rFonts w:cstheme="minorHAnsi"/>
          <w:sz w:val="24"/>
          <w:szCs w:val="24"/>
        </w:rPr>
        <w:t>managers, yet</w:t>
      </w:r>
      <w:proofErr w:type="gramEnd"/>
      <w:r w:rsidRPr="001C1B79">
        <w:rPr>
          <w:rFonts w:cstheme="minorHAnsi"/>
          <w:sz w:val="24"/>
          <w:szCs w:val="24"/>
        </w:rPr>
        <w:t xml:space="preserve"> does not relieve the IA’s responsibility to follow up on its earlier made recommendations, as per IIA Standard 2500</w:t>
      </w:r>
      <w:r w:rsidRPr="001C1B79">
        <w:rPr>
          <w:rStyle w:val="FootnoteReference"/>
          <w:rFonts w:cstheme="minorHAnsi"/>
          <w:szCs w:val="24"/>
        </w:rPr>
        <w:footnoteReference w:id="4"/>
      </w:r>
      <w:r w:rsidRPr="001C1B79">
        <w:rPr>
          <w:rFonts w:cstheme="minorHAnsi"/>
          <w:sz w:val="24"/>
          <w:szCs w:val="24"/>
        </w:rPr>
        <w:t xml:space="preserve">. </w:t>
      </w:r>
    </w:p>
    <w:p w14:paraId="2B0DCD5D" w14:textId="77777777" w:rsidR="00423739" w:rsidRPr="001C1B79" w:rsidRDefault="00423739" w:rsidP="00423739">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1C1B79">
        <w:rPr>
          <w:rFonts w:asciiTheme="minorHAnsi" w:hAnsiTheme="minorHAnsi" w:cstheme="minorHAnsi"/>
          <w:szCs w:val="28"/>
          <w:lang w:val="en-CA"/>
        </w:rPr>
        <w:t>Investigations by Internal Audit</w:t>
      </w:r>
    </w:p>
    <w:p w14:paraId="4B8C2E9E"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IA, in its investigative capacity, completed six investigations. IA also provided extensive support to an external investigator for a harassment type of investigation.</w:t>
      </w:r>
    </w:p>
    <w:p w14:paraId="5BE54853"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ascii="Calibri" w:hAnsi="Calibri" w:cs="Calibri"/>
          <w:sz w:val="24"/>
          <w:szCs w:val="24"/>
        </w:rPr>
        <w:t xml:space="preserve">Six investigations were completed by IA: </w:t>
      </w:r>
    </w:p>
    <w:p w14:paraId="06148BB2" w14:textId="77777777" w:rsidR="00423739" w:rsidRPr="001C1B79" w:rsidRDefault="00423739" w:rsidP="00423739">
      <w:pPr>
        <w:pStyle w:val="ListParagraph"/>
        <w:numPr>
          <w:ilvl w:val="1"/>
          <w:numId w:val="12"/>
        </w:numPr>
        <w:adjustRightInd w:val="0"/>
        <w:snapToGrid w:val="0"/>
        <w:spacing w:before="120" w:after="120" w:line="240" w:lineRule="auto"/>
        <w:ind w:left="720" w:hanging="578"/>
        <w:contextualSpacing w:val="0"/>
        <w:jc w:val="both"/>
        <w:rPr>
          <w:rFonts w:cstheme="minorHAnsi"/>
          <w:sz w:val="24"/>
          <w:szCs w:val="24"/>
        </w:rPr>
      </w:pPr>
      <w:r w:rsidRPr="001C1B79">
        <w:rPr>
          <w:rFonts w:ascii="Calibri" w:hAnsi="Calibri" w:cs="Calibri"/>
          <w:sz w:val="24"/>
          <w:szCs w:val="24"/>
        </w:rPr>
        <w:t>Three formal investigations into complaints related to alleged non-authorized outside activities (running and/or owning a company</w:t>
      </w:r>
      <w:proofErr w:type="gramStart"/>
      <w:r w:rsidRPr="001C1B79">
        <w:rPr>
          <w:rFonts w:ascii="Calibri" w:hAnsi="Calibri" w:cs="Calibri"/>
          <w:sz w:val="24"/>
          <w:szCs w:val="24"/>
        </w:rPr>
        <w:t>);</w:t>
      </w:r>
      <w:proofErr w:type="gramEnd"/>
    </w:p>
    <w:p w14:paraId="5D3FE296" w14:textId="77777777" w:rsidR="00423739" w:rsidRPr="001C1B79" w:rsidRDefault="00423739" w:rsidP="00423739">
      <w:pPr>
        <w:pStyle w:val="ListParagraph"/>
        <w:numPr>
          <w:ilvl w:val="1"/>
          <w:numId w:val="12"/>
        </w:numPr>
        <w:adjustRightInd w:val="0"/>
        <w:snapToGrid w:val="0"/>
        <w:spacing w:before="120" w:after="120" w:line="240" w:lineRule="auto"/>
        <w:ind w:left="720" w:hanging="578"/>
        <w:contextualSpacing w:val="0"/>
        <w:jc w:val="both"/>
        <w:rPr>
          <w:rFonts w:cstheme="minorHAnsi"/>
          <w:sz w:val="24"/>
          <w:szCs w:val="24"/>
        </w:rPr>
      </w:pPr>
      <w:r w:rsidRPr="001C1B79">
        <w:rPr>
          <w:rFonts w:ascii="Calibri" w:hAnsi="Calibri" w:cs="Calibri"/>
          <w:sz w:val="24"/>
          <w:szCs w:val="24"/>
        </w:rPr>
        <w:t xml:space="preserve">A formal investigation into a staff member’s alleged fraudulently obtaining allowances and/or </w:t>
      </w:r>
      <w:proofErr w:type="gramStart"/>
      <w:r w:rsidRPr="001C1B79">
        <w:rPr>
          <w:rFonts w:ascii="Calibri" w:hAnsi="Calibri" w:cs="Calibri"/>
          <w:sz w:val="24"/>
          <w:szCs w:val="24"/>
        </w:rPr>
        <w:t>entitlements;</w:t>
      </w:r>
      <w:proofErr w:type="gramEnd"/>
    </w:p>
    <w:p w14:paraId="76E473CC" w14:textId="77777777" w:rsidR="00423739" w:rsidRPr="001C1B79" w:rsidRDefault="00423739" w:rsidP="00423739">
      <w:pPr>
        <w:pStyle w:val="ListParagraph"/>
        <w:numPr>
          <w:ilvl w:val="1"/>
          <w:numId w:val="12"/>
        </w:numPr>
        <w:adjustRightInd w:val="0"/>
        <w:snapToGrid w:val="0"/>
        <w:spacing w:before="120" w:after="120" w:line="240" w:lineRule="auto"/>
        <w:ind w:left="720" w:hanging="578"/>
        <w:contextualSpacing w:val="0"/>
        <w:jc w:val="both"/>
        <w:rPr>
          <w:rFonts w:cstheme="minorHAnsi"/>
          <w:sz w:val="24"/>
          <w:szCs w:val="24"/>
        </w:rPr>
      </w:pPr>
      <w:r w:rsidRPr="001C1B79">
        <w:rPr>
          <w:rFonts w:cstheme="minorHAnsi"/>
          <w:sz w:val="24"/>
          <w:szCs w:val="24"/>
        </w:rPr>
        <w:t xml:space="preserve">A formal investigation </w:t>
      </w:r>
      <w:r w:rsidRPr="001C1B79">
        <w:rPr>
          <w:rFonts w:ascii="Calibri" w:hAnsi="Calibri" w:cs="Calibri"/>
          <w:sz w:val="24"/>
          <w:szCs w:val="24"/>
        </w:rPr>
        <w:t xml:space="preserve">further to a complaint related to several staff </w:t>
      </w:r>
      <w:proofErr w:type="gramStart"/>
      <w:r w:rsidRPr="001C1B79">
        <w:rPr>
          <w:rFonts w:ascii="Calibri" w:hAnsi="Calibri" w:cs="Calibri"/>
          <w:sz w:val="24"/>
          <w:szCs w:val="24"/>
        </w:rPr>
        <w:t>members’</w:t>
      </w:r>
      <w:proofErr w:type="gramEnd"/>
      <w:r w:rsidRPr="001C1B79">
        <w:rPr>
          <w:rFonts w:ascii="Calibri" w:hAnsi="Calibri" w:cs="Calibri"/>
          <w:sz w:val="24"/>
          <w:szCs w:val="24"/>
        </w:rPr>
        <w:t xml:space="preserve"> alleged encouraging, witnessing and/or actively sharing externally of </w:t>
      </w:r>
      <w:r w:rsidRPr="001C1B79">
        <w:rPr>
          <w:sz w:val="24"/>
          <w:szCs w:val="24"/>
        </w:rPr>
        <w:t>potentially confidential/sensitive information; and</w:t>
      </w:r>
    </w:p>
    <w:p w14:paraId="353B5B1C" w14:textId="77777777" w:rsidR="00423739" w:rsidRPr="001C1B79" w:rsidRDefault="00423739" w:rsidP="00423739">
      <w:pPr>
        <w:pStyle w:val="ListParagraph"/>
        <w:numPr>
          <w:ilvl w:val="1"/>
          <w:numId w:val="12"/>
        </w:numPr>
        <w:adjustRightInd w:val="0"/>
        <w:snapToGrid w:val="0"/>
        <w:spacing w:before="120" w:after="120" w:line="240" w:lineRule="auto"/>
        <w:ind w:left="720" w:hanging="578"/>
        <w:contextualSpacing w:val="0"/>
        <w:jc w:val="both"/>
        <w:rPr>
          <w:rFonts w:cstheme="minorHAnsi"/>
          <w:sz w:val="24"/>
          <w:szCs w:val="24"/>
        </w:rPr>
      </w:pPr>
      <w:r w:rsidRPr="001C1B79">
        <w:rPr>
          <w:rFonts w:cstheme="minorHAnsi"/>
          <w:sz w:val="24"/>
          <w:szCs w:val="24"/>
        </w:rPr>
        <w:t xml:space="preserve">A formal investigation into </w:t>
      </w:r>
      <w:r w:rsidRPr="001C1B79">
        <w:rPr>
          <w:sz w:val="24"/>
          <w:szCs w:val="24"/>
        </w:rPr>
        <w:t xml:space="preserve">one </w:t>
      </w:r>
      <w:r w:rsidRPr="001C1B79">
        <w:rPr>
          <w:rFonts w:ascii="Calibri" w:hAnsi="Calibri" w:cs="Calibri"/>
          <w:sz w:val="24"/>
          <w:szCs w:val="24"/>
        </w:rPr>
        <w:t xml:space="preserve">is further to </w:t>
      </w:r>
      <w:r w:rsidRPr="001C1B79">
        <w:rPr>
          <w:sz w:val="24"/>
          <w:szCs w:val="24"/>
        </w:rPr>
        <w:t xml:space="preserve">a complaint related to a staff member’s alleged destruction and/or concealment of ITU records.  </w:t>
      </w:r>
    </w:p>
    <w:p w14:paraId="412320B5" w14:textId="77777777" w:rsidR="00423739" w:rsidRPr="001C1B79" w:rsidRDefault="00423739" w:rsidP="00423739">
      <w:pPr>
        <w:snapToGrid w:val="0"/>
        <w:spacing w:after="120"/>
        <w:jc w:val="both"/>
        <w:rPr>
          <w:rFonts w:cstheme="minorHAnsi"/>
          <w:szCs w:val="24"/>
        </w:rPr>
      </w:pPr>
      <w:r w:rsidRPr="001C1B79">
        <w:rPr>
          <w:rFonts w:cstheme="minorHAnsi"/>
          <w:szCs w:val="24"/>
        </w:rPr>
        <w:t xml:space="preserve">Upon completion of the investigations and in accordance with the ITU Investigation Guidelines, IA provided the Secretary-General with confidential investigation reports. The investigation under d. above resulted in a closure report since it was concluded that the allegations were not founded.  </w:t>
      </w:r>
      <w:r w:rsidRPr="001C1B79">
        <w:t xml:space="preserve">With respect to the investigation under c. </w:t>
      </w:r>
      <w:proofErr w:type="gramStart"/>
      <w:r w:rsidRPr="001C1B79">
        <w:t>above, and</w:t>
      </w:r>
      <w:proofErr w:type="gramEnd"/>
      <w:r w:rsidRPr="001C1B79">
        <w:t xml:space="preserve"> given that it concerns a case of fraud or presumption of fraud, it was in February 2021 reported to the external auditor (in accordance with the ITU Financial Regulation art. 28.9). For this case it was found that the staff member had received an amount of CHF 11,279.25 representing an excess in entitlements. </w:t>
      </w:r>
    </w:p>
    <w:p w14:paraId="7BAA89EE"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ascii="Calibri" w:hAnsi="Calibri" w:cs="Calibri"/>
          <w:sz w:val="24"/>
          <w:szCs w:val="24"/>
        </w:rPr>
        <w:t>Extensive support was provided to an external investigator recruited to conduct a</w:t>
      </w:r>
      <w:r w:rsidRPr="001C1B79">
        <w:rPr>
          <w:rFonts w:cs="Calibri"/>
          <w:sz w:val="24"/>
          <w:szCs w:val="24"/>
        </w:rPr>
        <w:t xml:space="preserve"> formal investigation into alleged inappropriate behavior of an ITU staff member versus </w:t>
      </w:r>
      <w:proofErr w:type="gramStart"/>
      <w:r w:rsidRPr="001C1B79">
        <w:rPr>
          <w:rFonts w:cs="Calibri"/>
          <w:sz w:val="24"/>
          <w:szCs w:val="24"/>
        </w:rPr>
        <w:t>a number of</w:t>
      </w:r>
      <w:proofErr w:type="gramEnd"/>
      <w:r w:rsidRPr="001C1B79">
        <w:rPr>
          <w:rFonts w:cs="Calibri"/>
          <w:sz w:val="24"/>
          <w:szCs w:val="24"/>
        </w:rPr>
        <w:t xml:space="preserve"> other staff members. Administrative follow-up on all investigations is conducted by the Human Resources Management Department, on behalf of the Secretary-General. </w:t>
      </w:r>
    </w:p>
    <w:p w14:paraId="587A68EB" w14:textId="77777777" w:rsidR="00423739" w:rsidRPr="001C1B79" w:rsidRDefault="00423739" w:rsidP="00423739">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1C1B79">
        <w:rPr>
          <w:rFonts w:asciiTheme="minorHAnsi" w:hAnsiTheme="minorHAnsi" w:cstheme="minorHAnsi"/>
          <w:szCs w:val="28"/>
          <w:lang w:val="en-CA"/>
        </w:rPr>
        <w:t>Consulting services by Internal Audit</w:t>
      </w:r>
    </w:p>
    <w:p w14:paraId="6B17EA24" w14:textId="77777777" w:rsidR="00423739" w:rsidRPr="001C1B79" w:rsidRDefault="00423739" w:rsidP="00423739">
      <w:pPr>
        <w:pStyle w:val="FootnoteText"/>
        <w:keepLines w:val="0"/>
        <w:tabs>
          <w:tab w:val="clear" w:pos="256"/>
          <w:tab w:val="clear" w:pos="567"/>
          <w:tab w:val="clear" w:pos="1134"/>
          <w:tab w:val="clear" w:pos="1701"/>
          <w:tab w:val="clear" w:pos="2268"/>
          <w:tab w:val="clear" w:pos="2835"/>
        </w:tabs>
        <w:overflowPunct/>
        <w:autoSpaceDE/>
        <w:autoSpaceDN/>
        <w:snapToGrid w:val="0"/>
        <w:spacing w:after="120"/>
        <w:ind w:left="720" w:firstLine="0"/>
        <w:jc w:val="both"/>
        <w:textAlignment w:val="auto"/>
        <w:rPr>
          <w:rFonts w:asciiTheme="minorHAnsi" w:hAnsiTheme="minorHAnsi" w:cstheme="minorHAnsi"/>
          <w:b/>
          <w:bCs/>
          <w:i/>
          <w:iCs/>
          <w:szCs w:val="24"/>
        </w:rPr>
      </w:pPr>
      <w:r w:rsidRPr="001C1B79">
        <w:rPr>
          <w:rFonts w:asciiTheme="minorHAnsi" w:hAnsiTheme="minorHAnsi" w:cstheme="minorHAnsi"/>
          <w:b/>
          <w:bCs/>
          <w:i/>
          <w:iCs/>
          <w:szCs w:val="24"/>
        </w:rPr>
        <w:t>Selection process for the ITU External Auditor</w:t>
      </w:r>
    </w:p>
    <w:p w14:paraId="0F7E6111"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sz w:val="24"/>
          <w:szCs w:val="24"/>
        </w:rPr>
      </w:pPr>
      <w:r w:rsidRPr="001C1B79">
        <w:rPr>
          <w:rFonts w:cstheme="minorHAnsi"/>
          <w:color w:val="000000"/>
          <w:sz w:val="24"/>
          <w:szCs w:val="24"/>
        </w:rPr>
        <w:t xml:space="preserve">Upon recommendation by the IMAC, the Secretary-General requested IA to lead, for the secretariat, the process of selecting a new External Auditor. At its 2018 session, the </w:t>
      </w:r>
      <w:r w:rsidRPr="001C1B79">
        <w:rPr>
          <w:rFonts w:cstheme="minorHAnsi"/>
          <w:sz w:val="24"/>
          <w:szCs w:val="24"/>
        </w:rPr>
        <w:t xml:space="preserve">Council appointed the individuals recommended by the six regional telecommunication organizations to </w:t>
      </w:r>
      <w:r w:rsidRPr="001C1B79">
        <w:rPr>
          <w:rFonts w:cstheme="minorHAnsi"/>
          <w:color w:val="000000"/>
          <w:sz w:val="24"/>
          <w:szCs w:val="24"/>
        </w:rPr>
        <w:t>serve as members of an Appraisal Committee</w:t>
      </w:r>
      <w:r w:rsidRPr="001C1B79">
        <w:rPr>
          <w:rFonts w:cstheme="minorHAnsi"/>
          <w:sz w:val="24"/>
          <w:szCs w:val="24"/>
        </w:rPr>
        <w:t xml:space="preserve"> and report to Council 2019 on the outcome of its work. With the support of the ITU secretariat, the Appraisal Committee conducted its work on the </w:t>
      </w:r>
      <w:r w:rsidRPr="001C1B79">
        <w:rPr>
          <w:rFonts w:cstheme="minorHAnsi"/>
          <w:sz w:val="24"/>
          <w:szCs w:val="24"/>
        </w:rPr>
        <w:lastRenderedPageBreak/>
        <w:t>tender process for identifying a Supreme Audit Institution (SAI) of an ITU Member State that best meets the criteria set out in a Request for Proposal (RFP) for auditing the accounts of the Union.</w:t>
      </w:r>
    </w:p>
    <w:p w14:paraId="7E5E718F" w14:textId="77777777" w:rsidR="00423739" w:rsidRPr="001C1B79" w:rsidRDefault="00423739" w:rsidP="00423739">
      <w:pPr>
        <w:pStyle w:val="ListParagraph"/>
        <w:numPr>
          <w:ilvl w:val="0"/>
          <w:numId w:val="12"/>
        </w:numPr>
        <w:adjustRightInd w:val="0"/>
        <w:snapToGrid w:val="0"/>
        <w:spacing w:before="120" w:after="120" w:line="240" w:lineRule="auto"/>
        <w:ind w:left="0" w:firstLine="0"/>
        <w:contextualSpacing w:val="0"/>
        <w:jc w:val="both"/>
        <w:rPr>
          <w:rFonts w:cstheme="minorHAnsi"/>
          <w:bCs/>
          <w:sz w:val="24"/>
          <w:szCs w:val="24"/>
        </w:rPr>
      </w:pPr>
      <w:r w:rsidRPr="001C1B79">
        <w:rPr>
          <w:rFonts w:cstheme="minorHAnsi"/>
          <w:color w:val="000000"/>
          <w:sz w:val="24"/>
          <w:szCs w:val="24"/>
        </w:rPr>
        <w:t>IA continued throughout the process to assist the members of the Appraisal Committee for conducting their work and provided guidance on procedural and audit technical matters as appropriate. A report of the Appraisal Committee’s work was submitted to the first Virtual Consultation of Councilors 2020, after which the answers to the various questions raised at that session were coordinated by IA. After the second Virtual Consultation of Councilors 2020, a consultation by correspondence was undertaken and the external auditor selection was confirmed for appointment (</w:t>
      </w:r>
      <w:hyperlink r:id="rId10" w:history="1">
        <w:r w:rsidRPr="001C1B79">
          <w:rPr>
            <w:rStyle w:val="Hyperlink"/>
            <w:rFonts w:cstheme="minorHAnsi"/>
            <w:sz w:val="24"/>
            <w:szCs w:val="24"/>
          </w:rPr>
          <w:t>Council Decision 621</w:t>
        </w:r>
      </w:hyperlink>
      <w:r w:rsidRPr="001C1B79">
        <w:rPr>
          <w:rFonts w:cstheme="minorHAnsi"/>
          <w:color w:val="000000"/>
          <w:sz w:val="24"/>
          <w:szCs w:val="24"/>
        </w:rPr>
        <w:t xml:space="preserve">). </w:t>
      </w:r>
    </w:p>
    <w:p w14:paraId="52EF7F53" w14:textId="77777777" w:rsidR="00423739" w:rsidRPr="001C1B79" w:rsidRDefault="00423739" w:rsidP="00DC75FD">
      <w:pPr>
        <w:pStyle w:val="FootnoteText"/>
        <w:keepLines w:val="0"/>
        <w:tabs>
          <w:tab w:val="clear" w:pos="256"/>
          <w:tab w:val="clear" w:pos="567"/>
          <w:tab w:val="clear" w:pos="1134"/>
          <w:tab w:val="clear" w:pos="1701"/>
          <w:tab w:val="clear" w:pos="2268"/>
          <w:tab w:val="clear" w:pos="2835"/>
        </w:tabs>
        <w:overflowPunct/>
        <w:autoSpaceDE/>
        <w:autoSpaceDN/>
        <w:snapToGrid w:val="0"/>
        <w:spacing w:before="360" w:after="120"/>
        <w:ind w:left="502" w:firstLine="0"/>
        <w:jc w:val="both"/>
        <w:textAlignment w:val="auto"/>
        <w:rPr>
          <w:rFonts w:asciiTheme="minorHAnsi" w:hAnsiTheme="minorHAnsi" w:cstheme="minorHAnsi"/>
          <w:b/>
          <w:bCs/>
          <w:i/>
          <w:iCs/>
          <w:szCs w:val="24"/>
        </w:rPr>
      </w:pPr>
      <w:r w:rsidRPr="001C1B79">
        <w:rPr>
          <w:rFonts w:asciiTheme="minorHAnsi" w:hAnsiTheme="minorHAnsi" w:cstheme="minorHAnsi"/>
          <w:b/>
          <w:bCs/>
          <w:i/>
          <w:iCs/>
          <w:szCs w:val="24"/>
        </w:rPr>
        <w:t>Forensic audit</w:t>
      </w:r>
    </w:p>
    <w:p w14:paraId="48F48498" w14:textId="26C7D40B" w:rsidR="00423739" w:rsidRDefault="00423739" w:rsidP="00423739">
      <w:pPr>
        <w:pStyle w:val="ListParagraph"/>
        <w:numPr>
          <w:ilvl w:val="0"/>
          <w:numId w:val="12"/>
        </w:numPr>
        <w:snapToGrid w:val="0"/>
        <w:spacing w:before="120" w:after="120" w:line="240" w:lineRule="auto"/>
        <w:ind w:left="0" w:firstLine="0"/>
        <w:contextualSpacing w:val="0"/>
        <w:jc w:val="both"/>
        <w:rPr>
          <w:rFonts w:cstheme="minorHAnsi"/>
          <w:sz w:val="24"/>
          <w:szCs w:val="24"/>
        </w:rPr>
      </w:pPr>
      <w:r w:rsidRPr="001C1B79">
        <w:rPr>
          <w:rFonts w:cstheme="minorHAnsi"/>
          <w:sz w:val="24"/>
          <w:szCs w:val="24"/>
        </w:rPr>
        <w:t xml:space="preserve">Council 2019 adopted </w:t>
      </w:r>
      <w:hyperlink r:id="rId11" w:history="1">
        <w:r w:rsidRPr="001C1B79">
          <w:rPr>
            <w:rStyle w:val="Hyperlink"/>
            <w:rFonts w:cstheme="minorHAnsi"/>
            <w:sz w:val="24"/>
            <w:szCs w:val="24"/>
          </w:rPr>
          <w:t>Decision 613</w:t>
        </w:r>
      </w:hyperlink>
      <w:r w:rsidRPr="001C1B79">
        <w:rPr>
          <w:rFonts w:cstheme="minorHAnsi"/>
          <w:sz w:val="24"/>
          <w:szCs w:val="24"/>
        </w:rPr>
        <w:t xml:space="preserve"> instructing the Secretary-General to conduct a forensic audit. IA developed an “Expression of interest” document jointly with the Procurement Division, and subsequently a “Request for Proposal” was published for which six bidders (out of ten submissions) were considered in the further evaluation. The winning bidder was contracted in January 2021 and is conducting the forensic audit work with IA as focal point. The Secretary-General submits to Council 2021 separately the report of the specialized firm.</w:t>
      </w:r>
    </w:p>
    <w:p w14:paraId="0A5BF1DE" w14:textId="77777777" w:rsidR="00423739" w:rsidRPr="00F64EA7" w:rsidRDefault="00423739" w:rsidP="00DC75FD">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cstheme="minorHAnsi"/>
          <w:szCs w:val="28"/>
          <w:lang w:val="en-CA"/>
        </w:rPr>
      </w:pPr>
      <w:r w:rsidRPr="00F64EA7">
        <w:rPr>
          <w:rFonts w:asciiTheme="minorHAnsi" w:hAnsiTheme="minorHAnsi" w:cstheme="minorHAnsi"/>
          <w:szCs w:val="28"/>
          <w:lang w:val="en-CA"/>
        </w:rPr>
        <w:t>Follow-up of internal audit recommendations</w:t>
      </w:r>
    </w:p>
    <w:p w14:paraId="045A7C70" w14:textId="77777777" w:rsidR="00423739" w:rsidRDefault="00423739" w:rsidP="00DC75FD">
      <w:pPr>
        <w:pStyle w:val="ListParagraph"/>
        <w:numPr>
          <w:ilvl w:val="0"/>
          <w:numId w:val="12"/>
        </w:numPr>
        <w:adjustRightInd w:val="0"/>
        <w:snapToGrid w:val="0"/>
        <w:spacing w:before="120" w:after="360" w:line="240" w:lineRule="auto"/>
        <w:ind w:left="0" w:firstLine="0"/>
        <w:contextualSpacing w:val="0"/>
        <w:jc w:val="both"/>
        <w:rPr>
          <w:rFonts w:cstheme="minorHAnsi"/>
          <w:sz w:val="24"/>
          <w:szCs w:val="24"/>
          <w:lang w:val="en-CA"/>
        </w:rPr>
      </w:pPr>
      <w:r w:rsidRPr="00F64EA7">
        <w:rPr>
          <w:rFonts w:cstheme="minorHAnsi"/>
          <w:sz w:val="24"/>
          <w:szCs w:val="24"/>
          <w:lang w:val="en-CA"/>
        </w:rPr>
        <w:t>Throughout the period reported on</w:t>
      </w:r>
      <w:r>
        <w:rPr>
          <w:rFonts w:cstheme="minorHAnsi"/>
          <w:sz w:val="24"/>
          <w:szCs w:val="24"/>
          <w:lang w:val="en-CA"/>
        </w:rPr>
        <w:t xml:space="preserve">, IA </w:t>
      </w:r>
      <w:r w:rsidRPr="00F64EA7">
        <w:rPr>
          <w:rFonts w:cstheme="minorHAnsi"/>
          <w:sz w:val="24"/>
          <w:szCs w:val="24"/>
          <w:lang w:val="en-CA"/>
        </w:rPr>
        <w:t>continued to follow up on recommendations made in previous audit reports. Further progress was noted over the last 12 months and statistics on the implementation</w:t>
      </w:r>
      <w:r>
        <w:rPr>
          <w:rFonts w:cstheme="minorHAnsi"/>
          <w:sz w:val="24"/>
          <w:szCs w:val="24"/>
          <w:lang w:val="en-CA"/>
        </w:rPr>
        <w:t xml:space="preserve"> </w:t>
      </w:r>
      <w:r w:rsidRPr="00F64EA7">
        <w:rPr>
          <w:rFonts w:cstheme="minorHAnsi"/>
          <w:sz w:val="24"/>
          <w:szCs w:val="24"/>
          <w:lang w:val="en-CA"/>
        </w:rPr>
        <w:t>(</w:t>
      </w:r>
      <w:r>
        <w:rPr>
          <w:rFonts w:cstheme="minorHAnsi"/>
          <w:sz w:val="24"/>
          <w:szCs w:val="24"/>
          <w:lang w:val="en-CA"/>
        </w:rPr>
        <w:t xml:space="preserve">as </w:t>
      </w:r>
      <w:proofErr w:type="gramStart"/>
      <w:r w:rsidRPr="00F64EA7">
        <w:rPr>
          <w:rFonts w:cstheme="minorHAnsi"/>
          <w:sz w:val="24"/>
          <w:szCs w:val="24"/>
          <w:lang w:val="en-CA"/>
        </w:rPr>
        <w:t>at</w:t>
      </w:r>
      <w:proofErr w:type="gramEnd"/>
      <w:r w:rsidRPr="00F64EA7">
        <w:rPr>
          <w:rFonts w:cstheme="minorHAnsi"/>
          <w:sz w:val="24"/>
          <w:szCs w:val="24"/>
          <w:lang w:val="en-CA"/>
        </w:rPr>
        <w:t xml:space="preserve"> </w:t>
      </w:r>
      <w:r>
        <w:rPr>
          <w:rFonts w:cstheme="minorHAnsi"/>
          <w:sz w:val="24"/>
          <w:szCs w:val="24"/>
          <w:lang w:val="en-CA"/>
        </w:rPr>
        <w:t>31 March 2021</w:t>
      </w:r>
      <w:r w:rsidRPr="00F64EA7">
        <w:rPr>
          <w:rFonts w:cstheme="minorHAnsi"/>
          <w:sz w:val="24"/>
          <w:szCs w:val="24"/>
          <w:lang w:val="en-CA"/>
        </w:rPr>
        <w:t>)</w:t>
      </w:r>
      <w:r>
        <w:rPr>
          <w:rFonts w:cstheme="minorHAnsi"/>
          <w:sz w:val="24"/>
          <w:szCs w:val="24"/>
          <w:lang w:val="en-CA"/>
        </w:rPr>
        <w:t xml:space="preserve"> are as follows</w:t>
      </w:r>
      <w:r w:rsidRPr="00F64EA7">
        <w:rPr>
          <w:rFonts w:cstheme="minorHAnsi"/>
          <w:sz w:val="24"/>
          <w:szCs w:val="24"/>
          <w:lang w:val="en-CA"/>
        </w:rPr>
        <w:t>:</w:t>
      </w:r>
    </w:p>
    <w:tbl>
      <w:tblPr>
        <w:tblW w:w="9095" w:type="dxa"/>
        <w:jc w:val="center"/>
        <w:tblLook w:val="04A0" w:firstRow="1" w:lastRow="0" w:firstColumn="1" w:lastColumn="0" w:noHBand="0" w:noVBand="1"/>
      </w:tblPr>
      <w:tblGrid>
        <w:gridCol w:w="1977"/>
        <w:gridCol w:w="709"/>
        <w:gridCol w:w="572"/>
        <w:gridCol w:w="703"/>
        <w:gridCol w:w="572"/>
        <w:gridCol w:w="704"/>
        <w:gridCol w:w="709"/>
        <w:gridCol w:w="572"/>
        <w:gridCol w:w="572"/>
        <w:gridCol w:w="698"/>
        <w:gridCol w:w="572"/>
        <w:gridCol w:w="735"/>
      </w:tblGrid>
      <w:tr w:rsidR="00423739" w:rsidRPr="0030315B" w14:paraId="4CAF611F"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027B7AF" w14:textId="77777777" w:rsidR="00423739" w:rsidRPr="0030315B" w:rsidRDefault="00423739" w:rsidP="00DA4077">
            <w:pPr>
              <w:rPr>
                <w:rFonts w:ascii="Arial" w:hAnsi="Arial" w:cs="Arial"/>
                <w:b/>
                <w:bCs/>
                <w:color w:val="FFFFFF"/>
                <w:sz w:val="16"/>
                <w:szCs w:val="16"/>
              </w:rPr>
            </w:pPr>
            <w:r w:rsidRPr="0030315B">
              <w:rPr>
                <w:rFonts w:ascii="Arial" w:hAnsi="Arial" w:cs="Arial"/>
                <w:b/>
                <w:bCs/>
                <w:color w:val="FFFFFF"/>
                <w:sz w:val="16"/>
                <w:szCs w:val="16"/>
              </w:rPr>
              <w:t>Year</w:t>
            </w:r>
          </w:p>
        </w:tc>
        <w:tc>
          <w:tcPr>
            <w:tcW w:w="70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EBE7DB4"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2011</w:t>
            </w:r>
          </w:p>
        </w:tc>
        <w:tc>
          <w:tcPr>
            <w:tcW w:w="57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CE94705"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2012</w:t>
            </w:r>
          </w:p>
        </w:tc>
        <w:tc>
          <w:tcPr>
            <w:tcW w:w="703"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C56627C"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2013</w:t>
            </w:r>
          </w:p>
        </w:tc>
        <w:tc>
          <w:tcPr>
            <w:tcW w:w="57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90CF675"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2014</w:t>
            </w:r>
          </w:p>
        </w:tc>
        <w:tc>
          <w:tcPr>
            <w:tcW w:w="70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1579DF3"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9535D01"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2016</w:t>
            </w:r>
          </w:p>
        </w:tc>
        <w:tc>
          <w:tcPr>
            <w:tcW w:w="57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E23AE26"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2017</w:t>
            </w:r>
          </w:p>
        </w:tc>
        <w:tc>
          <w:tcPr>
            <w:tcW w:w="57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9DCF040"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2018</w:t>
            </w:r>
          </w:p>
        </w:tc>
        <w:tc>
          <w:tcPr>
            <w:tcW w:w="69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BF9983F"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2019</w:t>
            </w:r>
          </w:p>
        </w:tc>
        <w:tc>
          <w:tcPr>
            <w:tcW w:w="572" w:type="dxa"/>
            <w:tcBorders>
              <w:top w:val="single" w:sz="4" w:space="0" w:color="auto"/>
              <w:left w:val="single" w:sz="4" w:space="0" w:color="auto"/>
              <w:bottom w:val="single" w:sz="4" w:space="0" w:color="auto"/>
              <w:right w:val="single" w:sz="4" w:space="0" w:color="auto"/>
            </w:tcBorders>
            <w:shd w:val="clear" w:color="000000" w:fill="000000"/>
            <w:vAlign w:val="bottom"/>
          </w:tcPr>
          <w:p w14:paraId="61529049" w14:textId="77777777" w:rsidR="00423739" w:rsidRPr="0030315B" w:rsidRDefault="00423739" w:rsidP="00DA4077">
            <w:pPr>
              <w:jc w:val="center"/>
              <w:rPr>
                <w:rFonts w:ascii="Arial" w:hAnsi="Arial" w:cs="Arial"/>
                <w:b/>
                <w:bCs/>
                <w:color w:val="FFFFFF"/>
                <w:sz w:val="16"/>
                <w:szCs w:val="16"/>
              </w:rPr>
            </w:pPr>
            <w:r w:rsidRPr="0030315B">
              <w:rPr>
                <w:rFonts w:ascii="Arial" w:hAnsi="Arial" w:cs="Arial"/>
                <w:b/>
                <w:bCs/>
                <w:color w:val="FFFFFF"/>
                <w:sz w:val="16"/>
                <w:szCs w:val="16"/>
              </w:rPr>
              <w:t>20</w:t>
            </w:r>
            <w:r>
              <w:rPr>
                <w:rFonts w:ascii="Arial" w:hAnsi="Arial" w:cs="Arial"/>
                <w:b/>
                <w:bCs/>
                <w:color w:val="FFFFFF"/>
                <w:sz w:val="16"/>
                <w:szCs w:val="16"/>
              </w:rPr>
              <w:t>20</w:t>
            </w:r>
          </w:p>
        </w:tc>
        <w:tc>
          <w:tcPr>
            <w:tcW w:w="73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77633D6" w14:textId="77777777" w:rsidR="00423739" w:rsidRPr="0030315B" w:rsidRDefault="00423739" w:rsidP="00DA4077">
            <w:pPr>
              <w:ind w:right="136"/>
              <w:jc w:val="center"/>
              <w:rPr>
                <w:rFonts w:ascii="Arial" w:hAnsi="Arial" w:cs="Arial"/>
                <w:b/>
                <w:bCs/>
                <w:color w:val="FFFFFF"/>
                <w:sz w:val="16"/>
                <w:szCs w:val="16"/>
              </w:rPr>
            </w:pPr>
            <w:r w:rsidRPr="0030315B">
              <w:rPr>
                <w:rFonts w:ascii="Arial" w:hAnsi="Arial" w:cs="Arial"/>
                <w:b/>
                <w:bCs/>
                <w:color w:val="FFFFFF"/>
                <w:sz w:val="16"/>
                <w:szCs w:val="16"/>
              </w:rPr>
              <w:t xml:space="preserve">Total </w:t>
            </w:r>
          </w:p>
        </w:tc>
      </w:tr>
      <w:tr w:rsidR="00423739" w:rsidRPr="0030315B" w14:paraId="4AD957AF"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CDEE" w14:textId="77777777" w:rsidR="00423739" w:rsidRPr="0030315B" w:rsidRDefault="00423739" w:rsidP="00DA4077">
            <w:pPr>
              <w:rPr>
                <w:rFonts w:ascii="Arial" w:hAnsi="Arial" w:cs="Arial"/>
                <w:sz w:val="16"/>
                <w:szCs w:val="16"/>
              </w:rPr>
            </w:pPr>
            <w:r w:rsidRPr="0030315B">
              <w:rPr>
                <w:rFonts w:ascii="Arial" w:hAnsi="Arial" w:cs="Arial"/>
                <w:sz w:val="16"/>
                <w:szCs w:val="16"/>
              </w:rPr>
              <w:t>Number of audit reports</w:t>
            </w:r>
            <w:r>
              <w:rPr>
                <w:rFonts w:ascii="Arial" w:hAnsi="Arial" w:cs="Arial"/>
                <w:sz w:val="16"/>
                <w:szCs w:val="16"/>
              </w:rPr>
              <w:t>/notes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422457"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2</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5378E144"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5F66C85D"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572" w:type="dxa"/>
            <w:tcBorders>
              <w:top w:val="single" w:sz="4" w:space="0" w:color="auto"/>
              <w:left w:val="nil"/>
              <w:bottom w:val="single" w:sz="4" w:space="0" w:color="auto"/>
              <w:right w:val="nil"/>
            </w:tcBorders>
            <w:shd w:val="clear" w:color="000000" w:fill="FFFFFF"/>
            <w:noWrap/>
            <w:vAlign w:val="bottom"/>
            <w:hideMark/>
          </w:tcPr>
          <w:p w14:paraId="05218FC0"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704" w:type="dxa"/>
            <w:tcBorders>
              <w:top w:val="single" w:sz="4" w:space="0" w:color="auto"/>
              <w:left w:val="single" w:sz="4" w:space="0" w:color="auto"/>
              <w:bottom w:val="single" w:sz="4" w:space="0" w:color="auto"/>
              <w:right w:val="nil"/>
            </w:tcBorders>
            <w:shd w:val="clear" w:color="000000" w:fill="FFFFFF"/>
            <w:noWrap/>
            <w:vAlign w:val="bottom"/>
            <w:hideMark/>
          </w:tcPr>
          <w:p w14:paraId="739464CE"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7</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1EEC2B8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654F654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5</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31EE8488"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698" w:type="dxa"/>
            <w:tcBorders>
              <w:top w:val="single" w:sz="4" w:space="0" w:color="auto"/>
              <w:left w:val="single" w:sz="4" w:space="0" w:color="auto"/>
              <w:bottom w:val="single" w:sz="4" w:space="0" w:color="auto"/>
              <w:right w:val="nil"/>
            </w:tcBorders>
            <w:shd w:val="clear" w:color="000000" w:fill="FFFFFF"/>
            <w:noWrap/>
            <w:vAlign w:val="bottom"/>
            <w:hideMark/>
          </w:tcPr>
          <w:p w14:paraId="265F2069"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2A6B2F2B" w14:textId="77777777" w:rsidR="00423739" w:rsidRPr="00D929E1" w:rsidRDefault="00423739" w:rsidP="00DA4077">
            <w:pPr>
              <w:jc w:val="center"/>
              <w:rPr>
                <w:rFonts w:ascii="Arial" w:hAnsi="Arial" w:cs="Arial"/>
                <w:sz w:val="16"/>
                <w:szCs w:val="16"/>
              </w:rPr>
            </w:pPr>
            <w:r w:rsidRPr="00D929E1">
              <w:rPr>
                <w:rFonts w:ascii="Arial" w:hAnsi="Arial" w:cs="Arial"/>
                <w:sz w:val="16"/>
                <w:szCs w:val="16"/>
              </w:rPr>
              <w:t>2</w:t>
            </w:r>
          </w:p>
        </w:tc>
        <w:tc>
          <w:tcPr>
            <w:tcW w:w="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CFD41FC"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3</w:t>
            </w:r>
            <w:r>
              <w:rPr>
                <w:rFonts w:ascii="Arial" w:hAnsi="Arial" w:cs="Arial"/>
                <w:b/>
                <w:bCs/>
                <w:sz w:val="16"/>
                <w:szCs w:val="16"/>
              </w:rPr>
              <w:t>4</w:t>
            </w:r>
          </w:p>
        </w:tc>
      </w:tr>
      <w:tr w:rsidR="00423739" w:rsidRPr="0030315B" w14:paraId="7581283B"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5A739" w14:textId="77777777" w:rsidR="00423739" w:rsidRPr="0030315B" w:rsidRDefault="00423739" w:rsidP="00DA4077">
            <w:pPr>
              <w:rPr>
                <w:rFonts w:ascii="Arial" w:hAnsi="Arial" w:cs="Arial"/>
                <w:sz w:val="16"/>
                <w:szCs w:val="16"/>
              </w:rPr>
            </w:pPr>
            <w:r w:rsidRPr="0030315B">
              <w:rPr>
                <w:rFonts w:ascii="Arial" w:hAnsi="Arial" w:cs="Arial"/>
                <w:sz w:val="16"/>
                <w:szCs w:val="16"/>
              </w:rPr>
              <w:t>Rec</w:t>
            </w:r>
            <w:r>
              <w:rPr>
                <w:rFonts w:ascii="Arial" w:hAnsi="Arial" w:cs="Arial"/>
                <w:sz w:val="16"/>
                <w:szCs w:val="16"/>
              </w:rPr>
              <w:t>.</w:t>
            </w:r>
            <w:r w:rsidRPr="0030315B">
              <w:rPr>
                <w:rFonts w:ascii="Arial" w:hAnsi="Arial" w:cs="Arial"/>
                <w:sz w:val="16"/>
                <w:szCs w:val="16"/>
              </w:rPr>
              <w:t xml:space="preserve"> </w:t>
            </w:r>
            <w:r>
              <w:rPr>
                <w:rFonts w:ascii="Arial" w:hAnsi="Arial" w:cs="Arial"/>
                <w:sz w:val="16"/>
                <w:szCs w:val="16"/>
              </w:rPr>
              <w:t>–</w:t>
            </w:r>
            <w:r w:rsidRPr="0030315B">
              <w:rPr>
                <w:rFonts w:ascii="Arial" w:hAnsi="Arial" w:cs="Arial"/>
                <w:sz w:val="16"/>
                <w:szCs w:val="16"/>
              </w:rPr>
              <w:t xml:space="preserve"> Total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ECF698"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17</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BBD0A99"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0E4C6035"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113</w:t>
            </w:r>
          </w:p>
        </w:tc>
        <w:tc>
          <w:tcPr>
            <w:tcW w:w="572" w:type="dxa"/>
            <w:tcBorders>
              <w:top w:val="single" w:sz="4" w:space="0" w:color="auto"/>
              <w:left w:val="nil"/>
              <w:bottom w:val="single" w:sz="4" w:space="0" w:color="auto"/>
              <w:right w:val="nil"/>
            </w:tcBorders>
            <w:shd w:val="clear" w:color="000000" w:fill="FFFFFF"/>
            <w:noWrap/>
            <w:vAlign w:val="bottom"/>
            <w:hideMark/>
          </w:tcPr>
          <w:p w14:paraId="231395D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55</w:t>
            </w:r>
          </w:p>
        </w:tc>
        <w:tc>
          <w:tcPr>
            <w:tcW w:w="704" w:type="dxa"/>
            <w:tcBorders>
              <w:top w:val="single" w:sz="4" w:space="0" w:color="auto"/>
              <w:left w:val="single" w:sz="4" w:space="0" w:color="auto"/>
              <w:bottom w:val="single" w:sz="4" w:space="0" w:color="auto"/>
              <w:right w:val="nil"/>
            </w:tcBorders>
            <w:shd w:val="clear" w:color="000000" w:fill="FFFFFF"/>
            <w:noWrap/>
            <w:vAlign w:val="bottom"/>
            <w:hideMark/>
          </w:tcPr>
          <w:p w14:paraId="41672E1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34</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2E6121C5"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22</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5F59597B"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30</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01CAB880"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26</w:t>
            </w:r>
          </w:p>
        </w:tc>
        <w:tc>
          <w:tcPr>
            <w:tcW w:w="698" w:type="dxa"/>
            <w:tcBorders>
              <w:top w:val="single" w:sz="4" w:space="0" w:color="auto"/>
              <w:left w:val="single" w:sz="4" w:space="0" w:color="auto"/>
              <w:bottom w:val="single" w:sz="4" w:space="0" w:color="auto"/>
              <w:right w:val="nil"/>
            </w:tcBorders>
            <w:shd w:val="clear" w:color="000000" w:fill="FFFFFF"/>
            <w:noWrap/>
            <w:vAlign w:val="bottom"/>
            <w:hideMark/>
          </w:tcPr>
          <w:p w14:paraId="5914C0CB"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0C3511BB" w14:textId="77777777" w:rsidR="00423739" w:rsidRPr="00D929E1" w:rsidRDefault="00423739" w:rsidP="00DA4077">
            <w:pPr>
              <w:jc w:val="center"/>
              <w:rPr>
                <w:rFonts w:ascii="Arial" w:hAnsi="Arial" w:cs="Arial"/>
                <w:sz w:val="16"/>
                <w:szCs w:val="16"/>
              </w:rPr>
            </w:pPr>
            <w:r w:rsidRPr="00D929E1">
              <w:rPr>
                <w:rFonts w:ascii="Arial" w:hAnsi="Arial" w:cs="Arial"/>
                <w:sz w:val="16"/>
                <w:szCs w:val="16"/>
              </w:rPr>
              <w:t>9</w:t>
            </w:r>
          </w:p>
        </w:tc>
        <w:tc>
          <w:tcPr>
            <w:tcW w:w="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AF5DF37"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3</w:t>
            </w:r>
            <w:r>
              <w:rPr>
                <w:rFonts w:ascii="Arial" w:hAnsi="Arial" w:cs="Arial"/>
                <w:b/>
                <w:bCs/>
                <w:sz w:val="16"/>
                <w:szCs w:val="16"/>
              </w:rPr>
              <w:t>21</w:t>
            </w:r>
          </w:p>
        </w:tc>
      </w:tr>
      <w:tr w:rsidR="00423739" w:rsidRPr="0030315B" w14:paraId="602EE13A"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44F5" w14:textId="77777777" w:rsidR="00423739" w:rsidRPr="0030315B" w:rsidRDefault="00423739" w:rsidP="00DA4077">
            <w:pPr>
              <w:rPr>
                <w:rFonts w:ascii="Arial" w:hAnsi="Arial" w:cs="Arial"/>
                <w:sz w:val="16"/>
                <w:szCs w:val="16"/>
              </w:rPr>
            </w:pPr>
            <w:r w:rsidRPr="0030315B">
              <w:rPr>
                <w:rFonts w:ascii="Arial" w:hAnsi="Arial" w:cs="Arial"/>
                <w:sz w:val="16"/>
                <w:szCs w:val="16"/>
              </w:rPr>
              <w:t xml:space="preserve">    In Progress</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0EF700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1CA899B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0B1E335D" w14:textId="77777777" w:rsidR="00423739" w:rsidRPr="0030315B" w:rsidRDefault="00423739" w:rsidP="00DA4077">
            <w:pPr>
              <w:jc w:val="center"/>
              <w:rPr>
                <w:rFonts w:ascii="Arial" w:hAnsi="Arial" w:cs="Arial"/>
                <w:sz w:val="16"/>
                <w:szCs w:val="16"/>
              </w:rPr>
            </w:pPr>
            <w:r>
              <w:rPr>
                <w:rFonts w:ascii="Arial" w:hAnsi="Arial" w:cs="Arial"/>
                <w:sz w:val="16"/>
                <w:szCs w:val="16"/>
              </w:rPr>
              <w:t>4</w:t>
            </w:r>
          </w:p>
        </w:tc>
        <w:tc>
          <w:tcPr>
            <w:tcW w:w="572" w:type="dxa"/>
            <w:tcBorders>
              <w:top w:val="single" w:sz="4" w:space="0" w:color="auto"/>
              <w:left w:val="nil"/>
              <w:bottom w:val="single" w:sz="4" w:space="0" w:color="auto"/>
              <w:right w:val="nil"/>
            </w:tcBorders>
            <w:shd w:val="clear" w:color="000000" w:fill="FFFFFF"/>
            <w:noWrap/>
            <w:vAlign w:val="bottom"/>
            <w:hideMark/>
          </w:tcPr>
          <w:p w14:paraId="20A5328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2</w:t>
            </w:r>
          </w:p>
        </w:tc>
        <w:tc>
          <w:tcPr>
            <w:tcW w:w="704" w:type="dxa"/>
            <w:tcBorders>
              <w:top w:val="single" w:sz="4" w:space="0" w:color="auto"/>
              <w:left w:val="single" w:sz="4" w:space="0" w:color="auto"/>
              <w:bottom w:val="single" w:sz="4" w:space="0" w:color="auto"/>
              <w:right w:val="nil"/>
            </w:tcBorders>
            <w:shd w:val="clear" w:color="000000" w:fill="FFFFFF"/>
            <w:noWrap/>
            <w:vAlign w:val="bottom"/>
            <w:hideMark/>
          </w:tcPr>
          <w:p w14:paraId="7C8F4FC8"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20F4B274" w14:textId="77777777" w:rsidR="00423739" w:rsidRPr="0030315B" w:rsidRDefault="00423739" w:rsidP="00DA4077">
            <w:pPr>
              <w:jc w:val="center"/>
              <w:rPr>
                <w:rFonts w:ascii="Arial" w:hAnsi="Arial" w:cs="Arial"/>
                <w:sz w:val="16"/>
                <w:szCs w:val="16"/>
              </w:rPr>
            </w:pPr>
            <w:r>
              <w:rPr>
                <w:rFonts w:ascii="Arial" w:hAnsi="Arial" w:cs="Arial"/>
                <w:sz w:val="16"/>
                <w:szCs w:val="16"/>
              </w:rPr>
              <w:t>6</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666EDD49" w14:textId="77777777" w:rsidR="00423739" w:rsidRPr="0030315B" w:rsidRDefault="00423739" w:rsidP="00DA4077">
            <w:pPr>
              <w:jc w:val="center"/>
              <w:rPr>
                <w:rFonts w:ascii="Arial" w:hAnsi="Arial" w:cs="Arial"/>
                <w:sz w:val="16"/>
                <w:szCs w:val="16"/>
              </w:rPr>
            </w:pPr>
            <w:r>
              <w:rPr>
                <w:rFonts w:ascii="Arial" w:hAnsi="Arial" w:cs="Arial"/>
                <w:sz w:val="16"/>
                <w:szCs w:val="16"/>
              </w:rPr>
              <w:t>8</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462C2EDB" w14:textId="77777777" w:rsidR="00423739" w:rsidRPr="0030315B" w:rsidRDefault="00423739" w:rsidP="00DA4077">
            <w:pPr>
              <w:jc w:val="center"/>
              <w:rPr>
                <w:rFonts w:ascii="Arial" w:hAnsi="Arial" w:cs="Arial"/>
                <w:sz w:val="16"/>
                <w:szCs w:val="16"/>
              </w:rPr>
            </w:pPr>
            <w:r>
              <w:rPr>
                <w:rFonts w:ascii="Arial" w:hAnsi="Arial" w:cs="Arial"/>
                <w:sz w:val="16"/>
                <w:szCs w:val="16"/>
              </w:rPr>
              <w:t>12</w:t>
            </w:r>
          </w:p>
        </w:tc>
        <w:tc>
          <w:tcPr>
            <w:tcW w:w="698" w:type="dxa"/>
            <w:tcBorders>
              <w:top w:val="single" w:sz="4" w:space="0" w:color="auto"/>
              <w:left w:val="single" w:sz="4" w:space="0" w:color="auto"/>
              <w:bottom w:val="single" w:sz="4" w:space="0" w:color="auto"/>
              <w:right w:val="nil"/>
            </w:tcBorders>
            <w:shd w:val="clear" w:color="000000" w:fill="FFFFFF"/>
            <w:noWrap/>
            <w:vAlign w:val="bottom"/>
            <w:hideMark/>
          </w:tcPr>
          <w:p w14:paraId="280E72A2" w14:textId="77777777" w:rsidR="00423739" w:rsidRPr="0030315B" w:rsidRDefault="00423739" w:rsidP="00DA4077">
            <w:pPr>
              <w:jc w:val="center"/>
              <w:rPr>
                <w:rFonts w:ascii="Arial" w:hAnsi="Arial" w:cs="Arial"/>
                <w:sz w:val="16"/>
                <w:szCs w:val="16"/>
              </w:rPr>
            </w:pPr>
            <w:r>
              <w:rPr>
                <w:rFonts w:ascii="Arial" w:hAnsi="Arial" w:cs="Arial"/>
                <w:sz w:val="16"/>
                <w:szCs w:val="16"/>
              </w:rPr>
              <w:t>11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4D5079FB" w14:textId="77777777" w:rsidR="00423739" w:rsidRPr="00D929E1" w:rsidRDefault="00423739" w:rsidP="00DA4077">
            <w:pPr>
              <w:jc w:val="center"/>
              <w:rPr>
                <w:rFonts w:ascii="Arial" w:hAnsi="Arial" w:cs="Arial"/>
                <w:sz w:val="16"/>
                <w:szCs w:val="16"/>
              </w:rPr>
            </w:pPr>
            <w:r>
              <w:rPr>
                <w:rFonts w:ascii="Arial" w:hAnsi="Arial" w:cs="Arial"/>
                <w:sz w:val="16"/>
                <w:szCs w:val="16"/>
              </w:rPr>
              <w:t>4</w:t>
            </w:r>
          </w:p>
        </w:tc>
        <w:tc>
          <w:tcPr>
            <w:tcW w:w="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36476D0" w14:textId="77777777" w:rsidR="00423739" w:rsidRPr="0030315B" w:rsidRDefault="00423739" w:rsidP="00DA4077">
            <w:pPr>
              <w:jc w:val="center"/>
              <w:rPr>
                <w:rFonts w:ascii="Arial" w:hAnsi="Arial" w:cs="Arial"/>
                <w:b/>
                <w:bCs/>
                <w:sz w:val="16"/>
                <w:szCs w:val="16"/>
              </w:rPr>
            </w:pPr>
            <w:r>
              <w:rPr>
                <w:rFonts w:ascii="Arial" w:hAnsi="Arial" w:cs="Arial"/>
                <w:b/>
                <w:bCs/>
                <w:sz w:val="16"/>
                <w:szCs w:val="16"/>
              </w:rPr>
              <w:t>48</w:t>
            </w:r>
          </w:p>
        </w:tc>
      </w:tr>
      <w:tr w:rsidR="00423739" w:rsidRPr="0030315B" w14:paraId="32F251CB"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5BD8" w14:textId="77777777" w:rsidR="00423739" w:rsidRPr="0030315B" w:rsidRDefault="00423739" w:rsidP="00DA4077">
            <w:pPr>
              <w:rPr>
                <w:rFonts w:ascii="Arial" w:hAnsi="Arial" w:cs="Arial"/>
                <w:sz w:val="16"/>
                <w:szCs w:val="16"/>
              </w:rPr>
            </w:pPr>
            <w:r w:rsidRPr="0030315B">
              <w:rPr>
                <w:rFonts w:ascii="Arial" w:hAnsi="Arial" w:cs="Arial"/>
                <w:sz w:val="16"/>
                <w:szCs w:val="16"/>
              </w:rPr>
              <w:t xml:space="preserve">    Delayed</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76724EB"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3</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3B000EB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0C420C97"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4" w:space="0" w:color="auto"/>
              <w:left w:val="nil"/>
              <w:bottom w:val="single" w:sz="4" w:space="0" w:color="auto"/>
              <w:right w:val="nil"/>
            </w:tcBorders>
            <w:shd w:val="clear" w:color="000000" w:fill="FFFFFF"/>
            <w:noWrap/>
            <w:vAlign w:val="bottom"/>
            <w:hideMark/>
          </w:tcPr>
          <w:p w14:paraId="5CE9C72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704" w:type="dxa"/>
            <w:tcBorders>
              <w:top w:val="single" w:sz="4" w:space="0" w:color="auto"/>
              <w:left w:val="single" w:sz="4" w:space="0" w:color="auto"/>
              <w:bottom w:val="single" w:sz="4" w:space="0" w:color="auto"/>
              <w:right w:val="nil"/>
            </w:tcBorders>
            <w:shd w:val="clear" w:color="000000" w:fill="FFFFFF"/>
            <w:noWrap/>
            <w:vAlign w:val="bottom"/>
            <w:hideMark/>
          </w:tcPr>
          <w:p w14:paraId="0F8B371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6ACDE943"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787AA31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13D00EB7"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698" w:type="dxa"/>
            <w:tcBorders>
              <w:top w:val="single" w:sz="4" w:space="0" w:color="auto"/>
              <w:left w:val="single" w:sz="4" w:space="0" w:color="auto"/>
              <w:bottom w:val="single" w:sz="4" w:space="0" w:color="auto"/>
              <w:right w:val="nil"/>
            </w:tcBorders>
            <w:shd w:val="clear" w:color="000000" w:fill="FFFFFF"/>
            <w:noWrap/>
            <w:vAlign w:val="bottom"/>
            <w:hideMark/>
          </w:tcPr>
          <w:p w14:paraId="2FD1361B"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0815896C" w14:textId="77777777" w:rsidR="00423739" w:rsidRPr="00D929E1" w:rsidRDefault="00423739" w:rsidP="00DA4077">
            <w:pPr>
              <w:jc w:val="center"/>
              <w:rPr>
                <w:rFonts w:ascii="Arial" w:hAnsi="Arial" w:cs="Arial"/>
                <w:sz w:val="16"/>
                <w:szCs w:val="16"/>
              </w:rPr>
            </w:pPr>
            <w:r w:rsidRPr="00D929E1">
              <w:rPr>
                <w:rFonts w:ascii="Arial" w:hAnsi="Arial" w:cs="Arial"/>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D459F05"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3</w:t>
            </w:r>
          </w:p>
        </w:tc>
      </w:tr>
      <w:tr w:rsidR="00423739" w:rsidRPr="0030315B" w14:paraId="5D8BC978" w14:textId="77777777" w:rsidTr="00DA4077">
        <w:trPr>
          <w:trHeight w:val="244"/>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9D75" w14:textId="77777777" w:rsidR="00423739" w:rsidRPr="0030315B" w:rsidRDefault="00423739" w:rsidP="00DA4077">
            <w:pPr>
              <w:rPr>
                <w:rFonts w:ascii="Arial" w:hAnsi="Arial" w:cs="Arial"/>
                <w:sz w:val="16"/>
                <w:szCs w:val="16"/>
              </w:rPr>
            </w:pPr>
            <w:r w:rsidRPr="0030315B">
              <w:rPr>
                <w:rFonts w:ascii="Arial" w:hAnsi="Arial" w:cs="Arial"/>
                <w:sz w:val="16"/>
                <w:szCs w:val="16"/>
              </w:rPr>
              <w:t xml:space="preserve">    Closed</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37FD5AA2"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14</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0D8ADD7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shd w:val="clear" w:color="000000" w:fill="FFFFFF"/>
            <w:noWrap/>
            <w:vAlign w:val="bottom"/>
            <w:hideMark/>
          </w:tcPr>
          <w:p w14:paraId="235F8F5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10</w:t>
            </w:r>
            <w:r>
              <w:rPr>
                <w:rFonts w:ascii="Arial" w:hAnsi="Arial" w:cs="Arial"/>
                <w:sz w:val="16"/>
                <w:szCs w:val="16"/>
              </w:rPr>
              <w:t>9</w:t>
            </w:r>
          </w:p>
        </w:tc>
        <w:tc>
          <w:tcPr>
            <w:tcW w:w="572" w:type="dxa"/>
            <w:tcBorders>
              <w:top w:val="single" w:sz="4" w:space="0" w:color="auto"/>
              <w:left w:val="nil"/>
              <w:bottom w:val="single" w:sz="4" w:space="0" w:color="auto"/>
              <w:right w:val="nil"/>
            </w:tcBorders>
            <w:shd w:val="clear" w:color="000000" w:fill="FFFFFF"/>
            <w:noWrap/>
            <w:vAlign w:val="bottom"/>
            <w:hideMark/>
          </w:tcPr>
          <w:p w14:paraId="240B371B"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53</w:t>
            </w:r>
          </w:p>
        </w:tc>
        <w:tc>
          <w:tcPr>
            <w:tcW w:w="704" w:type="dxa"/>
            <w:tcBorders>
              <w:top w:val="single" w:sz="4" w:space="0" w:color="auto"/>
              <w:left w:val="single" w:sz="4" w:space="0" w:color="auto"/>
              <w:bottom w:val="single" w:sz="4" w:space="0" w:color="auto"/>
              <w:right w:val="nil"/>
            </w:tcBorders>
            <w:shd w:val="clear" w:color="000000" w:fill="FFFFFF"/>
            <w:noWrap/>
            <w:vAlign w:val="bottom"/>
            <w:hideMark/>
          </w:tcPr>
          <w:p w14:paraId="5D4DBE4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33</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14:paraId="0A88AD57"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w:t>
            </w:r>
            <w:r>
              <w:rPr>
                <w:rFonts w:ascii="Arial" w:hAnsi="Arial" w:cs="Arial"/>
                <w:sz w:val="16"/>
                <w:szCs w:val="16"/>
              </w:rPr>
              <w:t>6</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386EA165" w14:textId="77777777" w:rsidR="00423739" w:rsidRPr="0030315B" w:rsidRDefault="00423739" w:rsidP="00DA4077">
            <w:pPr>
              <w:jc w:val="center"/>
              <w:rPr>
                <w:rFonts w:ascii="Arial" w:hAnsi="Arial" w:cs="Arial"/>
                <w:sz w:val="16"/>
                <w:szCs w:val="16"/>
              </w:rPr>
            </w:pPr>
            <w:r>
              <w:rPr>
                <w:rFonts w:ascii="Arial" w:hAnsi="Arial" w:cs="Arial"/>
                <w:sz w:val="16"/>
                <w:szCs w:val="16"/>
              </w:rPr>
              <w:t>22</w:t>
            </w:r>
          </w:p>
        </w:tc>
        <w:tc>
          <w:tcPr>
            <w:tcW w:w="572" w:type="dxa"/>
            <w:tcBorders>
              <w:top w:val="single" w:sz="4" w:space="0" w:color="auto"/>
              <w:left w:val="single" w:sz="4" w:space="0" w:color="auto"/>
              <w:bottom w:val="single" w:sz="4" w:space="0" w:color="auto"/>
              <w:right w:val="nil"/>
            </w:tcBorders>
            <w:shd w:val="clear" w:color="000000" w:fill="FFFFFF"/>
            <w:noWrap/>
            <w:vAlign w:val="bottom"/>
            <w:hideMark/>
          </w:tcPr>
          <w:p w14:paraId="073281C7"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w:t>
            </w:r>
            <w:r>
              <w:rPr>
                <w:rFonts w:ascii="Arial" w:hAnsi="Arial" w:cs="Arial"/>
                <w:sz w:val="16"/>
                <w:szCs w:val="16"/>
              </w:rPr>
              <w:t>4</w:t>
            </w:r>
          </w:p>
        </w:tc>
        <w:tc>
          <w:tcPr>
            <w:tcW w:w="698" w:type="dxa"/>
            <w:tcBorders>
              <w:top w:val="single" w:sz="4" w:space="0" w:color="auto"/>
              <w:left w:val="single" w:sz="4" w:space="0" w:color="auto"/>
              <w:bottom w:val="single" w:sz="4" w:space="0" w:color="auto"/>
              <w:right w:val="nil"/>
            </w:tcBorders>
            <w:shd w:val="clear" w:color="000000" w:fill="FFFFFF"/>
            <w:noWrap/>
            <w:vAlign w:val="bottom"/>
            <w:hideMark/>
          </w:tcPr>
          <w:p w14:paraId="37A959DA" w14:textId="77777777" w:rsidR="00423739" w:rsidRPr="0030315B" w:rsidRDefault="00423739" w:rsidP="00DA4077">
            <w:pPr>
              <w:jc w:val="center"/>
              <w:rPr>
                <w:rFonts w:ascii="Arial" w:hAnsi="Arial" w:cs="Arial"/>
                <w:sz w:val="16"/>
                <w:szCs w:val="16"/>
              </w:rPr>
            </w:pPr>
            <w:r>
              <w:rPr>
                <w:rFonts w:ascii="Arial" w:hAnsi="Arial" w:cs="Arial"/>
                <w:sz w:val="16"/>
                <w:szCs w:val="16"/>
              </w:rPr>
              <w:t>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tcPr>
          <w:p w14:paraId="76E8E0A0" w14:textId="77777777" w:rsidR="00423739" w:rsidRPr="00D929E1" w:rsidRDefault="00423739" w:rsidP="00DA4077">
            <w:pPr>
              <w:jc w:val="center"/>
              <w:rPr>
                <w:rFonts w:ascii="Arial" w:hAnsi="Arial" w:cs="Arial"/>
                <w:sz w:val="16"/>
                <w:szCs w:val="16"/>
              </w:rPr>
            </w:pPr>
            <w:r>
              <w:rPr>
                <w:rFonts w:ascii="Arial" w:hAnsi="Arial" w:cs="Arial"/>
                <w:sz w:val="16"/>
                <w:szCs w:val="16"/>
              </w:rPr>
              <w:t>5</w:t>
            </w:r>
          </w:p>
        </w:tc>
        <w:tc>
          <w:tcPr>
            <w:tcW w:w="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EFE518F"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2</w:t>
            </w:r>
            <w:r>
              <w:rPr>
                <w:rFonts w:ascii="Arial" w:hAnsi="Arial" w:cs="Arial"/>
                <w:b/>
                <w:bCs/>
                <w:sz w:val="16"/>
                <w:szCs w:val="16"/>
              </w:rPr>
              <w:t>70</w:t>
            </w:r>
          </w:p>
        </w:tc>
      </w:tr>
      <w:tr w:rsidR="00423739" w:rsidRPr="0030315B" w14:paraId="66D5E150" w14:textId="77777777" w:rsidTr="00DA4077">
        <w:trPr>
          <w:trHeight w:val="244"/>
          <w:jc w:val="center"/>
        </w:trPr>
        <w:tc>
          <w:tcPr>
            <w:tcW w:w="1977" w:type="dxa"/>
            <w:tcBorders>
              <w:top w:val="single" w:sz="4" w:space="0" w:color="auto"/>
              <w:left w:val="nil"/>
              <w:bottom w:val="nil"/>
              <w:right w:val="nil"/>
            </w:tcBorders>
            <w:shd w:val="clear" w:color="auto" w:fill="auto"/>
            <w:noWrap/>
            <w:vAlign w:val="bottom"/>
            <w:hideMark/>
          </w:tcPr>
          <w:p w14:paraId="56BCD75C" w14:textId="77777777" w:rsidR="00423739" w:rsidRPr="0030315B" w:rsidRDefault="00423739" w:rsidP="00DA4077">
            <w:pPr>
              <w:jc w:val="center"/>
              <w:rPr>
                <w:rFonts w:ascii="Arial" w:hAnsi="Arial" w:cs="Arial"/>
                <w:b/>
                <w:bCs/>
                <w:sz w:val="16"/>
                <w:szCs w:val="16"/>
              </w:rPr>
            </w:pPr>
          </w:p>
        </w:tc>
        <w:tc>
          <w:tcPr>
            <w:tcW w:w="709" w:type="dxa"/>
            <w:tcBorders>
              <w:top w:val="single" w:sz="4" w:space="0" w:color="auto"/>
              <w:left w:val="nil"/>
              <w:bottom w:val="nil"/>
              <w:right w:val="nil"/>
            </w:tcBorders>
            <w:shd w:val="clear" w:color="000000" w:fill="FFFFFF"/>
            <w:noWrap/>
            <w:vAlign w:val="bottom"/>
            <w:hideMark/>
          </w:tcPr>
          <w:p w14:paraId="259ECB4D"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572" w:type="dxa"/>
            <w:tcBorders>
              <w:top w:val="single" w:sz="4" w:space="0" w:color="auto"/>
              <w:left w:val="nil"/>
              <w:bottom w:val="nil"/>
              <w:right w:val="nil"/>
            </w:tcBorders>
            <w:shd w:val="clear" w:color="auto" w:fill="auto"/>
            <w:noWrap/>
            <w:vAlign w:val="bottom"/>
            <w:hideMark/>
          </w:tcPr>
          <w:p w14:paraId="57EA0B82" w14:textId="77777777" w:rsidR="00423739" w:rsidRPr="0030315B" w:rsidRDefault="00423739" w:rsidP="00DA4077">
            <w:pPr>
              <w:jc w:val="center"/>
              <w:rPr>
                <w:rFonts w:ascii="Arial" w:hAnsi="Arial" w:cs="Arial"/>
                <w:sz w:val="16"/>
                <w:szCs w:val="16"/>
              </w:rPr>
            </w:pPr>
          </w:p>
        </w:tc>
        <w:tc>
          <w:tcPr>
            <w:tcW w:w="703" w:type="dxa"/>
            <w:tcBorders>
              <w:top w:val="single" w:sz="4" w:space="0" w:color="auto"/>
              <w:left w:val="nil"/>
              <w:bottom w:val="nil"/>
              <w:right w:val="nil"/>
            </w:tcBorders>
            <w:shd w:val="clear" w:color="000000" w:fill="FFFFFF"/>
            <w:noWrap/>
            <w:vAlign w:val="bottom"/>
            <w:hideMark/>
          </w:tcPr>
          <w:p w14:paraId="48C85F74"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572" w:type="dxa"/>
            <w:tcBorders>
              <w:top w:val="single" w:sz="4" w:space="0" w:color="auto"/>
              <w:left w:val="nil"/>
              <w:bottom w:val="nil"/>
              <w:right w:val="nil"/>
            </w:tcBorders>
            <w:shd w:val="clear" w:color="000000" w:fill="FFFFFF"/>
            <w:noWrap/>
            <w:vAlign w:val="bottom"/>
            <w:hideMark/>
          </w:tcPr>
          <w:p w14:paraId="4A02CE3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704" w:type="dxa"/>
            <w:tcBorders>
              <w:top w:val="single" w:sz="4" w:space="0" w:color="auto"/>
              <w:left w:val="nil"/>
              <w:bottom w:val="nil"/>
              <w:right w:val="nil"/>
            </w:tcBorders>
            <w:shd w:val="clear" w:color="000000" w:fill="FFFFFF"/>
            <w:noWrap/>
            <w:vAlign w:val="bottom"/>
            <w:hideMark/>
          </w:tcPr>
          <w:p w14:paraId="68ACFA9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709" w:type="dxa"/>
            <w:tcBorders>
              <w:top w:val="single" w:sz="4" w:space="0" w:color="auto"/>
              <w:left w:val="nil"/>
              <w:bottom w:val="nil"/>
              <w:right w:val="nil"/>
            </w:tcBorders>
            <w:shd w:val="clear" w:color="000000" w:fill="FFFFFF"/>
            <w:noWrap/>
            <w:vAlign w:val="bottom"/>
            <w:hideMark/>
          </w:tcPr>
          <w:p w14:paraId="4F16C6C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572" w:type="dxa"/>
            <w:tcBorders>
              <w:top w:val="single" w:sz="4" w:space="0" w:color="auto"/>
              <w:left w:val="nil"/>
              <w:bottom w:val="nil"/>
              <w:right w:val="nil"/>
            </w:tcBorders>
            <w:shd w:val="clear" w:color="000000" w:fill="FFFFFF"/>
            <w:noWrap/>
            <w:vAlign w:val="bottom"/>
            <w:hideMark/>
          </w:tcPr>
          <w:p w14:paraId="37D3A7A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572" w:type="dxa"/>
            <w:tcBorders>
              <w:top w:val="single" w:sz="4" w:space="0" w:color="auto"/>
              <w:left w:val="nil"/>
              <w:bottom w:val="nil"/>
              <w:right w:val="nil"/>
            </w:tcBorders>
            <w:shd w:val="clear" w:color="000000" w:fill="FFFFFF"/>
            <w:noWrap/>
            <w:vAlign w:val="bottom"/>
            <w:hideMark/>
          </w:tcPr>
          <w:p w14:paraId="4DD3FE85"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 </w:t>
            </w:r>
          </w:p>
        </w:tc>
        <w:tc>
          <w:tcPr>
            <w:tcW w:w="698" w:type="dxa"/>
            <w:tcBorders>
              <w:top w:val="single" w:sz="4" w:space="0" w:color="auto"/>
              <w:left w:val="nil"/>
              <w:bottom w:val="nil"/>
              <w:right w:val="nil"/>
            </w:tcBorders>
            <w:shd w:val="clear" w:color="000000" w:fill="FFFFFF"/>
            <w:noWrap/>
            <w:vAlign w:val="bottom"/>
            <w:hideMark/>
          </w:tcPr>
          <w:p w14:paraId="58D82562"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 </w:t>
            </w:r>
          </w:p>
        </w:tc>
        <w:tc>
          <w:tcPr>
            <w:tcW w:w="572" w:type="dxa"/>
            <w:tcBorders>
              <w:top w:val="single" w:sz="4" w:space="0" w:color="auto"/>
              <w:left w:val="nil"/>
              <w:bottom w:val="nil"/>
              <w:right w:val="nil"/>
            </w:tcBorders>
            <w:shd w:val="clear" w:color="auto" w:fill="FFFFFF" w:themeFill="background1"/>
            <w:vAlign w:val="bottom"/>
          </w:tcPr>
          <w:p w14:paraId="771EFE1C"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 </w:t>
            </w:r>
          </w:p>
        </w:tc>
        <w:tc>
          <w:tcPr>
            <w:tcW w:w="735" w:type="dxa"/>
            <w:tcBorders>
              <w:top w:val="single" w:sz="4" w:space="0" w:color="auto"/>
              <w:left w:val="nil"/>
              <w:bottom w:val="nil"/>
              <w:right w:val="nil"/>
            </w:tcBorders>
            <w:shd w:val="clear" w:color="auto" w:fill="FFFFFF" w:themeFill="background1"/>
            <w:noWrap/>
            <w:vAlign w:val="bottom"/>
            <w:hideMark/>
          </w:tcPr>
          <w:p w14:paraId="7B076C62" w14:textId="77777777" w:rsidR="00423739" w:rsidRPr="0030315B" w:rsidRDefault="00423739" w:rsidP="00DA4077">
            <w:pPr>
              <w:jc w:val="center"/>
              <w:rPr>
                <w:rFonts w:ascii="Arial" w:hAnsi="Arial" w:cs="Arial"/>
                <w:b/>
                <w:bCs/>
                <w:sz w:val="16"/>
                <w:szCs w:val="16"/>
              </w:rPr>
            </w:pPr>
          </w:p>
        </w:tc>
      </w:tr>
      <w:tr w:rsidR="00423739" w:rsidRPr="0030315B" w14:paraId="61E3A043" w14:textId="77777777" w:rsidTr="00DA4077">
        <w:trPr>
          <w:trHeight w:val="244"/>
          <w:jc w:val="center"/>
        </w:trPr>
        <w:tc>
          <w:tcPr>
            <w:tcW w:w="197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631A1B0" w14:textId="77777777" w:rsidR="00423739" w:rsidRPr="0030315B" w:rsidRDefault="00423739" w:rsidP="00DA4077">
            <w:pPr>
              <w:rPr>
                <w:rFonts w:ascii="Arial" w:hAnsi="Arial" w:cs="Arial"/>
                <w:sz w:val="16"/>
                <w:szCs w:val="16"/>
              </w:rPr>
            </w:pPr>
            <w:r w:rsidRPr="0030315B">
              <w:rPr>
                <w:rFonts w:ascii="Arial" w:hAnsi="Arial" w:cs="Arial"/>
                <w:sz w:val="16"/>
                <w:szCs w:val="16"/>
              </w:rPr>
              <w:t>% of rec</w:t>
            </w:r>
            <w:r>
              <w:rPr>
                <w:rFonts w:ascii="Arial" w:hAnsi="Arial" w:cs="Arial"/>
                <w:sz w:val="16"/>
                <w:szCs w:val="16"/>
              </w:rPr>
              <w:t>.</w:t>
            </w:r>
            <w:r w:rsidRPr="0030315B">
              <w:rPr>
                <w:rFonts w:ascii="Arial" w:hAnsi="Arial" w:cs="Arial"/>
                <w:sz w:val="16"/>
                <w:szCs w:val="16"/>
              </w:rPr>
              <w:t xml:space="preserve"> In Progress</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2914BEC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14:paraId="1BE8542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single" w:sz="8" w:space="0" w:color="auto"/>
              <w:left w:val="nil"/>
              <w:bottom w:val="single" w:sz="8" w:space="0" w:color="auto"/>
              <w:right w:val="single" w:sz="4" w:space="0" w:color="auto"/>
            </w:tcBorders>
            <w:shd w:val="clear" w:color="auto" w:fill="auto"/>
            <w:noWrap/>
            <w:vAlign w:val="bottom"/>
            <w:hideMark/>
          </w:tcPr>
          <w:p w14:paraId="3AF03C6C"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14:paraId="2D4ACB2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4%</w:t>
            </w:r>
          </w:p>
        </w:tc>
        <w:tc>
          <w:tcPr>
            <w:tcW w:w="704" w:type="dxa"/>
            <w:tcBorders>
              <w:top w:val="single" w:sz="8" w:space="0" w:color="auto"/>
              <w:left w:val="nil"/>
              <w:bottom w:val="single" w:sz="8" w:space="0" w:color="auto"/>
              <w:right w:val="single" w:sz="4" w:space="0" w:color="auto"/>
            </w:tcBorders>
            <w:shd w:val="clear" w:color="auto" w:fill="auto"/>
            <w:noWrap/>
            <w:vAlign w:val="bottom"/>
            <w:hideMark/>
          </w:tcPr>
          <w:p w14:paraId="29619CA6"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3%</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20C3463A" w14:textId="77777777" w:rsidR="00423739" w:rsidRPr="0030315B" w:rsidRDefault="00423739" w:rsidP="00DA4077">
            <w:pPr>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572" w:type="dxa"/>
            <w:tcBorders>
              <w:top w:val="single" w:sz="8" w:space="0" w:color="auto"/>
              <w:left w:val="nil"/>
              <w:bottom w:val="single" w:sz="8" w:space="0" w:color="auto"/>
              <w:right w:val="nil"/>
            </w:tcBorders>
            <w:shd w:val="clear" w:color="auto" w:fill="auto"/>
            <w:noWrap/>
            <w:vAlign w:val="bottom"/>
            <w:hideMark/>
          </w:tcPr>
          <w:p w14:paraId="7E69E234" w14:textId="77777777" w:rsidR="00423739" w:rsidRPr="0030315B" w:rsidRDefault="00423739" w:rsidP="00DA4077">
            <w:pPr>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572" w:type="dxa"/>
            <w:tcBorders>
              <w:top w:val="single" w:sz="8" w:space="0" w:color="auto"/>
              <w:left w:val="single" w:sz="4" w:space="0" w:color="auto"/>
              <w:bottom w:val="single" w:sz="8" w:space="0" w:color="auto"/>
              <w:right w:val="nil"/>
            </w:tcBorders>
            <w:shd w:val="clear" w:color="auto" w:fill="auto"/>
            <w:noWrap/>
            <w:vAlign w:val="bottom"/>
            <w:hideMark/>
          </w:tcPr>
          <w:p w14:paraId="3F17DB81" w14:textId="77777777" w:rsidR="00423739" w:rsidRPr="0030315B" w:rsidRDefault="00423739" w:rsidP="00DA4077">
            <w:pPr>
              <w:jc w:val="center"/>
              <w:rPr>
                <w:rFonts w:ascii="Arial" w:hAnsi="Arial" w:cs="Arial"/>
                <w:sz w:val="16"/>
                <w:szCs w:val="16"/>
              </w:rPr>
            </w:pPr>
            <w:r>
              <w:rPr>
                <w:rFonts w:ascii="Arial" w:hAnsi="Arial" w:cs="Arial"/>
                <w:sz w:val="16"/>
                <w:szCs w:val="16"/>
              </w:rPr>
              <w:t>46</w:t>
            </w:r>
            <w:r w:rsidRPr="0030315B">
              <w:rPr>
                <w:rFonts w:ascii="Arial" w:hAnsi="Arial" w:cs="Arial"/>
                <w:sz w:val="16"/>
                <w:szCs w:val="16"/>
              </w:rPr>
              <w:t>%</w:t>
            </w:r>
          </w:p>
        </w:tc>
        <w:tc>
          <w:tcPr>
            <w:tcW w:w="698" w:type="dxa"/>
            <w:tcBorders>
              <w:top w:val="single" w:sz="8" w:space="0" w:color="auto"/>
              <w:left w:val="single" w:sz="4" w:space="0" w:color="auto"/>
              <w:bottom w:val="single" w:sz="8" w:space="0" w:color="auto"/>
              <w:right w:val="nil"/>
            </w:tcBorders>
            <w:shd w:val="clear" w:color="auto" w:fill="auto"/>
            <w:noWrap/>
            <w:vAlign w:val="bottom"/>
            <w:hideMark/>
          </w:tcPr>
          <w:p w14:paraId="114CAC06" w14:textId="77777777" w:rsidR="00423739" w:rsidRPr="0030315B" w:rsidRDefault="00423739" w:rsidP="00DA4077">
            <w:pPr>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572" w:type="dxa"/>
            <w:tcBorders>
              <w:top w:val="single" w:sz="8" w:space="0" w:color="auto"/>
              <w:left w:val="single" w:sz="4" w:space="0" w:color="auto"/>
              <w:bottom w:val="single" w:sz="8" w:space="0" w:color="auto"/>
              <w:right w:val="single" w:sz="4" w:space="0" w:color="auto"/>
            </w:tcBorders>
            <w:vAlign w:val="bottom"/>
          </w:tcPr>
          <w:p w14:paraId="45701295" w14:textId="77777777" w:rsidR="00423739" w:rsidRPr="0030315B" w:rsidRDefault="00423739" w:rsidP="00DA4077">
            <w:pPr>
              <w:jc w:val="center"/>
              <w:rPr>
                <w:rFonts w:ascii="Arial" w:hAnsi="Arial" w:cs="Arial"/>
                <w:b/>
                <w:bCs/>
                <w:sz w:val="16"/>
                <w:szCs w:val="16"/>
              </w:rPr>
            </w:pPr>
            <w:r>
              <w:rPr>
                <w:rFonts w:ascii="Arial" w:hAnsi="Arial" w:cs="Arial"/>
                <w:sz w:val="16"/>
                <w:szCs w:val="16"/>
              </w:rPr>
              <w:t>44</w:t>
            </w:r>
            <w:r w:rsidRPr="0030315B">
              <w:rPr>
                <w:rFonts w:ascii="Arial" w:hAnsi="Arial" w:cs="Arial"/>
                <w:sz w:val="16"/>
                <w:szCs w:val="16"/>
              </w:rPr>
              <w:t>%</w:t>
            </w:r>
          </w:p>
        </w:tc>
        <w:tc>
          <w:tcPr>
            <w:tcW w:w="735" w:type="dxa"/>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bottom"/>
            <w:hideMark/>
          </w:tcPr>
          <w:p w14:paraId="7785C501"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1</w:t>
            </w:r>
            <w:r>
              <w:rPr>
                <w:rFonts w:ascii="Arial" w:hAnsi="Arial" w:cs="Arial"/>
                <w:b/>
                <w:bCs/>
                <w:sz w:val="16"/>
                <w:szCs w:val="16"/>
              </w:rPr>
              <w:t>5</w:t>
            </w:r>
            <w:r w:rsidRPr="0030315B">
              <w:rPr>
                <w:rFonts w:ascii="Arial" w:hAnsi="Arial" w:cs="Arial"/>
                <w:b/>
                <w:bCs/>
                <w:sz w:val="16"/>
                <w:szCs w:val="16"/>
              </w:rPr>
              <w:t>%</w:t>
            </w:r>
          </w:p>
        </w:tc>
      </w:tr>
      <w:tr w:rsidR="00423739" w:rsidRPr="0030315B" w14:paraId="61FB79A9" w14:textId="77777777" w:rsidTr="00DA4077">
        <w:trPr>
          <w:trHeight w:val="244"/>
          <w:jc w:val="center"/>
        </w:trPr>
        <w:tc>
          <w:tcPr>
            <w:tcW w:w="1977" w:type="dxa"/>
            <w:tcBorders>
              <w:top w:val="nil"/>
              <w:left w:val="single" w:sz="8" w:space="0" w:color="auto"/>
              <w:bottom w:val="single" w:sz="8" w:space="0" w:color="auto"/>
              <w:right w:val="single" w:sz="4" w:space="0" w:color="auto"/>
            </w:tcBorders>
            <w:shd w:val="clear" w:color="auto" w:fill="auto"/>
            <w:noWrap/>
            <w:vAlign w:val="bottom"/>
            <w:hideMark/>
          </w:tcPr>
          <w:p w14:paraId="74880F91" w14:textId="77777777" w:rsidR="00423739" w:rsidRPr="0030315B" w:rsidRDefault="00423739" w:rsidP="00DA4077">
            <w:pPr>
              <w:rPr>
                <w:rFonts w:ascii="Arial" w:hAnsi="Arial" w:cs="Arial"/>
                <w:sz w:val="16"/>
                <w:szCs w:val="16"/>
              </w:rPr>
            </w:pPr>
            <w:r w:rsidRPr="0030315B">
              <w:rPr>
                <w:rFonts w:ascii="Arial" w:hAnsi="Arial" w:cs="Arial"/>
                <w:sz w:val="16"/>
                <w:szCs w:val="16"/>
              </w:rPr>
              <w:t>% of rec</w:t>
            </w:r>
            <w:r>
              <w:rPr>
                <w:rFonts w:ascii="Arial" w:hAnsi="Arial" w:cs="Arial"/>
                <w:sz w:val="16"/>
                <w:szCs w:val="16"/>
              </w:rPr>
              <w:t xml:space="preserve">. </w:t>
            </w:r>
            <w:r w:rsidRPr="0030315B">
              <w:rPr>
                <w:rFonts w:ascii="Arial" w:hAnsi="Arial" w:cs="Arial"/>
                <w:sz w:val="16"/>
                <w:szCs w:val="16"/>
              </w:rPr>
              <w:t>Delayed</w:t>
            </w:r>
          </w:p>
        </w:tc>
        <w:tc>
          <w:tcPr>
            <w:tcW w:w="709" w:type="dxa"/>
            <w:tcBorders>
              <w:top w:val="nil"/>
              <w:left w:val="nil"/>
              <w:bottom w:val="single" w:sz="8" w:space="0" w:color="auto"/>
              <w:right w:val="single" w:sz="4" w:space="0" w:color="auto"/>
            </w:tcBorders>
            <w:shd w:val="clear" w:color="auto" w:fill="auto"/>
            <w:noWrap/>
            <w:vAlign w:val="bottom"/>
            <w:hideMark/>
          </w:tcPr>
          <w:p w14:paraId="22CA16B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18%</w:t>
            </w:r>
          </w:p>
        </w:tc>
        <w:tc>
          <w:tcPr>
            <w:tcW w:w="572" w:type="dxa"/>
            <w:tcBorders>
              <w:top w:val="nil"/>
              <w:left w:val="nil"/>
              <w:bottom w:val="single" w:sz="8" w:space="0" w:color="auto"/>
              <w:right w:val="single" w:sz="4" w:space="0" w:color="auto"/>
            </w:tcBorders>
            <w:shd w:val="clear" w:color="auto" w:fill="auto"/>
            <w:noWrap/>
            <w:vAlign w:val="bottom"/>
            <w:hideMark/>
          </w:tcPr>
          <w:p w14:paraId="3DD6AA86"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nil"/>
              <w:left w:val="nil"/>
              <w:bottom w:val="single" w:sz="8" w:space="0" w:color="auto"/>
              <w:right w:val="single" w:sz="4" w:space="0" w:color="auto"/>
            </w:tcBorders>
            <w:shd w:val="clear" w:color="000000" w:fill="FFFFFF"/>
            <w:noWrap/>
            <w:vAlign w:val="bottom"/>
            <w:hideMark/>
          </w:tcPr>
          <w:p w14:paraId="6F589F0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nil"/>
              <w:left w:val="nil"/>
              <w:bottom w:val="single" w:sz="8" w:space="0" w:color="auto"/>
              <w:right w:val="single" w:sz="4" w:space="0" w:color="auto"/>
            </w:tcBorders>
            <w:shd w:val="clear" w:color="000000" w:fill="FFFFFF"/>
            <w:noWrap/>
            <w:vAlign w:val="bottom"/>
            <w:hideMark/>
          </w:tcPr>
          <w:p w14:paraId="35DAEE1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704" w:type="dxa"/>
            <w:tcBorders>
              <w:top w:val="nil"/>
              <w:left w:val="nil"/>
              <w:bottom w:val="single" w:sz="8" w:space="0" w:color="auto"/>
              <w:right w:val="single" w:sz="4" w:space="0" w:color="auto"/>
            </w:tcBorders>
            <w:shd w:val="clear" w:color="auto" w:fill="auto"/>
            <w:noWrap/>
            <w:vAlign w:val="bottom"/>
            <w:hideMark/>
          </w:tcPr>
          <w:p w14:paraId="2AEDF5DA"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709" w:type="dxa"/>
            <w:tcBorders>
              <w:top w:val="nil"/>
              <w:left w:val="nil"/>
              <w:bottom w:val="single" w:sz="8" w:space="0" w:color="auto"/>
              <w:right w:val="single" w:sz="4" w:space="0" w:color="auto"/>
            </w:tcBorders>
            <w:shd w:val="clear" w:color="auto" w:fill="auto"/>
            <w:noWrap/>
            <w:vAlign w:val="bottom"/>
            <w:hideMark/>
          </w:tcPr>
          <w:p w14:paraId="05FD76D4"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nil"/>
              <w:left w:val="nil"/>
              <w:bottom w:val="single" w:sz="8" w:space="0" w:color="auto"/>
              <w:right w:val="nil"/>
            </w:tcBorders>
            <w:shd w:val="clear" w:color="auto" w:fill="auto"/>
            <w:noWrap/>
            <w:vAlign w:val="bottom"/>
            <w:hideMark/>
          </w:tcPr>
          <w:p w14:paraId="67C45331"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nil"/>
              <w:left w:val="single" w:sz="4" w:space="0" w:color="auto"/>
              <w:bottom w:val="single" w:sz="8" w:space="0" w:color="auto"/>
              <w:right w:val="nil"/>
            </w:tcBorders>
            <w:shd w:val="clear" w:color="auto" w:fill="auto"/>
            <w:noWrap/>
            <w:vAlign w:val="bottom"/>
            <w:hideMark/>
          </w:tcPr>
          <w:p w14:paraId="71B87722"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698" w:type="dxa"/>
            <w:tcBorders>
              <w:top w:val="nil"/>
              <w:left w:val="single" w:sz="4" w:space="0" w:color="auto"/>
              <w:bottom w:val="single" w:sz="8" w:space="0" w:color="auto"/>
              <w:right w:val="nil"/>
            </w:tcBorders>
            <w:shd w:val="clear" w:color="auto" w:fill="auto"/>
            <w:noWrap/>
            <w:vAlign w:val="bottom"/>
            <w:hideMark/>
          </w:tcPr>
          <w:p w14:paraId="4CBF489D"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0%</w:t>
            </w:r>
          </w:p>
        </w:tc>
        <w:tc>
          <w:tcPr>
            <w:tcW w:w="572" w:type="dxa"/>
            <w:tcBorders>
              <w:top w:val="nil"/>
              <w:left w:val="single" w:sz="4" w:space="0" w:color="auto"/>
              <w:bottom w:val="single" w:sz="8" w:space="0" w:color="auto"/>
              <w:right w:val="single" w:sz="4" w:space="0" w:color="auto"/>
            </w:tcBorders>
            <w:vAlign w:val="bottom"/>
          </w:tcPr>
          <w:p w14:paraId="61519336" w14:textId="77777777" w:rsidR="00423739" w:rsidRPr="0030315B" w:rsidRDefault="00423739" w:rsidP="00DA4077">
            <w:pPr>
              <w:jc w:val="center"/>
              <w:rPr>
                <w:rFonts w:ascii="Arial" w:hAnsi="Arial" w:cs="Arial"/>
                <w:b/>
                <w:bCs/>
                <w:sz w:val="16"/>
                <w:szCs w:val="16"/>
              </w:rPr>
            </w:pPr>
            <w:r w:rsidRPr="0030315B">
              <w:rPr>
                <w:rFonts w:ascii="Arial" w:hAnsi="Arial" w:cs="Arial"/>
                <w:sz w:val="16"/>
                <w:szCs w:val="16"/>
              </w:rPr>
              <w:t>0%</w:t>
            </w:r>
          </w:p>
        </w:tc>
        <w:tc>
          <w:tcPr>
            <w:tcW w:w="735"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11897934"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1%</w:t>
            </w:r>
          </w:p>
        </w:tc>
      </w:tr>
      <w:tr w:rsidR="00423739" w:rsidRPr="0030315B" w14:paraId="02C1B0B6" w14:textId="77777777" w:rsidTr="00DA4077">
        <w:trPr>
          <w:trHeight w:val="244"/>
          <w:jc w:val="center"/>
        </w:trPr>
        <w:tc>
          <w:tcPr>
            <w:tcW w:w="1977" w:type="dxa"/>
            <w:tcBorders>
              <w:top w:val="nil"/>
              <w:left w:val="single" w:sz="8" w:space="0" w:color="auto"/>
              <w:bottom w:val="single" w:sz="8" w:space="0" w:color="auto"/>
              <w:right w:val="single" w:sz="4" w:space="0" w:color="auto"/>
            </w:tcBorders>
            <w:shd w:val="clear" w:color="auto" w:fill="auto"/>
            <w:noWrap/>
            <w:vAlign w:val="bottom"/>
            <w:hideMark/>
          </w:tcPr>
          <w:p w14:paraId="077723F6" w14:textId="77777777" w:rsidR="00423739" w:rsidRPr="0030315B" w:rsidRDefault="00423739" w:rsidP="00DA4077">
            <w:pPr>
              <w:rPr>
                <w:rFonts w:ascii="Arial" w:hAnsi="Arial" w:cs="Arial"/>
                <w:sz w:val="16"/>
                <w:szCs w:val="16"/>
              </w:rPr>
            </w:pPr>
            <w:r w:rsidRPr="0030315B">
              <w:rPr>
                <w:rFonts w:ascii="Arial" w:hAnsi="Arial" w:cs="Arial"/>
                <w:sz w:val="16"/>
                <w:szCs w:val="16"/>
              </w:rPr>
              <w:t>% of rec</w:t>
            </w:r>
            <w:r>
              <w:rPr>
                <w:rFonts w:ascii="Arial" w:hAnsi="Arial" w:cs="Arial"/>
                <w:sz w:val="16"/>
                <w:szCs w:val="16"/>
              </w:rPr>
              <w:t>.</w:t>
            </w:r>
            <w:r w:rsidRPr="0030315B">
              <w:rPr>
                <w:rFonts w:ascii="Arial" w:hAnsi="Arial" w:cs="Arial"/>
                <w:sz w:val="16"/>
                <w:szCs w:val="16"/>
              </w:rPr>
              <w:t xml:space="preserve"> Closed</w:t>
            </w:r>
          </w:p>
        </w:tc>
        <w:tc>
          <w:tcPr>
            <w:tcW w:w="709" w:type="dxa"/>
            <w:tcBorders>
              <w:top w:val="nil"/>
              <w:left w:val="nil"/>
              <w:bottom w:val="single" w:sz="8" w:space="0" w:color="auto"/>
              <w:right w:val="single" w:sz="4" w:space="0" w:color="auto"/>
            </w:tcBorders>
            <w:shd w:val="clear" w:color="auto" w:fill="auto"/>
            <w:noWrap/>
            <w:vAlign w:val="bottom"/>
            <w:hideMark/>
          </w:tcPr>
          <w:p w14:paraId="00AB4680"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82%</w:t>
            </w:r>
          </w:p>
        </w:tc>
        <w:tc>
          <w:tcPr>
            <w:tcW w:w="572" w:type="dxa"/>
            <w:tcBorders>
              <w:top w:val="nil"/>
              <w:left w:val="nil"/>
              <w:bottom w:val="single" w:sz="8" w:space="0" w:color="auto"/>
              <w:right w:val="single" w:sz="4" w:space="0" w:color="auto"/>
            </w:tcBorders>
            <w:shd w:val="clear" w:color="auto" w:fill="auto"/>
            <w:noWrap/>
            <w:vAlign w:val="bottom"/>
            <w:hideMark/>
          </w:tcPr>
          <w:p w14:paraId="45BC3D78"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w:t>
            </w:r>
          </w:p>
        </w:tc>
        <w:tc>
          <w:tcPr>
            <w:tcW w:w="703" w:type="dxa"/>
            <w:tcBorders>
              <w:top w:val="nil"/>
              <w:left w:val="nil"/>
              <w:bottom w:val="single" w:sz="8" w:space="0" w:color="auto"/>
              <w:right w:val="single" w:sz="4" w:space="0" w:color="auto"/>
            </w:tcBorders>
            <w:shd w:val="clear" w:color="auto" w:fill="auto"/>
            <w:noWrap/>
            <w:vAlign w:val="bottom"/>
            <w:hideMark/>
          </w:tcPr>
          <w:p w14:paraId="618EFB6F"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96%</w:t>
            </w:r>
          </w:p>
        </w:tc>
        <w:tc>
          <w:tcPr>
            <w:tcW w:w="572" w:type="dxa"/>
            <w:tcBorders>
              <w:top w:val="nil"/>
              <w:left w:val="nil"/>
              <w:bottom w:val="single" w:sz="8" w:space="0" w:color="auto"/>
              <w:right w:val="single" w:sz="4" w:space="0" w:color="auto"/>
            </w:tcBorders>
            <w:shd w:val="clear" w:color="auto" w:fill="auto"/>
            <w:noWrap/>
            <w:vAlign w:val="bottom"/>
            <w:hideMark/>
          </w:tcPr>
          <w:p w14:paraId="4550CAA2"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96%</w:t>
            </w:r>
          </w:p>
        </w:tc>
        <w:tc>
          <w:tcPr>
            <w:tcW w:w="704" w:type="dxa"/>
            <w:tcBorders>
              <w:top w:val="nil"/>
              <w:left w:val="nil"/>
              <w:bottom w:val="single" w:sz="8" w:space="0" w:color="auto"/>
              <w:right w:val="single" w:sz="4" w:space="0" w:color="auto"/>
            </w:tcBorders>
            <w:shd w:val="clear" w:color="auto" w:fill="auto"/>
            <w:noWrap/>
            <w:vAlign w:val="bottom"/>
            <w:hideMark/>
          </w:tcPr>
          <w:p w14:paraId="477A859D" w14:textId="77777777" w:rsidR="00423739" w:rsidRPr="0030315B" w:rsidRDefault="00423739" w:rsidP="00DA4077">
            <w:pPr>
              <w:jc w:val="center"/>
              <w:rPr>
                <w:rFonts w:ascii="Arial" w:hAnsi="Arial" w:cs="Arial"/>
                <w:sz w:val="16"/>
                <w:szCs w:val="16"/>
              </w:rPr>
            </w:pPr>
            <w:r w:rsidRPr="0030315B">
              <w:rPr>
                <w:rFonts w:ascii="Arial" w:hAnsi="Arial" w:cs="Arial"/>
                <w:sz w:val="16"/>
                <w:szCs w:val="16"/>
              </w:rPr>
              <w:t>97%</w:t>
            </w:r>
          </w:p>
        </w:tc>
        <w:tc>
          <w:tcPr>
            <w:tcW w:w="709" w:type="dxa"/>
            <w:tcBorders>
              <w:top w:val="nil"/>
              <w:left w:val="nil"/>
              <w:bottom w:val="single" w:sz="8" w:space="0" w:color="auto"/>
              <w:right w:val="single" w:sz="4" w:space="0" w:color="auto"/>
            </w:tcBorders>
            <w:shd w:val="clear" w:color="auto" w:fill="auto"/>
            <w:noWrap/>
            <w:vAlign w:val="bottom"/>
            <w:hideMark/>
          </w:tcPr>
          <w:p w14:paraId="4264ACEE" w14:textId="77777777" w:rsidR="00423739" w:rsidRPr="0030315B" w:rsidRDefault="00423739" w:rsidP="00DA4077">
            <w:pPr>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572" w:type="dxa"/>
            <w:tcBorders>
              <w:top w:val="nil"/>
              <w:left w:val="nil"/>
              <w:bottom w:val="single" w:sz="8" w:space="0" w:color="auto"/>
              <w:right w:val="nil"/>
            </w:tcBorders>
            <w:shd w:val="clear" w:color="auto" w:fill="auto"/>
            <w:noWrap/>
            <w:vAlign w:val="bottom"/>
            <w:hideMark/>
          </w:tcPr>
          <w:p w14:paraId="2B4AF895" w14:textId="77777777" w:rsidR="00423739" w:rsidRPr="0030315B" w:rsidRDefault="00423739" w:rsidP="00DA4077">
            <w:pPr>
              <w:jc w:val="center"/>
              <w:rPr>
                <w:rFonts w:ascii="Arial" w:hAnsi="Arial" w:cs="Arial"/>
                <w:sz w:val="16"/>
                <w:szCs w:val="16"/>
              </w:rPr>
            </w:pPr>
            <w:r>
              <w:rPr>
                <w:rFonts w:ascii="Arial" w:hAnsi="Arial" w:cs="Arial"/>
                <w:sz w:val="16"/>
                <w:szCs w:val="16"/>
              </w:rPr>
              <w:t>73</w:t>
            </w:r>
            <w:r w:rsidRPr="0030315B">
              <w:rPr>
                <w:rFonts w:ascii="Arial" w:hAnsi="Arial" w:cs="Arial"/>
                <w:sz w:val="16"/>
                <w:szCs w:val="16"/>
              </w:rPr>
              <w:t>%</w:t>
            </w:r>
          </w:p>
        </w:tc>
        <w:tc>
          <w:tcPr>
            <w:tcW w:w="572" w:type="dxa"/>
            <w:tcBorders>
              <w:top w:val="nil"/>
              <w:left w:val="single" w:sz="4" w:space="0" w:color="auto"/>
              <w:bottom w:val="single" w:sz="8" w:space="0" w:color="auto"/>
              <w:right w:val="nil"/>
            </w:tcBorders>
            <w:shd w:val="clear" w:color="auto" w:fill="auto"/>
            <w:noWrap/>
            <w:vAlign w:val="bottom"/>
            <w:hideMark/>
          </w:tcPr>
          <w:p w14:paraId="762F48F6" w14:textId="77777777" w:rsidR="00423739" w:rsidRPr="0030315B" w:rsidRDefault="00423739" w:rsidP="00DA4077">
            <w:pPr>
              <w:jc w:val="center"/>
              <w:rPr>
                <w:rFonts w:ascii="Arial" w:hAnsi="Arial" w:cs="Arial"/>
                <w:sz w:val="16"/>
                <w:szCs w:val="16"/>
              </w:rPr>
            </w:pPr>
            <w:r>
              <w:rPr>
                <w:rFonts w:ascii="Arial" w:hAnsi="Arial" w:cs="Arial"/>
                <w:sz w:val="16"/>
                <w:szCs w:val="16"/>
              </w:rPr>
              <w:t>54</w:t>
            </w:r>
            <w:r w:rsidRPr="0030315B">
              <w:rPr>
                <w:rFonts w:ascii="Arial" w:hAnsi="Arial" w:cs="Arial"/>
                <w:sz w:val="16"/>
                <w:szCs w:val="16"/>
              </w:rPr>
              <w:t>%</w:t>
            </w:r>
          </w:p>
        </w:tc>
        <w:tc>
          <w:tcPr>
            <w:tcW w:w="698" w:type="dxa"/>
            <w:tcBorders>
              <w:top w:val="nil"/>
              <w:left w:val="single" w:sz="4" w:space="0" w:color="auto"/>
              <w:bottom w:val="single" w:sz="8" w:space="0" w:color="auto"/>
              <w:right w:val="nil"/>
            </w:tcBorders>
            <w:shd w:val="clear" w:color="auto" w:fill="auto"/>
            <w:noWrap/>
            <w:vAlign w:val="bottom"/>
            <w:hideMark/>
          </w:tcPr>
          <w:p w14:paraId="0F0F0799" w14:textId="77777777" w:rsidR="00423739" w:rsidRPr="0030315B" w:rsidRDefault="00423739" w:rsidP="00DA4077">
            <w:pPr>
              <w:jc w:val="center"/>
              <w:rPr>
                <w:rFonts w:ascii="Arial" w:hAnsi="Arial" w:cs="Arial"/>
                <w:sz w:val="16"/>
                <w:szCs w:val="16"/>
              </w:rPr>
            </w:pPr>
            <w:r>
              <w:rPr>
                <w:rFonts w:ascii="Arial" w:hAnsi="Arial" w:cs="Arial"/>
                <w:sz w:val="16"/>
                <w:szCs w:val="16"/>
              </w:rPr>
              <w:t>27</w:t>
            </w:r>
            <w:r w:rsidRPr="0030315B">
              <w:rPr>
                <w:rFonts w:ascii="Arial" w:hAnsi="Arial" w:cs="Arial"/>
                <w:sz w:val="16"/>
                <w:szCs w:val="16"/>
              </w:rPr>
              <w:t>%</w:t>
            </w:r>
          </w:p>
        </w:tc>
        <w:tc>
          <w:tcPr>
            <w:tcW w:w="572" w:type="dxa"/>
            <w:tcBorders>
              <w:top w:val="nil"/>
              <w:left w:val="single" w:sz="4" w:space="0" w:color="auto"/>
              <w:bottom w:val="single" w:sz="8" w:space="0" w:color="auto"/>
              <w:right w:val="single" w:sz="4" w:space="0" w:color="auto"/>
            </w:tcBorders>
            <w:vAlign w:val="bottom"/>
          </w:tcPr>
          <w:p w14:paraId="4EA3205E" w14:textId="77777777" w:rsidR="00423739" w:rsidRPr="0030315B" w:rsidRDefault="00423739" w:rsidP="00DA4077">
            <w:pPr>
              <w:jc w:val="center"/>
              <w:rPr>
                <w:rFonts w:ascii="Arial" w:hAnsi="Arial" w:cs="Arial"/>
                <w:b/>
                <w:bCs/>
                <w:sz w:val="16"/>
                <w:szCs w:val="16"/>
              </w:rPr>
            </w:pPr>
            <w:r>
              <w:rPr>
                <w:rFonts w:ascii="Arial" w:hAnsi="Arial" w:cs="Arial"/>
                <w:sz w:val="16"/>
                <w:szCs w:val="16"/>
              </w:rPr>
              <w:t>56</w:t>
            </w:r>
            <w:r w:rsidRPr="0030315B">
              <w:rPr>
                <w:rFonts w:ascii="Arial" w:hAnsi="Arial" w:cs="Arial"/>
                <w:sz w:val="16"/>
                <w:szCs w:val="16"/>
              </w:rPr>
              <w:t>%</w:t>
            </w:r>
          </w:p>
        </w:tc>
        <w:tc>
          <w:tcPr>
            <w:tcW w:w="735"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631DA14B" w14:textId="77777777" w:rsidR="00423739" w:rsidRPr="0030315B" w:rsidRDefault="00423739" w:rsidP="00DA4077">
            <w:pPr>
              <w:jc w:val="center"/>
              <w:rPr>
                <w:rFonts w:ascii="Arial" w:hAnsi="Arial" w:cs="Arial"/>
                <w:b/>
                <w:bCs/>
                <w:sz w:val="16"/>
                <w:szCs w:val="16"/>
              </w:rPr>
            </w:pPr>
            <w:r w:rsidRPr="0030315B">
              <w:rPr>
                <w:rFonts w:ascii="Arial" w:hAnsi="Arial" w:cs="Arial"/>
                <w:b/>
                <w:bCs/>
                <w:sz w:val="16"/>
                <w:szCs w:val="16"/>
              </w:rPr>
              <w:t>8</w:t>
            </w:r>
            <w:r>
              <w:rPr>
                <w:rFonts w:ascii="Arial" w:hAnsi="Arial" w:cs="Arial"/>
                <w:b/>
                <w:bCs/>
                <w:sz w:val="16"/>
                <w:szCs w:val="16"/>
              </w:rPr>
              <w:t>4</w:t>
            </w:r>
            <w:r w:rsidRPr="0030315B">
              <w:rPr>
                <w:rFonts w:ascii="Arial" w:hAnsi="Arial" w:cs="Arial"/>
                <w:b/>
                <w:bCs/>
                <w:sz w:val="16"/>
                <w:szCs w:val="16"/>
              </w:rPr>
              <w:t>%</w:t>
            </w:r>
          </w:p>
        </w:tc>
      </w:tr>
      <w:tr w:rsidR="00423739" w:rsidRPr="0030315B" w14:paraId="0D25539E" w14:textId="77777777" w:rsidTr="00DA4077">
        <w:trPr>
          <w:trHeight w:val="96"/>
          <w:jc w:val="center"/>
        </w:trPr>
        <w:tc>
          <w:tcPr>
            <w:tcW w:w="1977" w:type="dxa"/>
            <w:tcBorders>
              <w:top w:val="nil"/>
              <w:left w:val="nil"/>
              <w:bottom w:val="nil"/>
              <w:right w:val="nil"/>
            </w:tcBorders>
            <w:shd w:val="clear" w:color="auto" w:fill="auto"/>
            <w:noWrap/>
            <w:vAlign w:val="bottom"/>
            <w:hideMark/>
          </w:tcPr>
          <w:p w14:paraId="5BA4F043" w14:textId="77777777" w:rsidR="00423739" w:rsidRDefault="00423739" w:rsidP="00DA4077">
            <w:pPr>
              <w:rPr>
                <w:rFonts w:ascii="Arial" w:hAnsi="Arial" w:cs="Arial"/>
                <w:sz w:val="16"/>
                <w:szCs w:val="16"/>
              </w:rPr>
            </w:pPr>
          </w:p>
          <w:p w14:paraId="55CA6C1E" w14:textId="77777777" w:rsidR="00423739" w:rsidRDefault="00423739" w:rsidP="00DA4077">
            <w:pPr>
              <w:rPr>
                <w:rFonts w:ascii="Arial" w:hAnsi="Arial" w:cs="Arial"/>
                <w:sz w:val="16"/>
                <w:szCs w:val="16"/>
              </w:rPr>
            </w:pPr>
          </w:p>
          <w:p w14:paraId="51A2994F" w14:textId="77777777" w:rsidR="00423739" w:rsidRPr="00047753" w:rsidRDefault="00423739" w:rsidP="00DA4077">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14:paraId="65E04071" w14:textId="77777777" w:rsidR="00423739" w:rsidRPr="0030315B" w:rsidRDefault="00423739" w:rsidP="00DA4077">
            <w:pPr>
              <w:rPr>
                <w:rFonts w:ascii="Arial" w:hAnsi="Arial" w:cs="Arial"/>
                <w:sz w:val="20"/>
              </w:rPr>
            </w:pPr>
          </w:p>
        </w:tc>
        <w:tc>
          <w:tcPr>
            <w:tcW w:w="572" w:type="dxa"/>
            <w:tcBorders>
              <w:top w:val="nil"/>
              <w:left w:val="nil"/>
              <w:bottom w:val="nil"/>
              <w:right w:val="nil"/>
            </w:tcBorders>
            <w:shd w:val="clear" w:color="auto" w:fill="auto"/>
            <w:noWrap/>
            <w:vAlign w:val="bottom"/>
            <w:hideMark/>
          </w:tcPr>
          <w:p w14:paraId="67151999" w14:textId="77777777" w:rsidR="00423739" w:rsidRPr="0030315B" w:rsidRDefault="00423739" w:rsidP="00DA4077">
            <w:pPr>
              <w:rPr>
                <w:rFonts w:ascii="Times New Roman" w:hAnsi="Times New Roman"/>
                <w:sz w:val="20"/>
              </w:rPr>
            </w:pPr>
          </w:p>
        </w:tc>
        <w:tc>
          <w:tcPr>
            <w:tcW w:w="703" w:type="dxa"/>
            <w:tcBorders>
              <w:top w:val="nil"/>
              <w:left w:val="nil"/>
              <w:bottom w:val="nil"/>
              <w:right w:val="nil"/>
            </w:tcBorders>
            <w:shd w:val="clear" w:color="auto" w:fill="auto"/>
            <w:noWrap/>
            <w:vAlign w:val="bottom"/>
            <w:hideMark/>
          </w:tcPr>
          <w:p w14:paraId="2F83E7A9" w14:textId="77777777" w:rsidR="00423739" w:rsidRPr="0030315B" w:rsidRDefault="00423739" w:rsidP="00DA4077">
            <w:pPr>
              <w:rPr>
                <w:rFonts w:ascii="Times New Roman" w:hAnsi="Times New Roman"/>
                <w:sz w:val="20"/>
              </w:rPr>
            </w:pPr>
          </w:p>
        </w:tc>
        <w:tc>
          <w:tcPr>
            <w:tcW w:w="572" w:type="dxa"/>
            <w:tcBorders>
              <w:top w:val="nil"/>
              <w:left w:val="nil"/>
              <w:bottom w:val="nil"/>
              <w:right w:val="nil"/>
            </w:tcBorders>
            <w:shd w:val="clear" w:color="auto" w:fill="auto"/>
            <w:noWrap/>
            <w:vAlign w:val="bottom"/>
            <w:hideMark/>
          </w:tcPr>
          <w:p w14:paraId="725B1981" w14:textId="77777777" w:rsidR="00423739" w:rsidRPr="0030315B" w:rsidRDefault="00423739" w:rsidP="00DA4077">
            <w:pPr>
              <w:rPr>
                <w:rFonts w:ascii="Times New Roman" w:hAnsi="Times New Roman"/>
                <w:sz w:val="20"/>
              </w:rPr>
            </w:pPr>
          </w:p>
        </w:tc>
        <w:tc>
          <w:tcPr>
            <w:tcW w:w="704" w:type="dxa"/>
            <w:tcBorders>
              <w:top w:val="nil"/>
              <w:left w:val="nil"/>
              <w:bottom w:val="nil"/>
              <w:right w:val="nil"/>
            </w:tcBorders>
            <w:shd w:val="clear" w:color="auto" w:fill="auto"/>
            <w:noWrap/>
            <w:vAlign w:val="bottom"/>
            <w:hideMark/>
          </w:tcPr>
          <w:p w14:paraId="2BEE6546" w14:textId="77777777" w:rsidR="00423739" w:rsidRPr="0030315B" w:rsidRDefault="00423739" w:rsidP="00DA4077">
            <w:pPr>
              <w:rPr>
                <w:rFonts w:ascii="Times New Roman" w:hAnsi="Times New Roman"/>
                <w:sz w:val="20"/>
              </w:rPr>
            </w:pPr>
          </w:p>
        </w:tc>
        <w:tc>
          <w:tcPr>
            <w:tcW w:w="709" w:type="dxa"/>
            <w:tcBorders>
              <w:top w:val="nil"/>
              <w:left w:val="nil"/>
              <w:bottom w:val="nil"/>
              <w:right w:val="nil"/>
            </w:tcBorders>
            <w:shd w:val="clear" w:color="auto" w:fill="auto"/>
            <w:noWrap/>
            <w:vAlign w:val="bottom"/>
            <w:hideMark/>
          </w:tcPr>
          <w:p w14:paraId="73AFE832" w14:textId="77777777" w:rsidR="00423739" w:rsidRPr="0030315B" w:rsidRDefault="00423739" w:rsidP="00DA4077">
            <w:pPr>
              <w:rPr>
                <w:rFonts w:ascii="Times New Roman" w:hAnsi="Times New Roman"/>
                <w:sz w:val="20"/>
              </w:rPr>
            </w:pPr>
          </w:p>
        </w:tc>
        <w:tc>
          <w:tcPr>
            <w:tcW w:w="572" w:type="dxa"/>
            <w:tcBorders>
              <w:top w:val="nil"/>
              <w:left w:val="nil"/>
              <w:bottom w:val="nil"/>
              <w:right w:val="nil"/>
            </w:tcBorders>
            <w:shd w:val="clear" w:color="auto" w:fill="auto"/>
            <w:noWrap/>
            <w:vAlign w:val="bottom"/>
            <w:hideMark/>
          </w:tcPr>
          <w:p w14:paraId="3E6BC817" w14:textId="77777777" w:rsidR="00423739" w:rsidRPr="0030315B" w:rsidRDefault="00423739" w:rsidP="00DA4077">
            <w:pPr>
              <w:rPr>
                <w:rFonts w:ascii="Times New Roman" w:hAnsi="Times New Roman"/>
                <w:sz w:val="20"/>
              </w:rPr>
            </w:pPr>
          </w:p>
        </w:tc>
        <w:tc>
          <w:tcPr>
            <w:tcW w:w="572" w:type="dxa"/>
            <w:tcBorders>
              <w:top w:val="nil"/>
              <w:left w:val="nil"/>
              <w:bottom w:val="nil"/>
              <w:right w:val="nil"/>
            </w:tcBorders>
            <w:shd w:val="clear" w:color="auto" w:fill="auto"/>
            <w:noWrap/>
            <w:vAlign w:val="bottom"/>
            <w:hideMark/>
          </w:tcPr>
          <w:p w14:paraId="47E7F2FF" w14:textId="77777777" w:rsidR="00423739" w:rsidRPr="0030315B" w:rsidRDefault="00423739" w:rsidP="00DA4077">
            <w:pPr>
              <w:rPr>
                <w:rFonts w:ascii="Times New Roman" w:hAnsi="Times New Roman"/>
                <w:sz w:val="20"/>
              </w:rPr>
            </w:pPr>
          </w:p>
        </w:tc>
        <w:tc>
          <w:tcPr>
            <w:tcW w:w="698" w:type="dxa"/>
            <w:tcBorders>
              <w:top w:val="nil"/>
              <w:left w:val="nil"/>
              <w:bottom w:val="nil"/>
              <w:right w:val="nil"/>
            </w:tcBorders>
            <w:shd w:val="clear" w:color="auto" w:fill="auto"/>
            <w:noWrap/>
            <w:vAlign w:val="bottom"/>
            <w:hideMark/>
          </w:tcPr>
          <w:p w14:paraId="2861F5E8" w14:textId="77777777" w:rsidR="00423739" w:rsidRPr="0030315B" w:rsidRDefault="00423739" w:rsidP="00DA4077">
            <w:pPr>
              <w:rPr>
                <w:rFonts w:ascii="Times New Roman" w:hAnsi="Times New Roman"/>
                <w:sz w:val="20"/>
              </w:rPr>
            </w:pPr>
          </w:p>
        </w:tc>
        <w:tc>
          <w:tcPr>
            <w:tcW w:w="572" w:type="dxa"/>
            <w:tcBorders>
              <w:top w:val="nil"/>
              <w:left w:val="nil"/>
              <w:bottom w:val="nil"/>
              <w:right w:val="nil"/>
            </w:tcBorders>
          </w:tcPr>
          <w:p w14:paraId="512393E1" w14:textId="77777777" w:rsidR="00423739" w:rsidRPr="0030315B" w:rsidRDefault="00423739" w:rsidP="00DA4077">
            <w:pPr>
              <w:rPr>
                <w:rFonts w:ascii="Times New Roman" w:hAnsi="Times New Roman"/>
                <w:sz w:val="20"/>
              </w:rPr>
            </w:pPr>
          </w:p>
        </w:tc>
        <w:tc>
          <w:tcPr>
            <w:tcW w:w="735" w:type="dxa"/>
            <w:tcBorders>
              <w:top w:val="nil"/>
              <w:left w:val="nil"/>
              <w:bottom w:val="nil"/>
              <w:right w:val="nil"/>
            </w:tcBorders>
            <w:shd w:val="clear" w:color="auto" w:fill="auto"/>
            <w:noWrap/>
            <w:vAlign w:val="bottom"/>
            <w:hideMark/>
          </w:tcPr>
          <w:p w14:paraId="5CED0D55" w14:textId="77777777" w:rsidR="00423739" w:rsidRPr="0030315B" w:rsidRDefault="00423739" w:rsidP="00DA4077">
            <w:pPr>
              <w:rPr>
                <w:rFonts w:ascii="Times New Roman" w:hAnsi="Times New Roman"/>
                <w:sz w:val="20"/>
              </w:rPr>
            </w:pPr>
          </w:p>
        </w:tc>
      </w:tr>
    </w:tbl>
    <w:p w14:paraId="2C907EA9" w14:textId="3187ECB1" w:rsidR="00423739" w:rsidRPr="00DC75FD" w:rsidRDefault="00423739" w:rsidP="00DC75FD">
      <w:pPr>
        <w:pStyle w:val="ListParagraph"/>
        <w:keepNext/>
        <w:keepLines/>
        <w:numPr>
          <w:ilvl w:val="0"/>
          <w:numId w:val="12"/>
        </w:numPr>
        <w:adjustRightInd w:val="0"/>
        <w:snapToGrid w:val="0"/>
        <w:spacing w:before="360" w:after="240" w:line="240" w:lineRule="auto"/>
        <w:ind w:left="0" w:firstLine="0"/>
        <w:contextualSpacing w:val="0"/>
        <w:jc w:val="both"/>
        <w:rPr>
          <w:rFonts w:cstheme="minorHAnsi"/>
          <w:sz w:val="24"/>
          <w:szCs w:val="24"/>
          <w:lang w:val="en-CA"/>
        </w:rPr>
      </w:pPr>
      <w:r w:rsidRPr="00DC75FD">
        <w:rPr>
          <w:rFonts w:cstheme="minorHAnsi"/>
          <w:sz w:val="24"/>
          <w:szCs w:val="24"/>
          <w:lang w:val="en-CA"/>
        </w:rPr>
        <w:lastRenderedPageBreak/>
        <w:t xml:space="preserve">An overview of the criticality of the recommendations still in progress is as follows: </w:t>
      </w:r>
    </w:p>
    <w:p w14:paraId="3E57D4D0" w14:textId="77777777" w:rsidR="00423739" w:rsidRDefault="00423739" w:rsidP="00DC75FD">
      <w:pPr>
        <w:pStyle w:val="ListParagraph"/>
        <w:keepNext/>
        <w:keepLines/>
        <w:adjustRightInd w:val="0"/>
        <w:snapToGrid w:val="0"/>
        <w:spacing w:after="0" w:line="240" w:lineRule="auto"/>
        <w:ind w:left="0"/>
        <w:contextualSpacing w:val="0"/>
        <w:jc w:val="center"/>
        <w:rPr>
          <w:rFonts w:cstheme="minorHAnsi"/>
          <w:sz w:val="24"/>
          <w:szCs w:val="24"/>
          <w:lang w:val="en-CA"/>
        </w:rPr>
      </w:pPr>
      <w:r>
        <w:rPr>
          <w:rFonts w:cstheme="minorHAnsi"/>
          <w:noProof/>
          <w:sz w:val="24"/>
          <w:szCs w:val="24"/>
          <w:lang w:val="en-CA"/>
        </w:rPr>
        <w:drawing>
          <wp:inline distT="0" distB="0" distL="0" distR="0" wp14:anchorId="0B697706" wp14:editId="6807D747">
            <wp:extent cx="5108575" cy="219064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747" cy="2247320"/>
                    </a:xfrm>
                    <a:prstGeom prst="rect">
                      <a:avLst/>
                    </a:prstGeom>
                    <a:noFill/>
                  </pic:spPr>
                </pic:pic>
              </a:graphicData>
            </a:graphic>
          </wp:inline>
        </w:drawing>
      </w:r>
    </w:p>
    <w:p w14:paraId="591B451D" w14:textId="7B4DBDFC" w:rsidR="00D338E0" w:rsidRPr="00DC75FD" w:rsidRDefault="00423739" w:rsidP="00DC75FD">
      <w:pPr>
        <w:pStyle w:val="ListParagraph"/>
        <w:numPr>
          <w:ilvl w:val="0"/>
          <w:numId w:val="12"/>
        </w:numPr>
        <w:snapToGrid w:val="0"/>
        <w:spacing w:before="360" w:after="120" w:line="240" w:lineRule="auto"/>
        <w:ind w:left="0" w:firstLine="0"/>
        <w:contextualSpacing w:val="0"/>
        <w:jc w:val="both"/>
        <w:rPr>
          <w:lang w:val="en-CA"/>
        </w:rPr>
      </w:pPr>
      <w:r w:rsidRPr="00DC75FD">
        <w:rPr>
          <w:rFonts w:cstheme="minorHAnsi"/>
          <w:spacing w:val="-2"/>
          <w:sz w:val="24"/>
          <w:szCs w:val="24"/>
          <w:lang w:val="en-CA"/>
        </w:rPr>
        <w:t xml:space="preserve">The critical recommendations from 2019 and 2020 stem from the management letter that IA issued, further to the investigation into the fraud case. They relate mainly to the need for HRMD to introduce ITU-wide competitive procedures and reinforced controls with respect to the hiring of external experts (under Special Service Agreements). </w:t>
      </w:r>
      <w:r w:rsidRPr="00DC75FD">
        <w:rPr>
          <w:rFonts w:cstheme="minorHAnsi"/>
          <w:sz w:val="24"/>
          <w:szCs w:val="24"/>
          <w:lang w:val="en-CA"/>
        </w:rPr>
        <w:t>For earlier made recommendations, Management informed IA (and IMAC) regularly of the progress and the working group on internal controls chaired by the BDT Director monitored more intensely the implementation of the earlier made recommendations.</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0FDA9E2E" w14:textId="6E29A16B" w:rsidR="00423739" w:rsidRPr="00040E17" w:rsidRDefault="00423739" w:rsidP="00423739">
      <w:pPr>
        <w:pStyle w:val="FootnoteText"/>
        <w:spacing w:before="0"/>
        <w:rPr>
          <w:sz w:val="16"/>
          <w:szCs w:val="16"/>
        </w:rPr>
      </w:pPr>
      <w:r w:rsidRPr="00040E17">
        <w:rPr>
          <w:rStyle w:val="FootnoteReference"/>
          <w:szCs w:val="16"/>
        </w:rPr>
        <w:footnoteRef/>
      </w:r>
      <w:r w:rsidRPr="00040E17">
        <w:rPr>
          <w:sz w:val="16"/>
          <w:szCs w:val="16"/>
        </w:rPr>
        <w:t xml:space="preserve"> </w:t>
      </w:r>
      <w:r w:rsidR="00DC75FD">
        <w:rPr>
          <w:sz w:val="16"/>
          <w:szCs w:val="16"/>
        </w:rPr>
        <w:tab/>
      </w:r>
      <w:r w:rsidRPr="00040E17">
        <w:rPr>
          <w:rFonts w:cs="Calibri"/>
          <w:sz w:val="16"/>
          <w:szCs w:val="16"/>
        </w:rPr>
        <w:t>Service Order 13/09, promulgated by the Secretary-General on 27 June 2013</w:t>
      </w:r>
    </w:p>
  </w:footnote>
  <w:footnote w:id="2">
    <w:p w14:paraId="50F306F4" w14:textId="4E2287B9" w:rsidR="00423739" w:rsidRPr="00040E17" w:rsidRDefault="00423739" w:rsidP="00423739">
      <w:pPr>
        <w:pStyle w:val="FootnoteText"/>
        <w:spacing w:before="0"/>
        <w:ind w:left="0" w:firstLine="0"/>
        <w:rPr>
          <w:sz w:val="16"/>
          <w:szCs w:val="16"/>
        </w:rPr>
      </w:pPr>
      <w:r w:rsidRPr="00040E17">
        <w:rPr>
          <w:rStyle w:val="FootnoteReference"/>
          <w:szCs w:val="16"/>
        </w:rPr>
        <w:footnoteRef/>
      </w:r>
      <w:r w:rsidRPr="00040E17">
        <w:rPr>
          <w:sz w:val="16"/>
          <w:szCs w:val="16"/>
        </w:rPr>
        <w:t xml:space="preserve"> </w:t>
      </w:r>
      <w:r w:rsidR="00DC75FD">
        <w:rPr>
          <w:sz w:val="16"/>
          <w:szCs w:val="16"/>
        </w:rPr>
        <w:tab/>
      </w:r>
      <w:r w:rsidRPr="00040E17">
        <w:rPr>
          <w:sz w:val="16"/>
          <w:szCs w:val="16"/>
        </w:rPr>
        <w:t xml:space="preserve">Institute of Internal Auditors, </w:t>
      </w:r>
      <w:hyperlink r:id="rId1" w:history="1">
        <w:r w:rsidRPr="00040E17">
          <w:rPr>
            <w:rStyle w:val="Hyperlink"/>
            <w:sz w:val="16"/>
            <w:szCs w:val="16"/>
          </w:rPr>
          <w:t>www.theiia.org</w:t>
        </w:r>
      </w:hyperlink>
    </w:p>
  </w:footnote>
  <w:footnote w:id="3">
    <w:p w14:paraId="165E99FB" w14:textId="1DBD95CE" w:rsidR="00423739" w:rsidRPr="00040E17" w:rsidRDefault="00423739" w:rsidP="00423739">
      <w:pPr>
        <w:pStyle w:val="FootnoteText"/>
        <w:spacing w:before="0"/>
        <w:ind w:left="0" w:firstLine="0"/>
        <w:rPr>
          <w:sz w:val="16"/>
          <w:szCs w:val="16"/>
        </w:rPr>
      </w:pPr>
      <w:r w:rsidRPr="00040E17">
        <w:rPr>
          <w:rStyle w:val="FootnoteReference"/>
          <w:szCs w:val="16"/>
        </w:rPr>
        <w:footnoteRef/>
      </w:r>
      <w:r w:rsidRPr="00040E17">
        <w:rPr>
          <w:sz w:val="16"/>
          <w:szCs w:val="16"/>
        </w:rPr>
        <w:t xml:space="preserve"> </w:t>
      </w:r>
      <w:r w:rsidR="00DC75FD">
        <w:rPr>
          <w:sz w:val="16"/>
          <w:szCs w:val="16"/>
        </w:rPr>
        <w:tab/>
      </w:r>
      <w:r w:rsidRPr="00040E17">
        <w:rPr>
          <w:rFonts w:cs="Calibri"/>
          <w:sz w:val="16"/>
          <w:szCs w:val="16"/>
        </w:rPr>
        <w:t>Service Order 13/09, promulgated by the Secretary-General on 27 June 2013</w:t>
      </w:r>
    </w:p>
  </w:footnote>
  <w:footnote w:id="4">
    <w:p w14:paraId="4645F5C5" w14:textId="0D28D243" w:rsidR="00423739" w:rsidRPr="00500302" w:rsidRDefault="00423739" w:rsidP="00423739">
      <w:pPr>
        <w:pStyle w:val="FootnoteText"/>
        <w:rPr>
          <w:rFonts w:asciiTheme="minorHAnsi" w:hAnsiTheme="minorHAnsi" w:cstheme="minorHAnsi"/>
          <w:sz w:val="18"/>
          <w:szCs w:val="18"/>
        </w:rPr>
      </w:pPr>
      <w:r w:rsidRPr="00500302">
        <w:rPr>
          <w:rStyle w:val="FootnoteReference"/>
          <w:rFonts w:asciiTheme="minorHAnsi" w:hAnsiTheme="minorHAnsi" w:cstheme="minorHAnsi"/>
          <w:sz w:val="18"/>
          <w:szCs w:val="18"/>
        </w:rPr>
        <w:footnoteRef/>
      </w:r>
      <w:r w:rsidRPr="00500302">
        <w:rPr>
          <w:rFonts w:asciiTheme="minorHAnsi" w:hAnsiTheme="minorHAnsi" w:cstheme="minorHAnsi"/>
          <w:sz w:val="18"/>
          <w:szCs w:val="18"/>
        </w:rPr>
        <w:t xml:space="preserve"> </w:t>
      </w:r>
      <w:r w:rsidR="00DC75FD">
        <w:rPr>
          <w:rFonts w:asciiTheme="minorHAnsi" w:hAnsiTheme="minorHAnsi" w:cstheme="minorHAnsi"/>
          <w:sz w:val="18"/>
          <w:szCs w:val="18"/>
        </w:rPr>
        <w:tab/>
      </w:r>
      <w:r w:rsidRPr="00647E55">
        <w:rPr>
          <w:rFonts w:asciiTheme="minorHAnsi" w:hAnsiTheme="minorHAnsi" w:cstheme="minorHAnsi"/>
          <w:color w:val="202124"/>
          <w:sz w:val="18"/>
          <w:szCs w:val="18"/>
          <w:shd w:val="clear" w:color="auto" w:fill="FFFFFF"/>
        </w:rPr>
        <w:t xml:space="preserve">2500. A1 – The chief audit executive must establish a follow-up process to monitor and ensure that management actions have been effectively implemented or that senior management has accepted the risk of not </w:t>
      </w:r>
      <w:proofErr w:type="gramStart"/>
      <w:r w:rsidRPr="00647E55">
        <w:rPr>
          <w:rFonts w:asciiTheme="minorHAnsi" w:hAnsiTheme="minorHAnsi" w:cstheme="minorHAnsi"/>
          <w:color w:val="202124"/>
          <w:sz w:val="18"/>
          <w:szCs w:val="18"/>
          <w:shd w:val="clear" w:color="auto" w:fill="FFFFFF"/>
        </w:rPr>
        <w:t>taking action</w:t>
      </w:r>
      <w:proofErr w:type="gramEnd"/>
      <w:r w:rsidRPr="00647E55">
        <w:rPr>
          <w:rFonts w:asciiTheme="minorHAnsi" w:hAnsiTheme="minorHAnsi" w:cstheme="minorHAnsi"/>
          <w:color w:val="202124"/>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32C4189"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EB6D14">
      <w:rPr>
        <w:bCs/>
      </w:rPr>
      <w:t>44</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23739"/>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44290"/>
    <w:rsid w:val="0075051B"/>
    <w:rsid w:val="00766ACC"/>
    <w:rsid w:val="00793188"/>
    <w:rsid w:val="00794D34"/>
    <w:rsid w:val="00813E5E"/>
    <w:rsid w:val="0083581B"/>
    <w:rsid w:val="00864AFF"/>
    <w:rsid w:val="0086597E"/>
    <w:rsid w:val="008B4A6A"/>
    <w:rsid w:val="008C7E27"/>
    <w:rsid w:val="009173EF"/>
    <w:rsid w:val="00932906"/>
    <w:rsid w:val="00961B0B"/>
    <w:rsid w:val="00992CAE"/>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2765"/>
    <w:rsid w:val="00CF33F3"/>
    <w:rsid w:val="00CF5A9F"/>
    <w:rsid w:val="00D06183"/>
    <w:rsid w:val="00D22C42"/>
    <w:rsid w:val="00D338E0"/>
    <w:rsid w:val="00D65041"/>
    <w:rsid w:val="00D8774A"/>
    <w:rsid w:val="00DB384B"/>
    <w:rsid w:val="00DC75FD"/>
    <w:rsid w:val="00DE4373"/>
    <w:rsid w:val="00E10E80"/>
    <w:rsid w:val="00E124F0"/>
    <w:rsid w:val="00E60F04"/>
    <w:rsid w:val="00E854E4"/>
    <w:rsid w:val="00EA2120"/>
    <w:rsid w:val="00EB0D6F"/>
    <w:rsid w:val="00EB2232"/>
    <w:rsid w:val="00EB6D14"/>
    <w:rsid w:val="00EC5337"/>
    <w:rsid w:val="00F2150A"/>
    <w:rsid w:val="00F231D8"/>
    <w:rsid w:val="00F46C5F"/>
    <w:rsid w:val="00F56668"/>
    <w:rsid w:val="00F617E6"/>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EB6D1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EB6D14"/>
    <w:rPr>
      <w:rFonts w:asciiTheme="minorHAnsi" w:eastAsiaTheme="minorEastAsia" w:hAnsiTheme="minorHAnsi" w:cstheme="minorBidi"/>
      <w:sz w:val="22"/>
      <w:szCs w:val="22"/>
    </w:rPr>
  </w:style>
  <w:style w:type="character" w:customStyle="1" w:styleId="Heading1Char">
    <w:name w:val="Heading 1 Char"/>
    <w:link w:val="Heading1"/>
    <w:rsid w:val="00423739"/>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C-0083/en" TargetMode="External"/><Relationship Id="rId4" Type="http://schemas.openxmlformats.org/officeDocument/2006/relationships/settings" Target="settings.xml"/><Relationship Id="rId9" Type="http://schemas.openxmlformats.org/officeDocument/2006/relationships/hyperlink" Target="https://www.itu.int/en/council/Documents/Financial-Regulations/S-GEN-REG_RGTFIN-2018-PDF-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1464</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Report of the Internal Auditor on internal audit activities</vt:lpstr>
    </vt:vector>
  </TitlesOfParts>
  <Manager>General Secretariat - Pool</Manager>
  <Company>International Telecommunication Union (ITU)</Company>
  <LinksUpToDate>false</LinksUpToDate>
  <CharactersWithSpaces>9483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2021, Virtual consultation of councillors</dc:subject>
  <dc:creator>Brouard, Ricarda</dc:creator>
  <cp:keywords>C2021, C21, C21/VCC-1</cp:keywords>
  <dc:description/>
  <cp:lastModifiedBy>Brouard, Ricarda</cp:lastModifiedBy>
  <cp:revision>6</cp:revision>
  <cp:lastPrinted>2000-07-18T13:30:00Z</cp:lastPrinted>
  <dcterms:created xsi:type="dcterms:W3CDTF">2021-04-01T06:35:00Z</dcterms:created>
  <dcterms:modified xsi:type="dcterms:W3CDTF">2021-04-13T07:06:00Z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