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ED6CC9" w14:paraId="08DF0FD4" w14:textId="77777777" w:rsidTr="006C7CC0">
        <w:trPr>
          <w:cantSplit/>
          <w:trHeight w:val="20"/>
        </w:trPr>
        <w:tc>
          <w:tcPr>
            <w:tcW w:w="6620" w:type="dxa"/>
          </w:tcPr>
          <w:p w14:paraId="58CF4584" w14:textId="77777777" w:rsidR="00290728" w:rsidRPr="00ED6CC9" w:rsidRDefault="00290728" w:rsidP="0026373E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proofErr w:type="spellStart"/>
            <w:r w:rsidRPr="00ED6CC9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>ال‍مجلس</w:t>
            </w:r>
            <w:proofErr w:type="spellEnd"/>
            <w:r w:rsidRPr="00ED6CC9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6A793B" w:rsidRPr="00ED6CC9">
              <w:rPr>
                <w:b/>
                <w:bCs/>
                <w:w w:val="110"/>
                <w:sz w:val="30"/>
                <w:szCs w:val="30"/>
                <w:lang w:bidi="ar-SY"/>
              </w:rPr>
              <w:t>202</w:t>
            </w:r>
            <w:r w:rsidR="00C566BA" w:rsidRPr="00ED6CC9">
              <w:rPr>
                <w:b/>
                <w:bCs/>
                <w:w w:val="110"/>
                <w:sz w:val="30"/>
                <w:szCs w:val="30"/>
                <w:lang w:bidi="ar-SY"/>
              </w:rPr>
              <w:t>1</w:t>
            </w:r>
            <w:r w:rsidR="00C002DE" w:rsidRPr="00ED6CC9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C67A87" w:rsidRPr="00ED6CC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المشاورة الافتراضية لأعضاء المجلس</w:t>
            </w:r>
            <w:r w:rsidRPr="00ED6CC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C566BA" w:rsidRPr="00ED6CC9">
              <w:rPr>
                <w:b/>
                <w:bCs/>
                <w:sz w:val="24"/>
                <w:szCs w:val="24"/>
                <w:lang w:bidi="ar-SY"/>
              </w:rPr>
              <w:t>18-8</w:t>
            </w:r>
            <w:r w:rsidR="00DC1E02" w:rsidRPr="00ED6CC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82358A" w:rsidRPr="00ED6CC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يونيو</w:t>
            </w:r>
            <w:r w:rsidR="00DC1E02" w:rsidRPr="00ED6CC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C566BA" w:rsidRPr="00ED6CC9">
              <w:rPr>
                <w:b/>
                <w:bCs/>
                <w:sz w:val="24"/>
                <w:szCs w:val="24"/>
                <w:lang w:bidi="ar-EG"/>
              </w:rPr>
              <w:t>2021</w:t>
            </w:r>
          </w:p>
        </w:tc>
        <w:tc>
          <w:tcPr>
            <w:tcW w:w="3052" w:type="dxa"/>
          </w:tcPr>
          <w:p w14:paraId="22AAADED" w14:textId="77777777" w:rsidR="00290728" w:rsidRPr="00ED6CC9" w:rsidRDefault="006A793B" w:rsidP="0015650C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ED6CC9">
              <w:rPr>
                <w:noProof/>
              </w:rPr>
              <w:drawing>
                <wp:inline distT="0" distB="0" distL="0" distR="0" wp14:anchorId="53DC32E8" wp14:editId="4199C5B9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ED6CC9" w14:paraId="33A94485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06EEA5D" w14:textId="77777777" w:rsidR="00290728" w:rsidRPr="00ED6CC9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6A21F462" w14:textId="77777777" w:rsidR="00290728" w:rsidRPr="00ED6CC9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ED6CC9" w14:paraId="3BEEE556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7FB671E3" w14:textId="77777777" w:rsidR="00290728" w:rsidRPr="00ED6CC9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153C0DEC" w14:textId="77777777" w:rsidR="00290728" w:rsidRPr="00ED6CC9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15650C" w:rsidRPr="00ED6CC9" w14:paraId="72D3AA5B" w14:textId="77777777" w:rsidTr="009F66A8">
        <w:trPr>
          <w:cantSplit/>
        </w:trPr>
        <w:tc>
          <w:tcPr>
            <w:tcW w:w="6620" w:type="dxa"/>
            <w:vMerge w:val="restart"/>
          </w:tcPr>
          <w:p w14:paraId="0B76EBB2" w14:textId="3F3196E3" w:rsidR="005805EA" w:rsidRPr="00ED6CC9" w:rsidRDefault="0015650C" w:rsidP="00792DAD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ED6CC9">
              <w:rPr>
                <w:rFonts w:hint="cs"/>
                <w:b/>
                <w:bCs/>
                <w:rtl/>
                <w:lang w:bidi="ar-EG"/>
              </w:rPr>
              <w:t xml:space="preserve">بند جدول الأعمال: </w:t>
            </w:r>
            <w:r w:rsidRPr="00ED6CC9">
              <w:rPr>
                <w:b/>
                <w:bCs/>
                <w:lang w:bidi="ar-EG"/>
              </w:rPr>
              <w:t>ADM </w:t>
            </w:r>
            <w:r w:rsidR="00792DAD" w:rsidRPr="00ED6CC9">
              <w:rPr>
                <w:b/>
                <w:bCs/>
                <w:lang w:bidi="ar-EG"/>
              </w:rPr>
              <w:t>18</w:t>
            </w:r>
          </w:p>
        </w:tc>
        <w:tc>
          <w:tcPr>
            <w:tcW w:w="3052" w:type="dxa"/>
            <w:vAlign w:val="center"/>
          </w:tcPr>
          <w:p w14:paraId="6C3CC80E" w14:textId="1C42B8E4" w:rsidR="0015650C" w:rsidRPr="00ED6CC9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ED6CC9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ED6CC9">
              <w:rPr>
                <w:b/>
                <w:bCs/>
                <w:lang w:bidi="ar-SY"/>
              </w:rPr>
              <w:t>C21/</w:t>
            </w:r>
            <w:r w:rsidR="00792DAD" w:rsidRPr="00ED6CC9">
              <w:rPr>
                <w:b/>
                <w:bCs/>
                <w:lang w:bidi="ar-SY"/>
              </w:rPr>
              <w:t>44</w:t>
            </w:r>
            <w:r w:rsidRPr="00ED6CC9">
              <w:rPr>
                <w:b/>
                <w:bCs/>
                <w:lang w:bidi="ar-SY"/>
              </w:rPr>
              <w:t>-A</w:t>
            </w:r>
          </w:p>
        </w:tc>
      </w:tr>
      <w:tr w:rsidR="0015650C" w:rsidRPr="00ED6CC9" w14:paraId="48613DC3" w14:textId="77777777" w:rsidTr="009F66A8">
        <w:trPr>
          <w:cantSplit/>
        </w:trPr>
        <w:tc>
          <w:tcPr>
            <w:tcW w:w="6620" w:type="dxa"/>
            <w:vMerge/>
          </w:tcPr>
          <w:p w14:paraId="3D3B6D34" w14:textId="77777777" w:rsidR="0015650C" w:rsidRPr="00ED6CC9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2BD93F61" w14:textId="2F5966E2" w:rsidR="0015650C" w:rsidRPr="00ED6CC9" w:rsidRDefault="00792DAD" w:rsidP="003C6B4F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ED6CC9">
              <w:rPr>
                <w:rFonts w:hint="cs"/>
                <w:b/>
                <w:bCs/>
                <w:rtl/>
                <w:lang w:bidi="ar-SY"/>
              </w:rPr>
              <w:t>31 مارس</w:t>
            </w:r>
            <w:r w:rsidR="0015650C" w:rsidRPr="00ED6CC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5650C" w:rsidRPr="00ED6CC9">
              <w:rPr>
                <w:b/>
                <w:bCs/>
                <w:lang w:bidi="ar-SY"/>
              </w:rPr>
              <w:t>2021</w:t>
            </w:r>
          </w:p>
        </w:tc>
      </w:tr>
      <w:tr w:rsidR="0015650C" w:rsidRPr="00ED6CC9" w14:paraId="0338737D" w14:textId="77777777" w:rsidTr="009F66A8">
        <w:trPr>
          <w:cantSplit/>
        </w:trPr>
        <w:tc>
          <w:tcPr>
            <w:tcW w:w="6620" w:type="dxa"/>
            <w:vMerge/>
          </w:tcPr>
          <w:p w14:paraId="558B2D4B" w14:textId="77777777" w:rsidR="0015650C" w:rsidRPr="00ED6CC9" w:rsidRDefault="0015650C" w:rsidP="003C6B4F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57556CB6" w14:textId="77777777" w:rsidR="0015650C" w:rsidRPr="00ED6CC9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ED6CC9">
              <w:rPr>
                <w:b/>
                <w:bCs/>
                <w:rtl/>
                <w:lang w:bidi="ar-EG"/>
              </w:rPr>
              <w:t xml:space="preserve">الأصل: </w:t>
            </w:r>
            <w:r w:rsidRPr="00ED6CC9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792DAD" w:rsidRPr="00ED6CC9" w14:paraId="202182E9" w14:textId="77777777" w:rsidTr="009F66A8">
        <w:trPr>
          <w:cantSplit/>
        </w:trPr>
        <w:tc>
          <w:tcPr>
            <w:tcW w:w="9672" w:type="dxa"/>
            <w:gridSpan w:val="2"/>
          </w:tcPr>
          <w:p w14:paraId="27B32F12" w14:textId="5B2710F0" w:rsidR="00792DAD" w:rsidRPr="00ED6CC9" w:rsidRDefault="00792DAD" w:rsidP="00792DAD">
            <w:pPr>
              <w:pStyle w:val="Source"/>
              <w:rPr>
                <w:rtl/>
                <w:lang w:bidi="ar-EG"/>
              </w:rPr>
            </w:pPr>
            <w:r w:rsidRPr="00ED6CC9">
              <w:rPr>
                <w:rFonts w:hint="cs"/>
                <w:rtl/>
                <w:lang w:bidi="ar-SY"/>
              </w:rPr>
              <w:t>تقرير من الأمين العام</w:t>
            </w:r>
          </w:p>
        </w:tc>
      </w:tr>
      <w:tr w:rsidR="00792DAD" w:rsidRPr="00ED6CC9" w14:paraId="043196E2" w14:textId="77777777" w:rsidTr="009F66A8">
        <w:trPr>
          <w:cantSplit/>
        </w:trPr>
        <w:tc>
          <w:tcPr>
            <w:tcW w:w="9672" w:type="dxa"/>
            <w:gridSpan w:val="2"/>
          </w:tcPr>
          <w:p w14:paraId="40A7E60F" w14:textId="1387B881" w:rsidR="00792DAD" w:rsidRPr="00ED6CC9" w:rsidRDefault="00792DAD" w:rsidP="00792DAD">
            <w:pPr>
              <w:pStyle w:val="Title1"/>
              <w:rPr>
                <w:rtl/>
              </w:rPr>
            </w:pPr>
            <w:r w:rsidRPr="00ED6CC9">
              <w:rPr>
                <w:rtl/>
              </w:rPr>
              <w:t xml:space="preserve">تقرير </w:t>
            </w:r>
            <w:r w:rsidRPr="00ED6CC9">
              <w:rPr>
                <w:rFonts w:hint="cs"/>
                <w:rtl/>
              </w:rPr>
              <w:t>المراجع</w:t>
            </w:r>
            <w:r w:rsidRPr="00ED6CC9">
              <w:rPr>
                <w:rtl/>
              </w:rPr>
              <w:t xml:space="preserve"> الداخلي عن أنشطة </w:t>
            </w:r>
            <w:r w:rsidRPr="00ED6CC9">
              <w:rPr>
                <w:rFonts w:hint="cs"/>
                <w:rtl/>
              </w:rPr>
              <w:t>المراجعة</w:t>
            </w:r>
            <w:r w:rsidRPr="00ED6CC9">
              <w:rPr>
                <w:rtl/>
              </w:rPr>
              <w:t xml:space="preserve"> الداخلية</w:t>
            </w:r>
          </w:p>
        </w:tc>
      </w:tr>
      <w:tr w:rsidR="00DC5FB0" w:rsidRPr="00ED6CC9" w14:paraId="354BF1EC" w14:textId="77777777" w:rsidTr="009F66A8">
        <w:trPr>
          <w:cantSplit/>
        </w:trPr>
        <w:tc>
          <w:tcPr>
            <w:tcW w:w="9672" w:type="dxa"/>
            <w:gridSpan w:val="2"/>
          </w:tcPr>
          <w:p w14:paraId="7D760FE0" w14:textId="77777777" w:rsidR="00DC5FB0" w:rsidRPr="00ED6CC9" w:rsidRDefault="00DC5FB0" w:rsidP="006A793B">
            <w:pPr>
              <w:rPr>
                <w:rtl/>
              </w:rPr>
            </w:pPr>
          </w:p>
        </w:tc>
      </w:tr>
    </w:tbl>
    <w:p w14:paraId="3D8CB3CA" w14:textId="77777777" w:rsidR="00706D7A" w:rsidRPr="00ED6CC9" w:rsidRDefault="00706D7A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:rsidRPr="00ED6CC9" w14:paraId="3C405A29" w14:textId="77777777" w:rsidTr="00952F86">
        <w:trPr>
          <w:jc w:val="center"/>
        </w:trPr>
        <w:tc>
          <w:tcPr>
            <w:tcW w:w="8080" w:type="dxa"/>
          </w:tcPr>
          <w:p w14:paraId="59DA2A0B" w14:textId="77777777" w:rsidR="00290728" w:rsidRPr="00ED6CC9" w:rsidRDefault="00290728" w:rsidP="00F7296E">
            <w:pPr>
              <w:pStyle w:val="Headingb"/>
              <w:rPr>
                <w:rtl/>
                <w:lang w:bidi="ar-SY"/>
              </w:rPr>
            </w:pPr>
            <w:r w:rsidRPr="00ED6CC9">
              <w:rPr>
                <w:rFonts w:hint="cs"/>
                <w:rtl/>
                <w:lang w:bidi="ar-SY"/>
              </w:rPr>
              <w:t>ملخص</w:t>
            </w:r>
          </w:p>
          <w:p w14:paraId="4991DEC5" w14:textId="6E161379" w:rsidR="00792DAD" w:rsidRPr="00ED6CC9" w:rsidRDefault="00792DAD" w:rsidP="00792DAD">
            <w:pPr>
              <w:rPr>
                <w:rtl/>
                <w:lang w:bidi="ar-SY"/>
              </w:rPr>
            </w:pPr>
            <w:r w:rsidRPr="00ED6CC9">
              <w:rPr>
                <w:rtl/>
              </w:rPr>
              <w:t>ي</w:t>
            </w:r>
            <w:r w:rsidRPr="00ED6CC9">
              <w:rPr>
                <w:rFonts w:hint="cs"/>
                <w:rtl/>
              </w:rPr>
              <w:t>ُغطي</w:t>
            </w:r>
            <w:r w:rsidRPr="00ED6CC9">
              <w:rPr>
                <w:rtl/>
              </w:rPr>
              <w:t xml:space="preserve"> هذا التقرير </w:t>
            </w:r>
            <w:r w:rsidRPr="00ED6CC9">
              <w:rPr>
                <w:rFonts w:hint="cs"/>
                <w:rtl/>
                <w:lang w:bidi="ar-EG"/>
              </w:rPr>
              <w:t>أنشطة المراجعة الداخلية</w:t>
            </w:r>
            <w:r w:rsidRPr="00ED6CC9">
              <w:rPr>
                <w:rtl/>
              </w:rPr>
              <w:t xml:space="preserve"> في</w:t>
            </w:r>
            <w:r w:rsidRPr="00ED6CC9">
              <w:rPr>
                <w:rFonts w:hint="cs"/>
                <w:rtl/>
              </w:rPr>
              <w:t> </w:t>
            </w:r>
            <w:r w:rsidRPr="00ED6CC9">
              <w:rPr>
                <w:rtl/>
              </w:rPr>
              <w:t xml:space="preserve">الفترة الممتدة من </w:t>
            </w:r>
            <w:r w:rsidRPr="00ED6CC9">
              <w:rPr>
                <w:rFonts w:hint="cs"/>
                <w:rtl/>
              </w:rPr>
              <w:t>مايو </w:t>
            </w:r>
            <w:r w:rsidR="00D261F3" w:rsidRPr="00ED6CC9">
              <w:rPr>
                <w:lang w:bidi="ar-SY"/>
              </w:rPr>
              <w:t>2020</w:t>
            </w:r>
            <w:r w:rsidRPr="00ED6CC9">
              <w:rPr>
                <w:rtl/>
              </w:rPr>
              <w:t xml:space="preserve"> إلى </w:t>
            </w:r>
            <w:r w:rsidR="00D261F3" w:rsidRPr="00ED6CC9">
              <w:rPr>
                <w:rFonts w:hint="cs"/>
                <w:rtl/>
                <w:lang w:bidi="ar-EG"/>
              </w:rPr>
              <w:t>مارس 2021</w:t>
            </w:r>
            <w:r w:rsidRPr="00ED6CC9">
              <w:rPr>
                <w:rtl/>
              </w:rPr>
              <w:t>.</w:t>
            </w:r>
          </w:p>
          <w:p w14:paraId="7C1C0E2B" w14:textId="77777777" w:rsidR="00792DAD" w:rsidRPr="00ED6CC9" w:rsidRDefault="00792DAD" w:rsidP="00F7296E">
            <w:pPr>
              <w:pStyle w:val="Headingb"/>
              <w:rPr>
                <w:rtl/>
                <w:lang w:bidi="ar-SY"/>
              </w:rPr>
            </w:pPr>
            <w:r w:rsidRPr="00ED6CC9">
              <w:rPr>
                <w:rFonts w:hint="cs"/>
                <w:rtl/>
                <w:lang w:bidi="ar-SY"/>
              </w:rPr>
              <w:t>الإجراء المطلوب</w:t>
            </w:r>
          </w:p>
          <w:p w14:paraId="218BC3C9" w14:textId="5B588952" w:rsidR="00290728" w:rsidRPr="00ED6CC9" w:rsidRDefault="00792DAD" w:rsidP="00792DAD">
            <w:pPr>
              <w:rPr>
                <w:rtl/>
                <w:lang w:bidi="ar-SY"/>
              </w:rPr>
            </w:pPr>
            <w:r w:rsidRPr="00ED6CC9">
              <w:rPr>
                <w:rFonts w:hint="cs"/>
                <w:rtl/>
                <w:lang w:bidi="ar-EG"/>
              </w:rPr>
              <w:t xml:space="preserve">يُحال هذا التقرير إلى المجلس لكي </w:t>
            </w:r>
            <w:r w:rsidRPr="00ED6CC9">
              <w:rPr>
                <w:rFonts w:hint="cs"/>
                <w:b/>
                <w:bCs/>
                <w:rtl/>
                <w:lang w:bidi="ar-EG"/>
              </w:rPr>
              <w:t>ينظر فيه</w:t>
            </w:r>
            <w:r w:rsidRPr="00ED6CC9">
              <w:rPr>
                <w:rFonts w:hint="cs"/>
                <w:rtl/>
                <w:lang w:bidi="ar-EG"/>
              </w:rPr>
              <w:t>.</w:t>
            </w:r>
          </w:p>
          <w:p w14:paraId="4E795A0D" w14:textId="4C16D540" w:rsidR="00290728" w:rsidRPr="00F7296E" w:rsidRDefault="00F7296E" w:rsidP="0029072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SY"/>
              </w:rPr>
              <w:t>ـــــــــــــــــــــــــــــــــــــــــــــــــــــــــــــــــــــــــــــــ</w:t>
            </w:r>
          </w:p>
          <w:p w14:paraId="20808801" w14:textId="77777777" w:rsidR="00290728" w:rsidRPr="00ED6CC9" w:rsidRDefault="00290728" w:rsidP="00F7296E">
            <w:pPr>
              <w:pStyle w:val="Headingb"/>
              <w:rPr>
                <w:rtl/>
                <w:lang w:bidi="ar-SY"/>
              </w:rPr>
            </w:pPr>
            <w:r w:rsidRPr="00ED6CC9">
              <w:rPr>
                <w:rFonts w:hint="cs"/>
                <w:rtl/>
                <w:lang w:bidi="ar-SY"/>
              </w:rPr>
              <w:t>المراجع</w:t>
            </w:r>
          </w:p>
          <w:p w14:paraId="7DEE5BB0" w14:textId="10F3284C" w:rsidR="00290728" w:rsidRPr="00ED6CC9" w:rsidRDefault="00F81740" w:rsidP="00792DAD">
            <w:pPr>
              <w:spacing w:after="120"/>
              <w:jc w:val="left"/>
              <w:rPr>
                <w:i/>
                <w:iCs/>
                <w:rtl/>
                <w:lang w:bidi="ar-SY"/>
              </w:rPr>
            </w:pPr>
            <w:hyperlink r:id="rId9" w:history="1">
              <w:r w:rsidR="00792DAD" w:rsidRPr="00ED6CC9">
                <w:rPr>
                  <w:rStyle w:val="Hyperlink"/>
                  <w:i/>
                  <w:iCs/>
                  <w:rtl/>
                </w:rPr>
                <w:t xml:space="preserve">اللوائح المالية والقواعد المالية للاتحاد </w:t>
              </w:r>
              <w:r w:rsidR="00792DAD" w:rsidRPr="00ED6CC9">
                <w:rPr>
                  <w:rStyle w:val="Hyperlink"/>
                  <w:i/>
                  <w:iCs/>
                  <w:lang w:bidi="ar-SY"/>
                </w:rPr>
                <w:t>(2018)</w:t>
              </w:r>
              <w:r w:rsidR="00792DAD" w:rsidRPr="00ED6CC9">
                <w:rPr>
                  <w:rStyle w:val="Hyperlink"/>
                  <w:i/>
                  <w:iCs/>
                  <w:rtl/>
                </w:rPr>
                <w:t xml:space="preserve">، المادة </w:t>
              </w:r>
              <w:r w:rsidR="00792DAD" w:rsidRPr="00ED6CC9">
                <w:rPr>
                  <w:rStyle w:val="Hyperlink"/>
                  <w:i/>
                  <w:iCs/>
                  <w:lang w:bidi="ar-SY"/>
                </w:rPr>
                <w:t>29</w:t>
              </w:r>
            </w:hyperlink>
          </w:p>
        </w:tc>
      </w:tr>
    </w:tbl>
    <w:p w14:paraId="0BCFAE0A" w14:textId="77777777" w:rsidR="004E11DC" w:rsidRPr="00ED6CC9" w:rsidRDefault="004E11DC" w:rsidP="0026373E">
      <w:pPr>
        <w:rPr>
          <w:rtl/>
        </w:rPr>
      </w:pPr>
    </w:p>
    <w:p w14:paraId="395472A0" w14:textId="77777777" w:rsidR="00290728" w:rsidRPr="00ED6CC9" w:rsidRDefault="00290728" w:rsidP="00290728">
      <w:pPr>
        <w:rPr>
          <w:rtl/>
          <w:lang w:bidi="ar-EG"/>
        </w:rPr>
      </w:pPr>
      <w:r w:rsidRPr="00ED6CC9">
        <w:rPr>
          <w:rtl/>
          <w:lang w:bidi="ar-SY"/>
        </w:rPr>
        <w:br w:type="page"/>
      </w:r>
    </w:p>
    <w:p w14:paraId="6B9609A3" w14:textId="77777777" w:rsidR="00792DAD" w:rsidRPr="00ED6CC9" w:rsidRDefault="00792DAD" w:rsidP="004A2E84">
      <w:pPr>
        <w:pStyle w:val="Headingb"/>
      </w:pPr>
      <w:r w:rsidRPr="00ED6CC9">
        <w:rPr>
          <w:rtl/>
        </w:rPr>
        <w:lastRenderedPageBreak/>
        <w:t>مقدمة</w:t>
      </w:r>
    </w:p>
    <w:p w14:paraId="75FCB363" w14:textId="439C5E00" w:rsidR="00792DAD" w:rsidRPr="00ED6CC9" w:rsidRDefault="00792DAD" w:rsidP="00792DAD">
      <w:pPr>
        <w:rPr>
          <w:rtl/>
        </w:rPr>
      </w:pPr>
      <w:r w:rsidRPr="00ED6CC9">
        <w:rPr>
          <w:lang w:bidi="ar-SY"/>
        </w:rPr>
        <w:t>1</w:t>
      </w:r>
      <w:r w:rsidRPr="00ED6CC9">
        <w:rPr>
          <w:rtl/>
        </w:rPr>
        <w:tab/>
        <w:t>يُحال هذا التقرير إلى</w:t>
      </w:r>
      <w:r w:rsidRPr="00ED6CC9">
        <w:t xml:space="preserve"> </w:t>
      </w:r>
      <w:r w:rsidRPr="00ED6CC9">
        <w:rPr>
          <w:rtl/>
        </w:rPr>
        <w:t>مجلس</w:t>
      </w:r>
      <w:r w:rsidRPr="00ED6CC9">
        <w:rPr>
          <w:rFonts w:hint="cs"/>
          <w:rtl/>
          <w:lang w:bidi="ar-EG"/>
        </w:rPr>
        <w:t xml:space="preserve"> الاتحاد</w:t>
      </w:r>
      <w:r w:rsidRPr="00ED6CC9">
        <w:rPr>
          <w:rFonts w:hint="cs"/>
          <w:rtl/>
        </w:rPr>
        <w:t>، و</w:t>
      </w:r>
      <w:r w:rsidRPr="00ED6CC9">
        <w:rPr>
          <w:rtl/>
        </w:rPr>
        <w:t>قد أُعد عملاً بالمادة</w:t>
      </w:r>
      <w:r w:rsidRPr="00ED6CC9">
        <w:rPr>
          <w:rFonts w:hint="cs"/>
          <w:rtl/>
        </w:rPr>
        <w:t> </w:t>
      </w:r>
      <w:r w:rsidRPr="00ED6CC9">
        <w:rPr>
          <w:lang w:bidi="ar-SY"/>
        </w:rPr>
        <w:t>29</w:t>
      </w:r>
      <w:r w:rsidRPr="00ED6CC9">
        <w:rPr>
          <w:rtl/>
        </w:rPr>
        <w:t xml:space="preserve"> من اللوائح المالية</w:t>
      </w:r>
      <w:r w:rsidRPr="00ED6CC9">
        <w:rPr>
          <w:rFonts w:hint="cs"/>
          <w:rtl/>
        </w:rPr>
        <w:t> </w:t>
      </w:r>
      <w:r w:rsidRPr="00ED6CC9">
        <w:rPr>
          <w:lang w:bidi="ar-SY"/>
        </w:rPr>
        <w:t>(2010)</w:t>
      </w:r>
      <w:r w:rsidRPr="00ED6CC9">
        <w:rPr>
          <w:rtl/>
        </w:rPr>
        <w:t>. ووفقاً لميثاق المراجعة الداخلية في الاتحاد</w:t>
      </w:r>
      <w:r w:rsidRPr="00ED6CC9">
        <w:rPr>
          <w:rFonts w:hint="cs"/>
          <w:rtl/>
        </w:rPr>
        <w:t>،</w:t>
      </w:r>
      <w:r w:rsidRPr="00ED6CC9">
        <w:rPr>
          <w:rStyle w:val="FootnoteReference"/>
          <w:rtl/>
        </w:rPr>
        <w:footnoteReference w:id="1"/>
      </w:r>
      <w:r w:rsidRPr="00ED6CC9">
        <w:rPr>
          <w:rtl/>
        </w:rPr>
        <w:t xml:space="preserve"> يقدَّم هذا التقرير إلى الأمين العام ويُعرض على المجلس لكي ينظر فيه. وي</w:t>
      </w:r>
      <w:r w:rsidRPr="00ED6CC9">
        <w:rPr>
          <w:rFonts w:hint="cs"/>
          <w:rtl/>
        </w:rPr>
        <w:t>غطي</w:t>
      </w:r>
      <w:r w:rsidRPr="00ED6CC9">
        <w:rPr>
          <w:rtl/>
        </w:rPr>
        <w:t xml:space="preserve"> هذا التقرير الأنشطة المضطلَع بها في</w:t>
      </w:r>
      <w:r w:rsidRPr="00ED6CC9">
        <w:rPr>
          <w:rFonts w:hint="cs"/>
          <w:rtl/>
        </w:rPr>
        <w:t> </w:t>
      </w:r>
      <w:r w:rsidRPr="00ED6CC9">
        <w:rPr>
          <w:rtl/>
        </w:rPr>
        <w:t xml:space="preserve">الفترة الممتدة من </w:t>
      </w:r>
      <w:r w:rsidR="00F93391" w:rsidRPr="00ED6CC9">
        <w:rPr>
          <w:rFonts w:hint="cs"/>
          <w:rtl/>
        </w:rPr>
        <w:t>مايو</w:t>
      </w:r>
      <w:r w:rsidRPr="00ED6CC9">
        <w:rPr>
          <w:rFonts w:hint="cs"/>
          <w:rtl/>
        </w:rPr>
        <w:t> </w:t>
      </w:r>
      <w:r w:rsidR="00D261F3" w:rsidRPr="00ED6CC9">
        <w:rPr>
          <w:rFonts w:hint="cs"/>
          <w:rtl/>
          <w:lang w:bidi="ar-SY"/>
        </w:rPr>
        <w:t>2020</w:t>
      </w:r>
      <w:r w:rsidRPr="00ED6CC9">
        <w:rPr>
          <w:rtl/>
        </w:rPr>
        <w:t xml:space="preserve"> </w:t>
      </w:r>
      <w:r w:rsidRPr="00ED6CC9">
        <w:rPr>
          <w:rFonts w:hint="cs"/>
          <w:rtl/>
        </w:rPr>
        <w:t>إلى</w:t>
      </w:r>
      <w:r w:rsidRPr="00ED6CC9">
        <w:rPr>
          <w:rtl/>
        </w:rPr>
        <w:t xml:space="preserve"> </w:t>
      </w:r>
      <w:r w:rsidR="00D261F3" w:rsidRPr="00ED6CC9">
        <w:rPr>
          <w:rFonts w:hint="cs"/>
          <w:rtl/>
          <w:lang w:bidi="ar-EG"/>
        </w:rPr>
        <w:t>مارس 2021</w:t>
      </w:r>
      <w:r w:rsidRPr="00ED6CC9">
        <w:rPr>
          <w:rtl/>
        </w:rPr>
        <w:t>.</w:t>
      </w:r>
    </w:p>
    <w:p w14:paraId="7A7AE2DC" w14:textId="25CE2DEB" w:rsidR="00792DAD" w:rsidRPr="00ED6CC9" w:rsidRDefault="00792DAD" w:rsidP="004D3457">
      <w:pPr>
        <w:rPr>
          <w:rtl/>
          <w:lang w:bidi="ar-EG"/>
        </w:rPr>
      </w:pPr>
      <w:r w:rsidRPr="005600FE">
        <w:t>2</w:t>
      </w:r>
      <w:r w:rsidRPr="005600FE">
        <w:rPr>
          <w:rtl/>
          <w:lang w:bidi="ar-EG"/>
        </w:rPr>
        <w:tab/>
      </w:r>
      <w:r w:rsidRPr="005600FE">
        <w:rPr>
          <w:rFonts w:hint="cs"/>
          <w:rtl/>
        </w:rPr>
        <w:t>وخلال الفترة المشمولة بالتقرير، تألفت وحدة المراجعة الداخلية من ثلاثة موظفين من الفئة الفنية</w:t>
      </w:r>
      <w:r w:rsidRPr="005600FE">
        <w:rPr>
          <w:rFonts w:hint="eastAsia"/>
          <w:rtl/>
        </w:rPr>
        <w:t> </w:t>
      </w:r>
      <w:r w:rsidRPr="005600FE">
        <w:rPr>
          <w:rFonts w:hint="cs"/>
          <w:rtl/>
        </w:rPr>
        <w:t>-</w:t>
      </w:r>
      <w:r w:rsidRPr="005600FE">
        <w:rPr>
          <w:rFonts w:hint="eastAsia"/>
          <w:rtl/>
        </w:rPr>
        <w:t> </w:t>
      </w:r>
      <w:r w:rsidRPr="005600FE">
        <w:rPr>
          <w:rFonts w:hint="cs"/>
          <w:rtl/>
        </w:rPr>
        <w:t>موظف بدرجة</w:t>
      </w:r>
      <w:r w:rsidRPr="005600FE">
        <w:rPr>
          <w:rFonts w:hint="eastAsia"/>
          <w:rtl/>
        </w:rPr>
        <w:t> </w:t>
      </w:r>
      <w:r w:rsidRPr="005600FE">
        <w:rPr>
          <w:rFonts w:hint="cs"/>
          <w:rtl/>
        </w:rPr>
        <w:t>ف</w:t>
      </w:r>
      <w:r w:rsidRPr="005600FE">
        <w:rPr>
          <w:rtl/>
        </w:rPr>
        <w:noBreakHyphen/>
      </w:r>
      <w:r w:rsidRPr="005600FE">
        <w:rPr>
          <w:lang w:val="en-CA"/>
        </w:rPr>
        <w:t>5</w:t>
      </w:r>
      <w:r w:rsidRPr="005600FE">
        <w:rPr>
          <w:rFonts w:hint="cs"/>
          <w:rtl/>
          <w:lang w:val="en-CA" w:bidi="ar-EG"/>
        </w:rPr>
        <w:t xml:space="preserve"> (رئيس</w:t>
      </w:r>
      <w:r w:rsidRPr="005600FE">
        <w:rPr>
          <w:rFonts w:hint="eastAsia"/>
          <w:rtl/>
          <w:lang w:val="en-CA" w:bidi="ar-EG"/>
        </w:rPr>
        <w:t> </w:t>
      </w:r>
      <w:r w:rsidRPr="005600FE">
        <w:rPr>
          <w:rFonts w:hint="cs"/>
          <w:rtl/>
          <w:lang w:val="en-CA" w:bidi="ar-EG"/>
        </w:rPr>
        <w:t>الوحدة) وموظف بدرجة ف</w:t>
      </w:r>
      <w:r w:rsidRPr="005600FE">
        <w:rPr>
          <w:rtl/>
          <w:lang w:val="en-CA" w:bidi="ar-EG"/>
        </w:rPr>
        <w:noBreakHyphen/>
      </w:r>
      <w:r w:rsidRPr="005600FE">
        <w:rPr>
          <w:lang w:bidi="ar-EG"/>
        </w:rPr>
        <w:t>3</w:t>
      </w:r>
      <w:r w:rsidRPr="005600FE">
        <w:rPr>
          <w:rFonts w:hint="cs"/>
          <w:rtl/>
          <w:lang w:bidi="ar-EG"/>
        </w:rPr>
        <w:t xml:space="preserve"> (مراجع</w:t>
      </w:r>
      <w:r w:rsidRPr="005600FE">
        <w:rPr>
          <w:rFonts w:hint="eastAsia"/>
          <w:rtl/>
          <w:lang w:bidi="ar-EG"/>
        </w:rPr>
        <w:t> </w:t>
      </w:r>
      <w:r w:rsidRPr="005600FE">
        <w:rPr>
          <w:rFonts w:hint="cs"/>
          <w:rtl/>
          <w:lang w:bidi="ar-EG"/>
        </w:rPr>
        <w:t xml:space="preserve">داخلي) </w:t>
      </w:r>
      <w:r w:rsidRPr="005600FE">
        <w:rPr>
          <w:rFonts w:hint="cs"/>
          <w:rtl/>
          <w:lang w:val="en-CA" w:bidi="ar-EG"/>
        </w:rPr>
        <w:t>وكذلك موظف بدرجة ف-</w:t>
      </w:r>
      <w:r w:rsidRPr="005600FE">
        <w:rPr>
          <w:lang w:val="en-CA" w:bidi="ar-EG"/>
        </w:rPr>
        <w:t>2</w:t>
      </w:r>
      <w:r w:rsidRPr="005600FE">
        <w:rPr>
          <w:rFonts w:hint="cs"/>
          <w:rtl/>
          <w:lang w:val="en-CA" w:bidi="ar-EG"/>
        </w:rPr>
        <w:t xml:space="preserve"> (مراجع داخلي مبتدئ). وكان</w:t>
      </w:r>
      <w:r w:rsidR="00D1750F" w:rsidRPr="005600FE">
        <w:rPr>
          <w:rFonts w:hint="cs"/>
          <w:rtl/>
          <w:lang w:val="en-CA" w:bidi="ar-EG"/>
        </w:rPr>
        <w:t>ت الوحدة</w:t>
      </w:r>
      <w:r w:rsidRPr="005600FE">
        <w:rPr>
          <w:rFonts w:hint="cs"/>
          <w:rtl/>
          <w:lang w:val="en-CA" w:bidi="ar-EG"/>
        </w:rPr>
        <w:t xml:space="preserve"> </w:t>
      </w:r>
      <w:r w:rsidR="00D1750F" w:rsidRPr="005600FE">
        <w:rPr>
          <w:rFonts w:hint="cs"/>
          <w:rtl/>
          <w:lang w:val="en-CA" w:bidi="ar-EG"/>
        </w:rPr>
        <w:t>تضم م</w:t>
      </w:r>
      <w:r w:rsidRPr="005600FE">
        <w:rPr>
          <w:rFonts w:hint="cs"/>
          <w:rtl/>
          <w:lang w:val="en-CA" w:bidi="ar-EG"/>
        </w:rPr>
        <w:t>وظف</w:t>
      </w:r>
      <w:r w:rsidR="00D1750F" w:rsidRPr="005600FE">
        <w:rPr>
          <w:rFonts w:hint="cs"/>
          <w:rtl/>
          <w:lang w:val="en-CA" w:bidi="ar-EG"/>
        </w:rPr>
        <w:t>اً</w:t>
      </w:r>
      <w:r w:rsidRPr="005600FE">
        <w:rPr>
          <w:rFonts w:hint="cs"/>
          <w:rtl/>
          <w:lang w:val="en-CA" w:bidi="ar-EG"/>
        </w:rPr>
        <w:t xml:space="preserve"> من فئة الخدمات العامة (مساعد مراجع) يعمل </w:t>
      </w:r>
      <w:r w:rsidR="00D1750F" w:rsidRPr="005600FE">
        <w:rPr>
          <w:rFonts w:hint="cs"/>
          <w:rtl/>
          <w:lang w:val="en-CA" w:bidi="ar-EG"/>
        </w:rPr>
        <w:t xml:space="preserve">على </w:t>
      </w:r>
      <w:r w:rsidRPr="005600FE">
        <w:rPr>
          <w:rFonts w:hint="cs"/>
          <w:rtl/>
          <w:lang w:val="en-CA" w:bidi="ar-EG"/>
        </w:rPr>
        <w:t>أساس دوام كامل</w:t>
      </w:r>
      <w:r w:rsidR="004D3457" w:rsidRPr="005600FE">
        <w:rPr>
          <w:rFonts w:hint="cs"/>
          <w:rtl/>
          <w:lang w:bidi="ar-EG"/>
        </w:rPr>
        <w:t>، تقاعد</w:t>
      </w:r>
      <w:r w:rsidR="00F83D33" w:rsidRPr="005600FE">
        <w:rPr>
          <w:rFonts w:hint="cs"/>
          <w:rtl/>
          <w:lang w:bidi="ar-EG"/>
        </w:rPr>
        <w:t xml:space="preserve"> من الاتحاد</w:t>
      </w:r>
      <w:r w:rsidR="004D3457" w:rsidRPr="005600FE">
        <w:rPr>
          <w:rFonts w:hint="cs"/>
          <w:rtl/>
          <w:lang w:bidi="ar-EG"/>
        </w:rPr>
        <w:t xml:space="preserve"> </w:t>
      </w:r>
      <w:r w:rsidR="00D1750F" w:rsidRPr="005600FE">
        <w:rPr>
          <w:rFonts w:hint="cs"/>
          <w:rtl/>
          <w:lang w:val="en-CA" w:bidi="ar-EG"/>
        </w:rPr>
        <w:t>في نهاية يناير</w:t>
      </w:r>
      <w:r w:rsidR="004A2E84" w:rsidRPr="005600FE">
        <w:rPr>
          <w:rFonts w:hint="eastAsia"/>
          <w:rtl/>
          <w:lang w:val="en-CA" w:bidi="ar-EG"/>
        </w:rPr>
        <w:t> </w:t>
      </w:r>
      <w:r w:rsidR="00D1750F" w:rsidRPr="005600FE">
        <w:rPr>
          <w:lang w:bidi="ar-EG"/>
        </w:rPr>
        <w:t>2021</w:t>
      </w:r>
      <w:r w:rsidR="004D3457" w:rsidRPr="005600FE">
        <w:rPr>
          <w:rFonts w:hint="cs"/>
          <w:rtl/>
          <w:lang w:bidi="ar-EG"/>
        </w:rPr>
        <w:t xml:space="preserve">. </w:t>
      </w:r>
      <w:r w:rsidR="00872F9A" w:rsidRPr="005600FE">
        <w:rPr>
          <w:rFonts w:hint="cs"/>
          <w:rtl/>
          <w:lang w:bidi="ar-EG"/>
        </w:rPr>
        <w:t>وقد أُلغيت</w:t>
      </w:r>
      <w:r w:rsidR="004D3457" w:rsidRPr="005600FE">
        <w:rPr>
          <w:rFonts w:hint="cs"/>
          <w:rtl/>
          <w:lang w:bidi="ar-EG"/>
        </w:rPr>
        <w:t xml:space="preserve"> هذه الوظيفة من فئة الخدمات العامة</w:t>
      </w:r>
      <w:r w:rsidR="00872F9A" w:rsidRPr="005600FE">
        <w:rPr>
          <w:rFonts w:hint="cs"/>
          <w:rtl/>
          <w:lang w:bidi="ar-EG"/>
        </w:rPr>
        <w:t xml:space="preserve"> وأُنشئت وظيفة من الفئة الفنية بدرجة ف-4 (مراجع داخلي أقدم) وأُعلن عنها في </w:t>
      </w:r>
      <w:r w:rsidR="00872F9A" w:rsidRPr="005600FE">
        <w:rPr>
          <w:lang w:bidi="ar-EG"/>
        </w:rPr>
        <w:t>15</w:t>
      </w:r>
      <w:r w:rsidR="00872F9A" w:rsidRPr="005600FE">
        <w:rPr>
          <w:rFonts w:hint="cs"/>
          <w:rtl/>
          <w:lang w:bidi="ar-EG"/>
        </w:rPr>
        <w:t xml:space="preserve"> فبراير </w:t>
      </w:r>
      <w:r w:rsidR="00872F9A" w:rsidRPr="005600FE">
        <w:rPr>
          <w:lang w:bidi="ar-EG"/>
        </w:rPr>
        <w:t>2021</w:t>
      </w:r>
      <w:r w:rsidR="00872F9A" w:rsidRPr="005600FE">
        <w:rPr>
          <w:rFonts w:hint="cs"/>
          <w:rtl/>
          <w:lang w:bidi="ar-EG"/>
        </w:rPr>
        <w:t xml:space="preserve">. </w:t>
      </w:r>
      <w:r w:rsidR="00A56CA4" w:rsidRPr="005600FE">
        <w:rPr>
          <w:rFonts w:hint="cs"/>
          <w:rtl/>
          <w:lang w:bidi="ar-EG"/>
        </w:rPr>
        <w:t xml:space="preserve">ومن ثَم، تتألف الوحدة حالياً من أربع وظائف فنية، </w:t>
      </w:r>
      <w:r w:rsidR="00D1750F" w:rsidRPr="005600FE">
        <w:rPr>
          <w:rFonts w:hint="cs"/>
          <w:rtl/>
          <w:lang w:bidi="ar-EG"/>
        </w:rPr>
        <w:t>إحداها شاغرة</w:t>
      </w:r>
      <w:r w:rsidR="00A56CA4" w:rsidRPr="005600FE">
        <w:rPr>
          <w:rFonts w:hint="cs"/>
          <w:rtl/>
          <w:lang w:bidi="ar-EG"/>
        </w:rPr>
        <w:t xml:space="preserve"> وقيد الملء في غضون</w:t>
      </w:r>
      <w:r w:rsidR="00A56CA4" w:rsidRPr="00ED6CC9">
        <w:rPr>
          <w:rFonts w:hint="cs"/>
          <w:rtl/>
          <w:lang w:bidi="ar-EG"/>
        </w:rPr>
        <w:t xml:space="preserve"> عام</w:t>
      </w:r>
      <w:r w:rsidR="004A2E84">
        <w:rPr>
          <w:rFonts w:hint="eastAsia"/>
          <w:rtl/>
          <w:lang w:bidi="ar-EG"/>
        </w:rPr>
        <w:t> </w:t>
      </w:r>
      <w:r w:rsidR="00A56CA4" w:rsidRPr="00ED6CC9">
        <w:rPr>
          <w:lang w:bidi="ar-EG"/>
        </w:rPr>
        <w:t>2021</w:t>
      </w:r>
      <w:r w:rsidR="00A56CA4" w:rsidRPr="00ED6CC9">
        <w:rPr>
          <w:rFonts w:hint="cs"/>
          <w:rtl/>
          <w:lang w:bidi="ar-EG"/>
        </w:rPr>
        <w:t>.</w:t>
      </w:r>
    </w:p>
    <w:p w14:paraId="575E028A" w14:textId="44F76F98" w:rsidR="00792DAD" w:rsidRPr="00ED6CC9" w:rsidRDefault="00792DAD" w:rsidP="00792DAD">
      <w:pPr>
        <w:rPr>
          <w:rtl/>
        </w:rPr>
      </w:pPr>
      <w:r w:rsidRPr="00ED6CC9">
        <w:t>3</w:t>
      </w:r>
      <w:r w:rsidRPr="00ED6CC9">
        <w:rPr>
          <w:rtl/>
        </w:rPr>
        <w:tab/>
      </w:r>
      <w:r w:rsidRPr="00ED6CC9">
        <w:rPr>
          <w:rFonts w:hint="cs"/>
          <w:rtl/>
        </w:rPr>
        <w:t>و</w:t>
      </w:r>
      <w:r w:rsidRPr="00ED6CC9">
        <w:rPr>
          <w:rtl/>
        </w:rPr>
        <w:t>تؤكد وحدة المراجعة الداخلية</w:t>
      </w:r>
      <w:r w:rsidRPr="00ED6CC9">
        <w:rPr>
          <w:rFonts w:hint="cs"/>
          <w:rtl/>
        </w:rPr>
        <w:t> </w:t>
      </w:r>
      <w:r w:rsidRPr="00ED6CC9">
        <w:t>(IA)</w:t>
      </w:r>
      <w:r w:rsidRPr="00ED6CC9">
        <w:rPr>
          <w:rtl/>
        </w:rPr>
        <w:t xml:space="preserve"> أنها تجري مراجعاتها وفقاً للمعايير الدولية للممارسة المهنية للمراجعة الداخلية ومدونة قواعد السلوك التي وضعها معهد المراجعين الداخليين</w:t>
      </w:r>
      <w:r w:rsidR="004A2E84">
        <w:rPr>
          <w:rFonts w:hint="cs"/>
          <w:rtl/>
        </w:rPr>
        <w:t xml:space="preserve"> </w:t>
      </w:r>
      <w:r w:rsidR="004A2E84" w:rsidRPr="00ED6CC9">
        <w:t>(IIA)</w:t>
      </w:r>
      <w:r w:rsidR="004A2E84">
        <w:rPr>
          <w:rFonts w:hint="cs"/>
          <w:rtl/>
        </w:rPr>
        <w:t>،</w:t>
      </w:r>
      <w:r w:rsidRPr="00ED6CC9">
        <w:rPr>
          <w:rStyle w:val="FootnoteReference"/>
          <w:rtl/>
        </w:rPr>
        <w:footnoteReference w:id="2"/>
      </w:r>
      <w:r w:rsidRPr="00ED6CC9">
        <w:rPr>
          <w:rtl/>
        </w:rPr>
        <w:t xml:space="preserve"> ولأحكام ميثاق المراجعة الداخلية في الاتحاد</w:t>
      </w:r>
      <w:r w:rsidRPr="00ED6CC9">
        <w:rPr>
          <w:rFonts w:hint="cs"/>
          <w:rtl/>
        </w:rPr>
        <w:t>.</w:t>
      </w:r>
      <w:r w:rsidRPr="00ED6CC9">
        <w:rPr>
          <w:rStyle w:val="FootnoteReference"/>
          <w:rtl/>
        </w:rPr>
        <w:footnoteReference w:id="3"/>
      </w:r>
      <w:r w:rsidRPr="00ED6CC9">
        <w:rPr>
          <w:rtl/>
        </w:rPr>
        <w:t xml:space="preserve"> وبالإضافة</w:t>
      </w:r>
      <w:r w:rsidRPr="00ED6CC9">
        <w:rPr>
          <w:rFonts w:hint="eastAsia"/>
          <w:rtl/>
        </w:rPr>
        <w:t> </w:t>
      </w:r>
      <w:r w:rsidRPr="00ED6CC9">
        <w:rPr>
          <w:rtl/>
        </w:rPr>
        <w:t>إلى ذلك، تؤكد وحدة المراجعة الداخلية فيما</w:t>
      </w:r>
      <w:r w:rsidRPr="00ED6CC9">
        <w:rPr>
          <w:rFonts w:hint="cs"/>
          <w:rtl/>
        </w:rPr>
        <w:t> </w:t>
      </w:r>
      <w:r w:rsidRPr="00ED6CC9">
        <w:rPr>
          <w:rtl/>
        </w:rPr>
        <w:t>يخص الفترة المشمولة بهذا التقرير أنه لم يكن لموظفيها أي سلطة إدارية ولم</w:t>
      </w:r>
      <w:r w:rsidRPr="00ED6CC9">
        <w:rPr>
          <w:rFonts w:hint="cs"/>
          <w:rtl/>
        </w:rPr>
        <w:t> </w:t>
      </w:r>
      <w:r w:rsidRPr="00ED6CC9">
        <w:rPr>
          <w:rtl/>
        </w:rPr>
        <w:t>يتولوا أي مسؤولية عن أي من الأنشطة التي جرت مراجعتها ولم يؤدوا أي وظائف محاسبية أو</w:t>
      </w:r>
      <w:r w:rsidRPr="00ED6CC9">
        <w:rPr>
          <w:rFonts w:hint="cs"/>
          <w:rtl/>
        </w:rPr>
        <w:t> </w:t>
      </w:r>
      <w:r w:rsidRPr="00ED6CC9">
        <w:rPr>
          <w:rtl/>
        </w:rPr>
        <w:t>تشغيلية ضمن الاتحاد.</w:t>
      </w:r>
    </w:p>
    <w:p w14:paraId="4C944245" w14:textId="77777777" w:rsidR="00792DAD" w:rsidRPr="00ED6CC9" w:rsidRDefault="00792DAD" w:rsidP="004A2E84">
      <w:pPr>
        <w:pStyle w:val="Headingb"/>
        <w:rPr>
          <w:rtl/>
        </w:rPr>
      </w:pPr>
      <w:r w:rsidRPr="00ED6CC9">
        <w:rPr>
          <w:rtl/>
        </w:rPr>
        <w:t>توجُّه أنشطة المراجعة الداخلية ونطاقها</w:t>
      </w:r>
    </w:p>
    <w:p w14:paraId="6EBF3E9C" w14:textId="2F9936EA" w:rsidR="00792DAD" w:rsidRPr="00ED6CC9" w:rsidRDefault="00792DAD" w:rsidP="00792DAD">
      <w:pPr>
        <w:rPr>
          <w:rtl/>
          <w:lang w:val="fr-FR" w:bidi="ar-EG"/>
        </w:rPr>
      </w:pPr>
      <w:r w:rsidRPr="00ED6CC9">
        <w:t>4</w:t>
      </w:r>
      <w:r w:rsidRPr="00ED6CC9">
        <w:rPr>
          <w:rtl/>
        </w:rPr>
        <w:tab/>
      </w:r>
      <w:r w:rsidR="00545124" w:rsidRPr="00ED6CC9">
        <w:rPr>
          <w:rFonts w:hint="cs"/>
          <w:rtl/>
        </w:rPr>
        <w:t xml:space="preserve">في عام </w:t>
      </w:r>
      <w:r w:rsidR="00545124" w:rsidRPr="00ED6CC9">
        <w:t>2020</w:t>
      </w:r>
      <w:r w:rsidR="00227F56" w:rsidRPr="00ED6CC9">
        <w:rPr>
          <w:rFonts w:hint="cs"/>
          <w:rtl/>
          <w:lang w:bidi="ar-EG"/>
        </w:rPr>
        <w:t xml:space="preserve">، </w:t>
      </w:r>
      <w:r w:rsidR="001251D7" w:rsidRPr="00ED6CC9">
        <w:rPr>
          <w:rFonts w:hint="cs"/>
          <w:rtl/>
        </w:rPr>
        <w:t>وُضعت</w:t>
      </w:r>
      <w:r w:rsidR="00B6111C" w:rsidRPr="00ED6CC9">
        <w:rPr>
          <w:rFonts w:hint="cs"/>
          <w:rtl/>
        </w:rPr>
        <w:t xml:space="preserve"> خطة </w:t>
      </w:r>
      <w:r w:rsidR="00C56B1C" w:rsidRPr="00ED6CC9">
        <w:rPr>
          <w:rFonts w:hint="cs"/>
          <w:rtl/>
        </w:rPr>
        <w:t>عمل وحدة</w:t>
      </w:r>
      <w:r w:rsidR="00B6111C" w:rsidRPr="00ED6CC9">
        <w:rPr>
          <w:rFonts w:hint="cs"/>
          <w:rtl/>
        </w:rPr>
        <w:t xml:space="preserve"> المراجعة الداخلية بصيغة </w:t>
      </w:r>
      <w:r w:rsidR="00B74814" w:rsidRPr="00ED6CC9">
        <w:rPr>
          <w:rFonts w:hint="cs"/>
          <w:rtl/>
        </w:rPr>
        <w:t xml:space="preserve">أقصر </w:t>
      </w:r>
      <w:r w:rsidR="001251D7" w:rsidRPr="00ED6CC9">
        <w:rPr>
          <w:rtl/>
        </w:rPr>
        <w:t>في</w:t>
      </w:r>
      <w:r w:rsidR="00B6111C" w:rsidRPr="00ED6CC9">
        <w:rPr>
          <w:rtl/>
        </w:rPr>
        <w:t xml:space="preserve"> منتصف عام </w:t>
      </w:r>
      <w:r w:rsidR="00B6111C" w:rsidRPr="00ED6CC9">
        <w:t>2020</w:t>
      </w:r>
      <w:r w:rsidR="00A35E6C" w:rsidRPr="00ED6CC9">
        <w:rPr>
          <w:rtl/>
          <w:lang w:bidi="ar-EG"/>
        </w:rPr>
        <w:t>، ويُعزى ذلك أساساً إلى شدة ا</w:t>
      </w:r>
      <w:r w:rsidR="00E31E8C" w:rsidRPr="00ED6CC9">
        <w:rPr>
          <w:rtl/>
          <w:lang w:bidi="ar-EG"/>
        </w:rPr>
        <w:t xml:space="preserve">نهماك </w:t>
      </w:r>
      <w:r w:rsidR="00D1750F" w:rsidRPr="00ED6CC9">
        <w:rPr>
          <w:rtl/>
          <w:lang w:bidi="ar-EG"/>
        </w:rPr>
        <w:t>الوحدة</w:t>
      </w:r>
      <w:r w:rsidR="00A35E6C" w:rsidRPr="00ED6CC9">
        <w:rPr>
          <w:rtl/>
          <w:lang w:bidi="ar-EG"/>
        </w:rPr>
        <w:t xml:space="preserve"> في </w:t>
      </w:r>
      <w:r w:rsidR="004E2006" w:rsidRPr="00ED6CC9">
        <w:rPr>
          <w:rtl/>
          <w:lang w:bidi="ar-EG"/>
        </w:rPr>
        <w:t>أعمال تحقيقات استمرت</w:t>
      </w:r>
      <w:r w:rsidR="00A35E6C" w:rsidRPr="00ED6CC9">
        <w:rPr>
          <w:rtl/>
          <w:lang w:bidi="ar-EG"/>
        </w:rPr>
        <w:t xml:space="preserve"> </w:t>
      </w:r>
      <w:r w:rsidR="004E2006" w:rsidRPr="00ED6CC9">
        <w:rPr>
          <w:rtl/>
          <w:lang w:bidi="ar-EG"/>
        </w:rPr>
        <w:t>لعدة أشهر</w:t>
      </w:r>
      <w:r w:rsidR="00A35E6C" w:rsidRPr="00ED6CC9">
        <w:rPr>
          <w:rtl/>
          <w:lang w:bidi="ar-EG"/>
        </w:rPr>
        <w:t xml:space="preserve"> من عام </w:t>
      </w:r>
      <w:r w:rsidR="00A35E6C" w:rsidRPr="00ED6CC9">
        <w:rPr>
          <w:lang w:bidi="ar-EG"/>
        </w:rPr>
        <w:t>2020</w:t>
      </w:r>
      <w:r w:rsidR="00A35E6C" w:rsidRPr="00ED6CC9">
        <w:rPr>
          <w:rtl/>
          <w:lang w:bidi="ar-EG"/>
        </w:rPr>
        <w:t xml:space="preserve">. </w:t>
      </w:r>
      <w:r w:rsidR="001251D7" w:rsidRPr="00ED6CC9">
        <w:rPr>
          <w:rtl/>
          <w:lang w:bidi="ar-EG"/>
        </w:rPr>
        <w:t>و</w:t>
      </w:r>
      <w:r w:rsidR="00A35E6C" w:rsidRPr="00ED6CC9">
        <w:rPr>
          <w:rtl/>
          <w:lang w:bidi="ar-EG"/>
        </w:rPr>
        <w:t xml:space="preserve">بدأ </w:t>
      </w:r>
      <w:r w:rsidR="00C56B1C" w:rsidRPr="00ED6CC9">
        <w:rPr>
          <w:rtl/>
          <w:lang w:bidi="ar-EG"/>
        </w:rPr>
        <w:t>تنفيذ</w:t>
      </w:r>
      <w:r w:rsidR="00A35E6C" w:rsidRPr="00ED6CC9">
        <w:rPr>
          <w:rtl/>
          <w:lang w:bidi="ar-EG"/>
        </w:rPr>
        <w:t xml:space="preserve"> أعمال المراجعة في وقت لاحق من </w:t>
      </w:r>
      <w:r w:rsidR="00AE56EC" w:rsidRPr="00ED6CC9">
        <w:rPr>
          <w:rtl/>
          <w:lang w:bidi="ar-EG"/>
        </w:rPr>
        <w:t xml:space="preserve">ذلك </w:t>
      </w:r>
      <w:r w:rsidR="00B74814" w:rsidRPr="00ED6CC9">
        <w:rPr>
          <w:rtl/>
          <w:lang w:bidi="ar-EG"/>
        </w:rPr>
        <w:t>العام</w:t>
      </w:r>
      <w:r w:rsidR="00A35E6C" w:rsidRPr="00ED6CC9">
        <w:rPr>
          <w:rtl/>
          <w:lang w:bidi="ar-EG"/>
        </w:rPr>
        <w:t>. و</w:t>
      </w:r>
      <w:r w:rsidRPr="00ED6CC9">
        <w:rPr>
          <w:rtl/>
        </w:rPr>
        <w:t>تماشياً مع ميثاق المراجعة الداخلية، استعرضت</w:t>
      </w:r>
      <w:r w:rsidRPr="00ED6CC9">
        <w:rPr>
          <w:rtl/>
          <w:lang w:bidi="ar-EG"/>
        </w:rPr>
        <w:t xml:space="preserve"> </w:t>
      </w:r>
      <w:r w:rsidRPr="00ED6CC9">
        <w:rPr>
          <w:rtl/>
        </w:rPr>
        <w:t>اللجنة الاستشارية المستقلة للإدارة </w:t>
      </w:r>
      <w:r w:rsidRPr="00ED6CC9">
        <w:t>(IMAC)</w:t>
      </w:r>
      <w:r w:rsidRPr="00ED6CC9">
        <w:rPr>
          <w:rtl/>
        </w:rPr>
        <w:t xml:space="preserve"> في اجتماعها </w:t>
      </w:r>
      <w:r w:rsidR="00D261F3" w:rsidRPr="00ED6CC9">
        <w:rPr>
          <w:rtl/>
        </w:rPr>
        <w:t>الثامن</w:t>
      </w:r>
      <w:r w:rsidRPr="00ED6CC9">
        <w:rPr>
          <w:rtl/>
        </w:rPr>
        <w:t xml:space="preserve"> والعشرين</w:t>
      </w:r>
      <w:r w:rsidR="001251D7" w:rsidRPr="00ED6CC9">
        <w:rPr>
          <w:rtl/>
        </w:rPr>
        <w:t xml:space="preserve"> خطة وحدة المراجعة الداخلية لعام</w:t>
      </w:r>
      <w:r w:rsidR="001251D7" w:rsidRPr="00ED6CC9">
        <w:rPr>
          <w:rFonts w:hint="eastAsia"/>
          <w:rtl/>
        </w:rPr>
        <w:t> </w:t>
      </w:r>
      <w:r w:rsidR="001251D7" w:rsidRPr="00ED6CC9">
        <w:rPr>
          <w:rtl/>
        </w:rPr>
        <w:t>2021</w:t>
      </w:r>
      <w:r w:rsidRPr="00ED6CC9">
        <w:rPr>
          <w:rtl/>
        </w:rPr>
        <w:t xml:space="preserve"> ووافق عليها الأمين العام في </w:t>
      </w:r>
      <w:r w:rsidR="00D261F3" w:rsidRPr="00ED6CC9">
        <w:rPr>
          <w:rtl/>
        </w:rPr>
        <w:t>29</w:t>
      </w:r>
      <w:r w:rsidRPr="00ED6CC9">
        <w:rPr>
          <w:rFonts w:hint="eastAsia"/>
          <w:rtl/>
          <w:lang w:bidi="ar-EG"/>
        </w:rPr>
        <w:t> </w:t>
      </w:r>
      <w:r w:rsidRPr="00ED6CC9">
        <w:rPr>
          <w:rtl/>
          <w:lang w:bidi="ar-EG"/>
        </w:rPr>
        <w:t>مارس</w:t>
      </w:r>
      <w:r w:rsidRPr="00ED6CC9">
        <w:rPr>
          <w:rFonts w:hint="eastAsia"/>
          <w:rtl/>
          <w:lang w:bidi="ar-EG"/>
        </w:rPr>
        <w:t> </w:t>
      </w:r>
      <w:r w:rsidR="00D261F3" w:rsidRPr="00ED6CC9">
        <w:rPr>
          <w:rtl/>
          <w:lang w:bidi="ar-EG"/>
        </w:rPr>
        <w:t>2021</w:t>
      </w:r>
      <w:r w:rsidRPr="00ED6CC9">
        <w:rPr>
          <w:rtl/>
          <w:lang w:bidi="ar-EG"/>
        </w:rPr>
        <w:t xml:space="preserve">. </w:t>
      </w:r>
      <w:r w:rsidR="00DB13A8" w:rsidRPr="00ED6CC9">
        <w:rPr>
          <w:rtl/>
          <w:lang w:bidi="ar-EG"/>
        </w:rPr>
        <w:t>وقد قُلِّصت ال</w:t>
      </w:r>
      <w:r w:rsidR="00C56B1C" w:rsidRPr="00ED6CC9">
        <w:rPr>
          <w:rtl/>
          <w:lang w:bidi="ar-EG"/>
        </w:rPr>
        <w:t xml:space="preserve">مدة </w:t>
      </w:r>
      <w:r w:rsidR="00DB13A8" w:rsidRPr="00ED6CC9">
        <w:rPr>
          <w:rtl/>
          <w:lang w:bidi="ar-EG"/>
        </w:rPr>
        <w:t xml:space="preserve">الزمنية المخصصة لإجراء التحقيقات في عام </w:t>
      </w:r>
      <w:r w:rsidR="00633FC6" w:rsidRPr="00ED6CC9">
        <w:rPr>
          <w:lang w:bidi="ar-EG"/>
        </w:rPr>
        <w:t>2021</w:t>
      </w:r>
      <w:r w:rsidR="00633FC6" w:rsidRPr="00ED6CC9">
        <w:rPr>
          <w:rtl/>
          <w:lang w:bidi="ar-EG"/>
        </w:rPr>
        <w:t xml:space="preserve"> إلى أدنى حد ممكن للسماح لوحدة المراجعة الداخلية بأداء ولايتها الأساسية</w:t>
      </w:r>
      <w:r w:rsidRPr="00ED6CC9">
        <w:rPr>
          <w:rtl/>
          <w:lang w:bidi="ar"/>
        </w:rPr>
        <w:t>. ويستند عمل وحدة ال</w:t>
      </w:r>
      <w:r w:rsidRPr="00ED6CC9">
        <w:rPr>
          <w:rtl/>
        </w:rPr>
        <w:t xml:space="preserve">مراجعة الداخلية </w:t>
      </w:r>
      <w:r w:rsidRPr="00ED6CC9">
        <w:rPr>
          <w:rtl/>
          <w:lang w:bidi="ar"/>
        </w:rPr>
        <w:t>في مجال التحقيقات إلى</w:t>
      </w:r>
      <w:r w:rsidRPr="00ED6CC9">
        <w:rPr>
          <w:rtl/>
          <w:lang w:val="fr-FR" w:bidi="ar"/>
        </w:rPr>
        <w:t xml:space="preserve"> </w:t>
      </w:r>
      <w:r w:rsidRPr="00ED6CC9">
        <w:rPr>
          <w:rtl/>
          <w:lang w:bidi="ar-EG"/>
        </w:rPr>
        <w:t xml:space="preserve">ميثاق المراجعة الداخلية الذي ينص أيضاً </w:t>
      </w:r>
      <w:r w:rsidRPr="00ED6CC9">
        <w:rPr>
          <w:i/>
          <w:iCs/>
          <w:rtl/>
          <w:lang w:bidi="ar-EG"/>
        </w:rPr>
        <w:t>على أن تقوم وحدة المراجعة الداخلية بالتحقيق في ادعاءات أو شبهات الاحتيال أو</w:t>
      </w:r>
      <w:r w:rsidRPr="00ED6CC9">
        <w:rPr>
          <w:rFonts w:hint="eastAsia"/>
          <w:i/>
          <w:iCs/>
          <w:rtl/>
          <w:lang w:bidi="ar-EG"/>
        </w:rPr>
        <w:t> </w:t>
      </w:r>
      <w:r w:rsidRPr="00ED6CC9">
        <w:rPr>
          <w:i/>
          <w:iCs/>
          <w:rtl/>
          <w:lang w:bidi="ar-EG"/>
        </w:rPr>
        <w:t>سوء</w:t>
      </w:r>
      <w:r w:rsidR="001251D7" w:rsidRPr="00ED6CC9">
        <w:rPr>
          <w:i/>
          <w:iCs/>
          <w:rtl/>
          <w:lang w:bidi="ar-EG"/>
        </w:rPr>
        <w:t xml:space="preserve"> الإدارة</w:t>
      </w:r>
      <w:r w:rsidRPr="00ED6CC9">
        <w:rPr>
          <w:i/>
          <w:iCs/>
          <w:rtl/>
          <w:lang w:bidi="ar-EG"/>
        </w:rPr>
        <w:t xml:space="preserve"> كما يمكنها تقديم خدمات استشارية داخل الاتحاد</w:t>
      </w:r>
      <w:r w:rsidRPr="00ED6CC9">
        <w:rPr>
          <w:rtl/>
          <w:lang w:bidi="ar-EG"/>
        </w:rPr>
        <w:t>.</w:t>
      </w:r>
    </w:p>
    <w:p w14:paraId="39D1D5F1" w14:textId="77777777" w:rsidR="00792DAD" w:rsidRPr="00ED6CC9" w:rsidRDefault="00792DAD" w:rsidP="00792DAD">
      <w:pPr>
        <w:rPr>
          <w:spacing w:val="-2"/>
          <w:rtl/>
          <w:lang w:val="en-CA" w:bidi="ar-EG"/>
        </w:rPr>
      </w:pPr>
      <w:r w:rsidRPr="00ED6CC9">
        <w:rPr>
          <w:spacing w:val="-2"/>
        </w:rPr>
        <w:t>5</w:t>
      </w:r>
      <w:r w:rsidRPr="00ED6CC9">
        <w:rPr>
          <w:spacing w:val="-2"/>
          <w:rtl/>
        </w:rPr>
        <w:tab/>
        <w:t>وتقدِّم وحدة المراجعة الداخلية بشكل منهجي نسخاً من تقارير المراجعة الداخلية إلى المراجع الخارجي لحسابات الاتحاد واللجنة الاستشارية المستقلة للإدارة </w:t>
      </w:r>
      <w:r w:rsidRPr="00ED6CC9">
        <w:rPr>
          <w:spacing w:val="-2"/>
        </w:rPr>
        <w:t>(IMAC)</w:t>
      </w:r>
      <w:r w:rsidRPr="00ED6CC9">
        <w:rPr>
          <w:spacing w:val="-2"/>
          <w:rtl/>
        </w:rPr>
        <w:t>. ووفقاً للمادة</w:t>
      </w:r>
      <w:r w:rsidRPr="00ED6CC9">
        <w:rPr>
          <w:rFonts w:hint="eastAsia"/>
          <w:spacing w:val="-2"/>
          <w:rtl/>
        </w:rPr>
        <w:t> </w:t>
      </w:r>
      <w:r w:rsidRPr="00ED6CC9">
        <w:rPr>
          <w:spacing w:val="-2"/>
        </w:rPr>
        <w:t>5.29</w:t>
      </w:r>
      <w:r w:rsidRPr="00ED6CC9">
        <w:rPr>
          <w:spacing w:val="-2"/>
          <w:rtl/>
        </w:rPr>
        <w:t xml:space="preserve"> من اللوائح المالية للاتحاد، يمكن أن تُتاح التقارير النهائية للمراجعة الداخلية للدول الأعضاء أو</w:t>
      </w:r>
      <w:r w:rsidRPr="00ED6CC9">
        <w:rPr>
          <w:rFonts w:hint="eastAsia"/>
          <w:spacing w:val="-2"/>
          <w:rtl/>
        </w:rPr>
        <w:t> </w:t>
      </w:r>
      <w:r w:rsidRPr="00ED6CC9">
        <w:rPr>
          <w:spacing w:val="-2"/>
          <w:rtl/>
        </w:rPr>
        <w:t>ممثليها المعيَّنين. وتم إنشاء آلية تيسير منذ أكتوبر</w:t>
      </w:r>
      <w:r w:rsidRPr="00ED6CC9">
        <w:rPr>
          <w:rFonts w:hint="eastAsia"/>
          <w:spacing w:val="-2"/>
          <w:rtl/>
        </w:rPr>
        <w:t> </w:t>
      </w:r>
      <w:r w:rsidRPr="00ED6CC9">
        <w:rPr>
          <w:spacing w:val="-2"/>
          <w:lang w:val="en-CA"/>
        </w:rPr>
        <w:t>2015</w:t>
      </w:r>
      <w:r w:rsidRPr="00ED6CC9">
        <w:rPr>
          <w:spacing w:val="-2"/>
          <w:rtl/>
          <w:lang w:val="en-CA" w:bidi="ar-EG"/>
        </w:rPr>
        <w:t xml:space="preserve"> للنفاذ إلى تقارير المراجعة الداخلية. وخلال الفترة المشمولة بالتقرير، لم</w:t>
      </w:r>
      <w:r w:rsidRPr="00ED6CC9">
        <w:rPr>
          <w:rFonts w:hint="eastAsia"/>
          <w:spacing w:val="-2"/>
          <w:rtl/>
          <w:lang w:val="en-CA" w:bidi="ar-EG"/>
        </w:rPr>
        <w:t> </w:t>
      </w:r>
      <w:r w:rsidRPr="00ED6CC9">
        <w:rPr>
          <w:spacing w:val="-2"/>
          <w:rtl/>
          <w:lang w:val="en-CA" w:bidi="ar-EG"/>
        </w:rPr>
        <w:t xml:space="preserve">ترد أي طلبات للحصول على تقارير المراجعة الداخلية </w:t>
      </w:r>
      <w:r w:rsidRPr="00ED6CC9">
        <w:rPr>
          <w:color w:val="000000"/>
          <w:spacing w:val="-2"/>
          <w:rtl/>
        </w:rPr>
        <w:t>من خلال الآلية المتاحة على الخط</w:t>
      </w:r>
      <w:r w:rsidRPr="00ED6CC9">
        <w:rPr>
          <w:spacing w:val="-2"/>
          <w:rtl/>
          <w:lang w:val="en-CA" w:bidi="ar-EG"/>
        </w:rPr>
        <w:t>.</w:t>
      </w:r>
    </w:p>
    <w:p w14:paraId="42094E5A" w14:textId="77777777" w:rsidR="00792DAD" w:rsidRPr="00ED6CC9" w:rsidRDefault="00792DAD" w:rsidP="004A2E84">
      <w:pPr>
        <w:pStyle w:val="Headingb"/>
        <w:rPr>
          <w:rtl/>
        </w:rPr>
      </w:pPr>
      <w:r w:rsidRPr="00ED6CC9">
        <w:rPr>
          <w:rtl/>
        </w:rPr>
        <w:t>أهداف المهام المتصلة بالتزامات تأكيد صحة البيانات واستنتاجاتها</w:t>
      </w:r>
    </w:p>
    <w:p w14:paraId="7A0F9754" w14:textId="77777777" w:rsidR="00792DAD" w:rsidRPr="00ED6CC9" w:rsidRDefault="00792DAD" w:rsidP="00792DAD">
      <w:pPr>
        <w:rPr>
          <w:rtl/>
        </w:rPr>
      </w:pPr>
      <w:r w:rsidRPr="00ED6CC9">
        <w:t>6</w:t>
      </w:r>
      <w:r w:rsidRPr="00ED6CC9">
        <w:rPr>
          <w:rtl/>
        </w:rPr>
        <w:tab/>
        <w:t>تتمثل أهداف المهام المتصلة بالتزامات تأكيد صحة البيانات في تقييم ما</w:t>
      </w:r>
      <w:r w:rsidRPr="00ED6CC9">
        <w:rPr>
          <w:rFonts w:hint="eastAsia"/>
          <w:rtl/>
        </w:rPr>
        <w:t> </w:t>
      </w:r>
      <w:r w:rsidRPr="00ED6CC9">
        <w:rPr>
          <w:rtl/>
        </w:rPr>
        <w:t>يلي: ’</w:t>
      </w:r>
      <w:proofErr w:type="gramStart"/>
      <w:r w:rsidRPr="00ED6CC9">
        <w:t>1</w:t>
      </w:r>
      <w:r w:rsidRPr="00ED6CC9">
        <w:rPr>
          <w:rtl/>
        </w:rPr>
        <w:t>‘</w:t>
      </w:r>
      <w:r w:rsidRPr="00ED6CC9">
        <w:rPr>
          <w:rtl/>
          <w:lang w:bidi="ar-EG"/>
        </w:rPr>
        <w:t xml:space="preserve"> </w:t>
      </w:r>
      <w:r w:rsidRPr="00ED6CC9">
        <w:rPr>
          <w:rtl/>
        </w:rPr>
        <w:t>جوانب</w:t>
      </w:r>
      <w:proofErr w:type="gramEnd"/>
      <w:r w:rsidRPr="00ED6CC9">
        <w:rPr>
          <w:rtl/>
        </w:rPr>
        <w:t xml:space="preserve"> الإدارة في</w:t>
      </w:r>
      <w:r w:rsidRPr="00ED6CC9">
        <w:rPr>
          <w:rFonts w:hint="eastAsia"/>
          <w:rtl/>
        </w:rPr>
        <w:t> </w:t>
      </w:r>
      <w:r w:rsidRPr="00ED6CC9">
        <w:rPr>
          <w:rtl/>
        </w:rPr>
        <w:t>عمليات الاتحاد التي جرت مراجعتها؛ ’</w:t>
      </w:r>
      <w:r w:rsidRPr="00ED6CC9">
        <w:t>2</w:t>
      </w:r>
      <w:r w:rsidRPr="00ED6CC9">
        <w:rPr>
          <w:rtl/>
        </w:rPr>
        <w:t>‘</w:t>
      </w:r>
      <w:r w:rsidRPr="00ED6CC9">
        <w:rPr>
          <w:rFonts w:hint="eastAsia"/>
          <w:rtl/>
        </w:rPr>
        <w:t> </w:t>
      </w:r>
      <w:r w:rsidRPr="00ED6CC9">
        <w:rPr>
          <w:rtl/>
        </w:rPr>
        <w:t>ممارسات إدارة المخاطر؛ ’</w:t>
      </w:r>
      <w:r w:rsidRPr="00ED6CC9">
        <w:t>3</w:t>
      </w:r>
      <w:r w:rsidRPr="00ED6CC9">
        <w:rPr>
          <w:rtl/>
        </w:rPr>
        <w:t>‘</w:t>
      </w:r>
      <w:r w:rsidRPr="00ED6CC9">
        <w:rPr>
          <w:rFonts w:hint="eastAsia"/>
          <w:rtl/>
        </w:rPr>
        <w:t> </w:t>
      </w:r>
      <w:r w:rsidRPr="00ED6CC9">
        <w:rPr>
          <w:rtl/>
        </w:rPr>
        <w:t>فعالية الضوابط (الداخلية). وتصنَّف التوصيات الناتجة عن أعمال المراجعة من حيث الأولوية بحسب أثر القصور المحتمل وأرجحية وقوعه (كبير، متوسط، ضئيل).</w:t>
      </w:r>
    </w:p>
    <w:p w14:paraId="3DE41A75" w14:textId="4574740F" w:rsidR="00792DAD" w:rsidRPr="00ED6CC9" w:rsidRDefault="00792DAD" w:rsidP="00792DAD">
      <w:pPr>
        <w:rPr>
          <w:rtl/>
          <w:lang w:bidi="ar-EG"/>
        </w:rPr>
      </w:pPr>
      <w:r w:rsidRPr="00ED6CC9">
        <w:t>7</w:t>
      </w:r>
      <w:r w:rsidRPr="00ED6CC9">
        <w:rPr>
          <w:rtl/>
        </w:rPr>
        <w:tab/>
      </w:r>
      <w:r w:rsidRPr="00ED6CC9">
        <w:rPr>
          <w:rtl/>
          <w:lang w:bidi="ar-EG"/>
        </w:rPr>
        <w:t>و</w:t>
      </w:r>
      <w:r w:rsidRPr="00ED6CC9">
        <w:rPr>
          <w:rtl/>
        </w:rPr>
        <w:t>تُتابع وحدة المراجعة الداخلية تنفيذ الإجراءات الموصى بها، وذلك بحسب الاقتضاء وعند الاقتضاء.</w:t>
      </w:r>
      <w:r w:rsidR="00D261F3" w:rsidRPr="00ED6CC9">
        <w:rPr>
          <w:rtl/>
        </w:rPr>
        <w:t xml:space="preserve"> </w:t>
      </w:r>
      <w:r w:rsidR="00C56B1C" w:rsidRPr="00ED6CC9">
        <w:rPr>
          <w:rtl/>
        </w:rPr>
        <w:t>ومنذ مطلع عام</w:t>
      </w:r>
      <w:r w:rsidR="00973635">
        <w:rPr>
          <w:rFonts w:hint="cs"/>
          <w:rtl/>
        </w:rPr>
        <w:t> </w:t>
      </w:r>
      <w:r w:rsidR="00C56B1C" w:rsidRPr="00ED6CC9">
        <w:t>2021</w:t>
      </w:r>
      <w:r w:rsidR="00C56B1C" w:rsidRPr="00ED6CC9">
        <w:rPr>
          <w:rtl/>
          <w:lang w:bidi="ar-EG"/>
        </w:rPr>
        <w:t xml:space="preserve">، </w:t>
      </w:r>
      <w:r w:rsidR="00142F6B" w:rsidRPr="00ED6CC9">
        <w:rPr>
          <w:rtl/>
          <w:lang w:bidi="ar-EG"/>
        </w:rPr>
        <w:t>أُتيح لهذا الغرض، على نطاق الاتحاد ككل، الاط</w:t>
      </w:r>
      <w:r w:rsidR="00122072" w:rsidRPr="00ED6CC9">
        <w:rPr>
          <w:rtl/>
          <w:lang w:bidi="ar-EG"/>
        </w:rPr>
        <w:t>ّ</w:t>
      </w:r>
      <w:r w:rsidR="00142F6B" w:rsidRPr="00ED6CC9">
        <w:rPr>
          <w:rtl/>
          <w:lang w:bidi="ar-EG"/>
        </w:rPr>
        <w:t xml:space="preserve">لاع على لوحة معلومات عن الامتثال تيسّر على المديرين المعنيين تتبّع تنفيذ التوصيات، لكنها لا تُعفي وحدة المراجعة الداخلية من مسؤوليتها </w:t>
      </w:r>
      <w:r w:rsidR="009C4222" w:rsidRPr="00ED6CC9">
        <w:rPr>
          <w:rtl/>
        </w:rPr>
        <w:t xml:space="preserve">في </w:t>
      </w:r>
      <w:r w:rsidR="00142F6B" w:rsidRPr="00ED6CC9">
        <w:rPr>
          <w:rtl/>
          <w:lang w:bidi="ar-EG"/>
        </w:rPr>
        <w:t xml:space="preserve">متابعة تنفيذ التوصيات المقدمة </w:t>
      </w:r>
      <w:r w:rsidR="00A103B7" w:rsidRPr="00ED6CC9">
        <w:rPr>
          <w:rtl/>
          <w:lang w:bidi="ar-EG"/>
        </w:rPr>
        <w:t>سابقاً</w:t>
      </w:r>
      <w:r w:rsidR="00142F6B" w:rsidRPr="00ED6CC9">
        <w:rPr>
          <w:rtl/>
          <w:lang w:bidi="ar-EG"/>
        </w:rPr>
        <w:t xml:space="preserve">، وفقاً للمعيار </w:t>
      </w:r>
      <w:r w:rsidR="00973635" w:rsidRPr="00ED6CC9">
        <w:rPr>
          <w:lang w:bidi="ar-EG"/>
        </w:rPr>
        <w:t>2500</w:t>
      </w:r>
      <w:r w:rsidR="00017C85" w:rsidRPr="00ED6CC9">
        <w:rPr>
          <w:rStyle w:val="FootnoteReference"/>
          <w:rtl/>
          <w:lang w:bidi="ar-EG"/>
        </w:rPr>
        <w:footnoteReference w:id="4"/>
      </w:r>
      <w:r w:rsidR="00142F6B" w:rsidRPr="00ED6CC9">
        <w:rPr>
          <w:rtl/>
          <w:lang w:bidi="ar-EG"/>
        </w:rPr>
        <w:t xml:space="preserve"> </w:t>
      </w:r>
      <w:r w:rsidR="00122072" w:rsidRPr="00ED6CC9">
        <w:rPr>
          <w:rtl/>
          <w:lang w:bidi="ar-EG"/>
        </w:rPr>
        <w:t>المعتمد لدى معهد</w:t>
      </w:r>
      <w:r w:rsidR="00142F6B" w:rsidRPr="00ED6CC9">
        <w:rPr>
          <w:rtl/>
          <w:lang w:bidi="ar-EG"/>
        </w:rPr>
        <w:t xml:space="preserve"> مراجعي الحسابات الداخليين </w:t>
      </w:r>
      <w:r w:rsidR="00142F6B" w:rsidRPr="00ED6CC9">
        <w:rPr>
          <w:lang w:bidi="ar-EG"/>
        </w:rPr>
        <w:t>(</w:t>
      </w:r>
      <w:r w:rsidR="00017C85" w:rsidRPr="00ED6CC9">
        <w:rPr>
          <w:lang w:bidi="ar-EG"/>
        </w:rPr>
        <w:t>IIA)</w:t>
      </w:r>
      <w:r w:rsidR="00017C85" w:rsidRPr="00ED6CC9">
        <w:rPr>
          <w:rtl/>
          <w:lang w:bidi="ar-EG"/>
        </w:rPr>
        <w:t>.</w:t>
      </w:r>
    </w:p>
    <w:p w14:paraId="392EDDFF" w14:textId="77777777" w:rsidR="00792DAD" w:rsidRPr="00ED6CC9" w:rsidRDefault="00792DAD" w:rsidP="004A2E84">
      <w:pPr>
        <w:pStyle w:val="Headingb"/>
        <w:rPr>
          <w:rtl/>
        </w:rPr>
      </w:pPr>
      <w:r w:rsidRPr="00ED6CC9">
        <w:rPr>
          <w:rtl/>
        </w:rPr>
        <w:lastRenderedPageBreak/>
        <w:t>التحقيقات التي اضطلعت بها وحدة المراجعة الداخلية</w:t>
      </w:r>
    </w:p>
    <w:p w14:paraId="560745FE" w14:textId="3597ABF5" w:rsidR="00792DAD" w:rsidRPr="00ED6CC9" w:rsidRDefault="00D261F3" w:rsidP="00792DAD">
      <w:pPr>
        <w:rPr>
          <w:spacing w:val="4"/>
          <w:lang w:val="fr-FR" w:bidi="ar-EG"/>
        </w:rPr>
      </w:pPr>
      <w:r w:rsidRPr="00ED6CC9">
        <w:rPr>
          <w:spacing w:val="4"/>
          <w:rtl/>
          <w:lang w:bidi="ar-EG"/>
        </w:rPr>
        <w:t>8</w:t>
      </w:r>
      <w:r w:rsidR="00792DAD" w:rsidRPr="00ED6CC9">
        <w:rPr>
          <w:spacing w:val="4"/>
          <w:rtl/>
          <w:lang w:bidi="ar-EG"/>
        </w:rPr>
        <w:tab/>
      </w:r>
      <w:r w:rsidR="00792DAD" w:rsidRPr="00ED6CC9">
        <w:rPr>
          <w:spacing w:val="4"/>
          <w:rtl/>
          <w:lang w:bidi="ar"/>
        </w:rPr>
        <w:t xml:space="preserve">انتهت </w:t>
      </w:r>
      <w:r w:rsidR="00792DAD" w:rsidRPr="00ED6CC9">
        <w:rPr>
          <w:spacing w:val="4"/>
          <w:rtl/>
        </w:rPr>
        <w:t>وحدة المراجعة الداخلية</w:t>
      </w:r>
      <w:r w:rsidR="00792DAD" w:rsidRPr="00ED6CC9">
        <w:rPr>
          <w:spacing w:val="4"/>
          <w:rtl/>
          <w:lang w:bidi="ar"/>
        </w:rPr>
        <w:t xml:space="preserve">، بصفتها التحقيقية، من إجراء </w:t>
      </w:r>
      <w:proofErr w:type="gramStart"/>
      <w:r w:rsidR="00792DAD" w:rsidRPr="00ED6CC9">
        <w:rPr>
          <w:spacing w:val="4"/>
          <w:rtl/>
          <w:lang w:bidi="ar"/>
        </w:rPr>
        <w:t>ست</w:t>
      </w:r>
      <w:r w:rsidR="0043356C" w:rsidRPr="00ED6CC9">
        <w:rPr>
          <w:spacing w:val="4"/>
          <w:rtl/>
          <w:lang w:bidi="ar-EG"/>
        </w:rPr>
        <w:t>ة</w:t>
      </w:r>
      <w:proofErr w:type="gramEnd"/>
      <w:r w:rsidR="00792DAD" w:rsidRPr="00ED6CC9">
        <w:rPr>
          <w:spacing w:val="4"/>
          <w:rtl/>
          <w:lang w:bidi="ar"/>
        </w:rPr>
        <w:t xml:space="preserve"> تحقيقات. وقدمت الوحدة أيضاً دعماً مكثفاً إلى محقق خارجي </w:t>
      </w:r>
      <w:r w:rsidR="00CB4929" w:rsidRPr="00ED6CC9">
        <w:rPr>
          <w:spacing w:val="4"/>
          <w:rtl/>
          <w:lang w:bidi="ar"/>
        </w:rPr>
        <w:t>في تحقيق في حالة تحرش</w:t>
      </w:r>
      <w:r w:rsidR="00792DAD" w:rsidRPr="00ED6CC9">
        <w:rPr>
          <w:spacing w:val="4"/>
          <w:rtl/>
          <w:lang w:bidi="ar"/>
        </w:rPr>
        <w:t>.</w:t>
      </w:r>
    </w:p>
    <w:p w14:paraId="14BECDAB" w14:textId="16ACA5F5" w:rsidR="00D261F3" w:rsidRPr="00ED6CC9" w:rsidRDefault="00D261F3" w:rsidP="00792DAD">
      <w:pPr>
        <w:rPr>
          <w:rtl/>
          <w:lang w:bidi="ar"/>
        </w:rPr>
      </w:pPr>
      <w:r w:rsidRPr="00ED6CC9">
        <w:rPr>
          <w:rtl/>
          <w:lang w:val="fr-FR" w:bidi="ar-EG"/>
        </w:rPr>
        <w:t>9</w:t>
      </w:r>
      <w:r w:rsidR="00792DAD" w:rsidRPr="00ED6CC9">
        <w:rPr>
          <w:rtl/>
          <w:lang w:bidi="ar-EG"/>
        </w:rPr>
        <w:tab/>
      </w:r>
      <w:r w:rsidR="00DE1F7E" w:rsidRPr="00ED6CC9">
        <w:rPr>
          <w:rtl/>
          <w:lang w:bidi="ar"/>
        </w:rPr>
        <w:t>و</w:t>
      </w:r>
      <w:r w:rsidR="00DE1F7E" w:rsidRPr="00ED6CC9">
        <w:rPr>
          <w:spacing w:val="4"/>
          <w:rtl/>
          <w:lang w:bidi="ar"/>
        </w:rPr>
        <w:t xml:space="preserve">انتهت </w:t>
      </w:r>
      <w:r w:rsidR="00DE1F7E" w:rsidRPr="00ED6CC9">
        <w:rPr>
          <w:spacing w:val="4"/>
          <w:rtl/>
        </w:rPr>
        <w:t xml:space="preserve">وحدة المراجعة الداخلية </w:t>
      </w:r>
      <w:r w:rsidR="00DE1F7E" w:rsidRPr="00ED6CC9">
        <w:rPr>
          <w:spacing w:val="4"/>
          <w:rtl/>
          <w:lang w:bidi="ar"/>
        </w:rPr>
        <w:t xml:space="preserve">من إجراء </w:t>
      </w:r>
      <w:proofErr w:type="gramStart"/>
      <w:r w:rsidR="00DE1F7E" w:rsidRPr="00ED6CC9">
        <w:rPr>
          <w:spacing w:val="4"/>
          <w:rtl/>
          <w:lang w:bidi="ar"/>
        </w:rPr>
        <w:t>ست</w:t>
      </w:r>
      <w:r w:rsidR="0043356C" w:rsidRPr="00ED6CC9">
        <w:rPr>
          <w:spacing w:val="4"/>
          <w:rtl/>
          <w:lang w:bidi="ar"/>
        </w:rPr>
        <w:t>ة</w:t>
      </w:r>
      <w:proofErr w:type="gramEnd"/>
      <w:r w:rsidR="00DE1F7E" w:rsidRPr="00ED6CC9">
        <w:rPr>
          <w:spacing w:val="4"/>
          <w:rtl/>
          <w:lang w:bidi="ar"/>
        </w:rPr>
        <w:t xml:space="preserve"> تحقيقات، على النحو التالي</w:t>
      </w:r>
      <w:r w:rsidR="00792DAD" w:rsidRPr="00ED6CC9">
        <w:rPr>
          <w:rtl/>
          <w:lang w:bidi="ar"/>
        </w:rPr>
        <w:t>:</w:t>
      </w:r>
    </w:p>
    <w:p w14:paraId="33A326B7" w14:textId="03234778" w:rsidR="00D261F3" w:rsidRPr="00ED6CC9" w:rsidRDefault="00D261F3" w:rsidP="007E500D">
      <w:pPr>
        <w:pStyle w:val="enumlev1"/>
        <w:rPr>
          <w:rtl/>
        </w:rPr>
      </w:pPr>
      <w:r w:rsidRPr="00ED6CC9">
        <w:rPr>
          <w:rFonts w:hint="eastAsia"/>
          <w:rtl/>
        </w:rPr>
        <w:t> </w:t>
      </w:r>
      <w:proofErr w:type="gramStart"/>
      <w:r w:rsidRPr="00ED6CC9">
        <w:rPr>
          <w:rtl/>
        </w:rPr>
        <w:t>أ )</w:t>
      </w:r>
      <w:proofErr w:type="gramEnd"/>
      <w:r w:rsidRPr="00ED6CC9">
        <w:rPr>
          <w:rtl/>
        </w:rPr>
        <w:tab/>
      </w:r>
      <w:r w:rsidR="00792DAD" w:rsidRPr="00ED6CC9">
        <w:rPr>
          <w:rtl/>
        </w:rPr>
        <w:t xml:space="preserve">ثلاثة </w:t>
      </w:r>
      <w:r w:rsidR="0043356C" w:rsidRPr="00ED6CC9">
        <w:rPr>
          <w:rtl/>
        </w:rPr>
        <w:t>تحقيقات رسمية</w:t>
      </w:r>
      <w:r w:rsidR="00792DAD" w:rsidRPr="00ED6CC9">
        <w:rPr>
          <w:rtl/>
        </w:rPr>
        <w:t xml:space="preserve"> </w:t>
      </w:r>
      <w:r w:rsidR="0043356C" w:rsidRPr="00ED6CC9">
        <w:rPr>
          <w:rtl/>
        </w:rPr>
        <w:t xml:space="preserve">في </w:t>
      </w:r>
      <w:r w:rsidR="00792DAD" w:rsidRPr="00ED6CC9">
        <w:rPr>
          <w:rtl/>
        </w:rPr>
        <w:t xml:space="preserve">شكاوى </w:t>
      </w:r>
      <w:r w:rsidR="0043356C" w:rsidRPr="004A2E84">
        <w:rPr>
          <w:rtl/>
        </w:rPr>
        <w:t xml:space="preserve">تتعلق </w:t>
      </w:r>
      <w:r w:rsidR="00792DAD" w:rsidRPr="004A2E84">
        <w:rPr>
          <w:rtl/>
        </w:rPr>
        <w:t>ب</w:t>
      </w:r>
      <w:r w:rsidR="0043356C" w:rsidRPr="004A2E84">
        <w:rPr>
          <w:rtl/>
        </w:rPr>
        <w:t>دعوى م</w:t>
      </w:r>
      <w:r w:rsidR="0082604C" w:rsidRPr="004A2E84">
        <w:rPr>
          <w:rtl/>
        </w:rPr>
        <w:t>زاولة</w:t>
      </w:r>
      <w:r w:rsidR="0043356C" w:rsidRPr="004A2E84">
        <w:rPr>
          <w:rtl/>
        </w:rPr>
        <w:t xml:space="preserve"> </w:t>
      </w:r>
      <w:r w:rsidR="00792DAD" w:rsidRPr="004A2E84">
        <w:rPr>
          <w:rtl/>
        </w:rPr>
        <w:t xml:space="preserve">أنشطة خارجية </w:t>
      </w:r>
      <w:r w:rsidR="0043356C" w:rsidRPr="004A2E84">
        <w:rPr>
          <w:rtl/>
        </w:rPr>
        <w:t>غير مأذون بها</w:t>
      </w:r>
      <w:r w:rsidR="0043356C" w:rsidRPr="00ED6CC9">
        <w:rPr>
          <w:rtl/>
        </w:rPr>
        <w:t xml:space="preserve"> (إدارة و/أو امتلاك شركة)؛</w:t>
      </w:r>
    </w:p>
    <w:p w14:paraId="2AC3D6F0" w14:textId="72F1CB31" w:rsidR="00D261F3" w:rsidRPr="00ED6CC9" w:rsidRDefault="00D261F3" w:rsidP="007E500D">
      <w:pPr>
        <w:pStyle w:val="enumlev1"/>
        <w:rPr>
          <w:rtl/>
        </w:rPr>
      </w:pPr>
      <w:r w:rsidRPr="00ED6CC9">
        <w:rPr>
          <w:rtl/>
        </w:rPr>
        <w:t>ب)</w:t>
      </w:r>
      <w:r w:rsidRPr="00ED6CC9">
        <w:rPr>
          <w:rtl/>
        </w:rPr>
        <w:tab/>
      </w:r>
      <w:r w:rsidR="00792DAD" w:rsidRPr="00ED6CC9">
        <w:rPr>
          <w:rtl/>
        </w:rPr>
        <w:t xml:space="preserve">وتحقيق </w:t>
      </w:r>
      <w:r w:rsidR="0043356C" w:rsidRPr="00ED6CC9">
        <w:rPr>
          <w:rtl/>
        </w:rPr>
        <w:t xml:space="preserve">رسمي في </w:t>
      </w:r>
      <w:r w:rsidR="0043356C" w:rsidRPr="004A2E84">
        <w:rPr>
          <w:rtl/>
        </w:rPr>
        <w:t>دعوى</w:t>
      </w:r>
      <w:r w:rsidR="00792DAD" w:rsidRPr="004A2E84">
        <w:rPr>
          <w:rtl/>
        </w:rPr>
        <w:t xml:space="preserve"> حصول</w:t>
      </w:r>
      <w:r w:rsidR="00792DAD" w:rsidRPr="00ED6CC9">
        <w:rPr>
          <w:rtl/>
        </w:rPr>
        <w:t xml:space="preserve"> أحد الموظفين على بدلات و/أو استحقاقات </w:t>
      </w:r>
      <w:r w:rsidR="00792DAD" w:rsidRPr="004A2E84">
        <w:rPr>
          <w:rtl/>
        </w:rPr>
        <w:t>بطريق</w:t>
      </w:r>
      <w:r w:rsidR="0043356C" w:rsidRPr="004A2E84">
        <w:rPr>
          <w:rtl/>
        </w:rPr>
        <w:t xml:space="preserve"> الاحتيال</w:t>
      </w:r>
      <w:r w:rsidR="0043356C" w:rsidRPr="00ED6CC9">
        <w:rPr>
          <w:rtl/>
        </w:rPr>
        <w:t>؛</w:t>
      </w:r>
    </w:p>
    <w:p w14:paraId="778AD490" w14:textId="1121C4F8" w:rsidR="00D261F3" w:rsidRPr="00ED6CC9" w:rsidRDefault="00D261F3" w:rsidP="007E500D">
      <w:pPr>
        <w:pStyle w:val="enumlev1"/>
        <w:rPr>
          <w:rtl/>
        </w:rPr>
      </w:pPr>
      <w:r w:rsidRPr="00ED6CC9">
        <w:rPr>
          <w:rtl/>
        </w:rPr>
        <w:t>ج)</w:t>
      </w:r>
      <w:r w:rsidRPr="00ED6CC9">
        <w:rPr>
          <w:rtl/>
        </w:rPr>
        <w:tab/>
      </w:r>
      <w:r w:rsidR="00792DAD" w:rsidRPr="00ED6CC9">
        <w:rPr>
          <w:rtl/>
        </w:rPr>
        <w:t>وتحقيق</w:t>
      </w:r>
      <w:r w:rsidR="0043356C" w:rsidRPr="00ED6CC9">
        <w:rPr>
          <w:rtl/>
        </w:rPr>
        <w:t xml:space="preserve"> رسمي</w:t>
      </w:r>
      <w:r w:rsidR="00792DAD" w:rsidRPr="00ED6CC9">
        <w:rPr>
          <w:rtl/>
        </w:rPr>
        <w:t xml:space="preserve"> </w:t>
      </w:r>
      <w:r w:rsidR="00E86E06" w:rsidRPr="004A2E84">
        <w:rPr>
          <w:rtl/>
        </w:rPr>
        <w:t>بخصوص</w:t>
      </w:r>
      <w:r w:rsidR="009C4222" w:rsidRPr="00ED6CC9">
        <w:rPr>
          <w:rtl/>
        </w:rPr>
        <w:t xml:space="preserve"> </w:t>
      </w:r>
      <w:r w:rsidR="00792DAD" w:rsidRPr="004A2E84">
        <w:rPr>
          <w:rtl/>
        </w:rPr>
        <w:t xml:space="preserve">شكوى </w:t>
      </w:r>
      <w:r w:rsidR="0043356C" w:rsidRPr="004A2E84">
        <w:rPr>
          <w:rtl/>
        </w:rPr>
        <w:t xml:space="preserve">تتعلق بدعوى </w:t>
      </w:r>
      <w:r w:rsidR="0082604C" w:rsidRPr="004A2E84">
        <w:rPr>
          <w:rtl/>
        </w:rPr>
        <w:t>تورّط</w:t>
      </w:r>
      <w:r w:rsidR="00792DAD" w:rsidRPr="004A2E84">
        <w:rPr>
          <w:rtl/>
        </w:rPr>
        <w:t xml:space="preserve"> </w:t>
      </w:r>
      <w:r w:rsidR="0043356C" w:rsidRPr="004A2E84">
        <w:rPr>
          <w:rtl/>
        </w:rPr>
        <w:t xml:space="preserve">عدة موظفين </w:t>
      </w:r>
      <w:r w:rsidR="00E86E06" w:rsidRPr="004A2E84">
        <w:rPr>
          <w:rtl/>
        </w:rPr>
        <w:t xml:space="preserve">في </w:t>
      </w:r>
      <w:r w:rsidR="00792DAD" w:rsidRPr="004A2E84">
        <w:rPr>
          <w:rtl/>
        </w:rPr>
        <w:t>التشجيع على ت</w:t>
      </w:r>
      <w:r w:rsidR="00E86E06" w:rsidRPr="004A2E84">
        <w:rPr>
          <w:rtl/>
        </w:rPr>
        <w:t>بادل</w:t>
      </w:r>
      <w:r w:rsidR="00792DAD" w:rsidRPr="004A2E84">
        <w:rPr>
          <w:rtl/>
        </w:rPr>
        <w:t xml:space="preserve"> معلومات ي</w:t>
      </w:r>
      <w:r w:rsidR="00E86E06" w:rsidRPr="004A2E84">
        <w:rPr>
          <w:rtl/>
        </w:rPr>
        <w:t>ُ</w:t>
      </w:r>
      <w:r w:rsidR="00792DAD" w:rsidRPr="004A2E84">
        <w:rPr>
          <w:rtl/>
        </w:rPr>
        <w:t xml:space="preserve">حتمل أن تكون سرية/حساسة </w:t>
      </w:r>
      <w:r w:rsidR="00E86E06" w:rsidRPr="004A2E84">
        <w:rPr>
          <w:rtl/>
        </w:rPr>
        <w:t xml:space="preserve">و/أو في الشهادة على تبادلها </w:t>
      </w:r>
      <w:r w:rsidR="00792DAD" w:rsidRPr="004A2E84">
        <w:rPr>
          <w:rtl/>
        </w:rPr>
        <w:t xml:space="preserve">و/أو </w:t>
      </w:r>
      <w:r w:rsidR="00E86E06" w:rsidRPr="004A2E84">
        <w:rPr>
          <w:rtl/>
        </w:rPr>
        <w:t xml:space="preserve">في تبادلها فعلياً </w:t>
      </w:r>
      <w:r w:rsidR="00792DAD" w:rsidRPr="004A2E84">
        <w:rPr>
          <w:rtl/>
        </w:rPr>
        <w:t xml:space="preserve">مع </w:t>
      </w:r>
      <w:r w:rsidR="0087747E" w:rsidRPr="004A2E84">
        <w:rPr>
          <w:rtl/>
        </w:rPr>
        <w:t>جهات</w:t>
      </w:r>
      <w:r w:rsidR="00792DAD" w:rsidRPr="004A2E84">
        <w:rPr>
          <w:rtl/>
        </w:rPr>
        <w:t xml:space="preserve"> خارجية</w:t>
      </w:r>
      <w:r w:rsidR="00E86E06" w:rsidRPr="00ED6CC9">
        <w:rPr>
          <w:rtl/>
        </w:rPr>
        <w:t>؛</w:t>
      </w:r>
    </w:p>
    <w:p w14:paraId="723C954E" w14:textId="7230DBA1" w:rsidR="00792DAD" w:rsidRPr="00ED6CC9" w:rsidRDefault="00D261F3" w:rsidP="007E500D">
      <w:pPr>
        <w:pStyle w:val="enumlev1"/>
        <w:rPr>
          <w:rtl/>
        </w:rPr>
      </w:pPr>
      <w:proofErr w:type="gramStart"/>
      <w:r w:rsidRPr="00ED6CC9">
        <w:rPr>
          <w:rtl/>
        </w:rPr>
        <w:t>د )</w:t>
      </w:r>
      <w:proofErr w:type="gramEnd"/>
      <w:r w:rsidRPr="00ED6CC9">
        <w:rPr>
          <w:rtl/>
        </w:rPr>
        <w:tab/>
      </w:r>
      <w:r w:rsidR="00792DAD" w:rsidRPr="00ED6CC9">
        <w:rPr>
          <w:rtl/>
        </w:rPr>
        <w:t xml:space="preserve">وتحقيق </w:t>
      </w:r>
      <w:r w:rsidR="00E86E06" w:rsidRPr="00ED6CC9">
        <w:rPr>
          <w:rtl/>
        </w:rPr>
        <w:t xml:space="preserve">رسمي </w:t>
      </w:r>
      <w:r w:rsidR="00E86E06" w:rsidRPr="004A2E84">
        <w:rPr>
          <w:rtl/>
        </w:rPr>
        <w:t>بخصوص شكوى تتعلق بدعوى</w:t>
      </w:r>
      <w:r w:rsidR="00792DAD" w:rsidRPr="004A2E84">
        <w:rPr>
          <w:rtl/>
        </w:rPr>
        <w:t xml:space="preserve"> </w:t>
      </w:r>
      <w:r w:rsidR="0082604C" w:rsidRPr="004A2E84">
        <w:rPr>
          <w:rtl/>
        </w:rPr>
        <w:t xml:space="preserve">تورّط موظف في </w:t>
      </w:r>
      <w:r w:rsidR="00792DAD" w:rsidRPr="004A2E84">
        <w:rPr>
          <w:rtl/>
        </w:rPr>
        <w:t>إتلاف سجلات</w:t>
      </w:r>
      <w:r w:rsidR="0082604C" w:rsidRPr="004A2E84">
        <w:rPr>
          <w:rtl/>
        </w:rPr>
        <w:t xml:space="preserve"> خاصة</w:t>
      </w:r>
      <w:r w:rsidR="00792DAD" w:rsidRPr="004A2E84">
        <w:rPr>
          <w:rtl/>
        </w:rPr>
        <w:t xml:space="preserve"> </w:t>
      </w:r>
      <w:r w:rsidR="0082604C" w:rsidRPr="004A2E84">
        <w:rPr>
          <w:rtl/>
        </w:rPr>
        <w:t>ب</w:t>
      </w:r>
      <w:r w:rsidR="00792DAD" w:rsidRPr="004A2E84">
        <w:rPr>
          <w:rtl/>
        </w:rPr>
        <w:t>الاتحاد و/أو إخفائها.</w:t>
      </w:r>
    </w:p>
    <w:p w14:paraId="451674DB" w14:textId="216E62B5" w:rsidR="00D261F3" w:rsidRPr="00ED6CC9" w:rsidRDefault="00E21370" w:rsidP="00792DAD">
      <w:pPr>
        <w:rPr>
          <w:rtl/>
          <w:lang w:val="fr-FR" w:bidi="ar-EG"/>
        </w:rPr>
      </w:pPr>
      <w:r w:rsidRPr="00ED6CC9">
        <w:rPr>
          <w:rtl/>
          <w:lang w:bidi="ar"/>
        </w:rPr>
        <w:t>وعقب الانتهاء من التحقيقات</w:t>
      </w:r>
      <w:r w:rsidR="00D14B2A" w:rsidRPr="00ED6CC9">
        <w:rPr>
          <w:rtl/>
          <w:lang w:bidi="ar"/>
        </w:rPr>
        <w:t>،</w:t>
      </w:r>
      <w:r w:rsidRPr="00ED6CC9">
        <w:rPr>
          <w:rtl/>
          <w:lang w:bidi="ar"/>
        </w:rPr>
        <w:t xml:space="preserve"> ووفقاً لمبادئ الاتحاد التوجيهية للتحقيق، وافت وحدة المراجعة الداخلية الأمين العام بتقارير سرية عن هذه التحقيقات. و</w:t>
      </w:r>
      <w:r w:rsidR="00D37974" w:rsidRPr="00ED6CC9">
        <w:rPr>
          <w:rtl/>
          <w:lang w:bidi="ar"/>
        </w:rPr>
        <w:t xml:space="preserve">قد </w:t>
      </w:r>
      <w:r w:rsidRPr="00ED6CC9">
        <w:rPr>
          <w:rtl/>
          <w:lang w:bidi="ar"/>
        </w:rPr>
        <w:t>أسفر</w:t>
      </w:r>
      <w:r w:rsidR="00D37974" w:rsidRPr="00ED6CC9">
        <w:rPr>
          <w:rtl/>
          <w:lang w:bidi="ar"/>
        </w:rPr>
        <w:t xml:space="preserve"> </w:t>
      </w:r>
      <w:r w:rsidRPr="00ED6CC9">
        <w:rPr>
          <w:rtl/>
          <w:lang w:bidi="ar"/>
        </w:rPr>
        <w:t>التحقيق المشار إليه</w:t>
      </w:r>
      <w:r w:rsidR="00D37974" w:rsidRPr="00ED6CC9">
        <w:rPr>
          <w:rtl/>
          <w:lang w:bidi="ar"/>
        </w:rPr>
        <w:t xml:space="preserve"> </w:t>
      </w:r>
      <w:r w:rsidRPr="00ED6CC9">
        <w:rPr>
          <w:rtl/>
          <w:lang w:bidi="ar"/>
        </w:rPr>
        <w:t xml:space="preserve">في الفقرة الفرعية د) أعلاه عن صدور تقرير إغلاق للملف، إذ </w:t>
      </w:r>
      <w:r w:rsidR="00895C5E" w:rsidRPr="00ED6CC9">
        <w:rPr>
          <w:rtl/>
          <w:lang w:bidi="ar"/>
        </w:rPr>
        <w:t>انتهى</w:t>
      </w:r>
      <w:r w:rsidR="00D37974" w:rsidRPr="00ED6CC9">
        <w:rPr>
          <w:rtl/>
          <w:lang w:bidi="ar"/>
        </w:rPr>
        <w:t xml:space="preserve"> إلى</w:t>
      </w:r>
      <w:r w:rsidRPr="00ED6CC9">
        <w:rPr>
          <w:rtl/>
          <w:lang w:bidi="ar"/>
        </w:rPr>
        <w:t xml:space="preserve"> أن الادعاءات</w:t>
      </w:r>
      <w:r w:rsidR="00D37974" w:rsidRPr="00ED6CC9">
        <w:rPr>
          <w:rtl/>
          <w:lang w:bidi="ar"/>
        </w:rPr>
        <w:t xml:space="preserve"> ذات الصلة</w:t>
      </w:r>
      <w:r w:rsidRPr="00ED6CC9">
        <w:rPr>
          <w:rtl/>
          <w:lang w:bidi="ar"/>
        </w:rPr>
        <w:t xml:space="preserve"> لا أساس لها من الصحة. </w:t>
      </w:r>
      <w:r w:rsidR="00D37974" w:rsidRPr="00ED6CC9">
        <w:rPr>
          <w:rtl/>
          <w:lang w:bidi="ar"/>
        </w:rPr>
        <w:t xml:space="preserve">وفيما يتعلق بالتحقيق المشار إليه في الفقرة الفرعية ج) </w:t>
      </w:r>
      <w:r w:rsidR="00D37974" w:rsidRPr="00ED6CC9">
        <w:rPr>
          <w:rtl/>
          <w:lang w:bidi="ar-EG"/>
        </w:rPr>
        <w:t xml:space="preserve">أعلاه، </w:t>
      </w:r>
      <w:r w:rsidR="00D14B2A" w:rsidRPr="00ED6CC9">
        <w:rPr>
          <w:rtl/>
          <w:lang w:bidi="ar-EG"/>
        </w:rPr>
        <w:t>و</w:t>
      </w:r>
      <w:r w:rsidR="00D37974" w:rsidRPr="00ED6CC9">
        <w:rPr>
          <w:rtl/>
          <w:lang w:bidi="ar-EG"/>
        </w:rPr>
        <w:t xml:space="preserve">نظراً إلى تعلقه بحالة احتيال أو افتراض احتيال، </w:t>
      </w:r>
      <w:r w:rsidR="00895C5E" w:rsidRPr="00ED6CC9">
        <w:rPr>
          <w:rtl/>
          <w:lang w:bidi="ar-EG"/>
        </w:rPr>
        <w:t xml:space="preserve">فقد </w:t>
      </w:r>
      <w:r w:rsidR="00D37974" w:rsidRPr="00ED6CC9">
        <w:rPr>
          <w:rtl/>
          <w:lang w:bidi="ar-EG"/>
        </w:rPr>
        <w:t xml:space="preserve">أُبلغ المراجع الخارجي به في فبراير </w:t>
      </w:r>
      <w:r w:rsidR="00D37974" w:rsidRPr="00ED6CC9">
        <w:rPr>
          <w:lang w:bidi="ar-EG"/>
        </w:rPr>
        <w:t>2021</w:t>
      </w:r>
      <w:r w:rsidR="00D37974" w:rsidRPr="00ED6CC9">
        <w:rPr>
          <w:rtl/>
          <w:lang w:bidi="ar-EG"/>
        </w:rPr>
        <w:t xml:space="preserve"> (وفقاً لأحكام المادة </w:t>
      </w:r>
      <w:r w:rsidR="00D37974" w:rsidRPr="00ED6CC9">
        <w:rPr>
          <w:lang w:bidi="ar-EG"/>
        </w:rPr>
        <w:t>9.28</w:t>
      </w:r>
      <w:r w:rsidR="00D37974" w:rsidRPr="00ED6CC9">
        <w:rPr>
          <w:rtl/>
          <w:lang w:bidi="ar-EG"/>
        </w:rPr>
        <w:t xml:space="preserve"> من </w:t>
      </w:r>
      <w:r w:rsidR="00571F63" w:rsidRPr="00ED6CC9">
        <w:rPr>
          <w:rtl/>
          <w:lang w:bidi="ar-EG"/>
        </w:rPr>
        <w:t>اللوائح</w:t>
      </w:r>
      <w:r w:rsidR="001B0A30" w:rsidRPr="00ED6CC9">
        <w:rPr>
          <w:rtl/>
          <w:lang w:bidi="ar-EG"/>
        </w:rPr>
        <w:t xml:space="preserve"> المالية</w:t>
      </w:r>
      <w:r w:rsidR="00571F63" w:rsidRPr="00ED6CC9">
        <w:rPr>
          <w:rtl/>
          <w:lang w:bidi="ar-EG"/>
        </w:rPr>
        <w:t xml:space="preserve"> للاتحاد</w:t>
      </w:r>
      <w:r w:rsidR="00D37974" w:rsidRPr="00ED6CC9">
        <w:rPr>
          <w:rtl/>
          <w:lang w:bidi="ar-EG"/>
        </w:rPr>
        <w:t xml:space="preserve">). وفي هذه الحالة، انتُهي إلى أن الموظف المعني قد تلقى مبلغاً قدره </w:t>
      </w:r>
      <w:r w:rsidR="00D37974" w:rsidRPr="00ED6CC9">
        <w:rPr>
          <w:lang w:bidi="ar-EG"/>
        </w:rPr>
        <w:t>11</w:t>
      </w:r>
      <w:r w:rsidR="00625560">
        <w:rPr>
          <w:lang w:bidi="ar-EG"/>
        </w:rPr>
        <w:t> </w:t>
      </w:r>
      <w:r w:rsidR="00D37974" w:rsidRPr="00ED6CC9">
        <w:rPr>
          <w:lang w:bidi="ar-EG"/>
        </w:rPr>
        <w:t>279</w:t>
      </w:r>
      <w:r w:rsidR="00625560">
        <w:rPr>
          <w:lang w:bidi="ar-EG"/>
        </w:rPr>
        <w:t>,</w:t>
      </w:r>
      <w:r w:rsidR="00D37974" w:rsidRPr="00ED6CC9">
        <w:rPr>
          <w:lang w:bidi="ar-EG"/>
        </w:rPr>
        <w:t>25</w:t>
      </w:r>
      <w:r w:rsidR="00D37974" w:rsidRPr="00ED6CC9">
        <w:rPr>
          <w:rtl/>
          <w:lang w:bidi="ar-EG"/>
        </w:rPr>
        <w:t xml:space="preserve"> فرنك سويسري كاستحقاقات زائدة.</w:t>
      </w:r>
    </w:p>
    <w:p w14:paraId="4228B1FB" w14:textId="40FBA159" w:rsidR="00792DAD" w:rsidRPr="00ED6CC9" w:rsidRDefault="00D261F3" w:rsidP="0082604C">
      <w:pPr>
        <w:rPr>
          <w:spacing w:val="4"/>
          <w:rtl/>
          <w:lang w:val="fr-FR" w:bidi="ar-EG"/>
        </w:rPr>
      </w:pPr>
      <w:r w:rsidRPr="00ED6CC9">
        <w:rPr>
          <w:spacing w:val="4"/>
          <w:rtl/>
          <w:lang w:val="fr-FR" w:bidi="ar-EG"/>
        </w:rPr>
        <w:t>10</w:t>
      </w:r>
      <w:r w:rsidR="00792DAD" w:rsidRPr="00ED6CC9">
        <w:rPr>
          <w:spacing w:val="4"/>
          <w:rtl/>
          <w:lang w:bidi="ar-EG"/>
        </w:rPr>
        <w:tab/>
        <w:t>و</w:t>
      </w:r>
      <w:r w:rsidR="00792DAD" w:rsidRPr="00ED6CC9">
        <w:rPr>
          <w:spacing w:val="4"/>
          <w:rtl/>
          <w:lang w:bidi="ar"/>
        </w:rPr>
        <w:t>قُدم دعم مكثف إلى محقق خارجي عُيّن لإجراء</w:t>
      </w:r>
      <w:r w:rsidR="0082604C" w:rsidRPr="00ED6CC9">
        <w:rPr>
          <w:spacing w:val="4"/>
          <w:rtl/>
          <w:lang w:bidi="ar"/>
        </w:rPr>
        <w:t xml:space="preserve"> </w:t>
      </w:r>
      <w:r w:rsidR="00792DAD" w:rsidRPr="00ED6CC9">
        <w:rPr>
          <w:rtl/>
        </w:rPr>
        <w:t xml:space="preserve">تحقيق رسمي في </w:t>
      </w:r>
      <w:r w:rsidR="00313E5F" w:rsidRPr="004A2E84">
        <w:rPr>
          <w:rtl/>
        </w:rPr>
        <w:t>دعوى إتيان موظف تابع للاتحاد</w:t>
      </w:r>
      <w:r w:rsidR="00792DAD" w:rsidRPr="004A2E84">
        <w:rPr>
          <w:rtl/>
        </w:rPr>
        <w:t xml:space="preserve"> </w:t>
      </w:r>
      <w:r w:rsidR="00313E5F" w:rsidRPr="004A2E84">
        <w:rPr>
          <w:rtl/>
        </w:rPr>
        <w:t>سلوكاً غير لائق بحق</w:t>
      </w:r>
      <w:r w:rsidR="00313E5F" w:rsidRPr="00ED6CC9">
        <w:rPr>
          <w:rtl/>
        </w:rPr>
        <w:t xml:space="preserve"> </w:t>
      </w:r>
      <w:r w:rsidR="00792DAD" w:rsidRPr="00ED6CC9">
        <w:rPr>
          <w:rtl/>
        </w:rPr>
        <w:t>عدد من الموظفين الآخرين</w:t>
      </w:r>
      <w:r w:rsidR="00313E5F" w:rsidRPr="00ED6CC9">
        <w:rPr>
          <w:rtl/>
        </w:rPr>
        <w:t>. و</w:t>
      </w:r>
      <w:r w:rsidR="003E30C9" w:rsidRPr="00ED6CC9">
        <w:rPr>
          <w:rtl/>
        </w:rPr>
        <w:t>تتولى</w:t>
      </w:r>
      <w:r w:rsidR="00313E5F" w:rsidRPr="00ED6CC9">
        <w:rPr>
          <w:rtl/>
        </w:rPr>
        <w:t xml:space="preserve"> دائرة إدارة الموارد البشرية، نيابةً عن الأمين العام، </w:t>
      </w:r>
      <w:r w:rsidR="003E30C9" w:rsidRPr="00ED6CC9">
        <w:rPr>
          <w:rtl/>
        </w:rPr>
        <w:t>م</w:t>
      </w:r>
      <w:r w:rsidR="00313E5F" w:rsidRPr="00ED6CC9">
        <w:rPr>
          <w:rtl/>
        </w:rPr>
        <w:t xml:space="preserve">تابعة </w:t>
      </w:r>
      <w:r w:rsidR="003E30C9" w:rsidRPr="00ED6CC9">
        <w:rPr>
          <w:rtl/>
        </w:rPr>
        <w:t>جميع</w:t>
      </w:r>
      <w:r w:rsidR="00313E5F" w:rsidRPr="00ED6CC9">
        <w:rPr>
          <w:rtl/>
        </w:rPr>
        <w:t xml:space="preserve"> هذه التحقيقات</w:t>
      </w:r>
      <w:r w:rsidR="003E30C9" w:rsidRPr="00ED6CC9">
        <w:rPr>
          <w:rtl/>
        </w:rPr>
        <w:t xml:space="preserve"> إدارياً</w:t>
      </w:r>
      <w:r w:rsidR="00313E5F" w:rsidRPr="00ED6CC9">
        <w:rPr>
          <w:rtl/>
        </w:rPr>
        <w:t>.</w:t>
      </w:r>
    </w:p>
    <w:p w14:paraId="2E40B0FE" w14:textId="77777777" w:rsidR="00792DAD" w:rsidRPr="00ED6CC9" w:rsidRDefault="00792DAD" w:rsidP="004A2E84">
      <w:pPr>
        <w:pStyle w:val="Headingb"/>
        <w:rPr>
          <w:rtl/>
        </w:rPr>
      </w:pPr>
      <w:r w:rsidRPr="00ED6CC9">
        <w:rPr>
          <w:rtl/>
        </w:rPr>
        <w:t>الخدمات الاستشارية لوحدة المراجعة الداخلية</w:t>
      </w:r>
    </w:p>
    <w:p w14:paraId="02D2CCB4" w14:textId="77777777" w:rsidR="00792DAD" w:rsidRPr="00ED6CC9" w:rsidRDefault="00792DAD" w:rsidP="00792DAD">
      <w:pPr>
        <w:pStyle w:val="Headingb"/>
        <w:rPr>
          <w:i/>
          <w:iCs/>
          <w:rtl/>
        </w:rPr>
      </w:pPr>
      <w:r w:rsidRPr="00ED6CC9">
        <w:rPr>
          <w:i/>
          <w:iCs/>
          <w:rtl/>
        </w:rPr>
        <w:t>عملية اختيار المراجع الخارجي للاتحاد</w:t>
      </w:r>
    </w:p>
    <w:p w14:paraId="6C03D35B" w14:textId="58CF67B6" w:rsidR="00792DAD" w:rsidRPr="00ED6CC9" w:rsidRDefault="00D261F3" w:rsidP="00792DAD">
      <w:pPr>
        <w:rPr>
          <w:spacing w:val="-2"/>
          <w:rtl/>
          <w:lang w:bidi="ar-EG"/>
        </w:rPr>
      </w:pPr>
      <w:r w:rsidRPr="00ED6CC9">
        <w:rPr>
          <w:spacing w:val="-2"/>
          <w:rtl/>
          <w:lang w:bidi="ar-EG"/>
        </w:rPr>
        <w:t>11</w:t>
      </w:r>
      <w:r w:rsidR="00792DAD" w:rsidRPr="00ED6CC9">
        <w:rPr>
          <w:spacing w:val="-2"/>
          <w:lang w:bidi="ar-EG"/>
        </w:rPr>
        <w:tab/>
      </w:r>
      <w:r w:rsidR="00792DAD" w:rsidRPr="00ED6CC9">
        <w:rPr>
          <w:spacing w:val="-2"/>
          <w:rtl/>
          <w:lang w:bidi="ar-EG"/>
        </w:rPr>
        <w:t xml:space="preserve">بتوصية من </w:t>
      </w:r>
      <w:r w:rsidR="00792DAD" w:rsidRPr="00ED6CC9">
        <w:rPr>
          <w:spacing w:val="-2"/>
          <w:rtl/>
        </w:rPr>
        <w:t>اللجنة الاستشارية المستقلة للإدارة، طلب الأمين العام من وحدة المراجعة الداخلية أن تقود عملية اختيار مراجع خارجي جديد للحسابات في الأمانة. وعيّن المجلس في دورته لعام</w:t>
      </w:r>
      <w:r w:rsidR="00792DAD" w:rsidRPr="00ED6CC9">
        <w:rPr>
          <w:rFonts w:hint="eastAsia"/>
          <w:spacing w:val="-2"/>
          <w:rtl/>
        </w:rPr>
        <w:t> </w:t>
      </w:r>
      <w:r w:rsidR="00792DAD" w:rsidRPr="00ED6CC9">
        <w:rPr>
          <w:spacing w:val="-2"/>
        </w:rPr>
        <w:t>2018</w:t>
      </w:r>
      <w:r w:rsidR="00792DAD" w:rsidRPr="00ED6CC9">
        <w:rPr>
          <w:spacing w:val="-2"/>
          <w:rtl/>
          <w:lang w:bidi="ar-EG"/>
        </w:rPr>
        <w:t xml:space="preserve"> الأفراد الذين أوصت بهم المنظمات الإقليمية الست للاتصالات للعمل كأعضاء في لجنة التقييم وتقديم تقرير عن نتائج عملها إلى المجلس في دورته لعام</w:t>
      </w:r>
      <w:r w:rsidR="00792DAD" w:rsidRPr="00ED6CC9">
        <w:rPr>
          <w:rFonts w:hint="eastAsia"/>
          <w:spacing w:val="-2"/>
          <w:rtl/>
          <w:lang w:bidi="ar-EG"/>
        </w:rPr>
        <w:t> </w:t>
      </w:r>
      <w:r w:rsidR="00792DAD" w:rsidRPr="00ED6CC9">
        <w:rPr>
          <w:spacing w:val="-2"/>
          <w:lang w:bidi="ar-EG"/>
        </w:rPr>
        <w:t>2019</w:t>
      </w:r>
      <w:r w:rsidR="00792DAD" w:rsidRPr="00ED6CC9">
        <w:rPr>
          <w:spacing w:val="-2"/>
          <w:rtl/>
          <w:lang w:bidi="ar-EG"/>
        </w:rPr>
        <w:t xml:space="preserve">. </w:t>
      </w:r>
      <w:r w:rsidR="00792DAD" w:rsidRPr="00ED6CC9">
        <w:rPr>
          <w:spacing w:val="-2"/>
          <w:rtl/>
        </w:rPr>
        <w:t>وبدعم من أمانة الاتحاد، بدأت لجنة التقييم عملها المتعلق بعملية طلب تقديم عروض من أجل تحديد مؤسسة عليا للمراجعة</w:t>
      </w:r>
      <w:r w:rsidR="00792DAD" w:rsidRPr="00ED6CC9">
        <w:rPr>
          <w:rFonts w:hint="eastAsia"/>
          <w:spacing w:val="-2"/>
          <w:rtl/>
        </w:rPr>
        <w:t> </w:t>
      </w:r>
      <w:r w:rsidR="00792DAD" w:rsidRPr="00ED6CC9">
        <w:rPr>
          <w:spacing w:val="-2"/>
          <w:lang w:bidi="ar-SY"/>
        </w:rPr>
        <w:t>(SAI)</w:t>
      </w:r>
      <w:r w:rsidR="00792DAD" w:rsidRPr="00ED6CC9">
        <w:rPr>
          <w:spacing w:val="-2"/>
          <w:rtl/>
        </w:rPr>
        <w:t xml:space="preserve"> من إحدى الدول الأعضاء في الاتحاد تستوفي على أفضل نحو المعايير المحددة في طلب تقديم </w:t>
      </w:r>
      <w:r w:rsidR="00122072" w:rsidRPr="004A2E84">
        <w:rPr>
          <w:spacing w:val="-2"/>
          <w:rtl/>
        </w:rPr>
        <w:t>مقترحات</w:t>
      </w:r>
      <w:r w:rsidR="00792DAD" w:rsidRPr="00ED6CC9">
        <w:rPr>
          <w:rFonts w:hint="eastAsia"/>
          <w:spacing w:val="-2"/>
          <w:rtl/>
        </w:rPr>
        <w:t> </w:t>
      </w:r>
      <w:r w:rsidR="00792DAD" w:rsidRPr="00ED6CC9">
        <w:rPr>
          <w:spacing w:val="-2"/>
          <w:lang w:bidi="ar-SY"/>
        </w:rPr>
        <w:t>(RFP)</w:t>
      </w:r>
      <w:r w:rsidR="00792DAD" w:rsidRPr="00ED6CC9">
        <w:rPr>
          <w:spacing w:val="-2"/>
          <w:rtl/>
        </w:rPr>
        <w:t xml:space="preserve"> بشأن مراجعة حسابات الاتحاد.</w:t>
      </w:r>
    </w:p>
    <w:p w14:paraId="69D02C37" w14:textId="046FE387" w:rsidR="00792DAD" w:rsidRPr="00ED6CC9" w:rsidRDefault="00D261F3" w:rsidP="00792DAD">
      <w:pPr>
        <w:rPr>
          <w:rtl/>
          <w:lang w:bidi="ar-EG"/>
        </w:rPr>
      </w:pPr>
      <w:r w:rsidRPr="00ED6CC9">
        <w:rPr>
          <w:rtl/>
          <w:lang w:bidi="ar-EG"/>
        </w:rPr>
        <w:t>12</w:t>
      </w:r>
      <w:r w:rsidR="00792DAD" w:rsidRPr="00ED6CC9">
        <w:rPr>
          <w:rtl/>
          <w:lang w:bidi="ar-EG"/>
        </w:rPr>
        <w:tab/>
        <w:t xml:space="preserve">واستمرت وحدة المراجعة الداخلية طوال العملية في مساعدة أعضاء لجنة التقييم على القيام بعملهم وقدمت إرشادات بشأن المسائل الإجرائية والمسائل التقنية للمراجعة، حسب الاقتضاء. </w:t>
      </w:r>
      <w:r w:rsidR="00743832" w:rsidRPr="00ED6CC9">
        <w:rPr>
          <w:rtl/>
          <w:lang w:bidi="ar-EG"/>
        </w:rPr>
        <w:t xml:space="preserve">وقُدم تقرير عن أعمال لجنة التقييم إلى المشاورة الافتراضية الأولى لأعضاء المجلس في عام </w:t>
      </w:r>
      <w:r w:rsidR="00743832" w:rsidRPr="00ED6CC9">
        <w:rPr>
          <w:lang w:bidi="ar-EG"/>
        </w:rPr>
        <w:t>2020</w:t>
      </w:r>
      <w:r w:rsidR="00743832" w:rsidRPr="00ED6CC9">
        <w:rPr>
          <w:rtl/>
          <w:lang w:bidi="ar-EG"/>
        </w:rPr>
        <w:t xml:space="preserve">، </w:t>
      </w:r>
      <w:r w:rsidR="00603DDB" w:rsidRPr="00ED6CC9">
        <w:rPr>
          <w:rtl/>
          <w:lang w:bidi="ar-EG"/>
        </w:rPr>
        <w:t>و</w:t>
      </w:r>
      <w:r w:rsidR="00743832" w:rsidRPr="00ED6CC9">
        <w:rPr>
          <w:rtl/>
          <w:lang w:bidi="ar-EG"/>
        </w:rPr>
        <w:t>عمدت وحدة المراجعة الداخلية</w:t>
      </w:r>
      <w:r w:rsidR="00603DDB" w:rsidRPr="00ED6CC9">
        <w:rPr>
          <w:rtl/>
          <w:lang w:bidi="ar-EG"/>
        </w:rPr>
        <w:t xml:space="preserve"> بعدئذ</w:t>
      </w:r>
      <w:r w:rsidR="00743832" w:rsidRPr="00ED6CC9">
        <w:rPr>
          <w:rtl/>
          <w:lang w:bidi="ar-EG"/>
        </w:rPr>
        <w:t xml:space="preserve"> إلى تنسيق </w:t>
      </w:r>
      <w:r w:rsidR="00581CD5" w:rsidRPr="00ED6CC9">
        <w:rPr>
          <w:rtl/>
          <w:lang w:bidi="ar-EG"/>
        </w:rPr>
        <w:t xml:space="preserve">الإجابات على الأسئلة العديدة التي طُرحت في تلك الجلسة. وعقب عقد المشاورة الافتراضية الثانية لأعضاء المجلس في عام </w:t>
      </w:r>
      <w:r w:rsidR="00581CD5" w:rsidRPr="00ED6CC9">
        <w:rPr>
          <w:lang w:bidi="ar-EG"/>
        </w:rPr>
        <w:t>2020</w:t>
      </w:r>
      <w:r w:rsidR="00581CD5" w:rsidRPr="00ED6CC9">
        <w:rPr>
          <w:rtl/>
          <w:lang w:bidi="ar-EG"/>
        </w:rPr>
        <w:t xml:space="preserve">، أُجريت مشاورة بالمراسلة </w:t>
      </w:r>
      <w:r w:rsidR="00603DDB" w:rsidRPr="00ED6CC9">
        <w:rPr>
          <w:rtl/>
          <w:lang w:bidi="ar-EG"/>
        </w:rPr>
        <w:t>وأُوكد اختيار المراجع الخارجي لتعيينه (</w:t>
      </w:r>
      <w:hyperlink r:id="rId10" w:history="1">
        <w:r w:rsidR="00603DDB" w:rsidRPr="00625560">
          <w:rPr>
            <w:rStyle w:val="Hyperlink"/>
            <w:rtl/>
            <w:lang w:bidi="ar-EG"/>
          </w:rPr>
          <w:t xml:space="preserve">مقرَّر المجلس </w:t>
        </w:r>
        <w:r w:rsidR="00603DDB" w:rsidRPr="00625560">
          <w:rPr>
            <w:rStyle w:val="Hyperlink"/>
            <w:lang w:bidi="ar-EG"/>
          </w:rPr>
          <w:t>621</w:t>
        </w:r>
      </w:hyperlink>
      <w:r w:rsidR="00603DDB" w:rsidRPr="00ED6CC9">
        <w:rPr>
          <w:rtl/>
          <w:lang w:bidi="ar-EG"/>
        </w:rPr>
        <w:t>).</w:t>
      </w:r>
    </w:p>
    <w:p w14:paraId="6F414E41" w14:textId="2F09B384" w:rsidR="00D261F3" w:rsidRPr="00ED6CC9" w:rsidRDefault="00D261F3" w:rsidP="00D261F3">
      <w:pPr>
        <w:pStyle w:val="Headingb"/>
        <w:rPr>
          <w:i/>
          <w:iCs/>
        </w:rPr>
      </w:pPr>
      <w:r w:rsidRPr="00ED6CC9">
        <w:rPr>
          <w:i/>
          <w:iCs/>
          <w:rtl/>
        </w:rPr>
        <w:t>المراجعة المحاسبية الجنائية</w:t>
      </w:r>
    </w:p>
    <w:p w14:paraId="2F58CC7E" w14:textId="43927936" w:rsidR="00792DAD" w:rsidRPr="00ED6CC9" w:rsidRDefault="00D261F3" w:rsidP="00124C46">
      <w:pPr>
        <w:rPr>
          <w:lang w:bidi="ar-EG"/>
        </w:rPr>
      </w:pPr>
      <w:r w:rsidRPr="00ED6CC9">
        <w:rPr>
          <w:rtl/>
        </w:rPr>
        <w:t>13</w:t>
      </w:r>
      <w:r w:rsidR="00792DAD" w:rsidRPr="00ED6CC9">
        <w:rPr>
          <w:rtl/>
          <w:lang w:bidi="ar-EG"/>
        </w:rPr>
        <w:tab/>
      </w:r>
      <w:r w:rsidR="00792DAD" w:rsidRPr="00ED6CC9">
        <w:rPr>
          <w:rtl/>
          <w:lang w:bidi="ar"/>
        </w:rPr>
        <w:t xml:space="preserve">اعتمد المجلس في دورته لعام 2019 </w:t>
      </w:r>
      <w:hyperlink r:id="rId11" w:history="1">
        <w:r w:rsidR="00792DAD" w:rsidRPr="00625560">
          <w:rPr>
            <w:rStyle w:val="Hyperlink"/>
            <w:rtl/>
            <w:lang w:bidi="ar"/>
          </w:rPr>
          <w:t>المقر</w:t>
        </w:r>
        <w:r w:rsidR="00895C5E" w:rsidRPr="00625560">
          <w:rPr>
            <w:rStyle w:val="Hyperlink"/>
            <w:rtl/>
            <w:lang w:bidi="ar"/>
          </w:rPr>
          <w:t>َّ</w:t>
        </w:r>
        <w:r w:rsidR="00792DAD" w:rsidRPr="00625560">
          <w:rPr>
            <w:rStyle w:val="Hyperlink"/>
            <w:rtl/>
            <w:lang w:bidi="ar"/>
          </w:rPr>
          <w:t>ر 613</w:t>
        </w:r>
      </w:hyperlink>
      <w:r w:rsidR="00792DAD" w:rsidRPr="00ED6CC9">
        <w:rPr>
          <w:rtl/>
          <w:lang w:bidi="ar"/>
        </w:rPr>
        <w:t xml:space="preserve"> الذي يكلف الأمين العام بإجراء مراجعة محاسبية جنائية. ووضعت وحدة المراجعة الداخلية بالاشتراك مع شعبة المشتريات وثيقة "إبداء الاهتمام"، </w:t>
      </w:r>
      <w:r w:rsidR="003E30C9" w:rsidRPr="00ED6CC9">
        <w:rPr>
          <w:rtl/>
          <w:lang w:bidi="ar"/>
        </w:rPr>
        <w:t xml:space="preserve">ثم نُشر </w:t>
      </w:r>
      <w:r w:rsidR="00792DAD" w:rsidRPr="00ED6CC9">
        <w:rPr>
          <w:rtl/>
          <w:lang w:bidi="ar"/>
        </w:rPr>
        <w:t xml:space="preserve">"طلب تقديم مقترحات" </w:t>
      </w:r>
      <w:r w:rsidR="00E0291D" w:rsidRPr="00ED6CC9">
        <w:rPr>
          <w:rtl/>
        </w:rPr>
        <w:t>و</w:t>
      </w:r>
      <w:r w:rsidR="00124C46" w:rsidRPr="00ED6CC9">
        <w:rPr>
          <w:rtl/>
        </w:rPr>
        <w:t>أُ</w:t>
      </w:r>
      <w:r w:rsidR="00E0291D" w:rsidRPr="00ED6CC9">
        <w:rPr>
          <w:rtl/>
        </w:rPr>
        <w:t>خذت</w:t>
      </w:r>
      <w:r w:rsidR="00E0291D" w:rsidRPr="00ED6CC9">
        <w:rPr>
          <w:rtl/>
          <w:lang w:bidi="ar"/>
        </w:rPr>
        <w:t xml:space="preserve"> في</w:t>
      </w:r>
      <w:r w:rsidR="00625560">
        <w:rPr>
          <w:rFonts w:hint="cs"/>
          <w:rtl/>
          <w:lang w:bidi="ar"/>
        </w:rPr>
        <w:t> </w:t>
      </w:r>
      <w:r w:rsidR="00E0291D" w:rsidRPr="00ED6CC9">
        <w:rPr>
          <w:rtl/>
          <w:lang w:bidi="ar"/>
        </w:rPr>
        <w:t>الاعتبار</w:t>
      </w:r>
      <w:r w:rsidR="003E30C9" w:rsidRPr="00ED6CC9">
        <w:rPr>
          <w:rtl/>
          <w:lang w:bidi="ar"/>
        </w:rPr>
        <w:t xml:space="preserve"> المقترحات المقدمة من ستة من مقدمي العطاءات (من أصل </w:t>
      </w:r>
      <w:r w:rsidR="003E30C9" w:rsidRPr="00ED6CC9">
        <w:rPr>
          <w:rtl/>
          <w:lang w:bidi="ar-EG"/>
        </w:rPr>
        <w:t>عشر وثائق مقترحات</w:t>
      </w:r>
      <w:r w:rsidR="003E30C9" w:rsidRPr="00ED6CC9">
        <w:rPr>
          <w:rtl/>
          <w:lang w:bidi="ar"/>
        </w:rPr>
        <w:t>) في إطار</w:t>
      </w:r>
      <w:r w:rsidR="00544402" w:rsidRPr="00ED6CC9">
        <w:rPr>
          <w:rtl/>
          <w:lang w:bidi="ar"/>
        </w:rPr>
        <w:t xml:space="preserve"> مواصلة تقييمها</w:t>
      </w:r>
      <w:r w:rsidR="00792DAD" w:rsidRPr="00ED6CC9">
        <w:rPr>
          <w:rtl/>
          <w:lang w:bidi="ar"/>
        </w:rPr>
        <w:t xml:space="preserve">. </w:t>
      </w:r>
      <w:r w:rsidR="00544402" w:rsidRPr="00ED6CC9">
        <w:rPr>
          <w:rtl/>
          <w:lang w:bidi="ar"/>
        </w:rPr>
        <w:t>وجرى التعاقد</w:t>
      </w:r>
      <w:r w:rsidR="00E0291D" w:rsidRPr="00ED6CC9">
        <w:rPr>
          <w:rtl/>
          <w:lang w:bidi="ar"/>
        </w:rPr>
        <w:t xml:space="preserve"> في يناير </w:t>
      </w:r>
      <w:r w:rsidR="00E0291D" w:rsidRPr="00ED6CC9">
        <w:rPr>
          <w:lang w:bidi="ar"/>
        </w:rPr>
        <w:t>2021</w:t>
      </w:r>
      <w:r w:rsidR="00E0291D" w:rsidRPr="00ED6CC9">
        <w:rPr>
          <w:rtl/>
          <w:lang w:bidi="ar-EG"/>
        </w:rPr>
        <w:t xml:space="preserve"> مع مقدِّم العطاء الفائز</w:t>
      </w:r>
      <w:r w:rsidR="007C2793" w:rsidRPr="00ED6CC9">
        <w:rPr>
          <w:rtl/>
          <w:lang w:bidi="ar-EG"/>
        </w:rPr>
        <w:t>،</w:t>
      </w:r>
      <w:r w:rsidR="00E0291D" w:rsidRPr="00ED6CC9">
        <w:rPr>
          <w:rtl/>
          <w:lang w:bidi="ar-EG"/>
        </w:rPr>
        <w:t xml:space="preserve"> ويضطلع حالياً بأعمال المراجعة المحاسبية الجنائية مع وحدة المراجعة الداخلية</w:t>
      </w:r>
      <w:r w:rsidR="004C0E35" w:rsidRPr="00ED6CC9">
        <w:rPr>
          <w:rtl/>
          <w:lang w:bidi="ar-EG"/>
        </w:rPr>
        <w:t xml:space="preserve"> بصفة منسّق</w:t>
      </w:r>
      <w:r w:rsidR="00E0291D" w:rsidRPr="00ED6CC9">
        <w:rPr>
          <w:rtl/>
          <w:lang w:bidi="ar-EG"/>
        </w:rPr>
        <w:t>. ويقدم الأمين الع</w:t>
      </w:r>
      <w:r w:rsidR="004C0E35" w:rsidRPr="00ED6CC9">
        <w:rPr>
          <w:rtl/>
          <w:lang w:bidi="ar-EG"/>
        </w:rPr>
        <w:t xml:space="preserve">ام إلى دورة المجلس لعام </w:t>
      </w:r>
      <w:r w:rsidR="004C0E35" w:rsidRPr="00ED6CC9">
        <w:rPr>
          <w:lang w:bidi="ar-EG"/>
        </w:rPr>
        <w:t>2021</w:t>
      </w:r>
      <w:r w:rsidR="009A7366" w:rsidRPr="00ED6CC9">
        <w:rPr>
          <w:rtl/>
          <w:lang w:bidi="ar-EG"/>
        </w:rPr>
        <w:t xml:space="preserve"> </w:t>
      </w:r>
      <w:r w:rsidR="003620E5" w:rsidRPr="00ED6CC9">
        <w:rPr>
          <w:rtl/>
          <w:lang w:bidi="ar-EG"/>
        </w:rPr>
        <w:t xml:space="preserve">تقرير </w:t>
      </w:r>
      <w:r w:rsidR="004C0E35" w:rsidRPr="00ED6CC9">
        <w:rPr>
          <w:rtl/>
          <w:lang w:bidi="ar-EG"/>
        </w:rPr>
        <w:t>الشركة المتخصصة على نحو منفصل.</w:t>
      </w:r>
    </w:p>
    <w:p w14:paraId="7CA9CBEC" w14:textId="77777777" w:rsidR="00792DAD" w:rsidRPr="00ED6CC9" w:rsidRDefault="00792DAD" w:rsidP="00625560">
      <w:pPr>
        <w:pStyle w:val="Headingb"/>
        <w:pageBreakBefore/>
        <w:rPr>
          <w:rtl/>
        </w:rPr>
      </w:pPr>
      <w:r w:rsidRPr="00ED6CC9">
        <w:rPr>
          <w:rtl/>
        </w:rPr>
        <w:lastRenderedPageBreak/>
        <w:t>متابعة تنفيذ توصيات وحدة المراجعة الداخلية</w:t>
      </w:r>
    </w:p>
    <w:p w14:paraId="57983959" w14:textId="6335AE70" w:rsidR="00792DAD" w:rsidRPr="00ED6CC9" w:rsidRDefault="00D261F3" w:rsidP="001B0A30">
      <w:pPr>
        <w:spacing w:after="120"/>
        <w:rPr>
          <w:rtl/>
        </w:rPr>
      </w:pPr>
      <w:r w:rsidRPr="00ED6CC9">
        <w:rPr>
          <w:rtl/>
        </w:rPr>
        <w:t>14</w:t>
      </w:r>
      <w:r w:rsidR="00792DAD" w:rsidRPr="00ED6CC9">
        <w:rPr>
          <w:rtl/>
        </w:rPr>
        <w:tab/>
        <w:t>واصلت وحدة المراجعة الداخلية طيلة الفترة المشمولة بهذا التقرير متابعة تنفيذ التوصيات التي قُدمت في</w:t>
      </w:r>
      <w:r w:rsidR="00792DAD" w:rsidRPr="00ED6CC9">
        <w:rPr>
          <w:rFonts w:hint="eastAsia"/>
          <w:rtl/>
        </w:rPr>
        <w:t> </w:t>
      </w:r>
      <w:r w:rsidR="00792DAD" w:rsidRPr="00ED6CC9">
        <w:rPr>
          <w:rtl/>
        </w:rPr>
        <w:t xml:space="preserve">تقارير المراجعة السابقة. وقد لوحظ أنه تحقق على مدى الاثني عشر شهراً الأخيرة مزيد من التقدم، وترد فيما يلي الإحصاءات المتعلقة بتنفيذ التوصيات (في </w:t>
      </w:r>
      <w:r w:rsidRPr="00ED6CC9">
        <w:rPr>
          <w:rtl/>
          <w:lang w:val="en-CA"/>
        </w:rPr>
        <w:t>31 مارس 2021</w:t>
      </w:r>
      <w:r w:rsidR="00792DAD" w:rsidRPr="00ED6CC9">
        <w:rPr>
          <w:rtl/>
          <w:lang w:bidi="ar-EG"/>
        </w:rPr>
        <w:t>)</w:t>
      </w:r>
      <w:r w:rsidR="00792DAD" w:rsidRPr="00ED6CC9">
        <w:rPr>
          <w:rtl/>
        </w:rPr>
        <w:t>: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81"/>
        <w:gridCol w:w="748"/>
        <w:gridCol w:w="604"/>
        <w:gridCol w:w="740"/>
        <w:gridCol w:w="603"/>
        <w:gridCol w:w="741"/>
        <w:gridCol w:w="747"/>
        <w:gridCol w:w="603"/>
        <w:gridCol w:w="603"/>
        <w:gridCol w:w="609"/>
        <w:gridCol w:w="705"/>
        <w:gridCol w:w="845"/>
      </w:tblGrid>
      <w:tr w:rsidR="00D06996" w:rsidRPr="00625560" w14:paraId="0FE4CC51" w14:textId="77777777" w:rsidTr="008522AF">
        <w:trPr>
          <w:trHeight w:val="34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E8D5E69" w14:textId="53721F61" w:rsidR="00D261F3" w:rsidRPr="00625560" w:rsidRDefault="00D261F3" w:rsidP="007A7506">
            <w:pPr>
              <w:spacing w:before="60" w:after="60" w:line="260" w:lineRule="exact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  <w:rtl/>
              </w:rPr>
              <w:t>السنة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206BC773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61CF506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694D7B01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5C74B68B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048BE2E4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058C09F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6867FB7C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7827B64F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2689F4FA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85" w:type="dxa"/>
              <w:right w:w="85" w:type="dxa"/>
            </w:tcMar>
            <w:vAlign w:val="bottom"/>
          </w:tcPr>
          <w:p w14:paraId="1587F377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1B93CB23" w14:textId="126D6274" w:rsidR="00D261F3" w:rsidRPr="00625560" w:rsidRDefault="00D261F3" w:rsidP="007A7506">
            <w:pPr>
              <w:spacing w:before="60" w:after="60" w:line="260" w:lineRule="exact"/>
              <w:ind w:right="136"/>
              <w:jc w:val="center"/>
              <w:rPr>
                <w:b/>
                <w:bCs/>
                <w:color w:val="FFFFFF"/>
                <w:spacing w:val="-6"/>
                <w:sz w:val="18"/>
                <w:szCs w:val="18"/>
              </w:rPr>
            </w:pPr>
            <w:r w:rsidRPr="00625560">
              <w:rPr>
                <w:b/>
                <w:bCs/>
                <w:color w:val="FFFFFF"/>
                <w:spacing w:val="-6"/>
                <w:sz w:val="18"/>
                <w:szCs w:val="18"/>
                <w:rtl/>
              </w:rPr>
              <w:t>المجموع</w:t>
            </w:r>
          </w:p>
        </w:tc>
      </w:tr>
      <w:tr w:rsidR="00D06996" w:rsidRPr="00625560" w14:paraId="4B9E0A14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07A8" w14:textId="485FAC1D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عدد تقارير</w:t>
            </w:r>
            <w:r w:rsidR="007C2793" w:rsidRPr="00625560">
              <w:rPr>
                <w:sz w:val="18"/>
                <w:szCs w:val="18"/>
                <w:rtl/>
              </w:rPr>
              <w:t>/مذكرات</w:t>
            </w:r>
            <w:r w:rsidRPr="00625560">
              <w:rPr>
                <w:sz w:val="18"/>
                <w:szCs w:val="18"/>
                <w:rtl/>
              </w:rPr>
              <w:t xml:space="preserve"> المراجع</w:t>
            </w:r>
            <w:r w:rsidR="00A103B7" w:rsidRPr="00625560">
              <w:rPr>
                <w:sz w:val="18"/>
                <w:szCs w:val="18"/>
                <w:rtl/>
              </w:rPr>
              <w:t>ة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5C4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62F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3A47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9780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CDDF2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B5B97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57F0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815B3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55729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7F4A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C08E0A0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06996" w:rsidRPr="00625560" w14:paraId="777D8294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84B3" w14:textId="7D6EC5B6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التوصيات - المجموع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7BED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161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D51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113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15BF8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23507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911CF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CD18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EB24F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B6D1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11BC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4331A1C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321</w:t>
            </w:r>
          </w:p>
        </w:tc>
      </w:tr>
      <w:tr w:rsidR="00D06996" w:rsidRPr="00625560" w14:paraId="14E40C8F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62E0" w14:textId="307442F4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التوصيات الجاري تنفيذها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EFA3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5E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1F8C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8135A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B4734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751C1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85E5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7E194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5F0F7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F37F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67F18B7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48</w:t>
            </w:r>
          </w:p>
        </w:tc>
      </w:tr>
      <w:tr w:rsidR="00D06996" w:rsidRPr="00625560" w14:paraId="61D6C3E7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88E4" w14:textId="6CD6D6A0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التوصيات المتأخَر تنفيذها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A5C7C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9BA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C5C0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4472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A1B9A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1AF8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7739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9F51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5D5F83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CF61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19164DA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D06996" w:rsidRPr="00625560" w14:paraId="735F7E07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646A" w14:textId="2C312437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التوصيات التي أُقفل ملفها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F4C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799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0DFF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109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DCAB8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6DE92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33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545D3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4B818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7681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0AEBF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82F1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188422C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270</w:t>
            </w:r>
          </w:p>
        </w:tc>
      </w:tr>
      <w:tr w:rsidR="00D06996" w:rsidRPr="00625560" w14:paraId="2325E3B3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CFE6" w14:textId="77777777" w:rsidR="00D261F3" w:rsidRPr="00625560" w:rsidRDefault="00D261F3" w:rsidP="007A7506">
            <w:pPr>
              <w:spacing w:before="60" w:after="60"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800D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FD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01385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98DD0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23CC0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189EE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57D27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F0739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0F8A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B20876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FB5CDB" w14:textId="77777777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261F3" w:rsidRPr="00625560" w14:paraId="442986A8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0EF6" w14:textId="02703ED7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النسبة المئوية للتوصيات الجاري تنفيذها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868" w14:textId="56AA2EFC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AD21" w14:textId="00443B72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B28A" w14:textId="66FB1A08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%4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332B" w14:textId="77B0E316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%4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D0F" w14:textId="39EDFAEA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%3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3CA0" w14:textId="61FA768E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%27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C0B5" w14:textId="3E85E2AA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%27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8BFE4" w14:textId="7959781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%46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4306" w14:textId="2A5597DD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%73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9763C08" w14:textId="724BFAFB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%44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E9ECAD" w14:textId="5EE6BF52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%15</w:t>
            </w:r>
          </w:p>
        </w:tc>
      </w:tr>
      <w:tr w:rsidR="00D261F3" w:rsidRPr="00625560" w14:paraId="3A6606D5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4C2" w14:textId="2C1B36E3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النسبة المئوية للتوصيات المتأخَر تنفيذها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0544" w14:textId="482BD938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%18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E3C9" w14:textId="0C7EC2C5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66F2" w14:textId="64083739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0BFB" w14:textId="441AC088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939F" w14:textId="44A03CB8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2EB" w14:textId="11D3875D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C824" w14:textId="4FC67959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9CD98" w14:textId="494FEA1A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02C1" w14:textId="0578EA55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B838B58" w14:textId="081EA7BA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08571A8" w14:textId="039EC4E3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%1</w:t>
            </w:r>
          </w:p>
        </w:tc>
      </w:tr>
      <w:tr w:rsidR="00D261F3" w:rsidRPr="00625560" w14:paraId="1B3134CB" w14:textId="77777777" w:rsidTr="00D06996">
        <w:trPr>
          <w:trHeight w:val="244"/>
          <w:jc w:val="center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FA2F" w14:textId="6FC4EB3C" w:rsidR="00D261F3" w:rsidRPr="00625560" w:rsidRDefault="00D261F3" w:rsidP="007A7506">
            <w:pPr>
              <w:spacing w:before="60" w:after="60" w:line="260" w:lineRule="exact"/>
              <w:jc w:val="left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  <w:rtl/>
              </w:rPr>
              <w:t>النسبة المئوية للتوصيات التي أُقفل ملفها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0FD" w14:textId="5AF3D0DB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%82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3C0" w14:textId="5BFC8AC2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BE6C" w14:textId="586592F8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%96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0EA0" w14:textId="3D73DA30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DE5A" w14:textId="68FC0AF4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EE73" w14:textId="31C0029D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%73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A7DC1" w14:textId="0F00AAF6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%73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735FF" w14:textId="5F760178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%54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4C3C" w14:textId="601FDB37" w:rsidR="00D261F3" w:rsidRPr="00625560" w:rsidRDefault="00D261F3" w:rsidP="007A7506">
            <w:pPr>
              <w:spacing w:before="60" w:after="60" w:line="260" w:lineRule="exact"/>
              <w:jc w:val="center"/>
              <w:rPr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4C500B" w14:textId="236E70B6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sz w:val="18"/>
                <w:szCs w:val="18"/>
              </w:rPr>
              <w:t>%56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5A7A351" w14:textId="30509721" w:rsidR="00D261F3" w:rsidRPr="00625560" w:rsidRDefault="00D261F3" w:rsidP="007A7506">
            <w:pPr>
              <w:spacing w:before="60" w:after="60" w:line="260" w:lineRule="exact"/>
              <w:jc w:val="center"/>
              <w:rPr>
                <w:b/>
                <w:bCs/>
                <w:sz w:val="18"/>
                <w:szCs w:val="18"/>
              </w:rPr>
            </w:pPr>
            <w:r w:rsidRPr="00625560">
              <w:rPr>
                <w:b/>
                <w:bCs/>
                <w:sz w:val="18"/>
                <w:szCs w:val="18"/>
              </w:rPr>
              <w:t>%84</w:t>
            </w:r>
          </w:p>
        </w:tc>
      </w:tr>
    </w:tbl>
    <w:p w14:paraId="6314B030" w14:textId="628B636A" w:rsidR="00792DAD" w:rsidRPr="00ED6CC9" w:rsidRDefault="00D261F3" w:rsidP="00792DAD">
      <w:pPr>
        <w:spacing w:before="240" w:after="120"/>
      </w:pPr>
      <w:r w:rsidRPr="00ED6CC9">
        <w:rPr>
          <w:rtl/>
        </w:rPr>
        <w:t>15</w:t>
      </w:r>
      <w:r w:rsidR="00792DAD" w:rsidRPr="00ED6CC9">
        <w:rPr>
          <w:rtl/>
        </w:rPr>
        <w:tab/>
        <w:t>وفيما يلي لمحة عامة عن مدى أهمية التوصيات التي لا</w:t>
      </w:r>
      <w:r w:rsidR="00792DAD" w:rsidRPr="00ED6CC9">
        <w:rPr>
          <w:rFonts w:hint="eastAsia"/>
          <w:rtl/>
          <w:lang w:bidi="ar-EG"/>
        </w:rPr>
        <w:t> </w:t>
      </w:r>
      <w:r w:rsidR="00792DAD" w:rsidRPr="00ED6CC9">
        <w:rPr>
          <w:rtl/>
        </w:rPr>
        <w:t>يزال تنفيذها جارياً:</w:t>
      </w:r>
    </w:p>
    <w:p w14:paraId="1871BA2B" w14:textId="179CCEF8" w:rsidR="00B534D4" w:rsidRPr="00ED6CC9" w:rsidRDefault="00A94E37" w:rsidP="00B534D4">
      <w:pPr>
        <w:spacing w:before="240" w:after="120" w:line="360" w:lineRule="auto"/>
        <w:jc w:val="center"/>
        <w:rPr>
          <w:rtl/>
        </w:rPr>
      </w:pPr>
      <w:r w:rsidRPr="004A2E8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5E9BB" wp14:editId="1ACEC480">
                <wp:simplePos x="0" y="0"/>
                <wp:positionH relativeFrom="column">
                  <wp:posOffset>2232660</wp:posOffset>
                </wp:positionH>
                <wp:positionV relativeFrom="paragraph">
                  <wp:posOffset>1929765</wp:posOffset>
                </wp:positionV>
                <wp:extent cx="1870075" cy="343535"/>
                <wp:effectExtent l="0" t="0" r="0" b="1841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343535"/>
                          <a:chOff x="-318375" y="-459614"/>
                          <a:chExt cx="1870261" cy="271752"/>
                        </a:xfrm>
                        <a:noFill/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-318375" y="-459590"/>
                            <a:ext cx="360000" cy="2644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25187" w14:textId="77777777" w:rsidR="00792DAD" w:rsidRPr="00CF0052" w:rsidRDefault="00792DAD" w:rsidP="00B534D4">
                              <w:pPr>
                                <w:spacing w:before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793D">
                                <w:rPr>
                                  <w:rFonts w:hint="cs"/>
                                  <w:spacing w:val="2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>بالغة</w:t>
                              </w:r>
                              <w:r w:rsidRPr="00CF0052">
                                <w:rPr>
                                  <w:rFonts w:hint="cs"/>
                                  <w:spacing w:val="2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 xml:space="preserve"> الأهمية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75445" y="-450662"/>
                            <a:ext cx="360000" cy="262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2E77C5" w14:textId="77777777" w:rsidR="00792DAD" w:rsidRPr="00CF0052" w:rsidRDefault="00792DAD" w:rsidP="00B534D4">
                              <w:pPr>
                                <w:spacing w:before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spacing w:val="2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>كبيرة</w:t>
                              </w:r>
                              <w:r w:rsidRPr="00CF0052">
                                <w:rPr>
                                  <w:rFonts w:hint="cs"/>
                                  <w:spacing w:val="2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 xml:space="preserve"> الأهمية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37971" y="-459614"/>
                            <a:ext cx="360000" cy="262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B57E3C" w14:textId="77777777" w:rsidR="00792DAD" w:rsidRPr="00CF0052" w:rsidRDefault="00792DAD" w:rsidP="00B534D4">
                              <w:pPr>
                                <w:spacing w:before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F0052">
                                <w:rPr>
                                  <w:rFonts w:hint="cs"/>
                                  <w:spacing w:val="2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>متوسطة الأهمية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191886" y="-459607"/>
                            <a:ext cx="360000" cy="262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B88A15" w14:textId="77777777" w:rsidR="00792DAD" w:rsidRPr="00CF0052" w:rsidRDefault="00792DAD" w:rsidP="00B534D4">
                              <w:pPr>
                                <w:spacing w:before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spacing w:val="2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>قليلة</w:t>
                              </w:r>
                              <w:r w:rsidRPr="00CF0052">
                                <w:rPr>
                                  <w:rFonts w:hint="cs"/>
                                  <w:spacing w:val="2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 xml:space="preserve"> الأهمية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5E9BB" id="Group 8" o:spid="_x0000_s1026" style="position:absolute;left:0;text-align:left;margin-left:175.8pt;margin-top:151.95pt;width:147.25pt;height:27.05pt;z-index:251659264;mso-width-relative:margin;mso-height-relative:margin" coordorigin="-3183,-4596" coordsize="18702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-3183;top:-4595;width:359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" filled="f" strokecolor="white [3212]" strokeweight=".5pt">
                  <v:textbox inset="0,0,0,0">
                    <w:txbxContent>
                      <w:p w14:paraId="40F25187" w14:textId="77777777" w:rsidR="00792DAD" w:rsidRPr="00CF0052" w:rsidRDefault="00792DAD" w:rsidP="00B534D4">
                        <w:pPr>
                          <w:spacing w:before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6F793D">
                          <w:rPr>
                            <w:rFonts w:hint="cs"/>
                            <w:spacing w:val="2"/>
                            <w:sz w:val="16"/>
                            <w:szCs w:val="16"/>
                            <w:rtl/>
                            <w:lang w:bidi="ar-EG"/>
                          </w:rPr>
                          <w:t>بالغة</w:t>
                        </w:r>
                        <w:r w:rsidRPr="00CF0052">
                          <w:rPr>
                            <w:rFonts w:hint="cs"/>
                            <w:spacing w:val="2"/>
                            <w:sz w:val="16"/>
                            <w:szCs w:val="16"/>
                            <w:rtl/>
                            <w:lang w:bidi="ar-EG"/>
                          </w:rPr>
                          <w:t xml:space="preserve"> الأهمية</w:t>
                        </w:r>
                      </w:p>
                    </w:txbxContent>
                  </v:textbox>
                </v:shape>
                <v:shape id="Text Box 3" o:spid="_x0000_s1028" type="#_x0000_t202" style="position:absolute;left:1754;top:-4506;width:360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" filled="f" strokecolor="white [3212]" strokeweight=".5pt">
                  <v:textbox inset="0,0,0,0">
                    <w:txbxContent>
                      <w:p w14:paraId="2B2E77C5" w14:textId="77777777" w:rsidR="00792DAD" w:rsidRPr="00CF0052" w:rsidRDefault="00792DAD" w:rsidP="00B534D4">
                        <w:pPr>
                          <w:spacing w:before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spacing w:val="2"/>
                            <w:sz w:val="16"/>
                            <w:szCs w:val="16"/>
                            <w:rtl/>
                            <w:lang w:bidi="ar-EG"/>
                          </w:rPr>
                          <w:t>كبيرة</w:t>
                        </w:r>
                        <w:r w:rsidRPr="00CF0052">
                          <w:rPr>
                            <w:rFonts w:hint="cs"/>
                            <w:spacing w:val="2"/>
                            <w:sz w:val="16"/>
                            <w:szCs w:val="16"/>
                            <w:rtl/>
                            <w:lang w:bidi="ar-EG"/>
                          </w:rPr>
                          <w:t xml:space="preserve"> الأهمية</w:t>
                        </w:r>
                      </w:p>
                    </w:txbxContent>
                  </v:textbox>
                </v:shape>
                <v:shape id="Text Box 6" o:spid="_x0000_s1029" type="#_x0000_t202" style="position:absolute;left:6379;top:-4596;width:360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" filled="f" strokecolor="white [3212]" strokeweight=".5pt">
                  <v:textbox inset="0,0,0,0">
                    <w:txbxContent>
                      <w:p w14:paraId="30B57E3C" w14:textId="77777777" w:rsidR="00792DAD" w:rsidRPr="00CF0052" w:rsidRDefault="00792DAD" w:rsidP="00B534D4">
                        <w:pPr>
                          <w:spacing w:before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CF0052">
                          <w:rPr>
                            <w:rFonts w:hint="cs"/>
                            <w:spacing w:val="2"/>
                            <w:sz w:val="16"/>
                            <w:szCs w:val="16"/>
                            <w:rtl/>
                            <w:lang w:bidi="ar-EG"/>
                          </w:rPr>
                          <w:t>متوسطة الأهمية</w:t>
                        </w:r>
                      </w:p>
                    </w:txbxContent>
                  </v:textbox>
                </v:shape>
                <v:shape id="Text Box 7" o:spid="_x0000_s1030" type="#_x0000_t202" style="position:absolute;left:11918;top:-4596;width:360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" filled="f" stroked="f" strokeweight=".5pt">
                  <v:textbox inset="0,0,0,0">
                    <w:txbxContent>
                      <w:p w14:paraId="3DB88A15" w14:textId="77777777" w:rsidR="00792DAD" w:rsidRPr="00CF0052" w:rsidRDefault="00792DAD" w:rsidP="00B534D4">
                        <w:pPr>
                          <w:spacing w:before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spacing w:val="2"/>
                            <w:sz w:val="16"/>
                            <w:szCs w:val="16"/>
                            <w:rtl/>
                            <w:lang w:bidi="ar-EG"/>
                          </w:rPr>
                          <w:t>قليلة</w:t>
                        </w:r>
                        <w:r w:rsidRPr="00CF0052">
                          <w:rPr>
                            <w:rFonts w:hint="cs"/>
                            <w:spacing w:val="2"/>
                            <w:sz w:val="16"/>
                            <w:szCs w:val="16"/>
                            <w:rtl/>
                            <w:lang w:bidi="ar-EG"/>
                          </w:rPr>
                          <w:t xml:space="preserve"> الأهمية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4D4" w:rsidRPr="004A2E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AC7DB" wp14:editId="75BCC52D">
                <wp:simplePos x="0" y="0"/>
                <wp:positionH relativeFrom="column">
                  <wp:posOffset>708660</wp:posOffset>
                </wp:positionH>
                <wp:positionV relativeFrom="paragraph">
                  <wp:posOffset>148590</wp:posOffset>
                </wp:positionV>
                <wp:extent cx="4719638" cy="334620"/>
                <wp:effectExtent l="0" t="0" r="2413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638" cy="334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DB297" w14:textId="4EC58D7A" w:rsidR="00B534D4" w:rsidRPr="00B534D4" w:rsidRDefault="00B534D4" w:rsidP="00B534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pacing w:val="2"/>
                                <w:rtl/>
                                <w:lang w:bidi="ar-EG"/>
                              </w:rPr>
                              <w:t>مد</w:t>
                            </w:r>
                            <w:r w:rsidR="00F119ED">
                              <w:rPr>
                                <w:rFonts w:hint="cs"/>
                                <w:spacing w:val="2"/>
                                <w:rtl/>
                                <w:lang w:bidi="ar-EG"/>
                              </w:rPr>
                              <w:t>ى</w:t>
                            </w:r>
                            <w:r>
                              <w:rPr>
                                <w:rFonts w:hint="cs"/>
                                <w:spacing w:val="2"/>
                                <w:rtl/>
                                <w:lang w:bidi="ar-EG"/>
                              </w:rPr>
                              <w:t xml:space="preserve"> أهمية التوصيات الجاري تنفيذها/المتأخَّر في تنفيذها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AC7D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left:0;text-align:left;margin-left:55.8pt;margin-top:11.7pt;width:371.65pt;height:2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" filled="f" strokecolor="white [3212]" strokeweight=".5pt">
                <v:textbox inset="0,0,0,0">
                  <w:txbxContent>
                    <w:p w14:paraId="0F8DB297" w14:textId="4EC58D7A" w:rsidR="00B534D4" w:rsidRPr="00B534D4" w:rsidRDefault="00B534D4" w:rsidP="00B534D4">
                      <w:pPr>
                        <w:jc w:val="center"/>
                      </w:pPr>
                      <w:r>
                        <w:rPr>
                          <w:rFonts w:hint="cs"/>
                          <w:spacing w:val="2"/>
                          <w:rtl/>
                          <w:lang w:bidi="ar-EG"/>
                        </w:rPr>
                        <w:t>مد</w:t>
                      </w:r>
                      <w:r w:rsidR="00F119ED">
                        <w:rPr>
                          <w:rFonts w:hint="cs"/>
                          <w:spacing w:val="2"/>
                          <w:rtl/>
                          <w:lang w:bidi="ar-EG"/>
                        </w:rPr>
                        <w:t>ى</w:t>
                      </w:r>
                      <w:r>
                        <w:rPr>
                          <w:rFonts w:hint="cs"/>
                          <w:spacing w:val="2"/>
                          <w:rtl/>
                          <w:lang w:bidi="ar-EG"/>
                        </w:rPr>
                        <w:t xml:space="preserve"> أهمية التوصيات الجاري تنفيذها/المتأخَّر في تنفيذها</w:t>
                      </w:r>
                    </w:p>
                  </w:txbxContent>
                </v:textbox>
              </v:shape>
            </w:pict>
          </mc:Fallback>
        </mc:AlternateContent>
      </w:r>
      <w:r w:rsidR="00B534D4" w:rsidRPr="004A2E84">
        <w:rPr>
          <w:noProof/>
        </w:rPr>
        <w:drawing>
          <wp:inline distT="0" distB="0" distL="0" distR="0" wp14:anchorId="1F033680" wp14:editId="311A3033">
            <wp:extent cx="5108575" cy="21888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252AC" w14:textId="19D8B0A5" w:rsidR="00792DAD" w:rsidRPr="00ED6CC9" w:rsidRDefault="00B534D4" w:rsidP="00D06996">
      <w:pPr>
        <w:spacing w:before="240"/>
        <w:rPr>
          <w:spacing w:val="2"/>
          <w:rtl/>
          <w:lang w:bidi="ar-EG"/>
        </w:rPr>
      </w:pPr>
      <w:r w:rsidRPr="00ED6CC9">
        <w:rPr>
          <w:spacing w:val="2"/>
          <w:rtl/>
          <w:lang w:val="en-CA" w:bidi="ar-EG"/>
        </w:rPr>
        <w:t>16</w:t>
      </w:r>
      <w:r w:rsidR="00792DAD" w:rsidRPr="00ED6CC9">
        <w:rPr>
          <w:spacing w:val="2"/>
          <w:lang w:val="en-CA" w:bidi="ar-EG"/>
        </w:rPr>
        <w:tab/>
      </w:r>
      <w:r w:rsidR="00792DAD" w:rsidRPr="00ED6CC9">
        <w:rPr>
          <w:spacing w:val="2"/>
          <w:rtl/>
          <w:lang w:val="en-CA" w:bidi="ar-EG"/>
        </w:rPr>
        <w:t>تنبثق التوصيات بالغة الأهمية لعام</w:t>
      </w:r>
      <w:r w:rsidR="004668D7" w:rsidRPr="00ED6CC9">
        <w:rPr>
          <w:spacing w:val="2"/>
          <w:rtl/>
          <w:lang w:val="en-CA" w:bidi="ar-EG"/>
        </w:rPr>
        <w:t>ي</w:t>
      </w:r>
      <w:r w:rsidR="00792DAD" w:rsidRPr="00ED6CC9">
        <w:rPr>
          <w:rFonts w:hint="eastAsia"/>
          <w:spacing w:val="2"/>
          <w:rtl/>
          <w:lang w:val="en-CA" w:bidi="ar-EG"/>
        </w:rPr>
        <w:t> </w:t>
      </w:r>
      <w:r w:rsidR="00792DAD" w:rsidRPr="00ED6CC9">
        <w:rPr>
          <w:spacing w:val="2"/>
          <w:lang w:bidi="ar-EG"/>
        </w:rPr>
        <w:t>2019</w:t>
      </w:r>
      <w:r w:rsidR="004668D7" w:rsidRPr="00ED6CC9">
        <w:rPr>
          <w:spacing w:val="2"/>
          <w:rtl/>
          <w:lang w:bidi="ar-EG"/>
        </w:rPr>
        <w:t xml:space="preserve"> و</w:t>
      </w:r>
      <w:r w:rsidR="004668D7" w:rsidRPr="00ED6CC9">
        <w:rPr>
          <w:spacing w:val="2"/>
          <w:lang w:bidi="ar-EG"/>
        </w:rPr>
        <w:t>2020</w:t>
      </w:r>
      <w:r w:rsidR="00792DAD" w:rsidRPr="00ED6CC9">
        <w:rPr>
          <w:spacing w:val="2"/>
          <w:rtl/>
          <w:lang w:bidi="ar-EG"/>
        </w:rPr>
        <w:t xml:space="preserve"> من الرسالة الإدارية الصادرة عن وحدة المراجعة الداخلية، عقب التحقيق في</w:t>
      </w:r>
      <w:r w:rsidR="00792DAD" w:rsidRPr="00ED6CC9">
        <w:rPr>
          <w:rFonts w:hint="eastAsia"/>
          <w:spacing w:val="2"/>
          <w:rtl/>
          <w:lang w:bidi="ar-EG"/>
        </w:rPr>
        <w:t> </w:t>
      </w:r>
      <w:r w:rsidR="00792DAD" w:rsidRPr="00ED6CC9">
        <w:rPr>
          <w:spacing w:val="2"/>
          <w:rtl/>
          <w:lang w:bidi="ar-EG"/>
        </w:rPr>
        <w:t>حالة الاحتيال</w:t>
      </w:r>
      <w:r w:rsidR="004668D7" w:rsidRPr="00ED6CC9">
        <w:rPr>
          <w:spacing w:val="2"/>
          <w:rtl/>
          <w:lang w:bidi="ar-EG"/>
        </w:rPr>
        <w:t xml:space="preserve">. </w:t>
      </w:r>
      <w:r w:rsidR="00792DAD" w:rsidRPr="00ED6CC9">
        <w:rPr>
          <w:spacing w:val="2"/>
          <w:rtl/>
          <w:lang w:val="en-CA" w:bidi="ar-EG"/>
        </w:rPr>
        <w:t xml:space="preserve">وتتعلّق أساساً </w:t>
      </w:r>
      <w:r w:rsidR="004668D7" w:rsidRPr="00ED6CC9">
        <w:rPr>
          <w:spacing w:val="2"/>
          <w:rtl/>
          <w:lang w:val="en-CA" w:bidi="ar-EG"/>
        </w:rPr>
        <w:t xml:space="preserve">بحاجة دائرة إدارة الموارد البشرية </w:t>
      </w:r>
      <w:r w:rsidR="00121973" w:rsidRPr="00ED6CC9">
        <w:rPr>
          <w:spacing w:val="2"/>
          <w:lang w:bidi="ar-EG"/>
        </w:rPr>
        <w:t>(HRMD)</w:t>
      </w:r>
      <w:r w:rsidR="00121973" w:rsidRPr="00ED6CC9">
        <w:rPr>
          <w:spacing w:val="2"/>
          <w:rtl/>
          <w:lang w:bidi="ar-EG"/>
        </w:rPr>
        <w:t xml:space="preserve"> إلى استحداث إجراءات تنافسية وضوابط معزَّزة</w:t>
      </w:r>
      <w:r w:rsidR="00792DAD" w:rsidRPr="00ED6CC9">
        <w:rPr>
          <w:spacing w:val="2"/>
          <w:rtl/>
          <w:lang w:val="en-CA" w:bidi="ar-EG"/>
        </w:rPr>
        <w:t>،</w:t>
      </w:r>
      <w:r w:rsidR="00121973" w:rsidRPr="00ED6CC9">
        <w:rPr>
          <w:spacing w:val="2"/>
          <w:rtl/>
          <w:lang w:val="en-CA" w:bidi="ar-EG"/>
        </w:rPr>
        <w:t xml:space="preserve"> على نطاق الاتحاد ككل،</w:t>
      </w:r>
      <w:r w:rsidR="00792DAD" w:rsidRPr="00ED6CC9">
        <w:rPr>
          <w:spacing w:val="2"/>
          <w:rtl/>
          <w:lang w:val="en-CA" w:bidi="ar-EG"/>
        </w:rPr>
        <w:t xml:space="preserve"> </w:t>
      </w:r>
      <w:r w:rsidR="00895C5E" w:rsidRPr="00ED6CC9">
        <w:rPr>
          <w:spacing w:val="2"/>
          <w:rtl/>
          <w:lang w:val="en-CA" w:bidi="ar-EG"/>
        </w:rPr>
        <w:t>ل</w:t>
      </w:r>
      <w:r w:rsidR="00792DAD" w:rsidRPr="00ED6CC9">
        <w:rPr>
          <w:spacing w:val="2"/>
          <w:rtl/>
          <w:lang w:val="en-CA" w:bidi="ar-EG"/>
        </w:rPr>
        <w:t xml:space="preserve">توظيف </w:t>
      </w:r>
      <w:r w:rsidR="00895C5E" w:rsidRPr="00ED6CC9">
        <w:rPr>
          <w:spacing w:val="2"/>
          <w:rtl/>
          <w:lang w:val="en-CA" w:bidi="ar-EG"/>
        </w:rPr>
        <w:t>ال</w:t>
      </w:r>
      <w:r w:rsidR="00792DAD" w:rsidRPr="00ED6CC9">
        <w:rPr>
          <w:spacing w:val="2"/>
          <w:rtl/>
          <w:lang w:val="en-CA" w:bidi="ar-EG"/>
        </w:rPr>
        <w:t xml:space="preserve">خبراء </w:t>
      </w:r>
      <w:r w:rsidR="00895C5E" w:rsidRPr="00ED6CC9">
        <w:rPr>
          <w:spacing w:val="2"/>
          <w:rtl/>
          <w:lang w:val="en-CA" w:bidi="ar-EG"/>
        </w:rPr>
        <w:t>ال</w:t>
      </w:r>
      <w:r w:rsidR="00792DAD" w:rsidRPr="00ED6CC9">
        <w:rPr>
          <w:spacing w:val="2"/>
          <w:rtl/>
          <w:lang w:val="en-CA" w:bidi="ar-EG"/>
        </w:rPr>
        <w:t>خارجيين (بموجب اتفاقات الخدمة الخاصة)</w:t>
      </w:r>
      <w:r w:rsidR="00792DAD" w:rsidRPr="00ED6CC9">
        <w:rPr>
          <w:spacing w:val="2"/>
          <w:rtl/>
          <w:lang w:bidi="ar-EG"/>
        </w:rPr>
        <w:t>. وفيما</w:t>
      </w:r>
      <w:r w:rsidR="00792DAD" w:rsidRPr="00ED6CC9">
        <w:rPr>
          <w:rFonts w:hint="eastAsia"/>
          <w:spacing w:val="2"/>
          <w:rtl/>
          <w:lang w:bidi="ar-EG"/>
        </w:rPr>
        <w:t> </w:t>
      </w:r>
      <w:r w:rsidR="00792DAD" w:rsidRPr="00ED6CC9">
        <w:rPr>
          <w:spacing w:val="2"/>
          <w:rtl/>
          <w:lang w:bidi="ar-EG"/>
        </w:rPr>
        <w:t xml:space="preserve">يتعلق بالتوصيات المقدمة </w:t>
      </w:r>
      <w:r w:rsidR="00A103B7" w:rsidRPr="00ED6CC9">
        <w:rPr>
          <w:spacing w:val="2"/>
          <w:rtl/>
          <w:lang w:bidi="ar-EG"/>
        </w:rPr>
        <w:t>سابقاً</w:t>
      </w:r>
      <w:r w:rsidR="00792DAD" w:rsidRPr="00ED6CC9">
        <w:rPr>
          <w:spacing w:val="2"/>
          <w:rtl/>
          <w:lang w:bidi="ar-EG"/>
        </w:rPr>
        <w:t>، فقد واظبت الإدارة على إبلاغ وحدة المراجعة الداخلية (و</w:t>
      </w:r>
      <w:r w:rsidR="00792DAD" w:rsidRPr="00ED6CC9">
        <w:rPr>
          <w:rtl/>
        </w:rPr>
        <w:t>اللجنة الاستشارية المستقلة للإدارة</w:t>
      </w:r>
      <w:r w:rsidR="00792DAD" w:rsidRPr="00ED6CC9">
        <w:rPr>
          <w:spacing w:val="2"/>
          <w:rtl/>
          <w:lang w:bidi="ar-EG"/>
        </w:rPr>
        <w:t>) بالتقدم المحرز بشأنها</w:t>
      </w:r>
      <w:r w:rsidR="002F5371" w:rsidRPr="00ED6CC9">
        <w:rPr>
          <w:spacing w:val="2"/>
          <w:rtl/>
          <w:lang w:bidi="ar-EG"/>
        </w:rPr>
        <w:t xml:space="preserve">، </w:t>
      </w:r>
      <w:r w:rsidR="00A103B7" w:rsidRPr="00ED6CC9">
        <w:rPr>
          <w:spacing w:val="2"/>
          <w:rtl/>
          <w:lang w:bidi="ar-EG"/>
        </w:rPr>
        <w:t xml:space="preserve">وعكف فريق العمل المعني بالضوابط الداخلية </w:t>
      </w:r>
      <w:r w:rsidR="002F5371" w:rsidRPr="00ED6CC9">
        <w:rPr>
          <w:spacing w:val="2"/>
          <w:rtl/>
          <w:lang w:bidi="ar-EG"/>
        </w:rPr>
        <w:t>برئاسة</w:t>
      </w:r>
      <w:r w:rsidR="00A103B7" w:rsidRPr="00ED6CC9">
        <w:rPr>
          <w:spacing w:val="2"/>
          <w:rtl/>
          <w:lang w:bidi="ar-EG"/>
        </w:rPr>
        <w:t xml:space="preserve"> مديرة مكتب تنمية الاتصالات </w:t>
      </w:r>
      <w:r w:rsidR="00A103B7" w:rsidRPr="00ED6CC9">
        <w:rPr>
          <w:spacing w:val="2"/>
          <w:lang w:bidi="ar-EG"/>
        </w:rPr>
        <w:t>(BDT)</w:t>
      </w:r>
      <w:r w:rsidR="00A103B7" w:rsidRPr="00ED6CC9">
        <w:rPr>
          <w:spacing w:val="2"/>
          <w:rtl/>
          <w:lang w:bidi="ar-EG"/>
        </w:rPr>
        <w:t xml:space="preserve"> على رصد تنفيذ</w:t>
      </w:r>
      <w:r w:rsidR="002F5371" w:rsidRPr="00ED6CC9">
        <w:rPr>
          <w:spacing w:val="2"/>
          <w:rtl/>
          <w:lang w:bidi="ar-EG"/>
        </w:rPr>
        <w:t>ها رصداً أكثف.</w:t>
      </w:r>
    </w:p>
    <w:p w14:paraId="768E8048" w14:textId="77777777" w:rsidR="00BB7213" w:rsidRDefault="00BB7213" w:rsidP="00BB7213">
      <w:pPr>
        <w:spacing w:before="600"/>
        <w:jc w:val="center"/>
        <w:rPr>
          <w:rtl/>
          <w:lang w:bidi="ar-EG"/>
        </w:rPr>
      </w:pPr>
      <w:r w:rsidRPr="00ED6CC9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B7213" w:rsidSect="006C3242">
      <w:headerReference w:type="default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3B54" w14:textId="77777777" w:rsidR="00CB6A9F" w:rsidRDefault="00CB6A9F" w:rsidP="006C3242">
      <w:pPr>
        <w:spacing w:before="0" w:line="240" w:lineRule="auto"/>
      </w:pPr>
      <w:r>
        <w:separator/>
      </w:r>
    </w:p>
  </w:endnote>
  <w:endnote w:type="continuationSeparator" w:id="0">
    <w:p w14:paraId="60BE76A3" w14:textId="77777777" w:rsidR="00CB6A9F" w:rsidRDefault="00CB6A9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CA50" w14:textId="595E053B" w:rsidR="006C3242" w:rsidRPr="00F81740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color w:val="D9D9D9" w:themeColor="background1" w:themeShade="D9"/>
        <w:sz w:val="16"/>
        <w:szCs w:val="16"/>
        <w:lang w:val="fr-FR"/>
      </w:rPr>
    </w:pPr>
    <w:r w:rsidRPr="00F81740">
      <w:rPr>
        <w:color w:val="D9D9D9" w:themeColor="background1" w:themeShade="D9"/>
        <w:sz w:val="16"/>
        <w:szCs w:val="16"/>
        <w:lang w:val="fr-FR"/>
      </w:rPr>
      <w:fldChar w:fldCharType="begin"/>
    </w:r>
    <w:r w:rsidRPr="00F81740">
      <w:rPr>
        <w:color w:val="D9D9D9" w:themeColor="background1" w:themeShade="D9"/>
        <w:sz w:val="16"/>
        <w:szCs w:val="16"/>
        <w:lang w:val="fr-FR"/>
      </w:rPr>
      <w:instrText xml:space="preserve"> FILENAME \p \* MERGEFORMAT </w:instrText>
    </w:r>
    <w:r w:rsidRPr="00F81740">
      <w:rPr>
        <w:color w:val="D9D9D9" w:themeColor="background1" w:themeShade="D9"/>
        <w:sz w:val="16"/>
        <w:szCs w:val="16"/>
        <w:lang w:val="fr-FR"/>
      </w:rPr>
      <w:fldChar w:fldCharType="separate"/>
    </w:r>
    <w:r w:rsidR="00AC67FD" w:rsidRPr="00F81740">
      <w:rPr>
        <w:noProof/>
        <w:color w:val="D9D9D9" w:themeColor="background1" w:themeShade="D9"/>
        <w:sz w:val="16"/>
        <w:szCs w:val="16"/>
        <w:lang w:val="fr-FR"/>
      </w:rPr>
      <w:t>P:\ARA\SG\CONSEIL\C21\000\044A.docx</w:t>
    </w:r>
    <w:r w:rsidRPr="00F81740">
      <w:rPr>
        <w:color w:val="D9D9D9" w:themeColor="background1" w:themeShade="D9"/>
        <w:sz w:val="16"/>
        <w:szCs w:val="16"/>
      </w:rPr>
      <w:fldChar w:fldCharType="end"/>
    </w:r>
    <w:r w:rsidRPr="00F81740">
      <w:rPr>
        <w:color w:val="D9D9D9" w:themeColor="background1" w:themeShade="D9"/>
        <w:sz w:val="16"/>
        <w:szCs w:val="16"/>
        <w:lang w:val="fr-CH"/>
      </w:rPr>
      <w:t xml:space="preserve">  </w:t>
    </w:r>
    <w:r w:rsidRPr="00F81740">
      <w:rPr>
        <w:color w:val="D9D9D9" w:themeColor="background1" w:themeShade="D9"/>
        <w:sz w:val="16"/>
        <w:szCs w:val="16"/>
        <w:lang w:val="fr-FR"/>
      </w:rPr>
      <w:t>(</w:t>
    </w:r>
    <w:r w:rsidR="00F93391" w:rsidRPr="00F81740">
      <w:rPr>
        <w:color w:val="D9D9D9" w:themeColor="background1" w:themeShade="D9"/>
        <w:sz w:val="16"/>
        <w:szCs w:val="16"/>
        <w:lang w:val="fr-FR"/>
      </w:rPr>
      <w:t>483240</w:t>
    </w:r>
    <w:r w:rsidRPr="00F81740">
      <w:rPr>
        <w:color w:val="D9D9D9" w:themeColor="background1" w:themeShade="D9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C99A" w14:textId="77777777" w:rsidR="006C3242" w:rsidRPr="005B1652" w:rsidRDefault="006C3242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E241" w14:textId="77777777" w:rsidR="00CB6A9F" w:rsidRDefault="00CB6A9F" w:rsidP="006C3242">
      <w:pPr>
        <w:spacing w:before="0" w:line="240" w:lineRule="auto"/>
      </w:pPr>
      <w:r>
        <w:separator/>
      </w:r>
    </w:p>
  </w:footnote>
  <w:footnote w:type="continuationSeparator" w:id="0">
    <w:p w14:paraId="69CDFA07" w14:textId="77777777" w:rsidR="00CB6A9F" w:rsidRDefault="00CB6A9F" w:rsidP="006C3242">
      <w:pPr>
        <w:spacing w:before="0" w:line="240" w:lineRule="auto"/>
      </w:pPr>
      <w:r>
        <w:continuationSeparator/>
      </w:r>
    </w:p>
  </w:footnote>
  <w:footnote w:id="1">
    <w:p w14:paraId="41284C3E" w14:textId="7671BB76" w:rsidR="00792DAD" w:rsidRDefault="00792DAD" w:rsidP="00792DAD">
      <w:pPr>
        <w:pStyle w:val="Footnotetexte"/>
      </w:pPr>
      <w:r>
        <w:rPr>
          <w:rStyle w:val="FootnoteReference"/>
        </w:rPr>
        <w:footnoteRef/>
      </w:r>
      <w:r>
        <w:rPr>
          <w:rtl/>
        </w:rPr>
        <w:tab/>
        <w:t>الأمر الإداري</w:t>
      </w:r>
      <w:r>
        <w:rPr>
          <w:rFonts w:hint="cs"/>
          <w:rtl/>
        </w:rPr>
        <w:t xml:space="preserve"> رقم</w:t>
      </w:r>
      <w:r>
        <w:rPr>
          <w:rtl/>
        </w:rPr>
        <w:t xml:space="preserve"> </w:t>
      </w:r>
      <w:r w:rsidR="00832A60">
        <w:t>13/09</w:t>
      </w:r>
      <w:r>
        <w:rPr>
          <w:rtl/>
        </w:rPr>
        <w:t xml:space="preserve">، </w:t>
      </w:r>
      <w:r>
        <w:rPr>
          <w:rFonts w:hint="cs"/>
          <w:rtl/>
        </w:rPr>
        <w:t>الصادر عن</w:t>
      </w:r>
      <w:r>
        <w:rPr>
          <w:rtl/>
        </w:rPr>
        <w:t xml:space="preserve"> الأمين العام في</w:t>
      </w:r>
      <w:r>
        <w:rPr>
          <w:rFonts w:hint="cs"/>
          <w:rtl/>
        </w:rPr>
        <w:t> </w:t>
      </w:r>
      <w:r>
        <w:t>27</w:t>
      </w:r>
      <w:r>
        <w:rPr>
          <w:rFonts w:hint="cs"/>
          <w:rtl/>
        </w:rPr>
        <w:t> </w:t>
      </w:r>
      <w:r>
        <w:rPr>
          <w:rtl/>
        </w:rPr>
        <w:t>يونيو</w:t>
      </w:r>
      <w:r>
        <w:rPr>
          <w:rFonts w:hint="cs"/>
          <w:rtl/>
        </w:rPr>
        <w:t> </w:t>
      </w:r>
      <w:r>
        <w:t>2013</w:t>
      </w:r>
    </w:p>
  </w:footnote>
  <w:footnote w:id="2">
    <w:p w14:paraId="4201B161" w14:textId="00FE105A" w:rsidR="00792DAD" w:rsidRDefault="00792DAD" w:rsidP="00792DAD">
      <w:pPr>
        <w:pStyle w:val="Footnotetexte"/>
        <w:rPr>
          <w:rtl/>
        </w:rPr>
      </w:pPr>
      <w:r>
        <w:rPr>
          <w:rStyle w:val="FootnoteReference"/>
        </w:rPr>
        <w:footnoteRef/>
      </w:r>
      <w:r>
        <w:tab/>
      </w:r>
      <w:r w:rsidRPr="001A27E6">
        <w:rPr>
          <w:rtl/>
        </w:rPr>
        <w:t xml:space="preserve">معهد مراجعي الحسابات الداخليين، </w:t>
      </w:r>
      <w:hyperlink r:id="rId1" w:history="1">
        <w:r w:rsidRPr="001A27E6">
          <w:rPr>
            <w:rStyle w:val="Hyperlink"/>
          </w:rPr>
          <w:t>www.theiia.org</w:t>
        </w:r>
      </w:hyperlink>
    </w:p>
  </w:footnote>
  <w:footnote w:id="3">
    <w:p w14:paraId="55FE9B52" w14:textId="718D0014" w:rsidR="00792DAD" w:rsidRDefault="00792DAD" w:rsidP="00792DAD">
      <w:pPr>
        <w:pStyle w:val="Footnotetexte"/>
      </w:pPr>
      <w:r>
        <w:rPr>
          <w:rStyle w:val="FootnoteReference"/>
        </w:rPr>
        <w:footnoteRef/>
      </w:r>
      <w:r>
        <w:rPr>
          <w:rtl/>
        </w:rPr>
        <w:tab/>
        <w:t xml:space="preserve">الأمر الإداري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 w:rsidR="00832A60">
        <w:t>13/09</w:t>
      </w:r>
      <w:r>
        <w:rPr>
          <w:rtl/>
        </w:rPr>
        <w:t xml:space="preserve">، الذي اعتمده الأمين العام في </w:t>
      </w:r>
      <w:r>
        <w:t>27</w:t>
      </w:r>
      <w:r>
        <w:rPr>
          <w:rFonts w:hint="cs"/>
          <w:rtl/>
        </w:rPr>
        <w:t> </w:t>
      </w:r>
      <w:r>
        <w:rPr>
          <w:rtl/>
        </w:rPr>
        <w:t>يونيو</w:t>
      </w:r>
      <w:r>
        <w:rPr>
          <w:rFonts w:hint="cs"/>
          <w:rtl/>
        </w:rPr>
        <w:t> </w:t>
      </w:r>
      <w:r>
        <w:t>2013</w:t>
      </w:r>
    </w:p>
  </w:footnote>
  <w:footnote w:id="4">
    <w:p w14:paraId="56CCC569" w14:textId="363ECBA7" w:rsidR="00017C85" w:rsidRDefault="00017C85" w:rsidP="00AC67FD">
      <w:pPr>
        <w:pStyle w:val="Footnotetexte"/>
        <w:rPr>
          <w:rtl/>
          <w:lang w:bidi="ar-EG"/>
        </w:rPr>
      </w:pPr>
      <w:r>
        <w:rPr>
          <w:rStyle w:val="FootnoteReference"/>
        </w:rPr>
        <w:footnoteRef/>
      </w:r>
      <w:r w:rsidR="00AC67FD">
        <w:rPr>
          <w:rtl/>
          <w:lang w:bidi="ar-EG"/>
        </w:rPr>
        <w:tab/>
      </w:r>
      <w:r w:rsidR="00AC67FD">
        <w:rPr>
          <w:lang w:bidi="ar-EG"/>
        </w:rPr>
        <w:t>2500. A1</w:t>
      </w:r>
      <w:r w:rsidR="00AC67FD">
        <w:rPr>
          <w:rFonts w:hint="cs"/>
          <w:rtl/>
          <w:lang w:bidi="ar-EG"/>
        </w:rPr>
        <w:t xml:space="preserve"> - </w:t>
      </w:r>
      <w:r w:rsidR="00AC67FD">
        <w:rPr>
          <w:rFonts w:hint="cs"/>
          <w:rtl/>
        </w:rPr>
        <w:t>يتعين</w:t>
      </w:r>
      <w:r w:rsidR="00AC67FD">
        <w:rPr>
          <w:rFonts w:hint="cs"/>
          <w:rtl/>
          <w:lang w:bidi="ar-EG"/>
        </w:rPr>
        <w:t xml:space="preserve"> على الرئيس التنفيذي لمراجعة الحسابات إنشاء عملية متابعة لرصد وضمان التنفيذ الفعلي للإجراءات التي اتخذها المديرون أو قبول الإدارة العليا مُخاطرة عدم اتخاذ إجراءات.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9C0F" w14:textId="25069A24" w:rsidR="00447F32" w:rsidRPr="00447F32" w:rsidRDefault="00F8174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</w:t>
        </w:r>
        <w:r w:rsidR="0026373E">
          <w:rPr>
            <w:rFonts w:cs="Calibri"/>
            <w:noProof/>
            <w:sz w:val="20"/>
            <w:szCs w:val="20"/>
          </w:rPr>
          <w:t>2</w:t>
        </w:r>
        <w:r w:rsidR="00C566BA">
          <w:rPr>
            <w:rFonts w:cs="Calibri"/>
            <w:noProof/>
            <w:sz w:val="20"/>
            <w:szCs w:val="20"/>
          </w:rPr>
          <w:t>1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D261F3">
          <w:rPr>
            <w:rFonts w:cs="Calibri"/>
            <w:noProof/>
            <w:sz w:val="20"/>
            <w:szCs w:val="20"/>
          </w:rPr>
          <w:t>44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AD"/>
    <w:rsid w:val="00017039"/>
    <w:rsid w:val="00017C85"/>
    <w:rsid w:val="00090574"/>
    <w:rsid w:val="000A160A"/>
    <w:rsid w:val="000C1C0E"/>
    <w:rsid w:val="000C548A"/>
    <w:rsid w:val="000D4FB8"/>
    <w:rsid w:val="00121973"/>
    <w:rsid w:val="00122072"/>
    <w:rsid w:val="00124C46"/>
    <w:rsid w:val="001251D7"/>
    <w:rsid w:val="00142F6B"/>
    <w:rsid w:val="0015650C"/>
    <w:rsid w:val="001B0A30"/>
    <w:rsid w:val="001B17E5"/>
    <w:rsid w:val="001C0169"/>
    <w:rsid w:val="001D1D50"/>
    <w:rsid w:val="001D6745"/>
    <w:rsid w:val="001E446E"/>
    <w:rsid w:val="002154EE"/>
    <w:rsid w:val="002276D2"/>
    <w:rsid w:val="00227F56"/>
    <w:rsid w:val="0023283D"/>
    <w:rsid w:val="0026373E"/>
    <w:rsid w:val="00271C43"/>
    <w:rsid w:val="00290728"/>
    <w:rsid w:val="002978F4"/>
    <w:rsid w:val="002B028D"/>
    <w:rsid w:val="002E6541"/>
    <w:rsid w:val="002F5371"/>
    <w:rsid w:val="002F71D8"/>
    <w:rsid w:val="00313E5F"/>
    <w:rsid w:val="003149FC"/>
    <w:rsid w:val="00334924"/>
    <w:rsid w:val="003409BC"/>
    <w:rsid w:val="00357185"/>
    <w:rsid w:val="003620E5"/>
    <w:rsid w:val="00380CCF"/>
    <w:rsid w:val="00383829"/>
    <w:rsid w:val="003C6B4F"/>
    <w:rsid w:val="003E30C9"/>
    <w:rsid w:val="003F4B29"/>
    <w:rsid w:val="003F531A"/>
    <w:rsid w:val="0042686F"/>
    <w:rsid w:val="004317D8"/>
    <w:rsid w:val="0043356C"/>
    <w:rsid w:val="00434183"/>
    <w:rsid w:val="00443869"/>
    <w:rsid w:val="00447F32"/>
    <w:rsid w:val="004668D7"/>
    <w:rsid w:val="004A2E84"/>
    <w:rsid w:val="004C0E35"/>
    <w:rsid w:val="004C7AE1"/>
    <w:rsid w:val="004D3457"/>
    <w:rsid w:val="004E11DC"/>
    <w:rsid w:val="004E1355"/>
    <w:rsid w:val="004E2006"/>
    <w:rsid w:val="00503F06"/>
    <w:rsid w:val="005409AC"/>
    <w:rsid w:val="00544402"/>
    <w:rsid w:val="00545124"/>
    <w:rsid w:val="0055516A"/>
    <w:rsid w:val="005600FE"/>
    <w:rsid w:val="00571F63"/>
    <w:rsid w:val="005805EA"/>
    <w:rsid w:val="00581CD5"/>
    <w:rsid w:val="0058491B"/>
    <w:rsid w:val="00592EA5"/>
    <w:rsid w:val="005A3170"/>
    <w:rsid w:val="005B1652"/>
    <w:rsid w:val="00603DDB"/>
    <w:rsid w:val="00614855"/>
    <w:rsid w:val="00625560"/>
    <w:rsid w:val="00625B8F"/>
    <w:rsid w:val="00633FC6"/>
    <w:rsid w:val="00640D8B"/>
    <w:rsid w:val="00677396"/>
    <w:rsid w:val="0069200F"/>
    <w:rsid w:val="006A65CB"/>
    <w:rsid w:val="006A793B"/>
    <w:rsid w:val="006C25B8"/>
    <w:rsid w:val="006C3242"/>
    <w:rsid w:val="006C7CC0"/>
    <w:rsid w:val="006F63F7"/>
    <w:rsid w:val="007025C7"/>
    <w:rsid w:val="00706D7A"/>
    <w:rsid w:val="00722F0D"/>
    <w:rsid w:val="00743832"/>
    <w:rsid w:val="0074420E"/>
    <w:rsid w:val="00783E26"/>
    <w:rsid w:val="00792DAD"/>
    <w:rsid w:val="007A7506"/>
    <w:rsid w:val="007C2793"/>
    <w:rsid w:val="007C3BC7"/>
    <w:rsid w:val="007C3BCD"/>
    <w:rsid w:val="007D4ACF"/>
    <w:rsid w:val="007E500D"/>
    <w:rsid w:val="007F0787"/>
    <w:rsid w:val="00810B7B"/>
    <w:rsid w:val="0082358A"/>
    <w:rsid w:val="008235CD"/>
    <w:rsid w:val="008247DE"/>
    <w:rsid w:val="0082604C"/>
    <w:rsid w:val="00832A60"/>
    <w:rsid w:val="00840B10"/>
    <w:rsid w:val="008513CB"/>
    <w:rsid w:val="008522AF"/>
    <w:rsid w:val="00872F9A"/>
    <w:rsid w:val="0087747E"/>
    <w:rsid w:val="00895C5E"/>
    <w:rsid w:val="008A7F84"/>
    <w:rsid w:val="008B24FF"/>
    <w:rsid w:val="008F3E62"/>
    <w:rsid w:val="0091702E"/>
    <w:rsid w:val="00923B0C"/>
    <w:rsid w:val="00924BF4"/>
    <w:rsid w:val="0094021C"/>
    <w:rsid w:val="00952F86"/>
    <w:rsid w:val="00973635"/>
    <w:rsid w:val="00982B28"/>
    <w:rsid w:val="009879B5"/>
    <w:rsid w:val="009A7366"/>
    <w:rsid w:val="009C4222"/>
    <w:rsid w:val="009C5064"/>
    <w:rsid w:val="009D313F"/>
    <w:rsid w:val="00A00D65"/>
    <w:rsid w:val="00A103B7"/>
    <w:rsid w:val="00A35E6C"/>
    <w:rsid w:val="00A47A5A"/>
    <w:rsid w:val="00A56CA4"/>
    <w:rsid w:val="00A6683B"/>
    <w:rsid w:val="00A763D7"/>
    <w:rsid w:val="00A865B1"/>
    <w:rsid w:val="00A94E37"/>
    <w:rsid w:val="00A97F94"/>
    <w:rsid w:val="00AC67FD"/>
    <w:rsid w:val="00AE56EC"/>
    <w:rsid w:val="00B03099"/>
    <w:rsid w:val="00B05BC8"/>
    <w:rsid w:val="00B30D55"/>
    <w:rsid w:val="00B534D4"/>
    <w:rsid w:val="00B6111C"/>
    <w:rsid w:val="00B64B47"/>
    <w:rsid w:val="00B74814"/>
    <w:rsid w:val="00BB7213"/>
    <w:rsid w:val="00BF368C"/>
    <w:rsid w:val="00C002DE"/>
    <w:rsid w:val="00C04485"/>
    <w:rsid w:val="00C53BF8"/>
    <w:rsid w:val="00C566BA"/>
    <w:rsid w:val="00C56B1C"/>
    <w:rsid w:val="00C66157"/>
    <w:rsid w:val="00C674FE"/>
    <w:rsid w:val="00C67501"/>
    <w:rsid w:val="00C67A87"/>
    <w:rsid w:val="00C75633"/>
    <w:rsid w:val="00CA1A08"/>
    <w:rsid w:val="00CB4929"/>
    <w:rsid w:val="00CB6A9F"/>
    <w:rsid w:val="00CD29E9"/>
    <w:rsid w:val="00CE2EE1"/>
    <w:rsid w:val="00CE3349"/>
    <w:rsid w:val="00CE36E5"/>
    <w:rsid w:val="00CF27F5"/>
    <w:rsid w:val="00CF3FFD"/>
    <w:rsid w:val="00D06996"/>
    <w:rsid w:val="00D10CCF"/>
    <w:rsid w:val="00D14B2A"/>
    <w:rsid w:val="00D1750F"/>
    <w:rsid w:val="00D261F3"/>
    <w:rsid w:val="00D37974"/>
    <w:rsid w:val="00D77D0F"/>
    <w:rsid w:val="00DA1CF0"/>
    <w:rsid w:val="00DB13A8"/>
    <w:rsid w:val="00DC1E02"/>
    <w:rsid w:val="00DC24B4"/>
    <w:rsid w:val="00DC441E"/>
    <w:rsid w:val="00DC5FB0"/>
    <w:rsid w:val="00DE1F7E"/>
    <w:rsid w:val="00DF16DC"/>
    <w:rsid w:val="00E0291D"/>
    <w:rsid w:val="00E21370"/>
    <w:rsid w:val="00E31E8C"/>
    <w:rsid w:val="00E45211"/>
    <w:rsid w:val="00E473C5"/>
    <w:rsid w:val="00E86E06"/>
    <w:rsid w:val="00E92863"/>
    <w:rsid w:val="00E959DA"/>
    <w:rsid w:val="00EB796D"/>
    <w:rsid w:val="00ED6CC9"/>
    <w:rsid w:val="00F058DC"/>
    <w:rsid w:val="00F119ED"/>
    <w:rsid w:val="00F24FC4"/>
    <w:rsid w:val="00F2676C"/>
    <w:rsid w:val="00F7296E"/>
    <w:rsid w:val="00F81740"/>
    <w:rsid w:val="00F83D33"/>
    <w:rsid w:val="00F84366"/>
    <w:rsid w:val="00F85089"/>
    <w:rsid w:val="00F93391"/>
    <w:rsid w:val="00F974C5"/>
    <w:rsid w:val="00FA6F46"/>
    <w:rsid w:val="00FE56F0"/>
    <w:rsid w:val="00FE5872"/>
    <w:rsid w:val="00FE5C31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C9A6A"/>
  <w15:chartTrackingRefBased/>
  <w15:docId w15:val="{B74C30CB-1BBD-4831-9300-BF0692D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2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2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5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5B8"/>
    <w:rPr>
      <w:rFonts w:ascii="Dubai" w:hAnsi="Dubai" w:cs="Duba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5B8"/>
    <w:rPr>
      <w:rFonts w:ascii="Dubai" w:hAnsi="Dubai" w:cs="Duba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9-CL-C-0130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S20-CL-C-008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Financial-Regulations/S-GEN-REG_RGTFIN-2018-PDF-A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halil\Desktop\Doc_TRAD\www.thei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CE6-4D13-42CF-9BE9-22CFC4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7688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Internal Auditor on internal audit activities</dc:title>
  <dc:subject>Council 2021, Virtual consultation of councillors</dc:subject>
  <dc:creator>Elbahnassawy, Ganat</dc:creator>
  <cp:keywords>C2021, C21, VCC, C21-VCC-1</cp:keywords>
  <dc:description/>
  <cp:lastModifiedBy>Brouard, Ricarda</cp:lastModifiedBy>
  <cp:revision>2</cp:revision>
  <dcterms:created xsi:type="dcterms:W3CDTF">2021-06-04T06:23:00Z</dcterms:created>
  <dcterms:modified xsi:type="dcterms:W3CDTF">2021-06-04T06:23:00Z</dcterms:modified>
  <cp:category>Conference document</cp:category>
</cp:coreProperties>
</file>