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5191CC23" w14:textId="77777777" w:rsidTr="006C7CC0">
        <w:trPr>
          <w:cantSplit/>
          <w:trHeight w:val="20"/>
        </w:trPr>
        <w:tc>
          <w:tcPr>
            <w:tcW w:w="6620" w:type="dxa"/>
          </w:tcPr>
          <w:p w14:paraId="2D3CA7F9" w14:textId="42F9E2D9" w:rsidR="00290728" w:rsidRPr="00290728" w:rsidRDefault="00DE5073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0B04C8A3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FBE0278" wp14:editId="7771857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2069D863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1513A06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42BD3D2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03CEF8A4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179F112E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C62C290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6E409CB7" w14:textId="77777777" w:rsidTr="009F66A8">
        <w:trPr>
          <w:cantSplit/>
        </w:trPr>
        <w:tc>
          <w:tcPr>
            <w:tcW w:w="6620" w:type="dxa"/>
            <w:vMerge w:val="restart"/>
          </w:tcPr>
          <w:p w14:paraId="51499E71" w14:textId="03865668" w:rsidR="005805EA" w:rsidRPr="00DE5073" w:rsidRDefault="0015650C" w:rsidP="00DE5073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E5073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DE5073">
              <w:rPr>
                <w:b/>
                <w:bCs/>
                <w:lang w:bidi="ar-EG"/>
              </w:rPr>
              <w:t>ADM </w:t>
            </w:r>
            <w:r w:rsidR="00DE5073" w:rsidRPr="00DE5073">
              <w:rPr>
                <w:b/>
                <w:bCs/>
                <w:lang w:val="en-GB" w:bidi="ar-EG"/>
              </w:rPr>
              <w:t>11</w:t>
            </w:r>
          </w:p>
        </w:tc>
        <w:tc>
          <w:tcPr>
            <w:tcW w:w="3052" w:type="dxa"/>
            <w:vAlign w:val="center"/>
          </w:tcPr>
          <w:p w14:paraId="105028F9" w14:textId="4BF0A6C1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D1327C">
              <w:rPr>
                <w:b/>
                <w:bCs/>
                <w:lang w:bidi="ar-SY"/>
              </w:rPr>
              <w:t>39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578B9C6E" w14:textId="77777777" w:rsidTr="009F66A8">
        <w:trPr>
          <w:cantSplit/>
        </w:trPr>
        <w:tc>
          <w:tcPr>
            <w:tcW w:w="6620" w:type="dxa"/>
            <w:vMerge/>
          </w:tcPr>
          <w:p w14:paraId="3FC90487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DBF8630" w14:textId="7B9903D7" w:rsidR="0015650C" w:rsidRPr="002F71D8" w:rsidRDefault="00D1327C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28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4867B3EC" w14:textId="77777777" w:rsidTr="009F66A8">
        <w:trPr>
          <w:cantSplit/>
        </w:trPr>
        <w:tc>
          <w:tcPr>
            <w:tcW w:w="6620" w:type="dxa"/>
            <w:vMerge/>
          </w:tcPr>
          <w:p w14:paraId="21FCFC42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16630B8" w14:textId="77777777" w:rsidR="0015650C" w:rsidRPr="00D1327C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D1327C">
              <w:rPr>
                <w:b/>
                <w:bCs/>
                <w:rtl/>
                <w:lang w:bidi="ar-EG"/>
              </w:rPr>
              <w:t xml:space="preserve">الأصل: </w:t>
            </w:r>
            <w:r w:rsidRPr="00D1327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193E0C39" w14:textId="77777777" w:rsidTr="009F66A8">
        <w:trPr>
          <w:cantSplit/>
        </w:trPr>
        <w:tc>
          <w:tcPr>
            <w:tcW w:w="9672" w:type="dxa"/>
            <w:gridSpan w:val="2"/>
          </w:tcPr>
          <w:p w14:paraId="4D6E3D9A" w14:textId="7D579B2A" w:rsidR="00290728" w:rsidRPr="00290728" w:rsidRDefault="00002612" w:rsidP="00002612">
            <w:pPr>
              <w:pStyle w:val="Source"/>
              <w:rPr>
                <w:rtl/>
                <w:lang w:bidi="ar-EG"/>
              </w:rPr>
            </w:pPr>
            <w:r w:rsidRPr="00002612"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290728" w14:paraId="2E95831C" w14:textId="77777777" w:rsidTr="009F66A8">
        <w:trPr>
          <w:cantSplit/>
        </w:trPr>
        <w:tc>
          <w:tcPr>
            <w:tcW w:w="9672" w:type="dxa"/>
            <w:gridSpan w:val="2"/>
          </w:tcPr>
          <w:p w14:paraId="7C67A0EC" w14:textId="411771D6" w:rsidR="00290728" w:rsidRPr="00383829" w:rsidRDefault="00002612" w:rsidP="00002612">
            <w:pPr>
              <w:pStyle w:val="Title1"/>
              <w:rPr>
                <w:rtl/>
              </w:rPr>
            </w:pPr>
            <w:r w:rsidRPr="00002612">
              <w:rPr>
                <w:rFonts w:hint="cs"/>
                <w:rtl/>
              </w:rPr>
              <w:t>طلبات الإعفاء من أي مساهمة مالية في تحمل النفقات</w:t>
            </w:r>
            <w:r w:rsidRPr="00002612">
              <w:rPr>
                <w:rFonts w:hint="cs"/>
                <w:rtl/>
              </w:rPr>
              <w:br/>
              <w:t>المتصلة بالمشاركة في أعمال الاتحاد الدولي للاتصالات</w:t>
            </w:r>
          </w:p>
        </w:tc>
      </w:tr>
      <w:tr w:rsidR="00DC5FB0" w:rsidRPr="00290728" w14:paraId="263928C5" w14:textId="77777777" w:rsidTr="009F66A8">
        <w:trPr>
          <w:cantSplit/>
        </w:trPr>
        <w:tc>
          <w:tcPr>
            <w:tcW w:w="9672" w:type="dxa"/>
            <w:gridSpan w:val="2"/>
          </w:tcPr>
          <w:p w14:paraId="38D388F0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79DDCF46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342801EE" w14:textId="77777777" w:rsidTr="00952F86">
        <w:trPr>
          <w:jc w:val="center"/>
        </w:trPr>
        <w:tc>
          <w:tcPr>
            <w:tcW w:w="8080" w:type="dxa"/>
          </w:tcPr>
          <w:p w14:paraId="4D65BC18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52EDD4BC" w14:textId="07FB580D" w:rsidR="00290728" w:rsidRDefault="00002612" w:rsidP="00002612">
            <w:pPr>
              <w:rPr>
                <w:rtl/>
                <w:lang w:bidi="ar-SY"/>
              </w:rPr>
            </w:pPr>
            <w:r w:rsidRPr="00002612">
              <w:rPr>
                <w:rFonts w:hint="cs"/>
                <w:rtl/>
                <w:lang w:bidi="ar-EG"/>
              </w:rPr>
              <w:t xml:space="preserve">وردت طلبات للإعفاء من تقديم مساهمات مالية من </w:t>
            </w:r>
            <w:r w:rsidR="00914159">
              <w:rPr>
                <w:rFonts w:hint="cs"/>
                <w:rtl/>
                <w:lang w:bidi="ar-EG"/>
              </w:rPr>
              <w:t>خمس</w:t>
            </w:r>
            <w:r w:rsidRPr="00002612">
              <w:rPr>
                <w:rFonts w:hint="cs"/>
                <w:rtl/>
                <w:lang w:bidi="ar-EG"/>
              </w:rPr>
              <w:t xml:space="preserve"> منظمات ذات طابع إقليمي أو دولي</w:t>
            </w:r>
            <w:r w:rsidRPr="00002612">
              <w:rPr>
                <w:rtl/>
                <w:lang w:bidi="ar-SY"/>
              </w:rPr>
              <w:t>.</w:t>
            </w:r>
            <w:r w:rsidRPr="00002612">
              <w:rPr>
                <w:rFonts w:hint="cs"/>
                <w:rtl/>
                <w:lang w:bidi="ar-EG"/>
              </w:rPr>
              <w:t xml:space="preserve"> وتقضي المبادئ التوجيهية ذات الصلة بأن يأخذ المجلس في الاعتبار آراء الأمين العام فيما يتعلق بالمزايا المتبادلة لمشاركة هذه المنظمات في أنشطة الاتحاد</w:t>
            </w:r>
            <w:r w:rsidR="008609E4">
              <w:rPr>
                <w:rFonts w:hint="cs"/>
                <w:rtl/>
                <w:lang w:bidi="ar-EG"/>
              </w:rPr>
              <w:t xml:space="preserve"> الدولي للاتصالات </w:t>
            </w:r>
            <w:r w:rsidR="008609E4">
              <w:rPr>
                <w:lang w:bidi="ar-EG"/>
              </w:rPr>
              <w:t>(ITU)</w:t>
            </w:r>
            <w:r w:rsidRPr="00002612">
              <w:rPr>
                <w:rFonts w:hint="cs"/>
                <w:rtl/>
                <w:lang w:bidi="ar-EG"/>
              </w:rPr>
              <w:t>.</w:t>
            </w:r>
          </w:p>
          <w:p w14:paraId="09071F58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714A2DC9" w14:textId="08D46412" w:rsidR="00290728" w:rsidRDefault="00002612" w:rsidP="00002612">
            <w:pPr>
              <w:rPr>
                <w:rtl/>
                <w:lang w:bidi="ar-SY"/>
              </w:rPr>
            </w:pPr>
            <w:r w:rsidRPr="00002612">
              <w:rPr>
                <w:rtl/>
                <w:lang w:bidi="ar-SY"/>
              </w:rPr>
              <w:t xml:space="preserve">يُدعى المجلس إلى </w:t>
            </w:r>
            <w:r w:rsidRPr="00002612">
              <w:rPr>
                <w:b/>
                <w:bCs/>
                <w:rtl/>
                <w:lang w:bidi="ar-SY"/>
              </w:rPr>
              <w:t>النظر</w:t>
            </w:r>
            <w:r w:rsidRPr="00002612">
              <w:rPr>
                <w:rtl/>
                <w:lang w:bidi="ar-SY"/>
              </w:rPr>
              <w:t xml:space="preserve"> في طلبات القبول كأعضاء في القطاعات معفيين من المساهمة المالية، وإلى</w:t>
            </w:r>
            <w:r w:rsidRPr="00002612">
              <w:rPr>
                <w:rFonts w:hint="cs"/>
                <w:rtl/>
                <w:lang w:bidi="ar-SY"/>
              </w:rPr>
              <w:t> </w:t>
            </w:r>
            <w:r w:rsidRPr="00002612">
              <w:rPr>
                <w:b/>
                <w:bCs/>
                <w:rtl/>
                <w:lang w:bidi="ar-SY"/>
              </w:rPr>
              <w:t>الموافقة</w:t>
            </w:r>
            <w:r w:rsidRPr="00002612">
              <w:rPr>
                <w:rtl/>
                <w:lang w:bidi="ar-SY"/>
              </w:rPr>
              <w:t xml:space="preserve"> على توصيات الأمين العام.</w:t>
            </w:r>
          </w:p>
          <w:p w14:paraId="45CB6869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444BCD80" w14:textId="77777777" w:rsidR="009952A8" w:rsidRDefault="00290728" w:rsidP="009952A8">
            <w:pPr>
              <w:rPr>
                <w:rtl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45D5BFB3" w14:textId="2D817969" w:rsidR="00290728" w:rsidRPr="006D12DB" w:rsidRDefault="00BC2D08" w:rsidP="009952A8">
            <w:pPr>
              <w:rPr>
                <w:i/>
                <w:iCs/>
                <w:rtl/>
                <w:lang w:bidi="ar-SY"/>
              </w:rPr>
            </w:pPr>
            <w:hyperlink r:id="rId9" w:anchor="cv231" w:history="1">
              <w:r w:rsidR="009952A8" w:rsidRPr="006D12DB">
                <w:rPr>
                  <w:rStyle w:val="Hyperlink"/>
                  <w:rFonts w:hint="cs"/>
                  <w:i/>
                  <w:iCs/>
                  <w:rtl/>
                </w:rPr>
                <w:t xml:space="preserve">الرقم </w:t>
              </w:r>
              <w:r w:rsidR="009952A8" w:rsidRPr="006D12DB">
                <w:rPr>
                  <w:rStyle w:val="Hyperlink"/>
                  <w:i/>
                  <w:iCs/>
                </w:rPr>
                <w:t>231</w:t>
              </w:r>
              <w:r w:rsidR="009952A8" w:rsidRPr="006D12DB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من اتفاقية الاتحاد</w:t>
              </w:r>
            </w:hyperlink>
            <w:r w:rsidR="002D4379" w:rsidRPr="006D12DB">
              <w:rPr>
                <w:rFonts w:hint="cs"/>
                <w:i/>
                <w:iCs/>
                <w:rtl/>
                <w:lang w:bidi="ar-SY"/>
              </w:rPr>
              <w:t>،</w:t>
            </w:r>
            <w:r w:rsidR="009952A8" w:rsidRPr="006D12DB">
              <w:rPr>
                <w:rFonts w:hint="cs"/>
                <w:i/>
                <w:iCs/>
                <w:rtl/>
                <w:lang w:bidi="ar-SY"/>
              </w:rPr>
              <w:t xml:space="preserve"> الوثيقة</w:t>
            </w:r>
            <w:r w:rsidR="002D4379" w:rsidRPr="006D12DB">
              <w:rPr>
                <w:rFonts w:hint="cs"/>
                <w:i/>
                <w:iCs/>
                <w:rtl/>
                <w:lang w:bidi="ar-SY"/>
              </w:rPr>
              <w:t xml:space="preserve"> </w:t>
            </w:r>
            <w:hyperlink r:id="rId10" w:tgtFrame="_blank" w:history="1">
              <w:r w:rsidR="002D4379" w:rsidRPr="006D12DB">
                <w:rPr>
                  <w:rStyle w:val="Hyperlink"/>
                  <w:i/>
                  <w:iCs/>
                  <w:lang w:val="en-GB" w:bidi="ar-SY"/>
                </w:rPr>
                <w:t>C2000/28(Rev.1)</w:t>
              </w:r>
            </w:hyperlink>
          </w:p>
        </w:tc>
      </w:tr>
    </w:tbl>
    <w:p w14:paraId="7DDEE15F" w14:textId="77777777" w:rsidR="004E11DC" w:rsidRPr="00F974C5" w:rsidRDefault="004E11DC" w:rsidP="0026373E">
      <w:pPr>
        <w:rPr>
          <w:rtl/>
        </w:rPr>
      </w:pPr>
    </w:p>
    <w:p w14:paraId="3B5330A4" w14:textId="77777777" w:rsidR="00002612" w:rsidRPr="00002612" w:rsidRDefault="00002612" w:rsidP="00002612">
      <w:pPr>
        <w:pStyle w:val="Headingb"/>
        <w:rPr>
          <w:rtl/>
          <w:lang w:bidi="ar-EG"/>
        </w:rPr>
      </w:pPr>
      <w:r w:rsidRPr="00002612">
        <w:rPr>
          <w:rFonts w:hint="cs"/>
          <w:rtl/>
        </w:rPr>
        <w:t>خلفية</w:t>
      </w:r>
    </w:p>
    <w:p w14:paraId="128BA674" w14:textId="77777777" w:rsidR="00914159" w:rsidRPr="005C6613" w:rsidRDefault="00914159" w:rsidP="00914159">
      <w:pPr>
        <w:rPr>
          <w:rtl/>
          <w:lang w:val="en-CA" w:bidi="ar-EG"/>
        </w:rPr>
      </w:pPr>
      <w:r w:rsidRPr="005C6613">
        <w:t>1.1</w:t>
      </w:r>
      <w:r w:rsidRPr="005C6613">
        <w:rPr>
          <w:rFonts w:hint="cs"/>
          <w:rtl/>
          <w:lang w:bidi="ar-SY"/>
        </w:rPr>
        <w:tab/>
        <w:t xml:space="preserve">اعتمد المجلس في دورته لعام </w:t>
      </w:r>
      <w:r w:rsidRPr="005C6613">
        <w:t>2000</w:t>
      </w:r>
      <w:r w:rsidRPr="005C6613">
        <w:rPr>
          <w:rFonts w:hint="cs"/>
          <w:rtl/>
          <w:lang w:bidi="ar-SY"/>
        </w:rPr>
        <w:t xml:space="preserve"> المعايير والمبادئ التوجيهية التي تنظم منح الإعفاءات بشرط "المعاملة</w:t>
      </w:r>
      <w:r w:rsidRPr="005C6613">
        <w:rPr>
          <w:rFonts w:hint="eastAsia"/>
          <w:rtl/>
          <w:lang w:bidi="ar-SY"/>
        </w:rPr>
        <w:t> </w:t>
      </w:r>
      <w:r w:rsidRPr="005C6613">
        <w:rPr>
          <w:rFonts w:hint="cs"/>
          <w:rtl/>
          <w:lang w:bidi="ar-SY"/>
        </w:rPr>
        <w:t>بالمثل" (الوثيقة</w:t>
      </w:r>
      <w:r w:rsidRPr="005C6613">
        <w:rPr>
          <w:rFonts w:hint="eastAsia"/>
          <w:rtl/>
        </w:rPr>
        <w:t> </w:t>
      </w:r>
      <w:hyperlink r:id="rId11" w:history="1">
        <w:r w:rsidRPr="005C6613">
          <w:rPr>
            <w:rStyle w:val="Hyperlink"/>
          </w:rPr>
          <w:t>C2000/28(Rev.1)</w:t>
        </w:r>
      </w:hyperlink>
      <w:r w:rsidRPr="005C6613">
        <w:rPr>
          <w:rFonts w:hint="cs"/>
          <w:rtl/>
          <w:lang w:bidi="ar-SY"/>
        </w:rPr>
        <w:t xml:space="preserve">). واستعرض المجلس هذه المعايير ونقحها في عام </w:t>
      </w:r>
      <w:r w:rsidRPr="005C6613">
        <w:rPr>
          <w:lang w:val="en-CA" w:bidi="ar-SY"/>
        </w:rPr>
        <w:t>2017</w:t>
      </w:r>
      <w:r w:rsidRPr="005C6613">
        <w:rPr>
          <w:rFonts w:hint="cs"/>
          <w:rtl/>
          <w:lang w:val="en-CA" w:bidi="ar-EG"/>
        </w:rPr>
        <w:t xml:space="preserve">. والمعايير متاحة </w:t>
      </w:r>
      <w:hyperlink r:id="rId12" w:history="1">
        <w:r w:rsidRPr="005C6613">
          <w:rPr>
            <w:rStyle w:val="Hyperlink"/>
            <w:rFonts w:hint="cs"/>
            <w:rtl/>
            <w:lang w:val="en-CA" w:bidi="ar-EG"/>
          </w:rPr>
          <w:t>هنا</w:t>
        </w:r>
      </w:hyperlink>
      <w:r w:rsidRPr="005C6613">
        <w:rPr>
          <w:rFonts w:hint="cs"/>
          <w:rtl/>
          <w:lang w:val="en-CA" w:bidi="ar-EG"/>
        </w:rPr>
        <w:t>.</w:t>
      </w:r>
    </w:p>
    <w:p w14:paraId="127D72E8" w14:textId="24B2F3B2" w:rsidR="00914159" w:rsidRPr="00BF491D" w:rsidRDefault="00914159" w:rsidP="00914159">
      <w:pPr>
        <w:rPr>
          <w:spacing w:val="4"/>
          <w:rtl/>
          <w:lang w:bidi="ar-EG"/>
        </w:rPr>
      </w:pPr>
      <w:r>
        <w:rPr>
          <w:spacing w:val="4"/>
          <w:lang w:val="en-CA"/>
        </w:rPr>
        <w:t>2.1</w:t>
      </w:r>
      <w:r>
        <w:rPr>
          <w:spacing w:val="4"/>
          <w:rtl/>
          <w:lang w:val="en-CA" w:bidi="ar-EG"/>
        </w:rPr>
        <w:tab/>
      </w:r>
      <w:r>
        <w:rPr>
          <w:rFonts w:hint="cs"/>
          <w:spacing w:val="4"/>
          <w:rtl/>
        </w:rPr>
        <w:t xml:space="preserve">ويمنح المجلس </w:t>
      </w:r>
      <w:r w:rsidRPr="00BF491D">
        <w:rPr>
          <w:rFonts w:hint="cs"/>
          <w:spacing w:val="4"/>
          <w:rtl/>
        </w:rPr>
        <w:t>إعفاء</w:t>
      </w:r>
      <w:r>
        <w:rPr>
          <w:rFonts w:hint="cs"/>
          <w:spacing w:val="4"/>
          <w:rtl/>
        </w:rPr>
        <w:t>ً</w:t>
      </w:r>
      <w:r w:rsidRPr="00BF491D">
        <w:rPr>
          <w:rFonts w:hint="cs"/>
          <w:spacing w:val="4"/>
          <w:rtl/>
        </w:rPr>
        <w:t xml:space="preserve"> من الرسوم بناءً على تحليل </w:t>
      </w:r>
      <w:r>
        <w:rPr>
          <w:rFonts w:hint="cs"/>
          <w:spacing w:val="4"/>
          <w:rtl/>
        </w:rPr>
        <w:t>تجريه المكاتب</w:t>
      </w:r>
      <w:r w:rsidRPr="00BF491D">
        <w:rPr>
          <w:rFonts w:hint="cs"/>
          <w:spacing w:val="4"/>
          <w:rtl/>
        </w:rPr>
        <w:t xml:space="preserve"> المعنية وتوصية من الأمين العام</w:t>
      </w:r>
      <w:r>
        <w:rPr>
          <w:rFonts w:hint="cs"/>
          <w:spacing w:val="4"/>
          <w:rtl/>
        </w:rPr>
        <w:t>.</w:t>
      </w:r>
      <w:r w:rsidRPr="00BF491D">
        <w:rPr>
          <w:rFonts w:hint="cs"/>
          <w:spacing w:val="4"/>
          <w:rtl/>
        </w:rPr>
        <w:t xml:space="preserve"> </w:t>
      </w:r>
      <w:r w:rsidRPr="00BF491D">
        <w:rPr>
          <w:rFonts w:hint="cs"/>
          <w:spacing w:val="4"/>
          <w:rtl/>
          <w:lang w:bidi="ar-JO"/>
        </w:rPr>
        <w:t>و</w:t>
      </w:r>
      <w:r w:rsidR="00594BF4">
        <w:rPr>
          <w:rFonts w:hint="cs"/>
          <w:spacing w:val="4"/>
          <w:rtl/>
          <w:lang w:bidi="ar-JO"/>
        </w:rPr>
        <w:t>ي</w:t>
      </w:r>
      <w:r w:rsidRPr="00BF491D">
        <w:rPr>
          <w:rFonts w:hint="cs"/>
          <w:spacing w:val="4"/>
          <w:rtl/>
          <w:lang w:bidi="ar-JO"/>
        </w:rPr>
        <w:t xml:space="preserve">تمثل أهم المعايير في وجوب أن يكون الكيان المعني منظمة إقليمية أو دولية </w:t>
      </w:r>
      <w:r>
        <w:rPr>
          <w:rFonts w:hint="cs"/>
          <w:spacing w:val="4"/>
          <w:rtl/>
          <w:lang w:bidi="ar-JO"/>
        </w:rPr>
        <w:t>معترفاً بها دولياً وغير ربحية و</w:t>
      </w:r>
      <w:r w:rsidRPr="00BF491D">
        <w:rPr>
          <w:rFonts w:hint="cs"/>
          <w:spacing w:val="4"/>
          <w:rtl/>
        </w:rPr>
        <w:t>تهتم بالاتصالات/تكنولوجيا المعلومات والاتصالات،</w:t>
      </w:r>
      <w:r w:rsidRPr="00BF491D">
        <w:rPr>
          <w:rFonts w:hint="cs"/>
          <w:spacing w:val="4"/>
          <w:rtl/>
          <w:lang w:bidi="ar-JO"/>
        </w:rPr>
        <w:t xml:space="preserve"> ولا</w:t>
      </w:r>
      <w:r w:rsidRPr="00BF491D">
        <w:rPr>
          <w:rFonts w:hint="eastAsia"/>
          <w:spacing w:val="4"/>
          <w:rtl/>
          <w:lang w:bidi="ar-JO"/>
        </w:rPr>
        <w:t> </w:t>
      </w:r>
      <w:r>
        <w:rPr>
          <w:rFonts w:hint="cs"/>
          <w:spacing w:val="4"/>
          <w:rtl/>
          <w:lang w:bidi="ar-JO"/>
        </w:rPr>
        <w:t>يسعى أعضاؤها إلى تحقيق</w:t>
      </w:r>
      <w:r w:rsidRPr="00BF491D">
        <w:rPr>
          <w:rFonts w:hint="cs"/>
          <w:spacing w:val="4"/>
          <w:rtl/>
          <w:lang w:bidi="ar-JO"/>
        </w:rPr>
        <w:t xml:space="preserve"> الربح، </w:t>
      </w:r>
      <w:r>
        <w:rPr>
          <w:rFonts w:hint="cs"/>
          <w:spacing w:val="4"/>
          <w:rtl/>
          <w:lang w:bidi="ar-JO"/>
        </w:rPr>
        <w:t xml:space="preserve">وتمارس أنشطة في بلدان متعددة </w:t>
      </w:r>
      <w:r w:rsidRPr="00BF491D">
        <w:rPr>
          <w:rFonts w:hint="cs"/>
          <w:spacing w:val="4"/>
          <w:rtl/>
          <w:lang w:bidi="ar-JO"/>
        </w:rPr>
        <w:t>وتتبادل المنافع مع الاتحاد الدولي للاتصالات</w:t>
      </w:r>
      <w:r>
        <w:rPr>
          <w:rFonts w:hint="cs"/>
          <w:spacing w:val="4"/>
          <w:rtl/>
        </w:rPr>
        <w:t>.</w:t>
      </w:r>
      <w:r w:rsidRPr="00BF491D">
        <w:rPr>
          <w:rFonts w:hint="cs"/>
          <w:spacing w:val="4"/>
          <w:rtl/>
        </w:rPr>
        <w:t xml:space="preserve"> وإذا تم قبول هذه المنظمات، تصبح من أعضاء القطاعات أو من المنتسبين بموجب </w:t>
      </w:r>
      <w:r>
        <w:rPr>
          <w:rFonts w:hint="cs"/>
          <w:spacing w:val="4"/>
          <w:rtl/>
          <w:lang w:bidi="ar-EG"/>
        </w:rPr>
        <w:t xml:space="preserve">شروط </w:t>
      </w:r>
      <w:r w:rsidRPr="00BF491D">
        <w:rPr>
          <w:rFonts w:hint="cs"/>
          <w:spacing w:val="4"/>
          <w:rtl/>
        </w:rPr>
        <w:t xml:space="preserve">الرقم </w:t>
      </w:r>
      <w:r w:rsidRPr="00BF491D">
        <w:rPr>
          <w:spacing w:val="4"/>
        </w:rPr>
        <w:t>231</w:t>
      </w:r>
      <w:r w:rsidRPr="00BF491D">
        <w:rPr>
          <w:rFonts w:hint="cs"/>
          <w:spacing w:val="4"/>
          <w:rtl/>
          <w:lang w:bidi="ar-SY"/>
        </w:rPr>
        <w:t xml:space="preserve"> من </w:t>
      </w:r>
      <w:r w:rsidR="002D08F6">
        <w:rPr>
          <w:rFonts w:hint="cs"/>
          <w:spacing w:val="4"/>
          <w:rtl/>
          <w:lang w:bidi="ar-SY"/>
        </w:rPr>
        <w:t>الاتفاقية</w:t>
      </w:r>
      <w:r>
        <w:rPr>
          <w:rFonts w:hint="cs"/>
          <w:spacing w:val="4"/>
          <w:rtl/>
          <w:lang w:bidi="ar-SY"/>
        </w:rPr>
        <w:t>.</w:t>
      </w:r>
    </w:p>
    <w:p w14:paraId="71ADDBAF" w14:textId="40CA7503" w:rsidR="00914159" w:rsidRDefault="00DD7E9A" w:rsidP="00580CF9">
      <w:pPr>
        <w:pStyle w:val="Headingb"/>
        <w:keepLines/>
        <w:rPr>
          <w:rtl/>
        </w:rPr>
      </w:pPr>
      <w:r>
        <w:rPr>
          <w:rFonts w:hint="cs"/>
          <w:rtl/>
          <w:lang w:bidi="ar-EG"/>
        </w:rPr>
        <w:lastRenderedPageBreak/>
        <w:t>الطلبات و</w:t>
      </w:r>
      <w:r w:rsidR="00914159" w:rsidRPr="00682D11">
        <w:rPr>
          <w:rFonts w:hint="cs"/>
          <w:rtl/>
        </w:rPr>
        <w:t>التوصيات</w:t>
      </w:r>
    </w:p>
    <w:p w14:paraId="35D1CBA0" w14:textId="387EAD05" w:rsidR="00914159" w:rsidRPr="00682D11" w:rsidRDefault="00914159" w:rsidP="00580CF9">
      <w:pPr>
        <w:keepNext/>
        <w:keepLines/>
        <w:rPr>
          <w:rtl/>
          <w:lang w:bidi="ar-SY"/>
        </w:rPr>
      </w:pPr>
      <w:r>
        <w:t>2</w:t>
      </w:r>
      <w:r>
        <w:rPr>
          <w:rtl/>
          <w:lang w:bidi="ar-EG"/>
        </w:rPr>
        <w:tab/>
      </w:r>
      <w:r w:rsidRPr="00F61D7B">
        <w:rPr>
          <w:rFonts w:hint="cs"/>
          <w:rtl/>
          <w:lang w:bidi="ar-SY"/>
        </w:rPr>
        <w:t xml:space="preserve">وردت الطلبات التالية وتُقدَّم </w:t>
      </w:r>
      <w:r w:rsidR="00DD7E9A">
        <w:rPr>
          <w:rFonts w:hint="cs"/>
          <w:rtl/>
          <w:lang w:bidi="ar-SY"/>
        </w:rPr>
        <w:t xml:space="preserve">لتُتخذ بشأنها </w:t>
      </w:r>
      <w:r w:rsidR="00DD7E9A">
        <w:rPr>
          <w:rFonts w:hint="cs"/>
          <w:rtl/>
          <w:lang w:bidi="ar-EG"/>
        </w:rPr>
        <w:t>الإجراءات المناسبة</w:t>
      </w:r>
      <w:r w:rsidRPr="00F61D7B">
        <w:rPr>
          <w:rFonts w:hint="cs"/>
          <w:rtl/>
          <w:lang w:bidi="ar-SY"/>
        </w:rPr>
        <w:t>:</w:t>
      </w:r>
    </w:p>
    <w:p w14:paraId="4C7D8720" w14:textId="77777777" w:rsidR="00914159" w:rsidRPr="00682D11" w:rsidRDefault="00914159" w:rsidP="00914159">
      <w:pPr>
        <w:keepNext/>
        <w:keepLines/>
        <w:spacing w:after="120"/>
        <w:rPr>
          <w:rtl/>
        </w:rPr>
      </w:pPr>
      <w:r w:rsidRPr="00682D11">
        <w:t>1</w:t>
      </w:r>
      <w:r>
        <w:t>.2</w:t>
      </w:r>
      <w:r>
        <w:rPr>
          <w:rFonts w:hint="cs"/>
          <w:rtl/>
        </w:rPr>
        <w:t> </w:t>
      </w:r>
    </w:p>
    <w:tbl>
      <w:tblPr>
        <w:bidiVisual/>
        <w:tblW w:w="77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4"/>
        <w:gridCol w:w="2257"/>
        <w:gridCol w:w="1893"/>
      </w:tblGrid>
      <w:tr w:rsidR="00FA05D3" w:rsidRPr="00AF2032" w14:paraId="514F1C74" w14:textId="77777777" w:rsidTr="00FA05D3">
        <w:trPr>
          <w:cantSplit/>
          <w:jc w:val="center"/>
        </w:trPr>
        <w:tc>
          <w:tcPr>
            <w:tcW w:w="231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B5B3D7" w14:textId="77777777" w:rsidR="00FA05D3" w:rsidRPr="00A619A9" w:rsidRDefault="00FA05D3" w:rsidP="003664D1">
            <w:pPr>
              <w:pStyle w:val="TableHead"/>
            </w:pPr>
            <w:r w:rsidRPr="00A619A9">
              <w:rPr>
                <w:rFonts w:hint="cs"/>
                <w:rtl/>
              </w:rPr>
              <w:t>المنظمة</w:t>
            </w:r>
          </w:p>
        </w:tc>
        <w:tc>
          <w:tcPr>
            <w:tcW w:w="14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0F116" w14:textId="77777777" w:rsidR="00FA05D3" w:rsidRPr="00A619A9" w:rsidRDefault="00FA05D3" w:rsidP="003664D1">
            <w:pPr>
              <w:pStyle w:val="TableHead"/>
            </w:pPr>
            <w:r w:rsidRPr="00A619A9">
              <w:rPr>
                <w:rFonts w:hint="cs"/>
                <w:rtl/>
              </w:rPr>
              <w:t>القطاع</w:t>
            </w:r>
          </w:p>
        </w:tc>
        <w:tc>
          <w:tcPr>
            <w:tcW w:w="1224" w:type="pct"/>
          </w:tcPr>
          <w:p w14:paraId="0415BF0E" w14:textId="77777777" w:rsidR="00FA05D3" w:rsidRPr="00A619A9" w:rsidRDefault="00FA05D3" w:rsidP="003664D1">
            <w:pPr>
              <w:pStyle w:val="TableHead"/>
              <w:rPr>
                <w:rtl/>
              </w:rPr>
            </w:pPr>
            <w:r w:rsidRPr="00A619A9">
              <w:rPr>
                <w:rFonts w:hint="cs"/>
                <w:rtl/>
              </w:rPr>
              <w:t>توصية الأمين العام</w:t>
            </w:r>
          </w:p>
        </w:tc>
      </w:tr>
      <w:tr w:rsidR="00FA05D3" w:rsidRPr="00AF2032" w14:paraId="109C182E" w14:textId="77777777" w:rsidTr="00FA05D3">
        <w:trPr>
          <w:cantSplit/>
          <w:jc w:val="center"/>
        </w:trPr>
        <w:tc>
          <w:tcPr>
            <w:tcW w:w="231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379F6" w14:textId="717FCA9B" w:rsidR="00FA05D3" w:rsidRPr="00867BCC" w:rsidRDefault="00E2035F" w:rsidP="003664D1">
            <w:pPr>
              <w:pStyle w:val="Tabletexte"/>
              <w:rPr>
                <w:b/>
                <w:bCs/>
                <w:lang w:val="en-CA"/>
              </w:rPr>
            </w:pPr>
            <w:r>
              <w:rPr>
                <w:rFonts w:hint="cs"/>
                <w:b/>
                <w:bCs/>
                <w:rtl/>
              </w:rPr>
              <w:t>الجماعة الإنمائية ل</w:t>
            </w:r>
            <w:r w:rsidR="00DD7E9A">
              <w:rPr>
                <w:rFonts w:hint="cs"/>
                <w:b/>
                <w:bCs/>
                <w:rtl/>
              </w:rPr>
              <w:t>لجنوب الإفريقي</w:t>
            </w:r>
            <w:r w:rsidR="00FA05D3" w:rsidRPr="00867BCC">
              <w:rPr>
                <w:rFonts w:hint="cs"/>
                <w:b/>
                <w:bCs/>
                <w:rtl/>
              </w:rPr>
              <w:t xml:space="preserve"> </w:t>
            </w:r>
            <w:r w:rsidR="00FA05D3" w:rsidRPr="00867BCC">
              <w:rPr>
                <w:b/>
                <w:bCs/>
                <w:lang w:val="en-CA"/>
              </w:rPr>
              <w:t>(</w:t>
            </w:r>
            <w:r w:rsidR="00DD7E9A">
              <w:rPr>
                <w:b/>
                <w:bCs/>
                <w:lang w:val="en-CA"/>
              </w:rPr>
              <w:t>SADC</w:t>
            </w:r>
            <w:r w:rsidR="00FA05D3" w:rsidRPr="00867BCC">
              <w:rPr>
                <w:b/>
                <w:bCs/>
                <w:lang w:val="en-CA"/>
              </w:rPr>
              <w:t>)</w:t>
            </w:r>
          </w:p>
        </w:tc>
        <w:tc>
          <w:tcPr>
            <w:tcW w:w="14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B7B38" w14:textId="77777777" w:rsidR="007A17E7" w:rsidRDefault="003E4A59" w:rsidP="003E4A59">
            <w:pPr>
              <w:pStyle w:val="Tabletexte"/>
              <w:jc w:val="center"/>
            </w:pPr>
            <w:r w:rsidRPr="00A619A9">
              <w:rPr>
                <w:rFonts w:hint="cs"/>
                <w:rtl/>
              </w:rPr>
              <w:t>قطاع الاتصالات</w:t>
            </w:r>
            <w:r w:rsidR="00DD7E9A">
              <w:rPr>
                <w:rFonts w:hint="cs"/>
                <w:rtl/>
                <w:lang w:bidi="ar-EG"/>
              </w:rPr>
              <w:t xml:space="preserve"> الراد</w:t>
            </w:r>
            <w:r w:rsidR="008569EB">
              <w:rPr>
                <w:rFonts w:hint="cs"/>
                <w:rtl/>
                <w:lang w:bidi="ar-EG"/>
              </w:rPr>
              <w:t>ي</w:t>
            </w:r>
            <w:r w:rsidR="00DD7E9A">
              <w:rPr>
                <w:rFonts w:hint="cs"/>
                <w:rtl/>
                <w:lang w:bidi="ar-EG"/>
              </w:rPr>
              <w:t xml:space="preserve">وية </w:t>
            </w:r>
            <w:r w:rsidR="00DD7E9A">
              <w:rPr>
                <w:lang w:bidi="ar-EG"/>
              </w:rPr>
              <w:t>(ITU-R)</w:t>
            </w:r>
          </w:p>
          <w:p w14:paraId="176ABAD2" w14:textId="2A1F6B7E" w:rsidR="003E4A59" w:rsidRPr="00BC2D08" w:rsidRDefault="003E4A59" w:rsidP="003E4A59">
            <w:pPr>
              <w:pStyle w:val="Tabletexte"/>
              <w:jc w:val="center"/>
              <w:rPr>
                <w:lang w:bidi="ar-EG"/>
              </w:rPr>
            </w:pPr>
            <w:r w:rsidRPr="002A7194">
              <w:rPr>
                <w:rFonts w:hint="cs"/>
                <w:rtl/>
              </w:rPr>
              <w:t xml:space="preserve">قطاع </w:t>
            </w:r>
            <w:r>
              <w:rPr>
                <w:rFonts w:hint="cs"/>
                <w:rtl/>
                <w:lang w:bidi="ar-EG"/>
              </w:rPr>
              <w:t xml:space="preserve">تقييس </w:t>
            </w:r>
            <w:r w:rsidRPr="002A7194">
              <w:rPr>
                <w:rFonts w:hint="cs"/>
                <w:rtl/>
              </w:rPr>
              <w:t>الاتصالات</w:t>
            </w:r>
            <w:r w:rsidR="00DD7E9A">
              <w:rPr>
                <w:rFonts w:hint="cs"/>
                <w:rtl/>
                <w:lang w:bidi="ar-EG"/>
              </w:rPr>
              <w:t xml:space="preserve"> </w:t>
            </w:r>
            <w:r w:rsidR="00DD7E9A">
              <w:rPr>
                <w:lang w:bidi="ar-EG"/>
              </w:rPr>
              <w:t>(ITU</w:t>
            </w:r>
            <w:r w:rsidR="007A17E7">
              <w:rPr>
                <w:lang w:bidi="ar-EG"/>
              </w:rPr>
              <w:noBreakHyphen/>
            </w:r>
            <w:r w:rsidR="00DD7E9A">
              <w:rPr>
                <w:lang w:bidi="ar-EG"/>
              </w:rPr>
              <w:t>T)</w:t>
            </w:r>
          </w:p>
        </w:tc>
        <w:tc>
          <w:tcPr>
            <w:tcW w:w="1224" w:type="pct"/>
          </w:tcPr>
          <w:p w14:paraId="446E5172" w14:textId="77777777" w:rsidR="00FA05D3" w:rsidRDefault="00FA05D3" w:rsidP="003664D1">
            <w:pPr>
              <w:pStyle w:val="Tabletexte"/>
              <w:jc w:val="center"/>
              <w:rPr>
                <w:rtl/>
              </w:rPr>
            </w:pPr>
            <w:r w:rsidRPr="00AF2032">
              <w:rPr>
                <w:rFonts w:hint="cs"/>
                <w:rtl/>
              </w:rPr>
              <w:t>نعم</w:t>
            </w:r>
          </w:p>
          <w:p w14:paraId="7DE68C2A" w14:textId="29801D99" w:rsidR="003E4A59" w:rsidRPr="00AF2032" w:rsidRDefault="00D331E8" w:rsidP="003664D1">
            <w:pPr>
              <w:pStyle w:val="Tabletexte"/>
              <w:jc w:val="center"/>
              <w:rPr>
                <w:rtl/>
              </w:rPr>
            </w:pPr>
            <w:r w:rsidRPr="00AF2032">
              <w:rPr>
                <w:rFonts w:hint="cs"/>
                <w:rtl/>
              </w:rPr>
              <w:t>نعم</w:t>
            </w:r>
          </w:p>
        </w:tc>
      </w:tr>
    </w:tbl>
    <w:p w14:paraId="4F5845FF" w14:textId="1BEBAEC7" w:rsidR="00914159" w:rsidRPr="00FA4154" w:rsidRDefault="00EC4B67" w:rsidP="00914159">
      <w:pPr>
        <w:spacing w:before="240"/>
        <w:rPr>
          <w:spacing w:val="-2"/>
          <w:rtl/>
        </w:rPr>
      </w:pPr>
      <w:r>
        <w:rPr>
          <w:rFonts w:hint="cs"/>
          <w:spacing w:val="-2"/>
          <w:rtl/>
          <w:lang w:bidi="ar-EG"/>
        </w:rPr>
        <w:t xml:space="preserve">الجماعة </w:t>
      </w:r>
      <w:r>
        <w:rPr>
          <w:rFonts w:hint="cs"/>
          <w:spacing w:val="-2"/>
          <w:rtl/>
        </w:rPr>
        <w:t>الإنمائية للجنوب الإفريقي</w:t>
      </w:r>
      <w:r>
        <w:rPr>
          <w:rFonts w:hint="cs"/>
          <w:spacing w:val="-2"/>
          <w:rtl/>
          <w:lang w:bidi="ar-EG"/>
        </w:rPr>
        <w:t xml:space="preserve"> منظمة حكومية دولية </w:t>
      </w:r>
      <w:r w:rsidR="00023739">
        <w:rPr>
          <w:rFonts w:hint="cs"/>
          <w:spacing w:val="-2"/>
          <w:rtl/>
          <w:lang w:bidi="ar-EG"/>
        </w:rPr>
        <w:t xml:space="preserve">يقع مقرها في </w:t>
      </w:r>
      <w:r>
        <w:rPr>
          <w:rFonts w:hint="cs"/>
          <w:spacing w:val="-2"/>
          <w:rtl/>
          <w:lang w:bidi="ar-EG"/>
        </w:rPr>
        <w:t>بوتسوانا. وغايتها دعم التعاون</w:t>
      </w:r>
      <w:r w:rsidR="0054242E">
        <w:rPr>
          <w:rFonts w:hint="cs"/>
          <w:spacing w:val="-2"/>
          <w:rtl/>
          <w:lang w:bidi="ar-EG"/>
        </w:rPr>
        <w:t xml:space="preserve"> والتكامل</w:t>
      </w:r>
      <w:r>
        <w:rPr>
          <w:rFonts w:hint="cs"/>
          <w:spacing w:val="-2"/>
          <w:rtl/>
          <w:lang w:bidi="ar-EG"/>
        </w:rPr>
        <w:t xml:space="preserve"> الاجتماعي</w:t>
      </w:r>
      <w:r w:rsidR="0054242E">
        <w:rPr>
          <w:rFonts w:hint="cs"/>
          <w:spacing w:val="-2"/>
          <w:rtl/>
          <w:lang w:bidi="ar-EG"/>
        </w:rPr>
        <w:t xml:space="preserve">ين </w:t>
      </w:r>
      <w:r>
        <w:rPr>
          <w:rFonts w:hint="cs"/>
          <w:spacing w:val="-2"/>
          <w:rtl/>
          <w:lang w:bidi="ar-EG"/>
        </w:rPr>
        <w:t>الاقتصادي</w:t>
      </w:r>
      <w:r w:rsidR="0054242E">
        <w:rPr>
          <w:rFonts w:hint="cs"/>
          <w:spacing w:val="-2"/>
          <w:rtl/>
          <w:lang w:bidi="ar-EG"/>
        </w:rPr>
        <w:t>ين،</w:t>
      </w:r>
      <w:r>
        <w:rPr>
          <w:rFonts w:hint="cs"/>
          <w:spacing w:val="-2"/>
          <w:rtl/>
          <w:lang w:bidi="ar-EG"/>
        </w:rPr>
        <w:t xml:space="preserve"> </w:t>
      </w:r>
      <w:r w:rsidR="0054242E">
        <w:rPr>
          <w:rFonts w:hint="cs"/>
          <w:spacing w:val="-2"/>
          <w:rtl/>
          <w:lang w:bidi="ar-EG"/>
        </w:rPr>
        <w:t xml:space="preserve">فضلاً عن التعاون السياسي والأمني، على الصعيد الإقليمي فيما بين </w:t>
      </w:r>
      <w:r w:rsidR="0054242E">
        <w:rPr>
          <w:spacing w:val="-2"/>
          <w:lang w:bidi="ar-EG"/>
        </w:rPr>
        <w:t>16</w:t>
      </w:r>
      <w:r w:rsidR="0054242E">
        <w:rPr>
          <w:rFonts w:hint="cs"/>
          <w:spacing w:val="-2"/>
          <w:rtl/>
          <w:lang w:bidi="ar-EG"/>
        </w:rPr>
        <w:t xml:space="preserve"> بلداً في جنوب إفريقيا</w:t>
      </w:r>
      <w:r w:rsidR="00914159" w:rsidRPr="00FA4154">
        <w:rPr>
          <w:spacing w:val="-2"/>
          <w:rtl/>
        </w:rPr>
        <w:t>.</w:t>
      </w:r>
      <w:r w:rsidR="0054242E">
        <w:rPr>
          <w:rFonts w:hint="cs"/>
          <w:spacing w:val="-2"/>
          <w:rtl/>
        </w:rPr>
        <w:t xml:space="preserve"> </w:t>
      </w:r>
      <w:r w:rsidR="00914159" w:rsidRPr="00FA4154">
        <w:rPr>
          <w:rFonts w:hint="cs"/>
          <w:spacing w:val="-2"/>
          <w:rtl/>
        </w:rPr>
        <w:t>و</w:t>
      </w:r>
      <w:r w:rsidR="0054242E">
        <w:rPr>
          <w:rFonts w:hint="cs"/>
          <w:spacing w:val="-2"/>
          <w:rtl/>
        </w:rPr>
        <w:t xml:space="preserve">الجماعة عضو معفي </w:t>
      </w:r>
      <w:r w:rsidR="00BB7DF1">
        <w:rPr>
          <w:rFonts w:hint="cs"/>
          <w:spacing w:val="-2"/>
          <w:rtl/>
        </w:rPr>
        <w:t xml:space="preserve">بالفعل </w:t>
      </w:r>
      <w:r w:rsidR="0054242E">
        <w:rPr>
          <w:rFonts w:hint="cs"/>
          <w:spacing w:val="-2"/>
          <w:rtl/>
        </w:rPr>
        <w:t xml:space="preserve">من الرسوم في قطاع تنمية الاتصالات بالاتحاد </w:t>
      </w:r>
      <w:r w:rsidR="0054242E">
        <w:rPr>
          <w:spacing w:val="-2"/>
        </w:rPr>
        <w:t>(ITU-D)</w:t>
      </w:r>
      <w:r w:rsidR="00914159" w:rsidRPr="00FA4154">
        <w:rPr>
          <w:spacing w:val="-2"/>
          <w:rtl/>
        </w:rPr>
        <w:t xml:space="preserve">. وترى الأمانة أن </w:t>
      </w:r>
      <w:r w:rsidR="0054242E">
        <w:rPr>
          <w:rFonts w:hint="cs"/>
          <w:spacing w:val="-2"/>
          <w:rtl/>
        </w:rPr>
        <w:t xml:space="preserve">هذا الكيان </w:t>
      </w:r>
      <w:r w:rsidR="00914159" w:rsidRPr="00FA4154">
        <w:rPr>
          <w:rFonts w:hint="cs"/>
          <w:spacing w:val="-2"/>
          <w:rtl/>
          <w:lang w:val="fr-CH" w:bidi="ar-SY"/>
        </w:rPr>
        <w:t xml:space="preserve">يستوفي معايير الإعفاء من رسوم العضوية في </w:t>
      </w:r>
      <w:r w:rsidR="00914159" w:rsidRPr="00FA4154">
        <w:rPr>
          <w:spacing w:val="-2"/>
          <w:rtl/>
        </w:rPr>
        <w:t>قطاع</w:t>
      </w:r>
      <w:r w:rsidR="0054242E">
        <w:rPr>
          <w:rFonts w:hint="cs"/>
          <w:spacing w:val="-2"/>
          <w:rtl/>
          <w:lang w:bidi="ar-EG"/>
        </w:rPr>
        <w:t xml:space="preserve">ي الاتصالات الراديوية </w:t>
      </w:r>
      <w:r w:rsidR="0054242E">
        <w:rPr>
          <w:spacing w:val="-2"/>
          <w:lang w:bidi="ar-EG"/>
        </w:rPr>
        <w:t>(ITU-R)</w:t>
      </w:r>
      <w:r w:rsidR="0054242E">
        <w:rPr>
          <w:rFonts w:hint="cs"/>
          <w:spacing w:val="-2"/>
          <w:rtl/>
          <w:lang w:bidi="ar-EG"/>
        </w:rPr>
        <w:t xml:space="preserve"> وتقييس الاتصالات </w:t>
      </w:r>
      <w:r w:rsidR="0054242E">
        <w:rPr>
          <w:spacing w:val="-2"/>
          <w:lang w:bidi="ar-EG"/>
        </w:rPr>
        <w:t>(ITU-T)</w:t>
      </w:r>
      <w:r w:rsidR="0054242E">
        <w:rPr>
          <w:rFonts w:hint="cs"/>
          <w:spacing w:val="-2"/>
          <w:rtl/>
          <w:lang w:bidi="ar-EG"/>
        </w:rPr>
        <w:t xml:space="preserve"> به</w:t>
      </w:r>
      <w:r w:rsidR="00914159" w:rsidRPr="00FA4154">
        <w:rPr>
          <w:spacing w:val="-2"/>
          <w:rtl/>
        </w:rPr>
        <w:t>.</w:t>
      </w:r>
    </w:p>
    <w:p w14:paraId="088224B4" w14:textId="77777777" w:rsidR="00914159" w:rsidRDefault="00914159" w:rsidP="00914159">
      <w:pPr>
        <w:keepNext/>
        <w:keepLines/>
        <w:spacing w:after="120"/>
        <w:rPr>
          <w:rtl/>
          <w:lang w:bidi="ar-EG"/>
        </w:rPr>
      </w:pPr>
      <w:r>
        <w:rPr>
          <w:lang w:bidi="ar-EG"/>
        </w:rPr>
        <w:t>2.2</w:t>
      </w:r>
      <w:r>
        <w:rPr>
          <w:rFonts w:hint="cs"/>
          <w:rtl/>
          <w:lang w:bidi="ar-EG"/>
        </w:rPr>
        <w:t> </w:t>
      </w:r>
    </w:p>
    <w:tbl>
      <w:tblPr>
        <w:bidiVisual/>
        <w:tblW w:w="77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4"/>
        <w:gridCol w:w="2257"/>
        <w:gridCol w:w="1893"/>
      </w:tblGrid>
      <w:tr w:rsidR="00D331E8" w:rsidRPr="00AF2032" w14:paraId="3286A7CC" w14:textId="77777777" w:rsidTr="00D331E8">
        <w:trPr>
          <w:cantSplit/>
          <w:jc w:val="center"/>
        </w:trPr>
        <w:tc>
          <w:tcPr>
            <w:tcW w:w="231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6B16F" w14:textId="77777777" w:rsidR="00D331E8" w:rsidRPr="00A619A9" w:rsidRDefault="00D331E8" w:rsidP="003664D1">
            <w:pPr>
              <w:pStyle w:val="TableHead"/>
            </w:pPr>
            <w:r w:rsidRPr="00A619A9">
              <w:rPr>
                <w:rFonts w:hint="cs"/>
                <w:rtl/>
              </w:rPr>
              <w:t>المنظمة</w:t>
            </w:r>
          </w:p>
        </w:tc>
        <w:tc>
          <w:tcPr>
            <w:tcW w:w="14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1B0F5" w14:textId="77777777" w:rsidR="00D331E8" w:rsidRPr="00A619A9" w:rsidRDefault="00D331E8" w:rsidP="003664D1">
            <w:pPr>
              <w:pStyle w:val="TableHead"/>
            </w:pPr>
            <w:r w:rsidRPr="00A619A9">
              <w:rPr>
                <w:rFonts w:hint="cs"/>
                <w:rtl/>
              </w:rPr>
              <w:t>القطاع</w:t>
            </w:r>
          </w:p>
        </w:tc>
        <w:tc>
          <w:tcPr>
            <w:tcW w:w="1224" w:type="pct"/>
          </w:tcPr>
          <w:p w14:paraId="674DE63D" w14:textId="77777777" w:rsidR="00D331E8" w:rsidRPr="00A619A9" w:rsidRDefault="00D331E8" w:rsidP="003664D1">
            <w:pPr>
              <w:pStyle w:val="TableHead"/>
              <w:rPr>
                <w:rtl/>
              </w:rPr>
            </w:pPr>
            <w:r w:rsidRPr="00A619A9">
              <w:rPr>
                <w:rFonts w:hint="cs"/>
                <w:rtl/>
              </w:rPr>
              <w:t>توصية الأمين العام</w:t>
            </w:r>
          </w:p>
        </w:tc>
      </w:tr>
      <w:tr w:rsidR="00D331E8" w:rsidRPr="00AF2032" w14:paraId="06EE874C" w14:textId="77777777" w:rsidTr="00D331E8">
        <w:trPr>
          <w:cantSplit/>
          <w:jc w:val="center"/>
        </w:trPr>
        <w:tc>
          <w:tcPr>
            <w:tcW w:w="23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E01DB0" w14:textId="2891A3B6" w:rsidR="00D331E8" w:rsidRPr="000717FA" w:rsidRDefault="008609E4" w:rsidP="003664D1">
            <w:pPr>
              <w:pStyle w:val="Tabletexte"/>
              <w:rPr>
                <w:b/>
                <w:bCs/>
                <w:spacing w:val="-4"/>
                <w:lang w:bidi="ar-SA"/>
              </w:rPr>
            </w:pPr>
            <w:r>
              <w:rPr>
                <w:rFonts w:hint="cs"/>
                <w:b/>
                <w:bCs/>
                <w:spacing w:val="-4"/>
                <w:rtl/>
                <w:lang w:val="en-CA"/>
              </w:rPr>
              <w:t>مختبر إنترنت الأشياء</w:t>
            </w:r>
            <w:r w:rsidR="000717FA">
              <w:rPr>
                <w:rFonts w:hint="cs"/>
                <w:b/>
                <w:bCs/>
                <w:spacing w:val="-4"/>
                <w:rtl/>
                <w:lang w:val="en-CA" w:bidi="ar-SA"/>
              </w:rPr>
              <w:t xml:space="preserve"> </w:t>
            </w:r>
            <w:r w:rsidR="000717FA">
              <w:rPr>
                <w:b/>
                <w:bCs/>
                <w:spacing w:val="-4"/>
                <w:lang w:bidi="ar-SA"/>
              </w:rPr>
              <w:t>(IoT Lab)</w:t>
            </w:r>
          </w:p>
        </w:tc>
        <w:tc>
          <w:tcPr>
            <w:tcW w:w="14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DFEE50" w14:textId="2C5A8AF5" w:rsidR="00EA5024" w:rsidRPr="007A17E7" w:rsidRDefault="00EA5024" w:rsidP="007A17E7">
            <w:pPr>
              <w:pStyle w:val="Tabletexte"/>
              <w:jc w:val="center"/>
              <w:rPr>
                <w:lang w:bidi="ar-EG"/>
              </w:rPr>
            </w:pPr>
            <w:r w:rsidRPr="002A7194">
              <w:rPr>
                <w:rFonts w:hint="cs"/>
                <w:rtl/>
              </w:rPr>
              <w:t xml:space="preserve">قطاع </w:t>
            </w:r>
            <w:r>
              <w:rPr>
                <w:rFonts w:hint="cs"/>
                <w:rtl/>
                <w:lang w:bidi="ar-EG"/>
              </w:rPr>
              <w:t xml:space="preserve">تقييس </w:t>
            </w:r>
            <w:r w:rsidR="005225C3" w:rsidRPr="002A7194">
              <w:rPr>
                <w:rFonts w:hint="cs"/>
                <w:rtl/>
              </w:rPr>
              <w:t>الاتصالا</w:t>
            </w:r>
            <w:r w:rsidR="005225C3" w:rsidRPr="002A7194">
              <w:rPr>
                <w:rtl/>
              </w:rPr>
              <w:t>ت</w:t>
            </w:r>
          </w:p>
        </w:tc>
        <w:tc>
          <w:tcPr>
            <w:tcW w:w="1224" w:type="pct"/>
            <w:vAlign w:val="center"/>
          </w:tcPr>
          <w:p w14:paraId="1D98B899" w14:textId="5BD1DC8F" w:rsidR="008609E4" w:rsidRPr="00AF2032" w:rsidRDefault="00E2035F" w:rsidP="008609E4">
            <w:pPr>
              <w:pStyle w:val="Tabletexte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إرجاء النظر في الطلب</w:t>
            </w:r>
          </w:p>
        </w:tc>
      </w:tr>
    </w:tbl>
    <w:p w14:paraId="07C92D8E" w14:textId="159DC169" w:rsidR="00914159" w:rsidRDefault="00F82D63" w:rsidP="00914159">
      <w:pPr>
        <w:spacing w:before="240"/>
        <w:rPr>
          <w:spacing w:val="2"/>
          <w:rtl/>
          <w:lang w:val="fr-CH" w:bidi="ar-SY"/>
        </w:rPr>
      </w:pPr>
      <w:r>
        <w:rPr>
          <w:rFonts w:hint="cs"/>
          <w:spacing w:val="2"/>
          <w:rtl/>
          <w:lang w:bidi="ar-EG"/>
        </w:rPr>
        <w:t>مختبر إنترنت الأشياء منصة</w:t>
      </w:r>
      <w:r w:rsidR="00F3438A">
        <w:rPr>
          <w:rFonts w:hint="cs"/>
          <w:spacing w:val="2"/>
          <w:rtl/>
          <w:lang w:bidi="ar-EG"/>
        </w:rPr>
        <w:t>ٌ</w:t>
      </w:r>
      <w:r>
        <w:rPr>
          <w:rFonts w:hint="cs"/>
          <w:spacing w:val="2"/>
          <w:rtl/>
          <w:lang w:bidi="ar-EG"/>
        </w:rPr>
        <w:t xml:space="preserve"> دولية لخدمات وموارد إنترنت الأشياء </w:t>
      </w:r>
      <w:r>
        <w:rPr>
          <w:spacing w:val="2"/>
          <w:lang w:bidi="ar-EG"/>
        </w:rPr>
        <w:t>(IoT)</w:t>
      </w:r>
      <w:r>
        <w:rPr>
          <w:rFonts w:hint="cs"/>
          <w:spacing w:val="2"/>
          <w:rtl/>
          <w:lang w:bidi="ar-EG"/>
        </w:rPr>
        <w:t xml:space="preserve"> </w:t>
      </w:r>
      <w:r w:rsidR="00023739">
        <w:rPr>
          <w:rFonts w:hint="cs"/>
          <w:spacing w:val="2"/>
          <w:rtl/>
          <w:lang w:bidi="ar-EG"/>
        </w:rPr>
        <w:t>ت</w:t>
      </w:r>
      <w:r>
        <w:rPr>
          <w:rFonts w:hint="cs"/>
          <w:spacing w:val="2"/>
          <w:rtl/>
          <w:lang w:bidi="ar-EG"/>
        </w:rPr>
        <w:t>ضم الجماعات المهتمة بخدمات إنترنت الأشياء والأمن والخصوصية في إنترنت الأشياء و</w:t>
      </w:r>
      <w:r w:rsidR="00DE5BA2">
        <w:rPr>
          <w:rFonts w:hint="cs"/>
          <w:spacing w:val="2"/>
          <w:rtl/>
          <w:lang w:bidi="ar-EG"/>
        </w:rPr>
        <w:t xml:space="preserve">اختبار </w:t>
      </w:r>
      <w:r>
        <w:rPr>
          <w:rFonts w:hint="cs"/>
          <w:spacing w:val="2"/>
          <w:rtl/>
          <w:lang w:bidi="ar-EG"/>
        </w:rPr>
        <w:t>هذه التكنولوجيا ونقلها</w:t>
      </w:r>
      <w:r w:rsidR="00914159" w:rsidRPr="00781663">
        <w:rPr>
          <w:spacing w:val="2"/>
          <w:rtl/>
          <w:lang w:bidi="ar-EG"/>
        </w:rPr>
        <w:t>.</w:t>
      </w:r>
      <w:r>
        <w:rPr>
          <w:rFonts w:hint="cs"/>
          <w:spacing w:val="2"/>
          <w:rtl/>
          <w:lang w:bidi="ar-EG"/>
        </w:rPr>
        <w:t xml:space="preserve"> وهو كيان جديد نسبياً، فلم </w:t>
      </w:r>
      <w:r w:rsidR="00762864">
        <w:rPr>
          <w:rFonts w:hint="cs"/>
          <w:spacing w:val="2"/>
          <w:rtl/>
          <w:lang w:bidi="ar-EG"/>
        </w:rPr>
        <w:t xml:space="preserve">تتَّضح بعد إمكانية تطبيق </w:t>
      </w:r>
      <w:r>
        <w:rPr>
          <w:rFonts w:hint="cs"/>
          <w:spacing w:val="2"/>
          <w:rtl/>
          <w:lang w:bidi="ar-EG"/>
        </w:rPr>
        <w:t xml:space="preserve">مبدأ المعاملة بالمثل </w:t>
      </w:r>
      <w:r w:rsidR="00762864">
        <w:rPr>
          <w:rFonts w:hint="cs"/>
          <w:spacing w:val="2"/>
          <w:rtl/>
          <w:lang w:bidi="ar-EG"/>
        </w:rPr>
        <w:t xml:space="preserve">معه. ويلزم الأمانة المزيد من الوقت والمعلومات لتتمكن من تقديم توصية </w:t>
      </w:r>
      <w:r w:rsidR="00023739">
        <w:rPr>
          <w:rFonts w:hint="cs"/>
          <w:spacing w:val="2"/>
          <w:rtl/>
          <w:lang w:bidi="ar-EG"/>
        </w:rPr>
        <w:t xml:space="preserve">مستنيرة بشأنه </w:t>
      </w:r>
      <w:r w:rsidR="00762864">
        <w:rPr>
          <w:rFonts w:hint="cs"/>
          <w:spacing w:val="2"/>
          <w:rtl/>
          <w:lang w:bidi="ar-EG"/>
        </w:rPr>
        <w:t>إلى المجلس</w:t>
      </w:r>
      <w:r w:rsidR="00C50D78">
        <w:rPr>
          <w:rFonts w:hint="cs"/>
          <w:spacing w:val="2"/>
          <w:rtl/>
          <w:lang w:bidi="ar-EG"/>
        </w:rPr>
        <w:t xml:space="preserve">. </w:t>
      </w:r>
      <w:r w:rsidR="00762864">
        <w:rPr>
          <w:rFonts w:hint="cs"/>
          <w:spacing w:val="2"/>
          <w:rtl/>
          <w:lang w:bidi="ar-EG"/>
        </w:rPr>
        <w:t>لذا،</w:t>
      </w:r>
      <w:r w:rsidR="00914159" w:rsidRPr="00781663">
        <w:rPr>
          <w:spacing w:val="2"/>
          <w:rtl/>
          <w:lang w:bidi="ar-EG"/>
        </w:rPr>
        <w:t xml:space="preserve"> توصي </w:t>
      </w:r>
      <w:r w:rsidR="00762864">
        <w:rPr>
          <w:rFonts w:hint="cs"/>
          <w:spacing w:val="2"/>
          <w:rtl/>
          <w:lang w:bidi="ar-EG"/>
        </w:rPr>
        <w:t xml:space="preserve">الأمانة </w:t>
      </w:r>
      <w:r w:rsidR="00914159" w:rsidRPr="00781663">
        <w:rPr>
          <w:spacing w:val="2"/>
          <w:rtl/>
          <w:lang w:bidi="ar-EG"/>
        </w:rPr>
        <w:t xml:space="preserve">بإرجاء </w:t>
      </w:r>
      <w:r w:rsidR="00762864">
        <w:rPr>
          <w:rFonts w:hint="cs"/>
          <w:spacing w:val="2"/>
          <w:rtl/>
          <w:lang w:bidi="ar-EG"/>
        </w:rPr>
        <w:t xml:space="preserve">النظر في </w:t>
      </w:r>
      <w:r w:rsidR="00914159" w:rsidRPr="00781663">
        <w:rPr>
          <w:spacing w:val="2"/>
          <w:rtl/>
          <w:lang w:bidi="ar-EG"/>
        </w:rPr>
        <w:t xml:space="preserve">هذا الطلب إلى </w:t>
      </w:r>
      <w:r w:rsidR="00762864">
        <w:rPr>
          <w:rFonts w:hint="cs"/>
          <w:spacing w:val="2"/>
          <w:rtl/>
          <w:lang w:bidi="ar-EG"/>
        </w:rPr>
        <w:t>دورة المجلس المقبلة.</w:t>
      </w:r>
    </w:p>
    <w:p w14:paraId="4BE543E0" w14:textId="77777777" w:rsidR="00914159" w:rsidRDefault="00914159" w:rsidP="00914159">
      <w:pPr>
        <w:keepNext/>
        <w:keepLines/>
        <w:spacing w:after="120"/>
        <w:rPr>
          <w:rtl/>
          <w:lang w:bidi="ar-EG"/>
        </w:rPr>
      </w:pPr>
      <w:r>
        <w:rPr>
          <w:lang w:bidi="ar-EG"/>
        </w:rPr>
        <w:t>3.2</w:t>
      </w:r>
      <w:r>
        <w:rPr>
          <w:rFonts w:hint="cs"/>
          <w:rtl/>
          <w:lang w:bidi="ar-EG"/>
        </w:rPr>
        <w:t> </w:t>
      </w:r>
    </w:p>
    <w:tbl>
      <w:tblPr>
        <w:bidiVisual/>
        <w:tblW w:w="77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2"/>
        <w:gridCol w:w="2256"/>
        <w:gridCol w:w="1893"/>
      </w:tblGrid>
      <w:tr w:rsidR="000A63E7" w:rsidRPr="002A7194" w14:paraId="26FE1407" w14:textId="77777777" w:rsidTr="000A63E7">
        <w:trPr>
          <w:cantSplit/>
          <w:jc w:val="center"/>
        </w:trPr>
        <w:tc>
          <w:tcPr>
            <w:tcW w:w="231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69D76B" w14:textId="77777777" w:rsidR="000A63E7" w:rsidRPr="00A619A9" w:rsidRDefault="000A63E7" w:rsidP="003664D1">
            <w:pPr>
              <w:pStyle w:val="TableHead"/>
            </w:pPr>
            <w:r w:rsidRPr="00A619A9">
              <w:rPr>
                <w:rFonts w:hint="cs"/>
                <w:rtl/>
              </w:rPr>
              <w:t>المنظمة</w:t>
            </w:r>
          </w:p>
        </w:tc>
        <w:tc>
          <w:tcPr>
            <w:tcW w:w="14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A050E" w14:textId="77777777" w:rsidR="000A63E7" w:rsidRPr="00A619A9" w:rsidRDefault="000A63E7" w:rsidP="003664D1">
            <w:pPr>
              <w:pStyle w:val="TableHead"/>
            </w:pPr>
            <w:r w:rsidRPr="00A619A9">
              <w:rPr>
                <w:rFonts w:hint="cs"/>
                <w:rtl/>
              </w:rPr>
              <w:t>القطاع</w:t>
            </w:r>
          </w:p>
        </w:tc>
        <w:tc>
          <w:tcPr>
            <w:tcW w:w="1224" w:type="pct"/>
          </w:tcPr>
          <w:p w14:paraId="4DAAA80F" w14:textId="77777777" w:rsidR="000A63E7" w:rsidRPr="00A619A9" w:rsidRDefault="000A63E7" w:rsidP="003664D1">
            <w:pPr>
              <w:pStyle w:val="TableHead"/>
              <w:rPr>
                <w:rtl/>
              </w:rPr>
            </w:pPr>
            <w:r w:rsidRPr="00A619A9">
              <w:rPr>
                <w:rFonts w:hint="cs"/>
                <w:rtl/>
              </w:rPr>
              <w:t>توصية الأمين العام</w:t>
            </w:r>
          </w:p>
        </w:tc>
      </w:tr>
      <w:tr w:rsidR="000A63E7" w:rsidRPr="002A7194" w14:paraId="72AADC12" w14:textId="77777777" w:rsidTr="000A63E7">
        <w:trPr>
          <w:cantSplit/>
          <w:jc w:val="center"/>
        </w:trPr>
        <w:tc>
          <w:tcPr>
            <w:tcW w:w="23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531C71" w14:textId="2A81E60B" w:rsidR="000A63E7" w:rsidRPr="00CB5DC6" w:rsidRDefault="00C50D78" w:rsidP="003664D1">
            <w:pPr>
              <w:pStyle w:val="Tabletexte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val="en-CA" w:bidi="ar-EG"/>
              </w:rPr>
              <w:t>جمعية</w:t>
            </w:r>
            <w:r w:rsidR="00CB5DC6">
              <w:rPr>
                <w:rFonts w:hint="cs"/>
                <w:b/>
                <w:bCs/>
                <w:rtl/>
                <w:lang w:val="en-CA" w:bidi="ar-EG"/>
              </w:rPr>
              <w:t xml:space="preserve"> </w:t>
            </w:r>
            <w:r w:rsidR="00CB5DC6">
              <w:rPr>
                <w:b/>
                <w:bCs/>
                <w:lang w:bidi="ar-EG"/>
              </w:rPr>
              <w:t>Konrad Adenauer Stiftung</w:t>
            </w:r>
          </w:p>
        </w:tc>
        <w:tc>
          <w:tcPr>
            <w:tcW w:w="14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771B55" w14:textId="52EC8CEC" w:rsidR="000A63E7" w:rsidRPr="002A7194" w:rsidRDefault="00E2035F" w:rsidP="003664D1">
            <w:pPr>
              <w:pStyle w:val="Tabletexte"/>
              <w:jc w:val="center"/>
              <w:rPr>
                <w:highlight w:val="cyan"/>
              </w:rPr>
            </w:pPr>
            <w:r>
              <w:rPr>
                <w:rFonts w:hint="cs"/>
                <w:rtl/>
                <w:lang w:bidi="ar-EG"/>
              </w:rPr>
              <w:t xml:space="preserve">قطاع الاتصالات الراديوية </w:t>
            </w:r>
            <w:r w:rsidR="000A63E7">
              <w:rPr>
                <w:rtl/>
              </w:rPr>
              <w:br/>
            </w:r>
            <w:r w:rsidR="000A63E7" w:rsidRPr="002A7194">
              <w:rPr>
                <w:rFonts w:hint="cs"/>
                <w:rtl/>
              </w:rPr>
              <w:t xml:space="preserve">قطاع </w:t>
            </w:r>
            <w:r w:rsidR="000A63E7">
              <w:rPr>
                <w:rFonts w:hint="cs"/>
                <w:rtl/>
              </w:rPr>
              <w:t xml:space="preserve">تقييس </w:t>
            </w:r>
            <w:r w:rsidR="000A63E7" w:rsidRPr="002A7194">
              <w:rPr>
                <w:rFonts w:hint="cs"/>
                <w:rtl/>
              </w:rPr>
              <w:t>الاتصالات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0A63E7">
              <w:rPr>
                <w:rtl/>
              </w:rPr>
              <w:br/>
            </w:r>
            <w:r w:rsidRPr="00A619A9">
              <w:rPr>
                <w:rFonts w:hint="cs"/>
                <w:rtl/>
              </w:rPr>
              <w:t>قطاع تنمية الاتصالات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224" w:type="pct"/>
            <w:vAlign w:val="center"/>
          </w:tcPr>
          <w:p w14:paraId="5E3D59CC" w14:textId="4F1DDD57" w:rsidR="000A63E7" w:rsidRPr="002A7194" w:rsidRDefault="00D653B0" w:rsidP="003664D1">
            <w:pPr>
              <w:pStyle w:val="Tabletext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لا</w:t>
            </w:r>
          </w:p>
        </w:tc>
      </w:tr>
    </w:tbl>
    <w:p w14:paraId="1FC98D23" w14:textId="7B2ACB96" w:rsidR="00914159" w:rsidRPr="00571B95" w:rsidRDefault="0098293C" w:rsidP="00914159">
      <w:pPr>
        <w:spacing w:before="240"/>
        <w:rPr>
          <w:rtl/>
          <w:lang w:val="fr-CH" w:bidi="ar-SY"/>
        </w:rPr>
      </w:pPr>
      <w:r>
        <w:rPr>
          <w:rFonts w:hint="cs"/>
          <w:rtl/>
          <w:lang w:val="en-CA" w:bidi="ar-EG"/>
        </w:rPr>
        <w:t>جمعية</w:t>
      </w:r>
      <w:r w:rsidR="00C50D78" w:rsidRPr="00571B95">
        <w:rPr>
          <w:rFonts w:hint="cs"/>
          <w:rtl/>
          <w:lang w:val="en-CA" w:bidi="ar-EG"/>
        </w:rPr>
        <w:t xml:space="preserve"> </w:t>
      </w:r>
      <w:r w:rsidR="00C50D78" w:rsidRPr="00571B95">
        <w:rPr>
          <w:lang w:bidi="ar-EG"/>
        </w:rPr>
        <w:t>Konrad Adenauer Stiftung</w:t>
      </w:r>
      <w:r w:rsidR="00C50D78" w:rsidRPr="00571B9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مؤسسة حزبية تتخذ الشكل القانوني</w:t>
      </w:r>
      <w:r w:rsidR="00181430">
        <w:rPr>
          <w:rFonts w:hint="cs"/>
          <w:rtl/>
          <w:lang w:bidi="ar-EG"/>
        </w:rPr>
        <w:t xml:space="preserve"> للجمعية، وتُوالي الاتحاد المسيحي الديمقراطي وتموَّل بأموال فيدرالية </w:t>
      </w:r>
      <w:r w:rsidR="00EA2401">
        <w:rPr>
          <w:rFonts w:hint="cs"/>
          <w:rtl/>
          <w:lang w:bidi="ar-EG"/>
        </w:rPr>
        <w:t xml:space="preserve">وعلى مستوى الولايات، </w:t>
      </w:r>
      <w:r w:rsidR="00181430">
        <w:rPr>
          <w:rFonts w:hint="cs"/>
          <w:rtl/>
          <w:lang w:bidi="ar-EG"/>
        </w:rPr>
        <w:t xml:space="preserve">وللجمعية مكاتب في أكثر من </w:t>
      </w:r>
      <w:r w:rsidR="00181430">
        <w:rPr>
          <w:lang w:bidi="ar-EG"/>
        </w:rPr>
        <w:t>100</w:t>
      </w:r>
      <w:r w:rsidR="00181430">
        <w:rPr>
          <w:rFonts w:hint="cs"/>
          <w:rtl/>
          <w:lang w:bidi="ar-EG"/>
        </w:rPr>
        <w:t xml:space="preserve"> بلد ومشاريعها تشمل ما يربو على </w:t>
      </w:r>
      <w:r w:rsidR="00181430">
        <w:rPr>
          <w:lang w:bidi="ar-EG"/>
        </w:rPr>
        <w:t>130</w:t>
      </w:r>
      <w:r w:rsidR="00181430">
        <w:rPr>
          <w:rFonts w:hint="cs"/>
          <w:rtl/>
          <w:lang w:bidi="ar-EG"/>
        </w:rPr>
        <w:t xml:space="preserve"> بلداً. ومع أن </w:t>
      </w:r>
      <w:r w:rsidR="00EF4526">
        <w:rPr>
          <w:rFonts w:hint="cs"/>
          <w:rtl/>
          <w:lang w:bidi="ar-EG"/>
        </w:rPr>
        <w:t xml:space="preserve">لها </w:t>
      </w:r>
      <w:r w:rsidR="00181430">
        <w:rPr>
          <w:rFonts w:hint="cs"/>
          <w:rtl/>
          <w:lang w:bidi="ar-EG"/>
        </w:rPr>
        <w:t xml:space="preserve">حضوراً وأنشطة </w:t>
      </w:r>
      <w:r w:rsidR="00EA2401">
        <w:rPr>
          <w:rFonts w:hint="cs"/>
          <w:rtl/>
        </w:rPr>
        <w:t>على الصعيد الدولي</w:t>
      </w:r>
      <w:r w:rsidR="00181430">
        <w:rPr>
          <w:rFonts w:hint="cs"/>
          <w:rtl/>
          <w:lang w:bidi="ar-EG"/>
        </w:rPr>
        <w:t>، ترى الأمانة أن</w:t>
      </w:r>
      <w:r w:rsidR="00EF4526">
        <w:rPr>
          <w:rFonts w:hint="cs"/>
          <w:rtl/>
          <w:lang w:bidi="ar-EG"/>
        </w:rPr>
        <w:t xml:space="preserve"> هذه المنظمة </w:t>
      </w:r>
      <w:r w:rsidR="00181430">
        <w:rPr>
          <w:rFonts w:hint="cs"/>
          <w:rtl/>
          <w:lang w:bidi="ar-EG"/>
        </w:rPr>
        <w:t>لا تستوفي جميع المعايير لكونها مؤسسة وطنية ليس لها أعضاء في العديد من الدول الأعضاء.</w:t>
      </w:r>
    </w:p>
    <w:p w14:paraId="12382F17" w14:textId="77777777" w:rsidR="00914159" w:rsidRDefault="00914159" w:rsidP="00914159">
      <w:pPr>
        <w:keepNext/>
        <w:keepLines/>
        <w:spacing w:after="120"/>
        <w:rPr>
          <w:rtl/>
          <w:lang w:bidi="ar-EG"/>
        </w:rPr>
      </w:pPr>
      <w:r>
        <w:rPr>
          <w:lang w:bidi="ar-EG"/>
        </w:rPr>
        <w:lastRenderedPageBreak/>
        <w:t>4.2</w:t>
      </w:r>
      <w:r>
        <w:rPr>
          <w:rFonts w:hint="cs"/>
          <w:rtl/>
          <w:lang w:bidi="ar-EG"/>
        </w:rPr>
        <w:t> </w:t>
      </w:r>
    </w:p>
    <w:tbl>
      <w:tblPr>
        <w:bidiVisual/>
        <w:tblW w:w="77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5"/>
        <w:gridCol w:w="2260"/>
        <w:gridCol w:w="1890"/>
      </w:tblGrid>
      <w:tr w:rsidR="00D653B0" w:rsidRPr="00A619A9" w14:paraId="7C278480" w14:textId="77777777" w:rsidTr="00D653B0">
        <w:trPr>
          <w:cantSplit/>
          <w:jc w:val="center"/>
        </w:trPr>
        <w:tc>
          <w:tcPr>
            <w:tcW w:w="231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341C0" w14:textId="77777777" w:rsidR="00D653B0" w:rsidRPr="00A619A9" w:rsidRDefault="00D653B0" w:rsidP="003664D1">
            <w:pPr>
              <w:pStyle w:val="TableHead"/>
            </w:pPr>
            <w:r w:rsidRPr="00A619A9">
              <w:rPr>
                <w:rFonts w:hint="cs"/>
                <w:rtl/>
              </w:rPr>
              <w:t>المنظمة</w:t>
            </w:r>
          </w:p>
        </w:tc>
        <w:tc>
          <w:tcPr>
            <w:tcW w:w="14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E25AA" w14:textId="77777777" w:rsidR="00D653B0" w:rsidRPr="00A619A9" w:rsidRDefault="00D653B0" w:rsidP="003664D1">
            <w:pPr>
              <w:pStyle w:val="TableHead"/>
            </w:pPr>
            <w:r w:rsidRPr="00A619A9">
              <w:rPr>
                <w:rFonts w:hint="cs"/>
                <w:rtl/>
              </w:rPr>
              <w:t>القطاع</w:t>
            </w:r>
          </w:p>
        </w:tc>
        <w:tc>
          <w:tcPr>
            <w:tcW w:w="1222" w:type="pct"/>
          </w:tcPr>
          <w:p w14:paraId="08DC07E5" w14:textId="77777777" w:rsidR="00D653B0" w:rsidRPr="00A619A9" w:rsidRDefault="00D653B0" w:rsidP="003664D1">
            <w:pPr>
              <w:pStyle w:val="TableHead"/>
              <w:rPr>
                <w:rtl/>
              </w:rPr>
            </w:pPr>
            <w:r w:rsidRPr="00A619A9">
              <w:rPr>
                <w:rFonts w:hint="cs"/>
                <w:rtl/>
              </w:rPr>
              <w:t>توصية الأمين العام</w:t>
            </w:r>
          </w:p>
        </w:tc>
      </w:tr>
      <w:tr w:rsidR="00D653B0" w:rsidRPr="00A619A9" w14:paraId="4C7EE975" w14:textId="77777777" w:rsidTr="00D653B0">
        <w:trPr>
          <w:cantSplit/>
          <w:jc w:val="center"/>
        </w:trPr>
        <w:tc>
          <w:tcPr>
            <w:tcW w:w="23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131811" w14:textId="0DC21BAF" w:rsidR="00D653B0" w:rsidRPr="0044523A" w:rsidRDefault="008569EB" w:rsidP="003664D1">
            <w:pPr>
              <w:pStyle w:val="Tabletexte"/>
              <w:keepNext/>
              <w:keepLines/>
              <w:rPr>
                <w:b/>
                <w:bCs/>
                <w:spacing w:val="-2"/>
                <w:rtl/>
                <w:lang w:bidi="ar-EG"/>
              </w:rPr>
            </w:pPr>
            <w:r>
              <w:rPr>
                <w:rFonts w:hint="cs"/>
                <w:b/>
                <w:bCs/>
                <w:spacing w:val="-2"/>
                <w:rtl/>
              </w:rPr>
              <w:t xml:space="preserve">مؤسسة </w:t>
            </w:r>
            <w:proofErr w:type="spellStart"/>
            <w:r>
              <w:rPr>
                <w:b/>
                <w:bCs/>
                <w:spacing w:val="-2"/>
              </w:rPr>
              <w:t>Techfugees</w:t>
            </w:r>
            <w:proofErr w:type="spellEnd"/>
          </w:p>
        </w:tc>
        <w:tc>
          <w:tcPr>
            <w:tcW w:w="146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8EF780" w14:textId="7C5EF37E" w:rsidR="00D653B0" w:rsidRPr="00A619A9" w:rsidRDefault="008569EB" w:rsidP="003664D1">
            <w:pPr>
              <w:pStyle w:val="Tabletexte"/>
              <w:jc w:val="center"/>
              <w:rPr>
                <w:highlight w:val="cyan"/>
                <w:lang w:val="fr-CH"/>
              </w:rPr>
            </w:pPr>
            <w:r w:rsidRPr="00A619A9">
              <w:rPr>
                <w:rFonts w:hint="cs"/>
                <w:rtl/>
              </w:rPr>
              <w:t>قطاع تنمية الاتصالات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222" w:type="pct"/>
            <w:vAlign w:val="center"/>
          </w:tcPr>
          <w:p w14:paraId="4CF77637" w14:textId="77777777" w:rsidR="00D653B0" w:rsidRPr="00A619A9" w:rsidRDefault="00D653B0" w:rsidP="003664D1">
            <w:pPr>
              <w:pStyle w:val="Tabletexte"/>
              <w:jc w:val="center"/>
              <w:rPr>
                <w:rtl/>
              </w:rPr>
            </w:pPr>
            <w:r w:rsidRPr="00A619A9">
              <w:rPr>
                <w:rFonts w:hint="cs"/>
                <w:rtl/>
              </w:rPr>
              <w:t>نعم</w:t>
            </w:r>
          </w:p>
        </w:tc>
      </w:tr>
    </w:tbl>
    <w:p w14:paraId="3BCF004D" w14:textId="5C30CC64" w:rsidR="00914159" w:rsidRPr="00D108A5" w:rsidRDefault="00023739" w:rsidP="00914159">
      <w:pPr>
        <w:keepNext/>
        <w:keepLines/>
        <w:spacing w:before="240"/>
        <w:rPr>
          <w:spacing w:val="2"/>
          <w:sz w:val="30"/>
          <w:rtl/>
          <w:lang w:bidi="ar-EG"/>
        </w:rPr>
      </w:pPr>
      <w:r w:rsidRPr="00D108A5">
        <w:rPr>
          <w:rFonts w:hint="cs"/>
          <w:spacing w:val="2"/>
          <w:rtl/>
        </w:rPr>
        <w:t xml:space="preserve">مؤسسة </w:t>
      </w:r>
      <w:proofErr w:type="spellStart"/>
      <w:r w:rsidRPr="00D108A5">
        <w:rPr>
          <w:spacing w:val="2"/>
        </w:rPr>
        <w:t>Techfugees</w:t>
      </w:r>
      <w:proofErr w:type="spellEnd"/>
      <w:r w:rsidRPr="00D108A5">
        <w:rPr>
          <w:rFonts w:hint="cs"/>
          <w:spacing w:val="2"/>
          <w:rtl/>
        </w:rPr>
        <w:t xml:space="preserve"> مؤسسة اجتماعية غير ربحية يقع مقرها في المملكة المتحدة وتقودها مجموعة</w:t>
      </w:r>
      <w:r w:rsidR="0086409F" w:rsidRPr="00D108A5">
        <w:rPr>
          <w:rFonts w:hint="cs"/>
          <w:spacing w:val="2"/>
          <w:rtl/>
        </w:rPr>
        <w:t xml:space="preserve"> من المتطوِّعين</w:t>
      </w:r>
      <w:r w:rsidRPr="00D108A5">
        <w:rPr>
          <w:rFonts w:hint="cs"/>
          <w:spacing w:val="2"/>
          <w:rtl/>
        </w:rPr>
        <w:t xml:space="preserve"> من رواد الأعمال والمهندسين والباحثين والمنظمات غير الحكومية والأشخاص</w:t>
      </w:r>
      <w:r w:rsidR="00D84049" w:rsidRPr="00D108A5">
        <w:rPr>
          <w:rFonts w:hint="cs"/>
          <w:spacing w:val="2"/>
          <w:rtl/>
        </w:rPr>
        <w:t xml:space="preserve"> النازحين</w:t>
      </w:r>
      <w:r w:rsidRPr="00D108A5">
        <w:rPr>
          <w:rFonts w:hint="cs"/>
          <w:spacing w:val="2"/>
          <w:rtl/>
        </w:rPr>
        <w:t xml:space="preserve"> </w:t>
      </w:r>
      <w:r w:rsidR="0086409F" w:rsidRPr="00D108A5">
        <w:rPr>
          <w:rFonts w:hint="cs"/>
          <w:spacing w:val="2"/>
          <w:rtl/>
        </w:rPr>
        <w:t xml:space="preserve">العاملين في مجال التكنولوجيا الرقمية. </w:t>
      </w:r>
      <w:r w:rsidR="00F3438A" w:rsidRPr="00D108A5">
        <w:rPr>
          <w:rFonts w:hint="cs"/>
          <w:spacing w:val="2"/>
          <w:rtl/>
        </w:rPr>
        <w:t xml:space="preserve">وتحظى المؤسسة بحضور عالمي في </w:t>
      </w:r>
      <w:r w:rsidR="00F3438A" w:rsidRPr="00D108A5">
        <w:rPr>
          <w:spacing w:val="2"/>
        </w:rPr>
        <w:t>10</w:t>
      </w:r>
      <w:r w:rsidR="00F3438A" w:rsidRPr="00D108A5">
        <w:rPr>
          <w:rFonts w:hint="cs"/>
          <w:spacing w:val="2"/>
          <w:rtl/>
          <w:lang w:bidi="ar-EG"/>
        </w:rPr>
        <w:t xml:space="preserve"> بلدان وتسعى حالياً إلى التوسُّع، لكنها تعمل على الصعيد المحلي لتجمع معاً منظمات وأشخاص مختلفين في بيئة منفتحة وموثوقة </w:t>
      </w:r>
      <w:r w:rsidR="00D84049" w:rsidRPr="00D108A5">
        <w:rPr>
          <w:spacing w:val="2"/>
          <w:rtl/>
          <w:lang w:bidi="ar-EG"/>
        </w:rPr>
        <w:t>وموصولة</w:t>
      </w:r>
      <w:r w:rsidR="00D84049" w:rsidRPr="00D108A5">
        <w:rPr>
          <w:rFonts w:hint="cs"/>
          <w:spacing w:val="2"/>
          <w:rtl/>
          <w:lang w:bidi="ar-EG"/>
        </w:rPr>
        <w:t xml:space="preserve"> </w:t>
      </w:r>
      <w:r w:rsidR="00C1324C" w:rsidRPr="00D108A5">
        <w:rPr>
          <w:rFonts w:hint="cs"/>
          <w:spacing w:val="2"/>
          <w:rtl/>
          <w:lang w:bidi="ar-EG"/>
        </w:rPr>
        <w:t xml:space="preserve">بهدف </w:t>
      </w:r>
      <w:r w:rsidR="009958FB" w:rsidRPr="00D108A5">
        <w:rPr>
          <w:rFonts w:hint="cs"/>
          <w:spacing w:val="2"/>
          <w:rtl/>
          <w:lang w:bidi="ar-EG"/>
        </w:rPr>
        <w:t>صوْغ</w:t>
      </w:r>
      <w:r w:rsidR="003C2C5D" w:rsidRPr="00D108A5">
        <w:rPr>
          <w:rFonts w:hint="cs"/>
          <w:spacing w:val="2"/>
          <w:rtl/>
          <w:lang w:bidi="ar-EG"/>
        </w:rPr>
        <w:t xml:space="preserve"> حلول إنسانية في مجال التكنولوجيا الرقمية على أيدي الأشخاص</w:t>
      </w:r>
      <w:r w:rsidR="00D84049" w:rsidRPr="00D108A5">
        <w:rPr>
          <w:rFonts w:hint="cs"/>
          <w:spacing w:val="2"/>
          <w:rtl/>
          <w:lang w:bidi="ar-EG"/>
        </w:rPr>
        <w:t xml:space="preserve"> </w:t>
      </w:r>
      <w:r w:rsidR="00D84049" w:rsidRPr="00D108A5">
        <w:rPr>
          <w:spacing w:val="2"/>
          <w:rtl/>
          <w:lang w:bidi="ar-EG"/>
        </w:rPr>
        <w:t>النازحين</w:t>
      </w:r>
      <w:r w:rsidR="003C2C5D" w:rsidRPr="00D108A5">
        <w:rPr>
          <w:rFonts w:hint="cs"/>
          <w:spacing w:val="2"/>
          <w:rtl/>
          <w:lang w:bidi="ar-EG"/>
        </w:rPr>
        <w:t xml:space="preserve"> من أجل الأشخاص</w:t>
      </w:r>
      <w:r w:rsidR="00D84049" w:rsidRPr="00D108A5">
        <w:rPr>
          <w:rFonts w:hint="cs"/>
          <w:spacing w:val="2"/>
          <w:rtl/>
          <w:lang w:bidi="ar-EG"/>
        </w:rPr>
        <w:t xml:space="preserve"> </w:t>
      </w:r>
      <w:r w:rsidR="00D84049" w:rsidRPr="00D108A5">
        <w:rPr>
          <w:spacing w:val="2"/>
          <w:rtl/>
          <w:lang w:bidi="ar-EG"/>
        </w:rPr>
        <w:t>النازحين</w:t>
      </w:r>
      <w:r w:rsidR="003C2C5D" w:rsidRPr="00D108A5">
        <w:rPr>
          <w:rFonts w:hint="cs"/>
          <w:spacing w:val="2"/>
          <w:rtl/>
          <w:lang w:bidi="ar-EG"/>
        </w:rPr>
        <w:t>.</w:t>
      </w:r>
      <w:r w:rsidR="00F3438A" w:rsidRPr="00D108A5">
        <w:rPr>
          <w:rFonts w:hint="cs"/>
          <w:spacing w:val="2"/>
          <w:rtl/>
          <w:lang w:bidi="ar-EG"/>
        </w:rPr>
        <w:t xml:space="preserve"> </w:t>
      </w:r>
      <w:r w:rsidR="00914159" w:rsidRPr="00D108A5">
        <w:rPr>
          <w:spacing w:val="2"/>
          <w:rtl/>
        </w:rPr>
        <w:t xml:space="preserve">وترى الأمانة أن </w:t>
      </w:r>
      <w:r w:rsidR="003C2C5D" w:rsidRPr="00D108A5">
        <w:rPr>
          <w:rFonts w:hint="cs"/>
          <w:spacing w:val="2"/>
          <w:rtl/>
        </w:rPr>
        <w:t>هذا الكيان يستوفي</w:t>
      </w:r>
      <w:r w:rsidR="00914159" w:rsidRPr="00D108A5">
        <w:rPr>
          <w:spacing w:val="2"/>
          <w:rtl/>
        </w:rPr>
        <w:t xml:space="preserve"> معايير الإعفاء </w:t>
      </w:r>
      <w:r w:rsidR="00914159" w:rsidRPr="00D108A5">
        <w:rPr>
          <w:rFonts w:hint="cs"/>
          <w:spacing w:val="2"/>
          <w:rtl/>
        </w:rPr>
        <w:t xml:space="preserve">من </w:t>
      </w:r>
      <w:r w:rsidR="00914159" w:rsidRPr="00D108A5">
        <w:rPr>
          <w:rFonts w:hint="cs"/>
          <w:spacing w:val="2"/>
          <w:rtl/>
          <w:lang w:bidi="ar-EG"/>
        </w:rPr>
        <w:t xml:space="preserve">رسوم العضوية </w:t>
      </w:r>
      <w:r w:rsidR="00914159" w:rsidRPr="00D108A5">
        <w:rPr>
          <w:rFonts w:hint="cs"/>
          <w:spacing w:val="2"/>
          <w:rtl/>
        </w:rPr>
        <w:t xml:space="preserve">في </w:t>
      </w:r>
      <w:r w:rsidR="00914159" w:rsidRPr="00D108A5">
        <w:rPr>
          <w:spacing w:val="2"/>
          <w:rtl/>
        </w:rPr>
        <w:t xml:space="preserve">قطاع </w:t>
      </w:r>
      <w:r w:rsidR="00365E9D" w:rsidRPr="00D108A5">
        <w:rPr>
          <w:rFonts w:hint="cs"/>
          <w:spacing w:val="2"/>
          <w:rtl/>
        </w:rPr>
        <w:t>تنمية</w:t>
      </w:r>
      <w:r w:rsidR="00914159" w:rsidRPr="00D108A5">
        <w:rPr>
          <w:spacing w:val="2"/>
          <w:rtl/>
        </w:rPr>
        <w:t xml:space="preserve"> الاتصالات.</w:t>
      </w:r>
    </w:p>
    <w:p w14:paraId="0F4B58CD" w14:textId="77777777" w:rsidR="00914159" w:rsidRDefault="00914159" w:rsidP="00914159">
      <w:pPr>
        <w:keepNext/>
        <w:keepLines/>
        <w:spacing w:after="120"/>
        <w:rPr>
          <w:rtl/>
          <w:lang w:bidi="ar-EG"/>
        </w:rPr>
      </w:pPr>
      <w:r>
        <w:rPr>
          <w:lang w:bidi="ar-EG"/>
        </w:rPr>
        <w:t>5.2</w:t>
      </w:r>
      <w:r>
        <w:rPr>
          <w:rFonts w:hint="cs"/>
          <w:rtl/>
          <w:lang w:bidi="ar-EG"/>
        </w:rPr>
        <w:t> </w:t>
      </w:r>
    </w:p>
    <w:tbl>
      <w:tblPr>
        <w:bidiVisual/>
        <w:tblW w:w="77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2"/>
        <w:gridCol w:w="2256"/>
        <w:gridCol w:w="1893"/>
      </w:tblGrid>
      <w:tr w:rsidR="00592ECA" w:rsidRPr="00AF2032" w14:paraId="781BB151" w14:textId="77777777" w:rsidTr="00592ECA">
        <w:trPr>
          <w:cantSplit/>
          <w:jc w:val="center"/>
        </w:trPr>
        <w:tc>
          <w:tcPr>
            <w:tcW w:w="231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A673E" w14:textId="77777777" w:rsidR="00592ECA" w:rsidRPr="00A619A9" w:rsidRDefault="00592ECA" w:rsidP="003664D1">
            <w:pPr>
              <w:pStyle w:val="TableHead"/>
            </w:pPr>
            <w:r w:rsidRPr="00A619A9">
              <w:rPr>
                <w:rFonts w:hint="cs"/>
                <w:rtl/>
              </w:rPr>
              <w:t>المنظمة</w:t>
            </w:r>
          </w:p>
        </w:tc>
        <w:tc>
          <w:tcPr>
            <w:tcW w:w="14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7AD42" w14:textId="77777777" w:rsidR="00592ECA" w:rsidRPr="00A619A9" w:rsidRDefault="00592ECA" w:rsidP="003664D1">
            <w:pPr>
              <w:pStyle w:val="TableHead"/>
            </w:pPr>
            <w:r w:rsidRPr="00A619A9">
              <w:rPr>
                <w:rFonts w:hint="cs"/>
                <w:rtl/>
              </w:rPr>
              <w:t>القطاع</w:t>
            </w:r>
          </w:p>
        </w:tc>
        <w:tc>
          <w:tcPr>
            <w:tcW w:w="1224" w:type="pct"/>
          </w:tcPr>
          <w:p w14:paraId="05ADD046" w14:textId="77777777" w:rsidR="00592ECA" w:rsidRPr="00A619A9" w:rsidRDefault="00592ECA" w:rsidP="003664D1">
            <w:pPr>
              <w:pStyle w:val="TableHead"/>
              <w:rPr>
                <w:rtl/>
              </w:rPr>
            </w:pPr>
            <w:r w:rsidRPr="00A619A9">
              <w:rPr>
                <w:rFonts w:hint="cs"/>
                <w:rtl/>
              </w:rPr>
              <w:t>توصية الأمين العام</w:t>
            </w:r>
          </w:p>
        </w:tc>
      </w:tr>
      <w:tr w:rsidR="00592ECA" w:rsidRPr="00AF2032" w14:paraId="29EFEF65" w14:textId="77777777" w:rsidTr="00F90BD2">
        <w:trPr>
          <w:cantSplit/>
          <w:jc w:val="center"/>
        </w:trPr>
        <w:tc>
          <w:tcPr>
            <w:tcW w:w="23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6E70DA" w14:textId="0A66B7F7" w:rsidR="00592ECA" w:rsidRPr="00FB4095" w:rsidRDefault="00DB5B38" w:rsidP="003664D1">
            <w:pPr>
              <w:pStyle w:val="Tabletexte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الرابطة العالمية </w:t>
            </w:r>
            <w:r w:rsidR="00B47C03">
              <w:rPr>
                <w:rFonts w:hint="cs"/>
                <w:b/>
                <w:bCs/>
                <w:rtl/>
              </w:rPr>
              <w:t>لمورِّدي تجهيزات</w:t>
            </w:r>
            <w:r>
              <w:rPr>
                <w:rFonts w:hint="cs"/>
                <w:b/>
                <w:bCs/>
                <w:rtl/>
              </w:rPr>
              <w:t xml:space="preserve"> الاتصالات المتنقلة</w:t>
            </w:r>
            <w:r w:rsidR="005C203B">
              <w:rPr>
                <w:rFonts w:hint="cs"/>
                <w:b/>
                <w:bCs/>
                <w:rtl/>
              </w:rPr>
              <w:t xml:space="preserve"> </w:t>
            </w:r>
            <w:r w:rsidR="005C203B">
              <w:rPr>
                <w:b/>
                <w:bCs/>
              </w:rPr>
              <w:t>(GSA)</w:t>
            </w:r>
          </w:p>
        </w:tc>
        <w:tc>
          <w:tcPr>
            <w:tcW w:w="14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C41EB" w14:textId="61B01A4A" w:rsidR="00592ECA" w:rsidRPr="00032BD9" w:rsidRDefault="00DB5B38" w:rsidP="003664D1">
            <w:pPr>
              <w:pStyle w:val="Tabletexte"/>
              <w:jc w:val="center"/>
              <w:rPr>
                <w:highlight w:val="cyan"/>
              </w:rPr>
            </w:pPr>
            <w:r>
              <w:rPr>
                <w:rFonts w:hint="cs"/>
                <w:rtl/>
                <w:lang w:bidi="ar-EG"/>
              </w:rPr>
              <w:t xml:space="preserve">قطاع الاتصالات الراديوية </w:t>
            </w:r>
          </w:p>
        </w:tc>
        <w:tc>
          <w:tcPr>
            <w:tcW w:w="1224" w:type="pct"/>
            <w:vAlign w:val="center"/>
          </w:tcPr>
          <w:p w14:paraId="2477FB49" w14:textId="24094248" w:rsidR="00592ECA" w:rsidRPr="00AF2032" w:rsidRDefault="00592ECA" w:rsidP="00F90BD2">
            <w:pPr>
              <w:pStyle w:val="Tabletexte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لا</w:t>
            </w:r>
          </w:p>
        </w:tc>
      </w:tr>
    </w:tbl>
    <w:p w14:paraId="716B4E53" w14:textId="4D85AA76" w:rsidR="008C68B4" w:rsidRPr="008C68B4" w:rsidRDefault="00B47C03" w:rsidP="008C68B4">
      <w:pPr>
        <w:spacing w:before="240"/>
        <w:rPr>
          <w:spacing w:val="2"/>
          <w:lang w:val="en-GB" w:bidi="ar-EG"/>
        </w:rPr>
      </w:pPr>
      <w:r w:rsidRPr="00B47C03">
        <w:rPr>
          <w:rFonts w:hint="cs"/>
          <w:rtl/>
        </w:rPr>
        <w:t>الرابطة العالمية لمورِّدي</w:t>
      </w:r>
      <w:r w:rsidRPr="00B47C03">
        <w:t xml:space="preserve"> </w:t>
      </w:r>
      <w:r w:rsidRPr="00B47C03">
        <w:rPr>
          <w:rFonts w:hint="cs"/>
          <w:rtl/>
          <w:lang w:bidi="ar-EG"/>
        </w:rPr>
        <w:t>تجهيزات</w:t>
      </w:r>
      <w:r w:rsidRPr="00B47C03">
        <w:rPr>
          <w:rFonts w:hint="cs"/>
          <w:rtl/>
        </w:rPr>
        <w:t xml:space="preserve"> الاتصالات المتنقلة</w:t>
      </w:r>
      <w:r w:rsidR="00DA2422">
        <w:rPr>
          <w:rFonts w:hint="cs"/>
          <w:rtl/>
        </w:rPr>
        <w:t xml:space="preserve"> </w:t>
      </w:r>
      <w:r w:rsidR="00DA2422">
        <w:t>(GSA)</w:t>
      </w:r>
      <w:r w:rsidR="00DA2422">
        <w:rPr>
          <w:rFonts w:hint="cs"/>
          <w:rtl/>
          <w:lang w:bidi="ar-EG"/>
        </w:rPr>
        <w:t xml:space="preserve"> </w:t>
      </w:r>
      <w:r w:rsidR="00914159" w:rsidRPr="00B47C03">
        <w:rPr>
          <w:spacing w:val="2"/>
          <w:rtl/>
          <w:lang w:bidi="ar-EG"/>
        </w:rPr>
        <w:t>منظمة</w:t>
      </w:r>
      <w:r w:rsidR="00914159" w:rsidRPr="00F93921">
        <w:rPr>
          <w:spacing w:val="2"/>
          <w:rtl/>
          <w:lang w:bidi="ar-EG"/>
        </w:rPr>
        <w:t xml:space="preserve"> </w:t>
      </w:r>
      <w:r w:rsidR="00BB7DF1">
        <w:rPr>
          <w:rFonts w:hint="cs"/>
          <w:spacing w:val="2"/>
          <w:rtl/>
          <w:lang w:bidi="ar-EG"/>
        </w:rPr>
        <w:t>صناعية</w:t>
      </w:r>
      <w:r w:rsidR="00056552">
        <w:rPr>
          <w:rFonts w:hint="cs"/>
          <w:spacing w:val="2"/>
          <w:rtl/>
          <w:lang w:bidi="ar-EG"/>
        </w:rPr>
        <w:t xml:space="preserve"> غر ربحية تمثل الشركات العاملة على نطاق النظام الإيكولوجي العالمي للاتصالات المتنقلة، المعنية بتوريد البنى التحتية وأشباه الموصِّلات ومعدّ</w:t>
      </w:r>
      <w:r w:rsidR="00C8338A">
        <w:rPr>
          <w:rFonts w:hint="cs"/>
          <w:spacing w:val="2"/>
          <w:rtl/>
          <w:lang w:bidi="ar-EG"/>
        </w:rPr>
        <w:t>ِ</w:t>
      </w:r>
      <w:r w:rsidR="00056552">
        <w:rPr>
          <w:rFonts w:hint="cs"/>
          <w:spacing w:val="2"/>
          <w:rtl/>
          <w:lang w:bidi="ar-EG"/>
        </w:rPr>
        <w:t>ات وأجهزة وتطبيقات الاختبار وخدمات الدعم المتنقلة</w:t>
      </w:r>
      <w:r w:rsidR="00914159" w:rsidRPr="00F93921">
        <w:rPr>
          <w:spacing w:val="2"/>
          <w:rtl/>
          <w:lang w:bidi="ar-EG"/>
        </w:rPr>
        <w:t xml:space="preserve">. </w:t>
      </w:r>
      <w:r w:rsidR="00056552">
        <w:rPr>
          <w:rFonts w:hint="cs"/>
          <w:spacing w:val="2"/>
          <w:rtl/>
          <w:lang w:bidi="ar-EG"/>
        </w:rPr>
        <w:t>وت</w:t>
      </w:r>
      <w:r w:rsidR="00AF3B14">
        <w:rPr>
          <w:rFonts w:hint="cs"/>
          <w:spacing w:val="2"/>
          <w:rtl/>
          <w:lang w:bidi="ar-EG"/>
        </w:rPr>
        <w:t>روِّج</w:t>
      </w:r>
      <w:r w:rsidR="00056552">
        <w:rPr>
          <w:rFonts w:hint="cs"/>
          <w:spacing w:val="2"/>
          <w:rtl/>
          <w:lang w:bidi="ar-EG"/>
        </w:rPr>
        <w:t xml:space="preserve"> الرابطة </w:t>
      </w:r>
      <w:r w:rsidR="00D84049">
        <w:rPr>
          <w:rFonts w:hint="cs"/>
          <w:spacing w:val="2"/>
          <w:rtl/>
          <w:lang w:bidi="ar-EG"/>
        </w:rPr>
        <w:t xml:space="preserve">خارطة </w:t>
      </w:r>
      <w:r w:rsidR="00056552">
        <w:rPr>
          <w:rFonts w:hint="cs"/>
          <w:spacing w:val="2"/>
          <w:rtl/>
          <w:lang w:bidi="ar-EG"/>
        </w:rPr>
        <w:t>الطريق</w:t>
      </w:r>
      <w:r w:rsidR="00AF3B14">
        <w:rPr>
          <w:rFonts w:hint="cs"/>
          <w:spacing w:val="2"/>
          <w:rtl/>
          <w:lang w:bidi="ar-EG"/>
        </w:rPr>
        <w:t xml:space="preserve"> التكنولوجية لمشروع شراكة الجيل الثالث </w:t>
      </w:r>
      <w:r w:rsidR="00AF3B14">
        <w:rPr>
          <w:spacing w:val="2"/>
          <w:lang w:bidi="ar-EG"/>
        </w:rPr>
        <w:t>(3GPP)</w:t>
      </w:r>
      <w:r w:rsidR="00056552">
        <w:rPr>
          <w:rFonts w:hint="cs"/>
          <w:spacing w:val="2"/>
          <w:rtl/>
          <w:lang w:bidi="ar-EG"/>
        </w:rPr>
        <w:t xml:space="preserve">، </w:t>
      </w:r>
      <w:r w:rsidR="00DA2422">
        <w:rPr>
          <w:rFonts w:hint="cs"/>
          <w:spacing w:val="2"/>
          <w:rtl/>
          <w:lang w:bidi="ar-EG"/>
        </w:rPr>
        <w:t>التي</w:t>
      </w:r>
      <w:r w:rsidR="00F90BD2">
        <w:rPr>
          <w:rFonts w:hint="eastAsia"/>
          <w:spacing w:val="2"/>
          <w:rtl/>
          <w:lang w:bidi="ar-EG"/>
        </w:rPr>
        <w:t> </w:t>
      </w:r>
      <w:r w:rsidR="00DA2422">
        <w:rPr>
          <w:rFonts w:hint="cs"/>
          <w:spacing w:val="2"/>
          <w:rtl/>
          <w:lang w:bidi="ar-EG"/>
        </w:rPr>
        <w:t xml:space="preserve">تشمل تكنولوجيات </w:t>
      </w:r>
      <w:r w:rsidR="00056552">
        <w:rPr>
          <w:rFonts w:hint="cs"/>
          <w:spacing w:val="2"/>
          <w:rtl/>
          <w:lang w:bidi="ar-EG"/>
        </w:rPr>
        <w:t>الأجيال الثالث</w:t>
      </w:r>
      <w:r w:rsidR="00DA2422">
        <w:rPr>
          <w:rFonts w:hint="cs"/>
          <w:spacing w:val="2"/>
          <w:rtl/>
          <w:lang w:bidi="ar-EG"/>
        </w:rPr>
        <w:t xml:space="preserve"> </w:t>
      </w:r>
      <w:r w:rsidR="00DA2422">
        <w:rPr>
          <w:spacing w:val="2"/>
          <w:lang w:bidi="ar-EG"/>
        </w:rPr>
        <w:t>(3G)</w:t>
      </w:r>
      <w:r w:rsidR="00056552">
        <w:rPr>
          <w:rFonts w:hint="cs"/>
          <w:spacing w:val="2"/>
          <w:rtl/>
          <w:lang w:bidi="ar-EG"/>
        </w:rPr>
        <w:t xml:space="preserve"> والرابع </w:t>
      </w:r>
      <w:r w:rsidR="00DA2422">
        <w:rPr>
          <w:spacing w:val="2"/>
          <w:lang w:bidi="ar-EG"/>
        </w:rPr>
        <w:t>(4G)</w:t>
      </w:r>
      <w:r w:rsidR="00DA2422">
        <w:rPr>
          <w:rFonts w:hint="cs"/>
          <w:spacing w:val="2"/>
          <w:rtl/>
          <w:lang w:bidi="ar-EG"/>
        </w:rPr>
        <w:t xml:space="preserve"> </w:t>
      </w:r>
      <w:r w:rsidR="00056552">
        <w:rPr>
          <w:rFonts w:hint="cs"/>
          <w:spacing w:val="2"/>
          <w:rtl/>
          <w:lang w:bidi="ar-EG"/>
        </w:rPr>
        <w:t>والخامس</w:t>
      </w:r>
      <w:r w:rsidR="00DA2422">
        <w:rPr>
          <w:rFonts w:hint="cs"/>
          <w:spacing w:val="2"/>
          <w:rtl/>
          <w:lang w:bidi="ar-EG"/>
        </w:rPr>
        <w:t xml:space="preserve"> </w:t>
      </w:r>
      <w:r w:rsidR="00DA2422">
        <w:rPr>
          <w:spacing w:val="2"/>
          <w:lang w:bidi="ar-EG"/>
        </w:rPr>
        <w:t>(5G)</w:t>
      </w:r>
      <w:r w:rsidR="00056552">
        <w:rPr>
          <w:rFonts w:hint="cs"/>
          <w:spacing w:val="2"/>
          <w:rtl/>
          <w:lang w:bidi="ar-EG"/>
        </w:rPr>
        <w:t>، وتشكل مصدراً للمعلومات لتقارير دوائر الصناعة المعنية و</w:t>
      </w:r>
      <w:r w:rsidR="00DA2422">
        <w:rPr>
          <w:rFonts w:hint="cs"/>
          <w:spacing w:val="2"/>
          <w:rtl/>
          <w:lang w:bidi="ar-EG"/>
        </w:rPr>
        <w:t>ل</w:t>
      </w:r>
      <w:r w:rsidR="00AF3B14">
        <w:rPr>
          <w:rFonts w:hint="cs"/>
          <w:spacing w:val="2"/>
          <w:rtl/>
          <w:lang w:bidi="ar-EG"/>
        </w:rPr>
        <w:t>استخبارات</w:t>
      </w:r>
      <w:r w:rsidR="00056552">
        <w:rPr>
          <w:rFonts w:hint="cs"/>
          <w:spacing w:val="2"/>
          <w:rtl/>
          <w:lang w:bidi="ar-EG"/>
        </w:rPr>
        <w:t xml:space="preserve"> السوق. وبالنظر إلى أن </w:t>
      </w:r>
      <w:r w:rsidR="00DA2422">
        <w:rPr>
          <w:rFonts w:hint="cs"/>
          <w:spacing w:val="2"/>
          <w:rtl/>
          <w:lang w:bidi="ar-EG"/>
        </w:rPr>
        <w:t xml:space="preserve">غالبية </w:t>
      </w:r>
      <w:r w:rsidR="00056552">
        <w:rPr>
          <w:rFonts w:hint="cs"/>
          <w:spacing w:val="2"/>
          <w:rtl/>
          <w:lang w:bidi="ar-EG"/>
        </w:rPr>
        <w:t xml:space="preserve">أعضاء الرابطة من الشركات الربحية، </w:t>
      </w:r>
      <w:r w:rsidR="00914159" w:rsidRPr="00F93921">
        <w:rPr>
          <w:spacing w:val="2"/>
          <w:rtl/>
          <w:lang w:bidi="ar-EG"/>
        </w:rPr>
        <w:t xml:space="preserve">ترى الأمانة أن </w:t>
      </w:r>
      <w:r w:rsidR="00056552">
        <w:rPr>
          <w:rFonts w:hint="cs"/>
          <w:spacing w:val="2"/>
          <w:rtl/>
          <w:lang w:bidi="ar-EG"/>
        </w:rPr>
        <w:t>هذا الكيان لا</w:t>
      </w:r>
      <w:r w:rsidR="00914159" w:rsidRPr="00F93921">
        <w:rPr>
          <w:spacing w:val="2"/>
          <w:rtl/>
          <w:lang w:bidi="ar-EG"/>
        </w:rPr>
        <w:t xml:space="preserve"> </w:t>
      </w:r>
      <w:r w:rsidR="00056552">
        <w:rPr>
          <w:rFonts w:hint="cs"/>
          <w:spacing w:val="2"/>
          <w:rtl/>
          <w:lang w:bidi="ar-EG"/>
        </w:rPr>
        <w:t>ي</w:t>
      </w:r>
      <w:r w:rsidR="00914159" w:rsidRPr="00F93921">
        <w:rPr>
          <w:spacing w:val="2"/>
          <w:rtl/>
          <w:lang w:bidi="ar-EG"/>
        </w:rPr>
        <w:t xml:space="preserve">ستوفي معايير الإعفاء </w:t>
      </w:r>
      <w:r w:rsidR="00914159">
        <w:rPr>
          <w:rFonts w:hint="cs"/>
          <w:spacing w:val="2"/>
          <w:rtl/>
          <w:lang w:bidi="ar-EG"/>
        </w:rPr>
        <w:t>من رسوم العضوية.</w:t>
      </w:r>
    </w:p>
    <w:p w14:paraId="2A3148AE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407D" w14:textId="77777777" w:rsidR="00A0516A" w:rsidRDefault="00A0516A" w:rsidP="006C3242">
      <w:pPr>
        <w:spacing w:before="0" w:line="240" w:lineRule="auto"/>
      </w:pPr>
      <w:r>
        <w:separator/>
      </w:r>
    </w:p>
  </w:endnote>
  <w:endnote w:type="continuationSeparator" w:id="0">
    <w:p w14:paraId="4960E5EA" w14:textId="77777777" w:rsidR="00A0516A" w:rsidRDefault="00A0516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726F" w14:textId="45C49B93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BC2D08">
      <w:rPr>
        <w:color w:val="F2F2F2" w:themeColor="background1" w:themeShade="F2"/>
        <w:sz w:val="16"/>
        <w:szCs w:val="16"/>
        <w:lang w:val="fr-FR"/>
      </w:rPr>
      <w:fldChar w:fldCharType="begin"/>
    </w:r>
    <w:r w:rsidRPr="00BC2D08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BC2D08">
      <w:rPr>
        <w:color w:val="F2F2F2" w:themeColor="background1" w:themeShade="F2"/>
        <w:sz w:val="16"/>
        <w:szCs w:val="16"/>
        <w:lang w:val="fr-FR"/>
      </w:rPr>
      <w:fldChar w:fldCharType="separate"/>
    </w:r>
    <w:r w:rsidR="00E625EB" w:rsidRPr="00BC2D08">
      <w:rPr>
        <w:noProof/>
        <w:color w:val="F2F2F2" w:themeColor="background1" w:themeShade="F2"/>
        <w:sz w:val="16"/>
        <w:szCs w:val="16"/>
        <w:lang w:val="fr-FR"/>
      </w:rPr>
      <w:t>P:\ARA\SG\CONSEIL\C21\000\039A.docx</w:t>
    </w:r>
    <w:r w:rsidRPr="00BC2D08">
      <w:rPr>
        <w:color w:val="F2F2F2" w:themeColor="background1" w:themeShade="F2"/>
        <w:sz w:val="16"/>
        <w:szCs w:val="16"/>
      </w:rPr>
      <w:fldChar w:fldCharType="end"/>
    </w:r>
    <w:r w:rsidRPr="00BC2D08">
      <w:rPr>
        <w:color w:val="F2F2F2" w:themeColor="background1" w:themeShade="F2"/>
        <w:sz w:val="16"/>
        <w:szCs w:val="16"/>
        <w:lang w:val="fr-CH"/>
      </w:rPr>
      <w:t xml:space="preserve">  </w:t>
    </w:r>
    <w:r w:rsidRPr="00BC2D08">
      <w:rPr>
        <w:color w:val="F2F2F2" w:themeColor="background1" w:themeShade="F2"/>
        <w:sz w:val="16"/>
        <w:szCs w:val="16"/>
        <w:lang w:val="fr-FR"/>
      </w:rPr>
      <w:t xml:space="preserve"> (</w:t>
    </w:r>
    <w:r w:rsidR="002A2E3E" w:rsidRPr="00BC2D08">
      <w:rPr>
        <w:color w:val="F2F2F2" w:themeColor="background1" w:themeShade="F2"/>
        <w:sz w:val="16"/>
        <w:szCs w:val="16"/>
        <w:lang w:val="fr-FR"/>
      </w:rPr>
      <w:t>483235</w:t>
    </w:r>
    <w:r w:rsidRPr="00BC2D08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E91E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D97EB" w14:textId="77777777" w:rsidR="00A0516A" w:rsidRDefault="00A0516A" w:rsidP="006C3242">
      <w:pPr>
        <w:spacing w:before="0" w:line="240" w:lineRule="auto"/>
      </w:pPr>
      <w:r>
        <w:separator/>
      </w:r>
    </w:p>
  </w:footnote>
  <w:footnote w:type="continuationSeparator" w:id="0">
    <w:p w14:paraId="10EB691E" w14:textId="77777777" w:rsidR="00A0516A" w:rsidRDefault="00A0516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B7A6" w14:textId="47D11392" w:rsidR="00447F32" w:rsidRPr="00447F32" w:rsidRDefault="00BC2D08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2A2E3E">
          <w:rPr>
            <w:rFonts w:cs="Calibri"/>
            <w:noProof/>
            <w:sz w:val="20"/>
            <w:szCs w:val="20"/>
          </w:rPr>
          <w:t>39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53"/>
    <w:rsid w:val="00002612"/>
    <w:rsid w:val="00023739"/>
    <w:rsid w:val="00056552"/>
    <w:rsid w:val="000717FA"/>
    <w:rsid w:val="00090574"/>
    <w:rsid w:val="000A63E7"/>
    <w:rsid w:val="000C1C0E"/>
    <w:rsid w:val="000C548A"/>
    <w:rsid w:val="00102953"/>
    <w:rsid w:val="0015650C"/>
    <w:rsid w:val="00181430"/>
    <w:rsid w:val="001C0169"/>
    <w:rsid w:val="001D1D50"/>
    <w:rsid w:val="001D6745"/>
    <w:rsid w:val="001E446E"/>
    <w:rsid w:val="002154EE"/>
    <w:rsid w:val="00226E7A"/>
    <w:rsid w:val="002276D2"/>
    <w:rsid w:val="0023283D"/>
    <w:rsid w:val="0026373E"/>
    <w:rsid w:val="00271C43"/>
    <w:rsid w:val="00290728"/>
    <w:rsid w:val="002978F4"/>
    <w:rsid w:val="002A2E3E"/>
    <w:rsid w:val="002B028D"/>
    <w:rsid w:val="002D08F6"/>
    <w:rsid w:val="002D4379"/>
    <w:rsid w:val="002E6541"/>
    <w:rsid w:val="002F71D8"/>
    <w:rsid w:val="00334924"/>
    <w:rsid w:val="003409BC"/>
    <w:rsid w:val="0034418D"/>
    <w:rsid w:val="00357185"/>
    <w:rsid w:val="00365E9D"/>
    <w:rsid w:val="00383829"/>
    <w:rsid w:val="003937E9"/>
    <w:rsid w:val="003C2C5D"/>
    <w:rsid w:val="003C6B4F"/>
    <w:rsid w:val="003E4396"/>
    <w:rsid w:val="003E4A59"/>
    <w:rsid w:val="003F4B29"/>
    <w:rsid w:val="00404E42"/>
    <w:rsid w:val="0041737D"/>
    <w:rsid w:val="0042686F"/>
    <w:rsid w:val="004317D8"/>
    <w:rsid w:val="00434183"/>
    <w:rsid w:val="00443869"/>
    <w:rsid w:val="00447F32"/>
    <w:rsid w:val="00495A27"/>
    <w:rsid w:val="004E11DC"/>
    <w:rsid w:val="005225C3"/>
    <w:rsid w:val="00525E1C"/>
    <w:rsid w:val="005409AC"/>
    <w:rsid w:val="0054242E"/>
    <w:rsid w:val="0055516A"/>
    <w:rsid w:val="00571B95"/>
    <w:rsid w:val="005805EA"/>
    <w:rsid w:val="00580CF9"/>
    <w:rsid w:val="0058491B"/>
    <w:rsid w:val="00592EA5"/>
    <w:rsid w:val="00592ECA"/>
    <w:rsid w:val="00594BF4"/>
    <w:rsid w:val="005A3170"/>
    <w:rsid w:val="005B1652"/>
    <w:rsid w:val="005C203B"/>
    <w:rsid w:val="00614855"/>
    <w:rsid w:val="00677396"/>
    <w:rsid w:val="0069200F"/>
    <w:rsid w:val="006A65CB"/>
    <w:rsid w:val="006A793B"/>
    <w:rsid w:val="006C3242"/>
    <w:rsid w:val="006C7CC0"/>
    <w:rsid w:val="006D12DB"/>
    <w:rsid w:val="006F63F7"/>
    <w:rsid w:val="007025C7"/>
    <w:rsid w:val="00706D7A"/>
    <w:rsid w:val="00722F0D"/>
    <w:rsid w:val="0074420E"/>
    <w:rsid w:val="00762864"/>
    <w:rsid w:val="00783E26"/>
    <w:rsid w:val="0078622D"/>
    <w:rsid w:val="007A17E7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69EB"/>
    <w:rsid w:val="008609E4"/>
    <w:rsid w:val="00862356"/>
    <w:rsid w:val="0086409F"/>
    <w:rsid w:val="008A7F84"/>
    <w:rsid w:val="008C68B4"/>
    <w:rsid w:val="00914159"/>
    <w:rsid w:val="0091702E"/>
    <w:rsid w:val="00923B0C"/>
    <w:rsid w:val="0094021C"/>
    <w:rsid w:val="00952F86"/>
    <w:rsid w:val="0098293C"/>
    <w:rsid w:val="00982B28"/>
    <w:rsid w:val="009952A8"/>
    <w:rsid w:val="009958FB"/>
    <w:rsid w:val="009D313F"/>
    <w:rsid w:val="00A0516A"/>
    <w:rsid w:val="00A47A5A"/>
    <w:rsid w:val="00A6683B"/>
    <w:rsid w:val="00A763D7"/>
    <w:rsid w:val="00A91B37"/>
    <w:rsid w:val="00A97F94"/>
    <w:rsid w:val="00AD711F"/>
    <w:rsid w:val="00AF3B14"/>
    <w:rsid w:val="00B03099"/>
    <w:rsid w:val="00B05BC8"/>
    <w:rsid w:val="00B47C03"/>
    <w:rsid w:val="00B64B47"/>
    <w:rsid w:val="00BA5576"/>
    <w:rsid w:val="00BB7213"/>
    <w:rsid w:val="00BB7DF1"/>
    <w:rsid w:val="00BC2D08"/>
    <w:rsid w:val="00BF539E"/>
    <w:rsid w:val="00C002DE"/>
    <w:rsid w:val="00C1324C"/>
    <w:rsid w:val="00C50D78"/>
    <w:rsid w:val="00C53BF8"/>
    <w:rsid w:val="00C566BA"/>
    <w:rsid w:val="00C66157"/>
    <w:rsid w:val="00C674FE"/>
    <w:rsid w:val="00C67501"/>
    <w:rsid w:val="00C67A87"/>
    <w:rsid w:val="00C75633"/>
    <w:rsid w:val="00C8338A"/>
    <w:rsid w:val="00C93B4E"/>
    <w:rsid w:val="00CB5DC6"/>
    <w:rsid w:val="00CE2EE1"/>
    <w:rsid w:val="00CE3349"/>
    <w:rsid w:val="00CE36E5"/>
    <w:rsid w:val="00CF27F5"/>
    <w:rsid w:val="00CF3FFD"/>
    <w:rsid w:val="00D108A5"/>
    <w:rsid w:val="00D10CCF"/>
    <w:rsid w:val="00D1327C"/>
    <w:rsid w:val="00D331E8"/>
    <w:rsid w:val="00D653B0"/>
    <w:rsid w:val="00D77D0F"/>
    <w:rsid w:val="00D84049"/>
    <w:rsid w:val="00DA1CF0"/>
    <w:rsid w:val="00DA2422"/>
    <w:rsid w:val="00DB5B38"/>
    <w:rsid w:val="00DC1E02"/>
    <w:rsid w:val="00DC24B4"/>
    <w:rsid w:val="00DC5FB0"/>
    <w:rsid w:val="00DD7E9A"/>
    <w:rsid w:val="00DE5073"/>
    <w:rsid w:val="00DE5BA2"/>
    <w:rsid w:val="00DF16DC"/>
    <w:rsid w:val="00E2035F"/>
    <w:rsid w:val="00E45211"/>
    <w:rsid w:val="00E473C5"/>
    <w:rsid w:val="00E625EB"/>
    <w:rsid w:val="00E87703"/>
    <w:rsid w:val="00E92863"/>
    <w:rsid w:val="00EA2401"/>
    <w:rsid w:val="00EA5024"/>
    <w:rsid w:val="00EB796D"/>
    <w:rsid w:val="00EC4B67"/>
    <w:rsid w:val="00EF4526"/>
    <w:rsid w:val="00F058DC"/>
    <w:rsid w:val="00F24FC4"/>
    <w:rsid w:val="00F2676C"/>
    <w:rsid w:val="00F3438A"/>
    <w:rsid w:val="00F82D63"/>
    <w:rsid w:val="00F84366"/>
    <w:rsid w:val="00F85089"/>
    <w:rsid w:val="00F90BD2"/>
    <w:rsid w:val="00F974C5"/>
    <w:rsid w:val="00FA05D3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4468A93"/>
  <w15:chartTrackingRefBased/>
  <w15:docId w15:val="{068B7378-53FC-4E37-95D9-17B5500D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26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1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430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430"/>
    <w:rPr>
      <w:rFonts w:ascii="Dubai" w:hAnsi="Dubai" w:cs="Duba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membership/Pages/exemption-criteria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doc/gs/council/c00/docs/28rev1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tudoc/gs/council/c00/docs/28rev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council/pd/convention.doc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Requests for exemption from any financial contribution to defraying expenses relating to participation in the work of ITU</dc:title>
  <dc:subject>Council 2021, Virtual consultation of councillors</dc:subject>
  <dc:creator>Aly, Abdullah</dc:creator>
  <cp:keywords>C2021, C21, VCC, C21-VCC-1</cp:keywords>
  <dc:description/>
  <cp:lastModifiedBy>Xue, Kun</cp:lastModifiedBy>
  <cp:revision>2</cp:revision>
  <dcterms:created xsi:type="dcterms:W3CDTF">2021-06-01T12:30:00Z</dcterms:created>
  <dcterms:modified xsi:type="dcterms:W3CDTF">2021-06-01T12:30:00Z</dcterms:modified>
</cp:coreProperties>
</file>