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9F66A3">
            <w:pPr>
              <w:spacing w:before="360" w:after="48" w:line="240" w:lineRule="atLeast"/>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722181">
              <w:rPr>
                <w:b/>
                <w:bCs/>
                <w:position w:val="6"/>
                <w:sz w:val="28"/>
                <w:szCs w:val="28"/>
              </w:rPr>
              <w:t>8-18 June</w:t>
            </w:r>
            <w:r w:rsidR="00F56668" w:rsidRPr="00DE4373">
              <w:rPr>
                <w:b/>
                <w:bCs/>
                <w:position w:val="6"/>
                <w:sz w:val="28"/>
                <w:szCs w:val="28"/>
              </w:rPr>
              <w:t xml:space="preserv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54C2F498" w:rsidR="002A2188" w:rsidRPr="00E85629" w:rsidRDefault="00DE4373" w:rsidP="00DE4373">
            <w:pPr>
              <w:tabs>
                <w:tab w:val="left" w:pos="851"/>
              </w:tabs>
              <w:spacing w:before="0" w:line="240" w:lineRule="atLeast"/>
              <w:rPr>
                <w:b/>
              </w:rPr>
            </w:pPr>
            <w:bookmarkStart w:id="2" w:name="dmeeting" w:colFirst="0" w:colLast="0"/>
            <w:bookmarkStart w:id="3" w:name="dnum" w:colFirst="1" w:colLast="1"/>
            <w:r>
              <w:rPr>
                <w:b/>
              </w:rPr>
              <w:t xml:space="preserve">Agenda item: </w:t>
            </w:r>
            <w:r w:rsidR="00A41A1C">
              <w:rPr>
                <w:b/>
              </w:rPr>
              <w:t>ADM 19</w:t>
            </w:r>
          </w:p>
        </w:tc>
        <w:tc>
          <w:tcPr>
            <w:tcW w:w="3120" w:type="dxa"/>
          </w:tcPr>
          <w:p w14:paraId="1727AC2C" w14:textId="4902972B" w:rsidR="002A2188" w:rsidRPr="00E85629" w:rsidRDefault="009F66A3" w:rsidP="00DE4373">
            <w:pPr>
              <w:tabs>
                <w:tab w:val="left" w:pos="851"/>
              </w:tabs>
              <w:spacing w:before="0" w:line="240" w:lineRule="atLeast"/>
              <w:rPr>
                <w:b/>
              </w:rPr>
            </w:pPr>
            <w:r>
              <w:rPr>
                <w:b/>
              </w:rPr>
              <w:t xml:space="preserve">Document </w:t>
            </w:r>
            <w:r w:rsidRPr="00A41A1C">
              <w:rPr>
                <w:b/>
              </w:rPr>
              <w:t>C2</w:t>
            </w:r>
            <w:r w:rsidR="00F56668" w:rsidRPr="00A41A1C">
              <w:rPr>
                <w:b/>
              </w:rPr>
              <w:t>1</w:t>
            </w:r>
            <w:r w:rsidR="002A2188" w:rsidRPr="00A41A1C">
              <w:rPr>
                <w:b/>
              </w:rPr>
              <w:t>/</w:t>
            </w:r>
            <w:r w:rsidR="00376F13" w:rsidRPr="00A41A1C">
              <w:rPr>
                <w:b/>
              </w:rPr>
              <w:t>38</w:t>
            </w:r>
            <w:r w:rsidR="002A2188" w:rsidRPr="00A41A1C">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116799E9" w:rsidR="002A2188" w:rsidRPr="00E85629" w:rsidRDefault="00A41A1C" w:rsidP="009F66A3">
            <w:pPr>
              <w:tabs>
                <w:tab w:val="left" w:pos="993"/>
              </w:tabs>
              <w:spacing w:before="0"/>
              <w:rPr>
                <w:b/>
              </w:rPr>
            </w:pPr>
            <w:r>
              <w:rPr>
                <w:b/>
              </w:rPr>
              <w:t>7 April</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5829AF7C" w:rsidR="00EA2120" w:rsidRPr="00DE4373" w:rsidRDefault="00376F13" w:rsidP="004526AB">
            <w:pPr>
              <w:pStyle w:val="Source"/>
              <w:framePr w:hSpace="0" w:wrap="auto" w:hAnchor="text" w:yAlign="inline"/>
            </w:pPr>
            <w:bookmarkStart w:id="6" w:name="dsource" w:colFirst="0" w:colLast="0"/>
            <w:bookmarkEnd w:id="5"/>
            <w:r w:rsidRPr="003A0613">
              <w:t>Report by the Secretary-General</w:t>
            </w:r>
          </w:p>
        </w:tc>
      </w:tr>
      <w:tr w:rsidR="002A2188" w:rsidRPr="00813E5E" w14:paraId="73F317E2" w14:textId="77777777" w:rsidTr="00464B6C">
        <w:trPr>
          <w:cantSplit/>
        </w:trPr>
        <w:tc>
          <w:tcPr>
            <w:tcW w:w="10031" w:type="dxa"/>
            <w:gridSpan w:val="2"/>
          </w:tcPr>
          <w:p w14:paraId="29B3DB5C" w14:textId="147D1027" w:rsidR="002A2188" w:rsidRPr="00813E5E" w:rsidRDefault="00376F13" w:rsidP="004526AB">
            <w:pPr>
              <w:pStyle w:val="Title1"/>
              <w:framePr w:hSpace="0" w:wrap="auto" w:hAnchor="text" w:yAlign="inline"/>
            </w:pPr>
            <w:bookmarkStart w:id="7" w:name="_Hlk68177730"/>
            <w:bookmarkStart w:id="8" w:name="dtitle1" w:colFirst="0" w:colLast="0"/>
            <w:bookmarkEnd w:id="6"/>
            <w:r>
              <w:t>REPORT ON THE IMPLEMENTATION OF RESOLUTION 191 (REV. DUBAI, 2018) “STRATEGY FOR THE COORDINATION OF EFFORTS AMONG</w:t>
            </w:r>
            <w:r>
              <w:br/>
              <w:t>THE THREE SECTORS OF THE UNION”</w:t>
            </w:r>
            <w:bookmarkEnd w:id="7"/>
          </w:p>
        </w:tc>
      </w:tr>
      <w:bookmarkEnd w:id="8"/>
    </w:tbl>
    <w:p w14:paraId="4FE83389"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E4C3AF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A0DE11E" w14:textId="77777777" w:rsidR="002A2188" w:rsidRPr="00CF5A9F" w:rsidRDefault="002A2188" w:rsidP="00464B6C">
            <w:pPr>
              <w:pStyle w:val="Headingb"/>
              <w:rPr>
                <w:szCs w:val="24"/>
              </w:rPr>
            </w:pPr>
            <w:r w:rsidRPr="00CF5A9F">
              <w:rPr>
                <w:szCs w:val="24"/>
              </w:rPr>
              <w:t>Summary</w:t>
            </w:r>
          </w:p>
          <w:p w14:paraId="696731A6" w14:textId="42F125C6" w:rsidR="00376F13" w:rsidRDefault="00376F13" w:rsidP="00376F13">
            <w:pPr>
              <w:spacing w:after="120"/>
              <w:jc w:val="both"/>
              <w:rPr>
                <w:szCs w:val="24"/>
              </w:rPr>
            </w:pPr>
            <w:r w:rsidRPr="0038641A">
              <w:rPr>
                <w:szCs w:val="24"/>
              </w:rPr>
              <w:t>This document presents a report on the implementation of Resolution 191 (Rev. Dubai, 2018) on the strategy for the coordination of efforts among the three Sectors of the Union.</w:t>
            </w:r>
          </w:p>
          <w:p w14:paraId="3842F041" w14:textId="37842FDC" w:rsidR="009065B1" w:rsidRPr="0038641A" w:rsidRDefault="009065B1" w:rsidP="00376F13">
            <w:pPr>
              <w:spacing w:after="120"/>
              <w:jc w:val="both"/>
              <w:rPr>
                <w:szCs w:val="24"/>
              </w:rPr>
            </w:pPr>
            <w:r w:rsidRPr="009065B1">
              <w:rPr>
                <w:szCs w:val="24"/>
              </w:rPr>
              <w:t xml:space="preserve">This document was originally prepared as </w:t>
            </w:r>
            <w:hyperlink r:id="rId9" w:history="1">
              <w:r w:rsidRPr="009065B1">
                <w:rPr>
                  <w:rStyle w:val="Hyperlink"/>
                  <w:szCs w:val="24"/>
                </w:rPr>
                <w:t>C20/38</w:t>
              </w:r>
            </w:hyperlink>
            <w:r w:rsidRPr="009065B1">
              <w:rPr>
                <w:szCs w:val="24"/>
              </w:rPr>
              <w:t xml:space="preserve"> for submission to the 2020 session of the Council but was not reviewed.</w:t>
            </w:r>
          </w:p>
          <w:p w14:paraId="145DFE4B" w14:textId="77777777" w:rsidR="002A2188" w:rsidRPr="00CF5A9F" w:rsidRDefault="002A2188" w:rsidP="00CF134B">
            <w:pPr>
              <w:pStyle w:val="Headingb"/>
              <w:spacing w:before="120" w:after="120"/>
              <w:rPr>
                <w:szCs w:val="24"/>
              </w:rPr>
            </w:pPr>
            <w:r w:rsidRPr="00CF5A9F">
              <w:rPr>
                <w:szCs w:val="24"/>
              </w:rPr>
              <w:t>Action required</w:t>
            </w:r>
          </w:p>
          <w:p w14:paraId="74F1525E" w14:textId="0B27F267" w:rsidR="002A2188" w:rsidRPr="00CF134B" w:rsidRDefault="00376F13" w:rsidP="00CF134B">
            <w:pPr>
              <w:spacing w:after="120"/>
              <w:jc w:val="both"/>
              <w:rPr>
                <w:rFonts w:asciiTheme="minorHAnsi" w:hAnsiTheme="minorHAnsi"/>
                <w:szCs w:val="24"/>
                <w:lang w:val="en-US"/>
              </w:rPr>
            </w:pPr>
            <w:r w:rsidRPr="00376F13">
              <w:rPr>
                <w:rFonts w:asciiTheme="minorHAnsi" w:hAnsiTheme="minorHAnsi"/>
                <w:szCs w:val="24"/>
                <w:lang w:val="en-US"/>
              </w:rPr>
              <w:t xml:space="preserve">The </w:t>
            </w:r>
            <w:r w:rsidR="004526AB">
              <w:rPr>
                <w:rFonts w:asciiTheme="minorHAnsi" w:hAnsiTheme="minorHAnsi"/>
                <w:szCs w:val="24"/>
                <w:lang w:val="en-US"/>
              </w:rPr>
              <w:t>Council</w:t>
            </w:r>
            <w:r w:rsidRPr="00376F13">
              <w:rPr>
                <w:rFonts w:asciiTheme="minorHAnsi" w:hAnsiTheme="minorHAnsi"/>
                <w:szCs w:val="24"/>
                <w:lang w:val="en-US"/>
              </w:rPr>
              <w:t xml:space="preserve"> is invited </w:t>
            </w:r>
            <w:r w:rsidRPr="00376F13">
              <w:rPr>
                <w:rFonts w:asciiTheme="minorHAnsi" w:hAnsiTheme="minorHAnsi"/>
                <w:b/>
                <w:bCs/>
                <w:szCs w:val="24"/>
                <w:lang w:val="en-US"/>
              </w:rPr>
              <w:t>to note</w:t>
            </w:r>
            <w:r w:rsidRPr="00376F13">
              <w:rPr>
                <w:rFonts w:asciiTheme="minorHAnsi" w:hAnsiTheme="minorHAnsi"/>
                <w:szCs w:val="24"/>
                <w:lang w:val="en-US"/>
              </w:rPr>
              <w:t xml:space="preserve"> the report</w:t>
            </w:r>
            <w:r w:rsidR="00D47A25">
              <w:rPr>
                <w:rFonts w:asciiTheme="minorHAnsi" w:hAnsiTheme="minorHAnsi"/>
                <w:szCs w:val="24"/>
                <w:lang w:val="en-US"/>
              </w:rPr>
              <w:t xml:space="preserve"> as well as document C20/38</w:t>
            </w:r>
          </w:p>
          <w:p w14:paraId="68F1D928" w14:textId="77777777" w:rsidR="002A2188" w:rsidRPr="00CF5A9F" w:rsidRDefault="002A2188" w:rsidP="00CF134B">
            <w:pPr>
              <w:pStyle w:val="Table"/>
              <w:keepNext w:val="0"/>
              <w:spacing w:before="120"/>
              <w:rPr>
                <w:rFonts w:ascii="Calibri" w:hAnsi="Calibri"/>
                <w:caps w:val="0"/>
                <w:szCs w:val="24"/>
              </w:rPr>
            </w:pPr>
            <w:r w:rsidRPr="00CF5A9F">
              <w:rPr>
                <w:rFonts w:ascii="Calibri" w:hAnsi="Calibri"/>
                <w:caps w:val="0"/>
                <w:szCs w:val="24"/>
              </w:rPr>
              <w:t>____________</w:t>
            </w:r>
          </w:p>
          <w:p w14:paraId="2124BADC" w14:textId="3E47A8F3" w:rsidR="002A2188" w:rsidRDefault="002A2188" w:rsidP="00CF134B">
            <w:pPr>
              <w:pStyle w:val="Headingb"/>
              <w:spacing w:before="120" w:after="120"/>
              <w:rPr>
                <w:szCs w:val="24"/>
              </w:rPr>
            </w:pPr>
            <w:r w:rsidRPr="00CF5A9F">
              <w:rPr>
                <w:szCs w:val="24"/>
              </w:rPr>
              <w:t>References</w:t>
            </w:r>
          </w:p>
          <w:p w14:paraId="2E0343C9" w14:textId="2319EA00" w:rsidR="00DE4373" w:rsidRPr="00376F13" w:rsidRDefault="00901119" w:rsidP="00CF134B">
            <w:pPr>
              <w:pStyle w:val="NoSpacing"/>
              <w:spacing w:before="120" w:after="120"/>
              <w:rPr>
                <w:sz w:val="24"/>
                <w:szCs w:val="24"/>
              </w:rPr>
            </w:pPr>
            <w:hyperlink r:id="rId10" w:history="1">
              <w:r w:rsidR="00376F13" w:rsidRPr="00376F13">
                <w:rPr>
                  <w:rStyle w:val="Hyperlink"/>
                  <w:rFonts w:cstheme="minorHAnsi"/>
                  <w:i/>
                  <w:iCs/>
                  <w:sz w:val="24"/>
                  <w:szCs w:val="24"/>
                </w:rPr>
                <w:t>Resolution 191 (Rev. Dubai, 2018)</w:t>
              </w:r>
            </w:hyperlink>
            <w:r w:rsidR="004526AB" w:rsidRPr="004526AB">
              <w:rPr>
                <w:rStyle w:val="Hyperlink"/>
                <w:rFonts w:cstheme="minorHAnsi"/>
                <w:i/>
                <w:iCs/>
                <w:color w:val="auto"/>
                <w:sz w:val="24"/>
                <w:szCs w:val="24"/>
                <w:u w:val="none"/>
              </w:rPr>
              <w:t xml:space="preserve">, </w:t>
            </w:r>
            <w:hyperlink r:id="rId11" w:history="1">
              <w:r w:rsidR="004526AB" w:rsidRPr="004526AB">
                <w:rPr>
                  <w:rStyle w:val="Hyperlink"/>
                  <w:rFonts w:cstheme="minorHAnsi"/>
                  <w:i/>
                  <w:iCs/>
                  <w:sz w:val="24"/>
                  <w:szCs w:val="24"/>
                </w:rPr>
                <w:t>C20/38</w:t>
              </w:r>
            </w:hyperlink>
            <w:r w:rsidRPr="00901119">
              <w:rPr>
                <w:rStyle w:val="Hyperlink"/>
                <w:rFonts w:cstheme="minorHAnsi"/>
                <w:color w:val="auto"/>
                <w:sz w:val="24"/>
                <w:szCs w:val="24"/>
                <w:u w:val="none"/>
              </w:rPr>
              <w:t xml:space="preserve">, </w:t>
            </w:r>
            <w:hyperlink r:id="rId12" w:history="1">
              <w:r w:rsidRPr="00901119">
                <w:rPr>
                  <w:rStyle w:val="Hyperlink"/>
                  <w:i/>
                  <w:iCs/>
                </w:rPr>
                <w:t>C21/INF/11</w:t>
              </w:r>
            </w:hyperlink>
          </w:p>
        </w:tc>
      </w:tr>
    </w:tbl>
    <w:p w14:paraId="241EEAB0" w14:textId="6FDB2A2B" w:rsidR="00AE3716" w:rsidRDefault="00AE3716" w:rsidP="00B54886">
      <w:pPr>
        <w:pStyle w:val="Heading2"/>
        <w:keepNext w:val="0"/>
        <w:keepLines w:val="0"/>
        <w:numPr>
          <w:ilvl w:val="0"/>
          <w:numId w:val="12"/>
        </w:numPr>
        <w:tabs>
          <w:tab w:val="clear" w:pos="567"/>
          <w:tab w:val="clear" w:pos="1134"/>
          <w:tab w:val="clear" w:pos="1701"/>
          <w:tab w:val="clear" w:pos="2268"/>
          <w:tab w:val="clear" w:pos="2835"/>
        </w:tabs>
        <w:snapToGrid w:val="0"/>
        <w:spacing w:before="600" w:after="120"/>
      </w:pPr>
      <w:bookmarkStart w:id="9" w:name="dstart"/>
      <w:bookmarkStart w:id="10" w:name="dbreak"/>
      <w:bookmarkEnd w:id="9"/>
      <w:bookmarkEnd w:id="10"/>
      <w:r>
        <w:t>Introduction</w:t>
      </w:r>
    </w:p>
    <w:p w14:paraId="0EA63724" w14:textId="34CD96AE" w:rsidR="0040551B" w:rsidRDefault="00AE3716" w:rsidP="004526AB">
      <w:pPr>
        <w:pStyle w:val="ListParagraph"/>
        <w:tabs>
          <w:tab w:val="clear" w:pos="567"/>
          <w:tab w:val="clear" w:pos="1134"/>
          <w:tab w:val="clear" w:pos="1701"/>
          <w:tab w:val="clear" w:pos="2268"/>
          <w:tab w:val="clear" w:pos="2835"/>
        </w:tabs>
        <w:overflowPunct/>
        <w:autoSpaceDE/>
        <w:autoSpaceDN/>
        <w:adjustRightInd/>
        <w:snapToGrid w:val="0"/>
        <w:spacing w:after="120"/>
        <w:ind w:left="0"/>
        <w:contextualSpacing w:val="0"/>
        <w:jc w:val="both"/>
        <w:textAlignment w:val="auto"/>
      </w:pPr>
      <w:r>
        <w:t xml:space="preserve">Following the revision of Resolution 191 (Rev. Dubai, 2018) on the “Strategy for the coordination of efforts among the three Sectors of the Union”, regular reporting on intersectoral coordination </w:t>
      </w:r>
      <w:r w:rsidR="00722ADF">
        <w:t xml:space="preserve">of activities </w:t>
      </w:r>
      <w:r>
        <w:t xml:space="preserve">has been provided to the Council, the Council Working Group on Financial and Human Resources (CWG-FHR), as well as </w:t>
      </w:r>
      <w:r w:rsidR="00D92930">
        <w:t xml:space="preserve">to </w:t>
      </w:r>
      <w:r>
        <w:t>all three Sector advisory groups. Mechanisms and efforts to continue to improve intersectoral coordination were further enhanced, and closer coordination between the secretariat’s Inter-Sectoral Coordination Task Force (ISC-TF) and the membership’s Inter-Sector Coordination Group (ISCG) was accomplished.</w:t>
      </w:r>
    </w:p>
    <w:p w14:paraId="1E270C32" w14:textId="6A29BEEC" w:rsidR="0040551B" w:rsidRPr="005569AA" w:rsidRDefault="0040551B" w:rsidP="004526AB">
      <w:pPr>
        <w:pStyle w:val="Heading2"/>
        <w:keepNext w:val="0"/>
        <w:keepLines w:val="0"/>
        <w:numPr>
          <w:ilvl w:val="0"/>
          <w:numId w:val="12"/>
        </w:numPr>
        <w:tabs>
          <w:tab w:val="clear" w:pos="567"/>
          <w:tab w:val="clear" w:pos="1134"/>
          <w:tab w:val="clear" w:pos="1701"/>
          <w:tab w:val="clear" w:pos="2268"/>
          <w:tab w:val="clear" w:pos="2835"/>
        </w:tabs>
        <w:snapToGrid w:val="0"/>
        <w:spacing w:before="360" w:after="120"/>
        <w:jc w:val="both"/>
        <w:rPr>
          <w:bCs/>
        </w:rPr>
      </w:pPr>
      <w:r>
        <w:t>Coordination within the secretariat</w:t>
      </w:r>
    </w:p>
    <w:p w14:paraId="5B0BAF3E" w14:textId="77777777" w:rsidR="0040551B" w:rsidRDefault="0040551B" w:rsidP="004526AB">
      <w:pPr>
        <w:pStyle w:val="ListParagraph"/>
        <w:numPr>
          <w:ilvl w:val="1"/>
          <w:numId w:val="1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rsidRPr="003A0613">
        <w:t>The Inter-Sector</w:t>
      </w:r>
      <w:r>
        <w:t>al</w:t>
      </w:r>
      <w:r w:rsidRPr="003A0613">
        <w:t xml:space="preserve"> Coordination Task Force (ISC-TF) was established to enhance the coordination and collaboration among the three Bureaux and the General Secretariat, with a view </w:t>
      </w:r>
      <w:r w:rsidRPr="003A0613">
        <w:lastRenderedPageBreak/>
        <w:t>to avoid internal duplication of effort and optimize the use of resources. The Terms of Reference of the ISC-TF were specified in</w:t>
      </w:r>
      <w:r>
        <w:t xml:space="preserve"> </w:t>
      </w:r>
      <w:hyperlink r:id="rId13" w:history="1">
        <w:r w:rsidRPr="003A0613">
          <w:rPr>
            <w:rStyle w:val="Hyperlink"/>
          </w:rPr>
          <w:t>Service Order No. 16/13</w:t>
        </w:r>
      </w:hyperlink>
      <w:r>
        <w:t>.</w:t>
      </w:r>
    </w:p>
    <w:p w14:paraId="6A4EBD3E" w14:textId="5E9201D1" w:rsidR="0040551B" w:rsidRDefault="0040551B" w:rsidP="0040551B">
      <w:pPr>
        <w:pStyle w:val="ListParagraph"/>
        <w:numPr>
          <w:ilvl w:val="1"/>
          <w:numId w:val="1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rsidRPr="003A0613">
        <w:t xml:space="preserve">The ISC-TF held </w:t>
      </w:r>
      <w:r w:rsidR="00433DC1">
        <w:t>six</w:t>
      </w:r>
      <w:r w:rsidRPr="003A0613">
        <w:t xml:space="preserve"> meetings (</w:t>
      </w:r>
      <w:r w:rsidR="007C57D3" w:rsidRPr="001270AE">
        <w:t xml:space="preserve">as of </w:t>
      </w:r>
      <w:r w:rsidR="00D43C94" w:rsidRPr="001270AE">
        <w:t>3</w:t>
      </w:r>
      <w:r w:rsidR="007C4A41" w:rsidRPr="001270AE">
        <w:t>1</w:t>
      </w:r>
      <w:r w:rsidR="00D43C94" w:rsidRPr="001270AE">
        <w:t xml:space="preserve"> </w:t>
      </w:r>
      <w:r w:rsidR="00884D62" w:rsidRPr="001270AE">
        <w:t>March 2021</w:t>
      </w:r>
      <w:r w:rsidR="00C65843" w:rsidRPr="0076458E">
        <w:t>)</w:t>
      </w:r>
      <w:r w:rsidR="00884D62" w:rsidRPr="00346D01">
        <w:t xml:space="preserve"> </w:t>
      </w:r>
      <w:r w:rsidRPr="001270AE">
        <w:t xml:space="preserve">since its previous report to </w:t>
      </w:r>
      <w:r w:rsidR="00A65CBD">
        <w:t xml:space="preserve">Council-20 </w:t>
      </w:r>
      <w:r w:rsidR="007C4A41" w:rsidRPr="001270AE">
        <w:t>(at least one</w:t>
      </w:r>
      <w:r w:rsidR="00C65843" w:rsidRPr="001270AE">
        <w:t xml:space="preserve"> additional meeting is expected to be held before the Virtual consultation of councillors</w:t>
      </w:r>
      <w:r w:rsidR="00A65CBD">
        <w:t>, 8-18 June</w:t>
      </w:r>
      <w:r w:rsidR="00C65843" w:rsidRPr="001270AE">
        <w:t xml:space="preserve"> 2021</w:t>
      </w:r>
      <w:r w:rsidR="00C65843" w:rsidRPr="003A0613">
        <w:t>)</w:t>
      </w:r>
      <w:r w:rsidRPr="003A0613">
        <w:t xml:space="preserve">, and </w:t>
      </w:r>
      <w:r>
        <w:t>3</w:t>
      </w:r>
      <w:r w:rsidR="00065628">
        <w:t>9</w:t>
      </w:r>
      <w:r w:rsidRPr="003A0613">
        <w:t xml:space="preserve"> in total since its inception in March 2015</w:t>
      </w:r>
      <w:r>
        <w:t xml:space="preserve">. </w:t>
      </w:r>
      <w:r w:rsidR="00363B60" w:rsidRPr="00363B60">
        <w:t>The ISC-TF is chaired by the Deputy Secretary-General with the participation of the Deputies to the Directors of the three Bureaux; the Chiefs of Departments of the General Secretariat; the Inter-sectoral Focal Points responsible for specific thematic areas; the Regional Directors; as an observer, the Head of the Internal Audit Unit</w:t>
      </w:r>
      <w:r w:rsidR="00596236">
        <w:t>;</w:t>
      </w:r>
      <w:r w:rsidR="00363B60" w:rsidRPr="00363B60">
        <w:t xml:space="preserve"> and at the invitation of the Chairman, the Chiefs of Departments of the Bureaux.</w:t>
      </w:r>
    </w:p>
    <w:p w14:paraId="785F6A41" w14:textId="77777777" w:rsidR="003D6210" w:rsidRDefault="0040551B" w:rsidP="0040551B">
      <w:pPr>
        <w:pStyle w:val="ListParagraph"/>
        <w:numPr>
          <w:ilvl w:val="1"/>
          <w:numId w:val="1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The areas of intersectoral interest coordinated by ISC-TF include the </w:t>
      </w:r>
      <w:r w:rsidR="00F76C0B">
        <w:t xml:space="preserve">following </w:t>
      </w:r>
      <w:r>
        <w:t>topics</w:t>
      </w:r>
      <w:r w:rsidR="00F76C0B">
        <w:t>:</w:t>
      </w:r>
      <w:r>
        <w:t xml:space="preserve"> </w:t>
      </w:r>
      <w:r w:rsidR="008F36CE" w:rsidRPr="008F36CE">
        <w:t>Accessibility, Emerging Trends and Artificial Intelligence, Bridging the Standards Gap, Communications, Community Networks, Emergency Telecommunications, Environment and Smart Sustainable Cities and Communities, Events Coordination, Gender, Geospatial activities, Membership, Resource Mobilization and SMEs, and Multilingualism (since 2020)</w:t>
      </w:r>
      <w:r>
        <w:t xml:space="preserve">. </w:t>
      </w:r>
    </w:p>
    <w:p w14:paraId="69BEE244" w14:textId="2D67DA6F" w:rsidR="0040551B" w:rsidRDefault="0040551B" w:rsidP="0040551B">
      <w:pPr>
        <w:pStyle w:val="ListParagraph"/>
        <w:numPr>
          <w:ilvl w:val="1"/>
          <w:numId w:val="1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Since the </w:t>
      </w:r>
      <w:r w:rsidR="00CD2EE0">
        <w:t xml:space="preserve">last report to </w:t>
      </w:r>
      <w:r w:rsidR="00A65CBD">
        <w:t>Council-20</w:t>
      </w:r>
      <w:r>
        <w:t xml:space="preserve">, the </w:t>
      </w:r>
      <w:r w:rsidR="00417A2A">
        <w:t>task force</w:t>
      </w:r>
      <w:r>
        <w:t xml:space="preserve"> continued to:</w:t>
      </w:r>
    </w:p>
    <w:p w14:paraId="5AFB3660" w14:textId="07B6C607" w:rsidR="0040551B" w:rsidRDefault="0040551B" w:rsidP="0040551B">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 xml:space="preserve">facilitate the exchange of information among the Sectors and the General Secretariat on the above-mentioned thematic areas by updating the members of the </w:t>
      </w:r>
      <w:r w:rsidR="00F63EEB">
        <w:t>task force</w:t>
      </w:r>
      <w:r>
        <w:t xml:space="preserve"> on the developments and the progress achieved in each </w:t>
      </w:r>
      <w:proofErr w:type="gramStart"/>
      <w:r>
        <w:t>area;</w:t>
      </w:r>
      <w:proofErr w:type="gramEnd"/>
    </w:p>
    <w:p w14:paraId="7261DB63" w14:textId="77777777" w:rsidR="0040551B" w:rsidRDefault="0040551B" w:rsidP="0040551B">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 xml:space="preserve">discuss and propose solutions for the key issues raised by the focal points, escalating the issues if decisions could not be taken or resolved at the focal point </w:t>
      </w:r>
      <w:proofErr w:type="gramStart"/>
      <w:r>
        <w:t>level;</w:t>
      </w:r>
      <w:proofErr w:type="gramEnd"/>
    </w:p>
    <w:p w14:paraId="2F2A4EFD" w14:textId="66BA4071" w:rsidR="0040551B" w:rsidRDefault="0040551B" w:rsidP="0040551B">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 xml:space="preserve">leverage the participation and contribution of the Regional Offices, which have been participating to the ISC-TF </w:t>
      </w:r>
      <w:proofErr w:type="gramStart"/>
      <w:r>
        <w:t>discussions;</w:t>
      </w:r>
      <w:proofErr w:type="gramEnd"/>
    </w:p>
    <w:p w14:paraId="7B7C2ADE" w14:textId="558FB2D3" w:rsidR="0040551B" w:rsidRDefault="0040551B" w:rsidP="0040551B">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 xml:space="preserve">coordinate ITU’s participation in conferences and fora with the aim to rationalize ITU’s delegation/presence whilst ensuring intersectoral interests are </w:t>
      </w:r>
      <w:proofErr w:type="gramStart"/>
      <w:r>
        <w:t>represented;</w:t>
      </w:r>
      <w:proofErr w:type="gramEnd"/>
      <w:r>
        <w:t xml:space="preserve"> </w:t>
      </w:r>
    </w:p>
    <w:p w14:paraId="65857B4F" w14:textId="6D97BA24" w:rsidR="0040551B" w:rsidRDefault="0040551B" w:rsidP="0040551B">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 xml:space="preserve">facilitate better coordination in the organization of ITU events and meetings, through the work carried out in that </w:t>
      </w:r>
      <w:proofErr w:type="gramStart"/>
      <w:r>
        <w:t>particular area</w:t>
      </w:r>
      <w:proofErr w:type="gramEnd"/>
      <w:r w:rsidR="00574A73">
        <w:t>;</w:t>
      </w:r>
      <w:r w:rsidR="00724459">
        <w:t xml:space="preserve"> and</w:t>
      </w:r>
    </w:p>
    <w:p w14:paraId="476B0BDE" w14:textId="77777777" w:rsidR="00574A73" w:rsidRDefault="00574A73" w:rsidP="00574A73">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 xml:space="preserve">coordinate the process of publishing and updating information on ITU’s work on the thematic areas on the relevant ITU webpages, in an open and transparent way, including consolidated information on intersectoral activities under the common </w:t>
      </w:r>
      <w:hyperlink r:id="rId14" w:history="1">
        <w:r w:rsidRPr="001046A2">
          <w:rPr>
            <w:rStyle w:val="Hyperlink"/>
          </w:rPr>
          <w:t>webpage on Intersectoral Coordination</w:t>
        </w:r>
      </w:hyperlink>
      <w:r>
        <w:t>;</w:t>
      </w:r>
    </w:p>
    <w:p w14:paraId="4CD87EDC" w14:textId="77777777" w:rsidR="0040551B" w:rsidRDefault="0040551B" w:rsidP="0040551B">
      <w:pPr>
        <w:pStyle w:val="ListParagraph"/>
        <w:keepNext/>
        <w:numPr>
          <w:ilvl w:val="1"/>
          <w:numId w:val="1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In addition, the group achieved the following outcomes during the year:</w:t>
      </w:r>
    </w:p>
    <w:p w14:paraId="28878CC0" w14:textId="5C6DC48A" w:rsidR="0040551B" w:rsidRDefault="0040551B" w:rsidP="0040551B">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3662D1">
        <w:rPr>
          <w:i/>
          <w:iCs/>
        </w:rPr>
        <w:t>Inter-sectoral coordination strategy</w:t>
      </w:r>
      <w:r>
        <w:t>:</w:t>
      </w:r>
      <w:r w:rsidRPr="000906A9">
        <w:rPr>
          <w:lang w:val="en-US"/>
        </w:rPr>
        <w:t xml:space="preserve"> </w:t>
      </w:r>
      <w:r>
        <w:rPr>
          <w:lang w:val="en-US"/>
        </w:rPr>
        <w:t xml:space="preserve">the secretariat continued the efforts </w:t>
      </w:r>
      <w:r w:rsidR="00470FE8">
        <w:rPr>
          <w:lang w:val="en-US"/>
        </w:rPr>
        <w:t>to</w:t>
      </w:r>
      <w:r>
        <w:rPr>
          <w:lang w:val="en-US"/>
        </w:rPr>
        <w:t xml:space="preserve"> further improve the current model </w:t>
      </w:r>
      <w:r w:rsidR="00470FE8">
        <w:rPr>
          <w:lang w:val="en-US"/>
        </w:rPr>
        <w:t xml:space="preserve">by </w:t>
      </w:r>
      <w:r>
        <w:rPr>
          <w:lang w:val="en-US"/>
        </w:rPr>
        <w:t>focusing on the common thematic areas of work</w:t>
      </w:r>
      <w:r w:rsidR="00AE5FA8">
        <w:rPr>
          <w:lang w:val="en-US"/>
        </w:rPr>
        <w:t xml:space="preserve">, as presented in </w:t>
      </w:r>
      <w:r>
        <w:t>the ITU Annual Report (Doc</w:t>
      </w:r>
      <w:r w:rsidR="004526AB">
        <w:t>ument</w:t>
      </w:r>
      <w:r>
        <w:t xml:space="preserve"> </w:t>
      </w:r>
      <w:hyperlink r:id="rId15" w:history="1">
        <w:r w:rsidRPr="004526AB">
          <w:rPr>
            <w:rStyle w:val="Hyperlink"/>
          </w:rPr>
          <w:t>C2</w:t>
        </w:r>
        <w:r w:rsidR="00A959A3" w:rsidRPr="004526AB">
          <w:rPr>
            <w:rStyle w:val="Hyperlink"/>
          </w:rPr>
          <w:t>1</w:t>
        </w:r>
        <w:r w:rsidRPr="004526AB">
          <w:rPr>
            <w:rStyle w:val="Hyperlink"/>
          </w:rPr>
          <w:t>/35</w:t>
        </w:r>
      </w:hyperlink>
      <w:r>
        <w:t>)</w:t>
      </w:r>
      <w:r w:rsidR="006F599B">
        <w:t xml:space="preserve">; as well as </w:t>
      </w:r>
      <w:r w:rsidR="00FF0E91">
        <w:t>to</w:t>
      </w:r>
      <w:r>
        <w:t xml:space="preserve"> coordinat</w:t>
      </w:r>
      <w:r w:rsidR="00FF0E91">
        <w:t>e</w:t>
      </w:r>
      <w:r>
        <w:t xml:space="preserve"> with the ISCG, </w:t>
      </w:r>
      <w:r w:rsidR="001E30EB">
        <w:t xml:space="preserve">by identifying </w:t>
      </w:r>
      <w:r>
        <w:t>“themes” where all actors c</w:t>
      </w:r>
      <w:r w:rsidRPr="000906A9">
        <w:t xml:space="preserve">ould be involved </w:t>
      </w:r>
      <w:r w:rsidR="000F087C">
        <w:t xml:space="preserve">and work together to </w:t>
      </w:r>
      <w:r w:rsidR="004F1DC1">
        <w:t>propose</w:t>
      </w:r>
      <w:r w:rsidRPr="000906A9">
        <w:t xml:space="preserve"> methods of improved collaboration</w:t>
      </w:r>
      <w:r>
        <w:t xml:space="preserve"> (related information is presented on the Section on ISCG below)</w:t>
      </w:r>
      <w:r w:rsidRPr="000906A9">
        <w:t>.</w:t>
      </w:r>
    </w:p>
    <w:p w14:paraId="140BB509" w14:textId="17895F95" w:rsidR="008F14F4" w:rsidRPr="005071E7" w:rsidRDefault="00155D93" w:rsidP="004526AB">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ind w:hanging="357"/>
        <w:contextualSpacing w:val="0"/>
        <w:jc w:val="both"/>
        <w:textAlignment w:val="auto"/>
        <w:rPr>
          <w:lang w:val="en-US"/>
        </w:rPr>
      </w:pPr>
      <w:r w:rsidRPr="003F1B4E">
        <w:rPr>
          <w:i/>
          <w:iCs/>
        </w:rPr>
        <w:t>Mechanisms on inte</w:t>
      </w:r>
      <w:r w:rsidR="001011AD">
        <w:rPr>
          <w:i/>
          <w:iCs/>
        </w:rPr>
        <w:t>r</w:t>
      </w:r>
      <w:r w:rsidRPr="003F1B4E">
        <w:rPr>
          <w:i/>
          <w:iCs/>
        </w:rPr>
        <w:t>sectoral coordination in response to C</w:t>
      </w:r>
      <w:r w:rsidR="00BA3B7B">
        <w:rPr>
          <w:i/>
          <w:iCs/>
        </w:rPr>
        <w:t>OVID</w:t>
      </w:r>
      <w:r w:rsidRPr="003F1B4E">
        <w:rPr>
          <w:i/>
          <w:iCs/>
        </w:rPr>
        <w:t>-19</w:t>
      </w:r>
      <w:r>
        <w:t xml:space="preserve">: </w:t>
      </w:r>
    </w:p>
    <w:p w14:paraId="4334C5A2" w14:textId="7AA78068" w:rsidR="00D043BC" w:rsidRPr="005071E7" w:rsidRDefault="00155D93" w:rsidP="004526AB">
      <w:pPr>
        <w:pStyle w:val="ListParagraph"/>
        <w:numPr>
          <w:ilvl w:val="1"/>
          <w:numId w:val="13"/>
        </w:numPr>
        <w:tabs>
          <w:tab w:val="clear" w:pos="567"/>
          <w:tab w:val="clear" w:pos="1134"/>
          <w:tab w:val="clear" w:pos="1701"/>
          <w:tab w:val="clear" w:pos="2268"/>
          <w:tab w:val="clear" w:pos="2835"/>
        </w:tabs>
        <w:overflowPunct/>
        <w:autoSpaceDE/>
        <w:autoSpaceDN/>
        <w:adjustRightInd/>
        <w:snapToGrid w:val="0"/>
        <w:spacing w:after="120"/>
        <w:ind w:hanging="357"/>
        <w:contextualSpacing w:val="0"/>
        <w:jc w:val="both"/>
        <w:textAlignment w:val="auto"/>
        <w:rPr>
          <w:lang w:val="en-US"/>
        </w:rPr>
      </w:pPr>
      <w:r w:rsidRPr="005071E7">
        <w:rPr>
          <w:lang w:val="en-US"/>
        </w:rPr>
        <w:t>a) Inter-sectoral group on C</w:t>
      </w:r>
      <w:r w:rsidR="008E1EF4" w:rsidRPr="005071E7">
        <w:rPr>
          <w:lang w:val="en-US"/>
        </w:rPr>
        <w:t>OVID</w:t>
      </w:r>
      <w:r w:rsidRPr="005071E7">
        <w:rPr>
          <w:lang w:val="en-US"/>
        </w:rPr>
        <w:t>-related activities, the “ITU-C</w:t>
      </w:r>
      <w:r w:rsidR="008E1EF4" w:rsidRPr="005071E7">
        <w:rPr>
          <w:lang w:val="en-US"/>
        </w:rPr>
        <w:t>OVID</w:t>
      </w:r>
      <w:r w:rsidRPr="005071E7">
        <w:rPr>
          <w:lang w:val="en-US"/>
        </w:rPr>
        <w:t xml:space="preserve"> response team”</w:t>
      </w:r>
      <w:r w:rsidR="00D223E0" w:rsidRPr="005071E7">
        <w:rPr>
          <w:lang w:val="en-US"/>
        </w:rPr>
        <w:t xml:space="preserve"> </w:t>
      </w:r>
      <w:r w:rsidR="00B3616C" w:rsidRPr="005071E7">
        <w:rPr>
          <w:lang w:val="en-US"/>
        </w:rPr>
        <w:t xml:space="preserve">continued </w:t>
      </w:r>
      <w:r w:rsidR="006B6CC3" w:rsidRPr="005071E7">
        <w:rPr>
          <w:lang w:val="en-US"/>
        </w:rPr>
        <w:t xml:space="preserve">to </w:t>
      </w:r>
      <w:r w:rsidR="00783297">
        <w:rPr>
          <w:lang w:val="en-US"/>
        </w:rPr>
        <w:t xml:space="preserve">work on </w:t>
      </w:r>
      <w:r w:rsidR="006670CB">
        <w:rPr>
          <w:lang w:val="en-US"/>
        </w:rPr>
        <w:t xml:space="preserve">information sharing and </w:t>
      </w:r>
      <w:r w:rsidR="006B6CC3" w:rsidRPr="005071E7">
        <w:rPr>
          <w:lang w:val="en-US"/>
        </w:rPr>
        <w:t>coordinat</w:t>
      </w:r>
      <w:r w:rsidR="006670CB">
        <w:rPr>
          <w:lang w:val="en-US"/>
        </w:rPr>
        <w:t xml:space="preserve">ion of </w:t>
      </w:r>
      <w:r w:rsidR="006B6CC3" w:rsidRPr="005071E7">
        <w:rPr>
          <w:lang w:val="en-US"/>
        </w:rPr>
        <w:t xml:space="preserve">activities between the </w:t>
      </w:r>
      <w:r w:rsidR="000A2FD5" w:rsidRPr="005071E7">
        <w:rPr>
          <w:lang w:val="en-US"/>
        </w:rPr>
        <w:t>three Sectors and the General Secretariat</w:t>
      </w:r>
      <w:r w:rsidR="006670CB">
        <w:rPr>
          <w:lang w:val="en-US"/>
        </w:rPr>
        <w:t>. A</w:t>
      </w:r>
      <w:r w:rsidR="00E7172B" w:rsidRPr="005071E7">
        <w:rPr>
          <w:lang w:val="en-US"/>
        </w:rPr>
        <w:t xml:space="preserve">n extensive section on </w:t>
      </w:r>
      <w:r w:rsidR="00346D01" w:rsidRPr="00346D01">
        <w:rPr>
          <w:lang w:val="en-US"/>
        </w:rPr>
        <w:t>COVID-19 related activities/responses</w:t>
      </w:r>
      <w:r w:rsidR="00346D01" w:rsidRPr="00346D01" w:rsidDel="00346D01">
        <w:rPr>
          <w:lang w:val="en-US"/>
        </w:rPr>
        <w:t xml:space="preserve"> </w:t>
      </w:r>
      <w:r w:rsidR="00317F9A" w:rsidRPr="005071E7">
        <w:rPr>
          <w:lang w:val="en-US"/>
        </w:rPr>
        <w:t>is included in Doc</w:t>
      </w:r>
      <w:r w:rsidR="004526AB">
        <w:rPr>
          <w:lang w:val="en-US"/>
        </w:rPr>
        <w:t>ument</w:t>
      </w:r>
      <w:r w:rsidR="00317F9A" w:rsidRPr="005071E7">
        <w:rPr>
          <w:lang w:val="en-US"/>
        </w:rPr>
        <w:t xml:space="preserve"> C21/</w:t>
      </w:r>
      <w:proofErr w:type="gramStart"/>
      <w:r w:rsidR="00317F9A" w:rsidRPr="005071E7">
        <w:rPr>
          <w:lang w:val="en-US"/>
        </w:rPr>
        <w:t>35</w:t>
      </w:r>
      <w:r w:rsidR="00D043BC" w:rsidRPr="005071E7">
        <w:rPr>
          <w:lang w:val="en-US"/>
        </w:rPr>
        <w:t>;</w:t>
      </w:r>
      <w:proofErr w:type="gramEnd"/>
    </w:p>
    <w:p w14:paraId="5C043EA7" w14:textId="4D75F43F" w:rsidR="00155D93" w:rsidRPr="00B14E3F" w:rsidRDefault="00D043BC" w:rsidP="00341E64">
      <w:pPr>
        <w:pStyle w:val="ListParagraph"/>
        <w:numPr>
          <w:ilvl w:val="1"/>
          <w:numId w:val="1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lang w:val="en-US"/>
        </w:rPr>
      </w:pPr>
      <w:r w:rsidRPr="00B14E3F">
        <w:rPr>
          <w:lang w:val="en-US"/>
        </w:rPr>
        <w:lastRenderedPageBreak/>
        <w:t>b</w:t>
      </w:r>
      <w:r w:rsidR="00155D93" w:rsidRPr="00B14E3F">
        <w:rPr>
          <w:lang w:val="en-US"/>
        </w:rPr>
        <w:t>) Inter-sectoral group on coordination for virtual meetings and remote participation</w:t>
      </w:r>
      <w:r w:rsidRPr="00B14E3F">
        <w:rPr>
          <w:lang w:val="en-US"/>
        </w:rPr>
        <w:t xml:space="preserve"> had several meeting</w:t>
      </w:r>
      <w:r w:rsidR="00240DB4" w:rsidRPr="00B14E3F">
        <w:rPr>
          <w:lang w:val="en-US"/>
        </w:rPr>
        <w:t>s</w:t>
      </w:r>
      <w:r w:rsidRPr="00B14E3F">
        <w:rPr>
          <w:lang w:val="en-US"/>
        </w:rPr>
        <w:t xml:space="preserve"> and developed a comprehensive </w:t>
      </w:r>
      <w:r w:rsidR="00240DB4" w:rsidRPr="00B14E3F">
        <w:rPr>
          <w:lang w:val="en-US"/>
        </w:rPr>
        <w:t>document</w:t>
      </w:r>
      <w:r w:rsidR="00346D01">
        <w:rPr>
          <w:lang w:val="en-US"/>
        </w:rPr>
        <w:t>:</w:t>
      </w:r>
      <w:r w:rsidR="00575909">
        <w:rPr>
          <w:lang w:val="en-US"/>
        </w:rPr>
        <w:t xml:space="preserve"> </w:t>
      </w:r>
      <w:r w:rsidR="00240DB4" w:rsidRPr="00B14E3F">
        <w:rPr>
          <w:lang w:val="en-US"/>
        </w:rPr>
        <w:t>“</w:t>
      </w:r>
      <w:r w:rsidR="00B14E3F" w:rsidRPr="00B14E3F">
        <w:rPr>
          <w:lang w:val="en-US"/>
        </w:rPr>
        <w:t>Virtual Events and Remote Participation -</w:t>
      </w:r>
      <w:r w:rsidR="00B14E3F">
        <w:rPr>
          <w:lang w:val="en-US"/>
        </w:rPr>
        <w:t xml:space="preserve"> </w:t>
      </w:r>
      <w:r w:rsidR="00B14E3F" w:rsidRPr="00B14E3F">
        <w:rPr>
          <w:lang w:val="en-US"/>
        </w:rPr>
        <w:t>Guidelines and best practices</w:t>
      </w:r>
      <w:r w:rsidR="00B14E3F">
        <w:rPr>
          <w:lang w:val="en-US"/>
        </w:rPr>
        <w:t>”</w:t>
      </w:r>
      <w:r w:rsidR="00613C25">
        <w:rPr>
          <w:lang w:val="en-US"/>
        </w:rPr>
        <w:t>, inc</w:t>
      </w:r>
      <w:r w:rsidR="00613C25" w:rsidRPr="00613C25">
        <w:rPr>
          <w:lang w:val="en-US"/>
        </w:rPr>
        <w:t>lud</w:t>
      </w:r>
      <w:r w:rsidR="00613C25">
        <w:rPr>
          <w:lang w:val="en-US"/>
        </w:rPr>
        <w:t>ing</w:t>
      </w:r>
      <w:r w:rsidR="00613C25" w:rsidRPr="00613C25">
        <w:rPr>
          <w:lang w:val="en-US"/>
        </w:rPr>
        <w:t xml:space="preserve"> recommendations on which platform to use as a function of the type </w:t>
      </w:r>
      <w:r w:rsidR="006D51F9">
        <w:rPr>
          <w:lang w:val="en-US"/>
        </w:rPr>
        <w:t xml:space="preserve">of </w:t>
      </w:r>
      <w:r w:rsidR="00575909">
        <w:rPr>
          <w:lang w:val="en-US"/>
        </w:rPr>
        <w:t xml:space="preserve">ITU </w:t>
      </w:r>
      <w:proofErr w:type="gramStart"/>
      <w:r w:rsidR="00613C25" w:rsidRPr="00613C25">
        <w:rPr>
          <w:lang w:val="en-US"/>
        </w:rPr>
        <w:t>meeting</w:t>
      </w:r>
      <w:r w:rsidR="002334A0">
        <w:rPr>
          <w:lang w:val="en-US"/>
        </w:rPr>
        <w:t>;</w:t>
      </w:r>
      <w:proofErr w:type="gramEnd"/>
      <w:r w:rsidR="006C6A77" w:rsidRPr="00B14E3F">
        <w:rPr>
          <w:lang w:val="en-US"/>
        </w:rPr>
        <w:t xml:space="preserve"> </w:t>
      </w:r>
    </w:p>
    <w:p w14:paraId="7EB7C2F2" w14:textId="106729EB" w:rsidR="00C4519C" w:rsidRDefault="001353A1" w:rsidP="004526AB">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ind w:left="357" w:hanging="357"/>
        <w:contextualSpacing w:val="0"/>
        <w:jc w:val="both"/>
        <w:textAlignment w:val="auto"/>
      </w:pPr>
      <w:r>
        <w:rPr>
          <w:i/>
          <w:iCs/>
          <w:lang w:val="en-US"/>
        </w:rPr>
        <w:t xml:space="preserve">Event website: </w:t>
      </w:r>
      <w:r>
        <w:rPr>
          <w:lang w:val="en-US"/>
        </w:rPr>
        <w:t xml:space="preserve">the </w:t>
      </w:r>
      <w:hyperlink r:id="rId16" w:history="1">
        <w:r w:rsidRPr="00481EF2">
          <w:rPr>
            <w:rStyle w:val="Hyperlink"/>
            <w:lang w:val="en-US"/>
          </w:rPr>
          <w:t>events portal</w:t>
        </w:r>
      </w:hyperlink>
      <w:r>
        <w:rPr>
          <w:lang w:val="en-US"/>
        </w:rPr>
        <w:t xml:space="preserve"> has been updated, including the </w:t>
      </w:r>
      <w:r w:rsidR="006C4480" w:rsidRPr="001353A1">
        <w:t>optimization</w:t>
      </w:r>
      <w:r w:rsidR="00004F20" w:rsidRPr="001353A1">
        <w:t xml:space="preserve"> of </w:t>
      </w:r>
      <w:r w:rsidR="00C8094E" w:rsidRPr="001353A1">
        <w:t xml:space="preserve">virtual </w:t>
      </w:r>
      <w:r w:rsidR="00004F20" w:rsidRPr="001353A1">
        <w:t>ITU</w:t>
      </w:r>
      <w:r w:rsidR="00C8094E" w:rsidRPr="001353A1">
        <w:t xml:space="preserve"> public </w:t>
      </w:r>
      <w:proofErr w:type="gramStart"/>
      <w:r w:rsidR="00C8094E" w:rsidRPr="001353A1">
        <w:t>events</w:t>
      </w:r>
      <w:r w:rsidR="002334A0">
        <w:t>;</w:t>
      </w:r>
      <w:proofErr w:type="gramEnd"/>
    </w:p>
    <w:p w14:paraId="23ADAD17" w14:textId="225CA7CA" w:rsidR="00C05867" w:rsidRDefault="00C05867" w:rsidP="004526AB">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ind w:left="357" w:hanging="357"/>
        <w:contextualSpacing w:val="0"/>
        <w:jc w:val="both"/>
        <w:textAlignment w:val="auto"/>
      </w:pPr>
      <w:r w:rsidRPr="0096673B">
        <w:rPr>
          <w:i/>
          <w:iCs/>
        </w:rPr>
        <w:t xml:space="preserve">Webpages per </w:t>
      </w:r>
      <w:r w:rsidR="0096673B" w:rsidRPr="0096673B">
        <w:rPr>
          <w:i/>
          <w:iCs/>
        </w:rPr>
        <w:t>theme/area of work:</w:t>
      </w:r>
      <w:r w:rsidR="0096673B">
        <w:t xml:space="preserve"> </w:t>
      </w:r>
      <w:r w:rsidRPr="00C05867">
        <w:t>single page</w:t>
      </w:r>
      <w:r w:rsidR="002236C6">
        <w:t xml:space="preserve">s on </w:t>
      </w:r>
      <w:hyperlink r:id="rId17" w:history="1">
        <w:r w:rsidR="008D0F4D" w:rsidRPr="00CD5305">
          <w:rPr>
            <w:rStyle w:val="Hyperlink"/>
          </w:rPr>
          <w:t>“Environment</w:t>
        </w:r>
        <w:r w:rsidR="00B81AFF" w:rsidRPr="00CD5305">
          <w:rPr>
            <w:rStyle w:val="Hyperlink"/>
          </w:rPr>
          <w:t xml:space="preserve"> and climate change</w:t>
        </w:r>
        <w:r w:rsidR="008D0F4D" w:rsidRPr="00CD5305">
          <w:rPr>
            <w:rStyle w:val="Hyperlink"/>
          </w:rPr>
          <w:t>”</w:t>
        </w:r>
      </w:hyperlink>
      <w:r w:rsidR="008D0F4D">
        <w:t xml:space="preserve"> and on </w:t>
      </w:r>
      <w:hyperlink r:id="rId18" w:history="1">
        <w:r w:rsidR="008D0F4D" w:rsidRPr="009D125A">
          <w:rPr>
            <w:rStyle w:val="Hyperlink"/>
          </w:rPr>
          <w:t>“Emerg</w:t>
        </w:r>
        <w:r w:rsidR="009D125A">
          <w:rPr>
            <w:rStyle w:val="Hyperlink"/>
          </w:rPr>
          <w:t>ency</w:t>
        </w:r>
        <w:r w:rsidR="008D0F4D" w:rsidRPr="009D125A">
          <w:rPr>
            <w:rStyle w:val="Hyperlink"/>
          </w:rPr>
          <w:t xml:space="preserve"> Telecommunications”</w:t>
        </w:r>
      </w:hyperlink>
      <w:r w:rsidR="0062018C">
        <w:t xml:space="preserve"> </w:t>
      </w:r>
      <w:r w:rsidR="006C4480">
        <w:t xml:space="preserve">were updated and </w:t>
      </w:r>
      <w:r w:rsidRPr="00C05867">
        <w:t>keep all relevant information of corresponding activities across the ITU</w:t>
      </w:r>
      <w:r w:rsidR="002334A0">
        <w:t>;</w:t>
      </w:r>
    </w:p>
    <w:p w14:paraId="4DC1BE7D" w14:textId="037C6FB1" w:rsidR="005D2C58" w:rsidRDefault="004C2853" w:rsidP="004526AB">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ind w:left="357" w:hanging="357"/>
        <w:contextualSpacing w:val="0"/>
        <w:jc w:val="both"/>
        <w:textAlignment w:val="auto"/>
      </w:pPr>
      <w:r>
        <w:rPr>
          <w:i/>
          <w:iCs/>
          <w:lang w:val="en-US"/>
        </w:rPr>
        <w:t>Accessibility</w:t>
      </w:r>
      <w:r w:rsidR="00E9551E">
        <w:rPr>
          <w:i/>
          <w:iCs/>
          <w:lang w:val="en-US"/>
        </w:rPr>
        <w:t>:</w:t>
      </w:r>
      <w:r w:rsidR="00E9551E" w:rsidRPr="00E9551E">
        <w:t xml:space="preserve"> the ITU Accessibility Policy</w:t>
      </w:r>
      <w:r w:rsidR="00E9551E">
        <w:t xml:space="preserve"> </w:t>
      </w:r>
      <w:r w:rsidR="0072600E">
        <w:t xml:space="preserve">is under </w:t>
      </w:r>
      <w:r w:rsidR="00E9551E">
        <w:t>review</w:t>
      </w:r>
      <w:r w:rsidR="0072600E">
        <w:t>,</w:t>
      </w:r>
      <w:r w:rsidR="00E9551E" w:rsidRPr="00E9551E">
        <w:t xml:space="preserve"> and an Accessibility Strategy and </w:t>
      </w:r>
      <w:r w:rsidR="008C0A19">
        <w:t xml:space="preserve">a </w:t>
      </w:r>
      <w:r w:rsidR="00E9551E" w:rsidRPr="00E9551E">
        <w:t>Work</w:t>
      </w:r>
      <w:r w:rsidR="008C0A19">
        <w:t>p</w:t>
      </w:r>
      <w:r w:rsidR="00E9551E" w:rsidRPr="00E9551E">
        <w:t>lan for 2021-2022</w:t>
      </w:r>
      <w:r w:rsidR="008C0A19">
        <w:t xml:space="preserve"> </w:t>
      </w:r>
      <w:r w:rsidR="0072600E">
        <w:t xml:space="preserve">been </w:t>
      </w:r>
      <w:r w:rsidR="008C0A19">
        <w:t>developed</w:t>
      </w:r>
      <w:r w:rsidR="00E9551E" w:rsidRPr="00E9551E">
        <w:t>.</w:t>
      </w:r>
      <w:r w:rsidR="008C0A19">
        <w:t xml:space="preserve"> Also</w:t>
      </w:r>
      <w:r w:rsidR="007148EB">
        <w:t>,</w:t>
      </w:r>
      <w:r w:rsidR="008C0A19">
        <w:t xml:space="preserve"> a trial </w:t>
      </w:r>
      <w:r w:rsidR="00323255">
        <w:t xml:space="preserve">on accessibility in relation </w:t>
      </w:r>
      <w:r w:rsidR="008C0A19">
        <w:t xml:space="preserve">to virtual meetings will be </w:t>
      </w:r>
      <w:r w:rsidR="00F466D4">
        <w:t>coordinated within the ISC-TF</w:t>
      </w:r>
      <w:r w:rsidR="00323255">
        <w:t>,</w:t>
      </w:r>
      <w:r w:rsidR="00323255" w:rsidRPr="00323255">
        <w:t xml:space="preserve"> based on ITU-T </w:t>
      </w:r>
      <w:proofErr w:type="gramStart"/>
      <w:r w:rsidR="00323255" w:rsidRPr="00323255">
        <w:t>experience</w:t>
      </w:r>
      <w:r w:rsidR="008110CD">
        <w:t>;</w:t>
      </w:r>
      <w:proofErr w:type="gramEnd"/>
      <w:r w:rsidR="008110CD">
        <w:t xml:space="preserve"> </w:t>
      </w:r>
    </w:p>
    <w:p w14:paraId="5B14E2BA" w14:textId="38DC6511" w:rsidR="00643CA2" w:rsidRPr="00AC0C79" w:rsidRDefault="00643CA2" w:rsidP="004526AB">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ind w:left="357" w:hanging="357"/>
        <w:contextualSpacing w:val="0"/>
        <w:jc w:val="both"/>
        <w:textAlignment w:val="auto"/>
      </w:pPr>
      <w:r>
        <w:rPr>
          <w:i/>
          <w:iCs/>
          <w:lang w:val="en-US"/>
        </w:rPr>
        <w:t>Multilingualism:</w:t>
      </w:r>
      <w:r>
        <w:t xml:space="preserve"> </w:t>
      </w:r>
      <w:r w:rsidR="00F57A0A">
        <w:t>this thematic group was established in 2020</w:t>
      </w:r>
      <w:r w:rsidR="00346D01">
        <w:t>, and i</w:t>
      </w:r>
      <w:r w:rsidR="00F57A0A">
        <w:t xml:space="preserve">t is working </w:t>
      </w:r>
      <w:r w:rsidR="00BD1484">
        <w:t xml:space="preserve">on </w:t>
      </w:r>
      <w:r w:rsidR="00F57A0A" w:rsidRPr="00F57A0A">
        <w:t>a matrix of mandates and recommendations drawn up from the different documents following the working recommendations from the UN on multilingualism to produce a detailed action plan</w:t>
      </w:r>
      <w:r w:rsidR="00BD1484">
        <w:t xml:space="preserve">, </w:t>
      </w:r>
      <w:r w:rsidR="001F67A7">
        <w:t xml:space="preserve">a report was presented </w:t>
      </w:r>
      <w:r w:rsidR="00BD1484">
        <w:t xml:space="preserve">to </w:t>
      </w:r>
      <w:r w:rsidR="001F67A7">
        <w:t xml:space="preserve">the </w:t>
      </w:r>
      <w:r w:rsidR="00F57A0A" w:rsidRPr="00F57A0A">
        <w:t xml:space="preserve">CWG-Languages </w:t>
      </w:r>
      <w:r w:rsidR="001F67A7">
        <w:t xml:space="preserve">in </w:t>
      </w:r>
      <w:r w:rsidR="00F57A0A" w:rsidRPr="00F57A0A">
        <w:t xml:space="preserve">February </w:t>
      </w:r>
      <w:proofErr w:type="gramStart"/>
      <w:r w:rsidR="00F57A0A" w:rsidRPr="00F57A0A">
        <w:t>2021</w:t>
      </w:r>
      <w:r w:rsidR="006A4D5B">
        <w:t>;</w:t>
      </w:r>
      <w:proofErr w:type="gramEnd"/>
      <w:r w:rsidR="00F57A0A" w:rsidRPr="00F57A0A">
        <w:t xml:space="preserve"> </w:t>
      </w:r>
    </w:p>
    <w:p w14:paraId="03738AF3" w14:textId="2C23FAB6" w:rsidR="003A1E24" w:rsidRPr="003A1E24" w:rsidRDefault="003A1E24" w:rsidP="004526AB">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ind w:left="357" w:hanging="357"/>
        <w:contextualSpacing w:val="0"/>
        <w:jc w:val="both"/>
        <w:textAlignment w:val="auto"/>
      </w:pPr>
      <w:r w:rsidRPr="008110CD">
        <w:rPr>
          <w:i/>
          <w:iCs/>
        </w:rPr>
        <w:t>Joint Inspection Unit of the UN System (JIU):</w:t>
      </w:r>
      <w:r w:rsidRPr="003A1E24">
        <w:t xml:space="preserve"> </w:t>
      </w:r>
      <w:r w:rsidR="00C470CC">
        <w:t xml:space="preserve">the task force </w:t>
      </w:r>
      <w:r w:rsidR="008110CD">
        <w:t xml:space="preserve">agreed </w:t>
      </w:r>
      <w:r w:rsidR="00C470CC" w:rsidRPr="00C470CC">
        <w:t xml:space="preserve">to submit the JIU Report to the CGW-FHR that reports to Council, and to address the specific recommendations within each of the relevant thematic </w:t>
      </w:r>
      <w:r w:rsidR="008110CD">
        <w:t xml:space="preserve">groups’ </w:t>
      </w:r>
      <w:proofErr w:type="gramStart"/>
      <w:r w:rsidR="00C470CC" w:rsidRPr="00C470CC">
        <w:t>discussions</w:t>
      </w:r>
      <w:r w:rsidR="008110CD">
        <w:t>;</w:t>
      </w:r>
      <w:proofErr w:type="gramEnd"/>
      <w:r w:rsidR="008110CD">
        <w:t xml:space="preserve"> </w:t>
      </w:r>
    </w:p>
    <w:p w14:paraId="7A63DE0C" w14:textId="2C50344F" w:rsidR="0040551B" w:rsidRDefault="0040551B" w:rsidP="004526AB">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ind w:left="357" w:hanging="357"/>
        <w:contextualSpacing w:val="0"/>
        <w:jc w:val="both"/>
        <w:textAlignment w:val="auto"/>
      </w:pPr>
      <w:r w:rsidRPr="001270AE">
        <w:rPr>
          <w:i/>
          <w:iCs/>
        </w:rPr>
        <w:t>ITU risk management framework</w:t>
      </w:r>
      <w:r w:rsidRPr="001270AE">
        <w:t xml:space="preserve">: </w:t>
      </w:r>
      <w:r w:rsidR="00300926">
        <w:t xml:space="preserve">under the guidance of the </w:t>
      </w:r>
      <w:r w:rsidR="00346D01">
        <w:t>ISC-TF</w:t>
      </w:r>
      <w:r w:rsidR="00300926">
        <w:t xml:space="preserve">, </w:t>
      </w:r>
      <w:r w:rsidR="004C2853" w:rsidRPr="00BB7BC0">
        <w:t xml:space="preserve">the Action Plan to </w:t>
      </w:r>
      <w:r w:rsidR="006C6C64">
        <w:t>s</w:t>
      </w:r>
      <w:r w:rsidR="00651183">
        <w:t>trengthen the ITU risk management framework</w:t>
      </w:r>
      <w:r w:rsidR="00391BC8">
        <w:t xml:space="preserve"> was successfully implemented, </w:t>
      </w:r>
      <w:r w:rsidR="00102E78">
        <w:t xml:space="preserve">establishing improved arrangements to assess and oversee internal control mechanisms for more effective supervision, and implementing the related IMAC recommendations and JIU Benchmarks on risk management </w:t>
      </w:r>
      <w:r w:rsidR="006C6C64">
        <w:t>(details presented in Doc</w:t>
      </w:r>
      <w:r w:rsidR="004526AB">
        <w:t>ument</w:t>
      </w:r>
      <w:r w:rsidR="006C6C64">
        <w:t xml:space="preserve"> </w:t>
      </w:r>
      <w:hyperlink r:id="rId19" w:history="1">
        <w:r w:rsidR="00BB7BC0" w:rsidRPr="004526AB">
          <w:rPr>
            <w:rStyle w:val="Hyperlink"/>
          </w:rPr>
          <w:t>C21/61</w:t>
        </w:r>
      </w:hyperlink>
      <w:r w:rsidR="006C6C64">
        <w:t>)</w:t>
      </w:r>
      <w:r w:rsidR="00102E78">
        <w:t>;</w:t>
      </w:r>
    </w:p>
    <w:p w14:paraId="787A3BDF" w14:textId="579DA355" w:rsidR="008222B0" w:rsidRPr="00BB7BC0" w:rsidRDefault="00EC15EF" w:rsidP="004526AB">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ind w:left="357" w:hanging="357"/>
        <w:contextualSpacing w:val="0"/>
        <w:jc w:val="both"/>
        <w:textAlignment w:val="auto"/>
      </w:pPr>
      <w:r w:rsidRPr="005A2991">
        <w:rPr>
          <w:i/>
          <w:iCs/>
        </w:rPr>
        <w:t>ITU Compliance Dashboard:</w:t>
      </w:r>
      <w:r>
        <w:t xml:space="preserve"> </w:t>
      </w:r>
      <w:r w:rsidR="003E3AF7" w:rsidRPr="003E3AF7">
        <w:t>ITU management decided to set up and develop a corporate compliance dashboard including the recommendations of External Audit, IMAC, JIU and Internal Audit. This tool enables ITU management and oversight bodies (internal audit, external audit and IMAC) to have a clear view of the recommendations in progress, real time information concerning the progress made in implementing the recommendations or in mitigating the residual risks. Th</w:t>
      </w:r>
      <w:r w:rsidR="005F5663">
        <w:t>is d</w:t>
      </w:r>
      <w:r w:rsidR="003E3AF7" w:rsidRPr="003E3AF7">
        <w:t xml:space="preserve">ashboard complements the ITU Risk Register, enabling the assessment of all risks related to the open recommendations. More information on the tool </w:t>
      </w:r>
      <w:r w:rsidR="003E5889">
        <w:t>is</w:t>
      </w:r>
      <w:r w:rsidR="003E3AF7" w:rsidRPr="003E3AF7">
        <w:t xml:space="preserve"> provided in </w:t>
      </w:r>
      <w:r w:rsidR="004526AB">
        <w:t xml:space="preserve">the Information Document </w:t>
      </w:r>
      <w:hyperlink r:id="rId20" w:history="1">
        <w:r w:rsidR="004526AB" w:rsidRPr="00901119">
          <w:rPr>
            <w:rStyle w:val="Hyperlink"/>
          </w:rPr>
          <w:t>C21/INF/</w:t>
        </w:r>
        <w:r w:rsidR="00901119" w:rsidRPr="00901119">
          <w:rPr>
            <w:rStyle w:val="Hyperlink"/>
          </w:rPr>
          <w:t>11</w:t>
        </w:r>
      </w:hyperlink>
      <w:r w:rsidR="003E3AF7" w:rsidRPr="003E3AF7">
        <w:t>.</w:t>
      </w:r>
    </w:p>
    <w:p w14:paraId="6AB83F3B" w14:textId="59F51A4F" w:rsidR="0040551B" w:rsidRPr="00A056EB" w:rsidRDefault="0040551B" w:rsidP="004526AB">
      <w:pPr>
        <w:pStyle w:val="ListParagraph"/>
        <w:numPr>
          <w:ilvl w:val="0"/>
          <w:numId w:val="13"/>
        </w:numPr>
        <w:spacing w:after="120"/>
        <w:ind w:left="357" w:hanging="357"/>
        <w:contextualSpacing w:val="0"/>
        <w:jc w:val="both"/>
      </w:pPr>
      <w:r w:rsidRPr="00A056EB">
        <w:rPr>
          <w:i/>
          <w:iCs/>
        </w:rPr>
        <w:t>Membership</w:t>
      </w:r>
      <w:r w:rsidR="00C757CD" w:rsidRPr="00A056EB">
        <w:rPr>
          <w:i/>
          <w:iCs/>
        </w:rPr>
        <w:t>, Resource mobilization and SMEs</w:t>
      </w:r>
      <w:r w:rsidRPr="00A056EB">
        <w:t>:</w:t>
      </w:r>
      <w:r w:rsidR="00591BE4" w:rsidRPr="00A056EB">
        <w:t xml:space="preserve"> </w:t>
      </w:r>
      <w:r w:rsidR="00CB4F75" w:rsidRPr="00CB4F75">
        <w:t>Digital marketing techniques and new platforms including the launch of “</w:t>
      </w:r>
      <w:proofErr w:type="spellStart"/>
      <w:r w:rsidR="00CB4F75" w:rsidRPr="00CB4F75">
        <w:t>MyITU</w:t>
      </w:r>
      <w:proofErr w:type="spellEnd"/>
      <w:r w:rsidR="00CB4F75" w:rsidRPr="00CB4F75">
        <w:t>” were successfully used to reach new professional audiences to expand prospects for ITU membership. The group also continued to assess the participation of SMEs, counting 23 new members in 2020, and 26 new Academia members that joined ITU.</w:t>
      </w:r>
    </w:p>
    <w:p w14:paraId="4642952B" w14:textId="1B20702F" w:rsidR="005569AA" w:rsidRPr="00152308" w:rsidRDefault="005569AA" w:rsidP="004526AB">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ind w:left="357" w:hanging="357"/>
        <w:contextualSpacing w:val="0"/>
        <w:jc w:val="both"/>
        <w:textAlignment w:val="auto"/>
      </w:pPr>
      <w:r w:rsidRPr="00A27F4A">
        <w:rPr>
          <w:i/>
          <w:iCs/>
          <w:lang w:val="en-US"/>
        </w:rPr>
        <w:t>New initiative:</w:t>
      </w:r>
      <w:r w:rsidRPr="00A27F4A">
        <w:rPr>
          <w:lang w:val="en-US"/>
        </w:rPr>
        <w:t xml:space="preserve"> </w:t>
      </w:r>
      <w:r>
        <w:rPr>
          <w:lang w:val="en-US"/>
        </w:rPr>
        <w:t>i</w:t>
      </w:r>
      <w:r w:rsidRPr="00473055">
        <w:rPr>
          <w:lang w:val="en-US"/>
        </w:rPr>
        <w:t xml:space="preserve">n view of consolidating efforts, being more efficient and reducing the number of </w:t>
      </w:r>
      <w:r>
        <w:rPr>
          <w:lang w:val="en-US"/>
        </w:rPr>
        <w:t xml:space="preserve">themes/areas of work, the ISC-TF </w:t>
      </w:r>
      <w:r w:rsidRPr="00473055">
        <w:rPr>
          <w:lang w:val="en-US"/>
        </w:rPr>
        <w:t>agreed to set up an umbrella group on Digital Transformation, chaired by the D</w:t>
      </w:r>
      <w:r>
        <w:rPr>
          <w:lang w:val="en-US"/>
        </w:rPr>
        <w:t xml:space="preserve">eputy </w:t>
      </w:r>
      <w:r w:rsidRPr="00473055">
        <w:rPr>
          <w:lang w:val="en-US"/>
        </w:rPr>
        <w:t>S</w:t>
      </w:r>
      <w:r>
        <w:rPr>
          <w:lang w:val="en-US"/>
        </w:rPr>
        <w:t>ecretary-</w:t>
      </w:r>
      <w:r w:rsidRPr="00473055">
        <w:rPr>
          <w:lang w:val="en-US"/>
        </w:rPr>
        <w:t>G</w:t>
      </w:r>
      <w:r>
        <w:rPr>
          <w:lang w:val="en-US"/>
        </w:rPr>
        <w:t>eneral</w:t>
      </w:r>
      <w:r w:rsidRPr="00473055">
        <w:rPr>
          <w:lang w:val="en-US"/>
        </w:rPr>
        <w:t xml:space="preserve">, with the participation of the </w:t>
      </w:r>
      <w:r w:rsidRPr="009155EF">
        <w:rPr>
          <w:lang w:val="en-US"/>
        </w:rPr>
        <w:t xml:space="preserve">Deputies to the Directors of the three </w:t>
      </w:r>
      <w:proofErr w:type="spellStart"/>
      <w:r w:rsidRPr="009155EF">
        <w:rPr>
          <w:lang w:val="en-US"/>
        </w:rPr>
        <w:t>Bureaux</w:t>
      </w:r>
      <w:proofErr w:type="spellEnd"/>
      <w:r w:rsidRPr="009155EF">
        <w:rPr>
          <w:lang w:val="en-US"/>
        </w:rPr>
        <w:t xml:space="preserve"> and the</w:t>
      </w:r>
      <w:r w:rsidRPr="009155EF">
        <w:t xml:space="preserve"> </w:t>
      </w:r>
      <w:r w:rsidRPr="009155EF">
        <w:rPr>
          <w:lang w:val="en-US"/>
        </w:rPr>
        <w:t>Chiefs of Departments of the General Secretariat</w:t>
      </w:r>
      <w:r w:rsidRPr="00473055">
        <w:rPr>
          <w:lang w:val="en-US"/>
        </w:rPr>
        <w:t xml:space="preserve">, and others as necessary, which should cover the </w:t>
      </w:r>
      <w:r>
        <w:rPr>
          <w:lang w:val="en-US"/>
        </w:rPr>
        <w:t xml:space="preserve">following </w:t>
      </w:r>
      <w:r w:rsidRPr="00473055">
        <w:rPr>
          <w:lang w:val="en-US"/>
        </w:rPr>
        <w:t>groups and topics</w:t>
      </w:r>
      <w:r w:rsidRPr="00A27F4A">
        <w:rPr>
          <w:lang w:val="en-US"/>
        </w:rPr>
        <w:t>: Digital Transformation, Remote Participation, New ITU website, and Event overview page</w:t>
      </w:r>
      <w:r>
        <w:rPr>
          <w:lang w:val="en-US"/>
        </w:rPr>
        <w:t>.</w:t>
      </w:r>
    </w:p>
    <w:p w14:paraId="55F9C9E5" w14:textId="739CF4BA" w:rsidR="00BA6D92" w:rsidRPr="00BA6D92" w:rsidRDefault="00BA6D92" w:rsidP="00BA6D92">
      <w:pPr>
        <w:numPr>
          <w:ilvl w:val="0"/>
          <w:numId w:val="12"/>
        </w:numPr>
        <w:tabs>
          <w:tab w:val="clear" w:pos="567"/>
          <w:tab w:val="clear" w:pos="1134"/>
          <w:tab w:val="clear" w:pos="1701"/>
          <w:tab w:val="clear" w:pos="2268"/>
          <w:tab w:val="clear" w:pos="2835"/>
        </w:tabs>
        <w:snapToGrid w:val="0"/>
        <w:spacing w:before="480" w:after="120"/>
        <w:ind w:left="0" w:firstLine="0"/>
        <w:outlineLvl w:val="1"/>
        <w:rPr>
          <w:b/>
        </w:rPr>
      </w:pPr>
      <w:r w:rsidRPr="00BA6D92">
        <w:rPr>
          <w:b/>
        </w:rPr>
        <w:lastRenderedPageBreak/>
        <w:t>Membership coordination</w:t>
      </w:r>
    </w:p>
    <w:p w14:paraId="6AC32AEF" w14:textId="77777777" w:rsidR="00BA6D92" w:rsidRPr="00BA6D92" w:rsidRDefault="00BA6D92" w:rsidP="00BA6D92">
      <w:pPr>
        <w:numPr>
          <w:ilvl w:val="1"/>
          <w:numId w:val="1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BA6D92">
        <w:t xml:space="preserve">The </w:t>
      </w:r>
      <w:hyperlink r:id="rId21" w:history="1">
        <w:r w:rsidRPr="00BA6D92">
          <w:rPr>
            <w:color w:val="0000FF"/>
            <w:u w:val="single"/>
          </w:rPr>
          <w:t>Inter-Sector Coordination Group (ISCG)</w:t>
        </w:r>
      </w:hyperlink>
      <w:r w:rsidRPr="00BA6D92">
        <w:t xml:space="preserve"> on issues of mutual interest was established jointly by the Radiocommunication Advisory Group (RAG), the Telecommunication Standardization Advisory Group (TSAG), and the Telecommunication Development Advisory Group (TDAG).</w:t>
      </w:r>
    </w:p>
    <w:p w14:paraId="5C52FD5F" w14:textId="00C200EB" w:rsidR="00BA6D92" w:rsidRPr="00BA6D92" w:rsidRDefault="00BA6D92" w:rsidP="00BA6D92">
      <w:pPr>
        <w:numPr>
          <w:ilvl w:val="1"/>
          <w:numId w:val="1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BA6D92">
        <w:t>ISCG identifies subjects common to the three Sectors and the General Secretariat, or, bilaterally, and considers an updated list (prepared by the secretariat) containing areas of mutual interest to the three Sectors and the General Secretariat pursuant to the mandates assigned by each ITU assembly or conference. ISCG also identifies the necessary mechanisms to strengthen cooperation and joint activit</w:t>
      </w:r>
      <w:r w:rsidR="00535210">
        <w:t>ies</w:t>
      </w:r>
      <w:r w:rsidRPr="00BA6D92">
        <w:t xml:space="preserve"> among the three Sectors and the General Secretariat, on issues of mutual interest.</w:t>
      </w:r>
    </w:p>
    <w:p w14:paraId="7FD61DF7" w14:textId="17CD1EFA" w:rsidR="00BA6D92" w:rsidRDefault="00306A87" w:rsidP="00BA6D92">
      <w:pPr>
        <w:numPr>
          <w:ilvl w:val="1"/>
          <w:numId w:val="1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t xml:space="preserve">The ISCG </w:t>
      </w:r>
      <w:r w:rsidRPr="00306A87">
        <w:t xml:space="preserve">held </w:t>
      </w:r>
      <w:r>
        <w:t>two</w:t>
      </w:r>
      <w:r w:rsidRPr="00306A87">
        <w:t xml:space="preserve"> meetings</w:t>
      </w:r>
      <w:r>
        <w:t xml:space="preserve"> si</w:t>
      </w:r>
      <w:r w:rsidRPr="00306A87">
        <w:t xml:space="preserve">nce </w:t>
      </w:r>
      <w:r w:rsidR="00DD0590">
        <w:t xml:space="preserve">the </w:t>
      </w:r>
      <w:r w:rsidRPr="00306A87">
        <w:t xml:space="preserve">previous report to </w:t>
      </w:r>
      <w:r w:rsidR="00A65CBD">
        <w:t>Council-20</w:t>
      </w:r>
      <w:r w:rsidRPr="00306A87">
        <w:t xml:space="preserve"> </w:t>
      </w:r>
      <w:r w:rsidR="00846404">
        <w:t>and</w:t>
      </w:r>
      <w:r w:rsidR="00DD0590">
        <w:t xml:space="preserve"> </w:t>
      </w:r>
      <w:r w:rsidR="00846404">
        <w:t xml:space="preserve">will be celebrating </w:t>
      </w:r>
      <w:r w:rsidR="00DD0590">
        <w:t>its next meeting on 1</w:t>
      </w:r>
      <w:r w:rsidR="00DD0590" w:rsidRPr="004526AB">
        <w:t>st</w:t>
      </w:r>
      <w:r w:rsidR="00DD0590">
        <w:t xml:space="preserve"> September 2021. </w:t>
      </w:r>
      <w:r w:rsidR="00BA6D92" w:rsidRPr="00BA6D92">
        <w:t xml:space="preserve">The </w:t>
      </w:r>
      <w:r w:rsidR="00E27039">
        <w:t xml:space="preserve">group </w:t>
      </w:r>
      <w:r w:rsidR="00914C36">
        <w:t xml:space="preserve">has </w:t>
      </w:r>
      <w:r w:rsidR="00E27039">
        <w:t>report</w:t>
      </w:r>
      <w:r w:rsidR="00914C36">
        <w:t xml:space="preserve">ed </w:t>
      </w:r>
      <w:r w:rsidR="00E27039">
        <w:t xml:space="preserve">to the </w:t>
      </w:r>
      <w:r w:rsidR="00914C36">
        <w:t>three Sector</w:t>
      </w:r>
      <w:r w:rsidR="00E27039">
        <w:t xml:space="preserve"> </w:t>
      </w:r>
      <w:r w:rsidR="00D91CE7">
        <w:t>a</w:t>
      </w:r>
      <w:r w:rsidR="00E27039">
        <w:t xml:space="preserve">dvisory </w:t>
      </w:r>
      <w:r w:rsidR="00D91CE7">
        <w:t>g</w:t>
      </w:r>
      <w:r w:rsidR="00E27039">
        <w:t xml:space="preserve">roups </w:t>
      </w:r>
      <w:r w:rsidR="00914C36">
        <w:t>during this period</w:t>
      </w:r>
      <w:r w:rsidR="00BA6D92" w:rsidRPr="00BA6D92">
        <w:t>.</w:t>
      </w:r>
    </w:p>
    <w:p w14:paraId="52910E65" w14:textId="690F3D6E" w:rsidR="00BA6D92" w:rsidRPr="00BA6D92" w:rsidRDefault="00BA6D92" w:rsidP="00BA6D92">
      <w:pPr>
        <w:numPr>
          <w:ilvl w:val="1"/>
          <w:numId w:val="1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BA6D92">
        <w:t xml:space="preserve">ISCG </w:t>
      </w:r>
      <w:r w:rsidR="00005596">
        <w:t xml:space="preserve">agreed on </w:t>
      </w:r>
      <w:r w:rsidRPr="00BA6D92">
        <w:t>the idea of identifying “themes” for intersectoral coordination, where all actors (including Sector advisory groups, ITU-R, ITU-T and ITU-D study groups, study group counsellors and the secretariat) would be involved in identifying methods of improved collaboration, aimed at avoiding duplication of work and proposing the way forward.</w:t>
      </w:r>
    </w:p>
    <w:p w14:paraId="53D1BA7A" w14:textId="77777777" w:rsidR="004526AB" w:rsidRPr="004526AB" w:rsidRDefault="00B50979" w:rsidP="0041406E">
      <w:pPr>
        <w:numPr>
          <w:ilvl w:val="1"/>
          <w:numId w:val="12"/>
        </w:numPr>
        <w:tabs>
          <w:tab w:val="clear" w:pos="567"/>
          <w:tab w:val="clear" w:pos="1134"/>
          <w:tab w:val="clear" w:pos="1701"/>
          <w:tab w:val="clear" w:pos="2268"/>
          <w:tab w:val="clear" w:pos="2835"/>
        </w:tabs>
        <w:overflowPunct/>
        <w:autoSpaceDE/>
        <w:autoSpaceDN/>
        <w:adjustRightInd/>
        <w:snapToGrid w:val="0"/>
        <w:spacing w:before="0" w:after="120"/>
        <w:ind w:left="0" w:firstLine="0"/>
        <w:jc w:val="both"/>
        <w:textAlignment w:val="auto"/>
        <w:rPr>
          <w:lang w:val="en-US"/>
        </w:rPr>
      </w:pPr>
      <w:r>
        <w:t xml:space="preserve">In 2019, the </w:t>
      </w:r>
      <w:r w:rsidR="00BA6D92" w:rsidRPr="00BA6D92">
        <w:t>ISCG decided on “Climate change” as a pilot theme, where all Sectors could be involved and could collaborate. Since the</w:t>
      </w:r>
      <w:r w:rsidR="00C00494">
        <w:t>n</w:t>
      </w:r>
      <w:r>
        <w:t>,</w:t>
      </w:r>
      <w:r w:rsidR="00C00494">
        <w:t xml:space="preserve"> the Secretariat </w:t>
      </w:r>
      <w:r w:rsidR="0095508F">
        <w:t xml:space="preserve">has been reporting on the activities related to climate change and how they are been coordinated within the ISC-TF. </w:t>
      </w:r>
      <w:r w:rsidR="00BA6D92" w:rsidRPr="00BA6D92">
        <w:t xml:space="preserve"> </w:t>
      </w:r>
      <w:r w:rsidR="00CE50D0">
        <w:t>Progress reports</w:t>
      </w:r>
      <w:r w:rsidR="00F87FCB">
        <w:t xml:space="preserve"> on the activities</w:t>
      </w:r>
      <w:r w:rsidR="00CE50D0">
        <w:t xml:space="preserve">, </w:t>
      </w:r>
      <w:r w:rsidR="00F87FCB">
        <w:t xml:space="preserve">including </w:t>
      </w:r>
      <w:r w:rsidR="00CE50D0">
        <w:t xml:space="preserve">the </w:t>
      </w:r>
      <w:r w:rsidR="003A2510" w:rsidRPr="003A2510">
        <w:t>single page on “Environment and climate change”</w:t>
      </w:r>
      <w:r w:rsidR="006D406B">
        <w:t xml:space="preserve">, as well as </w:t>
      </w:r>
      <w:r w:rsidR="00F64E62" w:rsidRPr="00F64E62">
        <w:t xml:space="preserve">internal activities related to environmental sustainability that are taking place in ITU, and </w:t>
      </w:r>
      <w:proofErr w:type="gramStart"/>
      <w:r w:rsidR="00F64E62">
        <w:t>a</w:t>
      </w:r>
      <w:r w:rsidR="006D65E2">
        <w:t>n</w:t>
      </w:r>
      <w:proofErr w:type="gramEnd"/>
      <w:r w:rsidR="006D65E2">
        <w:t xml:space="preserve"> unif</w:t>
      </w:r>
      <w:r w:rsidR="00A92C72">
        <w:t xml:space="preserve">ied </w:t>
      </w:r>
      <w:r w:rsidR="00F64E62">
        <w:t>Workplan for 2021 had been presented.</w:t>
      </w:r>
    </w:p>
    <w:p w14:paraId="326C5A39" w14:textId="77777777" w:rsidR="004526AB" w:rsidRDefault="00E71DDB" w:rsidP="00A42626">
      <w:pPr>
        <w:numPr>
          <w:ilvl w:val="1"/>
          <w:numId w:val="12"/>
        </w:numPr>
        <w:tabs>
          <w:tab w:val="clear" w:pos="567"/>
          <w:tab w:val="clear" w:pos="1134"/>
          <w:tab w:val="clear" w:pos="1701"/>
          <w:tab w:val="clear" w:pos="2268"/>
          <w:tab w:val="clear" w:pos="2835"/>
        </w:tabs>
        <w:overflowPunct/>
        <w:autoSpaceDE/>
        <w:autoSpaceDN/>
        <w:adjustRightInd/>
        <w:snapToGrid w:val="0"/>
        <w:spacing w:before="0" w:after="120"/>
        <w:ind w:left="0" w:firstLine="0"/>
        <w:jc w:val="both"/>
        <w:textAlignment w:val="auto"/>
        <w:rPr>
          <w:lang w:val="en-US"/>
        </w:rPr>
      </w:pPr>
      <w:r w:rsidRPr="004526AB">
        <w:rPr>
          <w:lang w:val="en-US"/>
        </w:rPr>
        <w:t xml:space="preserve">During its last meeting in March 2021, the ISCG agreed on </w:t>
      </w:r>
      <w:r w:rsidR="00570D3A" w:rsidRPr="004526AB">
        <w:rPr>
          <w:lang w:val="en-US"/>
        </w:rPr>
        <w:t xml:space="preserve">addressing “Accessibility” as a </w:t>
      </w:r>
      <w:r w:rsidR="00F87FCB" w:rsidRPr="004526AB">
        <w:rPr>
          <w:lang w:val="en-US"/>
        </w:rPr>
        <w:t xml:space="preserve">new </w:t>
      </w:r>
      <w:r w:rsidR="00570D3A" w:rsidRPr="004526AB">
        <w:rPr>
          <w:lang w:val="en-US"/>
        </w:rPr>
        <w:t xml:space="preserve">theme to be considered </w:t>
      </w:r>
      <w:r w:rsidR="00134D61" w:rsidRPr="004526AB">
        <w:rPr>
          <w:lang w:val="en-US"/>
        </w:rPr>
        <w:t>by the group</w:t>
      </w:r>
      <w:r w:rsidR="00570D3A" w:rsidRPr="004526AB">
        <w:rPr>
          <w:lang w:val="en-US"/>
        </w:rPr>
        <w:t xml:space="preserve">, and for the members to </w:t>
      </w:r>
      <w:r w:rsidR="00AB4A73" w:rsidRPr="004526AB">
        <w:rPr>
          <w:lang w:val="en-US"/>
        </w:rPr>
        <w:t>identifying methods of improved and strengthen collaboration.</w:t>
      </w:r>
      <w:r w:rsidR="00F87FCB" w:rsidRPr="004526AB">
        <w:rPr>
          <w:lang w:val="en-US"/>
        </w:rPr>
        <w:t xml:space="preserve"> </w:t>
      </w:r>
    </w:p>
    <w:p w14:paraId="4D9CBBF1" w14:textId="77777777" w:rsidR="004526AB" w:rsidRPr="004526AB" w:rsidRDefault="00F87FCB" w:rsidP="00A91D4B">
      <w:pPr>
        <w:numPr>
          <w:ilvl w:val="1"/>
          <w:numId w:val="12"/>
        </w:numPr>
        <w:tabs>
          <w:tab w:val="clear" w:pos="567"/>
          <w:tab w:val="clear" w:pos="1134"/>
          <w:tab w:val="clear" w:pos="1701"/>
          <w:tab w:val="clear" w:pos="2268"/>
          <w:tab w:val="clear" w:pos="2835"/>
        </w:tabs>
        <w:overflowPunct/>
        <w:autoSpaceDE/>
        <w:autoSpaceDN/>
        <w:adjustRightInd/>
        <w:snapToGrid w:val="0"/>
        <w:spacing w:before="0" w:after="120"/>
        <w:ind w:left="0" w:firstLine="0"/>
        <w:jc w:val="both"/>
        <w:textAlignment w:val="auto"/>
      </w:pPr>
      <w:r w:rsidRPr="004526AB">
        <w:rPr>
          <w:lang w:val="en-US"/>
        </w:rPr>
        <w:t xml:space="preserve">The ISCG also requested the secretariat to continue to report on other themes such as the ITU new website development, including the harmonization of the websites of the three Sectors and the General Secretariat, as well as on the facilities being used for virtual meetings also with the aim of a possible common approach </w:t>
      </w:r>
      <w:r w:rsidR="00B92DD5" w:rsidRPr="004526AB">
        <w:rPr>
          <w:lang w:val="en-US"/>
        </w:rPr>
        <w:t>across the I</w:t>
      </w:r>
      <w:r w:rsidRPr="004526AB">
        <w:rPr>
          <w:lang w:val="en-US"/>
        </w:rPr>
        <w:t>.</w:t>
      </w:r>
    </w:p>
    <w:p w14:paraId="767449CB" w14:textId="77777777" w:rsidR="004526AB" w:rsidRPr="004526AB" w:rsidRDefault="00505379" w:rsidP="007F0807">
      <w:pPr>
        <w:numPr>
          <w:ilvl w:val="1"/>
          <w:numId w:val="12"/>
        </w:numPr>
        <w:tabs>
          <w:tab w:val="clear" w:pos="567"/>
          <w:tab w:val="clear" w:pos="1134"/>
          <w:tab w:val="clear" w:pos="1701"/>
          <w:tab w:val="clear" w:pos="2268"/>
          <w:tab w:val="clear" w:pos="2835"/>
        </w:tabs>
        <w:overflowPunct/>
        <w:autoSpaceDE/>
        <w:autoSpaceDN/>
        <w:adjustRightInd/>
        <w:snapToGrid w:val="0"/>
        <w:spacing w:before="0" w:after="120"/>
        <w:ind w:left="0" w:firstLine="0"/>
        <w:jc w:val="both"/>
        <w:textAlignment w:val="auto"/>
        <w:rPr>
          <w:rFonts w:cstheme="minorHAnsi"/>
        </w:rPr>
      </w:pPr>
      <w:r>
        <w:t xml:space="preserve">The </w:t>
      </w:r>
      <w:r w:rsidR="008C7353">
        <w:t xml:space="preserve">ISCG </w:t>
      </w:r>
      <w:r>
        <w:t xml:space="preserve">also </w:t>
      </w:r>
      <w:r w:rsidR="008C7353">
        <w:t xml:space="preserve">keeps </w:t>
      </w:r>
      <w:r>
        <w:t xml:space="preserve">the Mapping Tables </w:t>
      </w:r>
      <w:r w:rsidR="008C7353">
        <w:t>updated and posted in its website</w:t>
      </w:r>
      <w:r w:rsidR="005E6D82">
        <w:t xml:space="preserve">. </w:t>
      </w:r>
      <w:r w:rsidR="005E6D82" w:rsidRPr="005E6D82">
        <w:t>The purpose of the mapping work is to identify topics of mutual interest and the entities responsible for those topics across the three Sectors of the Union. The result of the mapping work function</w:t>
      </w:r>
      <w:r w:rsidR="00B31F64">
        <w:t xml:space="preserve">s </w:t>
      </w:r>
      <w:r w:rsidR="005E6D82" w:rsidRPr="005E6D82">
        <w:t>as a guide to facilitate smoother information exchange within the Union in connection with the identified topics of mutual interest.</w:t>
      </w:r>
    </w:p>
    <w:p w14:paraId="40975FDC" w14:textId="663FF6F1" w:rsidR="00CF134B" w:rsidRPr="004526AB" w:rsidRDefault="007E6C88" w:rsidP="007F0807">
      <w:pPr>
        <w:numPr>
          <w:ilvl w:val="1"/>
          <w:numId w:val="12"/>
        </w:numPr>
        <w:tabs>
          <w:tab w:val="clear" w:pos="567"/>
          <w:tab w:val="clear" w:pos="1134"/>
          <w:tab w:val="clear" w:pos="1701"/>
          <w:tab w:val="clear" w:pos="2268"/>
          <w:tab w:val="clear" w:pos="2835"/>
        </w:tabs>
        <w:overflowPunct/>
        <w:autoSpaceDE/>
        <w:autoSpaceDN/>
        <w:adjustRightInd/>
        <w:snapToGrid w:val="0"/>
        <w:spacing w:before="0" w:after="120"/>
        <w:ind w:left="0" w:firstLine="0"/>
        <w:jc w:val="both"/>
        <w:textAlignment w:val="auto"/>
        <w:rPr>
          <w:rFonts w:cstheme="minorHAnsi"/>
        </w:rPr>
      </w:pPr>
      <w:r>
        <w:t>The ISCG web</w:t>
      </w:r>
      <w:r w:rsidR="001C0128">
        <w:t xml:space="preserve">site, contained in the </w:t>
      </w:r>
      <w:r w:rsidR="001C0128" w:rsidRPr="001C0128">
        <w:t>webpage on Intersectoral Coordination</w:t>
      </w:r>
      <w:r w:rsidR="001C0128">
        <w:t xml:space="preserve">, </w:t>
      </w:r>
      <w:r>
        <w:t xml:space="preserve">has been updated with new contact details (E-mail: </w:t>
      </w:r>
      <w:hyperlink r:id="rId22" w:history="1">
        <w:r w:rsidR="00A14AA6" w:rsidRPr="00F62F36">
          <w:rPr>
            <w:rStyle w:val="Hyperlink"/>
          </w:rPr>
          <w:t>iscg@itu.int</w:t>
        </w:r>
      </w:hyperlink>
      <w:r w:rsidR="00A14AA6">
        <w:t xml:space="preserve"> </w:t>
      </w:r>
      <w:r>
        <w:t xml:space="preserve">and mailing list); access to the documents is now by means of a TIES Account, and any ITU member, independently of the Sector where associated, </w:t>
      </w:r>
      <w:r w:rsidR="00DC08EB">
        <w:t>can h</w:t>
      </w:r>
      <w:r>
        <w:t xml:space="preserve">ave access to the intersectoral coordination related documents posted in this </w:t>
      </w:r>
      <w:r w:rsidR="00692A47">
        <w:t>site</w:t>
      </w:r>
      <w:r>
        <w:t>.</w:t>
      </w:r>
      <w:r w:rsidR="00DC08EB">
        <w:t xml:space="preserve"> </w:t>
      </w:r>
      <w:r w:rsidR="00765433">
        <w:t>The secretariat is still working on improv</w:t>
      </w:r>
      <w:r w:rsidR="00692A47">
        <w:t xml:space="preserve">ing the information provided on </w:t>
      </w:r>
      <w:r w:rsidR="00765433">
        <w:t>meetings</w:t>
      </w:r>
      <w:r w:rsidR="008A3502">
        <w:t>’</w:t>
      </w:r>
      <w:r w:rsidR="00765433">
        <w:t xml:space="preserve"> details and registration.</w:t>
      </w:r>
    </w:p>
    <w:p w14:paraId="3EF161AE" w14:textId="27A50845" w:rsidR="004526AB" w:rsidRPr="004526AB" w:rsidRDefault="004526AB" w:rsidP="004526AB">
      <w:pPr>
        <w:tabs>
          <w:tab w:val="clear" w:pos="567"/>
          <w:tab w:val="clear" w:pos="1134"/>
          <w:tab w:val="clear" w:pos="1701"/>
          <w:tab w:val="clear" w:pos="2268"/>
          <w:tab w:val="clear" w:pos="2835"/>
        </w:tabs>
        <w:overflowPunct/>
        <w:autoSpaceDE/>
        <w:autoSpaceDN/>
        <w:adjustRightInd/>
        <w:snapToGrid w:val="0"/>
        <w:spacing w:before="600"/>
        <w:jc w:val="center"/>
        <w:textAlignment w:val="auto"/>
        <w:rPr>
          <w:rFonts w:cstheme="minorHAnsi"/>
        </w:rPr>
      </w:pPr>
      <w:r>
        <w:t>_____________</w:t>
      </w:r>
    </w:p>
    <w:sectPr w:rsidR="004526AB" w:rsidRPr="004526AB" w:rsidSect="004D1851">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6FCCC" w14:textId="7F5E6354" w:rsidR="00CB18FF" w:rsidRPr="006848DD" w:rsidRDefault="00CB18FF">
    <w:pPr>
      <w:pStyle w:val="Footer"/>
      <w:rPr>
        <w:color w:val="D9D9D9" w:themeColor="background1" w:themeShade="D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C43F"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4EC98F4" w14:textId="3A56AD26"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4526AB">
      <w:rPr>
        <w:bCs/>
      </w:rPr>
      <w:t>38</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30890"/>
    <w:multiLevelType w:val="hybridMultilevel"/>
    <w:tmpl w:val="BEBA9DC0"/>
    <w:lvl w:ilvl="0" w:tplc="D7660658">
      <w:start w:val="1"/>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51487D"/>
    <w:multiLevelType w:val="multilevel"/>
    <w:tmpl w:val="8BDA91AC"/>
    <w:lvl w:ilvl="0">
      <w:start w:val="1"/>
      <w:numFmt w:val="decimal"/>
      <w:lvlText w:val="%1"/>
      <w:lvlJc w:val="left"/>
      <w:pPr>
        <w:ind w:left="360" w:hanging="360"/>
      </w:pPr>
      <w:rPr>
        <w:rFonts w:ascii="Calibri" w:eastAsia="Times New Roman" w:hAnsi="Calibri"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9B22BD"/>
    <w:multiLevelType w:val="multilevel"/>
    <w:tmpl w:val="E460E9E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4F20"/>
    <w:rsid w:val="00005596"/>
    <w:rsid w:val="000210D4"/>
    <w:rsid w:val="00060139"/>
    <w:rsid w:val="00062974"/>
    <w:rsid w:val="00063016"/>
    <w:rsid w:val="000639DE"/>
    <w:rsid w:val="00065628"/>
    <w:rsid w:val="00066795"/>
    <w:rsid w:val="00072DB6"/>
    <w:rsid w:val="00073144"/>
    <w:rsid w:val="00076AF6"/>
    <w:rsid w:val="00085CF2"/>
    <w:rsid w:val="000867DF"/>
    <w:rsid w:val="000A2FD5"/>
    <w:rsid w:val="000B1705"/>
    <w:rsid w:val="000D75B2"/>
    <w:rsid w:val="000E63D9"/>
    <w:rsid w:val="000F087C"/>
    <w:rsid w:val="000F62FE"/>
    <w:rsid w:val="001011AD"/>
    <w:rsid w:val="0010267B"/>
    <w:rsid w:val="00102E78"/>
    <w:rsid w:val="001046A2"/>
    <w:rsid w:val="001121F5"/>
    <w:rsid w:val="001270AE"/>
    <w:rsid w:val="00127DAB"/>
    <w:rsid w:val="00134D61"/>
    <w:rsid w:val="001353A1"/>
    <w:rsid w:val="001400DC"/>
    <w:rsid w:val="00140CE1"/>
    <w:rsid w:val="00152308"/>
    <w:rsid w:val="00155D93"/>
    <w:rsid w:val="00171A5F"/>
    <w:rsid w:val="0017539C"/>
    <w:rsid w:val="00175AC2"/>
    <w:rsid w:val="0017609F"/>
    <w:rsid w:val="00181F19"/>
    <w:rsid w:val="001A0B4A"/>
    <w:rsid w:val="001B52B5"/>
    <w:rsid w:val="001C0128"/>
    <w:rsid w:val="001C16E0"/>
    <w:rsid w:val="001C628E"/>
    <w:rsid w:val="001E0F7B"/>
    <w:rsid w:val="001E30EB"/>
    <w:rsid w:val="001F67A7"/>
    <w:rsid w:val="002119FD"/>
    <w:rsid w:val="002130E0"/>
    <w:rsid w:val="002157B2"/>
    <w:rsid w:val="002236C6"/>
    <w:rsid w:val="002334A0"/>
    <w:rsid w:val="00240DB4"/>
    <w:rsid w:val="00251138"/>
    <w:rsid w:val="00264425"/>
    <w:rsid w:val="00265875"/>
    <w:rsid w:val="00270E30"/>
    <w:rsid w:val="0027303B"/>
    <w:rsid w:val="0028109B"/>
    <w:rsid w:val="002817DF"/>
    <w:rsid w:val="00282AF4"/>
    <w:rsid w:val="002970DB"/>
    <w:rsid w:val="002A2188"/>
    <w:rsid w:val="002B00B2"/>
    <w:rsid w:val="002B1F58"/>
    <w:rsid w:val="002C1C7A"/>
    <w:rsid w:val="002C3051"/>
    <w:rsid w:val="00300926"/>
    <w:rsid w:val="0030160F"/>
    <w:rsid w:val="00306A87"/>
    <w:rsid w:val="0031229A"/>
    <w:rsid w:val="00317F9A"/>
    <w:rsid w:val="00322D0D"/>
    <w:rsid w:val="00323255"/>
    <w:rsid w:val="00346D01"/>
    <w:rsid w:val="00347570"/>
    <w:rsid w:val="00363B60"/>
    <w:rsid w:val="00376F13"/>
    <w:rsid w:val="00391BC8"/>
    <w:rsid w:val="003942D4"/>
    <w:rsid w:val="003958A8"/>
    <w:rsid w:val="003A1E24"/>
    <w:rsid w:val="003A2510"/>
    <w:rsid w:val="003B11D2"/>
    <w:rsid w:val="003C2533"/>
    <w:rsid w:val="003D6210"/>
    <w:rsid w:val="003E3AF7"/>
    <w:rsid w:val="003E5889"/>
    <w:rsid w:val="003F1614"/>
    <w:rsid w:val="0040435A"/>
    <w:rsid w:val="0040551B"/>
    <w:rsid w:val="00416A24"/>
    <w:rsid w:val="00417A2A"/>
    <w:rsid w:val="00431D9E"/>
    <w:rsid w:val="00433CE8"/>
    <w:rsid w:val="00433DC1"/>
    <w:rsid w:val="00434A5C"/>
    <w:rsid w:val="0044196B"/>
    <w:rsid w:val="0045162E"/>
    <w:rsid w:val="004526AB"/>
    <w:rsid w:val="004544D9"/>
    <w:rsid w:val="00470FE8"/>
    <w:rsid w:val="00473055"/>
    <w:rsid w:val="00481EF2"/>
    <w:rsid w:val="00490E72"/>
    <w:rsid w:val="00491157"/>
    <w:rsid w:val="004921C8"/>
    <w:rsid w:val="00492A9B"/>
    <w:rsid w:val="004C2853"/>
    <w:rsid w:val="004C74B3"/>
    <w:rsid w:val="004D1851"/>
    <w:rsid w:val="004D532F"/>
    <w:rsid w:val="004D599D"/>
    <w:rsid w:val="004E2EA5"/>
    <w:rsid w:val="004E3AEB"/>
    <w:rsid w:val="004F1DC1"/>
    <w:rsid w:val="0050223C"/>
    <w:rsid w:val="00505379"/>
    <w:rsid w:val="005071E7"/>
    <w:rsid w:val="00522CBD"/>
    <w:rsid w:val="005243FF"/>
    <w:rsid w:val="00535210"/>
    <w:rsid w:val="00547C21"/>
    <w:rsid w:val="005569AA"/>
    <w:rsid w:val="00564FBC"/>
    <w:rsid w:val="00570D3A"/>
    <w:rsid w:val="00574A73"/>
    <w:rsid w:val="00575909"/>
    <w:rsid w:val="00582442"/>
    <w:rsid w:val="00591BE4"/>
    <w:rsid w:val="00596236"/>
    <w:rsid w:val="005A2991"/>
    <w:rsid w:val="005D2C58"/>
    <w:rsid w:val="005E6D82"/>
    <w:rsid w:val="005F3269"/>
    <w:rsid w:val="005F5663"/>
    <w:rsid w:val="00601053"/>
    <w:rsid w:val="00613C25"/>
    <w:rsid w:val="00616888"/>
    <w:rsid w:val="0062018C"/>
    <w:rsid w:val="0062037B"/>
    <w:rsid w:val="00623AE3"/>
    <w:rsid w:val="006317A7"/>
    <w:rsid w:val="00643CA2"/>
    <w:rsid w:val="0064737F"/>
    <w:rsid w:val="00651183"/>
    <w:rsid w:val="006535F1"/>
    <w:rsid w:val="0065557D"/>
    <w:rsid w:val="00662984"/>
    <w:rsid w:val="006670CB"/>
    <w:rsid w:val="006716BB"/>
    <w:rsid w:val="00674D7F"/>
    <w:rsid w:val="006848DD"/>
    <w:rsid w:val="00692A47"/>
    <w:rsid w:val="00692CCE"/>
    <w:rsid w:val="006A4D5B"/>
    <w:rsid w:val="006B6680"/>
    <w:rsid w:val="006B6CC3"/>
    <w:rsid w:val="006B6DCC"/>
    <w:rsid w:val="006C4480"/>
    <w:rsid w:val="006C6A77"/>
    <w:rsid w:val="006C6C64"/>
    <w:rsid w:val="006D406B"/>
    <w:rsid w:val="006D51F9"/>
    <w:rsid w:val="006D65E2"/>
    <w:rsid w:val="006D7D5F"/>
    <w:rsid w:val="006F599B"/>
    <w:rsid w:val="00702DEF"/>
    <w:rsid w:val="00706861"/>
    <w:rsid w:val="007148EB"/>
    <w:rsid w:val="00722181"/>
    <w:rsid w:val="00722ADF"/>
    <w:rsid w:val="00724459"/>
    <w:rsid w:val="0072600E"/>
    <w:rsid w:val="007402AA"/>
    <w:rsid w:val="00740FE3"/>
    <w:rsid w:val="0075051B"/>
    <w:rsid w:val="0075702A"/>
    <w:rsid w:val="0076458E"/>
    <w:rsid w:val="00765433"/>
    <w:rsid w:val="0077451A"/>
    <w:rsid w:val="007819A7"/>
    <w:rsid w:val="00781E7B"/>
    <w:rsid w:val="00783297"/>
    <w:rsid w:val="00793188"/>
    <w:rsid w:val="0079465E"/>
    <w:rsid w:val="00794D34"/>
    <w:rsid w:val="007C2F1C"/>
    <w:rsid w:val="007C4A41"/>
    <w:rsid w:val="007C57D3"/>
    <w:rsid w:val="007E6C88"/>
    <w:rsid w:val="008110CD"/>
    <w:rsid w:val="00813E5E"/>
    <w:rsid w:val="008222B0"/>
    <w:rsid w:val="00827086"/>
    <w:rsid w:val="00827598"/>
    <w:rsid w:val="0083581B"/>
    <w:rsid w:val="00840D4D"/>
    <w:rsid w:val="00846404"/>
    <w:rsid w:val="00864AFF"/>
    <w:rsid w:val="00884D62"/>
    <w:rsid w:val="00896051"/>
    <w:rsid w:val="008A3502"/>
    <w:rsid w:val="008B4A6A"/>
    <w:rsid w:val="008C0A19"/>
    <w:rsid w:val="008C7353"/>
    <w:rsid w:val="008C7E27"/>
    <w:rsid w:val="008D051B"/>
    <w:rsid w:val="008D0F4D"/>
    <w:rsid w:val="008E0BD7"/>
    <w:rsid w:val="008E1EF4"/>
    <w:rsid w:val="008E3BD4"/>
    <w:rsid w:val="008F14F4"/>
    <w:rsid w:val="008F36CE"/>
    <w:rsid w:val="00901119"/>
    <w:rsid w:val="009065B1"/>
    <w:rsid w:val="00914C36"/>
    <w:rsid w:val="009155EF"/>
    <w:rsid w:val="009173EF"/>
    <w:rsid w:val="00920813"/>
    <w:rsid w:val="00926066"/>
    <w:rsid w:val="00932906"/>
    <w:rsid w:val="0095508F"/>
    <w:rsid w:val="00961B0B"/>
    <w:rsid w:val="0096673B"/>
    <w:rsid w:val="00982374"/>
    <w:rsid w:val="009903EF"/>
    <w:rsid w:val="00993986"/>
    <w:rsid w:val="009961C3"/>
    <w:rsid w:val="009A7834"/>
    <w:rsid w:val="009B38C3"/>
    <w:rsid w:val="009C12D0"/>
    <w:rsid w:val="009D125A"/>
    <w:rsid w:val="009E17BD"/>
    <w:rsid w:val="009E485A"/>
    <w:rsid w:val="009E5741"/>
    <w:rsid w:val="009E7D59"/>
    <w:rsid w:val="009F303E"/>
    <w:rsid w:val="009F66A3"/>
    <w:rsid w:val="009F7507"/>
    <w:rsid w:val="00A04CEC"/>
    <w:rsid w:val="00A056EB"/>
    <w:rsid w:val="00A14AA6"/>
    <w:rsid w:val="00A248AD"/>
    <w:rsid w:val="00A27F4A"/>
    <w:rsid w:val="00A27F92"/>
    <w:rsid w:val="00A32257"/>
    <w:rsid w:val="00A36D20"/>
    <w:rsid w:val="00A41A1C"/>
    <w:rsid w:val="00A55622"/>
    <w:rsid w:val="00A65CBD"/>
    <w:rsid w:val="00A70303"/>
    <w:rsid w:val="00A83502"/>
    <w:rsid w:val="00A8382F"/>
    <w:rsid w:val="00A92C72"/>
    <w:rsid w:val="00A93619"/>
    <w:rsid w:val="00A959A3"/>
    <w:rsid w:val="00AB4A73"/>
    <w:rsid w:val="00AC0C79"/>
    <w:rsid w:val="00AC47C8"/>
    <w:rsid w:val="00AC56CC"/>
    <w:rsid w:val="00AD15B3"/>
    <w:rsid w:val="00AD39A0"/>
    <w:rsid w:val="00AE3716"/>
    <w:rsid w:val="00AE5FA8"/>
    <w:rsid w:val="00AF1A1A"/>
    <w:rsid w:val="00AF6E49"/>
    <w:rsid w:val="00B04A67"/>
    <w:rsid w:val="00B0583C"/>
    <w:rsid w:val="00B14E3F"/>
    <w:rsid w:val="00B315EF"/>
    <w:rsid w:val="00B31F64"/>
    <w:rsid w:val="00B3616C"/>
    <w:rsid w:val="00B40A81"/>
    <w:rsid w:val="00B41BF5"/>
    <w:rsid w:val="00B44910"/>
    <w:rsid w:val="00B50979"/>
    <w:rsid w:val="00B54886"/>
    <w:rsid w:val="00B60586"/>
    <w:rsid w:val="00B66D64"/>
    <w:rsid w:val="00B72267"/>
    <w:rsid w:val="00B76EB6"/>
    <w:rsid w:val="00B7737B"/>
    <w:rsid w:val="00B81AFF"/>
    <w:rsid w:val="00B824C8"/>
    <w:rsid w:val="00B9291D"/>
    <w:rsid w:val="00B92DD5"/>
    <w:rsid w:val="00BA3B7B"/>
    <w:rsid w:val="00BA6D92"/>
    <w:rsid w:val="00BB7BC0"/>
    <w:rsid w:val="00BC251A"/>
    <w:rsid w:val="00BD032B"/>
    <w:rsid w:val="00BD1484"/>
    <w:rsid w:val="00BE2640"/>
    <w:rsid w:val="00BE2C4C"/>
    <w:rsid w:val="00BF12C5"/>
    <w:rsid w:val="00BF7A87"/>
    <w:rsid w:val="00C00494"/>
    <w:rsid w:val="00C01189"/>
    <w:rsid w:val="00C05867"/>
    <w:rsid w:val="00C23D62"/>
    <w:rsid w:val="00C351AB"/>
    <w:rsid w:val="00C374DE"/>
    <w:rsid w:val="00C37FCB"/>
    <w:rsid w:val="00C4519C"/>
    <w:rsid w:val="00C470CC"/>
    <w:rsid w:val="00C47AD4"/>
    <w:rsid w:val="00C52D81"/>
    <w:rsid w:val="00C55198"/>
    <w:rsid w:val="00C65843"/>
    <w:rsid w:val="00C66F5E"/>
    <w:rsid w:val="00C7235A"/>
    <w:rsid w:val="00C744BD"/>
    <w:rsid w:val="00C757CD"/>
    <w:rsid w:val="00C8094E"/>
    <w:rsid w:val="00C870B4"/>
    <w:rsid w:val="00CA6393"/>
    <w:rsid w:val="00CB18FF"/>
    <w:rsid w:val="00CB4F75"/>
    <w:rsid w:val="00CD0C08"/>
    <w:rsid w:val="00CD2EE0"/>
    <w:rsid w:val="00CD5305"/>
    <w:rsid w:val="00CE03FB"/>
    <w:rsid w:val="00CE433C"/>
    <w:rsid w:val="00CE50D0"/>
    <w:rsid w:val="00CF04FB"/>
    <w:rsid w:val="00CF134B"/>
    <w:rsid w:val="00CF33F3"/>
    <w:rsid w:val="00CF5A9F"/>
    <w:rsid w:val="00D043BC"/>
    <w:rsid w:val="00D05391"/>
    <w:rsid w:val="00D060C6"/>
    <w:rsid w:val="00D06183"/>
    <w:rsid w:val="00D072A9"/>
    <w:rsid w:val="00D07802"/>
    <w:rsid w:val="00D223E0"/>
    <w:rsid w:val="00D22C42"/>
    <w:rsid w:val="00D338E0"/>
    <w:rsid w:val="00D43C94"/>
    <w:rsid w:val="00D44821"/>
    <w:rsid w:val="00D47A25"/>
    <w:rsid w:val="00D65041"/>
    <w:rsid w:val="00D731B9"/>
    <w:rsid w:val="00D74ABB"/>
    <w:rsid w:val="00D7637F"/>
    <w:rsid w:val="00D8774A"/>
    <w:rsid w:val="00D91CE7"/>
    <w:rsid w:val="00D92930"/>
    <w:rsid w:val="00DB384B"/>
    <w:rsid w:val="00DC08EB"/>
    <w:rsid w:val="00DD0590"/>
    <w:rsid w:val="00DE1B50"/>
    <w:rsid w:val="00DE4373"/>
    <w:rsid w:val="00E0110B"/>
    <w:rsid w:val="00E10E80"/>
    <w:rsid w:val="00E124F0"/>
    <w:rsid w:val="00E27039"/>
    <w:rsid w:val="00E437DF"/>
    <w:rsid w:val="00E60F04"/>
    <w:rsid w:val="00E71054"/>
    <w:rsid w:val="00E7172B"/>
    <w:rsid w:val="00E71DDB"/>
    <w:rsid w:val="00E84D23"/>
    <w:rsid w:val="00E854E4"/>
    <w:rsid w:val="00E9551E"/>
    <w:rsid w:val="00EA2120"/>
    <w:rsid w:val="00EB0D6F"/>
    <w:rsid w:val="00EB2232"/>
    <w:rsid w:val="00EB2D8B"/>
    <w:rsid w:val="00EC15EF"/>
    <w:rsid w:val="00EC5337"/>
    <w:rsid w:val="00F2150A"/>
    <w:rsid w:val="00F231D8"/>
    <w:rsid w:val="00F466D4"/>
    <w:rsid w:val="00F46C5F"/>
    <w:rsid w:val="00F56668"/>
    <w:rsid w:val="00F57A0A"/>
    <w:rsid w:val="00F63EEB"/>
    <w:rsid w:val="00F64E62"/>
    <w:rsid w:val="00F76C0B"/>
    <w:rsid w:val="00F87B8C"/>
    <w:rsid w:val="00F87FCB"/>
    <w:rsid w:val="00F94A63"/>
    <w:rsid w:val="00FA1C28"/>
    <w:rsid w:val="00FB1279"/>
    <w:rsid w:val="00FB7596"/>
    <w:rsid w:val="00FE4077"/>
    <w:rsid w:val="00FE77D2"/>
    <w:rsid w:val="00FF0E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526AB"/>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级链"/>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ListParagraph">
    <w:name w:val="List Paragraph"/>
    <w:basedOn w:val="Normal"/>
    <w:link w:val="ListParagraphChar"/>
    <w:uiPriority w:val="34"/>
    <w:qFormat/>
    <w:rsid w:val="00AE3716"/>
    <w:pPr>
      <w:ind w:left="720"/>
      <w:contextualSpacing/>
    </w:pPr>
  </w:style>
  <w:style w:type="character" w:customStyle="1" w:styleId="ListParagraphChar">
    <w:name w:val="List Paragraph Char"/>
    <w:basedOn w:val="DefaultParagraphFont"/>
    <w:link w:val="ListParagraph"/>
    <w:uiPriority w:val="34"/>
    <w:rsid w:val="00AE3716"/>
    <w:rPr>
      <w:rFonts w:ascii="Calibri" w:hAnsi="Calibri"/>
      <w:sz w:val="24"/>
      <w:lang w:val="en-GB" w:eastAsia="en-US"/>
    </w:rPr>
  </w:style>
  <w:style w:type="character" w:styleId="CommentReference">
    <w:name w:val="annotation reference"/>
    <w:basedOn w:val="DefaultParagraphFont"/>
    <w:semiHidden/>
    <w:unhideWhenUsed/>
    <w:rsid w:val="0062018C"/>
    <w:rPr>
      <w:sz w:val="16"/>
      <w:szCs w:val="16"/>
    </w:rPr>
  </w:style>
  <w:style w:type="paragraph" w:styleId="CommentText">
    <w:name w:val="annotation text"/>
    <w:basedOn w:val="Normal"/>
    <w:link w:val="CommentTextChar"/>
    <w:semiHidden/>
    <w:unhideWhenUsed/>
    <w:rsid w:val="0062018C"/>
    <w:rPr>
      <w:sz w:val="20"/>
    </w:rPr>
  </w:style>
  <w:style w:type="character" w:customStyle="1" w:styleId="CommentTextChar">
    <w:name w:val="Comment Text Char"/>
    <w:basedOn w:val="DefaultParagraphFont"/>
    <w:link w:val="CommentText"/>
    <w:semiHidden/>
    <w:rsid w:val="0062018C"/>
    <w:rPr>
      <w:rFonts w:ascii="Calibri" w:hAnsi="Calibri"/>
      <w:lang w:val="en-GB" w:eastAsia="en-US"/>
    </w:rPr>
  </w:style>
  <w:style w:type="paragraph" w:styleId="CommentSubject">
    <w:name w:val="annotation subject"/>
    <w:basedOn w:val="CommentText"/>
    <w:next w:val="CommentText"/>
    <w:link w:val="CommentSubjectChar"/>
    <w:semiHidden/>
    <w:unhideWhenUsed/>
    <w:rsid w:val="0062018C"/>
    <w:rPr>
      <w:b/>
      <w:bCs/>
    </w:rPr>
  </w:style>
  <w:style w:type="character" w:customStyle="1" w:styleId="CommentSubjectChar">
    <w:name w:val="Comment Subject Char"/>
    <w:basedOn w:val="CommentTextChar"/>
    <w:link w:val="CommentSubject"/>
    <w:semiHidden/>
    <w:rsid w:val="0062018C"/>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6807">
      <w:bodyDiv w:val="1"/>
      <w:marLeft w:val="0"/>
      <w:marRight w:val="0"/>
      <w:marTop w:val="0"/>
      <w:marBottom w:val="0"/>
      <w:divBdr>
        <w:top w:val="none" w:sz="0" w:space="0" w:color="auto"/>
        <w:left w:val="none" w:sz="0" w:space="0" w:color="auto"/>
        <w:bottom w:val="none" w:sz="0" w:space="0" w:color="auto"/>
        <w:right w:val="none" w:sz="0" w:space="0" w:color="auto"/>
      </w:divBdr>
    </w:div>
    <w:div w:id="654340727">
      <w:bodyDiv w:val="1"/>
      <w:marLeft w:val="0"/>
      <w:marRight w:val="0"/>
      <w:marTop w:val="0"/>
      <w:marBottom w:val="0"/>
      <w:divBdr>
        <w:top w:val="none" w:sz="0" w:space="0" w:color="auto"/>
        <w:left w:val="none" w:sz="0" w:space="0" w:color="auto"/>
        <w:bottom w:val="none" w:sz="0" w:space="0" w:color="auto"/>
        <w:right w:val="none" w:sz="0" w:space="0" w:color="auto"/>
      </w:divBdr>
    </w:div>
    <w:div w:id="118871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INF-0019/en" TargetMode="External"/><Relationship Id="rId18" Type="http://schemas.openxmlformats.org/officeDocument/2006/relationships/hyperlink" Target="https://www.itu.int/en/action/emergency/Pages/default.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en/general-secretariat/Pages/ISCG/default.aspx" TargetMode="External"/><Relationship Id="rId7" Type="http://schemas.openxmlformats.org/officeDocument/2006/relationships/endnotes" Target="endnotes.xml"/><Relationship Id="rId12" Type="http://schemas.openxmlformats.org/officeDocument/2006/relationships/hyperlink" Target="https://www.itu.int/md/S21-CL-INF-0011/en" TargetMode="External"/><Relationship Id="rId17" Type="http://schemas.openxmlformats.org/officeDocument/2006/relationships/hyperlink" Target="https://www.itu.int/en/action/environment-and-climate-change/Pages/default.asp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en/events/Pages/default.aspx" TargetMode="External"/><Relationship Id="rId20" Type="http://schemas.openxmlformats.org/officeDocument/2006/relationships/hyperlink" Target="https://www.itu.int/md/S21-CL-INF-001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38/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0-CL-C-0035/en" TargetMode="External"/><Relationship Id="rId23" Type="http://schemas.openxmlformats.org/officeDocument/2006/relationships/header" Target="header1.xml"/><Relationship Id="rId10" Type="http://schemas.openxmlformats.org/officeDocument/2006/relationships/hyperlink" Target="https://www.itu.int/en/council/Documents/basic-texts/RES-191-E.pdf" TargetMode="External"/><Relationship Id="rId19" Type="http://schemas.openxmlformats.org/officeDocument/2006/relationships/hyperlink" Target="https://www.itu.int/md/S20-CL-C-0061/en" TargetMode="External"/><Relationship Id="rId4" Type="http://schemas.openxmlformats.org/officeDocument/2006/relationships/settings" Target="settings.xml"/><Relationship Id="rId9" Type="http://schemas.openxmlformats.org/officeDocument/2006/relationships/hyperlink" Target="https://www.itu.int/md/S20-CL-C-0038/en" TargetMode="External"/><Relationship Id="rId14" Type="http://schemas.openxmlformats.org/officeDocument/2006/relationships/hyperlink" Target="https://www.itu.int/en/general-secretariat/Pages/intersectoral-coordination.aspx" TargetMode="External"/><Relationship Id="rId22" Type="http://schemas.openxmlformats.org/officeDocument/2006/relationships/hyperlink" Target="mailto:iscg@itu.int"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1765</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Report on the implementation of Resolution 191 (Rev. Dubai, 2018) “Strategy for the coordination of efforts among the three Sectors of the Union”</vt:lpstr>
    </vt:vector>
  </TitlesOfParts>
  <Manager>General Secretariat - Pool</Manager>
  <Company>International Telecommunication Union (ITU)</Company>
  <LinksUpToDate>false</LinksUpToDate>
  <CharactersWithSpaces>12642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Resolution 191 (Rev. Dubai, 2018) “Strategy for the coordination of efforts among the three Sectors of the Union”</dc:title>
  <dc:subject>Council 2021, Virtual consultation of councillors</dc:subject>
  <dc:creator>Brouard, Ricarda</dc:creator>
  <cp:keywords>C2021, C21, C21/VCC-1</cp:keywords>
  <dc:description/>
  <cp:lastModifiedBy>Brouard, Ricarda</cp:lastModifiedBy>
  <cp:revision>6</cp:revision>
  <cp:lastPrinted>2000-07-18T13:30:00Z</cp:lastPrinted>
  <dcterms:created xsi:type="dcterms:W3CDTF">2021-04-01T15:33:00Z</dcterms:created>
  <dcterms:modified xsi:type="dcterms:W3CDTF">2021-04-14T07:32:00Z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