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5A88548" w14:textId="77777777">
        <w:trPr>
          <w:cantSplit/>
        </w:trPr>
        <w:tc>
          <w:tcPr>
            <w:tcW w:w="6911" w:type="dxa"/>
          </w:tcPr>
          <w:p w14:paraId="38CC9922" w14:textId="07CFCA23" w:rsidR="00700D1F" w:rsidRPr="00DF23FC" w:rsidRDefault="00E4287E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="004241F2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CF3A0B">
              <w:rPr>
                <w:rFonts w:hint="eastAsia"/>
                <w:b/>
                <w:smallCaps/>
                <w:szCs w:val="24"/>
                <w:lang w:eastAsia="zh-CN"/>
              </w:rPr>
              <w:t>理事磋商会虚拟会议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b/>
                <w:bCs/>
                <w:color w:val="000000"/>
                <w:lang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2</w:t>
            </w:r>
            <w:r w:rsidRPr="009625D8">
              <w:rPr>
                <w:b/>
                <w:bCs/>
                <w:color w:val="000000"/>
                <w:lang w:eastAsia="zh-CN"/>
              </w:rPr>
              <w:t>1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8</w:t>
            </w:r>
            <w:r>
              <w:rPr>
                <w:b/>
                <w:bCs/>
                <w:color w:val="000000"/>
                <w:lang w:eastAsia="zh-CN"/>
              </w:rPr>
              <w:t>-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18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</w:p>
        </w:tc>
        <w:tc>
          <w:tcPr>
            <w:tcW w:w="3120" w:type="dxa"/>
          </w:tcPr>
          <w:p w14:paraId="1C1B7D74" w14:textId="3486E2C2" w:rsidR="00700D1F" w:rsidRDefault="009F11BB" w:rsidP="009F11BB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B5F17D" wp14:editId="1FFE070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F2506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0E199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F76D3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68BAFD4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801F9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04957D3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1AC510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894C0B9" w14:textId="3413A04B" w:rsidR="00700D1F" w:rsidRPr="00FC5386" w:rsidRDefault="00700D1F" w:rsidP="006C5D5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6C5D55">
              <w:rPr>
                <w:b/>
              </w:rPr>
              <w:t>ADM</w:t>
            </w:r>
            <w:r w:rsidR="00B40A53">
              <w:rPr>
                <w:b/>
              </w:rPr>
              <w:t xml:space="preserve"> </w:t>
            </w:r>
            <w:r w:rsidR="00E4287E">
              <w:rPr>
                <w:b/>
              </w:rPr>
              <w:t>19</w:t>
            </w:r>
          </w:p>
        </w:tc>
        <w:tc>
          <w:tcPr>
            <w:tcW w:w="3120" w:type="dxa"/>
          </w:tcPr>
          <w:p w14:paraId="2DB2712B" w14:textId="12EFD452" w:rsidR="00700D1F" w:rsidRPr="00700D1F" w:rsidRDefault="00700D1F" w:rsidP="006C5D5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BE730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E4287E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4287E">
              <w:rPr>
                <w:b/>
                <w:bCs/>
                <w:szCs w:val="24"/>
                <w:lang w:eastAsia="zh-CN"/>
              </w:rPr>
              <w:t>38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1E6621D5" w14:textId="77777777">
        <w:trPr>
          <w:cantSplit/>
          <w:trHeight w:val="23"/>
        </w:trPr>
        <w:tc>
          <w:tcPr>
            <w:tcW w:w="6911" w:type="dxa"/>
            <w:vMerge/>
          </w:tcPr>
          <w:p w14:paraId="3AADE55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C442C59" w14:textId="708391D1" w:rsidR="00700D1F" w:rsidRPr="00FC5386" w:rsidRDefault="004241F2" w:rsidP="006C5D5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BE7300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E4287E">
              <w:rPr>
                <w:b/>
                <w:bCs/>
                <w:szCs w:val="24"/>
                <w:lang w:eastAsia="zh-CN"/>
              </w:rPr>
              <w:t>1</w:t>
            </w:r>
            <w:r w:rsidR="00700D1F"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E730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="00700D1F"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E7300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="00700D1F"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1CF3C7A" w14:textId="77777777">
        <w:trPr>
          <w:cantSplit/>
          <w:trHeight w:val="23"/>
        </w:trPr>
        <w:tc>
          <w:tcPr>
            <w:tcW w:w="6911" w:type="dxa"/>
            <w:vMerge/>
          </w:tcPr>
          <w:p w14:paraId="4F2CB781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188A28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352B2444" w14:textId="77777777">
        <w:trPr>
          <w:cantSplit/>
        </w:trPr>
        <w:tc>
          <w:tcPr>
            <w:tcW w:w="10031" w:type="dxa"/>
          </w:tcPr>
          <w:p w14:paraId="364FF9B3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502246AE" w14:textId="77777777">
        <w:trPr>
          <w:cantSplit/>
        </w:trPr>
        <w:tc>
          <w:tcPr>
            <w:tcW w:w="10031" w:type="dxa"/>
          </w:tcPr>
          <w:p w14:paraId="531B0F2E" w14:textId="1D6E56FC" w:rsidR="0093362E" w:rsidRDefault="00E4287E" w:rsidP="00001B77">
            <w:pPr>
              <w:pStyle w:val="Title1"/>
              <w:rPr>
                <w:bCs/>
                <w:lang w:eastAsia="zh-CN"/>
              </w:rPr>
            </w:pPr>
            <w:r>
              <w:rPr>
                <w:lang w:eastAsia="zh-CN"/>
              </w:rPr>
              <w:t>实施</w:t>
            </w:r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</w:t>
            </w:r>
            <w:r w:rsidRPr="00CE592F">
              <w:rPr>
                <w:rFonts w:ascii="SimSun" w:hAnsi="SimSun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协调国际电联三个部门工作</w:t>
            </w:r>
            <w:r w:rsidRPr="00422860">
              <w:rPr>
                <w:rFonts w:hint="eastAsia"/>
                <w:lang w:eastAsia="zh-CN"/>
              </w:rPr>
              <w:t>战略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的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第</w:t>
            </w:r>
            <w:r w:rsidRPr="00422860">
              <w:rPr>
                <w:lang w:eastAsia="zh-CN"/>
              </w:rPr>
              <w:t>191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决议（</w:t>
            </w:r>
            <w:r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年，迪拜，修订版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报告</w:t>
            </w:r>
          </w:p>
        </w:tc>
      </w:tr>
    </w:tbl>
    <w:p w14:paraId="4DFE5B6D" w14:textId="77777777" w:rsidR="00B40A53" w:rsidRPr="000C207D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4C303C55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632C0" w14:textId="77777777" w:rsidR="00B40A53" w:rsidRPr="00496A86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58CF7D04" w14:textId="1EE9A6DC" w:rsidR="00E4287E" w:rsidRPr="00156D15" w:rsidRDefault="00E4287E" w:rsidP="00E4287E">
            <w:pPr>
              <w:spacing w:after="120"/>
              <w:ind w:firstLineChars="200" w:firstLine="480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val="fr-FR" w:eastAsia="zh-CN"/>
              </w:rPr>
              <w:t>本文件是实施</w:t>
            </w:r>
            <w:r>
              <w:rPr>
                <w:rFonts w:asciiTheme="minorHAnsi" w:hAnsiTheme="minorHAnsi" w:hint="eastAsia"/>
                <w:lang w:val="fr-FR" w:eastAsia="zh-CN"/>
              </w:rPr>
              <w:t>有关</w:t>
            </w:r>
            <w:r w:rsidRPr="000E70D3">
              <w:rPr>
                <w:rFonts w:asciiTheme="minorHAnsi" w:hAnsiTheme="minorHAnsi" w:hint="eastAsia"/>
                <w:lang w:eastAsia="zh-CN"/>
              </w:rPr>
              <w:t>“</w:t>
            </w:r>
            <w:r>
              <w:rPr>
                <w:rFonts w:asciiTheme="minorHAnsi" w:hAnsiTheme="minorHAnsi" w:hint="eastAsia"/>
                <w:lang w:val="fr-FR" w:eastAsia="zh-CN"/>
              </w:rPr>
              <w:t>协调国际电联三个部门工作</w:t>
            </w:r>
            <w:r w:rsidRPr="00422860">
              <w:rPr>
                <w:rFonts w:asciiTheme="minorHAnsi" w:hAnsiTheme="minorHAnsi" w:hint="eastAsia"/>
                <w:lang w:val="fr-FR" w:eastAsia="zh-CN"/>
              </w:rPr>
              <w:t>战略</w:t>
            </w:r>
            <w:r w:rsidRPr="000E70D3">
              <w:rPr>
                <w:rFonts w:asciiTheme="minorHAnsi" w:hAnsiTheme="minorHAnsi" w:hint="eastAsia"/>
                <w:lang w:eastAsia="zh-CN"/>
              </w:rPr>
              <w:t>”</w:t>
            </w:r>
            <w:r>
              <w:rPr>
                <w:rFonts w:asciiTheme="minorHAnsi" w:hAnsiTheme="minorHAnsi" w:hint="eastAsia"/>
                <w:lang w:val="fr-FR" w:eastAsia="zh-CN"/>
              </w:rPr>
              <w:t>的</w:t>
            </w:r>
            <w:r>
              <w:rPr>
                <w:rFonts w:asciiTheme="minorHAnsi" w:hAnsiTheme="minorHAnsi" w:hint="eastAsia"/>
                <w:lang w:eastAsia="zh-CN"/>
              </w:rPr>
              <w:t>第</w:t>
            </w:r>
            <w:r w:rsidRPr="000E70D3">
              <w:rPr>
                <w:rFonts w:asciiTheme="minorHAnsi" w:hAnsiTheme="minorHAnsi"/>
                <w:lang w:eastAsia="zh-CN"/>
              </w:rPr>
              <w:t>191</w:t>
            </w:r>
            <w:r>
              <w:rPr>
                <w:rFonts w:asciiTheme="minorHAnsi" w:hAnsiTheme="minorHAnsi" w:hint="eastAsia"/>
                <w:lang w:eastAsia="zh-CN"/>
              </w:rPr>
              <w:t>号</w:t>
            </w:r>
            <w:r>
              <w:rPr>
                <w:rFonts w:asciiTheme="minorHAnsi" w:hAnsiTheme="minorHAnsi"/>
                <w:lang w:eastAsia="zh-CN"/>
              </w:rPr>
              <w:t>决议</w:t>
            </w:r>
            <w:r w:rsidRPr="000E70D3">
              <w:rPr>
                <w:rFonts w:asciiTheme="minorHAnsi" w:hAnsiTheme="minorHAnsi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年，迪拜，修订版</w:t>
            </w:r>
            <w:r w:rsidRPr="000E70D3">
              <w:rPr>
                <w:rFonts w:asciiTheme="minorHAnsi" w:hAnsiTheme="minorHAnsi"/>
                <w:lang w:eastAsia="zh-CN"/>
              </w:rPr>
              <w:t>）</w:t>
            </w:r>
            <w:r>
              <w:rPr>
                <w:rFonts w:asciiTheme="minorHAnsi" w:hAnsiTheme="minorHAnsi"/>
                <w:lang w:val="fr-FR" w:eastAsia="zh-CN"/>
              </w:rPr>
              <w:t>的报告。</w:t>
            </w:r>
          </w:p>
          <w:p w14:paraId="04B31AE5" w14:textId="48043E5B" w:rsidR="003A313C" w:rsidRPr="00156D15" w:rsidRDefault="00A2669B" w:rsidP="00E4287E">
            <w:pPr>
              <w:spacing w:after="120"/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</w:t>
            </w:r>
            <w:r w:rsidR="00DA5F5D" w:rsidRPr="00FE3697">
              <w:rPr>
                <w:rFonts w:hint="eastAsia"/>
                <w:szCs w:val="24"/>
                <w:lang w:eastAsia="zh-CN"/>
              </w:rPr>
              <w:t>文件原为准备提交理事会</w:t>
            </w:r>
            <w:r w:rsidR="00DA5F5D" w:rsidRPr="00156D15">
              <w:rPr>
                <w:rFonts w:hint="eastAsia"/>
                <w:szCs w:val="24"/>
                <w:lang w:eastAsia="zh-CN"/>
              </w:rPr>
              <w:t>2020</w:t>
            </w:r>
            <w:r w:rsidR="00DA5F5D" w:rsidRPr="00FE3697">
              <w:rPr>
                <w:rFonts w:hint="eastAsia"/>
                <w:szCs w:val="24"/>
                <w:lang w:eastAsia="zh-CN"/>
              </w:rPr>
              <w:t>年会议的</w:t>
            </w:r>
            <w:r w:rsidR="00FE7D84">
              <w:fldChar w:fldCharType="begin"/>
            </w:r>
            <w:r w:rsidR="00FE7D84">
              <w:instrText xml:space="preserve"> HYPERLINK "https://www.itu.int/md/S20-CL-C-0038/en" </w:instrText>
            </w:r>
            <w:r w:rsidR="00FE7D84">
              <w:fldChar w:fldCharType="separate"/>
            </w:r>
            <w:r w:rsidR="001578A6" w:rsidRPr="009065B1">
              <w:rPr>
                <w:rStyle w:val="Hyperlink"/>
                <w:szCs w:val="24"/>
                <w:lang w:eastAsia="zh-CN"/>
              </w:rPr>
              <w:t>C20/38</w:t>
            </w:r>
            <w:r w:rsidR="00FE7D84">
              <w:rPr>
                <w:rStyle w:val="Hyperlink"/>
                <w:szCs w:val="24"/>
                <w:lang w:eastAsia="zh-CN"/>
              </w:rPr>
              <w:fldChar w:fldCharType="end"/>
            </w:r>
            <w:r w:rsidR="00DA5F5D" w:rsidRPr="00FE3697">
              <w:rPr>
                <w:rFonts w:hint="eastAsia"/>
                <w:szCs w:val="24"/>
                <w:lang w:eastAsia="zh-CN"/>
              </w:rPr>
              <w:t>号文件</w:t>
            </w:r>
            <w:r w:rsidR="00DA5F5D" w:rsidRPr="00156D15">
              <w:rPr>
                <w:rFonts w:hint="eastAsia"/>
                <w:szCs w:val="24"/>
                <w:lang w:eastAsia="zh-CN"/>
              </w:rPr>
              <w:t>，</w:t>
            </w:r>
            <w:r w:rsidR="00DA5F5D" w:rsidRPr="00FE3697">
              <w:rPr>
                <w:rFonts w:hint="eastAsia"/>
                <w:szCs w:val="24"/>
                <w:lang w:eastAsia="zh-CN"/>
              </w:rPr>
              <w:t>但未经审议。</w:t>
            </w:r>
          </w:p>
          <w:p w14:paraId="2AFBF312" w14:textId="77777777" w:rsidR="00E4287E" w:rsidRPr="003C2E37" w:rsidRDefault="00E4287E" w:rsidP="00E4287E">
            <w:pPr>
              <w:pStyle w:val="Headingb"/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EA8D39B" w14:textId="41E42B03" w:rsidR="00E4287E" w:rsidRPr="000E70D3" w:rsidRDefault="00E4287E" w:rsidP="00E4287E">
            <w:pPr>
              <w:pStyle w:val="BodyTextIndent3"/>
              <w:spacing w:before="120" w:after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C6CC5">
              <w:rPr>
                <w:sz w:val="24"/>
                <w:szCs w:val="24"/>
              </w:rPr>
              <w:t>请理事会将本报告</w:t>
            </w:r>
            <w:r w:rsidR="00A2669B">
              <w:rPr>
                <w:rFonts w:hint="eastAsia"/>
                <w:sz w:val="24"/>
                <w:szCs w:val="24"/>
              </w:rPr>
              <w:t>以</w:t>
            </w:r>
            <w:r w:rsidR="00A2669B" w:rsidRPr="002E566E">
              <w:rPr>
                <w:rFonts w:hint="eastAsia"/>
                <w:sz w:val="24"/>
                <w:szCs w:val="24"/>
                <w:lang w:val="en-GB"/>
              </w:rPr>
              <w:t>及</w:t>
            </w:r>
            <w:r w:rsidR="002E566E" w:rsidRPr="002E566E">
              <w:rPr>
                <w:rFonts w:hint="eastAsia"/>
                <w:sz w:val="24"/>
                <w:szCs w:val="24"/>
                <w:lang w:val="en-GB"/>
              </w:rPr>
              <w:t>C20/</w:t>
            </w:r>
            <w:r w:rsidR="002E566E" w:rsidRPr="002E566E">
              <w:rPr>
                <w:sz w:val="24"/>
                <w:szCs w:val="24"/>
                <w:lang w:val="en-GB"/>
              </w:rPr>
              <w:t>3</w:t>
            </w:r>
            <w:r w:rsidR="002E566E" w:rsidRPr="002E566E">
              <w:rPr>
                <w:rFonts w:hint="eastAsia"/>
                <w:sz w:val="24"/>
                <w:szCs w:val="24"/>
                <w:lang w:val="en-GB"/>
              </w:rPr>
              <w:t>8</w:t>
            </w:r>
            <w:r w:rsidR="002E566E" w:rsidRPr="002E566E">
              <w:rPr>
                <w:rFonts w:hint="eastAsia"/>
                <w:sz w:val="24"/>
                <w:szCs w:val="24"/>
                <w:lang w:val="en-GB"/>
              </w:rPr>
              <w:t>号文件</w:t>
            </w:r>
            <w:r w:rsidRPr="004C6CC5">
              <w:rPr>
                <w:b/>
                <w:bCs/>
                <w:sz w:val="24"/>
                <w:szCs w:val="24"/>
              </w:rPr>
              <w:t>记录在案</w:t>
            </w:r>
            <w:r w:rsidRPr="004C6CC5">
              <w:rPr>
                <w:sz w:val="24"/>
                <w:szCs w:val="24"/>
              </w:rPr>
              <w:t>。</w:t>
            </w:r>
          </w:p>
          <w:p w14:paraId="76891A92" w14:textId="765743F5" w:rsidR="00B40A53" w:rsidRDefault="00606F50">
            <w:pPr>
              <w:jc w:val="center"/>
              <w:rPr>
                <w:sz w:val="28"/>
                <w:szCs w:val="22"/>
                <w:lang w:eastAsia="zh-CN"/>
              </w:rPr>
            </w:pPr>
            <w:r w:rsidRPr="00156D15">
              <w:rPr>
                <w:sz w:val="22"/>
              </w:rPr>
              <w:t>____________</w:t>
            </w:r>
          </w:p>
          <w:p w14:paraId="04CD3D4B" w14:textId="77777777" w:rsidR="009164A9" w:rsidRPr="00496A86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50B5093D" w14:textId="4A6ECF25" w:rsidR="00B40A53" w:rsidRPr="00B735DB" w:rsidRDefault="00FE7D84" w:rsidP="004B5B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lang w:eastAsia="zh-CN"/>
              </w:rPr>
            </w:pPr>
            <w:hyperlink r:id="rId12" w:history="1">
              <w:r w:rsidR="00E4287E" w:rsidRPr="00CF2691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第</w:t>
              </w:r>
              <w:r w:rsidR="00E4287E" w:rsidRPr="00CF2691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191</w:t>
              </w:r>
              <w:r w:rsidR="00E4287E" w:rsidRPr="00CF2691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号决议（</w:t>
              </w:r>
              <w:r w:rsidR="00E4287E" w:rsidRPr="00CF2691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2018</w:t>
              </w:r>
              <w:r w:rsidR="00E4287E" w:rsidRPr="00CF2691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年，</w:t>
              </w:r>
              <w:r w:rsidR="00E4287E" w:rsidRPr="00CF2691">
                <w:rPr>
                  <w:rStyle w:val="Hyperlink"/>
                  <w:rFonts w:asciiTheme="minorHAnsi" w:eastAsia="STKaiti" w:hAnsiTheme="minorHAnsi" w:cstheme="minorHAnsi" w:hint="eastAsia"/>
                  <w:sz w:val="24"/>
                  <w:szCs w:val="24"/>
                  <w:lang w:eastAsia="zh-CN"/>
                </w:rPr>
                <w:t>迪拜</w:t>
              </w:r>
              <w:r w:rsidR="00E4287E" w:rsidRPr="00CF2691">
                <w:rPr>
                  <w:rStyle w:val="Hyperlink"/>
                  <w:rFonts w:asciiTheme="minorHAnsi" w:eastAsia="STKaiti" w:hAnsiTheme="minorHAnsi" w:cstheme="minorHAnsi"/>
                  <w:sz w:val="24"/>
                  <w:szCs w:val="24"/>
                  <w:lang w:eastAsia="zh-CN"/>
                </w:rPr>
                <w:t>，修订版）</w:t>
              </w:r>
            </w:hyperlink>
            <w:r w:rsidR="00B735DB">
              <w:rPr>
                <w:rFonts w:hint="eastAsia"/>
                <w:lang w:eastAsia="zh-CN"/>
              </w:rPr>
              <w:t>、</w:t>
            </w:r>
            <w:r>
              <w:fldChar w:fldCharType="begin"/>
            </w:r>
            <w:r>
              <w:instrText xml:space="preserve"> HYPERLINK "https://www.itu.int/md/S20-CL-C-0038/en" </w:instrText>
            </w:r>
            <w:r>
              <w:fldChar w:fldCharType="separate"/>
            </w:r>
            <w:r w:rsidR="00B735DB" w:rsidRPr="00B735DB">
              <w:rPr>
                <w:rFonts w:eastAsia="Times New Roman" w:cstheme="minorHAnsi"/>
                <w:i/>
                <w:iCs/>
                <w:color w:val="0000FF"/>
                <w:sz w:val="24"/>
                <w:szCs w:val="24"/>
                <w:u w:val="single"/>
                <w:lang w:eastAsia="zh-CN"/>
              </w:rPr>
              <w:t>C20/38</w:t>
            </w:r>
            <w:r>
              <w:rPr>
                <w:rFonts w:eastAsia="Times New Roman" w:cstheme="minorHAnsi"/>
                <w:i/>
                <w:iCs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  <w:r w:rsidR="003F006B" w:rsidRPr="003F006B">
              <w:rPr>
                <w:rFonts w:ascii="STKaiti" w:eastAsia="STKaiti" w:hAnsi="STKaiti" w:cs="SimSun" w:hint="eastAsia"/>
                <w:sz w:val="24"/>
                <w:szCs w:val="24"/>
                <w:lang w:eastAsia="zh-CN"/>
              </w:rPr>
              <w:t>和</w:t>
            </w:r>
            <w:r>
              <w:fldChar w:fldCharType="begin"/>
            </w:r>
            <w:r>
              <w:instrText xml:space="preserve"> HYPERLINK "https://www.itu.int/md/S21-CL-INF-0011/en" </w:instrText>
            </w:r>
            <w:r>
              <w:fldChar w:fldCharType="separate"/>
            </w:r>
            <w:r w:rsidR="00B735DB" w:rsidRPr="00B735DB">
              <w:rPr>
                <w:rFonts w:eastAsia="Times New Roman"/>
                <w:i/>
                <w:iCs/>
                <w:color w:val="0000FF"/>
                <w:sz w:val="24"/>
                <w:u w:val="single"/>
                <w:lang w:eastAsia="zh-CN"/>
              </w:rPr>
              <w:t>C21/INF/11</w:t>
            </w:r>
            <w:r>
              <w:rPr>
                <w:rFonts w:eastAsia="Times New Roman"/>
                <w:i/>
                <w:iCs/>
                <w:color w:val="0000FF"/>
                <w:sz w:val="24"/>
                <w:u w:val="single"/>
                <w:lang w:eastAsia="zh-CN"/>
              </w:rPr>
              <w:fldChar w:fldCharType="end"/>
            </w:r>
            <w:r w:rsidR="00B735DB" w:rsidRPr="00B735DB">
              <w:rPr>
                <w:rFonts w:ascii="STKaiti" w:eastAsia="STKaiti" w:hAnsi="STKaiti" w:hint="eastAsia"/>
                <w:sz w:val="24"/>
                <w:szCs w:val="24"/>
                <w:lang w:eastAsia="zh-CN"/>
              </w:rPr>
              <w:t>号文件</w:t>
            </w:r>
          </w:p>
        </w:tc>
      </w:tr>
    </w:tbl>
    <w:p w14:paraId="62F28C45" w14:textId="77777777" w:rsidR="005014CE" w:rsidRDefault="005014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197ED370" w14:textId="77777777" w:rsidR="00E4287E" w:rsidRPr="0003693A" w:rsidRDefault="00E4287E" w:rsidP="00E4287E">
      <w:pPr>
        <w:pStyle w:val="Heading1"/>
        <w:rPr>
          <w:lang w:eastAsia="zh-CN"/>
        </w:rPr>
      </w:pPr>
      <w:r w:rsidRPr="0003693A">
        <w:rPr>
          <w:lang w:eastAsia="zh-CN"/>
        </w:rPr>
        <w:lastRenderedPageBreak/>
        <w:t>1</w:t>
      </w:r>
      <w:r w:rsidRPr="0003693A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31823765" w14:textId="283AA859" w:rsidR="00E4287E" w:rsidRPr="00A604D7" w:rsidRDefault="00E4287E" w:rsidP="00DA5F5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继修订了</w:t>
      </w:r>
      <w:r w:rsidRPr="00A604D7">
        <w:rPr>
          <w:lang w:eastAsia="zh-CN"/>
        </w:rPr>
        <w:t>有关</w:t>
      </w:r>
      <w:r w:rsidRPr="004351E5">
        <w:rPr>
          <w:rFonts w:ascii="SimSun" w:hAnsi="SimSun"/>
          <w:lang w:eastAsia="zh-CN"/>
        </w:rPr>
        <w:t>“</w:t>
      </w:r>
      <w:r>
        <w:rPr>
          <w:rFonts w:hint="eastAsia"/>
          <w:lang w:eastAsia="zh-CN"/>
        </w:rPr>
        <w:t>协调国际电联三个部门工作</w:t>
      </w:r>
      <w:r w:rsidRPr="00A604D7">
        <w:rPr>
          <w:rFonts w:hint="eastAsia"/>
          <w:lang w:eastAsia="zh-CN"/>
        </w:rPr>
        <w:t>战略</w:t>
      </w:r>
      <w:r w:rsidRPr="004351E5">
        <w:rPr>
          <w:rFonts w:ascii="SimSun" w:hAnsi="SimSun"/>
          <w:lang w:eastAsia="zh-CN"/>
        </w:rPr>
        <w:t>”</w:t>
      </w:r>
      <w:r w:rsidRPr="00A604D7">
        <w:rPr>
          <w:rFonts w:hint="eastAsia"/>
          <w:lang w:eastAsia="zh-CN"/>
        </w:rPr>
        <w:t>的第</w:t>
      </w:r>
      <w:r w:rsidRPr="00A604D7">
        <w:rPr>
          <w:lang w:eastAsia="zh-CN"/>
        </w:rPr>
        <w:t>191</w:t>
      </w:r>
      <w:r w:rsidRPr="00A604D7">
        <w:rPr>
          <w:rFonts w:hint="eastAsia"/>
          <w:lang w:eastAsia="zh-CN"/>
        </w:rPr>
        <w:t>号</w:t>
      </w:r>
      <w:r w:rsidRPr="00A604D7">
        <w:rPr>
          <w:lang w:eastAsia="zh-CN"/>
        </w:rPr>
        <w:t>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8</w:t>
      </w:r>
      <w:r>
        <w:rPr>
          <w:rFonts w:hint="eastAsia"/>
          <w:lang w:eastAsia="zh-CN"/>
        </w:rPr>
        <w:t>年，迪拜，修订版</w:t>
      </w:r>
      <w:r>
        <w:rPr>
          <w:lang w:eastAsia="zh-CN"/>
        </w:rPr>
        <w:t>）</w:t>
      </w:r>
      <w:r>
        <w:rPr>
          <w:rFonts w:hint="eastAsia"/>
          <w:lang w:eastAsia="zh-CN"/>
        </w:rPr>
        <w:t>之后，</w:t>
      </w:r>
      <w:r w:rsidRPr="001F4E9E">
        <w:rPr>
          <w:lang w:eastAsia="zh-CN"/>
        </w:rPr>
        <w:t>定期向理事会、理事会</w:t>
      </w:r>
      <w:r>
        <w:rPr>
          <w:rFonts w:hint="eastAsia"/>
          <w:lang w:eastAsia="zh-CN"/>
        </w:rPr>
        <w:t>财务</w:t>
      </w:r>
      <w:r w:rsidRPr="001F4E9E">
        <w:rPr>
          <w:lang w:eastAsia="zh-CN"/>
        </w:rPr>
        <w:t>和人力资源工作组</w:t>
      </w:r>
      <w:r>
        <w:rPr>
          <w:rFonts w:hint="eastAsia"/>
          <w:lang w:eastAsia="zh-CN"/>
        </w:rPr>
        <w:t>（</w:t>
      </w:r>
      <w:r w:rsidRPr="0040207F">
        <w:rPr>
          <w:lang w:eastAsia="zh-CN"/>
        </w:rPr>
        <w:t>CWG-FHR</w:t>
      </w:r>
      <w:r>
        <w:rPr>
          <w:rFonts w:hint="eastAsia"/>
          <w:lang w:eastAsia="zh-CN"/>
        </w:rPr>
        <w:t>）</w:t>
      </w:r>
      <w:r w:rsidRPr="001F4E9E">
        <w:rPr>
          <w:lang w:eastAsia="zh-CN"/>
        </w:rPr>
        <w:t>以及所有三个部门</w:t>
      </w:r>
      <w:r>
        <w:rPr>
          <w:rFonts w:hint="eastAsia"/>
          <w:lang w:eastAsia="zh-CN"/>
        </w:rPr>
        <w:t>的顾问</w:t>
      </w:r>
      <w:r w:rsidRPr="001F4E9E">
        <w:rPr>
          <w:lang w:eastAsia="zh-CN"/>
        </w:rPr>
        <w:t>组报告</w:t>
      </w:r>
      <w:r>
        <w:rPr>
          <w:rFonts w:hint="eastAsia"/>
          <w:lang w:eastAsia="zh-CN"/>
        </w:rPr>
        <w:t>跨</w:t>
      </w:r>
      <w:r w:rsidRPr="001F4E9E">
        <w:rPr>
          <w:lang w:eastAsia="zh-CN"/>
        </w:rPr>
        <w:t>部门协调</w:t>
      </w:r>
      <w:r w:rsidR="002E566E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的</w:t>
      </w:r>
      <w:r w:rsidRPr="001F4E9E">
        <w:rPr>
          <w:lang w:eastAsia="zh-CN"/>
        </w:rPr>
        <w:t>情况。继续改善</w:t>
      </w:r>
      <w:r>
        <w:rPr>
          <w:rFonts w:hint="eastAsia"/>
          <w:lang w:eastAsia="zh-CN"/>
        </w:rPr>
        <w:t>跨</w:t>
      </w:r>
      <w:r w:rsidRPr="001F4E9E">
        <w:rPr>
          <w:lang w:eastAsia="zh-CN"/>
        </w:rPr>
        <w:t>部门协调的机制和</w:t>
      </w:r>
      <w:r>
        <w:rPr>
          <w:rFonts w:hint="eastAsia"/>
          <w:lang w:eastAsia="zh-CN"/>
        </w:rPr>
        <w:t>工作</w:t>
      </w:r>
      <w:r w:rsidRPr="001F4E9E">
        <w:rPr>
          <w:lang w:eastAsia="zh-CN"/>
        </w:rPr>
        <w:t>得到进一步加强，秘书处的</w:t>
      </w:r>
      <w:r>
        <w:rPr>
          <w:rFonts w:hint="eastAsia"/>
          <w:lang w:eastAsia="zh-CN"/>
        </w:rPr>
        <w:t>跨</w:t>
      </w:r>
      <w:r w:rsidRPr="001F4E9E">
        <w:rPr>
          <w:lang w:eastAsia="zh-CN"/>
        </w:rPr>
        <w:t>部门协调</w:t>
      </w:r>
      <w:r>
        <w:rPr>
          <w:rFonts w:hint="eastAsia"/>
          <w:lang w:eastAsia="zh-CN"/>
        </w:rPr>
        <w:t>任务组（</w:t>
      </w:r>
      <w:r w:rsidRPr="0040207F">
        <w:rPr>
          <w:lang w:eastAsia="zh-CN"/>
        </w:rPr>
        <w:t>ISC-TF</w:t>
      </w:r>
      <w:r>
        <w:rPr>
          <w:rFonts w:hint="eastAsia"/>
          <w:lang w:eastAsia="zh-CN"/>
        </w:rPr>
        <w:t>）</w:t>
      </w:r>
      <w:r w:rsidRPr="001F4E9E">
        <w:rPr>
          <w:lang w:eastAsia="zh-CN"/>
        </w:rPr>
        <w:t>和成员的跨部门协调组（</w:t>
      </w:r>
      <w:r w:rsidRPr="001F4E9E">
        <w:rPr>
          <w:lang w:eastAsia="zh-CN"/>
        </w:rPr>
        <w:t>ISCG</w:t>
      </w:r>
      <w:r w:rsidRPr="001F4E9E">
        <w:rPr>
          <w:lang w:eastAsia="zh-CN"/>
        </w:rPr>
        <w:t>）之间实现了更</w:t>
      </w:r>
      <w:r w:rsidR="001578A6">
        <w:rPr>
          <w:rFonts w:hint="eastAsia"/>
          <w:lang w:eastAsia="zh-CN"/>
        </w:rPr>
        <w:t>为</w:t>
      </w:r>
      <w:r w:rsidRPr="001F4E9E">
        <w:rPr>
          <w:lang w:eastAsia="zh-CN"/>
        </w:rPr>
        <w:t>密切的协调。</w:t>
      </w:r>
    </w:p>
    <w:p w14:paraId="6B93F102" w14:textId="77777777" w:rsidR="00E4287E" w:rsidRPr="00546803" w:rsidRDefault="00E4287E" w:rsidP="00E4287E">
      <w:pPr>
        <w:pStyle w:val="Heading1"/>
        <w:rPr>
          <w:lang w:eastAsia="zh-CN"/>
        </w:rPr>
      </w:pPr>
      <w:r w:rsidRPr="00546803">
        <w:rPr>
          <w:lang w:eastAsia="zh-CN"/>
        </w:rPr>
        <w:t>2</w:t>
      </w:r>
      <w:r w:rsidRPr="00546803">
        <w:rPr>
          <w:rFonts w:hint="eastAsia"/>
          <w:lang w:eastAsia="zh-CN"/>
        </w:rPr>
        <w:tab/>
      </w:r>
      <w:r w:rsidRPr="00546803">
        <w:rPr>
          <w:lang w:eastAsia="zh-CN"/>
        </w:rPr>
        <w:t>秘书处</w:t>
      </w:r>
      <w:r w:rsidRPr="00546803">
        <w:rPr>
          <w:rFonts w:hint="eastAsia"/>
          <w:lang w:eastAsia="zh-CN"/>
        </w:rPr>
        <w:t>内部</w:t>
      </w:r>
      <w:r w:rsidRPr="00546803">
        <w:rPr>
          <w:lang w:eastAsia="zh-CN"/>
        </w:rPr>
        <w:t>的协调</w:t>
      </w:r>
    </w:p>
    <w:p w14:paraId="674B523E" w14:textId="77777777" w:rsidR="00E4287E" w:rsidRPr="002A04C5" w:rsidRDefault="00E4287E" w:rsidP="00E4287E">
      <w:pPr>
        <w:rPr>
          <w:rFonts w:cs="Calibri"/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rPr>
          <w:rFonts w:hint="eastAsia"/>
          <w:lang w:eastAsia="zh-CN"/>
        </w:rPr>
        <w:t>为</w:t>
      </w:r>
      <w:r w:rsidRPr="00A604D7">
        <w:rPr>
          <w:rFonts w:cstheme="minorHAnsi" w:hint="eastAsia"/>
          <w:szCs w:val="24"/>
          <w:lang w:eastAsia="zh-CN"/>
        </w:rPr>
        <w:t>促进三个局</w:t>
      </w:r>
      <w:r>
        <w:rPr>
          <w:rFonts w:cstheme="minorHAnsi" w:hint="eastAsia"/>
          <w:szCs w:val="24"/>
          <w:lang w:eastAsia="zh-CN"/>
        </w:rPr>
        <w:t>以及</w:t>
      </w:r>
      <w:r w:rsidRPr="00A604D7">
        <w:rPr>
          <w:rFonts w:cstheme="minorHAnsi" w:hint="eastAsia"/>
          <w:szCs w:val="24"/>
          <w:lang w:eastAsia="zh-CN"/>
        </w:rPr>
        <w:t>总秘书处之间的协调与</w:t>
      </w:r>
      <w:r w:rsidRPr="002A04C5">
        <w:rPr>
          <w:rFonts w:cs="Calibri" w:hint="eastAsia"/>
          <w:szCs w:val="24"/>
          <w:lang w:eastAsia="zh-CN"/>
        </w:rPr>
        <w:t>协作</w:t>
      </w:r>
      <w:r w:rsidRPr="002A04C5">
        <w:rPr>
          <w:rFonts w:cs="Calibri" w:hint="eastAsia"/>
          <w:lang w:eastAsia="zh-CN"/>
        </w:rPr>
        <w:t>，避免内部重复工作并优化资源的利用，</w:t>
      </w:r>
      <w:r w:rsidRPr="002A04C5">
        <w:rPr>
          <w:rFonts w:cs="Calibri" w:hint="eastAsia"/>
          <w:szCs w:val="24"/>
          <w:lang w:eastAsia="zh-CN"/>
        </w:rPr>
        <w:t>成立了跨部门协调任务组</w:t>
      </w:r>
      <w:r w:rsidRPr="002A04C5">
        <w:rPr>
          <w:rFonts w:cs="Calibri" w:hint="eastAsia"/>
          <w:lang w:eastAsia="zh-CN"/>
        </w:rPr>
        <w:t>（</w:t>
      </w:r>
      <w:r w:rsidRPr="002A04C5">
        <w:rPr>
          <w:rFonts w:cs="Calibri" w:hint="eastAsia"/>
          <w:lang w:eastAsia="zh-CN"/>
        </w:rPr>
        <w:t>ISC-TF</w:t>
      </w:r>
      <w:r w:rsidRPr="002A04C5">
        <w:rPr>
          <w:rFonts w:cs="Calibri" w:hint="eastAsia"/>
          <w:lang w:eastAsia="zh-CN"/>
        </w:rPr>
        <w:t>）。</w:t>
      </w:r>
      <w:r w:rsidRPr="002A04C5">
        <w:rPr>
          <w:rFonts w:cs="Calibri"/>
          <w:lang w:eastAsia="zh-CN"/>
        </w:rPr>
        <w:t>ISC-TF</w:t>
      </w:r>
      <w:r w:rsidRPr="002A04C5">
        <w:rPr>
          <w:rFonts w:cs="Calibri" w:hint="eastAsia"/>
          <w:lang w:eastAsia="zh-CN"/>
        </w:rPr>
        <w:t>的职责范围在</w:t>
      </w:r>
      <w:r w:rsidR="00FE7D84">
        <w:fldChar w:fldCharType="begin"/>
      </w:r>
      <w:r w:rsidR="00FE7D84">
        <w:rPr>
          <w:lang w:eastAsia="zh-CN"/>
        </w:rPr>
        <w:instrText xml:space="preserve"> HYPERLINK "https://www.itu.int/md/S17-CL-INF-0019/en" </w:instrText>
      </w:r>
      <w:r w:rsidR="00FE7D84">
        <w:fldChar w:fldCharType="separate"/>
      </w:r>
      <w:r w:rsidRPr="002A04C5">
        <w:rPr>
          <w:rStyle w:val="Hyperlink"/>
          <w:rFonts w:cs="Calibri" w:hint="eastAsia"/>
          <w:lang w:eastAsia="zh-CN"/>
        </w:rPr>
        <w:t>第</w:t>
      </w:r>
      <w:r w:rsidRPr="002A04C5">
        <w:rPr>
          <w:rStyle w:val="Hyperlink"/>
          <w:rFonts w:cs="Calibri"/>
          <w:lang w:eastAsia="zh-CN"/>
        </w:rPr>
        <w:t>16/13</w:t>
      </w:r>
      <w:r w:rsidRPr="002A04C5">
        <w:rPr>
          <w:rStyle w:val="Hyperlink"/>
          <w:rFonts w:cs="Calibri" w:hint="eastAsia"/>
          <w:lang w:eastAsia="zh-CN"/>
        </w:rPr>
        <w:t>号行政规定</w:t>
      </w:r>
      <w:r w:rsidR="00FE7D84">
        <w:rPr>
          <w:rStyle w:val="Hyperlink"/>
          <w:rFonts w:cs="Calibri"/>
          <w:lang w:eastAsia="zh-CN"/>
        </w:rPr>
        <w:fldChar w:fldCharType="end"/>
      </w:r>
      <w:r w:rsidRPr="002A04C5">
        <w:rPr>
          <w:rFonts w:cs="Calibri" w:hint="eastAsia"/>
          <w:lang w:eastAsia="zh-CN"/>
        </w:rPr>
        <w:t>中做了明确规定。</w:t>
      </w:r>
    </w:p>
    <w:p w14:paraId="243B24C3" w14:textId="5DA31097" w:rsidR="00976D4B" w:rsidRDefault="00E4287E" w:rsidP="00E37BE9">
      <w:pPr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</w:r>
      <w:r w:rsidRPr="000B50C2">
        <w:rPr>
          <w:lang w:eastAsia="zh-CN"/>
        </w:rPr>
        <w:t>ISC-TF</w:t>
      </w:r>
      <w:r>
        <w:rPr>
          <w:rFonts w:hint="eastAsia"/>
          <w:lang w:eastAsia="zh-CN"/>
        </w:rPr>
        <w:t>自</w:t>
      </w:r>
      <w:r w:rsidR="00F84EC5">
        <w:rPr>
          <w:rFonts w:hint="eastAsia"/>
          <w:lang w:eastAsia="zh-CN"/>
        </w:rPr>
        <w:t>理事会</w:t>
      </w:r>
      <w:r w:rsidR="00F84EC5">
        <w:rPr>
          <w:rFonts w:hint="eastAsia"/>
          <w:lang w:eastAsia="zh-CN"/>
        </w:rPr>
        <w:t>2</w:t>
      </w:r>
      <w:r w:rsidR="00F84EC5">
        <w:rPr>
          <w:lang w:eastAsia="zh-CN"/>
        </w:rPr>
        <w:t>020</w:t>
      </w:r>
      <w:r w:rsidR="00F84EC5">
        <w:rPr>
          <w:rFonts w:hint="eastAsia"/>
          <w:lang w:eastAsia="zh-CN"/>
        </w:rPr>
        <w:t>年会议</w:t>
      </w:r>
      <w:r>
        <w:rPr>
          <w:rFonts w:hint="eastAsia"/>
          <w:lang w:eastAsia="zh-CN"/>
        </w:rPr>
        <w:t>以来共召开了</w:t>
      </w:r>
      <w:r w:rsidR="008364E6">
        <w:rPr>
          <w:rFonts w:hint="eastAsia"/>
          <w:lang w:eastAsia="zh-CN"/>
        </w:rPr>
        <w:t>六</w:t>
      </w:r>
      <w:r>
        <w:rPr>
          <w:rFonts w:hint="eastAsia"/>
          <w:lang w:eastAsia="zh-CN"/>
        </w:rPr>
        <w:t>次会议（</w:t>
      </w:r>
      <w:r w:rsidR="008364E6">
        <w:rPr>
          <w:lang w:eastAsia="zh-CN"/>
        </w:rPr>
        <w:t>截至</w:t>
      </w:r>
      <w:r w:rsidR="008364E6">
        <w:rPr>
          <w:lang w:eastAsia="zh-CN"/>
        </w:rPr>
        <w:t>2021</w:t>
      </w:r>
      <w:r w:rsidR="008364E6">
        <w:rPr>
          <w:lang w:eastAsia="zh-CN"/>
        </w:rPr>
        <w:t>年</w:t>
      </w:r>
      <w:r w:rsidR="008364E6">
        <w:rPr>
          <w:lang w:eastAsia="zh-CN"/>
        </w:rPr>
        <w:t>3</w:t>
      </w:r>
      <w:r w:rsidR="008364E6">
        <w:rPr>
          <w:lang w:eastAsia="zh-CN"/>
        </w:rPr>
        <w:t>月</w:t>
      </w:r>
      <w:r w:rsidR="008364E6">
        <w:rPr>
          <w:lang w:eastAsia="zh-CN"/>
        </w:rPr>
        <w:t>31</w:t>
      </w:r>
      <w:r w:rsidR="008364E6">
        <w:rPr>
          <w:lang w:eastAsia="zh-CN"/>
        </w:rPr>
        <w:t>日</w:t>
      </w:r>
      <w:r>
        <w:rPr>
          <w:rFonts w:hint="eastAsia"/>
          <w:lang w:eastAsia="zh-CN"/>
        </w:rPr>
        <w:t>）</w:t>
      </w:r>
      <w:r w:rsidR="00F84EC5">
        <w:rPr>
          <w:lang w:eastAsia="zh-CN"/>
        </w:rPr>
        <w:t>（预计在</w:t>
      </w:r>
      <w:r w:rsidR="00F84EC5">
        <w:rPr>
          <w:lang w:eastAsia="zh-CN"/>
        </w:rPr>
        <w:t>2021</w:t>
      </w:r>
      <w:r w:rsidR="00F84EC5">
        <w:rPr>
          <w:lang w:eastAsia="zh-CN"/>
        </w:rPr>
        <w:t>年</w:t>
      </w:r>
      <w:r w:rsidR="00F84EC5">
        <w:rPr>
          <w:lang w:eastAsia="zh-CN"/>
        </w:rPr>
        <w:t>6</w:t>
      </w:r>
      <w:r w:rsidR="00F84EC5">
        <w:rPr>
          <w:lang w:eastAsia="zh-CN"/>
        </w:rPr>
        <w:t>月</w:t>
      </w:r>
      <w:r w:rsidR="00F84EC5">
        <w:rPr>
          <w:lang w:eastAsia="zh-CN"/>
        </w:rPr>
        <w:t>8</w:t>
      </w:r>
      <w:r w:rsidR="00F84EC5">
        <w:rPr>
          <w:rFonts w:hint="eastAsia"/>
          <w:lang w:eastAsia="zh-CN"/>
        </w:rPr>
        <w:t>-</w:t>
      </w:r>
      <w:r w:rsidR="00F84EC5">
        <w:rPr>
          <w:lang w:eastAsia="zh-CN"/>
        </w:rPr>
        <w:t>18</w:t>
      </w:r>
      <w:r w:rsidR="00F84EC5">
        <w:rPr>
          <w:lang w:eastAsia="zh-CN"/>
        </w:rPr>
        <w:t>日</w:t>
      </w:r>
      <w:r w:rsidR="00376595">
        <w:rPr>
          <w:rFonts w:hint="eastAsia"/>
          <w:lang w:eastAsia="zh-CN"/>
        </w:rPr>
        <w:t>的</w:t>
      </w:r>
      <w:r w:rsidR="00F84EC5">
        <w:rPr>
          <w:rFonts w:hint="eastAsia"/>
          <w:lang w:eastAsia="zh-CN"/>
        </w:rPr>
        <w:t>理事磋商会虚拟会议</w:t>
      </w:r>
      <w:r w:rsidR="00F84EC5">
        <w:rPr>
          <w:lang w:eastAsia="zh-CN"/>
        </w:rPr>
        <w:t>之前</w:t>
      </w:r>
      <w:r w:rsidR="000F5E01">
        <w:rPr>
          <w:lang w:eastAsia="zh-CN"/>
        </w:rPr>
        <w:t>至少</w:t>
      </w:r>
      <w:r w:rsidR="00F84EC5">
        <w:rPr>
          <w:lang w:eastAsia="zh-CN"/>
        </w:rPr>
        <w:t>再举行一次会议）</w:t>
      </w:r>
      <w:r>
        <w:rPr>
          <w:rFonts w:hint="eastAsia"/>
          <w:lang w:eastAsia="zh-CN"/>
        </w:rPr>
        <w:t>，自</w:t>
      </w:r>
      <w:r w:rsidRPr="000B50C2"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月成立以来共召开过</w:t>
      </w:r>
      <w:r w:rsidR="001C6637">
        <w:rPr>
          <w:lang w:eastAsia="zh-CN"/>
        </w:rPr>
        <w:t>39</w:t>
      </w:r>
      <w:r>
        <w:rPr>
          <w:rFonts w:hint="eastAsia"/>
          <w:lang w:eastAsia="zh-CN"/>
        </w:rPr>
        <w:t>次会议。</w:t>
      </w:r>
      <w:r w:rsidRPr="000B50C2">
        <w:rPr>
          <w:lang w:eastAsia="zh-CN"/>
        </w:rPr>
        <w:t>ISC-TF</w:t>
      </w:r>
      <w:r>
        <w:rPr>
          <w:rFonts w:hint="eastAsia"/>
          <w:lang w:eastAsia="zh-CN"/>
        </w:rPr>
        <w:t>的工作由副秘书长主持，参与方包括</w:t>
      </w:r>
      <w:r w:rsidRPr="00D9744A">
        <w:rPr>
          <w:rFonts w:hint="eastAsia"/>
          <w:lang w:eastAsia="zh-CN"/>
        </w:rPr>
        <w:t>三个局的</w:t>
      </w:r>
      <w:r>
        <w:rPr>
          <w:rFonts w:hint="eastAsia"/>
          <w:lang w:eastAsia="zh-CN"/>
        </w:rPr>
        <w:t>副</w:t>
      </w:r>
      <w:r w:rsidRPr="00D9744A">
        <w:rPr>
          <w:rFonts w:hint="eastAsia"/>
          <w:lang w:eastAsia="zh-CN"/>
        </w:rPr>
        <w:t>主任</w:t>
      </w:r>
      <w:r w:rsidR="001C6637">
        <w:rPr>
          <w:rFonts w:hint="eastAsia"/>
          <w:lang w:eastAsia="zh-CN"/>
        </w:rPr>
        <w:t>、</w:t>
      </w:r>
      <w:r w:rsidR="00E37BE9" w:rsidRPr="00E37BE9">
        <w:rPr>
          <w:lang w:eastAsia="zh-CN"/>
        </w:rPr>
        <w:t>总秘书处各部负责人</w:t>
      </w:r>
      <w:r w:rsidR="00E37BE9" w:rsidRPr="00E37BE9">
        <w:rPr>
          <w:rFonts w:hint="eastAsia"/>
          <w:lang w:eastAsia="zh-CN"/>
        </w:rPr>
        <w:t>、</w:t>
      </w:r>
      <w:r w:rsidRPr="00D9744A">
        <w:rPr>
          <w:rFonts w:hint="eastAsia"/>
          <w:lang w:eastAsia="zh-CN"/>
        </w:rPr>
        <w:t>负责具体</w:t>
      </w:r>
      <w:r>
        <w:rPr>
          <w:rFonts w:hint="eastAsia"/>
          <w:lang w:eastAsia="zh-CN"/>
        </w:rPr>
        <w:t>主</w:t>
      </w:r>
      <w:r w:rsidRPr="00D9744A">
        <w:rPr>
          <w:rFonts w:hint="eastAsia"/>
          <w:lang w:eastAsia="zh-CN"/>
        </w:rPr>
        <w:t>题领域的跨部门联系人</w:t>
      </w:r>
      <w:r w:rsidR="00E37BE9">
        <w:rPr>
          <w:rFonts w:hint="eastAsia"/>
          <w:lang w:eastAsia="zh-CN"/>
        </w:rPr>
        <w:t>、</w:t>
      </w:r>
      <w:r w:rsidRPr="00D9744A">
        <w:rPr>
          <w:rFonts w:hint="eastAsia"/>
          <w:lang w:eastAsia="zh-CN"/>
        </w:rPr>
        <w:t>各区域</w:t>
      </w:r>
      <w:r>
        <w:rPr>
          <w:rFonts w:hint="eastAsia"/>
          <w:lang w:eastAsia="zh-CN"/>
        </w:rPr>
        <w:t>代表处的</w:t>
      </w:r>
      <w:r w:rsidRPr="00D9744A">
        <w:rPr>
          <w:rFonts w:hint="eastAsia"/>
          <w:lang w:eastAsia="zh-CN"/>
        </w:rPr>
        <w:t>主任</w:t>
      </w:r>
      <w:r w:rsidR="00E37BE9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内部审计部门负责人作为观察员参加</w:t>
      </w:r>
      <w:r w:rsidR="00E37BE9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三个局各部的负责人应主席邀请参加。</w:t>
      </w:r>
    </w:p>
    <w:p w14:paraId="0A52AA99" w14:textId="15013A2A" w:rsidR="00B735DB" w:rsidRDefault="00E4287E" w:rsidP="00E4287E">
      <w:pPr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  <w:t>ISC-TF</w:t>
      </w:r>
      <w:r>
        <w:rPr>
          <w:rFonts w:hint="eastAsia"/>
          <w:lang w:eastAsia="zh-CN"/>
        </w:rPr>
        <w:t>对各部门共同关心的</w:t>
      </w:r>
      <w:r w:rsidRPr="00A604D7">
        <w:rPr>
          <w:rFonts w:cstheme="minorHAnsi" w:hint="eastAsia"/>
          <w:szCs w:val="24"/>
          <w:lang w:eastAsia="zh-CN"/>
        </w:rPr>
        <w:t>领域</w:t>
      </w:r>
      <w:r w:rsidR="00FD0657">
        <w:rPr>
          <w:rFonts w:cstheme="minorHAnsi" w:hint="eastAsia"/>
          <w:szCs w:val="24"/>
          <w:lang w:eastAsia="zh-CN"/>
        </w:rPr>
        <w:t>开展</w:t>
      </w:r>
      <w:r>
        <w:rPr>
          <w:rFonts w:cstheme="minorHAnsi" w:hint="eastAsia"/>
          <w:szCs w:val="24"/>
          <w:lang w:eastAsia="zh-CN"/>
        </w:rPr>
        <w:t>协调，涉及到</w:t>
      </w:r>
      <w:r w:rsidR="00167AA3">
        <w:rPr>
          <w:rFonts w:cstheme="minorHAnsi" w:hint="eastAsia"/>
          <w:szCs w:val="24"/>
          <w:lang w:eastAsia="zh-CN"/>
        </w:rPr>
        <w:t>以下议题</w:t>
      </w:r>
      <w:r>
        <w:rPr>
          <w:rFonts w:eastAsiaTheme="minorEastAsia" w:hint="eastAsia"/>
          <w:lang w:eastAsia="zh-CN"/>
        </w:rPr>
        <w:t>：</w:t>
      </w:r>
      <w:r w:rsidRPr="00FD1DE2">
        <w:rPr>
          <w:rFonts w:hint="eastAsia"/>
          <w:lang w:eastAsia="zh-CN"/>
        </w:rPr>
        <w:t>无障碍获取</w:t>
      </w:r>
      <w:r w:rsidR="00FD0657">
        <w:rPr>
          <w:rFonts w:eastAsiaTheme="minorEastAsia" w:hint="eastAsia"/>
          <w:lang w:eastAsia="zh-CN"/>
        </w:rPr>
        <w:t>，</w:t>
      </w:r>
      <w:r w:rsidR="00167AA3">
        <w:rPr>
          <w:rFonts w:eastAsiaTheme="minorEastAsia" w:hint="eastAsia"/>
          <w:lang w:eastAsia="zh-CN"/>
        </w:rPr>
        <w:t>新兴趋势和</w:t>
      </w:r>
      <w:r>
        <w:rPr>
          <w:rFonts w:eastAsiaTheme="minorEastAsia" w:hint="eastAsia"/>
          <w:lang w:eastAsia="zh-CN"/>
        </w:rPr>
        <w:t>人工智能</w:t>
      </w:r>
      <w:r w:rsidR="00FD0657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缩小标准化差距</w:t>
      </w:r>
      <w:r w:rsidR="00FD0657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宣传</w:t>
      </w:r>
      <w:r w:rsidR="00FD0657">
        <w:rPr>
          <w:rFonts w:eastAsiaTheme="minorEastAsia" w:hint="eastAsia"/>
          <w:lang w:eastAsia="zh-CN"/>
        </w:rPr>
        <w:t>，</w:t>
      </w:r>
      <w:r w:rsidR="00167AA3">
        <w:rPr>
          <w:rFonts w:hint="eastAsia"/>
          <w:lang w:eastAsia="zh-CN"/>
        </w:rPr>
        <w:t>社区网络</w:t>
      </w:r>
      <w:r w:rsidR="00FD0657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应急通信</w:t>
      </w:r>
      <w:r w:rsidR="00FD0657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环境与可持续智慧城市</w:t>
      </w:r>
      <w:r w:rsidR="00167AA3">
        <w:rPr>
          <w:rFonts w:eastAsiaTheme="minorEastAsia" w:hint="eastAsia"/>
          <w:lang w:eastAsia="zh-CN"/>
        </w:rPr>
        <w:t>和社区</w:t>
      </w:r>
      <w:r w:rsidR="00FD0657">
        <w:rPr>
          <w:rFonts w:eastAsiaTheme="minorEastAsia" w:hint="eastAsia"/>
          <w:lang w:eastAsia="zh-CN"/>
        </w:rPr>
        <w:t>，</w:t>
      </w:r>
      <w:r w:rsidR="00167AA3">
        <w:rPr>
          <w:rFonts w:eastAsiaTheme="minorEastAsia" w:hint="eastAsia"/>
          <w:lang w:eastAsia="zh-CN"/>
        </w:rPr>
        <w:t>重大</w:t>
      </w:r>
      <w:r w:rsidRPr="00167AA3">
        <w:rPr>
          <w:rFonts w:eastAsiaTheme="minorEastAsia" w:hint="eastAsia"/>
          <w:lang w:eastAsia="zh-CN"/>
        </w:rPr>
        <w:t>活动的协调</w:t>
      </w:r>
      <w:r w:rsidR="00FD0657">
        <w:rPr>
          <w:rFonts w:eastAsiaTheme="minorEastAsia" w:hint="eastAsia"/>
          <w:lang w:eastAsia="zh-CN"/>
        </w:rPr>
        <w:t>，</w:t>
      </w:r>
      <w:r w:rsidRPr="00167AA3">
        <w:rPr>
          <w:rFonts w:eastAsiaTheme="minorEastAsia" w:hint="eastAsia"/>
          <w:lang w:eastAsia="zh-CN"/>
        </w:rPr>
        <w:t>性别问题</w:t>
      </w:r>
      <w:r w:rsidR="00FD0657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地理空间活动</w:t>
      </w:r>
      <w:r w:rsidR="00FD0657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成员、</w:t>
      </w:r>
      <w:r w:rsidRPr="00167AA3">
        <w:rPr>
          <w:rFonts w:eastAsiaTheme="minorEastAsia" w:hint="eastAsia"/>
          <w:lang w:eastAsia="zh-CN"/>
        </w:rPr>
        <w:t>资源筹措</w:t>
      </w:r>
      <w:r>
        <w:rPr>
          <w:rFonts w:eastAsiaTheme="minorEastAsia" w:hint="eastAsia"/>
          <w:lang w:eastAsia="zh-CN"/>
        </w:rPr>
        <w:t>和中小企业</w:t>
      </w:r>
      <w:r w:rsidR="00167AA3">
        <w:rPr>
          <w:rFonts w:eastAsiaTheme="minorEastAsia" w:hint="eastAsia"/>
          <w:lang w:eastAsia="zh-CN"/>
        </w:rPr>
        <w:t>以及</w:t>
      </w:r>
      <w:r w:rsidR="00167AA3" w:rsidRPr="00167AA3">
        <w:rPr>
          <w:rFonts w:eastAsiaTheme="minorEastAsia"/>
          <w:lang w:eastAsia="zh-CN"/>
        </w:rPr>
        <w:t>多语文使用</w:t>
      </w:r>
      <w:r w:rsidR="00167AA3">
        <w:rPr>
          <w:rFonts w:eastAsiaTheme="minorEastAsia" w:hint="eastAsia"/>
          <w:lang w:eastAsia="zh-CN"/>
        </w:rPr>
        <w:t>（</w:t>
      </w:r>
      <w:r w:rsidR="00167AA3">
        <w:rPr>
          <w:lang w:eastAsia="zh-CN"/>
        </w:rPr>
        <w:t>自</w:t>
      </w:r>
      <w:r w:rsidR="00167AA3">
        <w:rPr>
          <w:lang w:eastAsia="zh-CN"/>
        </w:rPr>
        <w:t>2020</w:t>
      </w:r>
      <w:r w:rsidR="00167AA3">
        <w:rPr>
          <w:lang w:eastAsia="zh-CN"/>
        </w:rPr>
        <w:t>年起</w:t>
      </w:r>
      <w:r w:rsidR="00167AA3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。</w:t>
      </w:r>
    </w:p>
    <w:p w14:paraId="1F565585" w14:textId="64F86247" w:rsidR="00E4287E" w:rsidRDefault="00B735DB" w:rsidP="00E4287E">
      <w:pPr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E4287E">
        <w:rPr>
          <w:rFonts w:hint="eastAsia"/>
          <w:lang w:eastAsia="zh-CN"/>
        </w:rPr>
        <w:t>自</w:t>
      </w:r>
      <w:r w:rsidR="00167AA3">
        <w:rPr>
          <w:rFonts w:hint="eastAsia"/>
          <w:lang w:eastAsia="zh-CN"/>
        </w:rPr>
        <w:t>上</w:t>
      </w:r>
      <w:r w:rsidR="00385DCD">
        <w:rPr>
          <w:rFonts w:hint="eastAsia"/>
          <w:lang w:eastAsia="zh-CN"/>
        </w:rPr>
        <w:t>一</w:t>
      </w:r>
      <w:r w:rsidR="00167AA3">
        <w:rPr>
          <w:rFonts w:hint="eastAsia"/>
          <w:lang w:eastAsia="zh-CN"/>
        </w:rPr>
        <w:t>次向</w:t>
      </w:r>
      <w:r w:rsidR="00E4287E">
        <w:rPr>
          <w:rFonts w:hint="eastAsia"/>
          <w:lang w:eastAsia="zh-CN"/>
        </w:rPr>
        <w:t>理事会</w:t>
      </w:r>
      <w:r w:rsidR="00E4287E" w:rsidRPr="000B50C2">
        <w:rPr>
          <w:lang w:eastAsia="zh-CN"/>
        </w:rPr>
        <w:t>20</w:t>
      </w:r>
      <w:r w:rsidR="00167AA3">
        <w:rPr>
          <w:lang w:eastAsia="zh-CN"/>
        </w:rPr>
        <w:t>20</w:t>
      </w:r>
      <w:r w:rsidR="00E4287E">
        <w:rPr>
          <w:rFonts w:hint="eastAsia"/>
          <w:lang w:eastAsia="zh-CN"/>
        </w:rPr>
        <w:t>年会议</w:t>
      </w:r>
      <w:r w:rsidR="00562EFE">
        <w:rPr>
          <w:rFonts w:hint="eastAsia"/>
          <w:lang w:eastAsia="zh-CN"/>
        </w:rPr>
        <w:t>提交报告以来，任务组</w:t>
      </w:r>
      <w:r w:rsidR="00E4287E">
        <w:rPr>
          <w:rFonts w:hint="eastAsia"/>
          <w:lang w:eastAsia="zh-CN"/>
        </w:rPr>
        <w:t>继续：</w:t>
      </w:r>
    </w:p>
    <w:p w14:paraId="4E1B9141" w14:textId="7D3E7D45" w:rsidR="00E4287E" w:rsidRPr="00204FC1" w:rsidRDefault="00E4287E" w:rsidP="00E4287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FD1DE2">
        <w:rPr>
          <w:rFonts w:hint="eastAsia"/>
          <w:lang w:eastAsia="zh-CN"/>
        </w:rPr>
        <w:t>通过向</w:t>
      </w:r>
      <w:r w:rsidR="00562EFE">
        <w:rPr>
          <w:rFonts w:hint="eastAsia"/>
          <w:lang w:eastAsia="zh-CN"/>
        </w:rPr>
        <w:t>任务组</w:t>
      </w:r>
      <w:r>
        <w:rPr>
          <w:rFonts w:hint="eastAsia"/>
          <w:lang w:eastAsia="zh-CN"/>
        </w:rPr>
        <w:t>成员</w:t>
      </w:r>
      <w:r w:rsidR="000D287C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每个</w:t>
      </w:r>
      <w:r w:rsidR="003746FA">
        <w:rPr>
          <w:rFonts w:hint="eastAsia"/>
          <w:lang w:eastAsia="zh-CN"/>
        </w:rPr>
        <w:t>主题</w:t>
      </w:r>
      <w:r w:rsidRPr="00FD1DE2">
        <w:rPr>
          <w:rFonts w:hint="eastAsia"/>
          <w:lang w:eastAsia="zh-CN"/>
        </w:rPr>
        <w:t>领域</w:t>
      </w:r>
      <w:r>
        <w:rPr>
          <w:rFonts w:hint="eastAsia"/>
          <w:lang w:eastAsia="zh-CN"/>
        </w:rPr>
        <w:t>的发展</w:t>
      </w:r>
      <w:r w:rsidR="0062778C">
        <w:rPr>
          <w:rFonts w:hint="eastAsia"/>
          <w:lang w:eastAsia="zh-CN"/>
        </w:rPr>
        <w:t>情况</w:t>
      </w:r>
      <w:r>
        <w:rPr>
          <w:rFonts w:hint="eastAsia"/>
          <w:lang w:eastAsia="zh-CN"/>
        </w:rPr>
        <w:t>和</w:t>
      </w:r>
      <w:r w:rsidRPr="00FD1DE2">
        <w:rPr>
          <w:rFonts w:hint="eastAsia"/>
          <w:lang w:eastAsia="zh-CN"/>
        </w:rPr>
        <w:t>取得的进展</w:t>
      </w:r>
      <w:r>
        <w:rPr>
          <w:rFonts w:eastAsiaTheme="minorEastAsia" w:hint="eastAsia"/>
          <w:lang w:eastAsia="zh-CN"/>
        </w:rPr>
        <w:t>，</w:t>
      </w:r>
      <w:proofErr w:type="gramStart"/>
      <w:r w:rsidRPr="00BB10F7">
        <w:rPr>
          <w:rFonts w:asciiTheme="minorEastAsia" w:eastAsiaTheme="minorEastAsia" w:hAnsiTheme="minorEastAsia" w:hint="eastAsia"/>
          <w:lang w:eastAsia="zh-CN"/>
        </w:rPr>
        <w:t>促进各部门</w:t>
      </w:r>
      <w:r>
        <w:rPr>
          <w:rFonts w:asciiTheme="minorEastAsia" w:eastAsiaTheme="minorEastAsia" w:hAnsiTheme="minorEastAsia" w:hint="eastAsia"/>
          <w:lang w:eastAsia="zh-CN"/>
        </w:rPr>
        <w:t>与</w:t>
      </w:r>
      <w:r w:rsidRPr="00BB10F7">
        <w:rPr>
          <w:rFonts w:asciiTheme="minorEastAsia" w:eastAsiaTheme="minorEastAsia" w:hAnsiTheme="minorEastAsia" w:hint="eastAsia"/>
          <w:lang w:eastAsia="zh-CN"/>
        </w:rPr>
        <w:t>总秘书处</w:t>
      </w:r>
      <w:r>
        <w:rPr>
          <w:rFonts w:asciiTheme="minorEastAsia" w:eastAsiaTheme="minorEastAsia" w:hAnsiTheme="minorEastAsia" w:hint="eastAsia"/>
          <w:lang w:eastAsia="zh-CN"/>
        </w:rPr>
        <w:t>就上述</w:t>
      </w:r>
      <w:r w:rsidR="00806F86">
        <w:rPr>
          <w:rFonts w:asciiTheme="minorEastAsia" w:eastAsiaTheme="minorEastAsia" w:hAnsiTheme="minorEastAsia" w:hint="eastAsia"/>
          <w:lang w:eastAsia="zh-CN"/>
        </w:rPr>
        <w:t>主题</w:t>
      </w:r>
      <w:r>
        <w:rPr>
          <w:rFonts w:asciiTheme="minorEastAsia" w:eastAsiaTheme="minorEastAsia" w:hAnsiTheme="minorEastAsia" w:hint="eastAsia"/>
          <w:lang w:eastAsia="zh-CN"/>
        </w:rPr>
        <w:t>领域进行</w:t>
      </w:r>
      <w:r w:rsidRPr="00BB10F7">
        <w:rPr>
          <w:rFonts w:asciiTheme="minorEastAsia" w:eastAsiaTheme="minorEastAsia" w:hAnsiTheme="minorEastAsia" w:hint="eastAsia"/>
          <w:lang w:eastAsia="zh-CN"/>
        </w:rPr>
        <w:t>信息交流</w:t>
      </w:r>
      <w:r>
        <w:rPr>
          <w:rFonts w:hint="eastAsia"/>
          <w:lang w:eastAsia="zh-CN"/>
        </w:rPr>
        <w:t>；</w:t>
      </w:r>
      <w:proofErr w:type="gramEnd"/>
    </w:p>
    <w:p w14:paraId="12A03E76" w14:textId="77777777" w:rsidR="00E4287E" w:rsidRPr="00204FC1" w:rsidRDefault="00E4287E" w:rsidP="00E4287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针对联系人</w:t>
      </w:r>
      <w:r>
        <w:rPr>
          <w:rFonts w:asciiTheme="minorEastAsia" w:eastAsiaTheme="minorEastAsia" w:hAnsiTheme="minorEastAsia" w:hint="eastAsia"/>
          <w:lang w:eastAsia="zh-CN"/>
        </w:rPr>
        <w:t>提出的关键问题开展讨论并提</w:t>
      </w:r>
      <w:r w:rsidRPr="00BB10F7">
        <w:rPr>
          <w:rFonts w:asciiTheme="minorEastAsia" w:eastAsiaTheme="minorEastAsia" w:hAnsiTheme="minorEastAsia" w:hint="eastAsia"/>
          <w:lang w:eastAsia="zh-CN"/>
        </w:rPr>
        <w:t>出解决方案</w:t>
      </w:r>
      <w:r w:rsidRPr="00071833"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rFonts w:hint="eastAsia"/>
          <w:lang w:eastAsia="zh-CN"/>
        </w:rPr>
        <w:t>若无法在联系人层面就这些问题做出决定或解决问题，</w:t>
      </w:r>
      <w:proofErr w:type="gramStart"/>
      <w:r>
        <w:rPr>
          <w:rFonts w:hint="eastAsia"/>
          <w:lang w:eastAsia="zh-CN"/>
        </w:rPr>
        <w:t>则可将其逐级上报；</w:t>
      </w:r>
      <w:proofErr w:type="gramEnd"/>
    </w:p>
    <w:p w14:paraId="2888F229" w14:textId="0ADB2764" w:rsidR="00E4287E" w:rsidRDefault="00E4287E" w:rsidP="00E4287E">
      <w:pPr>
        <w:pStyle w:val="enumlev1"/>
        <w:rPr>
          <w:rFonts w:eastAsiaTheme="minorEastAsia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利用</w:t>
      </w:r>
      <w:r w:rsidRPr="00BB10F7">
        <w:rPr>
          <w:rFonts w:asciiTheme="minorEastAsia" w:eastAsiaTheme="minorEastAsia" w:hAnsiTheme="minorEastAsia" w:hint="eastAsia"/>
          <w:lang w:eastAsia="zh-CN"/>
        </w:rPr>
        <w:t>区域代表处</w:t>
      </w:r>
      <w:r>
        <w:rPr>
          <w:rFonts w:asciiTheme="minorEastAsia" w:eastAsiaTheme="minorEastAsia" w:hAnsiTheme="minorEastAsia" w:hint="eastAsia"/>
          <w:lang w:eastAsia="zh-CN"/>
        </w:rPr>
        <w:t>的</w:t>
      </w:r>
      <w:r w:rsidRPr="00BB10F7">
        <w:rPr>
          <w:rFonts w:asciiTheme="minorEastAsia" w:eastAsiaTheme="minorEastAsia" w:hAnsiTheme="minorEastAsia" w:hint="eastAsia"/>
          <w:lang w:eastAsia="zh-CN"/>
        </w:rPr>
        <w:t>参与和贡献，</w:t>
      </w:r>
      <w:r w:rsidR="00A749CD">
        <w:rPr>
          <w:rFonts w:asciiTheme="minorEastAsia" w:eastAsiaTheme="minorEastAsia" w:hAnsiTheme="minorEastAsia" w:hint="eastAsia"/>
          <w:lang w:eastAsia="zh-CN"/>
        </w:rPr>
        <w:t>因为</w:t>
      </w:r>
      <w:r w:rsidR="00305C0F">
        <w:rPr>
          <w:rFonts w:asciiTheme="minorEastAsia" w:eastAsiaTheme="minorEastAsia" w:hAnsiTheme="minorEastAsia" w:hint="eastAsia"/>
          <w:lang w:eastAsia="zh-CN"/>
        </w:rPr>
        <w:t>它们</w:t>
      </w:r>
      <w:r w:rsidR="00EB6DF2">
        <w:rPr>
          <w:rFonts w:hint="eastAsia"/>
          <w:lang w:eastAsia="zh-CN"/>
        </w:rPr>
        <w:t>一直</w:t>
      </w:r>
      <w:r w:rsidR="00A749CD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参与</w:t>
      </w:r>
      <w:r>
        <w:rPr>
          <w:lang w:eastAsia="zh-CN"/>
        </w:rPr>
        <w:t>ISC-</w:t>
      </w:r>
      <w:proofErr w:type="gramStart"/>
      <w:r>
        <w:rPr>
          <w:lang w:eastAsia="zh-CN"/>
        </w:rPr>
        <w:t>TF</w:t>
      </w:r>
      <w:r>
        <w:rPr>
          <w:rFonts w:eastAsiaTheme="minorEastAsia" w:hint="eastAsia"/>
          <w:lang w:eastAsia="zh-CN"/>
        </w:rPr>
        <w:t>会议的讨论；</w:t>
      </w:r>
      <w:proofErr w:type="gramEnd"/>
    </w:p>
    <w:p w14:paraId="3C8C21A5" w14:textId="342FE317" w:rsidR="00E4287E" w:rsidRPr="00204FC1" w:rsidRDefault="00E4287E" w:rsidP="00E4287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协调国际电联出席各种大会和论坛的情况，目的是在保证跨部门利益有所代表的同时，实现国际电联代表团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出席会议合理化；</w:t>
      </w:r>
      <w:proofErr w:type="gramEnd"/>
    </w:p>
    <w:p w14:paraId="66F38FE1" w14:textId="738FC6F6" w:rsidR="00E4287E" w:rsidRPr="00B735DB" w:rsidRDefault="00E4287E" w:rsidP="00E4287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在具体相关领域开展工作，更好地协调国际电联</w:t>
      </w:r>
      <w:r w:rsidR="00EB6DF2">
        <w:rPr>
          <w:rFonts w:hint="eastAsia"/>
          <w:lang w:eastAsia="zh-CN"/>
        </w:rPr>
        <w:t>重大</w:t>
      </w:r>
      <w:r>
        <w:rPr>
          <w:rFonts w:hint="eastAsia"/>
          <w:lang w:eastAsia="zh-CN"/>
        </w:rPr>
        <w:t>活动和会议的组织</w:t>
      </w:r>
      <w:r w:rsidR="00025E90">
        <w:rPr>
          <w:rFonts w:hint="eastAsia"/>
          <w:lang w:eastAsia="zh-CN"/>
        </w:rPr>
        <w:t>；</w:t>
      </w:r>
      <w:r w:rsidR="00CB2E60">
        <w:rPr>
          <w:rFonts w:hint="eastAsia"/>
          <w:lang w:eastAsia="zh-CN"/>
        </w:rPr>
        <w:t>以及</w:t>
      </w:r>
    </w:p>
    <w:p w14:paraId="6527515F" w14:textId="7C938ABE" w:rsidR="00657D3F" w:rsidRDefault="00025E90" w:rsidP="00657D3F">
      <w:pPr>
        <w:pStyle w:val="enumlev1"/>
        <w:rPr>
          <w:rFonts w:ascii="SimSun" w:hAnsi="SimSun" w:cs="SimSun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在国际电联相关网页上，以公开且透明的方式对国际电联在</w:t>
      </w:r>
      <w:r w:rsidR="00CB2E60">
        <w:rPr>
          <w:rFonts w:hint="eastAsia"/>
          <w:lang w:eastAsia="zh-CN"/>
        </w:rPr>
        <w:t>主题</w:t>
      </w:r>
      <w:r>
        <w:rPr>
          <w:rFonts w:hint="eastAsia"/>
          <w:lang w:eastAsia="zh-CN"/>
        </w:rPr>
        <w:t>领域</w:t>
      </w:r>
      <w:r w:rsidR="0086555B">
        <w:rPr>
          <w:rFonts w:hint="eastAsia"/>
          <w:lang w:eastAsia="zh-CN"/>
        </w:rPr>
        <w:t>所做</w:t>
      </w:r>
      <w:r>
        <w:rPr>
          <w:rFonts w:hint="eastAsia"/>
          <w:lang w:eastAsia="zh-CN"/>
        </w:rPr>
        <w:t>工作</w:t>
      </w:r>
      <w:r w:rsidR="00B461D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信息</w:t>
      </w:r>
      <w:r w:rsidR="0086555B">
        <w:rPr>
          <w:rFonts w:hint="eastAsia"/>
          <w:lang w:eastAsia="zh-CN"/>
        </w:rPr>
        <w:t>发布和更新</w:t>
      </w:r>
      <w:r w:rsidR="00DB73C5">
        <w:rPr>
          <w:rFonts w:hint="eastAsia"/>
          <w:lang w:eastAsia="zh-CN"/>
        </w:rPr>
        <w:t>流程</w:t>
      </w:r>
      <w:r>
        <w:rPr>
          <w:rFonts w:hint="eastAsia"/>
          <w:lang w:eastAsia="zh-CN"/>
        </w:rPr>
        <w:t>进行协调</w:t>
      </w:r>
      <w:r w:rsidR="00DB73C5">
        <w:rPr>
          <w:rFonts w:hint="eastAsia"/>
          <w:lang w:eastAsia="zh-CN"/>
        </w:rPr>
        <w:t>，</w:t>
      </w:r>
      <w:r w:rsidR="00657D3F">
        <w:rPr>
          <w:rFonts w:ascii="SimSun" w:hAnsi="SimSun" w:cs="SimSun" w:hint="eastAsia"/>
          <w:lang w:eastAsia="zh-CN"/>
        </w:rPr>
        <w:t>包括在共同的</w:t>
      </w:r>
      <w:hyperlink r:id="rId13" w:history="1">
        <w:r w:rsidR="00657D3F">
          <w:rPr>
            <w:rStyle w:val="Hyperlink"/>
            <w:rFonts w:ascii="SimSun" w:hAnsi="SimSun" w:cs="SimSun" w:hint="eastAsia"/>
            <w:lang w:eastAsia="zh-CN"/>
          </w:rPr>
          <w:t>跨部门协调网页</w:t>
        </w:r>
      </w:hyperlink>
      <w:r w:rsidR="00657D3F">
        <w:rPr>
          <w:rFonts w:ascii="SimSun" w:hAnsi="SimSun" w:cs="SimSun" w:hint="eastAsia"/>
          <w:lang w:eastAsia="zh-CN"/>
        </w:rPr>
        <w:t>上</w:t>
      </w:r>
      <w:r w:rsidR="00641A2B">
        <w:rPr>
          <w:rFonts w:ascii="SimSun" w:hAnsi="SimSun" w:cs="SimSun" w:hint="eastAsia"/>
          <w:lang w:eastAsia="zh-CN"/>
        </w:rPr>
        <w:t>发布</w:t>
      </w:r>
      <w:r w:rsidR="00657D3F">
        <w:rPr>
          <w:rFonts w:ascii="SimSun" w:hAnsi="SimSun" w:cs="SimSun" w:hint="eastAsia"/>
          <w:lang w:eastAsia="zh-CN"/>
        </w:rPr>
        <w:t>的跨部门活动</w:t>
      </w:r>
      <w:r w:rsidR="0086555B">
        <w:rPr>
          <w:rFonts w:ascii="SimSun" w:hAnsi="SimSun" w:cs="SimSun" w:hint="eastAsia"/>
          <w:lang w:eastAsia="zh-CN"/>
        </w:rPr>
        <w:t>的</w:t>
      </w:r>
      <w:r w:rsidR="00657D3F">
        <w:rPr>
          <w:rFonts w:ascii="SimSun" w:hAnsi="SimSun" w:cs="SimSun" w:hint="eastAsia"/>
          <w:lang w:eastAsia="zh-CN"/>
        </w:rPr>
        <w:t>综合信息。</w:t>
      </w:r>
      <w:r w:rsidR="0086555B">
        <w:rPr>
          <w:rFonts w:ascii="SimSun" w:hAnsi="SimSun" w:cs="SimSun" w:hint="eastAsia"/>
          <w:lang w:eastAsia="zh-CN"/>
        </w:rPr>
        <w:t xml:space="preserve"> </w:t>
      </w:r>
    </w:p>
    <w:p w14:paraId="28E39BE2" w14:textId="15B8E9D5" w:rsidR="00E4287E" w:rsidRDefault="00E4287E" w:rsidP="00E4287E">
      <w:pPr>
        <w:rPr>
          <w:lang w:eastAsia="zh-CN"/>
        </w:rPr>
      </w:pPr>
      <w:r>
        <w:rPr>
          <w:lang w:eastAsia="zh-CN"/>
        </w:rPr>
        <w:t>2.</w:t>
      </w:r>
      <w:r w:rsidR="00025E90"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此外，任务组</w:t>
      </w:r>
      <w:r w:rsidR="008B79D3">
        <w:rPr>
          <w:rFonts w:hint="eastAsia"/>
          <w:lang w:eastAsia="zh-CN"/>
        </w:rPr>
        <w:t>在这一年</w:t>
      </w:r>
      <w:r>
        <w:rPr>
          <w:rFonts w:hint="eastAsia"/>
          <w:lang w:eastAsia="zh-CN"/>
        </w:rPr>
        <w:t>取得了以下成果：</w:t>
      </w:r>
    </w:p>
    <w:p w14:paraId="3EDFEB38" w14:textId="16E2E7FE" w:rsidR="00E4287E" w:rsidRPr="00204FC1" w:rsidRDefault="00E4287E" w:rsidP="00E4287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B80538">
        <w:rPr>
          <w:rFonts w:eastAsia="STKaiti"/>
          <w:iCs/>
          <w:lang w:eastAsia="zh-CN"/>
        </w:rPr>
        <w:t>跨部门协调战略</w:t>
      </w:r>
      <w:r w:rsidRPr="00B80538">
        <w:rPr>
          <w:rFonts w:asciiTheme="minorEastAsia" w:eastAsiaTheme="minorEastAsia" w:hAnsiTheme="minorEastAsia" w:hint="eastAsia"/>
          <w:iCs/>
          <w:lang w:eastAsia="zh-CN"/>
        </w:rPr>
        <w:t>：</w:t>
      </w:r>
      <w:r w:rsidRPr="00893949">
        <w:rPr>
          <w:lang w:eastAsia="zh-CN"/>
        </w:rPr>
        <w:t>秘书处继续</w:t>
      </w:r>
      <w:r>
        <w:rPr>
          <w:rFonts w:hint="eastAsia"/>
          <w:lang w:eastAsia="zh-CN"/>
        </w:rPr>
        <w:t>开展工作</w:t>
      </w:r>
      <w:r w:rsidRPr="00893949">
        <w:rPr>
          <w:lang w:eastAsia="zh-CN"/>
        </w:rPr>
        <w:t>，</w:t>
      </w:r>
      <w:r w:rsidR="00FF1B79">
        <w:rPr>
          <w:rFonts w:hint="eastAsia"/>
          <w:lang w:eastAsia="zh-CN"/>
        </w:rPr>
        <w:t>通过</w:t>
      </w:r>
      <w:r w:rsidR="00D669F2">
        <w:rPr>
          <w:rFonts w:hint="eastAsia"/>
          <w:lang w:eastAsia="zh-CN"/>
        </w:rPr>
        <w:t>聚焦</w:t>
      </w:r>
      <w:r w:rsidR="004D2780" w:rsidRPr="00893949">
        <w:rPr>
          <w:lang w:eastAsia="zh-CN"/>
        </w:rPr>
        <w:t>《国际电联年度</w:t>
      </w:r>
      <w:r w:rsidR="004D2780">
        <w:rPr>
          <w:rFonts w:hint="eastAsia"/>
          <w:lang w:eastAsia="zh-CN"/>
        </w:rPr>
        <w:t>工作</w:t>
      </w:r>
      <w:r w:rsidR="004D2780" w:rsidRPr="00893949">
        <w:rPr>
          <w:lang w:eastAsia="zh-CN"/>
        </w:rPr>
        <w:t>报告》</w:t>
      </w:r>
      <w:r w:rsidR="004D2780">
        <w:rPr>
          <w:rFonts w:hint="eastAsia"/>
          <w:lang w:eastAsia="zh-CN"/>
        </w:rPr>
        <w:t>（</w:t>
      </w:r>
      <w:hyperlink r:id="rId14" w:history="1">
        <w:r w:rsidR="004D2780" w:rsidRPr="004526AB">
          <w:rPr>
            <w:rStyle w:val="Hyperlink"/>
            <w:lang w:eastAsia="zh-CN"/>
          </w:rPr>
          <w:t>C21/35</w:t>
        </w:r>
      </w:hyperlink>
      <w:r w:rsidR="004D2780">
        <w:rPr>
          <w:rFonts w:hint="eastAsia"/>
          <w:lang w:eastAsia="zh-CN"/>
        </w:rPr>
        <w:t>号</w:t>
      </w:r>
      <w:r w:rsidR="004D2780" w:rsidRPr="00893949">
        <w:rPr>
          <w:lang w:eastAsia="zh-CN"/>
        </w:rPr>
        <w:t>文件</w:t>
      </w:r>
      <w:r w:rsidR="004D2780">
        <w:rPr>
          <w:rFonts w:hint="eastAsia"/>
          <w:lang w:eastAsia="zh-CN"/>
        </w:rPr>
        <w:t>）中所述的</w:t>
      </w:r>
      <w:r w:rsidR="00FF1B79" w:rsidRPr="00893949">
        <w:rPr>
          <w:lang w:eastAsia="zh-CN"/>
        </w:rPr>
        <w:t>共同</w:t>
      </w:r>
      <w:r w:rsidR="00FF1B79">
        <w:rPr>
          <w:rFonts w:hint="eastAsia"/>
          <w:lang w:eastAsia="zh-CN"/>
        </w:rPr>
        <w:t>主题</w:t>
      </w:r>
      <w:r w:rsidR="00FF1B79" w:rsidRPr="00893949">
        <w:rPr>
          <w:lang w:eastAsia="zh-CN"/>
        </w:rPr>
        <w:t>工作领域</w:t>
      </w:r>
      <w:r w:rsidR="00FF1B79">
        <w:rPr>
          <w:rFonts w:hint="eastAsia"/>
          <w:lang w:eastAsia="zh-CN"/>
        </w:rPr>
        <w:t>，</w:t>
      </w:r>
      <w:r w:rsidR="006C5043">
        <w:rPr>
          <w:rFonts w:hint="eastAsia"/>
          <w:lang w:eastAsia="zh-CN"/>
        </w:rPr>
        <w:t>进一步完善</w:t>
      </w:r>
      <w:r>
        <w:rPr>
          <w:rFonts w:hint="eastAsia"/>
          <w:lang w:eastAsia="zh-CN"/>
        </w:rPr>
        <w:t>现行</w:t>
      </w:r>
      <w:r w:rsidR="006C5043">
        <w:rPr>
          <w:rFonts w:hint="eastAsia"/>
          <w:lang w:eastAsia="zh-CN"/>
        </w:rPr>
        <w:t>的</w:t>
      </w:r>
      <w:r w:rsidRPr="00893949">
        <w:rPr>
          <w:lang w:eastAsia="zh-CN"/>
        </w:rPr>
        <w:t>模式</w:t>
      </w:r>
      <w:r w:rsidR="004D2780">
        <w:rPr>
          <w:rFonts w:hint="eastAsia"/>
          <w:lang w:eastAsia="zh-CN"/>
        </w:rPr>
        <w:t>；</w:t>
      </w:r>
      <w:proofErr w:type="gramStart"/>
      <w:r w:rsidRPr="00893949">
        <w:rPr>
          <w:lang w:eastAsia="zh-CN"/>
        </w:rPr>
        <w:t>同时</w:t>
      </w:r>
      <w:r w:rsidR="004D2780">
        <w:rPr>
          <w:rFonts w:hint="eastAsia"/>
          <w:lang w:eastAsia="zh-CN"/>
        </w:rPr>
        <w:t>通过</w:t>
      </w:r>
      <w:r w:rsidR="004D2780" w:rsidRPr="00893949">
        <w:rPr>
          <w:lang w:eastAsia="zh-CN"/>
        </w:rPr>
        <w:t>确定</w:t>
      </w:r>
      <w:r w:rsidR="004D2780" w:rsidRPr="004D2780">
        <w:rPr>
          <w:rFonts w:hint="eastAsia"/>
          <w:lang w:eastAsia="zh-CN"/>
        </w:rPr>
        <w:t>所有参与者</w:t>
      </w:r>
      <w:r w:rsidR="006F4DCE">
        <w:rPr>
          <w:rFonts w:hint="eastAsia"/>
          <w:lang w:eastAsia="zh-CN"/>
        </w:rPr>
        <w:t>均</w:t>
      </w:r>
      <w:r w:rsidR="004D2780" w:rsidRPr="004D2780">
        <w:rPr>
          <w:rFonts w:hint="eastAsia"/>
          <w:lang w:eastAsia="zh-CN"/>
        </w:rPr>
        <w:t>可参与并共同提出</w:t>
      </w:r>
      <w:r w:rsidR="006F4DCE">
        <w:rPr>
          <w:rFonts w:hint="eastAsia"/>
          <w:lang w:eastAsia="zh-CN"/>
        </w:rPr>
        <w:t>改进</w:t>
      </w:r>
      <w:r w:rsidR="00AC7421">
        <w:rPr>
          <w:rFonts w:hint="eastAsia"/>
          <w:lang w:eastAsia="zh-CN"/>
        </w:rPr>
        <w:t>协作</w:t>
      </w:r>
      <w:r w:rsidR="004D2780" w:rsidRPr="004D2780">
        <w:rPr>
          <w:rFonts w:hint="eastAsia"/>
          <w:lang w:eastAsia="zh-CN"/>
        </w:rPr>
        <w:t>方法</w:t>
      </w:r>
      <w:r w:rsidR="00AC7421">
        <w:rPr>
          <w:rFonts w:hint="eastAsia"/>
          <w:lang w:eastAsia="zh-CN"/>
        </w:rPr>
        <w:t>的</w:t>
      </w:r>
      <w:r w:rsidR="004D2780">
        <w:rPr>
          <w:rFonts w:hint="eastAsia"/>
          <w:lang w:eastAsia="zh-CN"/>
        </w:rPr>
        <w:t>“</w:t>
      </w:r>
      <w:proofErr w:type="gramEnd"/>
      <w:r w:rsidR="004D2780">
        <w:rPr>
          <w:rFonts w:hint="eastAsia"/>
          <w:lang w:eastAsia="zh-CN"/>
        </w:rPr>
        <w:t>主题”</w:t>
      </w:r>
      <w:r w:rsidR="00AC7421">
        <w:rPr>
          <w:rFonts w:hint="eastAsia"/>
          <w:lang w:eastAsia="zh-CN"/>
        </w:rPr>
        <w:t>，</w:t>
      </w:r>
      <w:r w:rsidRPr="00893949">
        <w:rPr>
          <w:lang w:eastAsia="zh-CN"/>
        </w:rPr>
        <w:t>与</w:t>
      </w:r>
      <w:r w:rsidRPr="00893949">
        <w:rPr>
          <w:lang w:eastAsia="zh-CN"/>
        </w:rPr>
        <w:t>ISCG</w:t>
      </w:r>
      <w:r w:rsidR="004D2780">
        <w:rPr>
          <w:rFonts w:hint="eastAsia"/>
          <w:lang w:eastAsia="zh-CN"/>
        </w:rPr>
        <w:t>开展协调</w:t>
      </w:r>
      <w:r w:rsidR="00AC7421" w:rsidRPr="00AC7421">
        <w:rPr>
          <w:rFonts w:hint="eastAsia"/>
          <w:lang w:eastAsia="zh-CN"/>
        </w:rPr>
        <w:t>（相关信息见下文关于</w:t>
      </w:r>
      <w:r w:rsidR="00AC7421" w:rsidRPr="00AC7421">
        <w:rPr>
          <w:rFonts w:hint="eastAsia"/>
          <w:lang w:eastAsia="zh-CN"/>
        </w:rPr>
        <w:t>ISCG</w:t>
      </w:r>
      <w:r w:rsidR="00AC7421" w:rsidRPr="00AC7421">
        <w:rPr>
          <w:rFonts w:hint="eastAsia"/>
          <w:lang w:eastAsia="zh-CN"/>
        </w:rPr>
        <w:t>的部分）</w:t>
      </w:r>
      <w:r w:rsidRPr="00893949">
        <w:rPr>
          <w:lang w:eastAsia="zh-CN"/>
        </w:rPr>
        <w:t>。</w:t>
      </w:r>
    </w:p>
    <w:p w14:paraId="5C60A0DF" w14:textId="77777777" w:rsidR="006779D0" w:rsidRDefault="006779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83672EF" w14:textId="6BC414D8" w:rsidR="00D14B43" w:rsidRPr="00781AE7" w:rsidRDefault="00D14B43" w:rsidP="00E4287E">
      <w:pPr>
        <w:pStyle w:val="enumlev1"/>
        <w:rPr>
          <w:rFonts w:eastAsia="Times New Roman" w:cs="Calibri"/>
          <w:b/>
          <w:sz w:val="22"/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37181B" w:rsidRPr="0036629E">
        <w:rPr>
          <w:rFonts w:ascii="STKaiti" w:eastAsia="STKaiti" w:hAnsi="STKaiti"/>
          <w:iCs/>
          <w:lang w:eastAsia="zh-CN"/>
        </w:rPr>
        <w:t>应</w:t>
      </w:r>
      <w:r w:rsidR="0037181B" w:rsidRPr="0036629E">
        <w:rPr>
          <w:rFonts w:ascii="STKaiti" w:eastAsia="STKaiti" w:hAnsi="STKaiti" w:hint="eastAsia"/>
          <w:iCs/>
          <w:lang w:eastAsia="zh-CN"/>
        </w:rPr>
        <w:t>对</w:t>
      </w:r>
      <w:r w:rsidR="002258A1">
        <w:rPr>
          <w:rFonts w:ascii="STKaiti" w:eastAsia="STKaiti" w:hAnsi="STKaiti" w:hint="eastAsia"/>
          <w:iCs/>
          <w:lang w:eastAsia="zh-CN"/>
        </w:rPr>
        <w:t>新冠疫情</w:t>
      </w:r>
      <w:r w:rsidR="0037181B" w:rsidRPr="0036629E">
        <w:rPr>
          <w:rFonts w:ascii="STKaiti" w:eastAsia="STKaiti" w:hAnsi="STKaiti"/>
          <w:iCs/>
          <w:lang w:eastAsia="zh-CN"/>
        </w:rPr>
        <w:t>的</w:t>
      </w:r>
      <w:r w:rsidR="0037181B" w:rsidRPr="0036629E">
        <w:rPr>
          <w:rFonts w:ascii="STKaiti" w:eastAsia="STKaiti" w:hAnsi="STKaiti" w:hint="eastAsia"/>
          <w:iCs/>
          <w:lang w:eastAsia="zh-CN"/>
        </w:rPr>
        <w:t>跨</w:t>
      </w:r>
      <w:r w:rsidR="0037181B" w:rsidRPr="0036629E">
        <w:rPr>
          <w:rFonts w:ascii="STKaiti" w:eastAsia="STKaiti" w:hAnsi="STKaiti"/>
          <w:iCs/>
          <w:lang w:eastAsia="zh-CN"/>
        </w:rPr>
        <w:t>部门协调机制</w:t>
      </w:r>
      <w:r w:rsidR="0037181B" w:rsidRPr="00393F9D">
        <w:rPr>
          <w:rFonts w:hint="eastAsia"/>
          <w:iCs/>
          <w:lang w:eastAsia="zh-CN"/>
        </w:rPr>
        <w:t>：</w:t>
      </w:r>
    </w:p>
    <w:p w14:paraId="2B6AC246" w14:textId="248946BC" w:rsidR="008F65DC" w:rsidRDefault="00D14B43" w:rsidP="00D14B43">
      <w:pPr>
        <w:pStyle w:val="enumlev2"/>
        <w:tabs>
          <w:tab w:val="clear" w:pos="794"/>
          <w:tab w:val="clear" w:pos="1191"/>
          <w:tab w:val="left" w:pos="1134"/>
        </w:tabs>
        <w:ind w:left="1134" w:hanging="340"/>
        <w:rPr>
          <w:lang w:val="en-US" w:eastAsia="zh-CN"/>
        </w:rPr>
      </w:pPr>
      <w:r w:rsidRPr="00D14B43">
        <w:rPr>
          <w:lang w:val="en-US" w:eastAsia="zh-CN"/>
        </w:rPr>
        <w:t>a)</w:t>
      </w:r>
      <w:r>
        <w:rPr>
          <w:lang w:val="en-US" w:eastAsia="zh-CN"/>
        </w:rPr>
        <w:tab/>
      </w:r>
      <w:r w:rsidR="00974231">
        <w:rPr>
          <w:rFonts w:hint="eastAsia"/>
          <w:lang w:val="en-US" w:eastAsia="zh-CN"/>
        </w:rPr>
        <w:t>新冠疫情</w:t>
      </w:r>
      <w:r w:rsidR="008F65DC" w:rsidRPr="008F65DC">
        <w:rPr>
          <w:rFonts w:hint="eastAsia"/>
          <w:lang w:val="en-US" w:eastAsia="zh-CN"/>
        </w:rPr>
        <w:t>相关活动</w:t>
      </w:r>
      <w:r w:rsidR="00974231">
        <w:rPr>
          <w:rFonts w:hint="eastAsia"/>
          <w:lang w:val="en-US" w:eastAsia="zh-CN"/>
        </w:rPr>
        <w:t>的</w:t>
      </w:r>
      <w:r w:rsidR="00974231">
        <w:rPr>
          <w:rFonts w:hint="eastAsia"/>
          <w:lang w:eastAsia="zh-CN"/>
        </w:rPr>
        <w:t>跨</w:t>
      </w:r>
      <w:r w:rsidR="00974231" w:rsidRPr="00893949">
        <w:rPr>
          <w:lang w:eastAsia="zh-CN"/>
        </w:rPr>
        <w:t>部门小组</w:t>
      </w:r>
      <w:r w:rsidR="008F65DC" w:rsidRPr="008F65DC">
        <w:rPr>
          <w:rFonts w:hint="eastAsia"/>
          <w:lang w:val="en-US" w:eastAsia="zh-CN"/>
        </w:rPr>
        <w:t>，即</w:t>
      </w:r>
      <w:r w:rsidR="00974231">
        <w:rPr>
          <w:rFonts w:hint="eastAsia"/>
          <w:lang w:eastAsia="zh-CN"/>
        </w:rPr>
        <w:t>“</w:t>
      </w:r>
      <w:r w:rsidR="00974231" w:rsidRPr="00893949">
        <w:rPr>
          <w:lang w:eastAsia="zh-CN"/>
        </w:rPr>
        <w:t>国际电联</w:t>
      </w:r>
      <w:r w:rsidR="00974231">
        <w:rPr>
          <w:rFonts w:hint="eastAsia"/>
          <w:lang w:eastAsia="zh-CN"/>
        </w:rPr>
        <w:t>新冠疫情应对</w:t>
      </w:r>
      <w:r w:rsidR="00974231" w:rsidRPr="00893949">
        <w:rPr>
          <w:lang w:eastAsia="zh-CN"/>
        </w:rPr>
        <w:t>小组</w:t>
      </w:r>
      <w:r w:rsidR="00974231">
        <w:rPr>
          <w:rFonts w:hint="eastAsia"/>
          <w:lang w:eastAsia="zh-CN"/>
        </w:rPr>
        <w:t>”</w:t>
      </w:r>
      <w:r w:rsidR="008F65DC" w:rsidRPr="008F65DC">
        <w:rPr>
          <w:rFonts w:hint="eastAsia"/>
          <w:lang w:val="en-US" w:eastAsia="zh-CN"/>
        </w:rPr>
        <w:t>，继续</w:t>
      </w:r>
      <w:r w:rsidR="00974231">
        <w:rPr>
          <w:rFonts w:hint="eastAsia"/>
          <w:lang w:val="en-US" w:eastAsia="zh-CN"/>
        </w:rPr>
        <w:t>开展</w:t>
      </w:r>
      <w:r w:rsidR="008F65DC" w:rsidRPr="008F65DC">
        <w:rPr>
          <w:rFonts w:hint="eastAsia"/>
          <w:lang w:val="en-US" w:eastAsia="zh-CN"/>
        </w:rPr>
        <w:t>三个部门和总秘书处之间信息共享和活动协调</w:t>
      </w:r>
      <w:r w:rsidR="00974231">
        <w:rPr>
          <w:rFonts w:hint="eastAsia"/>
          <w:lang w:val="en-US" w:eastAsia="zh-CN"/>
        </w:rPr>
        <w:t>的工作</w:t>
      </w:r>
      <w:r w:rsidR="008F65DC" w:rsidRPr="008F65DC">
        <w:rPr>
          <w:rFonts w:hint="eastAsia"/>
          <w:lang w:val="en-US" w:eastAsia="zh-CN"/>
        </w:rPr>
        <w:t>。</w:t>
      </w:r>
      <w:r w:rsidR="008F65DC" w:rsidRPr="008F65DC">
        <w:rPr>
          <w:rFonts w:hint="eastAsia"/>
          <w:lang w:val="en-US" w:eastAsia="zh-CN"/>
        </w:rPr>
        <w:t>C21/35</w:t>
      </w:r>
      <w:r w:rsidR="008F65DC" w:rsidRPr="008F65DC">
        <w:rPr>
          <w:rFonts w:hint="eastAsia"/>
          <w:lang w:val="en-US" w:eastAsia="zh-CN"/>
        </w:rPr>
        <w:t>号文件中有一</w:t>
      </w:r>
      <w:r w:rsidR="00974231">
        <w:rPr>
          <w:rFonts w:hint="eastAsia"/>
          <w:lang w:val="en-US" w:eastAsia="zh-CN"/>
        </w:rPr>
        <w:t>节详尽介绍了与新冠疫情有关的</w:t>
      </w:r>
      <w:r w:rsidR="008F65DC" w:rsidRPr="008F65DC">
        <w:rPr>
          <w:rFonts w:hint="eastAsia"/>
          <w:lang w:val="en-US" w:eastAsia="zh-CN"/>
        </w:rPr>
        <w:t>活动</w:t>
      </w:r>
      <w:r w:rsidR="008F65DC" w:rsidRPr="008F65DC">
        <w:rPr>
          <w:rFonts w:hint="eastAsia"/>
          <w:lang w:val="en-US" w:eastAsia="zh-CN"/>
        </w:rPr>
        <w:t>/</w:t>
      </w:r>
      <w:proofErr w:type="gramStart"/>
      <w:r w:rsidR="00974231">
        <w:rPr>
          <w:rFonts w:hint="eastAsia"/>
          <w:lang w:val="en-US" w:eastAsia="zh-CN"/>
        </w:rPr>
        <w:t>应对措施；</w:t>
      </w:r>
      <w:proofErr w:type="gramEnd"/>
    </w:p>
    <w:p w14:paraId="75EC91B9" w14:textId="79F46579" w:rsidR="00D14B43" w:rsidRDefault="00D14B43" w:rsidP="00D14B43">
      <w:pPr>
        <w:pStyle w:val="enumlev2"/>
        <w:tabs>
          <w:tab w:val="clear" w:pos="794"/>
          <w:tab w:val="clear" w:pos="1191"/>
          <w:tab w:val="left" w:pos="1134"/>
        </w:tabs>
        <w:ind w:left="1134" w:hanging="340"/>
        <w:rPr>
          <w:lang w:val="en-US" w:eastAsia="zh-CN"/>
        </w:rPr>
      </w:pPr>
      <w:r w:rsidRPr="00D14B43">
        <w:rPr>
          <w:lang w:val="en-US" w:eastAsia="zh-CN"/>
        </w:rPr>
        <w:t>b)</w:t>
      </w:r>
      <w:r>
        <w:rPr>
          <w:lang w:val="en-US" w:eastAsia="zh-CN"/>
        </w:rPr>
        <w:tab/>
      </w:r>
      <w:r w:rsidR="00974231" w:rsidRPr="00893949">
        <w:rPr>
          <w:lang w:eastAsia="zh-CN"/>
        </w:rPr>
        <w:t>虚拟会议和远程</w:t>
      </w:r>
      <w:r w:rsidR="00AE62B6">
        <w:rPr>
          <w:rFonts w:hint="eastAsia"/>
          <w:lang w:eastAsia="zh-CN"/>
        </w:rPr>
        <w:t>参会</w:t>
      </w:r>
      <w:r w:rsidR="00974231" w:rsidRPr="00893949">
        <w:rPr>
          <w:lang w:eastAsia="zh-CN"/>
        </w:rPr>
        <w:t>的</w:t>
      </w:r>
      <w:r w:rsidR="00974231">
        <w:rPr>
          <w:rFonts w:hint="eastAsia"/>
          <w:lang w:eastAsia="zh-CN"/>
        </w:rPr>
        <w:t>跨</w:t>
      </w:r>
      <w:r w:rsidR="00974231" w:rsidRPr="00893949">
        <w:rPr>
          <w:lang w:eastAsia="zh-CN"/>
        </w:rPr>
        <w:t>部门协调小组</w:t>
      </w:r>
      <w:r w:rsidR="008F65DC" w:rsidRPr="008F65DC">
        <w:rPr>
          <w:rFonts w:hint="eastAsia"/>
          <w:lang w:val="en-US" w:eastAsia="zh-CN"/>
        </w:rPr>
        <w:t>举行了几次会议，并制定了一份综合文件</w:t>
      </w:r>
      <w:r w:rsidR="00974231">
        <w:rPr>
          <w:rFonts w:hint="eastAsia"/>
          <w:lang w:val="en-US" w:eastAsia="zh-CN"/>
        </w:rPr>
        <w:t>：“</w:t>
      </w:r>
      <w:r w:rsidR="00974231">
        <w:rPr>
          <w:rFonts w:cs="Calibri" w:hint="eastAsia"/>
          <w:szCs w:val="24"/>
          <w:lang w:eastAsia="zh-CN"/>
        </w:rPr>
        <w:t>有关</w:t>
      </w:r>
      <w:r w:rsidR="00974231" w:rsidRPr="003858F1">
        <w:rPr>
          <w:rFonts w:cs="Calibri" w:hint="eastAsia"/>
          <w:szCs w:val="24"/>
          <w:lang w:eastAsia="zh-CN"/>
        </w:rPr>
        <w:t>虚拟活动和远程参会的导则和最佳做法</w:t>
      </w:r>
      <w:r w:rsidR="00974231">
        <w:rPr>
          <w:rFonts w:cs="Calibri" w:hint="eastAsia"/>
          <w:szCs w:val="24"/>
          <w:lang w:eastAsia="zh-CN"/>
        </w:rPr>
        <w:t>”</w:t>
      </w:r>
      <w:r w:rsidR="008F65DC" w:rsidRPr="008F65DC">
        <w:rPr>
          <w:rFonts w:hint="eastAsia"/>
          <w:lang w:val="en-US" w:eastAsia="zh-CN"/>
        </w:rPr>
        <w:t>，包括关于使用哪种平台作为电联会议类型</w:t>
      </w:r>
      <w:r w:rsidR="00974231">
        <w:rPr>
          <w:rFonts w:hint="eastAsia"/>
          <w:lang w:val="en-US" w:eastAsia="zh-CN"/>
        </w:rPr>
        <w:t>功能</w:t>
      </w:r>
      <w:r w:rsidR="008F65DC" w:rsidRPr="008F65DC">
        <w:rPr>
          <w:rFonts w:hint="eastAsia"/>
          <w:lang w:val="en-US" w:eastAsia="zh-CN"/>
        </w:rPr>
        <w:t>的建议</w:t>
      </w:r>
      <w:r w:rsidR="00974231">
        <w:rPr>
          <w:rFonts w:hint="eastAsia"/>
          <w:lang w:val="en-US" w:eastAsia="zh-CN"/>
        </w:rPr>
        <w:t>。</w:t>
      </w:r>
    </w:p>
    <w:p w14:paraId="6609ADFC" w14:textId="17B3C289" w:rsidR="006779D0" w:rsidRDefault="00D14B43" w:rsidP="00D14B4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C27F7" w:rsidRPr="00CC27F7">
        <w:rPr>
          <w:rFonts w:ascii="STKaiti" w:eastAsia="STKaiti" w:hAnsi="STKaiti" w:hint="eastAsia"/>
          <w:lang w:eastAsia="zh-CN"/>
        </w:rPr>
        <w:t>重大活动网站</w:t>
      </w:r>
      <w:r w:rsidR="00CC27F7">
        <w:rPr>
          <w:rFonts w:hint="eastAsia"/>
          <w:lang w:eastAsia="zh-CN"/>
        </w:rPr>
        <w:t>：重大活动</w:t>
      </w:r>
      <w:hyperlink r:id="rId15" w:history="1">
        <w:r w:rsidR="006779D0">
          <w:rPr>
            <w:rFonts w:ascii="SimSun" w:hAnsi="SimSun" w:cs="SimSun" w:hint="eastAsia"/>
            <w:color w:val="0000FF"/>
            <w:u w:val="single"/>
            <w:lang w:val="en-US" w:eastAsia="zh-CN"/>
          </w:rPr>
          <w:t>门户网站</w:t>
        </w:r>
      </w:hyperlink>
      <w:r w:rsidR="00CC27F7">
        <w:rPr>
          <w:rFonts w:hint="eastAsia"/>
          <w:lang w:eastAsia="zh-CN"/>
        </w:rPr>
        <w:t>已经更新，</w:t>
      </w:r>
      <w:proofErr w:type="gramStart"/>
      <w:r w:rsidR="00CC27F7">
        <w:rPr>
          <w:rFonts w:hint="eastAsia"/>
          <w:lang w:eastAsia="zh-CN"/>
        </w:rPr>
        <w:t>包括优化了国际电联虚拟公共重大活动；</w:t>
      </w:r>
      <w:proofErr w:type="gramEnd"/>
    </w:p>
    <w:p w14:paraId="6128FBF9" w14:textId="398AAA4B" w:rsidR="00D14B43" w:rsidRPr="00781AE7" w:rsidRDefault="00D14B43" w:rsidP="00D14B4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C27F7" w:rsidRPr="0048454B">
        <w:rPr>
          <w:rFonts w:ascii="STKaiti" w:eastAsia="STKaiti" w:hAnsi="STKaiti" w:hint="eastAsia"/>
          <w:lang w:eastAsia="zh-CN"/>
        </w:rPr>
        <w:t>每个主题/工作领域的网页</w:t>
      </w:r>
      <w:r w:rsidR="00CC27F7">
        <w:rPr>
          <w:rFonts w:hint="eastAsia"/>
          <w:lang w:eastAsia="zh-CN"/>
        </w:rPr>
        <w:t>：关于</w:t>
      </w:r>
      <w:hyperlink r:id="rId16" w:history="1">
        <w:r w:rsidR="006779D0">
          <w:rPr>
            <w:rFonts w:asciiTheme="minorEastAsia" w:eastAsiaTheme="minorEastAsia" w:hAnsiTheme="minorEastAsia" w:hint="eastAsia"/>
            <w:color w:val="0000FF"/>
            <w:u w:val="single"/>
            <w:lang w:eastAsia="zh-CN"/>
          </w:rPr>
          <w:t>“</w:t>
        </w:r>
        <w:r w:rsidR="006779D0">
          <w:rPr>
            <w:rFonts w:ascii="SimSun" w:hAnsi="SimSun" w:cs="SimSun" w:hint="eastAsia"/>
            <w:color w:val="0000FF"/>
            <w:u w:val="single"/>
            <w:lang w:eastAsia="zh-CN"/>
          </w:rPr>
          <w:t>环境与气候变化</w:t>
        </w:r>
        <w:r w:rsidR="006779D0">
          <w:rPr>
            <w:rFonts w:asciiTheme="minorEastAsia" w:eastAsiaTheme="minorEastAsia" w:hAnsiTheme="minorEastAsia" w:hint="eastAsia"/>
            <w:color w:val="0000FF"/>
            <w:u w:val="single"/>
            <w:lang w:eastAsia="zh-CN"/>
          </w:rPr>
          <w:t>”</w:t>
        </w:r>
      </w:hyperlink>
      <w:r w:rsidR="00CC27F7">
        <w:rPr>
          <w:rFonts w:hint="eastAsia"/>
          <w:lang w:eastAsia="zh-CN"/>
        </w:rPr>
        <w:t>和</w:t>
      </w:r>
      <w:hyperlink r:id="rId17" w:history="1">
        <w:r w:rsidR="006779D0">
          <w:rPr>
            <w:rFonts w:asciiTheme="minorEastAsia" w:eastAsiaTheme="minorEastAsia" w:hAnsiTheme="minorEastAsia" w:hint="eastAsia"/>
            <w:color w:val="0000FF"/>
            <w:u w:val="single"/>
            <w:lang w:eastAsia="zh-CN"/>
          </w:rPr>
          <w:t>“</w:t>
        </w:r>
        <w:r w:rsidR="006779D0">
          <w:rPr>
            <w:rFonts w:ascii="SimSun" w:hAnsi="SimSun" w:cs="SimSun" w:hint="eastAsia"/>
            <w:color w:val="0000FF"/>
            <w:u w:val="single"/>
            <w:lang w:eastAsia="zh-CN"/>
          </w:rPr>
          <w:t>应急通信</w:t>
        </w:r>
      </w:hyperlink>
      <w:r w:rsidR="006779D0">
        <w:rPr>
          <w:rFonts w:asciiTheme="minorEastAsia" w:eastAsiaTheme="minorEastAsia" w:hAnsiTheme="minorEastAsia" w:hint="eastAsia"/>
          <w:color w:val="0000FF"/>
          <w:u w:val="single"/>
          <w:lang w:eastAsia="zh-CN"/>
        </w:rPr>
        <w:t>”</w:t>
      </w:r>
      <w:r w:rsidR="00CC27F7">
        <w:rPr>
          <w:rFonts w:hint="eastAsia"/>
          <w:lang w:eastAsia="zh-CN"/>
        </w:rPr>
        <w:t>的单页已经更新，保留了整个国际电联相应活动的所有相关信息</w:t>
      </w:r>
      <w:r w:rsidR="00751DF2">
        <w:rPr>
          <w:rFonts w:hint="eastAsia"/>
          <w:lang w:eastAsia="zh-CN"/>
        </w:rPr>
        <w:t>；</w:t>
      </w:r>
    </w:p>
    <w:p w14:paraId="7C5758EB" w14:textId="1031B6A0" w:rsidR="00D14B43" w:rsidRPr="00D14B43" w:rsidRDefault="00D14B43" w:rsidP="00D14B4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51DF2" w:rsidRPr="00751DF2">
        <w:rPr>
          <w:rFonts w:ascii="STKaiti" w:eastAsia="STKaiti" w:hAnsi="STKaiti" w:hint="eastAsia"/>
          <w:lang w:eastAsia="zh-CN"/>
        </w:rPr>
        <w:t>无障碍获取</w:t>
      </w:r>
      <w:r w:rsidR="00751DF2">
        <w:rPr>
          <w:rFonts w:hint="eastAsia"/>
          <w:lang w:eastAsia="zh-CN"/>
        </w:rPr>
        <w:t>：国际电联的无障碍</w:t>
      </w:r>
      <w:r w:rsidR="008F7852">
        <w:rPr>
          <w:rFonts w:hint="eastAsia"/>
          <w:lang w:eastAsia="zh-CN"/>
        </w:rPr>
        <w:t>获取</w:t>
      </w:r>
      <w:r w:rsidR="00751DF2">
        <w:rPr>
          <w:rFonts w:hint="eastAsia"/>
          <w:lang w:eastAsia="zh-CN"/>
        </w:rPr>
        <w:t>政策正在</w:t>
      </w:r>
      <w:r w:rsidR="008F7852">
        <w:rPr>
          <w:rFonts w:hint="eastAsia"/>
          <w:lang w:eastAsia="zh-CN"/>
        </w:rPr>
        <w:t>进行审查</w:t>
      </w:r>
      <w:r w:rsidR="00751DF2">
        <w:rPr>
          <w:rFonts w:hint="eastAsia"/>
          <w:lang w:eastAsia="zh-CN"/>
        </w:rPr>
        <w:t>，并制定了无障碍</w:t>
      </w:r>
      <w:r w:rsidR="008F7852">
        <w:rPr>
          <w:rFonts w:hint="eastAsia"/>
          <w:lang w:eastAsia="zh-CN"/>
        </w:rPr>
        <w:t>获取</w:t>
      </w:r>
      <w:r w:rsidR="00751DF2">
        <w:rPr>
          <w:rFonts w:hint="eastAsia"/>
          <w:lang w:eastAsia="zh-CN"/>
        </w:rPr>
        <w:t>战略和</w:t>
      </w:r>
      <w:r w:rsidR="00751DF2">
        <w:rPr>
          <w:rFonts w:hint="eastAsia"/>
          <w:lang w:eastAsia="zh-CN"/>
        </w:rPr>
        <w:t>2021-2022</w:t>
      </w:r>
      <w:r w:rsidR="00751DF2">
        <w:rPr>
          <w:rFonts w:hint="eastAsia"/>
          <w:lang w:eastAsia="zh-CN"/>
        </w:rPr>
        <w:t>年的工作计划。此外，将根据</w:t>
      </w:r>
      <w:r w:rsidR="00751DF2">
        <w:rPr>
          <w:rFonts w:hint="eastAsia"/>
          <w:lang w:eastAsia="zh-CN"/>
        </w:rPr>
        <w:t>ITU-T</w:t>
      </w:r>
      <w:r w:rsidR="00751DF2">
        <w:rPr>
          <w:rFonts w:hint="eastAsia"/>
          <w:lang w:eastAsia="zh-CN"/>
        </w:rPr>
        <w:t>的经验，</w:t>
      </w:r>
      <w:r w:rsidR="008F7852">
        <w:rPr>
          <w:rFonts w:hint="eastAsia"/>
          <w:lang w:eastAsia="zh-CN"/>
        </w:rPr>
        <w:t>将</w:t>
      </w:r>
      <w:r w:rsidR="00751DF2">
        <w:rPr>
          <w:rFonts w:hint="eastAsia"/>
          <w:lang w:eastAsia="zh-CN"/>
        </w:rPr>
        <w:t>在</w:t>
      </w:r>
      <w:r w:rsidR="00751DF2">
        <w:rPr>
          <w:rFonts w:hint="eastAsia"/>
          <w:lang w:eastAsia="zh-CN"/>
        </w:rPr>
        <w:t>ISC-</w:t>
      </w:r>
      <w:proofErr w:type="gramStart"/>
      <w:r w:rsidR="00751DF2">
        <w:rPr>
          <w:rFonts w:hint="eastAsia"/>
          <w:lang w:eastAsia="zh-CN"/>
        </w:rPr>
        <w:t>TF</w:t>
      </w:r>
      <w:r w:rsidR="00751DF2">
        <w:rPr>
          <w:rFonts w:hint="eastAsia"/>
          <w:lang w:eastAsia="zh-CN"/>
        </w:rPr>
        <w:t>内部协调开展与虚拟会议有关的无障碍</w:t>
      </w:r>
      <w:r w:rsidR="008F7852">
        <w:rPr>
          <w:rFonts w:hint="eastAsia"/>
          <w:lang w:eastAsia="zh-CN"/>
        </w:rPr>
        <w:t>获取</w:t>
      </w:r>
      <w:r w:rsidR="00AE62B6">
        <w:rPr>
          <w:rFonts w:hint="eastAsia"/>
          <w:lang w:eastAsia="zh-CN"/>
        </w:rPr>
        <w:t>方面的</w:t>
      </w:r>
      <w:r w:rsidR="008F7852">
        <w:rPr>
          <w:rFonts w:hint="eastAsia"/>
          <w:lang w:eastAsia="zh-CN"/>
        </w:rPr>
        <w:t>试验</w:t>
      </w:r>
      <w:r w:rsidR="00751DF2">
        <w:rPr>
          <w:rFonts w:hint="eastAsia"/>
          <w:lang w:eastAsia="zh-CN"/>
        </w:rPr>
        <w:t>；</w:t>
      </w:r>
      <w:proofErr w:type="gramEnd"/>
    </w:p>
    <w:p w14:paraId="095BB4CF" w14:textId="3B941C8E" w:rsidR="00C21F1B" w:rsidRDefault="00D14B43" w:rsidP="00D14B4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F7852" w:rsidRPr="008F7852">
        <w:rPr>
          <w:rFonts w:ascii="STKaiti" w:eastAsia="STKaiti" w:hAnsi="STKaiti" w:hint="eastAsia"/>
          <w:lang w:eastAsia="zh-CN"/>
        </w:rPr>
        <w:t>多语文使用</w:t>
      </w:r>
      <w:r w:rsidR="008F7852">
        <w:rPr>
          <w:rFonts w:hint="eastAsia"/>
          <w:lang w:eastAsia="zh-CN"/>
        </w:rPr>
        <w:t>：该主题组成立于</w:t>
      </w:r>
      <w:r w:rsidR="008F7852">
        <w:rPr>
          <w:rFonts w:hint="eastAsia"/>
          <w:lang w:eastAsia="zh-CN"/>
        </w:rPr>
        <w:t>2020</w:t>
      </w:r>
      <w:r w:rsidR="008F7852">
        <w:rPr>
          <w:rFonts w:hint="eastAsia"/>
          <w:lang w:eastAsia="zh-CN"/>
        </w:rPr>
        <w:t>年，</w:t>
      </w:r>
      <w:r w:rsidR="00C21F1B" w:rsidRPr="00C21F1B">
        <w:rPr>
          <w:rFonts w:hint="eastAsia"/>
          <w:lang w:eastAsia="zh-CN"/>
        </w:rPr>
        <w:t>正在根据</w:t>
      </w:r>
      <w:r w:rsidR="00F41CF5">
        <w:rPr>
          <w:rFonts w:hint="eastAsia"/>
          <w:lang w:eastAsia="zh-CN"/>
        </w:rPr>
        <w:t>从</w:t>
      </w:r>
      <w:r w:rsidR="00C21F1B" w:rsidRPr="00C21F1B">
        <w:rPr>
          <w:rFonts w:hint="eastAsia"/>
          <w:lang w:eastAsia="zh-CN"/>
        </w:rPr>
        <w:t>不同文件</w:t>
      </w:r>
      <w:r w:rsidR="00F41CF5">
        <w:rPr>
          <w:rFonts w:hint="eastAsia"/>
          <w:lang w:eastAsia="zh-CN"/>
        </w:rPr>
        <w:t>拟定</w:t>
      </w:r>
      <w:r w:rsidR="00C21F1B" w:rsidRPr="00C21F1B">
        <w:rPr>
          <w:rFonts w:hint="eastAsia"/>
          <w:lang w:eastAsia="zh-CN"/>
        </w:rPr>
        <w:t>的</w:t>
      </w:r>
      <w:r w:rsidR="00C21F1B">
        <w:rPr>
          <w:rFonts w:hint="eastAsia"/>
          <w:lang w:eastAsia="zh-CN"/>
        </w:rPr>
        <w:t>职责范围</w:t>
      </w:r>
      <w:r w:rsidR="00C21F1B" w:rsidRPr="00C21F1B">
        <w:rPr>
          <w:rFonts w:hint="eastAsia"/>
          <w:lang w:eastAsia="zh-CN"/>
        </w:rPr>
        <w:t>和建议</w:t>
      </w:r>
      <w:r w:rsidR="00C21F1B">
        <w:rPr>
          <w:rFonts w:hint="eastAsia"/>
          <w:lang w:eastAsia="zh-CN"/>
        </w:rPr>
        <w:t>汇总表开展工作。</w:t>
      </w:r>
      <w:r w:rsidR="00C21F1B" w:rsidRPr="00C21F1B">
        <w:rPr>
          <w:rFonts w:hint="eastAsia"/>
          <w:lang w:eastAsia="zh-CN"/>
        </w:rPr>
        <w:t>根据联合国关于使用多种</w:t>
      </w:r>
      <w:r w:rsidR="00C21F1B">
        <w:rPr>
          <w:rFonts w:hint="eastAsia"/>
          <w:lang w:eastAsia="zh-CN"/>
        </w:rPr>
        <w:t>语文</w:t>
      </w:r>
      <w:r w:rsidR="00C21F1B" w:rsidRPr="00C21F1B">
        <w:rPr>
          <w:rFonts w:hint="eastAsia"/>
          <w:lang w:eastAsia="zh-CN"/>
        </w:rPr>
        <w:t>的工作建议</w:t>
      </w:r>
      <w:r w:rsidR="00F41CF5">
        <w:rPr>
          <w:rFonts w:hint="eastAsia"/>
          <w:lang w:eastAsia="zh-CN"/>
        </w:rPr>
        <w:t>要求</w:t>
      </w:r>
      <w:r w:rsidR="00C21F1B" w:rsidRPr="00C21F1B">
        <w:rPr>
          <w:rFonts w:hint="eastAsia"/>
          <w:lang w:eastAsia="zh-CN"/>
        </w:rPr>
        <w:t>制定详细的行动计划，</w:t>
      </w:r>
      <w:proofErr w:type="gramStart"/>
      <w:r w:rsidR="00C21F1B" w:rsidRPr="00C21F1B">
        <w:rPr>
          <w:rFonts w:hint="eastAsia"/>
          <w:lang w:eastAsia="zh-CN"/>
        </w:rPr>
        <w:t>于</w:t>
      </w:r>
      <w:r w:rsidR="00C21F1B" w:rsidRPr="00C21F1B">
        <w:rPr>
          <w:rFonts w:hint="eastAsia"/>
          <w:lang w:eastAsia="zh-CN"/>
        </w:rPr>
        <w:t>2021</w:t>
      </w:r>
      <w:r w:rsidR="00C21F1B" w:rsidRPr="00C21F1B">
        <w:rPr>
          <w:rFonts w:hint="eastAsia"/>
          <w:lang w:eastAsia="zh-CN"/>
        </w:rPr>
        <w:t>年</w:t>
      </w:r>
      <w:r w:rsidR="00C21F1B" w:rsidRPr="00C21F1B">
        <w:rPr>
          <w:rFonts w:hint="eastAsia"/>
          <w:lang w:eastAsia="zh-CN"/>
        </w:rPr>
        <w:t>2</w:t>
      </w:r>
      <w:r w:rsidR="00C21F1B" w:rsidRPr="00C21F1B">
        <w:rPr>
          <w:rFonts w:hint="eastAsia"/>
          <w:lang w:eastAsia="zh-CN"/>
        </w:rPr>
        <w:t>月向</w:t>
      </w:r>
      <w:r w:rsidR="00C21F1B" w:rsidRPr="00C21F1B">
        <w:rPr>
          <w:lang w:eastAsia="zh-CN"/>
        </w:rPr>
        <w:t>理事会语文工作组</w:t>
      </w:r>
      <w:r w:rsidR="00C21F1B" w:rsidRPr="00C21F1B">
        <w:rPr>
          <w:rFonts w:hint="eastAsia"/>
          <w:lang w:eastAsia="zh-CN"/>
        </w:rPr>
        <w:t>提交了一份报告</w:t>
      </w:r>
      <w:r w:rsidR="00F41CF5">
        <w:rPr>
          <w:rFonts w:hint="eastAsia"/>
          <w:lang w:eastAsia="zh-CN"/>
        </w:rPr>
        <w:t>；</w:t>
      </w:r>
      <w:proofErr w:type="gramEnd"/>
    </w:p>
    <w:p w14:paraId="15ADED86" w14:textId="439A36D6" w:rsidR="008F7852" w:rsidRPr="00D14B43" w:rsidRDefault="00D14B43" w:rsidP="008F7852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E039C" w:rsidRPr="00C21F1B">
        <w:rPr>
          <w:rFonts w:ascii="STKaiti" w:eastAsia="STKaiti" w:hAnsi="STKaiti" w:hint="eastAsia"/>
          <w:lang w:eastAsia="zh-CN"/>
        </w:rPr>
        <w:t>联合国系统联合检查组（联检组</w:t>
      </w:r>
      <w:r w:rsidR="001E039C" w:rsidRPr="00C21F1B">
        <w:rPr>
          <w:rFonts w:hint="eastAsia"/>
          <w:lang w:eastAsia="zh-CN"/>
        </w:rPr>
        <w:t>）</w:t>
      </w:r>
      <w:r w:rsidR="001E039C">
        <w:rPr>
          <w:rFonts w:hint="eastAsia"/>
          <w:lang w:eastAsia="zh-CN"/>
        </w:rPr>
        <w:t>：</w:t>
      </w:r>
      <w:r w:rsidR="00C21F1B">
        <w:rPr>
          <w:rFonts w:hint="eastAsia"/>
          <w:lang w:eastAsia="zh-CN"/>
        </w:rPr>
        <w:t>任务组</w:t>
      </w:r>
      <w:r w:rsidR="001E039C">
        <w:rPr>
          <w:rFonts w:hint="eastAsia"/>
          <w:lang w:eastAsia="zh-CN"/>
        </w:rPr>
        <w:t>同意将联检组的报告提交给向理事会报告的</w:t>
      </w:r>
      <w:r w:rsidR="00C21F1B" w:rsidRPr="00C21F1B">
        <w:rPr>
          <w:lang w:eastAsia="zh-CN"/>
        </w:rPr>
        <w:t>理事会财务和人力工作组（</w:t>
      </w:r>
      <w:r w:rsidR="00C21F1B" w:rsidRPr="00C21F1B">
        <w:rPr>
          <w:lang w:eastAsia="zh-CN"/>
        </w:rPr>
        <w:t>CWG-FHR</w:t>
      </w:r>
      <w:r w:rsidR="00C21F1B" w:rsidRPr="00C21F1B">
        <w:rPr>
          <w:lang w:eastAsia="zh-CN"/>
        </w:rPr>
        <w:t>）</w:t>
      </w:r>
      <w:r w:rsidR="001E039C">
        <w:rPr>
          <w:rFonts w:hint="eastAsia"/>
          <w:lang w:eastAsia="zh-CN"/>
        </w:rPr>
        <w:t>，</w:t>
      </w:r>
      <w:proofErr w:type="gramStart"/>
      <w:r w:rsidR="001E039C">
        <w:rPr>
          <w:rFonts w:hint="eastAsia"/>
          <w:lang w:eastAsia="zh-CN"/>
        </w:rPr>
        <w:t>并在每个相关</w:t>
      </w:r>
      <w:r w:rsidR="00C21F1B">
        <w:rPr>
          <w:rFonts w:hint="eastAsia"/>
          <w:lang w:eastAsia="zh-CN"/>
        </w:rPr>
        <w:t>主题</w:t>
      </w:r>
      <w:r w:rsidR="001E039C">
        <w:rPr>
          <w:rFonts w:hint="eastAsia"/>
          <w:lang w:eastAsia="zh-CN"/>
        </w:rPr>
        <w:t>组的讨论中处理具体建议</w:t>
      </w:r>
      <w:r w:rsidR="00F41CF5">
        <w:rPr>
          <w:rFonts w:hint="eastAsia"/>
          <w:lang w:eastAsia="zh-CN"/>
        </w:rPr>
        <w:t>；</w:t>
      </w:r>
      <w:proofErr w:type="gramEnd"/>
    </w:p>
    <w:p w14:paraId="249198C7" w14:textId="27DA3F1A" w:rsidR="00CA3B04" w:rsidRPr="00CA3B04" w:rsidRDefault="00C70534" w:rsidP="00E4287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A3B04" w:rsidRPr="00CA3B04">
        <w:rPr>
          <w:rFonts w:ascii="STKaiti" w:eastAsia="STKaiti" w:hAnsi="STKaiti" w:hint="eastAsia"/>
          <w:lang w:eastAsia="zh-CN"/>
        </w:rPr>
        <w:t>国际电联风险管理框架</w:t>
      </w:r>
      <w:r w:rsidR="00CA3B04">
        <w:rPr>
          <w:rFonts w:hint="eastAsia"/>
          <w:lang w:eastAsia="zh-CN"/>
        </w:rPr>
        <w:t>：在</w:t>
      </w:r>
      <w:r w:rsidR="00CA3B04">
        <w:rPr>
          <w:rFonts w:hint="eastAsia"/>
          <w:lang w:eastAsia="zh-CN"/>
        </w:rPr>
        <w:t>ISC-TF</w:t>
      </w:r>
      <w:r w:rsidR="00CA3B04">
        <w:rPr>
          <w:rFonts w:hint="eastAsia"/>
          <w:lang w:eastAsia="zh-CN"/>
        </w:rPr>
        <w:t>的指导下，成功实施了加强国际电联风险管理框架的行动计划，为评估和监督内部控制机制建立了更好的安排，以实现更有效的监督，并落实了相关的</w:t>
      </w:r>
      <w:r w:rsidR="00CA3B04">
        <w:rPr>
          <w:rFonts w:hint="eastAsia"/>
          <w:lang w:eastAsia="zh-CN"/>
        </w:rPr>
        <w:t>IMAC</w:t>
      </w:r>
      <w:r w:rsidR="00CA3B04">
        <w:rPr>
          <w:rFonts w:hint="eastAsia"/>
          <w:lang w:eastAsia="zh-CN"/>
        </w:rPr>
        <w:t>建议和联检组的风险管理基准（详情见</w:t>
      </w:r>
      <w:r w:rsidR="00FE7D84">
        <w:fldChar w:fldCharType="begin"/>
      </w:r>
      <w:r w:rsidR="00FE7D84">
        <w:instrText xml:space="preserve"> HYPERLINK "https://www.itu.int/md/S20-CL-C-0061/en" </w:instrText>
      </w:r>
      <w:r w:rsidR="00FE7D84">
        <w:fldChar w:fldCharType="separate"/>
      </w:r>
      <w:r w:rsidR="00CA3B04" w:rsidRPr="004526AB">
        <w:rPr>
          <w:rStyle w:val="Hyperlink"/>
          <w:lang w:eastAsia="zh-CN"/>
        </w:rPr>
        <w:t>C21/61</w:t>
      </w:r>
      <w:r w:rsidR="00FE7D84">
        <w:rPr>
          <w:rStyle w:val="Hyperlink"/>
          <w:lang w:eastAsia="zh-CN"/>
        </w:rPr>
        <w:fldChar w:fldCharType="end"/>
      </w:r>
      <w:r w:rsidR="00CA3B04">
        <w:rPr>
          <w:rFonts w:hint="eastAsia"/>
          <w:lang w:eastAsia="zh-CN"/>
        </w:rPr>
        <w:t>号文件</w:t>
      </w:r>
      <w:proofErr w:type="gramStart"/>
      <w:r w:rsidR="00CA3B04">
        <w:rPr>
          <w:rFonts w:hint="eastAsia"/>
          <w:lang w:eastAsia="zh-CN"/>
        </w:rPr>
        <w:t>）</w:t>
      </w:r>
      <w:r w:rsidR="00F41CF5">
        <w:rPr>
          <w:rFonts w:hint="eastAsia"/>
          <w:lang w:eastAsia="zh-CN"/>
        </w:rPr>
        <w:t>；</w:t>
      </w:r>
      <w:proofErr w:type="gramEnd"/>
    </w:p>
    <w:p w14:paraId="3C8B5E95" w14:textId="77777777" w:rsidR="00781AE7" w:rsidRDefault="001C5921" w:rsidP="001C592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452AF" w:rsidRPr="009452AF">
        <w:rPr>
          <w:rFonts w:ascii="STKaiti" w:eastAsia="STKaiti" w:hAnsi="STKaiti" w:cs="Calibri" w:hint="eastAsia"/>
          <w:lang w:eastAsia="zh-CN"/>
        </w:rPr>
        <w:t>国际电联合规性仪表板</w:t>
      </w:r>
      <w:r w:rsidR="009452AF">
        <w:rPr>
          <w:rFonts w:cs="Calibri" w:hint="eastAsia"/>
          <w:lang w:eastAsia="zh-CN"/>
        </w:rPr>
        <w:t>：</w:t>
      </w:r>
      <w:r w:rsidR="0015217A">
        <w:rPr>
          <w:rFonts w:cs="Calibri" w:hint="eastAsia"/>
          <w:lang w:eastAsia="zh-CN"/>
        </w:rPr>
        <w:t>国际电联管理层决定建立组织合规性仪表板，其中</w:t>
      </w:r>
      <w:r w:rsidR="0015217A" w:rsidRPr="00C3218E">
        <w:rPr>
          <w:rFonts w:cs="Calibri" w:hint="eastAsia"/>
          <w:lang w:eastAsia="zh-CN"/>
        </w:rPr>
        <w:t>包括外部审计员、</w:t>
      </w:r>
      <w:r w:rsidR="00C3218E" w:rsidRPr="00C3218E">
        <w:rPr>
          <w:rFonts w:cs="Calibri"/>
          <w:lang w:eastAsia="zh-CN"/>
        </w:rPr>
        <w:t>独立管理顾问委员会</w:t>
      </w:r>
      <w:r w:rsidR="00C3218E" w:rsidRPr="00C3218E">
        <w:rPr>
          <w:rFonts w:cs="Calibri" w:hint="eastAsia"/>
          <w:lang w:eastAsia="zh-CN"/>
        </w:rPr>
        <w:t>、</w:t>
      </w:r>
      <w:r w:rsidR="00C3218E" w:rsidRPr="00C3218E">
        <w:rPr>
          <w:rFonts w:cs="Calibri"/>
          <w:lang w:eastAsia="zh-CN"/>
        </w:rPr>
        <w:t>联检组</w:t>
      </w:r>
      <w:r w:rsidR="0015217A" w:rsidRPr="00C3218E">
        <w:rPr>
          <w:rFonts w:cs="Calibri" w:hint="eastAsia"/>
          <w:lang w:eastAsia="zh-CN"/>
        </w:rPr>
        <w:t>和内部</w:t>
      </w:r>
      <w:r w:rsidR="0015217A">
        <w:rPr>
          <w:rFonts w:cs="Calibri" w:hint="eastAsia"/>
          <w:lang w:eastAsia="zh-CN"/>
        </w:rPr>
        <w:t>审计员的建议。这一工具使国际电联的管理和监督机构（内部审计、外部审计和</w:t>
      </w:r>
      <w:r w:rsidR="0048454B" w:rsidRPr="00C3218E">
        <w:rPr>
          <w:rFonts w:cs="Calibri"/>
          <w:lang w:eastAsia="zh-CN"/>
        </w:rPr>
        <w:t>独立管理顾问委员会</w:t>
      </w:r>
      <w:r w:rsidR="0015217A">
        <w:rPr>
          <w:rFonts w:cs="Calibri" w:hint="eastAsia"/>
          <w:lang w:eastAsia="zh-CN"/>
        </w:rPr>
        <w:t>）能够清楚地了解正在落实的建议、与这些建议有关的风险、关于建议</w:t>
      </w:r>
      <w:r w:rsidR="001F7389">
        <w:rPr>
          <w:rFonts w:cs="Calibri" w:hint="eastAsia"/>
          <w:lang w:eastAsia="zh-CN"/>
        </w:rPr>
        <w:t>落实</w:t>
      </w:r>
      <w:r w:rsidR="0015217A">
        <w:rPr>
          <w:rFonts w:cs="Calibri" w:hint="eastAsia"/>
          <w:lang w:eastAsia="zh-CN"/>
        </w:rPr>
        <w:t>进展的实时信息或减轻剩余风险的信息</w:t>
      </w:r>
      <w:r w:rsidR="009452AF">
        <w:rPr>
          <w:rFonts w:cs="Calibri" w:hint="eastAsia"/>
          <w:lang w:eastAsia="zh-CN"/>
        </w:rPr>
        <w:t>。</w:t>
      </w:r>
      <w:r w:rsidR="009452AF">
        <w:rPr>
          <w:rFonts w:hint="eastAsia"/>
          <w:lang w:eastAsia="zh-CN"/>
        </w:rPr>
        <w:t>该仪表板是对国际电联风险登记册的补充，有助于评估与公开建议有关的所有风险。关于该工具的更多信息，见</w:t>
      </w:r>
      <w:hyperlink r:id="rId18" w:history="1">
        <w:r w:rsidR="009452AF" w:rsidRPr="00901119">
          <w:rPr>
            <w:rStyle w:val="Hyperlink"/>
            <w:lang w:eastAsia="zh-CN"/>
          </w:rPr>
          <w:t>C21/INF/11</w:t>
        </w:r>
      </w:hyperlink>
      <w:proofErr w:type="gramStart"/>
      <w:r w:rsidR="009452AF">
        <w:rPr>
          <w:rFonts w:hint="eastAsia"/>
          <w:lang w:eastAsia="zh-CN"/>
        </w:rPr>
        <w:t>号文件</w:t>
      </w:r>
      <w:r w:rsidR="001F7389">
        <w:rPr>
          <w:rFonts w:hint="eastAsia"/>
          <w:lang w:eastAsia="zh-CN"/>
        </w:rPr>
        <w:t>；</w:t>
      </w:r>
      <w:proofErr w:type="gramEnd"/>
    </w:p>
    <w:p w14:paraId="4D6799FF" w14:textId="12E6D523" w:rsidR="0067419C" w:rsidRPr="001C5921" w:rsidRDefault="001C5921" w:rsidP="001C592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3218E" w:rsidRPr="00C3218E">
        <w:rPr>
          <w:rFonts w:ascii="STKaiti" w:eastAsia="STKaiti" w:hAnsi="STKaiti" w:hint="eastAsia"/>
          <w:lang w:eastAsia="zh-CN"/>
        </w:rPr>
        <w:t>成员、资源筹措和中小企业</w:t>
      </w:r>
      <w:r w:rsidR="00C3218E">
        <w:rPr>
          <w:rFonts w:cs="Calibri" w:hint="eastAsia"/>
          <w:lang w:eastAsia="zh-CN"/>
        </w:rPr>
        <w:t>：</w:t>
      </w:r>
      <w:r w:rsidR="0067419C" w:rsidRPr="0067419C">
        <w:rPr>
          <w:lang w:eastAsia="zh-CN"/>
        </w:rPr>
        <w:t>成功运用</w:t>
      </w:r>
      <w:r w:rsidR="00C3218E">
        <w:rPr>
          <w:rFonts w:hint="eastAsia"/>
          <w:lang w:eastAsia="zh-CN"/>
        </w:rPr>
        <w:t>数字营销技术和新平台，</w:t>
      </w:r>
      <w:proofErr w:type="gramStart"/>
      <w:r w:rsidR="00C3218E">
        <w:rPr>
          <w:rFonts w:hint="eastAsia"/>
          <w:lang w:eastAsia="zh-CN"/>
        </w:rPr>
        <w:t>包括</w:t>
      </w:r>
      <w:r w:rsidR="00010B98">
        <w:rPr>
          <w:rFonts w:hint="eastAsia"/>
          <w:lang w:eastAsia="zh-CN"/>
        </w:rPr>
        <w:t>推出</w:t>
      </w:r>
      <w:r w:rsidR="00C3218E">
        <w:rPr>
          <w:rFonts w:hint="eastAsia"/>
          <w:lang w:eastAsia="zh-CN"/>
        </w:rPr>
        <w:t>“</w:t>
      </w:r>
      <w:proofErr w:type="gramEnd"/>
      <w:r w:rsidR="00C3218E">
        <w:rPr>
          <w:rFonts w:hint="eastAsia"/>
          <w:lang w:eastAsia="zh-CN"/>
        </w:rPr>
        <w:t>我的国际电联”（</w:t>
      </w:r>
      <w:proofErr w:type="spellStart"/>
      <w:r w:rsidR="00C3218E">
        <w:rPr>
          <w:rFonts w:hint="eastAsia"/>
          <w:lang w:eastAsia="zh-CN"/>
        </w:rPr>
        <w:t>MyITU</w:t>
      </w:r>
      <w:proofErr w:type="spellEnd"/>
      <w:r w:rsidR="00C3218E">
        <w:rPr>
          <w:rFonts w:hint="eastAsia"/>
          <w:lang w:eastAsia="zh-CN"/>
        </w:rPr>
        <w:t>），</w:t>
      </w:r>
      <w:r w:rsidR="00010B98">
        <w:rPr>
          <w:rFonts w:hint="eastAsia"/>
          <w:lang w:eastAsia="zh-CN"/>
        </w:rPr>
        <w:t>触达</w:t>
      </w:r>
      <w:r w:rsidR="00C3218E">
        <w:rPr>
          <w:rFonts w:hint="eastAsia"/>
          <w:lang w:eastAsia="zh-CN"/>
        </w:rPr>
        <w:t>新的专业受众，扩大国际电联成员的前景。该组还继续评估中小企业的参与情况，</w:t>
      </w:r>
      <w:r w:rsidR="00C3218E">
        <w:rPr>
          <w:rFonts w:hint="eastAsia"/>
          <w:lang w:eastAsia="zh-CN"/>
        </w:rPr>
        <w:t>2020</w:t>
      </w:r>
      <w:r w:rsidR="00C3218E">
        <w:rPr>
          <w:rFonts w:hint="eastAsia"/>
          <w:lang w:eastAsia="zh-CN"/>
        </w:rPr>
        <w:t>年</w:t>
      </w:r>
      <w:r w:rsidR="00010B98">
        <w:rPr>
          <w:rFonts w:hint="eastAsia"/>
          <w:lang w:eastAsia="zh-CN"/>
        </w:rPr>
        <w:t>有</w:t>
      </w:r>
      <w:r w:rsidR="00C3218E">
        <w:rPr>
          <w:rFonts w:hint="eastAsia"/>
          <w:lang w:eastAsia="zh-CN"/>
        </w:rPr>
        <w:t>23</w:t>
      </w:r>
      <w:r w:rsidR="00C3218E">
        <w:rPr>
          <w:rFonts w:hint="eastAsia"/>
          <w:lang w:eastAsia="zh-CN"/>
        </w:rPr>
        <w:t>个新成员以及</w:t>
      </w:r>
      <w:r w:rsidR="00C3218E">
        <w:rPr>
          <w:rFonts w:hint="eastAsia"/>
          <w:lang w:eastAsia="zh-CN"/>
        </w:rPr>
        <w:t>26</w:t>
      </w:r>
      <w:r w:rsidR="00C3218E">
        <w:rPr>
          <w:rFonts w:hint="eastAsia"/>
          <w:lang w:eastAsia="zh-CN"/>
        </w:rPr>
        <w:t>个</w:t>
      </w:r>
      <w:r w:rsidR="00010B98">
        <w:rPr>
          <w:rFonts w:hint="eastAsia"/>
          <w:lang w:eastAsia="zh-CN"/>
        </w:rPr>
        <w:t>新</w:t>
      </w:r>
      <w:r w:rsidR="001F7389">
        <w:rPr>
          <w:rFonts w:hint="eastAsia"/>
          <w:lang w:eastAsia="zh-CN"/>
        </w:rPr>
        <w:t>的</w:t>
      </w:r>
      <w:r w:rsidR="00010B98">
        <w:rPr>
          <w:rFonts w:hint="eastAsia"/>
          <w:lang w:eastAsia="zh-CN"/>
        </w:rPr>
        <w:t>学术成员</w:t>
      </w:r>
      <w:r w:rsidR="00C3218E">
        <w:rPr>
          <w:rFonts w:hint="eastAsia"/>
          <w:lang w:eastAsia="zh-CN"/>
        </w:rPr>
        <w:t>加入国际电联</w:t>
      </w:r>
      <w:r w:rsidR="00934964">
        <w:rPr>
          <w:rFonts w:hint="eastAsia"/>
          <w:lang w:eastAsia="zh-CN"/>
        </w:rPr>
        <w:t>；</w:t>
      </w:r>
    </w:p>
    <w:p w14:paraId="67859658" w14:textId="0504257F" w:rsidR="009452AF" w:rsidRPr="00010B98" w:rsidRDefault="001C5921" w:rsidP="00010B98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452AF" w:rsidRPr="00010B98">
        <w:rPr>
          <w:rFonts w:ascii="STKaiti" w:eastAsia="STKaiti" w:hAnsi="STKaiti" w:hint="eastAsia"/>
          <w:lang w:eastAsia="zh-CN"/>
        </w:rPr>
        <w:t>新举措</w:t>
      </w:r>
      <w:r w:rsidR="009452AF">
        <w:rPr>
          <w:rFonts w:hint="eastAsia"/>
          <w:lang w:eastAsia="zh-CN"/>
        </w:rPr>
        <w:t>：为了巩固工作成果，提高工作效率，减少主题</w:t>
      </w:r>
      <w:r w:rsidR="009452AF">
        <w:rPr>
          <w:rFonts w:hint="eastAsia"/>
          <w:lang w:eastAsia="zh-CN"/>
        </w:rPr>
        <w:t>/</w:t>
      </w:r>
      <w:r w:rsidR="00CC27F7">
        <w:rPr>
          <w:rFonts w:hint="eastAsia"/>
          <w:lang w:eastAsia="zh-CN"/>
        </w:rPr>
        <w:t>工作</w:t>
      </w:r>
      <w:r w:rsidR="009452AF">
        <w:rPr>
          <w:rFonts w:hint="eastAsia"/>
          <w:lang w:eastAsia="zh-CN"/>
        </w:rPr>
        <w:t>领域的数量，</w:t>
      </w:r>
      <w:r w:rsidR="009452AF">
        <w:rPr>
          <w:rFonts w:hint="eastAsia"/>
          <w:lang w:eastAsia="zh-CN"/>
        </w:rPr>
        <w:t>ISC-TF</w:t>
      </w:r>
      <w:r w:rsidR="009452AF">
        <w:rPr>
          <w:rFonts w:hint="eastAsia"/>
          <w:lang w:eastAsia="zh-CN"/>
        </w:rPr>
        <w:t>同意成立一个数字</w:t>
      </w:r>
      <w:r w:rsidR="001E039C">
        <w:rPr>
          <w:rFonts w:hint="eastAsia"/>
          <w:lang w:eastAsia="zh-CN"/>
        </w:rPr>
        <w:t>化</w:t>
      </w:r>
      <w:r w:rsidR="009452AF">
        <w:rPr>
          <w:rFonts w:hint="eastAsia"/>
          <w:lang w:eastAsia="zh-CN"/>
        </w:rPr>
        <w:t>转型</w:t>
      </w:r>
      <w:r w:rsidR="001E039C">
        <w:rPr>
          <w:rFonts w:hint="eastAsia"/>
          <w:lang w:eastAsia="zh-CN"/>
        </w:rPr>
        <w:t>综合</w:t>
      </w:r>
      <w:r w:rsidR="009452AF">
        <w:rPr>
          <w:rFonts w:hint="eastAsia"/>
          <w:lang w:eastAsia="zh-CN"/>
        </w:rPr>
        <w:t>组，由副秘书长担任主席，三个局的副局长和总秘书处各部门负责人以及其他必要</w:t>
      </w:r>
      <w:r w:rsidR="001E039C">
        <w:rPr>
          <w:rFonts w:hint="eastAsia"/>
          <w:lang w:eastAsia="zh-CN"/>
        </w:rPr>
        <w:t>人员</w:t>
      </w:r>
      <w:r w:rsidR="009452AF">
        <w:rPr>
          <w:rFonts w:hint="eastAsia"/>
          <w:lang w:eastAsia="zh-CN"/>
        </w:rPr>
        <w:t>参加</w:t>
      </w:r>
      <w:r w:rsidR="001E039C">
        <w:rPr>
          <w:rFonts w:hint="eastAsia"/>
          <w:lang w:eastAsia="zh-CN"/>
        </w:rPr>
        <w:t>。</w:t>
      </w:r>
      <w:r w:rsidR="009452AF">
        <w:rPr>
          <w:rFonts w:hint="eastAsia"/>
          <w:lang w:eastAsia="zh-CN"/>
        </w:rPr>
        <w:t>该组应涵盖以下</w:t>
      </w:r>
      <w:r w:rsidR="001E039C">
        <w:rPr>
          <w:rFonts w:hint="eastAsia"/>
          <w:lang w:eastAsia="zh-CN"/>
        </w:rPr>
        <w:t>各</w:t>
      </w:r>
      <w:r w:rsidR="009452AF">
        <w:rPr>
          <w:rFonts w:hint="eastAsia"/>
          <w:lang w:eastAsia="zh-CN"/>
        </w:rPr>
        <w:t>组和主题</w:t>
      </w:r>
      <w:r w:rsidR="001E039C">
        <w:rPr>
          <w:rFonts w:hint="eastAsia"/>
          <w:lang w:eastAsia="zh-CN"/>
        </w:rPr>
        <w:t>：</w:t>
      </w:r>
      <w:r w:rsidR="009452AF">
        <w:rPr>
          <w:rFonts w:hint="eastAsia"/>
          <w:lang w:eastAsia="zh-CN"/>
        </w:rPr>
        <w:t>数字化转型、远程</w:t>
      </w:r>
      <w:r w:rsidR="00934964">
        <w:rPr>
          <w:rFonts w:hint="eastAsia"/>
          <w:lang w:eastAsia="zh-CN"/>
        </w:rPr>
        <w:t>参会</w:t>
      </w:r>
      <w:r w:rsidR="009452AF">
        <w:rPr>
          <w:rFonts w:hint="eastAsia"/>
          <w:lang w:eastAsia="zh-CN"/>
        </w:rPr>
        <w:t>、国际电联新网站和</w:t>
      </w:r>
      <w:r w:rsidR="001E039C">
        <w:rPr>
          <w:rFonts w:hint="eastAsia"/>
          <w:lang w:eastAsia="zh-CN"/>
        </w:rPr>
        <w:t>重大</w:t>
      </w:r>
      <w:r w:rsidR="009452AF">
        <w:rPr>
          <w:rFonts w:hint="eastAsia"/>
          <w:lang w:eastAsia="zh-CN"/>
        </w:rPr>
        <w:t>活动概览页面。</w:t>
      </w:r>
    </w:p>
    <w:p w14:paraId="614F58CB" w14:textId="77777777" w:rsidR="00E4287E" w:rsidRPr="005D3BF3" w:rsidRDefault="00E4287E" w:rsidP="00E4287E">
      <w:pPr>
        <w:pStyle w:val="Heading1"/>
        <w:rPr>
          <w:lang w:eastAsia="zh-CN"/>
        </w:rPr>
      </w:pPr>
      <w:r>
        <w:rPr>
          <w:lang w:eastAsia="zh-CN"/>
        </w:rPr>
        <w:lastRenderedPageBreak/>
        <w:t>3</w:t>
      </w:r>
      <w:r>
        <w:rPr>
          <w:lang w:eastAsia="zh-CN"/>
        </w:rPr>
        <w:tab/>
      </w:r>
      <w:r w:rsidRPr="00AF0A7C">
        <w:rPr>
          <w:rFonts w:hint="eastAsia"/>
          <w:lang w:eastAsia="zh-CN"/>
        </w:rPr>
        <w:t>成员的协调</w:t>
      </w:r>
    </w:p>
    <w:p w14:paraId="3C0E4873" w14:textId="77777777" w:rsidR="00E4287E" w:rsidRPr="0092140E" w:rsidRDefault="00E4287E" w:rsidP="00E4287E">
      <w:pPr>
        <w:rPr>
          <w:rFonts w:cs="Calibri"/>
          <w:highlight w:val="cyan"/>
          <w:lang w:eastAsia="zh-CN"/>
        </w:rPr>
      </w:pPr>
      <w:r w:rsidRPr="0092140E">
        <w:rPr>
          <w:rFonts w:cs="Calibri" w:hint="eastAsia"/>
          <w:szCs w:val="24"/>
          <w:lang w:eastAsia="zh-CN"/>
        </w:rPr>
        <w:t>3.</w:t>
      </w:r>
      <w:r w:rsidRPr="0092140E">
        <w:rPr>
          <w:rFonts w:cs="Calibri"/>
          <w:szCs w:val="24"/>
          <w:lang w:eastAsia="zh-CN"/>
        </w:rPr>
        <w:t>1</w:t>
      </w:r>
      <w:r w:rsidRPr="0092140E">
        <w:rPr>
          <w:rFonts w:cs="Calibri"/>
          <w:szCs w:val="24"/>
          <w:lang w:eastAsia="zh-CN"/>
        </w:rPr>
        <w:tab/>
      </w:r>
      <w:r w:rsidRPr="004F3C1F">
        <w:rPr>
          <w:rFonts w:cs="Calibri"/>
          <w:szCs w:val="24"/>
          <w:lang w:eastAsia="zh-CN"/>
        </w:rPr>
        <w:t>共同关心问题</w:t>
      </w:r>
      <w:hyperlink r:id="rId19" w:history="1">
        <w:r w:rsidRPr="000E3EF7">
          <w:rPr>
            <w:rStyle w:val="Hyperlink"/>
            <w:rFonts w:cs="Calibri" w:hint="eastAsia"/>
            <w:szCs w:val="24"/>
            <w:lang w:eastAsia="zh-CN"/>
          </w:rPr>
          <w:t>跨部门协调组（</w:t>
        </w:r>
        <w:r w:rsidRPr="000E3EF7">
          <w:rPr>
            <w:rStyle w:val="Hyperlink"/>
            <w:rFonts w:cs="Calibri" w:hint="eastAsia"/>
            <w:szCs w:val="24"/>
            <w:lang w:eastAsia="zh-CN"/>
          </w:rPr>
          <w:t>ISCG</w:t>
        </w:r>
        <w:r w:rsidRPr="000E3EF7">
          <w:rPr>
            <w:rStyle w:val="Hyperlink"/>
            <w:rFonts w:cs="Calibri" w:hint="eastAsia"/>
            <w:szCs w:val="24"/>
            <w:lang w:eastAsia="zh-CN"/>
          </w:rPr>
          <w:t>）</w:t>
        </w:r>
      </w:hyperlink>
      <w:r>
        <w:rPr>
          <w:rFonts w:hint="eastAsia"/>
          <w:lang w:eastAsia="zh-CN"/>
        </w:rPr>
        <w:t>由</w:t>
      </w:r>
      <w:r>
        <w:rPr>
          <w:rFonts w:cs="Calibri" w:hint="eastAsia"/>
          <w:szCs w:val="24"/>
          <w:lang w:eastAsia="zh-CN"/>
        </w:rPr>
        <w:t>无线电通信顾问组</w:t>
      </w:r>
      <w:r w:rsidRPr="0092140E">
        <w:rPr>
          <w:rFonts w:cs="Calibri" w:hint="eastAsia"/>
          <w:szCs w:val="24"/>
          <w:lang w:eastAsia="zh-CN"/>
        </w:rPr>
        <w:t>（</w:t>
      </w:r>
      <w:r w:rsidRPr="0092140E">
        <w:rPr>
          <w:rFonts w:cs="Calibri"/>
          <w:szCs w:val="24"/>
          <w:lang w:eastAsia="zh-CN"/>
        </w:rPr>
        <w:t>R</w:t>
      </w:r>
      <w:r>
        <w:rPr>
          <w:rFonts w:cs="Calibri" w:hint="eastAsia"/>
          <w:szCs w:val="24"/>
          <w:lang w:eastAsia="zh-CN"/>
        </w:rPr>
        <w:t>AG</w:t>
      </w:r>
      <w:r w:rsidRPr="0092140E">
        <w:rPr>
          <w:rFonts w:cs="Calibri" w:hint="eastAsia"/>
          <w:szCs w:val="24"/>
          <w:lang w:eastAsia="zh-CN"/>
        </w:rPr>
        <w:t>）、电信标准化</w:t>
      </w:r>
      <w:r w:rsidRPr="00161246">
        <w:rPr>
          <w:rFonts w:hint="eastAsia"/>
          <w:lang w:eastAsia="zh-CN"/>
        </w:rPr>
        <w:t>顾问</w:t>
      </w:r>
      <w:r>
        <w:rPr>
          <w:rFonts w:cs="Calibri" w:hint="eastAsia"/>
          <w:szCs w:val="24"/>
          <w:lang w:eastAsia="zh-CN"/>
        </w:rPr>
        <w:t>组</w:t>
      </w:r>
      <w:r w:rsidRPr="0092140E">
        <w:rPr>
          <w:rFonts w:cs="Calibri" w:hint="eastAsia"/>
          <w:szCs w:val="24"/>
          <w:lang w:eastAsia="zh-CN"/>
        </w:rPr>
        <w:t>（</w:t>
      </w:r>
      <w:r>
        <w:rPr>
          <w:rFonts w:cs="Calibri" w:hint="eastAsia"/>
          <w:szCs w:val="24"/>
          <w:lang w:eastAsia="zh-CN"/>
        </w:rPr>
        <w:t>TSAG</w:t>
      </w:r>
      <w:r w:rsidRPr="0092140E">
        <w:rPr>
          <w:rFonts w:cs="Calibri" w:hint="eastAsia"/>
          <w:szCs w:val="24"/>
          <w:lang w:eastAsia="zh-CN"/>
        </w:rPr>
        <w:t>）和电信发展</w:t>
      </w:r>
      <w:r>
        <w:rPr>
          <w:rFonts w:cs="Calibri" w:hint="eastAsia"/>
          <w:szCs w:val="24"/>
          <w:lang w:eastAsia="zh-CN"/>
        </w:rPr>
        <w:t>顾问组</w:t>
      </w:r>
      <w:r w:rsidRPr="0092140E">
        <w:rPr>
          <w:rFonts w:cs="Calibri" w:hint="eastAsia"/>
          <w:szCs w:val="24"/>
          <w:lang w:eastAsia="zh-CN"/>
        </w:rPr>
        <w:t>（</w:t>
      </w:r>
      <w:r>
        <w:rPr>
          <w:rFonts w:cs="Calibri" w:hint="eastAsia"/>
          <w:szCs w:val="24"/>
          <w:lang w:eastAsia="zh-CN"/>
        </w:rPr>
        <w:t>TDAG</w:t>
      </w:r>
      <w:r>
        <w:rPr>
          <w:rFonts w:cs="Calibri" w:hint="eastAsia"/>
          <w:szCs w:val="24"/>
          <w:lang w:eastAsia="zh-CN"/>
        </w:rPr>
        <w:t>）联合设立。</w:t>
      </w:r>
    </w:p>
    <w:p w14:paraId="0AFE426A" w14:textId="43BF9BFE" w:rsidR="00E4287E" w:rsidRDefault="00E4287E" w:rsidP="00E4287E"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Pr="00EA0810">
        <w:rPr>
          <w:rFonts w:cs="Calibri" w:hint="eastAsia"/>
          <w:szCs w:val="24"/>
          <w:lang w:eastAsia="zh-CN"/>
        </w:rPr>
        <w:t>ISC</w:t>
      </w:r>
      <w:r>
        <w:rPr>
          <w:rFonts w:cs="Calibri" w:hint="eastAsia"/>
          <w:szCs w:val="24"/>
          <w:lang w:eastAsia="zh-CN"/>
        </w:rPr>
        <w:t>G</w:t>
      </w:r>
      <w:r w:rsidRPr="00242C76">
        <w:rPr>
          <w:rFonts w:hint="eastAsia"/>
          <w:lang w:eastAsia="zh-CN"/>
        </w:rPr>
        <w:t>确定</w:t>
      </w:r>
      <w:r w:rsidRPr="00242C76">
        <w:rPr>
          <w:lang w:eastAsia="zh-CN"/>
        </w:rPr>
        <w:t>三个部门</w:t>
      </w:r>
      <w:r w:rsidRPr="00242C76">
        <w:rPr>
          <w:rFonts w:hint="eastAsia"/>
          <w:lang w:eastAsia="zh-CN"/>
        </w:rPr>
        <w:t>和总秘书处</w:t>
      </w:r>
      <w:r w:rsidRPr="00242C76">
        <w:rPr>
          <w:lang w:eastAsia="zh-CN"/>
        </w:rPr>
        <w:t>或</w:t>
      </w:r>
      <w:r w:rsidR="00385DCD">
        <w:rPr>
          <w:rFonts w:hint="eastAsia"/>
          <w:lang w:eastAsia="zh-CN"/>
        </w:rPr>
        <w:t>它们</w:t>
      </w:r>
      <w:r w:rsidRPr="00242C76">
        <w:rPr>
          <w:rFonts w:hint="eastAsia"/>
          <w:lang w:eastAsia="zh-CN"/>
        </w:rPr>
        <w:t>相互之间</w:t>
      </w:r>
      <w:r w:rsidRPr="00242C76">
        <w:rPr>
          <w:lang w:eastAsia="zh-CN"/>
        </w:rPr>
        <w:t>共同</w:t>
      </w:r>
      <w:r w:rsidRPr="00242C76">
        <w:rPr>
          <w:rFonts w:hint="eastAsia"/>
          <w:lang w:eastAsia="zh-CN"/>
        </w:rPr>
        <w:t>关心的</w:t>
      </w:r>
      <w:r w:rsidRPr="00242C76">
        <w:rPr>
          <w:lang w:eastAsia="zh-CN"/>
        </w:rPr>
        <w:t>议题</w:t>
      </w:r>
      <w:r w:rsidRPr="00242C76">
        <w:rPr>
          <w:rFonts w:hint="eastAsia"/>
          <w:lang w:eastAsia="zh-CN"/>
        </w:rPr>
        <w:t>，</w:t>
      </w:r>
      <w:r w:rsidRPr="00242C76">
        <w:rPr>
          <w:lang w:eastAsia="zh-CN"/>
        </w:rPr>
        <w:t>并按照国际电联</w:t>
      </w:r>
      <w:r w:rsidRPr="00242C76">
        <w:rPr>
          <w:rFonts w:hint="eastAsia"/>
          <w:lang w:eastAsia="zh-CN"/>
        </w:rPr>
        <w:t>各届</w:t>
      </w:r>
      <w:r w:rsidRPr="00242C76">
        <w:rPr>
          <w:lang w:eastAsia="zh-CN"/>
        </w:rPr>
        <w:t>全会或</w:t>
      </w:r>
      <w:r w:rsidRPr="00242C76">
        <w:rPr>
          <w:rFonts w:hint="eastAsia"/>
          <w:lang w:eastAsia="zh-CN"/>
        </w:rPr>
        <w:t>大会</w:t>
      </w:r>
      <w:r w:rsidRPr="00242C76">
        <w:rPr>
          <w:lang w:eastAsia="zh-CN"/>
        </w:rPr>
        <w:t>确定的职责</w:t>
      </w:r>
      <w:r w:rsidRPr="00242C76">
        <w:rPr>
          <w:rFonts w:hint="eastAsia"/>
          <w:lang w:eastAsia="zh-CN"/>
        </w:rPr>
        <w:t>范围审议</w:t>
      </w:r>
      <w:r w:rsidRPr="00242C76">
        <w:rPr>
          <w:lang w:eastAsia="zh-CN"/>
        </w:rPr>
        <w:t>（</w:t>
      </w:r>
      <w:r w:rsidRPr="00242C76">
        <w:rPr>
          <w:rFonts w:hint="eastAsia"/>
          <w:lang w:eastAsia="zh-CN"/>
        </w:rPr>
        <w:t>由</w:t>
      </w:r>
      <w:r w:rsidRPr="00242C76">
        <w:rPr>
          <w:lang w:eastAsia="zh-CN"/>
        </w:rPr>
        <w:t>秘书处拟订的）包含三个部门</w:t>
      </w:r>
      <w:r w:rsidRPr="00242C76">
        <w:rPr>
          <w:rFonts w:hint="eastAsia"/>
          <w:lang w:eastAsia="zh-CN"/>
        </w:rPr>
        <w:t>和总秘书处</w:t>
      </w:r>
      <w:r w:rsidRPr="00242C76">
        <w:rPr>
          <w:lang w:eastAsia="zh-CN"/>
        </w:rPr>
        <w:t>共同</w:t>
      </w:r>
      <w:r w:rsidRPr="00242C76">
        <w:rPr>
          <w:rFonts w:hint="eastAsia"/>
          <w:lang w:eastAsia="zh-CN"/>
        </w:rPr>
        <w:t>关心领域的最新</w:t>
      </w:r>
      <w:r>
        <w:rPr>
          <w:lang w:eastAsia="zh-CN"/>
        </w:rPr>
        <w:t>清单</w:t>
      </w:r>
      <w:r>
        <w:rPr>
          <w:rFonts w:hint="eastAsia"/>
          <w:lang w:eastAsia="zh-CN"/>
        </w:rPr>
        <w:t>。</w:t>
      </w:r>
      <w:r w:rsidRPr="00EA0810">
        <w:rPr>
          <w:rFonts w:cs="Calibri" w:hint="eastAsia"/>
          <w:szCs w:val="24"/>
          <w:lang w:eastAsia="zh-CN"/>
        </w:rPr>
        <w:t>ISC</w:t>
      </w:r>
      <w:r>
        <w:rPr>
          <w:rFonts w:cs="Calibri" w:hint="eastAsia"/>
          <w:szCs w:val="24"/>
          <w:lang w:eastAsia="zh-CN"/>
        </w:rPr>
        <w:t>G</w:t>
      </w:r>
      <w:r w:rsidRPr="00AD7E1E">
        <w:rPr>
          <w:rFonts w:hint="eastAsia"/>
          <w:lang w:val="en-US" w:eastAsia="zh-CN"/>
        </w:rPr>
        <w:t>还</w:t>
      </w:r>
      <w:r w:rsidRPr="00AD7E1E">
        <w:rPr>
          <w:rFonts w:hint="eastAsia"/>
          <w:lang w:eastAsia="zh-CN"/>
        </w:rPr>
        <w:t>确定</w:t>
      </w:r>
      <w:r w:rsidRPr="00AD7E1E">
        <w:rPr>
          <w:lang w:eastAsia="zh-CN"/>
        </w:rPr>
        <w:t>加强三个部门</w:t>
      </w:r>
      <w:r w:rsidRPr="00AD7E1E">
        <w:rPr>
          <w:rFonts w:hint="eastAsia"/>
          <w:lang w:eastAsia="zh-CN"/>
        </w:rPr>
        <w:t>和总秘书处</w:t>
      </w:r>
      <w:r w:rsidRPr="00AD7E1E">
        <w:rPr>
          <w:lang w:eastAsia="zh-CN"/>
        </w:rPr>
        <w:t>之间</w:t>
      </w:r>
      <w:r w:rsidRPr="00AD7E1E">
        <w:rPr>
          <w:rFonts w:hint="eastAsia"/>
          <w:lang w:eastAsia="zh-CN"/>
        </w:rPr>
        <w:t>就</w:t>
      </w:r>
      <w:r w:rsidRPr="00AD7E1E">
        <w:rPr>
          <w:lang w:eastAsia="zh-CN"/>
        </w:rPr>
        <w:t>共同</w:t>
      </w:r>
      <w:r w:rsidRPr="00AD7E1E">
        <w:rPr>
          <w:rFonts w:hint="eastAsia"/>
          <w:lang w:eastAsia="zh-CN"/>
        </w:rPr>
        <w:t>关心</w:t>
      </w:r>
      <w:r w:rsidRPr="00AD7E1E">
        <w:rPr>
          <w:lang w:eastAsia="zh-CN"/>
        </w:rPr>
        <w:t>问题</w:t>
      </w:r>
      <w:r w:rsidR="00385DCD">
        <w:rPr>
          <w:rFonts w:hint="eastAsia"/>
          <w:lang w:eastAsia="zh-CN"/>
        </w:rPr>
        <w:t>加强</w:t>
      </w:r>
      <w:r w:rsidRPr="00AD7E1E">
        <w:rPr>
          <w:lang w:eastAsia="zh-CN"/>
        </w:rPr>
        <w:t>合作</w:t>
      </w:r>
      <w:r w:rsidRPr="00AD7E1E">
        <w:rPr>
          <w:rFonts w:hint="eastAsia"/>
          <w:lang w:eastAsia="zh-CN"/>
        </w:rPr>
        <w:t>和</w:t>
      </w:r>
      <w:r w:rsidRPr="00AD7E1E">
        <w:rPr>
          <w:lang w:eastAsia="zh-CN"/>
        </w:rPr>
        <w:t>联合活动所</w:t>
      </w:r>
      <w:r w:rsidRPr="00AD7E1E">
        <w:rPr>
          <w:rFonts w:hint="eastAsia"/>
          <w:lang w:eastAsia="zh-CN"/>
        </w:rPr>
        <w:t>需要</w:t>
      </w:r>
      <w:r w:rsidRPr="00AD7E1E">
        <w:rPr>
          <w:lang w:eastAsia="zh-CN"/>
        </w:rPr>
        <w:t>的机制。</w:t>
      </w:r>
    </w:p>
    <w:p w14:paraId="4B6D0CEE" w14:textId="5FCAE0C5" w:rsidR="00E4287E" w:rsidRDefault="001C5921" w:rsidP="008D572C"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7E0A5B" w:rsidRPr="007E0A5B">
        <w:rPr>
          <w:lang w:eastAsia="zh-CN"/>
        </w:rPr>
        <w:t>自上</w:t>
      </w:r>
      <w:r w:rsidR="00C84F79">
        <w:rPr>
          <w:rFonts w:hint="eastAsia"/>
          <w:lang w:eastAsia="zh-CN"/>
        </w:rPr>
        <w:t>一</w:t>
      </w:r>
      <w:r w:rsidR="007E0A5B" w:rsidRPr="007E0A5B">
        <w:rPr>
          <w:lang w:eastAsia="zh-CN"/>
        </w:rPr>
        <w:t>次向理事会</w:t>
      </w:r>
      <w:r w:rsidR="007E0A5B">
        <w:rPr>
          <w:rFonts w:hint="eastAsia"/>
          <w:lang w:eastAsia="zh-CN"/>
        </w:rPr>
        <w:t>2</w:t>
      </w:r>
      <w:r w:rsidR="007E0A5B">
        <w:rPr>
          <w:lang w:eastAsia="zh-CN"/>
        </w:rPr>
        <w:t>020</w:t>
      </w:r>
      <w:r w:rsidR="007E0A5B">
        <w:rPr>
          <w:rFonts w:hint="eastAsia"/>
          <w:lang w:eastAsia="zh-CN"/>
        </w:rPr>
        <w:t>年会议</w:t>
      </w:r>
      <w:r w:rsidR="007E0A5B" w:rsidRPr="007E0A5B">
        <w:rPr>
          <w:lang w:eastAsia="zh-CN"/>
        </w:rPr>
        <w:t>提交报告以来，</w:t>
      </w:r>
      <w:r w:rsidR="007E0A5B">
        <w:rPr>
          <w:lang w:eastAsia="zh-CN"/>
        </w:rPr>
        <w:t>ISCG</w:t>
      </w:r>
      <w:r w:rsidR="007E0A5B" w:rsidRPr="007E0A5B">
        <w:rPr>
          <w:lang w:eastAsia="zh-CN"/>
        </w:rPr>
        <w:t>举行</w:t>
      </w:r>
      <w:r w:rsidR="00E54DD0">
        <w:rPr>
          <w:rFonts w:hint="eastAsia"/>
          <w:lang w:eastAsia="zh-CN"/>
        </w:rPr>
        <w:t>了</w:t>
      </w:r>
      <w:r w:rsidR="007E0A5B" w:rsidRPr="007E0A5B">
        <w:rPr>
          <w:lang w:eastAsia="zh-CN"/>
        </w:rPr>
        <w:t>两次会议，将于</w:t>
      </w:r>
      <w:r w:rsidR="007E0A5B" w:rsidRPr="007E0A5B">
        <w:rPr>
          <w:lang w:eastAsia="zh-CN"/>
        </w:rPr>
        <w:t>2021</w:t>
      </w:r>
      <w:r w:rsidR="007E0A5B" w:rsidRPr="007E0A5B">
        <w:rPr>
          <w:lang w:eastAsia="zh-CN"/>
        </w:rPr>
        <w:t>年</w:t>
      </w:r>
      <w:r w:rsidR="007E0A5B" w:rsidRPr="007E0A5B">
        <w:rPr>
          <w:lang w:eastAsia="zh-CN"/>
        </w:rPr>
        <w:t>9</w:t>
      </w:r>
      <w:r w:rsidR="007E0A5B" w:rsidRPr="007E0A5B">
        <w:rPr>
          <w:lang w:eastAsia="zh-CN"/>
        </w:rPr>
        <w:t>月</w:t>
      </w:r>
      <w:r w:rsidR="007E0A5B" w:rsidRPr="007E0A5B">
        <w:rPr>
          <w:lang w:eastAsia="zh-CN"/>
        </w:rPr>
        <w:t>1</w:t>
      </w:r>
      <w:r w:rsidR="007E0A5B" w:rsidRPr="007E0A5B">
        <w:rPr>
          <w:lang w:eastAsia="zh-CN"/>
        </w:rPr>
        <w:t>日举行下</w:t>
      </w:r>
      <w:r w:rsidR="007E0A5B">
        <w:rPr>
          <w:rFonts w:hint="eastAsia"/>
          <w:lang w:eastAsia="zh-CN"/>
        </w:rPr>
        <w:t>一</w:t>
      </w:r>
      <w:r w:rsidR="007E0A5B" w:rsidRPr="007E0A5B">
        <w:rPr>
          <w:lang w:eastAsia="zh-CN"/>
        </w:rPr>
        <w:t>次会议。该组在此期间向三个</w:t>
      </w:r>
      <w:r w:rsidR="007E0A5B">
        <w:rPr>
          <w:rFonts w:hint="eastAsia"/>
          <w:lang w:eastAsia="zh-CN"/>
        </w:rPr>
        <w:t>部门的顾问组</w:t>
      </w:r>
      <w:r w:rsidR="00E54DD0">
        <w:rPr>
          <w:rFonts w:hint="eastAsia"/>
          <w:lang w:eastAsia="zh-CN"/>
        </w:rPr>
        <w:t>进行了汇报。</w:t>
      </w:r>
    </w:p>
    <w:p w14:paraId="58EFC24A" w14:textId="2F7ED7EE" w:rsidR="00E4287E" w:rsidRDefault="00E4287E" w:rsidP="00E4287E">
      <w:pPr>
        <w:rPr>
          <w:lang w:eastAsia="zh-CN"/>
        </w:rPr>
      </w:pPr>
      <w:r>
        <w:rPr>
          <w:lang w:eastAsia="zh-CN"/>
        </w:rPr>
        <w:t>3.</w:t>
      </w:r>
      <w:r w:rsidR="001C5921"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Pr="003026E7">
        <w:rPr>
          <w:rFonts w:cstheme="minorHAnsi"/>
          <w:szCs w:val="24"/>
          <w:lang w:eastAsia="zh-CN"/>
        </w:rPr>
        <w:t>ISCG</w:t>
      </w:r>
      <w:proofErr w:type="gramStart"/>
      <w:r w:rsidR="008D572C">
        <w:rPr>
          <w:rFonts w:asciiTheme="minorEastAsia" w:hAnsiTheme="minorEastAsia" w:cs="Microsoft YaHei" w:hint="eastAsia"/>
          <w:szCs w:val="24"/>
          <w:lang w:eastAsia="zh-CN"/>
        </w:rPr>
        <w:t>就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确定</w:t>
      </w:r>
      <w:r>
        <w:rPr>
          <w:rFonts w:asciiTheme="minorEastAsia" w:hAnsiTheme="minorEastAsia" w:cs="Microsoft YaHei" w:hint="eastAsia"/>
          <w:szCs w:val="24"/>
          <w:lang w:eastAsia="zh-CN"/>
        </w:rPr>
        <w:t>跨部门协调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的</w:t>
      </w:r>
      <w:r w:rsidRPr="00FC2C99">
        <w:rPr>
          <w:rFonts w:asciiTheme="minorEastAsia" w:hAnsiTheme="minorEastAsia" w:cs="Calibri"/>
          <w:szCs w:val="24"/>
          <w:lang w:eastAsia="zh-CN"/>
        </w:rPr>
        <w:t>“</w:t>
      </w:r>
      <w:proofErr w:type="gramEnd"/>
      <w:r w:rsidRPr="00FC2C99">
        <w:rPr>
          <w:rFonts w:asciiTheme="minorEastAsia" w:hAnsiTheme="minorEastAsia" w:cs="Microsoft YaHei" w:hint="eastAsia"/>
          <w:szCs w:val="24"/>
          <w:lang w:eastAsia="zh-CN"/>
        </w:rPr>
        <w:t>主题</w:t>
      </w:r>
      <w:r w:rsidRPr="00FC2C99">
        <w:rPr>
          <w:rFonts w:asciiTheme="minorEastAsia" w:hAnsiTheme="minorEastAsia" w:cs="Calibri"/>
          <w:szCs w:val="24"/>
          <w:lang w:eastAsia="zh-CN"/>
        </w:rPr>
        <w:t>”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的想法</w:t>
      </w:r>
      <w:r w:rsidR="008D572C">
        <w:rPr>
          <w:rFonts w:asciiTheme="minorEastAsia" w:hAnsiTheme="minorEastAsia" w:cs="Microsoft YaHei" w:hint="eastAsia"/>
          <w:szCs w:val="24"/>
          <w:lang w:eastAsia="zh-CN"/>
        </w:rPr>
        <w:t>达成一致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，所有参与者（包括</w:t>
      </w:r>
      <w:r>
        <w:rPr>
          <w:rFonts w:asciiTheme="minorEastAsia" w:hAnsiTheme="minorEastAsia" w:cs="Microsoft YaHei" w:hint="eastAsia"/>
          <w:szCs w:val="24"/>
          <w:lang w:eastAsia="zh-CN"/>
        </w:rPr>
        <w:t>各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部门顾问组</w:t>
      </w:r>
      <w:r>
        <w:rPr>
          <w:rFonts w:asciiTheme="minorEastAsia" w:hAnsiTheme="minorEastAsia" w:cs="Microsoft YaHei" w:hint="eastAsia"/>
          <w:szCs w:val="24"/>
          <w:lang w:eastAsia="zh-CN"/>
        </w:rPr>
        <w:t>，</w:t>
      </w:r>
      <w:r w:rsidRPr="00331FC2">
        <w:rPr>
          <w:rFonts w:cstheme="minorHAnsi"/>
          <w:szCs w:val="24"/>
          <w:lang w:eastAsia="zh-CN"/>
        </w:rPr>
        <w:t>ITU-R</w:t>
      </w:r>
      <w:r>
        <w:rPr>
          <w:rFonts w:asciiTheme="minorEastAsia" w:hAnsiTheme="minorEastAsia" w:cs="Microsoft YaHei" w:hint="eastAsia"/>
          <w:szCs w:val="24"/>
          <w:lang w:eastAsia="zh-CN"/>
        </w:rPr>
        <w:t>、</w:t>
      </w:r>
      <w:r w:rsidRPr="00331FC2">
        <w:rPr>
          <w:rFonts w:cstheme="minorHAnsi"/>
          <w:szCs w:val="24"/>
          <w:lang w:eastAsia="zh-CN"/>
        </w:rPr>
        <w:t>ITU-T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和</w:t>
      </w:r>
      <w:r w:rsidRPr="00331FC2">
        <w:rPr>
          <w:rFonts w:cstheme="minorHAnsi"/>
          <w:szCs w:val="24"/>
          <w:lang w:eastAsia="zh-CN"/>
        </w:rPr>
        <w:t>ITU-D</w:t>
      </w:r>
      <w:r>
        <w:rPr>
          <w:rFonts w:cstheme="minorHAnsi" w:hint="eastAsia"/>
          <w:szCs w:val="24"/>
          <w:lang w:eastAsia="zh-CN"/>
        </w:rPr>
        <w:t>各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研究组，研究组顾问和秘书处）将参与确定改进协作的方法，旨在避免重复工作</w:t>
      </w:r>
      <w:r>
        <w:rPr>
          <w:rFonts w:asciiTheme="minorEastAsia" w:hAnsiTheme="minorEastAsia" w:cs="Microsoft YaHei" w:hint="eastAsia"/>
          <w:szCs w:val="24"/>
          <w:lang w:eastAsia="zh-CN"/>
        </w:rPr>
        <w:t>以及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提出前进的方向。</w:t>
      </w:r>
    </w:p>
    <w:p w14:paraId="78B9B3DC" w14:textId="28587D8E" w:rsidR="00285251" w:rsidRDefault="00E4287E" w:rsidP="00E4287E">
      <w:pPr>
        <w:rPr>
          <w:rFonts w:asciiTheme="minorEastAsia" w:hAnsiTheme="minorEastAsia" w:cs="Microsoft YaHei"/>
          <w:szCs w:val="24"/>
          <w:lang w:eastAsia="zh-CN"/>
        </w:rPr>
      </w:pPr>
      <w:r>
        <w:rPr>
          <w:lang w:eastAsia="zh-CN"/>
        </w:rPr>
        <w:t>3.</w:t>
      </w:r>
      <w:r w:rsidR="001C5921">
        <w:rPr>
          <w:rFonts w:hint="eastAsia"/>
          <w:lang w:eastAsia="zh-CN"/>
        </w:rPr>
        <w:t>5</w:t>
      </w:r>
      <w:r>
        <w:rPr>
          <w:lang w:eastAsia="zh-CN"/>
        </w:rPr>
        <w:tab/>
      </w:r>
      <w:r w:rsidR="00285251">
        <w:rPr>
          <w:lang w:eastAsia="zh-CN"/>
        </w:rPr>
        <w:t>2019</w:t>
      </w:r>
      <w:r w:rsidR="00285251">
        <w:rPr>
          <w:rFonts w:hint="eastAsia"/>
          <w:lang w:eastAsia="zh-CN"/>
        </w:rPr>
        <w:t>年，</w:t>
      </w:r>
      <w:r w:rsidRPr="003026E7">
        <w:rPr>
          <w:rFonts w:cstheme="minorHAnsi"/>
          <w:szCs w:val="24"/>
          <w:lang w:eastAsia="zh-CN"/>
        </w:rPr>
        <w:t>ISCG</w:t>
      </w:r>
      <w:proofErr w:type="gramStart"/>
      <w:r w:rsidRPr="00FC2C99">
        <w:rPr>
          <w:rFonts w:asciiTheme="minorEastAsia" w:hAnsiTheme="minorEastAsia" w:cs="Microsoft YaHei" w:hint="eastAsia"/>
          <w:szCs w:val="24"/>
          <w:lang w:eastAsia="zh-CN"/>
        </w:rPr>
        <w:t>决定将</w:t>
      </w:r>
      <w:r w:rsidRPr="00FC2C99">
        <w:rPr>
          <w:rFonts w:asciiTheme="minorEastAsia" w:hAnsiTheme="minorEastAsia" w:cs="Calibri"/>
          <w:szCs w:val="24"/>
          <w:lang w:eastAsia="zh-CN"/>
        </w:rPr>
        <w:t>“</w:t>
      </w:r>
      <w:proofErr w:type="gramEnd"/>
      <w:r w:rsidRPr="00FC2C99">
        <w:rPr>
          <w:rFonts w:asciiTheme="minorEastAsia" w:hAnsiTheme="minorEastAsia" w:cs="Microsoft YaHei" w:hint="eastAsia"/>
          <w:szCs w:val="24"/>
          <w:lang w:eastAsia="zh-CN"/>
        </w:rPr>
        <w:t>气候变化</w:t>
      </w:r>
      <w:r w:rsidRPr="00FC2C99">
        <w:rPr>
          <w:rFonts w:asciiTheme="minorEastAsia" w:hAnsiTheme="minorEastAsia" w:cs="Calibri"/>
          <w:szCs w:val="24"/>
          <w:lang w:eastAsia="zh-CN"/>
        </w:rPr>
        <w:t>”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作为一个试点主题，所有部门</w:t>
      </w:r>
      <w:r w:rsidR="007A3E24">
        <w:rPr>
          <w:rFonts w:asciiTheme="minorEastAsia" w:hAnsiTheme="minorEastAsia" w:cs="Microsoft YaHei" w:hint="eastAsia"/>
          <w:szCs w:val="24"/>
          <w:lang w:eastAsia="zh-CN"/>
        </w:rPr>
        <w:t>均可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参与并</w:t>
      </w:r>
      <w:r>
        <w:rPr>
          <w:rFonts w:asciiTheme="minorEastAsia" w:hAnsiTheme="minorEastAsia" w:cs="Microsoft YaHei" w:hint="eastAsia"/>
          <w:szCs w:val="24"/>
          <w:lang w:eastAsia="zh-CN"/>
        </w:rPr>
        <w:t>开展</w:t>
      </w:r>
      <w:r w:rsidR="00285251">
        <w:rPr>
          <w:rFonts w:asciiTheme="minorEastAsia" w:hAnsiTheme="minorEastAsia" w:cs="Microsoft YaHei" w:hint="eastAsia"/>
          <w:szCs w:val="24"/>
          <w:lang w:eastAsia="zh-CN"/>
        </w:rPr>
        <w:t>协作</w:t>
      </w:r>
      <w:r w:rsidRPr="00FC2C99">
        <w:rPr>
          <w:rFonts w:asciiTheme="minorEastAsia" w:hAnsiTheme="minorEastAsia" w:cs="Microsoft YaHei" w:hint="eastAsia"/>
          <w:szCs w:val="24"/>
          <w:lang w:eastAsia="zh-CN"/>
        </w:rPr>
        <w:t>。</w:t>
      </w:r>
      <w:r w:rsidR="00285251" w:rsidRPr="00285251">
        <w:rPr>
          <w:rFonts w:asciiTheme="minorEastAsia" w:hAnsiTheme="minorEastAsia" w:cs="Microsoft YaHei" w:hint="eastAsia"/>
          <w:szCs w:val="24"/>
          <w:lang w:eastAsia="zh-CN"/>
        </w:rPr>
        <w:t>自那时起，秘书处一直在报告与气候变化有关的活动，以及这些活动</w:t>
      </w:r>
      <w:r w:rsidR="00285251" w:rsidRPr="00D67BC9">
        <w:rPr>
          <w:rFonts w:cstheme="minorHAnsi" w:hint="eastAsia"/>
          <w:szCs w:val="24"/>
          <w:lang w:eastAsia="zh-CN"/>
        </w:rPr>
        <w:t>在</w:t>
      </w:r>
      <w:r w:rsidR="00285251" w:rsidRPr="00D67BC9">
        <w:rPr>
          <w:rFonts w:cstheme="minorHAnsi" w:hint="eastAsia"/>
          <w:szCs w:val="24"/>
          <w:lang w:eastAsia="zh-CN"/>
        </w:rPr>
        <w:t>ISC-TF</w:t>
      </w:r>
      <w:r w:rsidR="00285251" w:rsidRPr="00285251">
        <w:rPr>
          <w:rFonts w:asciiTheme="minorEastAsia" w:hAnsiTheme="minorEastAsia" w:cs="Microsoft YaHei" w:hint="eastAsia"/>
          <w:szCs w:val="24"/>
          <w:lang w:eastAsia="zh-CN"/>
        </w:rPr>
        <w:t>内</w:t>
      </w:r>
      <w:r w:rsidR="00D67BC9">
        <w:rPr>
          <w:rFonts w:asciiTheme="minorEastAsia" w:hAnsiTheme="minorEastAsia" w:cs="Microsoft YaHei" w:hint="eastAsia"/>
          <w:szCs w:val="24"/>
          <w:lang w:eastAsia="zh-CN"/>
        </w:rPr>
        <w:t>的</w:t>
      </w:r>
      <w:r w:rsidR="00285251" w:rsidRPr="00285251">
        <w:rPr>
          <w:rFonts w:asciiTheme="minorEastAsia" w:hAnsiTheme="minorEastAsia" w:cs="Microsoft YaHei" w:hint="eastAsia"/>
          <w:szCs w:val="24"/>
          <w:lang w:eastAsia="zh-CN"/>
        </w:rPr>
        <w:t>协调</w:t>
      </w:r>
      <w:r w:rsidR="00D67BC9">
        <w:rPr>
          <w:rFonts w:asciiTheme="minorEastAsia" w:hAnsiTheme="minorEastAsia" w:cs="Microsoft YaHei" w:hint="eastAsia"/>
          <w:szCs w:val="24"/>
          <w:lang w:eastAsia="zh-CN"/>
        </w:rPr>
        <w:t>情况</w:t>
      </w:r>
      <w:r w:rsidR="00285251" w:rsidRPr="00285251">
        <w:rPr>
          <w:rFonts w:asciiTheme="minorEastAsia" w:hAnsiTheme="minorEastAsia" w:cs="Microsoft YaHei" w:hint="eastAsia"/>
          <w:szCs w:val="24"/>
          <w:lang w:eastAsia="zh-CN"/>
        </w:rPr>
        <w:t>。已经提交了关于这些活动的进展报告，包</w:t>
      </w:r>
      <w:r w:rsidR="00285251" w:rsidRPr="00D67BC9">
        <w:rPr>
          <w:rFonts w:cstheme="minorHAnsi" w:hint="eastAsia"/>
          <w:szCs w:val="24"/>
          <w:lang w:eastAsia="zh-CN"/>
        </w:rPr>
        <w:t>括关于</w:t>
      </w:r>
      <w:r w:rsidR="00D67BC9" w:rsidRPr="00D67BC9">
        <w:rPr>
          <w:rFonts w:cstheme="minorHAnsi" w:hint="eastAsia"/>
          <w:szCs w:val="24"/>
          <w:lang w:eastAsia="zh-CN"/>
        </w:rPr>
        <w:t>“</w:t>
      </w:r>
      <w:r w:rsidR="00285251" w:rsidRPr="00D67BC9">
        <w:rPr>
          <w:rFonts w:cstheme="minorHAnsi" w:hint="eastAsia"/>
          <w:szCs w:val="24"/>
          <w:lang w:eastAsia="zh-CN"/>
        </w:rPr>
        <w:t>环境和气候变化</w:t>
      </w:r>
      <w:r w:rsidR="00D67BC9" w:rsidRPr="00D67BC9">
        <w:rPr>
          <w:rFonts w:cstheme="minorHAnsi" w:hint="eastAsia"/>
          <w:szCs w:val="24"/>
          <w:lang w:eastAsia="zh-CN"/>
        </w:rPr>
        <w:t>”</w:t>
      </w:r>
      <w:r w:rsidR="00285251" w:rsidRPr="00D67BC9">
        <w:rPr>
          <w:rFonts w:cstheme="minorHAnsi" w:hint="eastAsia"/>
          <w:szCs w:val="24"/>
          <w:lang w:eastAsia="zh-CN"/>
        </w:rPr>
        <w:t>的单页</w:t>
      </w:r>
      <w:r w:rsidR="008D572C">
        <w:rPr>
          <w:rFonts w:cstheme="minorHAnsi" w:hint="eastAsia"/>
          <w:szCs w:val="24"/>
          <w:lang w:eastAsia="zh-CN"/>
        </w:rPr>
        <w:t>和</w:t>
      </w:r>
      <w:r w:rsidR="00285251" w:rsidRPr="00D67BC9">
        <w:rPr>
          <w:rFonts w:cstheme="minorHAnsi" w:hint="eastAsia"/>
          <w:szCs w:val="24"/>
          <w:lang w:eastAsia="zh-CN"/>
        </w:rPr>
        <w:t>国际电联正在开展的与环境可持续性有关的内部活动，以及</w:t>
      </w:r>
      <w:r w:rsidR="00285251" w:rsidRPr="00D67BC9">
        <w:rPr>
          <w:rFonts w:cstheme="minorHAnsi" w:hint="eastAsia"/>
          <w:szCs w:val="24"/>
          <w:lang w:eastAsia="zh-CN"/>
        </w:rPr>
        <w:t>2021</w:t>
      </w:r>
      <w:r w:rsidR="00285251" w:rsidRPr="00D67BC9">
        <w:rPr>
          <w:rFonts w:cstheme="minorHAnsi" w:hint="eastAsia"/>
          <w:szCs w:val="24"/>
          <w:lang w:eastAsia="zh-CN"/>
        </w:rPr>
        <w:t>年的统一工作计划。</w:t>
      </w:r>
    </w:p>
    <w:p w14:paraId="39B3376C" w14:textId="5CB441C4" w:rsidR="001C5921" w:rsidRDefault="001C5921" w:rsidP="00E4287E"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 w:rsidR="006F66B3">
        <w:rPr>
          <w:lang w:val="en-US" w:eastAsia="zh-CN"/>
        </w:rPr>
        <w:t>在</w:t>
      </w:r>
      <w:r w:rsidR="006F66B3">
        <w:rPr>
          <w:lang w:val="en-US" w:eastAsia="zh-CN"/>
        </w:rPr>
        <w:t>2021</w:t>
      </w:r>
      <w:r w:rsidR="006F66B3">
        <w:rPr>
          <w:lang w:val="en-US" w:eastAsia="zh-CN"/>
        </w:rPr>
        <w:t>年</w:t>
      </w:r>
      <w:r w:rsidR="006F66B3">
        <w:rPr>
          <w:lang w:val="en-US" w:eastAsia="zh-CN"/>
        </w:rPr>
        <w:t>3</w:t>
      </w:r>
      <w:r w:rsidR="006F66B3">
        <w:rPr>
          <w:lang w:val="en-US" w:eastAsia="zh-CN"/>
        </w:rPr>
        <w:t>月上一次会议上，</w:t>
      </w:r>
      <w:r w:rsidR="006F66B3">
        <w:rPr>
          <w:lang w:val="en-US" w:eastAsia="zh-CN"/>
        </w:rPr>
        <w:t>ISCG</w:t>
      </w:r>
      <w:proofErr w:type="gramStart"/>
      <w:r w:rsidR="006F66B3">
        <w:rPr>
          <w:lang w:val="en-US" w:eastAsia="zh-CN"/>
        </w:rPr>
        <w:t>同意将</w:t>
      </w:r>
      <w:r w:rsidR="00000961">
        <w:rPr>
          <w:rFonts w:hint="eastAsia"/>
          <w:lang w:val="en-US" w:eastAsia="zh-CN"/>
        </w:rPr>
        <w:t>“</w:t>
      </w:r>
      <w:proofErr w:type="gramEnd"/>
      <w:r w:rsidR="006F66B3">
        <w:rPr>
          <w:lang w:val="en-US" w:eastAsia="zh-CN"/>
        </w:rPr>
        <w:t>无障碍获取</w:t>
      </w:r>
      <w:r w:rsidR="00000961">
        <w:rPr>
          <w:rFonts w:hint="eastAsia"/>
          <w:lang w:val="en-US" w:eastAsia="zh-CN"/>
        </w:rPr>
        <w:t>”</w:t>
      </w:r>
      <w:r w:rsidR="006F66B3">
        <w:rPr>
          <w:lang w:val="en-US" w:eastAsia="zh-CN"/>
        </w:rPr>
        <w:t>作为该组</w:t>
      </w:r>
      <w:r w:rsidR="0066205C">
        <w:rPr>
          <w:rFonts w:hint="eastAsia"/>
          <w:lang w:val="en-US" w:eastAsia="zh-CN"/>
        </w:rPr>
        <w:t>的一个</w:t>
      </w:r>
      <w:r w:rsidR="006F66B3">
        <w:rPr>
          <w:lang w:val="en-US" w:eastAsia="zh-CN"/>
        </w:rPr>
        <w:t>新</w:t>
      </w:r>
      <w:r w:rsidR="0066205C">
        <w:rPr>
          <w:rFonts w:hint="eastAsia"/>
          <w:lang w:val="en-US" w:eastAsia="zh-CN"/>
        </w:rPr>
        <w:t>的</w:t>
      </w:r>
      <w:r w:rsidR="006F66B3">
        <w:rPr>
          <w:lang w:val="en-US" w:eastAsia="zh-CN"/>
        </w:rPr>
        <w:t>主题</w:t>
      </w:r>
      <w:r w:rsidR="0066205C">
        <w:rPr>
          <w:rFonts w:hint="eastAsia"/>
          <w:lang w:val="en-US" w:eastAsia="zh-CN"/>
        </w:rPr>
        <w:t>加以审议</w:t>
      </w:r>
      <w:r w:rsidR="006F66B3">
        <w:rPr>
          <w:lang w:val="en-US" w:eastAsia="zh-CN"/>
        </w:rPr>
        <w:t>，</w:t>
      </w:r>
      <w:r w:rsidR="0066205C">
        <w:rPr>
          <w:rFonts w:hint="eastAsia"/>
          <w:lang w:val="en-US" w:eastAsia="zh-CN"/>
        </w:rPr>
        <w:t>供</w:t>
      </w:r>
      <w:r w:rsidR="006F66B3">
        <w:rPr>
          <w:lang w:val="en-US" w:eastAsia="zh-CN"/>
        </w:rPr>
        <w:t>成员确定改进和加强协作的方法</w:t>
      </w:r>
      <w:r w:rsidR="0066205C">
        <w:rPr>
          <w:rFonts w:hint="eastAsia"/>
          <w:lang w:val="en-US" w:eastAsia="zh-CN"/>
        </w:rPr>
        <w:t>。</w:t>
      </w:r>
    </w:p>
    <w:p w14:paraId="2426A034" w14:textId="47D195B5" w:rsidR="001C5921" w:rsidRDefault="001C5921" w:rsidP="00E4287E">
      <w:pPr>
        <w:rPr>
          <w:lang w:val="en-US"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6F66B3">
        <w:rPr>
          <w:lang w:val="en-US" w:eastAsia="zh-CN"/>
        </w:rPr>
        <w:t>ISCG</w:t>
      </w:r>
      <w:r w:rsidR="006F66B3">
        <w:rPr>
          <w:lang w:val="en-US" w:eastAsia="zh-CN"/>
        </w:rPr>
        <w:t>还要求秘书处继续报告其他主题，例如国际电联的新网站</w:t>
      </w:r>
      <w:r w:rsidR="004D23F9">
        <w:rPr>
          <w:rFonts w:hint="eastAsia"/>
          <w:lang w:val="en-US" w:eastAsia="zh-CN"/>
        </w:rPr>
        <w:t>的</w:t>
      </w:r>
      <w:r w:rsidR="006F66B3">
        <w:rPr>
          <w:lang w:val="en-US" w:eastAsia="zh-CN"/>
        </w:rPr>
        <w:t>开发情况，包括三个部门和总秘书处网站</w:t>
      </w:r>
      <w:r w:rsidR="007776D5">
        <w:rPr>
          <w:rFonts w:hint="eastAsia"/>
          <w:lang w:val="en-US" w:eastAsia="zh-CN"/>
        </w:rPr>
        <w:t>的</w:t>
      </w:r>
      <w:r w:rsidR="007776D5">
        <w:rPr>
          <w:lang w:val="en-US" w:eastAsia="zh-CN"/>
        </w:rPr>
        <w:t>协调</w:t>
      </w:r>
      <w:r w:rsidR="007776D5">
        <w:rPr>
          <w:rFonts w:hint="eastAsia"/>
          <w:lang w:val="en-US" w:eastAsia="zh-CN"/>
        </w:rPr>
        <w:t>统一情况</w:t>
      </w:r>
      <w:r w:rsidR="006F66B3">
        <w:rPr>
          <w:lang w:val="en-US" w:eastAsia="zh-CN"/>
        </w:rPr>
        <w:t>以及虚拟会议</w:t>
      </w:r>
      <w:r w:rsidR="00CD21F2">
        <w:rPr>
          <w:rFonts w:hint="eastAsia"/>
          <w:lang w:val="en-US" w:eastAsia="zh-CN"/>
        </w:rPr>
        <w:t>设施的</w:t>
      </w:r>
      <w:r w:rsidR="006F66B3">
        <w:rPr>
          <w:lang w:val="en-US" w:eastAsia="zh-CN"/>
        </w:rPr>
        <w:t>使用</w:t>
      </w:r>
      <w:r w:rsidR="00CD21F2">
        <w:rPr>
          <w:rFonts w:hint="eastAsia"/>
          <w:lang w:val="en-US" w:eastAsia="zh-CN"/>
        </w:rPr>
        <w:t>情况，</w:t>
      </w:r>
      <w:r w:rsidR="00CD21F2" w:rsidRPr="00CD21F2">
        <w:rPr>
          <w:rFonts w:hint="eastAsia"/>
          <w:lang w:val="en-US" w:eastAsia="zh-CN"/>
        </w:rPr>
        <w:t>以期在整个国际电联采取一种可能的</w:t>
      </w:r>
      <w:r w:rsidR="004D23F9">
        <w:rPr>
          <w:rFonts w:hint="eastAsia"/>
          <w:lang w:val="en-US" w:eastAsia="zh-CN"/>
        </w:rPr>
        <w:t>通用</w:t>
      </w:r>
      <w:r w:rsidR="00CD21F2" w:rsidRPr="00CD21F2">
        <w:rPr>
          <w:rFonts w:hint="eastAsia"/>
          <w:lang w:val="en-US" w:eastAsia="zh-CN"/>
        </w:rPr>
        <w:t>方法。</w:t>
      </w:r>
    </w:p>
    <w:p w14:paraId="682F90F5" w14:textId="7C60F80B" w:rsidR="001C5921" w:rsidRDefault="001C5921" w:rsidP="00E4287E">
      <w:pPr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8</w:t>
      </w:r>
      <w:r>
        <w:rPr>
          <w:lang w:eastAsia="zh-CN"/>
        </w:rPr>
        <w:tab/>
      </w:r>
      <w:r w:rsidR="006F66B3">
        <w:rPr>
          <w:lang w:eastAsia="zh-CN"/>
        </w:rPr>
        <w:t>ISCG</w:t>
      </w:r>
      <w:r w:rsidR="00BE16B2">
        <w:rPr>
          <w:rFonts w:hint="eastAsia"/>
          <w:lang w:eastAsia="zh-CN"/>
        </w:rPr>
        <w:t>负责更新</w:t>
      </w:r>
      <w:r w:rsidR="00CD21F2">
        <w:rPr>
          <w:rFonts w:hint="eastAsia"/>
          <w:lang w:eastAsia="zh-CN"/>
        </w:rPr>
        <w:t>对照</w:t>
      </w:r>
      <w:r w:rsidR="006F66B3">
        <w:rPr>
          <w:lang w:eastAsia="zh-CN"/>
        </w:rPr>
        <w:t>表并</w:t>
      </w:r>
      <w:r w:rsidR="00BE16B2">
        <w:rPr>
          <w:rFonts w:hint="eastAsia"/>
          <w:lang w:eastAsia="zh-CN"/>
        </w:rPr>
        <w:t>将其</w:t>
      </w:r>
      <w:r w:rsidR="006F66B3">
        <w:rPr>
          <w:lang w:eastAsia="zh-CN"/>
        </w:rPr>
        <w:t>发布在网站上。</w:t>
      </w:r>
      <w:r w:rsidR="007776D5">
        <w:rPr>
          <w:rFonts w:hint="eastAsia"/>
          <w:lang w:eastAsia="zh-CN"/>
        </w:rPr>
        <w:t>对照</w:t>
      </w:r>
      <w:r w:rsidR="006F66B3">
        <w:rPr>
          <w:lang w:eastAsia="zh-CN"/>
        </w:rPr>
        <w:t>工作的目的是确定国际电联三个部门共同关心的</w:t>
      </w:r>
      <w:r w:rsidR="007776D5">
        <w:rPr>
          <w:rFonts w:hint="eastAsia"/>
          <w:lang w:eastAsia="zh-CN"/>
        </w:rPr>
        <w:t>议题</w:t>
      </w:r>
      <w:r w:rsidR="006F66B3">
        <w:rPr>
          <w:lang w:eastAsia="zh-CN"/>
        </w:rPr>
        <w:t>以及负责这些</w:t>
      </w:r>
      <w:r w:rsidR="007776D5">
        <w:rPr>
          <w:rFonts w:hint="eastAsia"/>
          <w:lang w:eastAsia="zh-CN"/>
        </w:rPr>
        <w:t>议题</w:t>
      </w:r>
      <w:r w:rsidR="006F66B3">
        <w:rPr>
          <w:lang w:eastAsia="zh-CN"/>
        </w:rPr>
        <w:t>的实体。</w:t>
      </w:r>
      <w:r w:rsidR="007776D5">
        <w:rPr>
          <w:rFonts w:hint="eastAsia"/>
          <w:lang w:eastAsia="zh-CN"/>
        </w:rPr>
        <w:t>对照</w:t>
      </w:r>
      <w:r w:rsidR="006F66B3">
        <w:rPr>
          <w:lang w:eastAsia="zh-CN"/>
        </w:rPr>
        <w:t>工作的结果可作为</w:t>
      </w:r>
      <w:r w:rsidR="007776D5">
        <w:rPr>
          <w:rFonts w:hint="eastAsia"/>
          <w:lang w:eastAsia="zh-CN"/>
        </w:rPr>
        <w:t>指南</w:t>
      </w:r>
      <w:r w:rsidR="006F66B3">
        <w:rPr>
          <w:lang w:eastAsia="zh-CN"/>
        </w:rPr>
        <w:t>，</w:t>
      </w:r>
      <w:r w:rsidR="007776D5">
        <w:rPr>
          <w:rFonts w:hint="eastAsia"/>
          <w:lang w:eastAsia="zh-CN"/>
        </w:rPr>
        <w:t>推动国际电联内部就</w:t>
      </w:r>
      <w:r w:rsidR="006F66B3">
        <w:rPr>
          <w:lang w:eastAsia="zh-CN"/>
        </w:rPr>
        <w:t>确定的共同关心的</w:t>
      </w:r>
      <w:r w:rsidR="007776D5">
        <w:rPr>
          <w:rFonts w:hint="eastAsia"/>
          <w:lang w:eastAsia="zh-CN"/>
        </w:rPr>
        <w:t>议题进行更顺畅的</w:t>
      </w:r>
      <w:r w:rsidR="006F66B3">
        <w:rPr>
          <w:lang w:eastAsia="zh-CN"/>
        </w:rPr>
        <w:t>信息交流</w:t>
      </w:r>
      <w:r w:rsidR="007776D5">
        <w:rPr>
          <w:rFonts w:hint="eastAsia"/>
          <w:lang w:eastAsia="zh-CN"/>
        </w:rPr>
        <w:t>。</w:t>
      </w:r>
    </w:p>
    <w:p w14:paraId="5FFEEF9D" w14:textId="4DCD728D" w:rsidR="006F66B3" w:rsidRPr="001C5921" w:rsidRDefault="001C5921" w:rsidP="00E4287E">
      <w:pPr>
        <w:rPr>
          <w:lang w:val="en-US"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9</w:t>
      </w:r>
      <w:r>
        <w:rPr>
          <w:lang w:eastAsia="zh-CN"/>
        </w:rPr>
        <w:tab/>
      </w:r>
      <w:r w:rsidR="007776D5">
        <w:rPr>
          <w:rFonts w:hint="eastAsia"/>
          <w:lang w:eastAsia="zh-CN"/>
        </w:rPr>
        <w:t>跨部门</w:t>
      </w:r>
      <w:r w:rsidR="006F66B3">
        <w:rPr>
          <w:lang w:eastAsia="zh-CN"/>
        </w:rPr>
        <w:t>协调网页中的</w:t>
      </w:r>
      <w:r w:rsidR="006F66B3">
        <w:rPr>
          <w:lang w:eastAsia="zh-CN"/>
        </w:rPr>
        <w:t>ISCG</w:t>
      </w:r>
      <w:r w:rsidR="006F66B3">
        <w:rPr>
          <w:lang w:eastAsia="zh-CN"/>
        </w:rPr>
        <w:t>网站已更新，其中包含新的联系方式（电子邮件：</w:t>
      </w:r>
      <w:hyperlink r:id="rId20" w:history="1">
        <w:r w:rsidR="006F66B3">
          <w:rPr>
            <w:rStyle w:val="Hyperlink"/>
            <w:lang w:eastAsia="zh-CN"/>
          </w:rPr>
          <w:t>iscg@itu.int</w:t>
        </w:r>
      </w:hyperlink>
      <w:r w:rsidR="006F66B3">
        <w:rPr>
          <w:lang w:eastAsia="zh-CN"/>
        </w:rPr>
        <w:t>和邮件</w:t>
      </w:r>
      <w:r w:rsidR="006366BE">
        <w:rPr>
          <w:rFonts w:hint="eastAsia"/>
          <w:lang w:eastAsia="zh-CN"/>
        </w:rPr>
        <w:t>通讯录</w:t>
      </w:r>
      <w:r w:rsidR="006F66B3">
        <w:rPr>
          <w:lang w:eastAsia="zh-CN"/>
        </w:rPr>
        <w:t>）；现在可以通过</w:t>
      </w:r>
      <w:r w:rsidR="006F66B3">
        <w:rPr>
          <w:lang w:eastAsia="zh-CN"/>
        </w:rPr>
        <w:t>TIES</w:t>
      </w:r>
      <w:r w:rsidR="006366BE">
        <w:rPr>
          <w:rFonts w:hint="eastAsia"/>
          <w:lang w:eastAsia="zh-CN"/>
        </w:rPr>
        <w:t>账户</w:t>
      </w:r>
      <w:r w:rsidR="006F66B3">
        <w:rPr>
          <w:lang w:eastAsia="zh-CN"/>
        </w:rPr>
        <w:t>访问这些文件，</w:t>
      </w:r>
      <w:r w:rsidR="00463F55" w:rsidRPr="00463F55">
        <w:rPr>
          <w:rFonts w:hint="eastAsia"/>
          <w:lang w:eastAsia="zh-CN"/>
        </w:rPr>
        <w:t>任何国际电联成员，无论</w:t>
      </w:r>
      <w:r w:rsidR="00463F55">
        <w:rPr>
          <w:rFonts w:hint="eastAsia"/>
          <w:lang w:eastAsia="zh-CN"/>
        </w:rPr>
        <w:t>来自</w:t>
      </w:r>
      <w:r w:rsidR="00463F55" w:rsidRPr="00463F55">
        <w:rPr>
          <w:rFonts w:hint="eastAsia"/>
          <w:lang w:eastAsia="zh-CN"/>
        </w:rPr>
        <w:t>哪个部门，都可以查阅</w:t>
      </w:r>
      <w:r w:rsidR="00463F55">
        <w:rPr>
          <w:rFonts w:hint="eastAsia"/>
          <w:lang w:eastAsia="zh-CN"/>
        </w:rPr>
        <w:t>该</w:t>
      </w:r>
      <w:r w:rsidR="00463F55" w:rsidRPr="00463F55">
        <w:rPr>
          <w:rFonts w:hint="eastAsia"/>
          <w:lang w:eastAsia="zh-CN"/>
        </w:rPr>
        <w:t>网站上</w:t>
      </w:r>
      <w:r w:rsidR="00463F55">
        <w:rPr>
          <w:rFonts w:hint="eastAsia"/>
          <w:lang w:eastAsia="zh-CN"/>
        </w:rPr>
        <w:t>发布的与跨部门</w:t>
      </w:r>
      <w:r w:rsidR="00463F55" w:rsidRPr="00463F55">
        <w:rPr>
          <w:rFonts w:hint="eastAsia"/>
          <w:lang w:eastAsia="zh-CN"/>
        </w:rPr>
        <w:t>协调相关</w:t>
      </w:r>
      <w:r w:rsidR="00463F55">
        <w:rPr>
          <w:rFonts w:hint="eastAsia"/>
          <w:lang w:eastAsia="zh-CN"/>
        </w:rPr>
        <w:t>的</w:t>
      </w:r>
      <w:r w:rsidR="00463F55" w:rsidRPr="00463F55">
        <w:rPr>
          <w:rFonts w:hint="eastAsia"/>
          <w:lang w:eastAsia="zh-CN"/>
        </w:rPr>
        <w:t>文件。秘书处仍在努力改进所提供的关于会议</w:t>
      </w:r>
      <w:r w:rsidR="00463F55">
        <w:rPr>
          <w:rFonts w:hint="eastAsia"/>
          <w:lang w:eastAsia="zh-CN"/>
        </w:rPr>
        <w:t>详情</w:t>
      </w:r>
      <w:r w:rsidR="00463F55" w:rsidRPr="00463F55">
        <w:rPr>
          <w:rFonts w:hint="eastAsia"/>
          <w:lang w:eastAsia="zh-CN"/>
        </w:rPr>
        <w:t>和注册的信息。</w:t>
      </w:r>
    </w:p>
    <w:p w14:paraId="59FF7F55" w14:textId="77777777" w:rsidR="001C5921" w:rsidRDefault="001C5921" w:rsidP="00E4287E">
      <w:pPr>
        <w:rPr>
          <w:lang w:eastAsia="zh-CN"/>
        </w:rPr>
      </w:pPr>
    </w:p>
    <w:p w14:paraId="2753AA7A" w14:textId="72C661DC" w:rsidR="00E378D8" w:rsidRPr="007A6869" w:rsidRDefault="009F2D04" w:rsidP="00E73C0B">
      <w:pPr>
        <w:jc w:val="center"/>
        <w:rPr>
          <w:lang w:val="en-US" w:eastAsia="zh-CN"/>
        </w:rPr>
      </w:pPr>
      <w:r>
        <w:t>______________</w:t>
      </w:r>
    </w:p>
    <w:sectPr w:rsidR="00E378D8" w:rsidRPr="007A6869" w:rsidSect="006C36CD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1458" w14:textId="77777777" w:rsidR="00FE7D84" w:rsidRDefault="00FE7D84">
      <w:r>
        <w:separator/>
      </w:r>
    </w:p>
  </w:endnote>
  <w:endnote w:type="continuationSeparator" w:id="0">
    <w:p w14:paraId="29BE3051" w14:textId="77777777" w:rsidR="00FE7D84" w:rsidRDefault="00FE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EFA6" w14:textId="5F36C00F" w:rsidR="00E93F1A" w:rsidRPr="003A313C" w:rsidRDefault="006779D0" w:rsidP="00EE1359">
    <w:pPr>
      <w:pStyle w:val="Footer"/>
    </w:pPr>
    <w:fldSimple w:instr=" FILENAME \p  \* MERGEFORMAT ">
      <w:r w:rsidR="00781AE7">
        <w:t>P:\CHI\SG\CONSEIL\C21\000\038C.docx</w:t>
      </w:r>
    </w:fldSimple>
    <w:r w:rsidR="00E93F1A" w:rsidRPr="003A313C">
      <w:t xml:space="preserve"> (4</w:t>
    </w:r>
    <w:r w:rsidR="003A313C">
      <w:rPr>
        <w:lang w:eastAsia="zh-CN"/>
      </w:rPr>
      <w:t>83234</w:t>
    </w:r>
    <w:r w:rsidR="00E93F1A" w:rsidRPr="003A313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4F89" w14:textId="77777777" w:rsidR="00E93F1A" w:rsidRDefault="00E93F1A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511D" w14:textId="77777777" w:rsidR="00FE7D84" w:rsidRDefault="00FE7D84">
      <w:r>
        <w:t>____________________</w:t>
      </w:r>
    </w:p>
  </w:footnote>
  <w:footnote w:type="continuationSeparator" w:id="0">
    <w:p w14:paraId="28252301" w14:textId="77777777" w:rsidR="00FE7D84" w:rsidRDefault="00FE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7B35" w14:textId="77777777" w:rsidR="00E93F1A" w:rsidRDefault="00E93F1A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B7916">
      <w:rPr>
        <w:noProof/>
      </w:rPr>
      <w:t>5</w:t>
    </w:r>
    <w:r>
      <w:rPr>
        <w:noProof/>
      </w:rPr>
      <w:fldChar w:fldCharType="end"/>
    </w:r>
  </w:p>
  <w:p w14:paraId="1282851C" w14:textId="092DFD1B" w:rsidR="00E93F1A" w:rsidRDefault="00E93F1A" w:rsidP="00EE1359">
    <w:pPr>
      <w:pStyle w:val="Header"/>
      <w:rPr>
        <w:lang w:eastAsia="zh-CN"/>
      </w:rPr>
    </w:pPr>
    <w:r>
      <w:t>C</w:t>
    </w:r>
    <w:r w:rsidR="00B910EB">
      <w:rPr>
        <w:rFonts w:hint="eastAsia"/>
        <w:lang w:eastAsia="zh-CN"/>
      </w:rPr>
      <w:t>2</w:t>
    </w:r>
    <w:r w:rsidR="003A313C">
      <w:rPr>
        <w:lang w:eastAsia="zh-CN"/>
      </w:rPr>
      <w:t>1</w:t>
    </w:r>
    <w:r>
      <w:t>/</w:t>
    </w:r>
    <w:r w:rsidR="003A313C">
      <w:rPr>
        <w:lang w:eastAsia="zh-CN"/>
      </w:rPr>
      <w:t>38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EB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1A8D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E6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64B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A5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903B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81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E2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648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664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37BDF"/>
    <w:multiLevelType w:val="hybridMultilevel"/>
    <w:tmpl w:val="B56E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40023"/>
    <w:multiLevelType w:val="hybridMultilevel"/>
    <w:tmpl w:val="BAD6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D6F0B"/>
    <w:multiLevelType w:val="hybridMultilevel"/>
    <w:tmpl w:val="982C5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33C9D"/>
    <w:multiLevelType w:val="hybridMultilevel"/>
    <w:tmpl w:val="4B80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013D0"/>
    <w:multiLevelType w:val="hybridMultilevel"/>
    <w:tmpl w:val="82A6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1487D"/>
    <w:multiLevelType w:val="multilevel"/>
    <w:tmpl w:val="8BDA91A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330EEC"/>
    <w:multiLevelType w:val="hybridMultilevel"/>
    <w:tmpl w:val="1FB250C0"/>
    <w:lvl w:ilvl="0" w:tplc="376CB3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07817C2"/>
    <w:multiLevelType w:val="hybridMultilevel"/>
    <w:tmpl w:val="5EE01B80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4E8E2BAC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2399D"/>
    <w:multiLevelType w:val="hybridMultilevel"/>
    <w:tmpl w:val="1BAE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C6A02"/>
    <w:multiLevelType w:val="hybridMultilevel"/>
    <w:tmpl w:val="554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24"/>
  </w:num>
  <w:num w:numId="5">
    <w:abstractNumId w:val="27"/>
  </w:num>
  <w:num w:numId="6">
    <w:abstractNumId w:val="25"/>
  </w:num>
  <w:num w:numId="7">
    <w:abstractNumId w:val="12"/>
  </w:num>
  <w:num w:numId="8">
    <w:abstractNumId w:val="21"/>
  </w:num>
  <w:num w:numId="9">
    <w:abstractNumId w:val="22"/>
  </w:num>
  <w:num w:numId="10">
    <w:abstractNumId w:val="28"/>
  </w:num>
  <w:num w:numId="11">
    <w:abstractNumId w:val="15"/>
  </w:num>
  <w:num w:numId="12">
    <w:abstractNumId w:val="26"/>
  </w:num>
  <w:num w:numId="13">
    <w:abstractNumId w:val="14"/>
  </w:num>
  <w:num w:numId="14">
    <w:abstractNumId w:val="20"/>
  </w:num>
  <w:num w:numId="15">
    <w:abstractNumId w:val="10"/>
  </w:num>
  <w:num w:numId="16">
    <w:abstractNumId w:val="11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23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55"/>
    <w:rsid w:val="00000961"/>
    <w:rsid w:val="00001B77"/>
    <w:rsid w:val="00004644"/>
    <w:rsid w:val="0000517A"/>
    <w:rsid w:val="00010B98"/>
    <w:rsid w:val="00025E90"/>
    <w:rsid w:val="00026EB7"/>
    <w:rsid w:val="00031E72"/>
    <w:rsid w:val="00035034"/>
    <w:rsid w:val="00035B35"/>
    <w:rsid w:val="000404D2"/>
    <w:rsid w:val="00044EA5"/>
    <w:rsid w:val="00046089"/>
    <w:rsid w:val="000600D8"/>
    <w:rsid w:val="00064E5D"/>
    <w:rsid w:val="000718CA"/>
    <w:rsid w:val="000853C0"/>
    <w:rsid w:val="00097A0C"/>
    <w:rsid w:val="000A1C21"/>
    <w:rsid w:val="000B2F7D"/>
    <w:rsid w:val="000B4508"/>
    <w:rsid w:val="000C1A5A"/>
    <w:rsid w:val="000C207D"/>
    <w:rsid w:val="000D15EA"/>
    <w:rsid w:val="000D287C"/>
    <w:rsid w:val="000F5E01"/>
    <w:rsid w:val="00100D84"/>
    <w:rsid w:val="00101C7B"/>
    <w:rsid w:val="0010669C"/>
    <w:rsid w:val="00112C16"/>
    <w:rsid w:val="001205F7"/>
    <w:rsid w:val="00124C9D"/>
    <w:rsid w:val="00131306"/>
    <w:rsid w:val="00142636"/>
    <w:rsid w:val="0015217A"/>
    <w:rsid w:val="001532ED"/>
    <w:rsid w:val="001545B3"/>
    <w:rsid w:val="0015649D"/>
    <w:rsid w:val="00156D15"/>
    <w:rsid w:val="00157773"/>
    <w:rsid w:val="001578A6"/>
    <w:rsid w:val="00167AA3"/>
    <w:rsid w:val="001732B8"/>
    <w:rsid w:val="00176E7D"/>
    <w:rsid w:val="0018251A"/>
    <w:rsid w:val="0018326E"/>
    <w:rsid w:val="00190272"/>
    <w:rsid w:val="001918B8"/>
    <w:rsid w:val="00193244"/>
    <w:rsid w:val="00194A59"/>
    <w:rsid w:val="0019567D"/>
    <w:rsid w:val="00195C6C"/>
    <w:rsid w:val="00195FED"/>
    <w:rsid w:val="001A4BD6"/>
    <w:rsid w:val="001C5921"/>
    <w:rsid w:val="001C6637"/>
    <w:rsid w:val="001D5A18"/>
    <w:rsid w:val="001E039C"/>
    <w:rsid w:val="001F29E2"/>
    <w:rsid w:val="001F5503"/>
    <w:rsid w:val="001F5D21"/>
    <w:rsid w:val="001F618F"/>
    <w:rsid w:val="001F7389"/>
    <w:rsid w:val="00206E65"/>
    <w:rsid w:val="00207F7C"/>
    <w:rsid w:val="002258A1"/>
    <w:rsid w:val="00232176"/>
    <w:rsid w:val="00241EDC"/>
    <w:rsid w:val="00244DB2"/>
    <w:rsid w:val="00245D7B"/>
    <w:rsid w:val="00251A0B"/>
    <w:rsid w:val="00252304"/>
    <w:rsid w:val="00260E30"/>
    <w:rsid w:val="00265F50"/>
    <w:rsid w:val="00275971"/>
    <w:rsid w:val="00280EB8"/>
    <w:rsid w:val="00285251"/>
    <w:rsid w:val="002865EE"/>
    <w:rsid w:val="002904A4"/>
    <w:rsid w:val="00296B3A"/>
    <w:rsid w:val="002A220C"/>
    <w:rsid w:val="002A6670"/>
    <w:rsid w:val="002B00A8"/>
    <w:rsid w:val="002B163E"/>
    <w:rsid w:val="002C0C60"/>
    <w:rsid w:val="002E566E"/>
    <w:rsid w:val="002F46BC"/>
    <w:rsid w:val="00303502"/>
    <w:rsid w:val="00305C0F"/>
    <w:rsid w:val="003235BC"/>
    <w:rsid w:val="00325C25"/>
    <w:rsid w:val="003402CA"/>
    <w:rsid w:val="00345361"/>
    <w:rsid w:val="00346128"/>
    <w:rsid w:val="0037181B"/>
    <w:rsid w:val="00372C8F"/>
    <w:rsid w:val="003746FA"/>
    <w:rsid w:val="00376595"/>
    <w:rsid w:val="00380ECE"/>
    <w:rsid w:val="00385DCD"/>
    <w:rsid w:val="00387C1B"/>
    <w:rsid w:val="00392333"/>
    <w:rsid w:val="00393DDF"/>
    <w:rsid w:val="00397F55"/>
    <w:rsid w:val="003A313C"/>
    <w:rsid w:val="003B4454"/>
    <w:rsid w:val="003B7916"/>
    <w:rsid w:val="003C2E37"/>
    <w:rsid w:val="003D08E3"/>
    <w:rsid w:val="003D4F7C"/>
    <w:rsid w:val="003D629D"/>
    <w:rsid w:val="003E0016"/>
    <w:rsid w:val="003F006B"/>
    <w:rsid w:val="003F1415"/>
    <w:rsid w:val="0040144C"/>
    <w:rsid w:val="00403EB7"/>
    <w:rsid w:val="004042A3"/>
    <w:rsid w:val="0040712F"/>
    <w:rsid w:val="004241F2"/>
    <w:rsid w:val="00430BF0"/>
    <w:rsid w:val="00432C67"/>
    <w:rsid w:val="00434165"/>
    <w:rsid w:val="00455940"/>
    <w:rsid w:val="00463F55"/>
    <w:rsid w:val="00465FA4"/>
    <w:rsid w:val="004672E6"/>
    <w:rsid w:val="00474ED1"/>
    <w:rsid w:val="0048454B"/>
    <w:rsid w:val="00493085"/>
    <w:rsid w:val="00496A86"/>
    <w:rsid w:val="00496D1C"/>
    <w:rsid w:val="00497AEB"/>
    <w:rsid w:val="004A36EC"/>
    <w:rsid w:val="004B5B4A"/>
    <w:rsid w:val="004C687E"/>
    <w:rsid w:val="004C7CD2"/>
    <w:rsid w:val="004D163F"/>
    <w:rsid w:val="004D23F9"/>
    <w:rsid w:val="004D2780"/>
    <w:rsid w:val="004E39C5"/>
    <w:rsid w:val="004E4BFF"/>
    <w:rsid w:val="004E59B7"/>
    <w:rsid w:val="004F2598"/>
    <w:rsid w:val="005014CE"/>
    <w:rsid w:val="005403F7"/>
    <w:rsid w:val="00540632"/>
    <w:rsid w:val="00541CF4"/>
    <w:rsid w:val="00542E7D"/>
    <w:rsid w:val="005451E8"/>
    <w:rsid w:val="005507F2"/>
    <w:rsid w:val="005511DC"/>
    <w:rsid w:val="00553186"/>
    <w:rsid w:val="00553F16"/>
    <w:rsid w:val="00561137"/>
    <w:rsid w:val="0056173F"/>
    <w:rsid w:val="00562EFE"/>
    <w:rsid w:val="005759CC"/>
    <w:rsid w:val="00596F41"/>
    <w:rsid w:val="005A72E1"/>
    <w:rsid w:val="005B0162"/>
    <w:rsid w:val="005B0FDD"/>
    <w:rsid w:val="005C6632"/>
    <w:rsid w:val="005C7616"/>
    <w:rsid w:val="005C781B"/>
    <w:rsid w:val="005D1C9E"/>
    <w:rsid w:val="005D2246"/>
    <w:rsid w:val="005D473E"/>
    <w:rsid w:val="005D75FA"/>
    <w:rsid w:val="005F3F84"/>
    <w:rsid w:val="005F6A63"/>
    <w:rsid w:val="006000AD"/>
    <w:rsid w:val="0060437F"/>
    <w:rsid w:val="00606F50"/>
    <w:rsid w:val="00614349"/>
    <w:rsid w:val="006222B6"/>
    <w:rsid w:val="0062778C"/>
    <w:rsid w:val="00627E02"/>
    <w:rsid w:val="006366BE"/>
    <w:rsid w:val="00641A2B"/>
    <w:rsid w:val="00647613"/>
    <w:rsid w:val="00651354"/>
    <w:rsid w:val="00654257"/>
    <w:rsid w:val="0065435A"/>
    <w:rsid w:val="00656121"/>
    <w:rsid w:val="00657D3F"/>
    <w:rsid w:val="0066205C"/>
    <w:rsid w:val="00670FD3"/>
    <w:rsid w:val="0067277C"/>
    <w:rsid w:val="0067419C"/>
    <w:rsid w:val="006779D0"/>
    <w:rsid w:val="006867E6"/>
    <w:rsid w:val="006945B2"/>
    <w:rsid w:val="00694E26"/>
    <w:rsid w:val="006A2DD3"/>
    <w:rsid w:val="006A5AF8"/>
    <w:rsid w:val="006C36CD"/>
    <w:rsid w:val="006C5043"/>
    <w:rsid w:val="006C5D55"/>
    <w:rsid w:val="006E7CE7"/>
    <w:rsid w:val="006F4DCE"/>
    <w:rsid w:val="006F66B3"/>
    <w:rsid w:val="006F7784"/>
    <w:rsid w:val="00700D1F"/>
    <w:rsid w:val="00712346"/>
    <w:rsid w:val="007205CB"/>
    <w:rsid w:val="00722106"/>
    <w:rsid w:val="00726073"/>
    <w:rsid w:val="00734FE8"/>
    <w:rsid w:val="007360CE"/>
    <w:rsid w:val="00751DF2"/>
    <w:rsid w:val="00752F67"/>
    <w:rsid w:val="007533C8"/>
    <w:rsid w:val="00755CC0"/>
    <w:rsid w:val="00771620"/>
    <w:rsid w:val="00772315"/>
    <w:rsid w:val="00775157"/>
    <w:rsid w:val="00776877"/>
    <w:rsid w:val="007776D5"/>
    <w:rsid w:val="007813AE"/>
    <w:rsid w:val="00781AE7"/>
    <w:rsid w:val="007849D7"/>
    <w:rsid w:val="007A37DB"/>
    <w:rsid w:val="007A3E24"/>
    <w:rsid w:val="007A6869"/>
    <w:rsid w:val="007B12DD"/>
    <w:rsid w:val="007C4659"/>
    <w:rsid w:val="007C7EFA"/>
    <w:rsid w:val="007D785A"/>
    <w:rsid w:val="007E0A5B"/>
    <w:rsid w:val="007E143E"/>
    <w:rsid w:val="007E189D"/>
    <w:rsid w:val="007E212D"/>
    <w:rsid w:val="007E5C63"/>
    <w:rsid w:val="007F37A2"/>
    <w:rsid w:val="007F3EA3"/>
    <w:rsid w:val="007F5FCC"/>
    <w:rsid w:val="0080541A"/>
    <w:rsid w:val="00806F86"/>
    <w:rsid w:val="00811259"/>
    <w:rsid w:val="00813AA2"/>
    <w:rsid w:val="008148D5"/>
    <w:rsid w:val="008173A3"/>
    <w:rsid w:val="00822560"/>
    <w:rsid w:val="008322FC"/>
    <w:rsid w:val="008364E6"/>
    <w:rsid w:val="0086059C"/>
    <w:rsid w:val="00864589"/>
    <w:rsid w:val="00864685"/>
    <w:rsid w:val="0086555B"/>
    <w:rsid w:val="00867E08"/>
    <w:rsid w:val="00880E64"/>
    <w:rsid w:val="00882C6B"/>
    <w:rsid w:val="008843BC"/>
    <w:rsid w:val="00890AFB"/>
    <w:rsid w:val="00890FC4"/>
    <w:rsid w:val="008926A1"/>
    <w:rsid w:val="00895905"/>
    <w:rsid w:val="008A3374"/>
    <w:rsid w:val="008A4B43"/>
    <w:rsid w:val="008A7744"/>
    <w:rsid w:val="008B3561"/>
    <w:rsid w:val="008B79D3"/>
    <w:rsid w:val="008B7B24"/>
    <w:rsid w:val="008C2EAC"/>
    <w:rsid w:val="008D572C"/>
    <w:rsid w:val="008E594F"/>
    <w:rsid w:val="008F65DC"/>
    <w:rsid w:val="008F7852"/>
    <w:rsid w:val="009039A8"/>
    <w:rsid w:val="00905015"/>
    <w:rsid w:val="0091023E"/>
    <w:rsid w:val="009164A9"/>
    <w:rsid w:val="00924A6D"/>
    <w:rsid w:val="009258CB"/>
    <w:rsid w:val="009312C4"/>
    <w:rsid w:val="0093362E"/>
    <w:rsid w:val="00934964"/>
    <w:rsid w:val="0094052E"/>
    <w:rsid w:val="00944563"/>
    <w:rsid w:val="009452AF"/>
    <w:rsid w:val="00953160"/>
    <w:rsid w:val="009625D8"/>
    <w:rsid w:val="009739BC"/>
    <w:rsid w:val="00974231"/>
    <w:rsid w:val="0097490A"/>
    <w:rsid w:val="00976D4B"/>
    <w:rsid w:val="00982068"/>
    <w:rsid w:val="0098459B"/>
    <w:rsid w:val="00986908"/>
    <w:rsid w:val="00997185"/>
    <w:rsid w:val="009A5C02"/>
    <w:rsid w:val="009B5788"/>
    <w:rsid w:val="009C16F2"/>
    <w:rsid w:val="009C2458"/>
    <w:rsid w:val="009C4A7B"/>
    <w:rsid w:val="009C6123"/>
    <w:rsid w:val="009C6549"/>
    <w:rsid w:val="009D77EE"/>
    <w:rsid w:val="009F11BB"/>
    <w:rsid w:val="009F1E3E"/>
    <w:rsid w:val="009F2D04"/>
    <w:rsid w:val="00A1213C"/>
    <w:rsid w:val="00A2669B"/>
    <w:rsid w:val="00A272FF"/>
    <w:rsid w:val="00A4795E"/>
    <w:rsid w:val="00A512C6"/>
    <w:rsid w:val="00A5354B"/>
    <w:rsid w:val="00A627D1"/>
    <w:rsid w:val="00A71351"/>
    <w:rsid w:val="00A749CD"/>
    <w:rsid w:val="00A764EC"/>
    <w:rsid w:val="00A90E20"/>
    <w:rsid w:val="00A94CB3"/>
    <w:rsid w:val="00AA488E"/>
    <w:rsid w:val="00AB42C1"/>
    <w:rsid w:val="00AC516F"/>
    <w:rsid w:val="00AC7421"/>
    <w:rsid w:val="00AD1E4E"/>
    <w:rsid w:val="00AE2926"/>
    <w:rsid w:val="00AE3CA3"/>
    <w:rsid w:val="00AE62B6"/>
    <w:rsid w:val="00AE76B4"/>
    <w:rsid w:val="00AF03D5"/>
    <w:rsid w:val="00B0184B"/>
    <w:rsid w:val="00B035CD"/>
    <w:rsid w:val="00B0769D"/>
    <w:rsid w:val="00B12C30"/>
    <w:rsid w:val="00B15ADA"/>
    <w:rsid w:val="00B20D13"/>
    <w:rsid w:val="00B217F8"/>
    <w:rsid w:val="00B2426D"/>
    <w:rsid w:val="00B26133"/>
    <w:rsid w:val="00B27CE6"/>
    <w:rsid w:val="00B30D1E"/>
    <w:rsid w:val="00B332EA"/>
    <w:rsid w:val="00B355AC"/>
    <w:rsid w:val="00B363E7"/>
    <w:rsid w:val="00B36D6D"/>
    <w:rsid w:val="00B37CE3"/>
    <w:rsid w:val="00B40A53"/>
    <w:rsid w:val="00B45365"/>
    <w:rsid w:val="00B461D7"/>
    <w:rsid w:val="00B46A65"/>
    <w:rsid w:val="00B474E8"/>
    <w:rsid w:val="00B60184"/>
    <w:rsid w:val="00B62D20"/>
    <w:rsid w:val="00B7082F"/>
    <w:rsid w:val="00B7333F"/>
    <w:rsid w:val="00B735DB"/>
    <w:rsid w:val="00B81E75"/>
    <w:rsid w:val="00B910EB"/>
    <w:rsid w:val="00B974ED"/>
    <w:rsid w:val="00BB7708"/>
    <w:rsid w:val="00BC11D5"/>
    <w:rsid w:val="00BD0767"/>
    <w:rsid w:val="00BD1A5A"/>
    <w:rsid w:val="00BD23CC"/>
    <w:rsid w:val="00BD7A9B"/>
    <w:rsid w:val="00BD7BE1"/>
    <w:rsid w:val="00BE16B2"/>
    <w:rsid w:val="00BE7300"/>
    <w:rsid w:val="00BF23A0"/>
    <w:rsid w:val="00BF416B"/>
    <w:rsid w:val="00BF714E"/>
    <w:rsid w:val="00C21F1B"/>
    <w:rsid w:val="00C3218E"/>
    <w:rsid w:val="00C4559D"/>
    <w:rsid w:val="00C55CBD"/>
    <w:rsid w:val="00C64E4E"/>
    <w:rsid w:val="00C66E64"/>
    <w:rsid w:val="00C70534"/>
    <w:rsid w:val="00C761A0"/>
    <w:rsid w:val="00C84F79"/>
    <w:rsid w:val="00C85F7E"/>
    <w:rsid w:val="00CA3B04"/>
    <w:rsid w:val="00CB2E60"/>
    <w:rsid w:val="00CC27F7"/>
    <w:rsid w:val="00CD21F2"/>
    <w:rsid w:val="00CD47F0"/>
    <w:rsid w:val="00CD5566"/>
    <w:rsid w:val="00CD64D7"/>
    <w:rsid w:val="00CE6F22"/>
    <w:rsid w:val="00CF2876"/>
    <w:rsid w:val="00CF41F6"/>
    <w:rsid w:val="00CF7D3E"/>
    <w:rsid w:val="00D02B4E"/>
    <w:rsid w:val="00D049C3"/>
    <w:rsid w:val="00D14B43"/>
    <w:rsid w:val="00D171B4"/>
    <w:rsid w:val="00D207C6"/>
    <w:rsid w:val="00D21996"/>
    <w:rsid w:val="00D26C96"/>
    <w:rsid w:val="00D31245"/>
    <w:rsid w:val="00D36817"/>
    <w:rsid w:val="00D5666C"/>
    <w:rsid w:val="00D666BC"/>
    <w:rsid w:val="00D669F2"/>
    <w:rsid w:val="00D67BC9"/>
    <w:rsid w:val="00D83542"/>
    <w:rsid w:val="00D92F45"/>
    <w:rsid w:val="00D94637"/>
    <w:rsid w:val="00D9725C"/>
    <w:rsid w:val="00DA06AB"/>
    <w:rsid w:val="00DA237D"/>
    <w:rsid w:val="00DA5F5D"/>
    <w:rsid w:val="00DA7006"/>
    <w:rsid w:val="00DB73C5"/>
    <w:rsid w:val="00DC0378"/>
    <w:rsid w:val="00DC6427"/>
    <w:rsid w:val="00DD66A1"/>
    <w:rsid w:val="00DE1431"/>
    <w:rsid w:val="00DE196D"/>
    <w:rsid w:val="00DE6701"/>
    <w:rsid w:val="00DF6B49"/>
    <w:rsid w:val="00E0607D"/>
    <w:rsid w:val="00E067C5"/>
    <w:rsid w:val="00E1285B"/>
    <w:rsid w:val="00E167B7"/>
    <w:rsid w:val="00E230F2"/>
    <w:rsid w:val="00E230F9"/>
    <w:rsid w:val="00E265BF"/>
    <w:rsid w:val="00E378D8"/>
    <w:rsid w:val="00E37BE9"/>
    <w:rsid w:val="00E4287E"/>
    <w:rsid w:val="00E43A12"/>
    <w:rsid w:val="00E52EE7"/>
    <w:rsid w:val="00E54DD0"/>
    <w:rsid w:val="00E56B21"/>
    <w:rsid w:val="00E61C94"/>
    <w:rsid w:val="00E67C67"/>
    <w:rsid w:val="00E7395A"/>
    <w:rsid w:val="00E73C0B"/>
    <w:rsid w:val="00E7569C"/>
    <w:rsid w:val="00E77476"/>
    <w:rsid w:val="00E8228B"/>
    <w:rsid w:val="00E93F1A"/>
    <w:rsid w:val="00E97027"/>
    <w:rsid w:val="00EA0D42"/>
    <w:rsid w:val="00EA4D57"/>
    <w:rsid w:val="00EB60F6"/>
    <w:rsid w:val="00EB6DF2"/>
    <w:rsid w:val="00EB7B4C"/>
    <w:rsid w:val="00EC2FA7"/>
    <w:rsid w:val="00EE1359"/>
    <w:rsid w:val="00EE4234"/>
    <w:rsid w:val="00EE5706"/>
    <w:rsid w:val="00EE604E"/>
    <w:rsid w:val="00EE7812"/>
    <w:rsid w:val="00EF0FCB"/>
    <w:rsid w:val="00EF373D"/>
    <w:rsid w:val="00F11595"/>
    <w:rsid w:val="00F12087"/>
    <w:rsid w:val="00F13BC9"/>
    <w:rsid w:val="00F144C9"/>
    <w:rsid w:val="00F26D4A"/>
    <w:rsid w:val="00F273C5"/>
    <w:rsid w:val="00F357B2"/>
    <w:rsid w:val="00F36556"/>
    <w:rsid w:val="00F40CA6"/>
    <w:rsid w:val="00F41CF5"/>
    <w:rsid w:val="00F5083F"/>
    <w:rsid w:val="00F5467E"/>
    <w:rsid w:val="00F60569"/>
    <w:rsid w:val="00F611D4"/>
    <w:rsid w:val="00F705DF"/>
    <w:rsid w:val="00F70622"/>
    <w:rsid w:val="00F84EC5"/>
    <w:rsid w:val="00F85624"/>
    <w:rsid w:val="00F87C05"/>
    <w:rsid w:val="00F93191"/>
    <w:rsid w:val="00F93A17"/>
    <w:rsid w:val="00F93A1A"/>
    <w:rsid w:val="00FA2AF6"/>
    <w:rsid w:val="00FB073D"/>
    <w:rsid w:val="00FB771F"/>
    <w:rsid w:val="00FC1286"/>
    <w:rsid w:val="00FC5386"/>
    <w:rsid w:val="00FD0657"/>
    <w:rsid w:val="00FE77EE"/>
    <w:rsid w:val="00FE7D84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2C8BE"/>
  <w15:docId w15:val="{0B58A8C4-55D0-41E2-969F-E471F36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C5D55"/>
    <w:rPr>
      <w:rFonts w:ascii="Calibri" w:eastAsia="Times New Roman" w:hAnsi="Calibri"/>
      <w:sz w:val="24"/>
      <w:lang w:val="en-GB" w:eastAsia="en-US"/>
    </w:rPr>
  </w:style>
  <w:style w:type="paragraph" w:customStyle="1" w:styleId="Default">
    <w:name w:val="Default"/>
    <w:rsid w:val="00867E0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HeadingHea1">
    <w:name w:val="HeadingHea 1"/>
    <w:basedOn w:val="Headingi"/>
    <w:rsid w:val="00112C16"/>
    <w:rPr>
      <w:rFonts w:asciiTheme="minorHAnsi" w:eastAsia="STKaiti" w:hAnsiTheme="minorHAnsi" w:cstheme="minorHAnsi"/>
      <w:b/>
      <w:bCs/>
      <w:i w:val="0"/>
      <w:lang w:eastAsia="zh-CN"/>
    </w:rPr>
  </w:style>
  <w:style w:type="paragraph" w:customStyle="1" w:styleId="Heading-b">
    <w:name w:val="Heading-b"/>
    <w:basedOn w:val="HeadingHea1"/>
    <w:rsid w:val="0011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general-secretariat/Pages/intersectoral-coordination.aspx" TargetMode="External"/><Relationship Id="rId18" Type="http://schemas.openxmlformats.org/officeDocument/2006/relationships/hyperlink" Target="https://www.itu.int/md/S21-CL-INF-0011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191-C.pdf" TargetMode="External"/><Relationship Id="rId17" Type="http://schemas.openxmlformats.org/officeDocument/2006/relationships/hyperlink" Target="https://www.itu.int/en/action/emergency/Page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action/environment-and-climate-change/Pages/default.aspx" TargetMode="External"/><Relationship Id="rId20" Type="http://schemas.openxmlformats.org/officeDocument/2006/relationships/hyperlink" Target="mailto:iscg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events/Pages/default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general-secretariat/Pages/ISCG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CL-C-0035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DB13-6C09-48B4-B55C-09568E8EC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A5EE1-70E9-4D91-A9FB-91FB79136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9F3E7-FA4F-43B5-A683-6D6A20576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BD124-36DD-4ED2-BF0C-3976BE5E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12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Internal Auditor on internal audit activities</vt:lpstr>
    </vt:vector>
  </TitlesOfParts>
  <Manager>General Secretariat - Pool</Manager>
  <Company>International Telecommunication Union (ITU)</Company>
  <LinksUpToDate>false</LinksUpToDate>
  <CharactersWithSpaces>4581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(Rev. Dubai, 2018) "Strategy for the coordination of efforts among the three Sectors of the Union"</dc:title>
  <dc:subject>Council 2021, Virtual consultation of councillors</dc:subject>
  <dc:creator>Kong, Hongli</dc:creator>
  <cp:keywords>C2021, C21, VCC, C21-VCC-1</cp:keywords>
  <dc:description/>
  <cp:lastModifiedBy>Mendoza-Pinto, Yelitza</cp:lastModifiedBy>
  <cp:revision>7</cp:revision>
  <cp:lastPrinted>2019-05-29T13:46:00Z</cp:lastPrinted>
  <dcterms:created xsi:type="dcterms:W3CDTF">2021-05-04T15:57:00Z</dcterms:created>
  <dcterms:modified xsi:type="dcterms:W3CDTF">2021-05-06T14:25:00Z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