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37" w:type="dxa"/>
        <w:tblLayout w:type="fixed"/>
        <w:tblLook w:val="0000" w:firstRow="0" w:lastRow="0" w:firstColumn="0" w:lastColumn="0" w:noHBand="0" w:noVBand="0"/>
      </w:tblPr>
      <w:tblGrid>
        <w:gridCol w:w="6096"/>
        <w:gridCol w:w="3741"/>
      </w:tblGrid>
      <w:tr w:rsidR="00DE1637" w:rsidRPr="00B64995" w14:paraId="1AFAB050" w14:textId="77777777" w:rsidTr="6844BCB7">
        <w:trPr>
          <w:cantSplit/>
          <w:trHeight w:val="851"/>
        </w:trPr>
        <w:tc>
          <w:tcPr>
            <w:tcW w:w="6096" w:type="dxa"/>
            <w:vAlign w:val="center"/>
          </w:tcPr>
          <w:p w14:paraId="1FD8FF7D" w14:textId="0F1E7FF0" w:rsidR="00DE1637" w:rsidRPr="00A060FE" w:rsidRDefault="00065E84" w:rsidP="09AD7226">
            <w:pPr>
              <w:shd w:val="clear" w:color="auto" w:fill="FFFFFF" w:themeFill="background1"/>
              <w:spacing w:before="40" w:after="120"/>
              <w:rPr>
                <w:rFonts w:cs="Times"/>
                <w:b/>
                <w:bCs/>
              </w:rPr>
            </w:pPr>
            <w:bookmarkStart w:id="0" w:name="dc06"/>
            <w:bookmarkEnd w:id="0"/>
            <w:r w:rsidRPr="00B64995">
              <w:rPr>
                <w:b/>
                <w:bCs/>
                <w:position w:val="6"/>
                <w:sz w:val="30"/>
                <w:szCs w:val="30"/>
              </w:rPr>
              <w:t>Council 2021</w:t>
            </w:r>
            <w:r w:rsidRPr="00A060FE">
              <w:rPr>
                <w:rFonts w:cs="Times"/>
                <w:b/>
                <w:position w:val="6"/>
                <w:sz w:val="26"/>
                <w:szCs w:val="26"/>
              </w:rPr>
              <w:br/>
            </w:r>
            <w:r w:rsidRPr="00B64995">
              <w:rPr>
                <w:b/>
                <w:bCs/>
                <w:position w:val="6"/>
                <w:sz w:val="28"/>
                <w:szCs w:val="28"/>
              </w:rPr>
              <w:t>Virtual consultation of councillors, 8-18 June 2021</w:t>
            </w:r>
          </w:p>
        </w:tc>
        <w:tc>
          <w:tcPr>
            <w:tcW w:w="3741" w:type="dxa"/>
            <w:vAlign w:val="center"/>
          </w:tcPr>
          <w:p w14:paraId="62CE2F55" w14:textId="77777777" w:rsidR="00DE1637" w:rsidRPr="00A060FE" w:rsidRDefault="25DC9358" w:rsidP="00927F25">
            <w:pPr>
              <w:pStyle w:val="dnum"/>
              <w:framePr w:hSpace="0" w:wrap="auto" w:vAnchor="margin" w:hAnchor="text" w:yAlign="inline"/>
              <w:spacing w:before="0" w:after="120"/>
              <w:rPr>
                <w:sz w:val="22"/>
                <w:szCs w:val="22"/>
              </w:rPr>
            </w:pPr>
            <w:r w:rsidRPr="00166BCE">
              <w:rPr>
                <w:noProof/>
              </w:rPr>
              <w:drawing>
                <wp:inline distT="0" distB="0" distL="0" distR="0" wp14:anchorId="28DC6AF2" wp14:editId="036F3EE0">
                  <wp:extent cx="682302"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82302" cy="720000"/>
                          </a:xfrm>
                          <a:prstGeom prst="rect">
                            <a:avLst/>
                          </a:prstGeom>
                        </pic:spPr>
                      </pic:pic>
                    </a:graphicData>
                  </a:graphic>
                </wp:inline>
              </w:drawing>
            </w:r>
          </w:p>
        </w:tc>
      </w:tr>
      <w:tr w:rsidR="00DE1637" w:rsidRPr="00B64995" w14:paraId="568DDE09" w14:textId="77777777" w:rsidTr="6844BCB7">
        <w:trPr>
          <w:cantSplit/>
          <w:trHeight w:val="138"/>
        </w:trPr>
        <w:tc>
          <w:tcPr>
            <w:tcW w:w="6096" w:type="dxa"/>
            <w:tcBorders>
              <w:top w:val="single" w:sz="12" w:space="0" w:color="auto"/>
            </w:tcBorders>
          </w:tcPr>
          <w:p w14:paraId="1E4ABE23" w14:textId="77777777" w:rsidR="00DE1637" w:rsidRPr="00B64995" w:rsidRDefault="00DE1637" w:rsidP="00927F25">
            <w:pPr>
              <w:shd w:val="solid" w:color="FFFFFF" w:fill="FFFFFF"/>
              <w:ind w:right="284"/>
            </w:pPr>
          </w:p>
        </w:tc>
        <w:tc>
          <w:tcPr>
            <w:tcW w:w="3741" w:type="dxa"/>
            <w:tcBorders>
              <w:top w:val="single" w:sz="12" w:space="0" w:color="auto"/>
            </w:tcBorders>
          </w:tcPr>
          <w:p w14:paraId="346D0CB9" w14:textId="77777777" w:rsidR="00DE1637" w:rsidRPr="00B64995" w:rsidRDefault="00DE1637" w:rsidP="00927F25">
            <w:pPr>
              <w:tabs>
                <w:tab w:val="left" w:pos="851"/>
              </w:tabs>
              <w:ind w:right="284"/>
              <w:rPr>
                <w:rFonts w:ascii="Times New Roman Bold" w:hAnsi="Times New Roman Bold" w:cs="Times New Roman Bold"/>
                <w:b/>
              </w:rPr>
            </w:pPr>
          </w:p>
        </w:tc>
      </w:tr>
      <w:tr w:rsidR="00DE1637" w:rsidRPr="00B64995" w14:paraId="13ED28CF" w14:textId="77777777" w:rsidTr="6844BCB7">
        <w:trPr>
          <w:cantSplit/>
          <w:trHeight w:val="138"/>
        </w:trPr>
        <w:tc>
          <w:tcPr>
            <w:tcW w:w="6096" w:type="dxa"/>
          </w:tcPr>
          <w:p w14:paraId="1B8BEE64" w14:textId="53770E9C" w:rsidR="00DE1637" w:rsidRPr="00B64995" w:rsidRDefault="00DE1637" w:rsidP="00927F25">
            <w:pPr>
              <w:shd w:val="solid" w:color="FFFFFF" w:fill="FFFFFF"/>
              <w:ind w:right="284"/>
              <w:rPr>
                <w:b/>
                <w:bCs/>
              </w:rPr>
            </w:pPr>
            <w:r w:rsidRPr="00B64995">
              <w:rPr>
                <w:b/>
                <w:bCs/>
              </w:rPr>
              <w:t xml:space="preserve">Agenda item: PL </w:t>
            </w:r>
            <w:r w:rsidR="00BE1473" w:rsidRPr="00B64995">
              <w:rPr>
                <w:b/>
                <w:bCs/>
              </w:rPr>
              <w:t>3.1</w:t>
            </w:r>
          </w:p>
        </w:tc>
        <w:tc>
          <w:tcPr>
            <w:tcW w:w="3741" w:type="dxa"/>
          </w:tcPr>
          <w:p w14:paraId="6245341D" w14:textId="201ED8D4" w:rsidR="00DE1637" w:rsidRPr="00B64995" w:rsidRDefault="00DE1637" w:rsidP="00927F25">
            <w:pPr>
              <w:tabs>
                <w:tab w:val="left" w:pos="851"/>
              </w:tabs>
              <w:ind w:right="284"/>
              <w:rPr>
                <w:rFonts w:ascii="Times New Roman Bold" w:hAnsi="Times New Roman Bold"/>
                <w:b/>
              </w:rPr>
            </w:pPr>
            <w:r w:rsidRPr="00B64995">
              <w:rPr>
                <w:b/>
              </w:rPr>
              <w:t xml:space="preserve">Document </w:t>
            </w:r>
            <w:r w:rsidR="00255B2C" w:rsidRPr="00B64995">
              <w:rPr>
                <w:b/>
              </w:rPr>
              <w:t>C21</w:t>
            </w:r>
            <w:r w:rsidRPr="00B64995">
              <w:rPr>
                <w:b/>
              </w:rPr>
              <w:t>/35-E</w:t>
            </w:r>
          </w:p>
        </w:tc>
      </w:tr>
      <w:tr w:rsidR="00DE1637" w:rsidRPr="00B64995" w14:paraId="0FBEBD5C" w14:textId="77777777" w:rsidTr="6844BCB7">
        <w:trPr>
          <w:cantSplit/>
          <w:trHeight w:val="138"/>
        </w:trPr>
        <w:tc>
          <w:tcPr>
            <w:tcW w:w="6096" w:type="dxa"/>
          </w:tcPr>
          <w:p w14:paraId="0C4352BC" w14:textId="77777777" w:rsidR="00DE1637" w:rsidRPr="00B64995" w:rsidRDefault="00DE1637" w:rsidP="00927F25">
            <w:pPr>
              <w:shd w:val="solid" w:color="FFFFFF" w:fill="FFFFFF"/>
              <w:ind w:right="284"/>
            </w:pPr>
          </w:p>
        </w:tc>
        <w:tc>
          <w:tcPr>
            <w:tcW w:w="3741" w:type="dxa"/>
          </w:tcPr>
          <w:p w14:paraId="0DC9BF5B" w14:textId="4310A0F4" w:rsidR="00DE1637" w:rsidRPr="00B64995" w:rsidRDefault="00901383" w:rsidP="00927F25">
            <w:pPr>
              <w:tabs>
                <w:tab w:val="left" w:pos="851"/>
              </w:tabs>
              <w:ind w:right="284"/>
              <w:rPr>
                <w:rFonts w:ascii="Times New Roman Bold" w:hAnsi="Times New Roman Bold"/>
                <w:b/>
              </w:rPr>
            </w:pPr>
            <w:r>
              <w:rPr>
                <w:b/>
              </w:rPr>
              <w:t>3 May</w:t>
            </w:r>
            <w:r w:rsidR="00DE1637" w:rsidRPr="00B64995">
              <w:rPr>
                <w:b/>
              </w:rPr>
              <w:t xml:space="preserve"> </w:t>
            </w:r>
            <w:r w:rsidR="00255B2C" w:rsidRPr="00B64995">
              <w:rPr>
                <w:b/>
              </w:rPr>
              <w:t>2021</w:t>
            </w:r>
          </w:p>
        </w:tc>
      </w:tr>
      <w:tr w:rsidR="00DE1637" w:rsidRPr="00B64995" w14:paraId="25F8DD9E" w14:textId="77777777" w:rsidTr="6844BCB7">
        <w:trPr>
          <w:cantSplit/>
          <w:trHeight w:val="138"/>
        </w:trPr>
        <w:tc>
          <w:tcPr>
            <w:tcW w:w="6096" w:type="dxa"/>
          </w:tcPr>
          <w:p w14:paraId="237327D9" w14:textId="77777777" w:rsidR="00DE1637" w:rsidRPr="00B64995" w:rsidRDefault="00DE1637" w:rsidP="00927F25">
            <w:pPr>
              <w:shd w:val="solid" w:color="FFFFFF" w:fill="FFFFFF"/>
              <w:ind w:right="284"/>
            </w:pPr>
          </w:p>
        </w:tc>
        <w:tc>
          <w:tcPr>
            <w:tcW w:w="3741" w:type="dxa"/>
          </w:tcPr>
          <w:p w14:paraId="13CC76DE" w14:textId="467333E2" w:rsidR="00DE1637" w:rsidRPr="00B64995" w:rsidRDefault="00DE1637" w:rsidP="00927F25">
            <w:pPr>
              <w:tabs>
                <w:tab w:val="left" w:pos="851"/>
              </w:tabs>
              <w:ind w:right="284"/>
              <w:rPr>
                <w:b/>
              </w:rPr>
            </w:pPr>
            <w:r w:rsidRPr="00B64995">
              <w:rPr>
                <w:b/>
              </w:rPr>
              <w:t>Original: English</w:t>
            </w:r>
          </w:p>
        </w:tc>
      </w:tr>
      <w:tr w:rsidR="00DE1637" w:rsidRPr="00B64995" w14:paraId="51ABA910" w14:textId="77777777" w:rsidTr="6844BCB7">
        <w:trPr>
          <w:cantSplit/>
          <w:trHeight w:val="138"/>
        </w:trPr>
        <w:tc>
          <w:tcPr>
            <w:tcW w:w="9837" w:type="dxa"/>
            <w:gridSpan w:val="2"/>
          </w:tcPr>
          <w:p w14:paraId="575ACE5D" w14:textId="77777777" w:rsidR="00DE1637" w:rsidRPr="00B64995" w:rsidRDefault="00DE1637" w:rsidP="00927F25">
            <w:pPr>
              <w:pStyle w:val="Source"/>
              <w:rPr>
                <w:sz w:val="22"/>
                <w:szCs w:val="22"/>
              </w:rPr>
            </w:pPr>
            <w:r w:rsidRPr="00B64995">
              <w:rPr>
                <w:sz w:val="22"/>
                <w:szCs w:val="22"/>
              </w:rPr>
              <w:t>Report by the Secretary-General</w:t>
            </w:r>
          </w:p>
        </w:tc>
      </w:tr>
      <w:tr w:rsidR="00DE1637" w:rsidRPr="00B64995" w14:paraId="29761FB9" w14:textId="77777777" w:rsidTr="6844BCB7">
        <w:trPr>
          <w:cantSplit/>
          <w:trHeight w:val="138"/>
        </w:trPr>
        <w:tc>
          <w:tcPr>
            <w:tcW w:w="9837" w:type="dxa"/>
            <w:gridSpan w:val="2"/>
          </w:tcPr>
          <w:p w14:paraId="4181BE81" w14:textId="4FFA2472" w:rsidR="00DE1637" w:rsidRPr="00B64995" w:rsidRDefault="00DE1637" w:rsidP="00DE1637">
            <w:pPr>
              <w:pStyle w:val="Title1"/>
              <w:rPr>
                <w:sz w:val="22"/>
                <w:szCs w:val="22"/>
              </w:rPr>
            </w:pPr>
            <w:r w:rsidRPr="00B64995">
              <w:rPr>
                <w:sz w:val="22"/>
                <w:szCs w:val="22"/>
              </w:rPr>
              <w:t xml:space="preserve">Report on the Implementation of the Strategic Plan and </w:t>
            </w:r>
            <w:r w:rsidR="00857768" w:rsidRPr="00B64995">
              <w:rPr>
                <w:sz w:val="22"/>
                <w:szCs w:val="22"/>
              </w:rPr>
              <w:t xml:space="preserve">the </w:t>
            </w:r>
            <w:r w:rsidRPr="00B64995">
              <w:rPr>
                <w:sz w:val="22"/>
                <w:szCs w:val="22"/>
              </w:rPr>
              <w:t xml:space="preserve">activities of the Union, </w:t>
            </w:r>
            <w:r w:rsidR="004840A5" w:rsidRPr="00B64995">
              <w:rPr>
                <w:sz w:val="22"/>
                <w:szCs w:val="22"/>
              </w:rPr>
              <w:br/>
            </w:r>
            <w:r w:rsidRPr="00B64995">
              <w:rPr>
                <w:sz w:val="22"/>
                <w:szCs w:val="22"/>
              </w:rPr>
              <w:t xml:space="preserve">April 2019 – April </w:t>
            </w:r>
            <w:r w:rsidR="005C3BDB" w:rsidRPr="00B64995">
              <w:rPr>
                <w:sz w:val="22"/>
                <w:szCs w:val="22"/>
              </w:rPr>
              <w:t>2021</w:t>
            </w:r>
          </w:p>
        </w:tc>
      </w:tr>
    </w:tbl>
    <w:p w14:paraId="33ABD346" w14:textId="77777777" w:rsidR="00DE1637" w:rsidRPr="00B64995" w:rsidRDefault="00DE1637" w:rsidP="00DE1637"/>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DE1637" w:rsidRPr="00B64995" w14:paraId="42754B74" w14:textId="77777777" w:rsidTr="00927F25">
        <w:trPr>
          <w:trHeight w:val="3372"/>
        </w:trPr>
        <w:tc>
          <w:tcPr>
            <w:tcW w:w="8080" w:type="dxa"/>
            <w:tcBorders>
              <w:top w:val="single" w:sz="12" w:space="0" w:color="auto"/>
              <w:left w:val="single" w:sz="12" w:space="0" w:color="auto"/>
              <w:bottom w:val="single" w:sz="12" w:space="0" w:color="auto"/>
              <w:right w:val="single" w:sz="12" w:space="0" w:color="auto"/>
            </w:tcBorders>
          </w:tcPr>
          <w:p w14:paraId="61D500D1" w14:textId="77777777" w:rsidR="00DE1637" w:rsidRPr="00B64995" w:rsidRDefault="00DE1637" w:rsidP="00DB0BF3">
            <w:pPr>
              <w:spacing w:before="120"/>
              <w:rPr>
                <w:b/>
                <w:bCs/>
              </w:rPr>
            </w:pPr>
            <w:r w:rsidRPr="00B64995">
              <w:rPr>
                <w:b/>
                <w:bCs/>
              </w:rPr>
              <w:t>Summary</w:t>
            </w:r>
          </w:p>
          <w:p w14:paraId="1DDF06D5" w14:textId="4C0A8DF0" w:rsidR="00DE1637" w:rsidRPr="00B87922" w:rsidRDefault="00DE1637" w:rsidP="00DB0BF3">
            <w:pPr>
              <w:snapToGrid w:val="0"/>
              <w:spacing w:before="120" w:after="120"/>
              <w:jc w:val="both"/>
            </w:pPr>
            <w:r w:rsidRPr="00B64995">
              <w:t xml:space="preserve">This report covers </w:t>
            </w:r>
            <w:r w:rsidR="009D00A6" w:rsidRPr="00B64995">
              <w:t xml:space="preserve">ITU’s </w:t>
            </w:r>
            <w:r w:rsidRPr="00B64995">
              <w:t xml:space="preserve">activities </w:t>
            </w:r>
            <w:r w:rsidR="00110DE3" w:rsidRPr="00B64995">
              <w:t xml:space="preserve">from </w:t>
            </w:r>
            <w:r w:rsidRPr="00B87922">
              <w:t xml:space="preserve">April 2019 to April </w:t>
            </w:r>
            <w:r w:rsidR="005C3BDB" w:rsidRPr="00B87922">
              <w:t>2021</w:t>
            </w:r>
            <w:r w:rsidRPr="00B87922">
              <w:t xml:space="preserve">, reporting on the ITU-wide strategic goals and targets, and the Sector and </w:t>
            </w:r>
            <w:r w:rsidR="00110DE3" w:rsidRPr="00B87922">
              <w:t>i</w:t>
            </w:r>
            <w:r w:rsidRPr="00B87922">
              <w:t>nter-</w:t>
            </w:r>
            <w:r w:rsidRPr="00B87922">
              <w:rPr>
                <w:shd w:val="clear" w:color="auto" w:fill="FFFFFF" w:themeFill="background1"/>
              </w:rPr>
              <w:t xml:space="preserve">sectoral objectives. It combines the </w:t>
            </w:r>
            <w:r w:rsidR="00857768" w:rsidRPr="00B87922">
              <w:rPr>
                <w:shd w:val="clear" w:color="auto" w:fill="FFFFFF" w:themeFill="background1"/>
              </w:rPr>
              <w:t>a</w:t>
            </w:r>
            <w:r w:rsidRPr="00B87922">
              <w:rPr>
                <w:shd w:val="clear" w:color="auto" w:fill="FFFFFF" w:themeFill="background1"/>
              </w:rPr>
              <w:t xml:space="preserve">nnual </w:t>
            </w:r>
            <w:r w:rsidR="00857768" w:rsidRPr="00B87922">
              <w:rPr>
                <w:shd w:val="clear" w:color="auto" w:fill="FFFFFF" w:themeFill="background1"/>
              </w:rPr>
              <w:t>a</w:t>
            </w:r>
            <w:r w:rsidRPr="00B87922">
              <w:rPr>
                <w:shd w:val="clear" w:color="auto" w:fill="FFFFFF" w:themeFill="background1"/>
              </w:rPr>
              <w:t xml:space="preserve">ctivities </w:t>
            </w:r>
            <w:r w:rsidR="00857768" w:rsidRPr="00B87922">
              <w:rPr>
                <w:shd w:val="clear" w:color="auto" w:fill="FFFFFF" w:themeFill="background1"/>
              </w:rPr>
              <w:t>r</w:t>
            </w:r>
            <w:r w:rsidRPr="00B87922">
              <w:rPr>
                <w:shd w:val="clear" w:color="auto" w:fill="FFFFFF" w:themeFill="background1"/>
              </w:rPr>
              <w:t xml:space="preserve">eport (as required by </w:t>
            </w:r>
            <w:r w:rsidR="00947243" w:rsidRPr="00B87922">
              <w:rPr>
                <w:shd w:val="clear" w:color="auto" w:fill="FFFFFF" w:themeFill="background1"/>
              </w:rPr>
              <w:t>No.</w:t>
            </w:r>
            <w:r w:rsidR="00110DE3" w:rsidRPr="00B87922">
              <w:rPr>
                <w:shd w:val="clear" w:color="auto" w:fill="FFFFFF" w:themeFill="background1"/>
              </w:rPr>
              <w:t xml:space="preserve"> </w:t>
            </w:r>
            <w:r w:rsidRPr="00B87922">
              <w:rPr>
                <w:shd w:val="clear" w:color="auto" w:fill="FFFFFF" w:themeFill="background1"/>
              </w:rPr>
              <w:t>102 of the</w:t>
            </w:r>
            <w:r w:rsidR="00110DE3" w:rsidRPr="00B87922">
              <w:rPr>
                <w:shd w:val="clear" w:color="auto" w:fill="FFFFFF" w:themeFill="background1"/>
              </w:rPr>
              <w:t xml:space="preserve"> Convention</w:t>
            </w:r>
            <w:r w:rsidR="002A1328" w:rsidRPr="00B87922">
              <w:rPr>
                <w:shd w:val="clear" w:color="auto" w:fill="FFFFFF" w:themeFill="background1"/>
              </w:rPr>
              <w:t>)</w:t>
            </w:r>
            <w:r w:rsidR="009C3774" w:rsidRPr="00B87922">
              <w:rPr>
                <w:shd w:val="clear" w:color="auto" w:fill="FFFFFF" w:themeFill="background1"/>
              </w:rPr>
              <w:t xml:space="preserve"> </w:t>
            </w:r>
            <w:r w:rsidRPr="00B87922">
              <w:rPr>
                <w:shd w:val="clear" w:color="auto" w:fill="FFFFFF" w:themeFill="background1"/>
              </w:rPr>
              <w:t xml:space="preserve">and the </w:t>
            </w:r>
            <w:r w:rsidR="00857768" w:rsidRPr="00B87922">
              <w:rPr>
                <w:shd w:val="clear" w:color="auto" w:fill="FFFFFF" w:themeFill="background1"/>
              </w:rPr>
              <w:t>r</w:t>
            </w:r>
            <w:r w:rsidRPr="00B87922">
              <w:rPr>
                <w:shd w:val="clear" w:color="auto" w:fill="FFFFFF" w:themeFill="background1"/>
              </w:rPr>
              <w:t xml:space="preserve">eport on the </w:t>
            </w:r>
            <w:r w:rsidR="00857768" w:rsidRPr="00B87922">
              <w:rPr>
                <w:shd w:val="clear" w:color="auto" w:fill="FFFFFF" w:themeFill="background1"/>
              </w:rPr>
              <w:t>i</w:t>
            </w:r>
            <w:r w:rsidRPr="00B87922">
              <w:rPr>
                <w:shd w:val="clear" w:color="auto" w:fill="FFFFFF" w:themeFill="background1"/>
              </w:rPr>
              <w:t xml:space="preserve">mplementation of the </w:t>
            </w:r>
            <w:r w:rsidR="00857768" w:rsidRPr="00B87922">
              <w:rPr>
                <w:shd w:val="clear" w:color="auto" w:fill="FFFFFF" w:themeFill="background1"/>
              </w:rPr>
              <w:t>s</w:t>
            </w:r>
            <w:r w:rsidRPr="00B87922">
              <w:rPr>
                <w:shd w:val="clear" w:color="auto" w:fill="FFFFFF" w:themeFill="background1"/>
              </w:rPr>
              <w:t xml:space="preserve">trategic </w:t>
            </w:r>
            <w:r w:rsidR="00857768" w:rsidRPr="00B87922">
              <w:rPr>
                <w:shd w:val="clear" w:color="auto" w:fill="FFFFFF" w:themeFill="background1"/>
              </w:rPr>
              <w:t>p</w:t>
            </w:r>
            <w:r w:rsidRPr="00B87922">
              <w:rPr>
                <w:shd w:val="clear" w:color="auto" w:fill="FFFFFF" w:themeFill="background1"/>
              </w:rPr>
              <w:t xml:space="preserve">lan (as required by </w:t>
            </w:r>
            <w:r w:rsidR="00947243" w:rsidRPr="00B87922">
              <w:rPr>
                <w:shd w:val="clear" w:color="auto" w:fill="FFFFFF" w:themeFill="background1"/>
              </w:rPr>
              <w:t>No.</w:t>
            </w:r>
            <w:r w:rsidRPr="00B87922">
              <w:rPr>
                <w:shd w:val="clear" w:color="auto" w:fill="FFFFFF" w:themeFill="background1"/>
              </w:rPr>
              <w:t xml:space="preserve"> 61 of the C</w:t>
            </w:r>
            <w:r w:rsidR="00871225" w:rsidRPr="00B87922">
              <w:rPr>
                <w:shd w:val="clear" w:color="auto" w:fill="FFFFFF" w:themeFill="background1"/>
              </w:rPr>
              <w:t>onvention</w:t>
            </w:r>
            <w:r w:rsidRPr="00B87922">
              <w:rPr>
                <w:shd w:val="clear" w:color="auto" w:fill="FFFFFF" w:themeFill="background1"/>
              </w:rPr>
              <w:t xml:space="preserve"> and Resolution 71 (Rev. Dubai, 2018)</w:t>
            </w:r>
            <w:r w:rsidR="00FF6B93" w:rsidRPr="00B87922">
              <w:rPr>
                <w:shd w:val="clear" w:color="auto" w:fill="FFFFFF" w:themeFill="background1"/>
              </w:rPr>
              <w:t xml:space="preserve"> of the Plenipotentiary Conference</w:t>
            </w:r>
            <w:r w:rsidRPr="00B87922">
              <w:rPr>
                <w:shd w:val="clear" w:color="auto" w:fill="FFFFFF" w:themeFill="background1"/>
              </w:rPr>
              <w:t>).</w:t>
            </w:r>
          </w:p>
          <w:p w14:paraId="152BF4FC" w14:textId="77777777" w:rsidR="0049723A" w:rsidRPr="00B87922" w:rsidRDefault="00DE1637" w:rsidP="00DE1637">
            <w:pPr>
              <w:snapToGrid w:val="0"/>
              <w:spacing w:after="120"/>
              <w:jc w:val="both"/>
            </w:pPr>
            <w:r w:rsidRPr="00B87922">
              <w:t xml:space="preserve">Considerable effort has gone into compiling this document </w:t>
            </w:r>
            <w:proofErr w:type="gramStart"/>
            <w:r w:rsidRPr="00B87922">
              <w:t>so as to</w:t>
            </w:r>
            <w:proofErr w:type="gramEnd"/>
            <w:r w:rsidRPr="00B87922">
              <w:t xml:space="preserve"> include all the relevant activity in a results-oriented, evidence-based </w:t>
            </w:r>
            <w:r w:rsidR="00AE11B7" w:rsidRPr="00B87922">
              <w:t xml:space="preserve">and thematic-oriented </w:t>
            </w:r>
            <w:r w:rsidRPr="00B87922">
              <w:t xml:space="preserve">way, including analytical figures showing overall progress towards the </w:t>
            </w:r>
            <w:bookmarkStart w:id="1" w:name="_Hlk67568303"/>
            <w:r w:rsidRPr="00B87922">
              <w:t>Connect 2030 targets</w:t>
            </w:r>
            <w:bookmarkEnd w:id="1"/>
            <w:r w:rsidRPr="00B87922">
              <w:t xml:space="preserve">, and detailed information on the indicators endorsed by </w:t>
            </w:r>
            <w:r w:rsidR="00110DE3" w:rsidRPr="00B87922">
              <w:t xml:space="preserve">the </w:t>
            </w:r>
            <w:r w:rsidRPr="00B87922">
              <w:t>membership in the operational plans of the three Sectors and the General Secretariat.</w:t>
            </w:r>
          </w:p>
          <w:p w14:paraId="30ED6D62" w14:textId="07F2F014" w:rsidR="00DE1637" w:rsidRPr="00B64995" w:rsidRDefault="00DE1637" w:rsidP="00DE1637">
            <w:pPr>
              <w:snapToGrid w:val="0"/>
              <w:spacing w:after="120"/>
              <w:jc w:val="both"/>
            </w:pPr>
            <w:r w:rsidRPr="00B87922">
              <w:t xml:space="preserve">This report is the </w:t>
            </w:r>
            <w:r w:rsidR="006437CA" w:rsidRPr="00B87922">
              <w:t>fir</w:t>
            </w:r>
            <w:r w:rsidRPr="00B87922">
              <w:t xml:space="preserve">st one on the implementation of the </w:t>
            </w:r>
            <w:bookmarkStart w:id="2" w:name="_Hlk67568339"/>
            <w:r w:rsidRPr="00B87922">
              <w:t xml:space="preserve">2020-2023 </w:t>
            </w:r>
            <w:r w:rsidR="00857768" w:rsidRPr="00B87922">
              <w:t>s</w:t>
            </w:r>
            <w:r w:rsidRPr="00B87922">
              <w:t xml:space="preserve">trategic </w:t>
            </w:r>
            <w:r w:rsidR="00857768" w:rsidRPr="00B87922">
              <w:t>p</w:t>
            </w:r>
            <w:r w:rsidRPr="00B87922">
              <w:t xml:space="preserve">lan </w:t>
            </w:r>
            <w:bookmarkEnd w:id="2"/>
            <w:r w:rsidRPr="00B87922">
              <w:t xml:space="preserve">adopted </w:t>
            </w:r>
            <w:r w:rsidR="00110DE3" w:rsidRPr="00B87922">
              <w:t xml:space="preserve">at </w:t>
            </w:r>
            <w:r w:rsidR="008629D6" w:rsidRPr="00B87922">
              <w:t>the Plenipotentiary Conference (Dubai, 2018)</w:t>
            </w:r>
            <w:r w:rsidRPr="00B87922">
              <w:t>.</w:t>
            </w:r>
            <w:r w:rsidR="00D81573" w:rsidRPr="00B87922">
              <w:t xml:space="preserve"> This</w:t>
            </w:r>
            <w:r w:rsidR="00D81573" w:rsidRPr="00B64995">
              <w:t xml:space="preserve"> document was originally prepared as </w:t>
            </w:r>
            <w:hyperlink r:id="rId12" w:history="1">
              <w:r w:rsidR="00D81573" w:rsidRPr="00B64995">
                <w:rPr>
                  <w:rStyle w:val="Hyperlink"/>
                </w:rPr>
                <w:t>C20/35</w:t>
              </w:r>
            </w:hyperlink>
            <w:r w:rsidR="00D81573" w:rsidRPr="00A060FE">
              <w:t xml:space="preserve"> for submission to the 2020 session of the Council but was not reviewed.</w:t>
            </w:r>
          </w:p>
          <w:p w14:paraId="199E3256" w14:textId="77777777" w:rsidR="00DE1637" w:rsidRPr="00B64995" w:rsidRDefault="00DE1637" w:rsidP="00927F25">
            <w:pPr>
              <w:rPr>
                <w:b/>
                <w:bCs/>
              </w:rPr>
            </w:pPr>
            <w:r w:rsidRPr="00B64995">
              <w:rPr>
                <w:b/>
                <w:bCs/>
              </w:rPr>
              <w:t xml:space="preserve">Action </w:t>
            </w:r>
            <w:proofErr w:type="gramStart"/>
            <w:r w:rsidRPr="00B64995">
              <w:rPr>
                <w:b/>
                <w:bCs/>
              </w:rPr>
              <w:t>required</w:t>
            </w:r>
            <w:proofErr w:type="gramEnd"/>
          </w:p>
          <w:p w14:paraId="64FDC1D7" w14:textId="5513842F" w:rsidR="00DE1637" w:rsidRPr="00B64995" w:rsidRDefault="00DE1637" w:rsidP="00DB0BF3">
            <w:pPr>
              <w:spacing w:before="120"/>
              <w:jc w:val="both"/>
            </w:pPr>
            <w:r w:rsidRPr="00B64995">
              <w:t xml:space="preserve">The Council is invited to </w:t>
            </w:r>
            <w:r w:rsidRPr="00B64995">
              <w:rPr>
                <w:b/>
                <w:bCs/>
              </w:rPr>
              <w:t>approve</w:t>
            </w:r>
            <w:r w:rsidRPr="00B64995">
              <w:t xml:space="preserve"> the report.</w:t>
            </w:r>
          </w:p>
          <w:p w14:paraId="76024293" w14:textId="77777777" w:rsidR="00DE1637" w:rsidRPr="00B64995" w:rsidRDefault="00DE1637" w:rsidP="00927F25">
            <w:pPr>
              <w:pStyle w:val="Table"/>
              <w:keepNext w:val="0"/>
              <w:snapToGrid w:val="0"/>
              <w:spacing w:before="120"/>
              <w:rPr>
                <w:rFonts w:ascii="Calibri" w:hAnsi="Calibri"/>
                <w:caps w:val="0"/>
                <w:sz w:val="22"/>
                <w:szCs w:val="22"/>
              </w:rPr>
            </w:pPr>
            <w:r w:rsidRPr="00B64995">
              <w:rPr>
                <w:rFonts w:ascii="Calibri" w:hAnsi="Calibri"/>
                <w:caps w:val="0"/>
                <w:sz w:val="22"/>
                <w:szCs w:val="22"/>
              </w:rPr>
              <w:t>____________</w:t>
            </w:r>
          </w:p>
          <w:p w14:paraId="4FC0E9B4" w14:textId="77777777" w:rsidR="00DE1637" w:rsidRPr="00B64995" w:rsidRDefault="00DE1637" w:rsidP="00927F25">
            <w:pPr>
              <w:rPr>
                <w:b/>
                <w:bCs/>
              </w:rPr>
            </w:pPr>
            <w:r w:rsidRPr="00B64995">
              <w:rPr>
                <w:b/>
                <w:bCs/>
              </w:rPr>
              <w:t>References</w:t>
            </w:r>
          </w:p>
          <w:p w14:paraId="36D2723C" w14:textId="4DD0C51C" w:rsidR="00DE1637" w:rsidRPr="00B64995" w:rsidRDefault="00DE1637" w:rsidP="00927F25">
            <w:pPr>
              <w:snapToGrid w:val="0"/>
              <w:spacing w:after="120"/>
              <w:jc w:val="both"/>
              <w:rPr>
                <w:i/>
                <w:iCs/>
              </w:rPr>
            </w:pPr>
            <w:r w:rsidRPr="00B64995">
              <w:rPr>
                <w:i/>
              </w:rPr>
              <w:t xml:space="preserve">Plenipotentiary Resolutions </w:t>
            </w:r>
            <w:hyperlink r:id="rId13" w:history="1">
              <w:r w:rsidRPr="00B64995">
                <w:rPr>
                  <w:rStyle w:val="Hyperlink"/>
                  <w:i/>
                </w:rPr>
                <w:t>71</w:t>
              </w:r>
            </w:hyperlink>
            <w:r w:rsidR="000F5ACB" w:rsidRPr="00A060FE">
              <w:t xml:space="preserve">, </w:t>
            </w:r>
            <w:hyperlink r:id="rId14" w:history="1">
              <w:r w:rsidRPr="00B64995">
                <w:rPr>
                  <w:rStyle w:val="Hyperlink"/>
                  <w:i/>
                </w:rPr>
                <w:t>151</w:t>
              </w:r>
            </w:hyperlink>
            <w:r w:rsidR="000F5ACB" w:rsidRPr="00A060FE">
              <w:rPr>
                <w:i/>
              </w:rPr>
              <w:t xml:space="preserve"> and </w:t>
            </w:r>
            <w:hyperlink r:id="rId15" w:history="1">
              <w:r w:rsidR="000F5ACB" w:rsidRPr="00B64995">
                <w:rPr>
                  <w:rStyle w:val="Hyperlink"/>
                  <w:i/>
                </w:rPr>
                <w:t>200</w:t>
              </w:r>
            </w:hyperlink>
            <w:r w:rsidR="000F5ACB" w:rsidRPr="00A060FE">
              <w:rPr>
                <w:i/>
              </w:rPr>
              <w:t>;</w:t>
            </w:r>
            <w:r w:rsidRPr="00B64995">
              <w:rPr>
                <w:i/>
              </w:rPr>
              <w:t xml:space="preserve"> and </w:t>
            </w:r>
            <w:r w:rsidR="00871225" w:rsidRPr="00B64995">
              <w:rPr>
                <w:i/>
              </w:rPr>
              <w:t>CV</w:t>
            </w:r>
            <w:r w:rsidRPr="00B64995">
              <w:rPr>
                <w:i/>
                <w:iCs/>
              </w:rPr>
              <w:t xml:space="preserve">102 </w:t>
            </w:r>
            <w:r w:rsidR="00D65CF3" w:rsidRPr="00B64995">
              <w:rPr>
                <w:i/>
                <w:iCs/>
              </w:rPr>
              <w:t xml:space="preserve">and 61 </w:t>
            </w:r>
          </w:p>
        </w:tc>
      </w:tr>
    </w:tbl>
    <w:p w14:paraId="6E7BEAA2" w14:textId="73814C42" w:rsidR="00E417F0" w:rsidRPr="00B64995" w:rsidRDefault="00E417F0" w:rsidP="00614D53">
      <w:pPr>
        <w:jc w:val="both"/>
        <w:textAlignment w:val="baseline"/>
        <w:rPr>
          <w:rFonts w:eastAsia="Times New Roman"/>
          <w:b/>
          <w:color w:val="7F7F7F"/>
          <w:lang w:eastAsia="en-GB"/>
        </w:rPr>
      </w:pPr>
    </w:p>
    <w:p w14:paraId="2A293189" w14:textId="77777777" w:rsidR="004840A5" w:rsidRPr="00B64995" w:rsidRDefault="004840A5">
      <w:pPr>
        <w:spacing w:after="160" w:line="259" w:lineRule="auto"/>
        <w:rPr>
          <w:rFonts w:eastAsia="Times New Roman"/>
          <w:b/>
          <w:color w:val="7F7F7F"/>
          <w:lang w:eastAsia="en-GB"/>
        </w:rPr>
        <w:sectPr w:rsidR="004840A5" w:rsidRPr="00B64995" w:rsidSect="00231D35">
          <w:headerReference w:type="even" r:id="rId16"/>
          <w:headerReference w:type="default" r:id="rId17"/>
          <w:footerReference w:type="even" r:id="rId18"/>
          <w:footerReference w:type="default" r:id="rId19"/>
          <w:footerReference w:type="first" r:id="rId20"/>
          <w:pgSz w:w="11906" w:h="16838" w:code="9"/>
          <w:pgMar w:top="1247" w:right="1418" w:bottom="1418" w:left="1418" w:header="567" w:footer="567" w:gutter="0"/>
          <w:pgNumType w:fmt="lowerRoman" w:start="1"/>
          <w:cols w:space="708"/>
          <w:titlePg/>
          <w:docGrid w:linePitch="360"/>
        </w:sectPr>
      </w:pPr>
    </w:p>
    <w:p w14:paraId="425785CC" w14:textId="095E1B5B" w:rsidR="00DE1637" w:rsidRPr="00A060FE" w:rsidRDefault="00DE1637">
      <w:pPr>
        <w:spacing w:after="160" w:line="259" w:lineRule="auto"/>
        <w:rPr>
          <w:rFonts w:eastAsia="Times New Roman"/>
          <w:b/>
          <w:color w:val="7F7F7F"/>
          <w:lang w:eastAsia="en-GB"/>
        </w:rPr>
      </w:pPr>
    </w:p>
    <w:p w14:paraId="1131EDCC" w14:textId="52C13772" w:rsidR="0084014C" w:rsidRPr="00B64995" w:rsidRDefault="0084014C" w:rsidP="00B87922">
      <w:pPr>
        <w:pStyle w:val="Heading1"/>
        <w:ind w:left="0" w:firstLine="0"/>
      </w:pPr>
      <w:bookmarkStart w:id="5" w:name="_Hlk67565098"/>
    </w:p>
    <w:bookmarkEnd w:id="5"/>
    <w:p w14:paraId="360A56DF" w14:textId="5B24F8CE" w:rsidR="0084014C" w:rsidRPr="00B64995" w:rsidRDefault="0084014C" w:rsidP="00007BBE">
      <w:pPr>
        <w:spacing w:before="120" w:line="252" w:lineRule="auto"/>
        <w:ind w:right="147"/>
        <w:jc w:val="both"/>
        <w:rPr>
          <w:rFonts w:cstheme="minorHAnsi"/>
        </w:rPr>
      </w:pPr>
    </w:p>
    <w:p w14:paraId="0269B9AA" w14:textId="449FC20B" w:rsidR="003269FF" w:rsidRPr="00B64995" w:rsidRDefault="003269FF" w:rsidP="003269FF">
      <w:pPr>
        <w:spacing w:before="120" w:line="252" w:lineRule="auto"/>
        <w:ind w:right="147"/>
        <w:jc w:val="both"/>
        <w:rPr>
          <w:rStyle w:val="SubtleEmphasis"/>
          <w:rFonts w:cstheme="minorHAnsi"/>
          <w:i w:val="0"/>
          <w:iCs w:val="0"/>
        </w:rPr>
      </w:pPr>
    </w:p>
    <w:p w14:paraId="669BC393" w14:textId="77777777" w:rsidR="00007BBE" w:rsidRPr="00B64995" w:rsidRDefault="00007BBE" w:rsidP="00007BBE">
      <w:pPr>
        <w:spacing w:before="120" w:line="252" w:lineRule="auto"/>
        <w:ind w:right="147"/>
        <w:jc w:val="right"/>
        <w:rPr>
          <w:rFonts w:cstheme="minorHAnsi"/>
        </w:rPr>
      </w:pPr>
    </w:p>
    <w:p w14:paraId="671CB6C5" w14:textId="62577E64" w:rsidR="0049723A" w:rsidRPr="00B87922" w:rsidRDefault="00946DDB" w:rsidP="00946DDB">
      <w:pPr>
        <w:snapToGrid w:val="0"/>
        <w:spacing w:after="120"/>
        <w:jc w:val="center"/>
        <w:rPr>
          <w:rFonts w:asciiTheme="majorHAnsi" w:hAnsiTheme="majorHAnsi" w:cstheme="majorHAnsi"/>
          <w:b/>
          <w:bCs/>
        </w:rPr>
      </w:pPr>
      <w:bookmarkStart w:id="6" w:name="_Hlk67565195"/>
      <w:r w:rsidRPr="00B87922">
        <w:rPr>
          <w:rFonts w:asciiTheme="majorHAnsi" w:hAnsiTheme="majorHAnsi" w:cstheme="majorHAnsi"/>
          <w:b/>
          <w:bCs/>
        </w:rPr>
        <w:t xml:space="preserve">Foreword to the </w:t>
      </w:r>
      <w:r w:rsidR="002A1328" w:rsidRPr="00B87922">
        <w:rPr>
          <w:rFonts w:asciiTheme="majorHAnsi" w:hAnsiTheme="majorHAnsi" w:cstheme="majorHAnsi"/>
          <w:b/>
          <w:bCs/>
        </w:rPr>
        <w:t>r</w:t>
      </w:r>
      <w:r w:rsidRPr="00B87922">
        <w:rPr>
          <w:rFonts w:asciiTheme="majorHAnsi" w:hAnsiTheme="majorHAnsi" w:cstheme="majorHAnsi"/>
          <w:b/>
          <w:bCs/>
        </w:rPr>
        <w:t xml:space="preserve">eport on the </w:t>
      </w:r>
      <w:r w:rsidR="002A1328" w:rsidRPr="00B87922">
        <w:rPr>
          <w:rFonts w:asciiTheme="majorHAnsi" w:hAnsiTheme="majorHAnsi" w:cstheme="majorHAnsi"/>
          <w:b/>
          <w:bCs/>
        </w:rPr>
        <w:t>i</w:t>
      </w:r>
      <w:r w:rsidRPr="00B87922">
        <w:rPr>
          <w:rFonts w:asciiTheme="majorHAnsi" w:hAnsiTheme="majorHAnsi" w:cstheme="majorHAnsi"/>
          <w:b/>
          <w:bCs/>
        </w:rPr>
        <w:t xml:space="preserve">mplementation of the </w:t>
      </w:r>
      <w:r w:rsidR="002A1328" w:rsidRPr="00B87922">
        <w:rPr>
          <w:rFonts w:asciiTheme="majorHAnsi" w:hAnsiTheme="majorHAnsi" w:cstheme="majorHAnsi"/>
          <w:b/>
          <w:bCs/>
        </w:rPr>
        <w:t>s</w:t>
      </w:r>
      <w:r w:rsidRPr="00B87922">
        <w:rPr>
          <w:rFonts w:asciiTheme="majorHAnsi" w:hAnsiTheme="majorHAnsi" w:cstheme="majorHAnsi"/>
          <w:b/>
          <w:bCs/>
        </w:rPr>
        <w:t xml:space="preserve">trategic </w:t>
      </w:r>
      <w:r w:rsidR="002A1328" w:rsidRPr="00B87922">
        <w:rPr>
          <w:rFonts w:asciiTheme="majorHAnsi" w:hAnsiTheme="majorHAnsi" w:cstheme="majorHAnsi"/>
          <w:b/>
          <w:bCs/>
        </w:rPr>
        <w:t>p</w:t>
      </w:r>
      <w:r w:rsidRPr="00B87922">
        <w:rPr>
          <w:rFonts w:asciiTheme="majorHAnsi" w:hAnsiTheme="majorHAnsi" w:cstheme="majorHAnsi"/>
          <w:b/>
          <w:bCs/>
        </w:rPr>
        <w:t>lan and activities of the Union</w:t>
      </w:r>
    </w:p>
    <w:p w14:paraId="7C15A4F5" w14:textId="57C97866" w:rsidR="00946DDB" w:rsidRPr="00B87922" w:rsidRDefault="00946DDB" w:rsidP="00946DDB">
      <w:pPr>
        <w:snapToGrid w:val="0"/>
        <w:spacing w:after="120"/>
        <w:jc w:val="center"/>
        <w:rPr>
          <w:rFonts w:asciiTheme="majorHAnsi" w:hAnsiTheme="majorHAnsi" w:cstheme="majorHAnsi"/>
          <w:b/>
          <w:bCs/>
        </w:rPr>
      </w:pPr>
      <w:r w:rsidRPr="00B87922">
        <w:rPr>
          <w:rFonts w:asciiTheme="majorHAnsi" w:hAnsiTheme="majorHAnsi" w:cstheme="majorHAnsi"/>
          <w:b/>
          <w:bCs/>
        </w:rPr>
        <w:t>April 2019 – April 2021</w:t>
      </w:r>
    </w:p>
    <w:bookmarkEnd w:id="6"/>
    <w:p w14:paraId="388CC15C" w14:textId="77777777" w:rsidR="0049723A" w:rsidRPr="00B87922" w:rsidRDefault="00946DDB" w:rsidP="00946DDB">
      <w:pPr>
        <w:snapToGrid w:val="0"/>
        <w:spacing w:after="120"/>
        <w:jc w:val="both"/>
        <w:rPr>
          <w:rFonts w:asciiTheme="majorHAnsi" w:hAnsiTheme="majorHAnsi" w:cstheme="majorHAnsi"/>
        </w:rPr>
      </w:pPr>
      <w:r w:rsidRPr="00B87922">
        <w:rPr>
          <w:rFonts w:asciiTheme="majorHAnsi" w:hAnsiTheme="majorHAnsi" w:cstheme="majorHAnsi"/>
          <w:sz w:val="8"/>
          <w:szCs w:val="8"/>
        </w:rPr>
        <w:br/>
      </w:r>
      <w:bookmarkStart w:id="7" w:name="_Hlk67565419"/>
      <w:r w:rsidRPr="00B87922">
        <w:rPr>
          <w:rFonts w:asciiTheme="majorHAnsi" w:hAnsiTheme="majorHAnsi" w:cstheme="majorHAnsi"/>
        </w:rPr>
        <w:t>Dear members of the ITU family,</w:t>
      </w:r>
      <w:bookmarkEnd w:id="7"/>
    </w:p>
    <w:p w14:paraId="7D75278F" w14:textId="77777777" w:rsidR="0049723A" w:rsidRPr="00B87922" w:rsidRDefault="00946DDB" w:rsidP="00946DDB">
      <w:pPr>
        <w:snapToGrid w:val="0"/>
        <w:spacing w:after="120"/>
        <w:jc w:val="both"/>
        <w:rPr>
          <w:rFonts w:asciiTheme="majorHAnsi" w:hAnsiTheme="majorHAnsi" w:cstheme="majorHAnsi"/>
        </w:rPr>
      </w:pPr>
      <w:r w:rsidRPr="00B87922">
        <w:rPr>
          <w:rFonts w:asciiTheme="majorHAnsi" w:hAnsiTheme="majorHAnsi" w:cstheme="majorHAnsi"/>
        </w:rPr>
        <w:t>One year into a pandemic that continues to disrupt lives and economies worldwide, people and businesses everywhere are relying more than ever on information and communication technologies to look beyond COVID-19 towards building back better with ICTs.</w:t>
      </w:r>
    </w:p>
    <w:p w14:paraId="7C472EB7" w14:textId="77777777" w:rsidR="0049723A" w:rsidRPr="00B87922" w:rsidRDefault="00946DDB" w:rsidP="00946DDB">
      <w:pPr>
        <w:snapToGrid w:val="0"/>
        <w:spacing w:after="120"/>
        <w:jc w:val="both"/>
        <w:rPr>
          <w:rFonts w:asciiTheme="majorHAnsi" w:hAnsiTheme="majorHAnsi" w:cstheme="majorHAnsi"/>
        </w:rPr>
      </w:pPr>
      <w:r w:rsidRPr="00B87922">
        <w:rPr>
          <w:rFonts w:asciiTheme="majorHAnsi" w:hAnsiTheme="majorHAnsi" w:cstheme="majorHAnsi"/>
        </w:rPr>
        <w:t xml:space="preserve">As the world is undergoing a digital transformation on a scale unseen in our time, let us remember the instrumental role played by the two phases of the World Summit on the Information Society, organized by ITU in 2003 and 2005, in laying the foundations of the vast and resilient ICT ecosystem that has made all this possible. Let us also remember that after witnessing two decades of exceptional growth, improvement in connectivity is slowing </w:t>
      </w:r>
      <w:r w:rsidR="001175BA" w:rsidRPr="00B87922">
        <w:rPr>
          <w:rFonts w:asciiTheme="majorHAnsi" w:hAnsiTheme="majorHAnsi" w:cstheme="majorHAnsi"/>
        </w:rPr>
        <w:t xml:space="preserve">down </w:t>
      </w:r>
      <w:r w:rsidRPr="00B87922">
        <w:rPr>
          <w:rFonts w:asciiTheme="majorHAnsi" w:hAnsiTheme="majorHAnsi" w:cstheme="majorHAnsi"/>
        </w:rPr>
        <w:t>and nearly half of the world’s population is still unconnected, deprived of the digital technologies and services that have proved so essential since the start of the pandemic.</w:t>
      </w:r>
    </w:p>
    <w:p w14:paraId="5BC0498B" w14:textId="56332C91" w:rsidR="00946DDB" w:rsidRPr="00B87922" w:rsidRDefault="00946DDB" w:rsidP="00946DDB">
      <w:pPr>
        <w:snapToGrid w:val="0"/>
        <w:spacing w:after="120"/>
        <w:jc w:val="both"/>
        <w:rPr>
          <w:rFonts w:asciiTheme="majorHAnsi" w:hAnsiTheme="majorHAnsi" w:cstheme="majorHAnsi"/>
        </w:rPr>
      </w:pPr>
      <w:r w:rsidRPr="00B87922">
        <w:rPr>
          <w:rFonts w:asciiTheme="majorHAnsi" w:hAnsiTheme="majorHAnsi" w:cstheme="majorHAnsi"/>
        </w:rPr>
        <w:t xml:space="preserve">The crucial task before ITU, as the United Nations specialized agency for ICTs, is twofold: to connect the unconnected and to facilitate the development of the related technologies. This report takes stock of the considerable progress that has been made towards this goal in the last two years, through landmark ITU conferences, </w:t>
      </w:r>
      <w:proofErr w:type="gramStart"/>
      <w:r w:rsidRPr="00B87922">
        <w:rPr>
          <w:rFonts w:asciiTheme="majorHAnsi" w:hAnsiTheme="majorHAnsi" w:cstheme="majorHAnsi"/>
        </w:rPr>
        <w:t>processes</w:t>
      </w:r>
      <w:proofErr w:type="gramEnd"/>
      <w:r w:rsidRPr="00B87922">
        <w:rPr>
          <w:rFonts w:asciiTheme="majorHAnsi" w:hAnsiTheme="majorHAnsi" w:cstheme="majorHAnsi"/>
        </w:rPr>
        <w:t xml:space="preserve"> and initiatives. It also shows how, in concert with our members and partners, ITU has responded to the current crisis, setting in </w:t>
      </w:r>
      <w:proofErr w:type="gramStart"/>
      <w:r w:rsidRPr="00B87922">
        <w:rPr>
          <w:rFonts w:asciiTheme="majorHAnsi" w:hAnsiTheme="majorHAnsi" w:cstheme="majorHAnsi"/>
        </w:rPr>
        <w:t>motion</w:t>
      </w:r>
      <w:proofErr w:type="gramEnd"/>
      <w:r w:rsidRPr="00B87922">
        <w:rPr>
          <w:rFonts w:asciiTheme="majorHAnsi" w:hAnsiTheme="majorHAnsi" w:cstheme="majorHAnsi"/>
        </w:rPr>
        <w:t xml:space="preserve"> and building on projects and activities in areas as diverse and critical as network resilience, digital health, remote learning, digital finance, e-government and teleworking. It is part of ITU’s ongoing efforts to facilitate the mobilization of new and emerging technologies, ranging from </w:t>
      </w:r>
      <w:r w:rsidR="00061D17" w:rsidRPr="00B87922">
        <w:rPr>
          <w:rFonts w:asciiTheme="majorHAnsi" w:hAnsiTheme="majorHAnsi" w:cstheme="majorHAnsi"/>
        </w:rPr>
        <w:t>a</w:t>
      </w:r>
      <w:r w:rsidRPr="00B87922">
        <w:rPr>
          <w:rFonts w:asciiTheme="majorHAnsi" w:hAnsiTheme="majorHAnsi" w:cstheme="majorHAnsi"/>
        </w:rPr>
        <w:t xml:space="preserve">rtificial </w:t>
      </w:r>
      <w:r w:rsidR="00061D17" w:rsidRPr="00B87922">
        <w:rPr>
          <w:rFonts w:asciiTheme="majorHAnsi" w:hAnsiTheme="majorHAnsi" w:cstheme="majorHAnsi"/>
        </w:rPr>
        <w:t>i</w:t>
      </w:r>
      <w:r w:rsidRPr="00B87922">
        <w:rPr>
          <w:rFonts w:asciiTheme="majorHAnsi" w:hAnsiTheme="majorHAnsi" w:cstheme="majorHAnsi"/>
        </w:rPr>
        <w:t>ntelligence</w:t>
      </w:r>
      <w:r w:rsidR="00B87922">
        <w:rPr>
          <w:rFonts w:asciiTheme="majorHAnsi" w:hAnsiTheme="majorHAnsi" w:cstheme="majorHAnsi"/>
        </w:rPr>
        <w:t xml:space="preserve"> </w:t>
      </w:r>
      <w:r w:rsidRPr="00B87922">
        <w:rPr>
          <w:rFonts w:asciiTheme="majorHAnsi" w:hAnsiTheme="majorHAnsi" w:cstheme="majorHAnsi"/>
        </w:rPr>
        <w:t>to 5G, which will be central to tomorrow’s digital economy and to supporting the urgently needed transformational changes for society and the environment.</w:t>
      </w:r>
    </w:p>
    <w:p w14:paraId="6ED14759" w14:textId="6393DB23" w:rsidR="00946DDB" w:rsidRPr="00B87922" w:rsidRDefault="00946DDB" w:rsidP="00946DDB">
      <w:pPr>
        <w:snapToGrid w:val="0"/>
        <w:spacing w:after="120"/>
        <w:jc w:val="both"/>
        <w:rPr>
          <w:rFonts w:asciiTheme="majorHAnsi" w:hAnsiTheme="majorHAnsi" w:cstheme="majorHAnsi"/>
        </w:rPr>
      </w:pPr>
      <w:r w:rsidRPr="00B87922">
        <w:rPr>
          <w:rFonts w:asciiTheme="majorHAnsi" w:hAnsiTheme="majorHAnsi" w:cstheme="majorHAnsi"/>
        </w:rPr>
        <w:t xml:space="preserve">We as an organization have lived through challenging moments in the past year, but we also have learned a lot. Both </w:t>
      </w:r>
      <w:r w:rsidR="00871225" w:rsidRPr="00B87922">
        <w:rPr>
          <w:rFonts w:asciiTheme="majorHAnsi" w:hAnsiTheme="majorHAnsi" w:cstheme="majorHAnsi"/>
        </w:rPr>
        <w:t>v</w:t>
      </w:r>
      <w:r w:rsidRPr="00B87922">
        <w:rPr>
          <w:rFonts w:asciiTheme="majorHAnsi" w:hAnsiTheme="majorHAnsi" w:cstheme="majorHAnsi"/>
        </w:rPr>
        <w:t xml:space="preserve">irtual </w:t>
      </w:r>
      <w:r w:rsidR="00871225" w:rsidRPr="00B87922">
        <w:rPr>
          <w:rFonts w:asciiTheme="majorHAnsi" w:hAnsiTheme="majorHAnsi" w:cstheme="majorHAnsi"/>
        </w:rPr>
        <w:t>c</w:t>
      </w:r>
      <w:r w:rsidRPr="00B87922">
        <w:rPr>
          <w:rFonts w:asciiTheme="majorHAnsi" w:hAnsiTheme="majorHAnsi" w:cstheme="majorHAnsi"/>
        </w:rPr>
        <w:t xml:space="preserve">onsultations of </w:t>
      </w:r>
      <w:r w:rsidR="00871225" w:rsidRPr="00B87922">
        <w:rPr>
          <w:rFonts w:asciiTheme="majorHAnsi" w:hAnsiTheme="majorHAnsi" w:cstheme="majorHAnsi"/>
        </w:rPr>
        <w:t>c</w:t>
      </w:r>
      <w:r w:rsidRPr="00B87922">
        <w:rPr>
          <w:rFonts w:asciiTheme="majorHAnsi" w:hAnsiTheme="majorHAnsi" w:cstheme="majorHAnsi"/>
        </w:rPr>
        <w:t>ouncillors</w:t>
      </w:r>
      <w:r w:rsidR="00B87922">
        <w:rPr>
          <w:rFonts w:asciiTheme="majorHAnsi" w:hAnsiTheme="majorHAnsi" w:cstheme="majorHAnsi"/>
        </w:rPr>
        <w:t xml:space="preserve"> </w:t>
      </w:r>
      <w:r w:rsidRPr="00B87922">
        <w:rPr>
          <w:rFonts w:asciiTheme="majorHAnsi" w:hAnsiTheme="majorHAnsi" w:cstheme="majorHAnsi"/>
        </w:rPr>
        <w:t>exuded a strong family spirit and ensured that ITU’s activities, policies and strategies continue to fully respond to today’s accelerated digital transformation. As described in the pages of this report, ITU has led by example in the UN system by rapidly adapting its working methods and bringing our events and meetings fully online. It has resulted in more inclusive participation, and we will continue to further our own digital transformation to deliver maximum value to ITU’s membership.</w:t>
      </w:r>
      <w:r w:rsidR="00B87922">
        <w:rPr>
          <w:rFonts w:asciiTheme="majorHAnsi" w:hAnsiTheme="majorHAnsi" w:cstheme="majorHAnsi"/>
        </w:rPr>
        <w:t xml:space="preserve"> </w:t>
      </w:r>
      <w:r w:rsidRPr="00B87922">
        <w:rPr>
          <w:rFonts w:asciiTheme="majorHAnsi" w:hAnsiTheme="majorHAnsi" w:cstheme="majorHAnsi"/>
        </w:rPr>
        <w:t xml:space="preserve">We stand at the beginning of a decisive decade in a year that will see major ITU events, including the </w:t>
      </w:r>
      <w:bookmarkStart w:id="8" w:name="_Hlk67571040"/>
      <w:r w:rsidRPr="00B87922">
        <w:rPr>
          <w:rFonts w:asciiTheme="majorHAnsi" w:hAnsiTheme="majorHAnsi" w:cstheme="majorHAnsi"/>
        </w:rPr>
        <w:t>World Telecommunication Development Conference</w:t>
      </w:r>
      <w:r w:rsidR="008A2F98" w:rsidRPr="00B87922">
        <w:rPr>
          <w:rFonts w:asciiTheme="majorHAnsi" w:hAnsiTheme="majorHAnsi" w:cstheme="majorHAnsi"/>
        </w:rPr>
        <w:t xml:space="preserve"> 2021</w:t>
      </w:r>
      <w:r w:rsidRPr="00B87922">
        <w:rPr>
          <w:rFonts w:asciiTheme="majorHAnsi" w:hAnsiTheme="majorHAnsi" w:cstheme="majorHAnsi"/>
        </w:rPr>
        <w:t xml:space="preserve"> (WTDC-21</w:t>
      </w:r>
      <w:bookmarkEnd w:id="8"/>
      <w:r w:rsidRPr="00B87922">
        <w:rPr>
          <w:rFonts w:asciiTheme="majorHAnsi" w:hAnsiTheme="majorHAnsi" w:cstheme="majorHAnsi"/>
        </w:rPr>
        <w:t>) under the theme of “Connecting the unconnected to achieve sustainable development”. It is my hope that we, as the ITU family, will help create the conditions necessary for investments in ICTs to flourish and be used more efficiently at a time when COVID-19 has stalled or reversed many of the development gains achieved before the pandemic.</w:t>
      </w:r>
    </w:p>
    <w:p w14:paraId="65AFAF87" w14:textId="77777777" w:rsidR="0049723A" w:rsidRPr="00B87922" w:rsidRDefault="00946DDB" w:rsidP="00946DDB">
      <w:pPr>
        <w:snapToGrid w:val="0"/>
        <w:spacing w:after="120"/>
        <w:rPr>
          <w:rFonts w:asciiTheme="majorHAnsi" w:hAnsiTheme="majorHAnsi" w:cstheme="majorHAnsi"/>
        </w:rPr>
      </w:pPr>
      <w:r w:rsidRPr="00B87922">
        <w:rPr>
          <w:rFonts w:asciiTheme="majorHAnsi" w:hAnsiTheme="majorHAnsi" w:cstheme="majorHAnsi"/>
        </w:rPr>
        <w:t>Never has ITU’s mission to connect the world been so important to so many. Let us use this moment to build a stronger and more sustainable digital economy, and a fairer and more connected society.</w:t>
      </w:r>
    </w:p>
    <w:p w14:paraId="58AE1C77" w14:textId="2E7550F6" w:rsidR="00946DDB" w:rsidRPr="00B87922" w:rsidRDefault="00946DDB" w:rsidP="00946DDB">
      <w:pPr>
        <w:snapToGrid w:val="0"/>
        <w:spacing w:after="120"/>
        <w:rPr>
          <w:rFonts w:asciiTheme="majorHAnsi" w:hAnsiTheme="majorHAnsi" w:cstheme="majorHAnsi"/>
          <w:sz w:val="16"/>
          <w:szCs w:val="16"/>
        </w:rPr>
      </w:pPr>
    </w:p>
    <w:p w14:paraId="377F6EFC" w14:textId="624EE6C2" w:rsidR="0084014C" w:rsidRPr="00B64995" w:rsidRDefault="00946DDB" w:rsidP="009B7CCA">
      <w:pPr>
        <w:snapToGrid w:val="0"/>
        <w:spacing w:after="120"/>
        <w:jc w:val="right"/>
        <w:rPr>
          <w:rFonts w:eastAsia="Times New Roman"/>
          <w:color w:val="2F5496" w:themeColor="accent1" w:themeShade="BF"/>
          <w:lang w:eastAsia="en-GB"/>
        </w:rPr>
      </w:pPr>
      <w:r w:rsidRPr="00B87922">
        <w:rPr>
          <w:rFonts w:asciiTheme="majorHAnsi" w:hAnsiTheme="majorHAnsi" w:cstheme="majorHAnsi"/>
        </w:rPr>
        <w:t>Houlin Zhao</w:t>
      </w:r>
      <w:r w:rsidRPr="00B87922">
        <w:rPr>
          <w:rFonts w:asciiTheme="majorHAnsi" w:hAnsiTheme="majorHAnsi" w:cstheme="majorHAnsi"/>
        </w:rPr>
        <w:br/>
      </w:r>
      <w:r w:rsidRPr="00B87922">
        <w:rPr>
          <w:rFonts w:asciiTheme="majorHAnsi" w:hAnsiTheme="majorHAnsi" w:cstheme="majorHAnsi"/>
          <w:i/>
          <w:iCs/>
        </w:rPr>
        <w:t>Secretary-General, International Telecommunication Union</w:t>
      </w:r>
      <w:bookmarkStart w:id="9" w:name="_Toc37860452"/>
      <w:bookmarkStart w:id="10" w:name="_Toc37861213"/>
      <w:bookmarkStart w:id="11" w:name="_Toc37943332"/>
      <w:r w:rsidR="0084014C" w:rsidRPr="00B64995">
        <w:rPr>
          <w:rFonts w:eastAsia="Times New Roman"/>
          <w:lang w:eastAsia="en-GB"/>
        </w:rPr>
        <w:br w:type="page"/>
      </w:r>
    </w:p>
    <w:p w14:paraId="28926B5E" w14:textId="77777777" w:rsidR="0049723A" w:rsidRPr="00B64995" w:rsidRDefault="0084014C" w:rsidP="0084014C">
      <w:pPr>
        <w:pStyle w:val="Heading1"/>
        <w:rPr>
          <w:lang w:eastAsia="en-GB"/>
        </w:rPr>
      </w:pPr>
      <w:bookmarkStart w:id="12" w:name="_Toc68811403"/>
      <w:r w:rsidRPr="00B64995">
        <w:rPr>
          <w:lang w:eastAsia="en-GB"/>
        </w:rPr>
        <w:lastRenderedPageBreak/>
        <w:t>About ITU</w:t>
      </w:r>
      <w:bookmarkEnd w:id="9"/>
      <w:bookmarkEnd w:id="10"/>
      <w:bookmarkEnd w:id="11"/>
      <w:bookmarkEnd w:id="12"/>
    </w:p>
    <w:p w14:paraId="4B6D1CA4" w14:textId="49345757" w:rsidR="0049723A" w:rsidRPr="00A060FE" w:rsidRDefault="0084014C" w:rsidP="0054694C">
      <w:pPr>
        <w:spacing w:before="240" w:line="252" w:lineRule="auto"/>
        <w:ind w:right="146"/>
        <w:jc w:val="both"/>
        <w:rPr>
          <w:rFonts w:eastAsia="Times New Roman"/>
          <w:lang w:eastAsia="en-GB"/>
        </w:rPr>
      </w:pPr>
      <w:r w:rsidRPr="00B64995">
        <w:rPr>
          <w:rFonts w:eastAsia="Times New Roman"/>
          <w:lang w:eastAsia="en-GB"/>
        </w:rPr>
        <w:t xml:space="preserve">The International Telecommunication Union (ITU) is the specialized United Nations agency for information and communication technologies (ICTs), driving innovation in ICTs together with 193 Member States and a membership of over 900 companies, universities, and international and regional organizations. Established </w:t>
      </w:r>
      <w:r w:rsidR="00984896" w:rsidRPr="00B64995">
        <w:rPr>
          <w:rFonts w:eastAsia="Times New Roman"/>
          <w:lang w:eastAsia="en-GB"/>
        </w:rPr>
        <w:t xml:space="preserve">156 </w:t>
      </w:r>
      <w:r w:rsidRPr="00B64995">
        <w:rPr>
          <w:rFonts w:eastAsia="Times New Roman"/>
          <w:lang w:eastAsia="en-GB"/>
        </w:rPr>
        <w:t xml:space="preserve">years ago in 1865, ITU is the intergovernmental body responsible for coordinating the shared global use of the radio spectrum, promoting international cooperation in assigning satellite orbits, improving communication infrastructure in the developing world, and establishing the worldwide standards that foster seamless interconnection of a vast range of communications systems. From broadband networks to cutting-edge wireless technologies, aeronautical and maritime navigation, radio astronomy, oceanographic and satellite-based earth monitoring as well as converging </w:t>
      </w:r>
      <w:bookmarkStart w:id="13" w:name="_Hlk67568257"/>
      <w:r w:rsidRPr="00B64995">
        <w:rPr>
          <w:rFonts w:eastAsia="Times New Roman"/>
          <w:lang w:eastAsia="en-GB"/>
        </w:rPr>
        <w:t>fixed-mobile phone</w:t>
      </w:r>
      <w:bookmarkEnd w:id="13"/>
      <w:r w:rsidRPr="00B64995">
        <w:rPr>
          <w:rFonts w:eastAsia="Times New Roman"/>
          <w:lang w:eastAsia="en-GB"/>
        </w:rPr>
        <w:t xml:space="preserve">, </w:t>
      </w:r>
      <w:proofErr w:type="gramStart"/>
      <w:r w:rsidRPr="00B64995">
        <w:rPr>
          <w:rFonts w:eastAsia="Times New Roman"/>
          <w:lang w:eastAsia="en-GB"/>
        </w:rPr>
        <w:t>Internet</w:t>
      </w:r>
      <w:proofErr w:type="gramEnd"/>
      <w:r w:rsidRPr="00B64995">
        <w:rPr>
          <w:rFonts w:eastAsia="Times New Roman"/>
          <w:lang w:eastAsia="en-GB"/>
        </w:rPr>
        <w:t xml:space="preserve"> and broadcasting technologies, ITU is committed to connecting the world. For more information, visit: </w:t>
      </w:r>
      <w:hyperlink r:id="rId21">
        <w:r w:rsidR="286AF401" w:rsidRPr="00A060FE">
          <w:rPr>
            <w:rStyle w:val="Hyperlink"/>
            <w:rFonts w:eastAsia="Times New Roman"/>
            <w:lang w:eastAsia="en-GB"/>
          </w:rPr>
          <w:t>www.itu.int</w:t>
        </w:r>
      </w:hyperlink>
      <w:r w:rsidR="286AF401" w:rsidRPr="00A060FE">
        <w:rPr>
          <w:rFonts w:eastAsia="Times New Roman"/>
          <w:lang w:eastAsia="en-GB"/>
        </w:rPr>
        <w:t>.</w:t>
      </w:r>
    </w:p>
    <w:p w14:paraId="06CF052B" w14:textId="77777777" w:rsidR="00B160B0" w:rsidRPr="00B64995" w:rsidRDefault="00B160B0">
      <w:pPr>
        <w:spacing w:after="160" w:line="259" w:lineRule="auto"/>
        <w:rPr>
          <w:lang w:eastAsia="en-GB"/>
        </w:rPr>
      </w:pPr>
      <w:r w:rsidRPr="00B64995">
        <w:rPr>
          <w:lang w:eastAsia="en-GB"/>
        </w:rPr>
        <w:br w:type="page"/>
      </w:r>
    </w:p>
    <w:sdt>
      <w:sdtPr>
        <w:rPr>
          <w:rFonts w:asciiTheme="minorHAnsi" w:eastAsiaTheme="minorHAnsi" w:hAnsiTheme="minorHAnsi" w:cstheme="minorBidi"/>
          <w:color w:val="auto"/>
          <w:sz w:val="22"/>
          <w:szCs w:val="22"/>
          <w:lang w:val="en-GB"/>
        </w:rPr>
        <w:id w:val="-344018840"/>
        <w:docPartObj>
          <w:docPartGallery w:val="Table of Contents"/>
          <w:docPartUnique/>
        </w:docPartObj>
      </w:sdtPr>
      <w:sdtEndPr>
        <w:rPr>
          <w:rFonts w:ascii="Calibri" w:hAnsi="Calibri" w:cs="Calibri"/>
          <w:b/>
          <w:bCs/>
        </w:rPr>
      </w:sdtEndPr>
      <w:sdtContent>
        <w:p w14:paraId="0749AA88" w14:textId="2AB60564" w:rsidR="00AA47DC" w:rsidRPr="00B87922" w:rsidRDefault="00AA47DC" w:rsidP="00B87922">
          <w:pPr>
            <w:pStyle w:val="TOCHeading"/>
            <w:spacing w:before="120" w:line="240" w:lineRule="auto"/>
            <w:rPr>
              <w:lang w:val="en-GB"/>
            </w:rPr>
          </w:pPr>
          <w:r w:rsidRPr="00A060FE">
            <w:rPr>
              <w:lang w:val="en-GB"/>
            </w:rPr>
            <w:t>Contents</w:t>
          </w:r>
        </w:p>
        <w:p w14:paraId="23F99A48" w14:textId="5A80F4AD" w:rsidR="00A83DAA" w:rsidRPr="00B64995" w:rsidRDefault="00A83DAA" w:rsidP="00A83DAA">
          <w:pPr>
            <w:jc w:val="right"/>
            <w:rPr>
              <w:i/>
              <w:iCs/>
            </w:rPr>
          </w:pPr>
          <w:r w:rsidRPr="00B64995">
            <w:rPr>
              <w:i/>
              <w:iCs/>
            </w:rPr>
            <w:t>Pages</w:t>
          </w:r>
        </w:p>
        <w:p w14:paraId="72FB02B8" w14:textId="1DB985A8" w:rsidR="00857768" w:rsidRPr="00B87922" w:rsidRDefault="00A83DAA" w:rsidP="00B87922">
          <w:pPr>
            <w:pStyle w:val="TOC1"/>
            <w:rPr>
              <w:rFonts w:asciiTheme="minorHAnsi" w:eastAsiaTheme="minorEastAsia" w:hAnsiTheme="minorHAnsi" w:cstheme="minorBidi"/>
              <w:lang w:eastAsia="en-CA"/>
            </w:rPr>
          </w:pPr>
          <w:r w:rsidRPr="00166BCE">
            <w:fldChar w:fldCharType="begin"/>
          </w:r>
          <w:r w:rsidRPr="00B64995">
            <w:instrText xml:space="preserve"> TOC \o "2-3" \h \z \t "Heading 1,1" </w:instrText>
          </w:r>
          <w:r w:rsidRPr="00166BCE">
            <w:fldChar w:fldCharType="separate"/>
          </w:r>
          <w:hyperlink w:anchor="_Toc68811403" w:history="1">
            <w:r w:rsidR="00857768" w:rsidRPr="00B87922">
              <w:rPr>
                <w:rStyle w:val="Hyperlink"/>
                <w:lang w:eastAsia="en-GB"/>
              </w:rPr>
              <w:t>About ITU</w:t>
            </w:r>
            <w:r w:rsidR="00857768" w:rsidRPr="00B87922">
              <w:rPr>
                <w:webHidden/>
              </w:rPr>
              <w:tab/>
            </w:r>
            <w:r w:rsidR="00857768" w:rsidRPr="00B87922">
              <w:rPr>
                <w:webHidden/>
              </w:rPr>
              <w:fldChar w:fldCharType="begin"/>
            </w:r>
            <w:r w:rsidR="00857768" w:rsidRPr="00B87922">
              <w:rPr>
                <w:webHidden/>
              </w:rPr>
              <w:instrText xml:space="preserve"> PAGEREF _Toc68811403 \h </w:instrText>
            </w:r>
            <w:r w:rsidR="00857768" w:rsidRPr="00B87922">
              <w:rPr>
                <w:webHidden/>
              </w:rPr>
            </w:r>
            <w:r w:rsidR="00857768" w:rsidRPr="00B87922">
              <w:rPr>
                <w:webHidden/>
              </w:rPr>
              <w:fldChar w:fldCharType="separate"/>
            </w:r>
            <w:r w:rsidR="00857768" w:rsidRPr="00B87922">
              <w:rPr>
                <w:webHidden/>
              </w:rPr>
              <w:t>iii</w:t>
            </w:r>
            <w:r w:rsidR="00857768" w:rsidRPr="00B87922">
              <w:rPr>
                <w:webHidden/>
              </w:rPr>
              <w:fldChar w:fldCharType="end"/>
            </w:r>
          </w:hyperlink>
        </w:p>
        <w:p w14:paraId="22A441E2" w14:textId="4C3530B6" w:rsidR="00857768" w:rsidRPr="00B87922" w:rsidRDefault="00570F0C" w:rsidP="00B87922">
          <w:pPr>
            <w:pStyle w:val="TOC1"/>
            <w:rPr>
              <w:rFonts w:asciiTheme="minorHAnsi" w:eastAsiaTheme="minorEastAsia" w:hAnsiTheme="minorHAnsi" w:cstheme="minorBidi"/>
              <w:lang w:eastAsia="en-CA"/>
            </w:rPr>
          </w:pPr>
          <w:hyperlink w:anchor="_Toc68811404" w:history="1">
            <w:r w:rsidR="00857768" w:rsidRPr="00B87922">
              <w:rPr>
                <w:rStyle w:val="Hyperlink"/>
              </w:rPr>
              <w:t>1.</w:t>
            </w:r>
            <w:r w:rsidR="00857768" w:rsidRPr="00B87922">
              <w:rPr>
                <w:rFonts w:asciiTheme="minorHAnsi" w:eastAsiaTheme="minorEastAsia" w:hAnsiTheme="minorHAnsi" w:cstheme="minorBidi"/>
                <w:lang w:eastAsia="en-CA"/>
              </w:rPr>
              <w:tab/>
            </w:r>
            <w:r w:rsidR="00857768" w:rsidRPr="00B87922">
              <w:rPr>
                <w:rStyle w:val="Hyperlink"/>
              </w:rPr>
              <w:t>Key themes of work</w:t>
            </w:r>
            <w:r w:rsidR="00857768" w:rsidRPr="00B87922">
              <w:rPr>
                <w:webHidden/>
              </w:rPr>
              <w:tab/>
            </w:r>
            <w:r w:rsidR="00857768" w:rsidRPr="00B87922">
              <w:rPr>
                <w:webHidden/>
              </w:rPr>
              <w:fldChar w:fldCharType="begin"/>
            </w:r>
            <w:r w:rsidR="00857768" w:rsidRPr="00B87922">
              <w:rPr>
                <w:webHidden/>
              </w:rPr>
              <w:instrText xml:space="preserve"> PAGEREF _Toc68811404 \h </w:instrText>
            </w:r>
            <w:r w:rsidR="00857768" w:rsidRPr="00B87922">
              <w:rPr>
                <w:webHidden/>
              </w:rPr>
            </w:r>
            <w:r w:rsidR="00857768" w:rsidRPr="00B87922">
              <w:rPr>
                <w:webHidden/>
              </w:rPr>
              <w:fldChar w:fldCharType="separate"/>
            </w:r>
            <w:r w:rsidR="00857768" w:rsidRPr="00B87922">
              <w:rPr>
                <w:webHidden/>
              </w:rPr>
              <w:t>1</w:t>
            </w:r>
            <w:r w:rsidR="00857768" w:rsidRPr="00B87922">
              <w:rPr>
                <w:webHidden/>
              </w:rPr>
              <w:fldChar w:fldCharType="end"/>
            </w:r>
          </w:hyperlink>
        </w:p>
        <w:p w14:paraId="12804A74" w14:textId="5AF49CD2" w:rsidR="00857768" w:rsidRPr="00B87922" w:rsidRDefault="00570F0C" w:rsidP="00B87922">
          <w:pPr>
            <w:pStyle w:val="TOC2"/>
            <w:rPr>
              <w:rFonts w:asciiTheme="minorHAnsi" w:eastAsiaTheme="minorEastAsia" w:hAnsiTheme="minorHAnsi" w:cstheme="minorBidi"/>
              <w:lang w:eastAsia="en-CA"/>
            </w:rPr>
          </w:pPr>
          <w:hyperlink w:anchor="_Toc68811405" w:history="1">
            <w:r w:rsidR="00857768" w:rsidRPr="00B87922">
              <w:rPr>
                <w:rStyle w:val="Hyperlink"/>
                <w:lang w:eastAsia="en-GB"/>
              </w:rPr>
              <w:t>1.1</w:t>
            </w:r>
            <w:r w:rsidR="00857768" w:rsidRPr="00B87922">
              <w:rPr>
                <w:rFonts w:asciiTheme="minorHAnsi" w:eastAsiaTheme="minorEastAsia" w:hAnsiTheme="minorHAnsi" w:cstheme="minorBidi"/>
                <w:lang w:eastAsia="en-CA"/>
              </w:rPr>
              <w:tab/>
            </w:r>
            <w:r w:rsidR="00857768" w:rsidRPr="00B87922">
              <w:rPr>
                <w:rStyle w:val="Hyperlink"/>
                <w:lang w:eastAsia="en-GB"/>
              </w:rPr>
              <w:t>WRC-19 and RA-19</w:t>
            </w:r>
            <w:r w:rsidR="00857768" w:rsidRPr="00B87922">
              <w:rPr>
                <w:webHidden/>
              </w:rPr>
              <w:tab/>
            </w:r>
            <w:r w:rsidR="00857768" w:rsidRPr="00B87922">
              <w:rPr>
                <w:webHidden/>
              </w:rPr>
              <w:fldChar w:fldCharType="begin"/>
            </w:r>
            <w:r w:rsidR="00857768" w:rsidRPr="00B87922">
              <w:rPr>
                <w:webHidden/>
              </w:rPr>
              <w:instrText xml:space="preserve"> PAGEREF _Toc68811405 \h </w:instrText>
            </w:r>
            <w:r w:rsidR="00857768" w:rsidRPr="00B87922">
              <w:rPr>
                <w:webHidden/>
              </w:rPr>
            </w:r>
            <w:r w:rsidR="00857768" w:rsidRPr="00B87922">
              <w:rPr>
                <w:webHidden/>
              </w:rPr>
              <w:fldChar w:fldCharType="separate"/>
            </w:r>
            <w:r w:rsidR="00857768" w:rsidRPr="00B87922">
              <w:rPr>
                <w:webHidden/>
              </w:rPr>
              <w:t>1</w:t>
            </w:r>
            <w:r w:rsidR="00857768" w:rsidRPr="00B87922">
              <w:rPr>
                <w:webHidden/>
              </w:rPr>
              <w:fldChar w:fldCharType="end"/>
            </w:r>
          </w:hyperlink>
        </w:p>
        <w:p w14:paraId="5EB50554" w14:textId="0EA56998" w:rsidR="00857768" w:rsidRPr="00B87922" w:rsidRDefault="00570F0C" w:rsidP="00B87922">
          <w:pPr>
            <w:pStyle w:val="TOC2"/>
            <w:rPr>
              <w:rFonts w:asciiTheme="minorHAnsi" w:eastAsiaTheme="minorEastAsia" w:hAnsiTheme="minorHAnsi" w:cstheme="minorBidi"/>
              <w:lang w:eastAsia="en-CA"/>
            </w:rPr>
          </w:pPr>
          <w:hyperlink w:anchor="_Toc68811406" w:history="1">
            <w:r w:rsidR="00857768" w:rsidRPr="00B87922">
              <w:rPr>
                <w:rStyle w:val="Hyperlink"/>
                <w:lang w:eastAsia="en-GB"/>
              </w:rPr>
              <w:t>1.2</w:t>
            </w:r>
            <w:r w:rsidR="00857768" w:rsidRPr="00B87922">
              <w:rPr>
                <w:rFonts w:asciiTheme="minorHAnsi" w:eastAsiaTheme="minorEastAsia" w:hAnsiTheme="minorHAnsi" w:cstheme="minorBidi"/>
                <w:lang w:eastAsia="en-CA"/>
              </w:rPr>
              <w:tab/>
            </w:r>
            <w:r w:rsidR="00857768" w:rsidRPr="00B87922">
              <w:rPr>
                <w:rStyle w:val="Hyperlink"/>
                <w:lang w:eastAsia="en-GB"/>
              </w:rPr>
              <w:t>Spectrum/orbit regulation and management</w:t>
            </w:r>
            <w:r w:rsidR="00857768" w:rsidRPr="00B87922">
              <w:rPr>
                <w:webHidden/>
              </w:rPr>
              <w:tab/>
            </w:r>
            <w:r w:rsidR="00857768" w:rsidRPr="00B87922">
              <w:rPr>
                <w:webHidden/>
              </w:rPr>
              <w:fldChar w:fldCharType="begin"/>
            </w:r>
            <w:r w:rsidR="00857768" w:rsidRPr="00B87922">
              <w:rPr>
                <w:webHidden/>
              </w:rPr>
              <w:instrText xml:space="preserve"> PAGEREF _Toc68811406 \h </w:instrText>
            </w:r>
            <w:r w:rsidR="00857768" w:rsidRPr="00B87922">
              <w:rPr>
                <w:webHidden/>
              </w:rPr>
            </w:r>
            <w:r w:rsidR="00857768" w:rsidRPr="00B87922">
              <w:rPr>
                <w:webHidden/>
              </w:rPr>
              <w:fldChar w:fldCharType="separate"/>
            </w:r>
            <w:r w:rsidR="00857768" w:rsidRPr="00B87922">
              <w:rPr>
                <w:webHidden/>
              </w:rPr>
              <w:t>5</w:t>
            </w:r>
            <w:r w:rsidR="00857768" w:rsidRPr="00B87922">
              <w:rPr>
                <w:webHidden/>
              </w:rPr>
              <w:fldChar w:fldCharType="end"/>
            </w:r>
          </w:hyperlink>
        </w:p>
        <w:p w14:paraId="619A4267" w14:textId="77FE2945" w:rsidR="00857768" w:rsidRPr="00B87922" w:rsidRDefault="00570F0C" w:rsidP="00B87922">
          <w:pPr>
            <w:pStyle w:val="TOC2"/>
            <w:rPr>
              <w:rFonts w:asciiTheme="minorHAnsi" w:eastAsiaTheme="minorEastAsia" w:hAnsiTheme="minorHAnsi" w:cstheme="minorBidi"/>
              <w:lang w:eastAsia="en-CA"/>
            </w:rPr>
          </w:pPr>
          <w:hyperlink w:anchor="_Toc68811407" w:history="1">
            <w:r w:rsidR="00857768" w:rsidRPr="00B87922">
              <w:rPr>
                <w:rStyle w:val="Hyperlink"/>
                <w:lang w:eastAsia="en-GB"/>
              </w:rPr>
              <w:t>1.3</w:t>
            </w:r>
            <w:r w:rsidR="00857768" w:rsidRPr="00B87922">
              <w:rPr>
                <w:rFonts w:asciiTheme="minorHAnsi" w:eastAsiaTheme="minorEastAsia" w:hAnsiTheme="minorHAnsi" w:cstheme="minorBidi"/>
                <w:lang w:eastAsia="en-CA"/>
              </w:rPr>
              <w:tab/>
            </w:r>
            <w:r w:rsidR="00857768" w:rsidRPr="00B87922">
              <w:rPr>
                <w:rStyle w:val="Hyperlink"/>
                <w:lang w:eastAsia="en-GB"/>
              </w:rPr>
              <w:t>Standardization</w:t>
            </w:r>
            <w:r w:rsidR="00857768" w:rsidRPr="00B87922">
              <w:rPr>
                <w:webHidden/>
              </w:rPr>
              <w:tab/>
            </w:r>
            <w:r w:rsidR="00857768" w:rsidRPr="00B87922">
              <w:rPr>
                <w:webHidden/>
              </w:rPr>
              <w:fldChar w:fldCharType="begin"/>
            </w:r>
            <w:r w:rsidR="00857768" w:rsidRPr="00B87922">
              <w:rPr>
                <w:webHidden/>
              </w:rPr>
              <w:instrText xml:space="preserve"> PAGEREF _Toc68811407 \h </w:instrText>
            </w:r>
            <w:r w:rsidR="00857768" w:rsidRPr="00B87922">
              <w:rPr>
                <w:webHidden/>
              </w:rPr>
            </w:r>
            <w:r w:rsidR="00857768" w:rsidRPr="00B87922">
              <w:rPr>
                <w:webHidden/>
              </w:rPr>
              <w:fldChar w:fldCharType="separate"/>
            </w:r>
            <w:r w:rsidR="00857768" w:rsidRPr="00B87922">
              <w:rPr>
                <w:webHidden/>
              </w:rPr>
              <w:t>8</w:t>
            </w:r>
            <w:r w:rsidR="00857768" w:rsidRPr="00B87922">
              <w:rPr>
                <w:webHidden/>
              </w:rPr>
              <w:fldChar w:fldCharType="end"/>
            </w:r>
          </w:hyperlink>
        </w:p>
        <w:p w14:paraId="75F24FEB" w14:textId="20E80C2A" w:rsidR="00857768" w:rsidRPr="00B87922" w:rsidRDefault="00570F0C" w:rsidP="00B87922">
          <w:pPr>
            <w:pStyle w:val="TOC2"/>
            <w:rPr>
              <w:rFonts w:asciiTheme="minorHAnsi" w:eastAsiaTheme="minorEastAsia" w:hAnsiTheme="minorHAnsi" w:cstheme="minorBidi"/>
              <w:lang w:eastAsia="en-CA"/>
            </w:rPr>
          </w:pPr>
          <w:hyperlink w:anchor="_Toc68811408" w:history="1">
            <w:r w:rsidR="00857768" w:rsidRPr="00B87922">
              <w:rPr>
                <w:rStyle w:val="Hyperlink"/>
                <w:lang w:eastAsia="en-GB"/>
              </w:rPr>
              <w:t>1.4</w:t>
            </w:r>
            <w:r w:rsidR="00857768" w:rsidRPr="00B87922">
              <w:rPr>
                <w:rFonts w:asciiTheme="minorHAnsi" w:eastAsiaTheme="minorEastAsia" w:hAnsiTheme="minorHAnsi" w:cstheme="minorBidi"/>
                <w:lang w:eastAsia="en-CA"/>
              </w:rPr>
              <w:tab/>
            </w:r>
            <w:r w:rsidR="00857768" w:rsidRPr="00B87922">
              <w:rPr>
                <w:rStyle w:val="Hyperlink"/>
                <w:lang w:eastAsia="en-GB"/>
              </w:rPr>
              <w:t>Emerging technologies</w:t>
            </w:r>
            <w:r w:rsidR="00857768" w:rsidRPr="00B87922">
              <w:rPr>
                <w:webHidden/>
              </w:rPr>
              <w:tab/>
            </w:r>
            <w:r w:rsidR="00857768" w:rsidRPr="00B87922">
              <w:rPr>
                <w:webHidden/>
              </w:rPr>
              <w:fldChar w:fldCharType="begin"/>
            </w:r>
            <w:r w:rsidR="00857768" w:rsidRPr="00B87922">
              <w:rPr>
                <w:webHidden/>
              </w:rPr>
              <w:instrText xml:space="preserve"> PAGEREF _Toc68811408 \h </w:instrText>
            </w:r>
            <w:r w:rsidR="00857768" w:rsidRPr="00B87922">
              <w:rPr>
                <w:webHidden/>
              </w:rPr>
            </w:r>
            <w:r w:rsidR="00857768" w:rsidRPr="00B87922">
              <w:rPr>
                <w:webHidden/>
              </w:rPr>
              <w:fldChar w:fldCharType="separate"/>
            </w:r>
            <w:r w:rsidR="00857768" w:rsidRPr="00B87922">
              <w:rPr>
                <w:webHidden/>
              </w:rPr>
              <w:t>18</w:t>
            </w:r>
            <w:r w:rsidR="00857768" w:rsidRPr="00B87922">
              <w:rPr>
                <w:webHidden/>
              </w:rPr>
              <w:fldChar w:fldCharType="end"/>
            </w:r>
          </w:hyperlink>
        </w:p>
        <w:p w14:paraId="6BF0D6CA" w14:textId="61F7CBA6" w:rsidR="00857768" w:rsidRPr="00B87922" w:rsidRDefault="00570F0C" w:rsidP="00B87922">
          <w:pPr>
            <w:pStyle w:val="TOC2"/>
            <w:rPr>
              <w:rFonts w:asciiTheme="minorHAnsi" w:eastAsiaTheme="minorEastAsia" w:hAnsiTheme="minorHAnsi" w:cstheme="minorBidi"/>
              <w:lang w:eastAsia="en-CA"/>
            </w:rPr>
          </w:pPr>
          <w:hyperlink w:anchor="_Toc68811409" w:history="1">
            <w:r w:rsidR="00857768" w:rsidRPr="00B87922">
              <w:rPr>
                <w:rStyle w:val="Hyperlink"/>
                <w:lang w:eastAsia="en-GB"/>
              </w:rPr>
              <w:t>1.5</w:t>
            </w:r>
            <w:r w:rsidR="00857768" w:rsidRPr="00B87922">
              <w:rPr>
                <w:rFonts w:asciiTheme="minorHAnsi" w:eastAsiaTheme="minorEastAsia" w:hAnsiTheme="minorHAnsi" w:cstheme="minorBidi"/>
                <w:lang w:eastAsia="en-CA"/>
              </w:rPr>
              <w:tab/>
            </w:r>
            <w:r w:rsidR="00857768" w:rsidRPr="00B87922">
              <w:rPr>
                <w:rStyle w:val="Hyperlink"/>
                <w:lang w:eastAsia="en-GB"/>
              </w:rPr>
              <w:t>Environment and smart sustainable cities and communities</w:t>
            </w:r>
            <w:r w:rsidR="00857768" w:rsidRPr="00B87922">
              <w:rPr>
                <w:webHidden/>
              </w:rPr>
              <w:tab/>
            </w:r>
            <w:r w:rsidR="00857768" w:rsidRPr="00B87922">
              <w:rPr>
                <w:webHidden/>
              </w:rPr>
              <w:fldChar w:fldCharType="begin"/>
            </w:r>
            <w:r w:rsidR="00857768" w:rsidRPr="00B87922">
              <w:rPr>
                <w:webHidden/>
              </w:rPr>
              <w:instrText xml:space="preserve"> PAGEREF _Toc68811409 \h </w:instrText>
            </w:r>
            <w:r w:rsidR="00857768" w:rsidRPr="00B87922">
              <w:rPr>
                <w:webHidden/>
              </w:rPr>
            </w:r>
            <w:r w:rsidR="00857768" w:rsidRPr="00B87922">
              <w:rPr>
                <w:webHidden/>
              </w:rPr>
              <w:fldChar w:fldCharType="separate"/>
            </w:r>
            <w:r w:rsidR="00857768" w:rsidRPr="00B87922">
              <w:rPr>
                <w:webHidden/>
              </w:rPr>
              <w:t>20</w:t>
            </w:r>
            <w:r w:rsidR="00857768" w:rsidRPr="00B87922">
              <w:rPr>
                <w:webHidden/>
              </w:rPr>
              <w:fldChar w:fldCharType="end"/>
            </w:r>
          </w:hyperlink>
        </w:p>
        <w:p w14:paraId="116CFD4B" w14:textId="5B0B77D0" w:rsidR="00857768" w:rsidRPr="00B87922" w:rsidRDefault="00570F0C" w:rsidP="00B87922">
          <w:pPr>
            <w:pStyle w:val="TOC2"/>
            <w:rPr>
              <w:rFonts w:asciiTheme="minorHAnsi" w:eastAsiaTheme="minorEastAsia" w:hAnsiTheme="minorHAnsi" w:cstheme="minorBidi"/>
              <w:lang w:eastAsia="en-CA"/>
            </w:rPr>
          </w:pPr>
          <w:hyperlink w:anchor="_Toc68811410" w:history="1">
            <w:r w:rsidR="00857768" w:rsidRPr="00B87922">
              <w:rPr>
                <w:rStyle w:val="Hyperlink"/>
                <w:lang w:eastAsia="en-GB"/>
              </w:rPr>
              <w:t>1.6</w:t>
            </w:r>
            <w:r w:rsidR="00857768" w:rsidRPr="00B87922">
              <w:rPr>
                <w:rFonts w:asciiTheme="minorHAnsi" w:eastAsiaTheme="minorEastAsia" w:hAnsiTheme="minorHAnsi" w:cstheme="minorBidi"/>
                <w:lang w:eastAsia="en-CA"/>
              </w:rPr>
              <w:tab/>
            </w:r>
            <w:r w:rsidR="00857768" w:rsidRPr="00B87922">
              <w:rPr>
                <w:rStyle w:val="Hyperlink"/>
                <w:lang w:eastAsia="en-GB"/>
              </w:rPr>
              <w:t>Cybersecurity: building confidence &amp; security in ICTs</w:t>
            </w:r>
            <w:r w:rsidR="00857768" w:rsidRPr="00B87922">
              <w:rPr>
                <w:webHidden/>
              </w:rPr>
              <w:tab/>
            </w:r>
            <w:r w:rsidR="00857768" w:rsidRPr="00B87922">
              <w:rPr>
                <w:webHidden/>
              </w:rPr>
              <w:fldChar w:fldCharType="begin"/>
            </w:r>
            <w:r w:rsidR="00857768" w:rsidRPr="00B87922">
              <w:rPr>
                <w:webHidden/>
              </w:rPr>
              <w:instrText xml:space="preserve"> PAGEREF _Toc68811410 \h </w:instrText>
            </w:r>
            <w:r w:rsidR="00857768" w:rsidRPr="00B87922">
              <w:rPr>
                <w:webHidden/>
              </w:rPr>
            </w:r>
            <w:r w:rsidR="00857768" w:rsidRPr="00B87922">
              <w:rPr>
                <w:webHidden/>
              </w:rPr>
              <w:fldChar w:fldCharType="separate"/>
            </w:r>
            <w:r w:rsidR="00857768" w:rsidRPr="00B87922">
              <w:rPr>
                <w:webHidden/>
              </w:rPr>
              <w:t>24</w:t>
            </w:r>
            <w:r w:rsidR="00857768" w:rsidRPr="00B87922">
              <w:rPr>
                <w:webHidden/>
              </w:rPr>
              <w:fldChar w:fldCharType="end"/>
            </w:r>
          </w:hyperlink>
        </w:p>
        <w:p w14:paraId="1D3DEE1B" w14:textId="2E17EF92" w:rsidR="00857768" w:rsidRPr="00B87922" w:rsidRDefault="00570F0C" w:rsidP="00B87922">
          <w:pPr>
            <w:pStyle w:val="TOC2"/>
            <w:rPr>
              <w:rFonts w:asciiTheme="minorHAnsi" w:eastAsiaTheme="minorEastAsia" w:hAnsiTheme="minorHAnsi" w:cstheme="minorBidi"/>
              <w:lang w:eastAsia="en-CA"/>
            </w:rPr>
          </w:pPr>
          <w:hyperlink w:anchor="_Toc68811411" w:history="1">
            <w:r w:rsidR="00857768" w:rsidRPr="00B87922">
              <w:rPr>
                <w:rStyle w:val="Hyperlink"/>
                <w:lang w:eastAsia="en-GB"/>
              </w:rPr>
              <w:t>1.7</w:t>
            </w:r>
            <w:r w:rsidR="00857768" w:rsidRPr="00B87922">
              <w:rPr>
                <w:rFonts w:asciiTheme="minorHAnsi" w:eastAsiaTheme="minorEastAsia" w:hAnsiTheme="minorHAnsi" w:cstheme="minorBidi"/>
                <w:lang w:eastAsia="en-CA"/>
              </w:rPr>
              <w:tab/>
            </w:r>
            <w:r w:rsidR="00857768" w:rsidRPr="00B87922">
              <w:rPr>
                <w:rStyle w:val="Hyperlink"/>
                <w:lang w:eastAsia="en-GB"/>
              </w:rPr>
              <w:t>Digital inclusion</w:t>
            </w:r>
            <w:r w:rsidR="00857768" w:rsidRPr="00B87922">
              <w:rPr>
                <w:webHidden/>
              </w:rPr>
              <w:tab/>
            </w:r>
            <w:r w:rsidR="00857768" w:rsidRPr="00B87922">
              <w:rPr>
                <w:webHidden/>
              </w:rPr>
              <w:fldChar w:fldCharType="begin"/>
            </w:r>
            <w:r w:rsidR="00857768" w:rsidRPr="00B87922">
              <w:rPr>
                <w:webHidden/>
              </w:rPr>
              <w:instrText xml:space="preserve"> PAGEREF _Toc68811411 \h </w:instrText>
            </w:r>
            <w:r w:rsidR="00857768" w:rsidRPr="00B87922">
              <w:rPr>
                <w:webHidden/>
              </w:rPr>
            </w:r>
            <w:r w:rsidR="00857768" w:rsidRPr="00B87922">
              <w:rPr>
                <w:webHidden/>
              </w:rPr>
              <w:fldChar w:fldCharType="separate"/>
            </w:r>
            <w:r w:rsidR="00857768" w:rsidRPr="00B87922">
              <w:rPr>
                <w:webHidden/>
              </w:rPr>
              <w:t>27</w:t>
            </w:r>
            <w:r w:rsidR="00857768" w:rsidRPr="00B87922">
              <w:rPr>
                <w:webHidden/>
              </w:rPr>
              <w:fldChar w:fldCharType="end"/>
            </w:r>
          </w:hyperlink>
        </w:p>
        <w:p w14:paraId="6BE43CB3" w14:textId="11CDB0E4" w:rsidR="00857768" w:rsidRPr="00B87922" w:rsidRDefault="00570F0C" w:rsidP="00B87922">
          <w:pPr>
            <w:pStyle w:val="TOC2"/>
            <w:rPr>
              <w:rFonts w:asciiTheme="minorHAnsi" w:eastAsiaTheme="minorEastAsia" w:hAnsiTheme="minorHAnsi" w:cstheme="minorBidi"/>
              <w:lang w:eastAsia="en-CA"/>
            </w:rPr>
          </w:pPr>
          <w:hyperlink w:anchor="_Toc68811412" w:history="1">
            <w:r w:rsidR="00857768" w:rsidRPr="00B87922">
              <w:rPr>
                <w:rStyle w:val="Hyperlink"/>
                <w:lang w:eastAsia="en-GB"/>
              </w:rPr>
              <w:t>1.8</w:t>
            </w:r>
            <w:r w:rsidR="00857768" w:rsidRPr="00B87922">
              <w:rPr>
                <w:rFonts w:asciiTheme="minorHAnsi" w:eastAsiaTheme="minorEastAsia" w:hAnsiTheme="minorHAnsi" w:cstheme="minorBidi"/>
                <w:lang w:eastAsia="en-CA"/>
              </w:rPr>
              <w:tab/>
            </w:r>
            <w:r w:rsidR="00857768" w:rsidRPr="00B87922">
              <w:rPr>
                <w:rStyle w:val="Hyperlink"/>
                <w:lang w:eastAsia="en-GB"/>
              </w:rPr>
              <w:t>COVID-19 related activities/responses</w:t>
            </w:r>
            <w:r w:rsidR="00857768" w:rsidRPr="00B87922">
              <w:rPr>
                <w:webHidden/>
              </w:rPr>
              <w:tab/>
            </w:r>
            <w:r w:rsidR="00857768" w:rsidRPr="00B87922">
              <w:rPr>
                <w:webHidden/>
              </w:rPr>
              <w:fldChar w:fldCharType="begin"/>
            </w:r>
            <w:r w:rsidR="00857768" w:rsidRPr="00B87922">
              <w:rPr>
                <w:webHidden/>
              </w:rPr>
              <w:instrText xml:space="preserve"> PAGEREF _Toc68811412 \h </w:instrText>
            </w:r>
            <w:r w:rsidR="00857768" w:rsidRPr="00B87922">
              <w:rPr>
                <w:webHidden/>
              </w:rPr>
            </w:r>
            <w:r w:rsidR="00857768" w:rsidRPr="00B87922">
              <w:rPr>
                <w:webHidden/>
              </w:rPr>
              <w:fldChar w:fldCharType="separate"/>
            </w:r>
            <w:r w:rsidR="00857768" w:rsidRPr="00B87922">
              <w:rPr>
                <w:webHidden/>
              </w:rPr>
              <w:t>31</w:t>
            </w:r>
            <w:r w:rsidR="00857768" w:rsidRPr="00B87922">
              <w:rPr>
                <w:webHidden/>
              </w:rPr>
              <w:fldChar w:fldCharType="end"/>
            </w:r>
          </w:hyperlink>
        </w:p>
        <w:p w14:paraId="2DF99664" w14:textId="18F5EDC5" w:rsidR="00857768" w:rsidRPr="00B87922" w:rsidRDefault="00570F0C" w:rsidP="00B87922">
          <w:pPr>
            <w:pStyle w:val="TOC2"/>
            <w:rPr>
              <w:rFonts w:asciiTheme="minorHAnsi" w:eastAsiaTheme="minorEastAsia" w:hAnsiTheme="minorHAnsi" w:cstheme="minorBidi"/>
              <w:lang w:eastAsia="en-CA"/>
            </w:rPr>
          </w:pPr>
          <w:hyperlink w:anchor="_Toc68811413" w:history="1">
            <w:r w:rsidR="00857768" w:rsidRPr="00B87922">
              <w:rPr>
                <w:rStyle w:val="Hyperlink"/>
                <w:lang w:eastAsia="en-GB"/>
              </w:rPr>
              <w:t>1.9</w:t>
            </w:r>
            <w:r w:rsidR="00857768" w:rsidRPr="00B87922">
              <w:rPr>
                <w:rFonts w:asciiTheme="minorHAnsi" w:eastAsiaTheme="minorEastAsia" w:hAnsiTheme="minorHAnsi" w:cstheme="minorBidi"/>
                <w:lang w:eastAsia="en-CA"/>
              </w:rPr>
              <w:tab/>
            </w:r>
            <w:r w:rsidR="00857768" w:rsidRPr="00B87922">
              <w:rPr>
                <w:rStyle w:val="Hyperlink"/>
                <w:lang w:eastAsia="en-GB"/>
              </w:rPr>
              <w:t>Strategic partnerships for SDGs</w:t>
            </w:r>
            <w:r w:rsidR="00857768" w:rsidRPr="00B87922">
              <w:rPr>
                <w:webHidden/>
              </w:rPr>
              <w:tab/>
            </w:r>
            <w:r w:rsidR="00857768" w:rsidRPr="00B87922">
              <w:rPr>
                <w:webHidden/>
              </w:rPr>
              <w:fldChar w:fldCharType="begin"/>
            </w:r>
            <w:r w:rsidR="00857768" w:rsidRPr="00B87922">
              <w:rPr>
                <w:webHidden/>
              </w:rPr>
              <w:instrText xml:space="preserve"> PAGEREF _Toc68811413 \h </w:instrText>
            </w:r>
            <w:r w:rsidR="00857768" w:rsidRPr="00B87922">
              <w:rPr>
                <w:webHidden/>
              </w:rPr>
            </w:r>
            <w:r w:rsidR="00857768" w:rsidRPr="00B87922">
              <w:rPr>
                <w:webHidden/>
              </w:rPr>
              <w:fldChar w:fldCharType="separate"/>
            </w:r>
            <w:r w:rsidR="00857768" w:rsidRPr="00B87922">
              <w:rPr>
                <w:webHidden/>
              </w:rPr>
              <w:t>35</w:t>
            </w:r>
            <w:r w:rsidR="00857768" w:rsidRPr="00B87922">
              <w:rPr>
                <w:webHidden/>
              </w:rPr>
              <w:fldChar w:fldCharType="end"/>
            </w:r>
          </w:hyperlink>
        </w:p>
        <w:p w14:paraId="5B0B3B71" w14:textId="6FC2874D" w:rsidR="00857768" w:rsidRPr="00B87922" w:rsidRDefault="00570F0C" w:rsidP="00B87922">
          <w:pPr>
            <w:pStyle w:val="TOC2"/>
            <w:rPr>
              <w:rFonts w:asciiTheme="minorHAnsi" w:eastAsiaTheme="minorEastAsia" w:hAnsiTheme="minorHAnsi" w:cstheme="minorBidi"/>
              <w:lang w:eastAsia="en-CA"/>
            </w:rPr>
          </w:pPr>
          <w:hyperlink w:anchor="_Toc68811414" w:history="1">
            <w:r w:rsidR="00857768" w:rsidRPr="00B87922">
              <w:rPr>
                <w:rStyle w:val="Hyperlink"/>
                <w:lang w:eastAsia="en-GB"/>
              </w:rPr>
              <w:t>1.10</w:t>
            </w:r>
            <w:r w:rsidR="00857768" w:rsidRPr="00B87922">
              <w:rPr>
                <w:rFonts w:asciiTheme="minorHAnsi" w:eastAsiaTheme="minorEastAsia" w:hAnsiTheme="minorHAnsi" w:cstheme="minorBidi"/>
                <w:lang w:eastAsia="en-CA"/>
              </w:rPr>
              <w:tab/>
            </w:r>
            <w:r w:rsidR="00857768" w:rsidRPr="00B87922">
              <w:rPr>
                <w:rStyle w:val="Hyperlink"/>
                <w:lang w:eastAsia="en-GB"/>
              </w:rPr>
              <w:t>Seminars and workshops</w:t>
            </w:r>
            <w:r w:rsidR="00857768" w:rsidRPr="00B87922">
              <w:rPr>
                <w:webHidden/>
              </w:rPr>
              <w:tab/>
            </w:r>
            <w:r w:rsidR="00857768" w:rsidRPr="00B87922">
              <w:rPr>
                <w:webHidden/>
              </w:rPr>
              <w:fldChar w:fldCharType="begin"/>
            </w:r>
            <w:r w:rsidR="00857768" w:rsidRPr="00B87922">
              <w:rPr>
                <w:webHidden/>
              </w:rPr>
              <w:instrText xml:space="preserve"> PAGEREF _Toc68811414 \h </w:instrText>
            </w:r>
            <w:r w:rsidR="00857768" w:rsidRPr="00B87922">
              <w:rPr>
                <w:webHidden/>
              </w:rPr>
            </w:r>
            <w:r w:rsidR="00857768" w:rsidRPr="00B87922">
              <w:rPr>
                <w:webHidden/>
              </w:rPr>
              <w:fldChar w:fldCharType="separate"/>
            </w:r>
            <w:r w:rsidR="00857768" w:rsidRPr="00B87922">
              <w:rPr>
                <w:webHidden/>
              </w:rPr>
              <w:t>41</w:t>
            </w:r>
            <w:r w:rsidR="00857768" w:rsidRPr="00B87922">
              <w:rPr>
                <w:webHidden/>
              </w:rPr>
              <w:fldChar w:fldCharType="end"/>
            </w:r>
          </w:hyperlink>
        </w:p>
        <w:p w14:paraId="58F431F8" w14:textId="2D19AC58" w:rsidR="00857768" w:rsidRPr="00B87922" w:rsidRDefault="00570F0C" w:rsidP="00B87922">
          <w:pPr>
            <w:pStyle w:val="TOC2"/>
            <w:rPr>
              <w:rFonts w:asciiTheme="minorHAnsi" w:eastAsiaTheme="minorEastAsia" w:hAnsiTheme="minorHAnsi" w:cstheme="minorBidi"/>
              <w:lang w:eastAsia="en-CA"/>
            </w:rPr>
          </w:pPr>
          <w:hyperlink w:anchor="_Toc68811415" w:history="1">
            <w:r w:rsidR="00857768" w:rsidRPr="00B87922">
              <w:rPr>
                <w:rStyle w:val="Hyperlink"/>
                <w:lang w:eastAsia="en-GB"/>
              </w:rPr>
              <w:t>1.11</w:t>
            </w:r>
            <w:r w:rsidR="00857768" w:rsidRPr="00B87922">
              <w:rPr>
                <w:rFonts w:asciiTheme="minorHAnsi" w:eastAsiaTheme="minorEastAsia" w:hAnsiTheme="minorHAnsi" w:cstheme="minorBidi"/>
                <w:lang w:eastAsia="en-CA"/>
              </w:rPr>
              <w:tab/>
            </w:r>
            <w:r w:rsidR="00857768" w:rsidRPr="00B87922">
              <w:rPr>
                <w:rStyle w:val="Hyperlink"/>
                <w:lang w:eastAsia="en-GB"/>
              </w:rPr>
              <w:t>Key events</w:t>
            </w:r>
            <w:r w:rsidR="00857768" w:rsidRPr="00B87922">
              <w:rPr>
                <w:webHidden/>
              </w:rPr>
              <w:tab/>
            </w:r>
            <w:r w:rsidR="00857768" w:rsidRPr="00B87922">
              <w:rPr>
                <w:webHidden/>
              </w:rPr>
              <w:fldChar w:fldCharType="begin"/>
            </w:r>
            <w:r w:rsidR="00857768" w:rsidRPr="00B87922">
              <w:rPr>
                <w:webHidden/>
              </w:rPr>
              <w:instrText xml:space="preserve"> PAGEREF _Toc68811415 \h </w:instrText>
            </w:r>
            <w:r w:rsidR="00857768" w:rsidRPr="00B87922">
              <w:rPr>
                <w:webHidden/>
              </w:rPr>
            </w:r>
            <w:r w:rsidR="00857768" w:rsidRPr="00B87922">
              <w:rPr>
                <w:webHidden/>
              </w:rPr>
              <w:fldChar w:fldCharType="separate"/>
            </w:r>
            <w:r w:rsidR="00857768" w:rsidRPr="00B87922">
              <w:rPr>
                <w:webHidden/>
              </w:rPr>
              <w:t>43</w:t>
            </w:r>
            <w:r w:rsidR="00857768" w:rsidRPr="00B87922">
              <w:rPr>
                <w:webHidden/>
              </w:rPr>
              <w:fldChar w:fldCharType="end"/>
            </w:r>
          </w:hyperlink>
        </w:p>
        <w:p w14:paraId="2B2DE1B8" w14:textId="7ED41649" w:rsidR="00857768" w:rsidRPr="00B87922" w:rsidRDefault="00570F0C" w:rsidP="00B87922">
          <w:pPr>
            <w:pStyle w:val="TOC1"/>
            <w:rPr>
              <w:rFonts w:asciiTheme="minorHAnsi" w:eastAsiaTheme="minorEastAsia" w:hAnsiTheme="minorHAnsi" w:cstheme="minorBidi"/>
              <w:lang w:eastAsia="en-CA"/>
            </w:rPr>
          </w:pPr>
          <w:hyperlink w:anchor="_Toc68811416" w:history="1">
            <w:r w:rsidR="00857768" w:rsidRPr="00B87922">
              <w:rPr>
                <w:rStyle w:val="Hyperlink"/>
                <w:lang w:eastAsia="en-GB"/>
              </w:rPr>
              <w:t>2.</w:t>
            </w:r>
            <w:r w:rsidR="00857768" w:rsidRPr="00B87922">
              <w:rPr>
                <w:rFonts w:asciiTheme="minorHAnsi" w:eastAsiaTheme="minorEastAsia" w:hAnsiTheme="minorHAnsi" w:cstheme="minorBidi"/>
                <w:lang w:eastAsia="en-CA"/>
              </w:rPr>
              <w:tab/>
            </w:r>
            <w:r w:rsidR="00857768" w:rsidRPr="00B87922">
              <w:rPr>
                <w:rStyle w:val="Hyperlink"/>
                <w:lang w:eastAsia="en-GB"/>
              </w:rPr>
              <w:t>Other key activities by the secretariat to support ITU membership</w:t>
            </w:r>
            <w:r w:rsidR="00857768" w:rsidRPr="00B87922">
              <w:rPr>
                <w:webHidden/>
              </w:rPr>
              <w:tab/>
            </w:r>
            <w:r w:rsidR="00857768" w:rsidRPr="00B87922">
              <w:rPr>
                <w:webHidden/>
              </w:rPr>
              <w:fldChar w:fldCharType="begin"/>
            </w:r>
            <w:r w:rsidR="00857768" w:rsidRPr="00B87922">
              <w:rPr>
                <w:webHidden/>
              </w:rPr>
              <w:instrText xml:space="preserve"> PAGEREF _Toc68811416 \h </w:instrText>
            </w:r>
            <w:r w:rsidR="00857768" w:rsidRPr="00B87922">
              <w:rPr>
                <w:webHidden/>
              </w:rPr>
            </w:r>
            <w:r w:rsidR="00857768" w:rsidRPr="00B87922">
              <w:rPr>
                <w:webHidden/>
              </w:rPr>
              <w:fldChar w:fldCharType="separate"/>
            </w:r>
            <w:r w:rsidR="00857768" w:rsidRPr="00B87922">
              <w:rPr>
                <w:webHidden/>
              </w:rPr>
              <w:t>51</w:t>
            </w:r>
            <w:r w:rsidR="00857768" w:rsidRPr="00B87922">
              <w:rPr>
                <w:webHidden/>
              </w:rPr>
              <w:fldChar w:fldCharType="end"/>
            </w:r>
          </w:hyperlink>
        </w:p>
        <w:p w14:paraId="1A391588" w14:textId="26D2B220" w:rsidR="00857768" w:rsidRPr="00B87922" w:rsidRDefault="00570F0C" w:rsidP="00B87922">
          <w:pPr>
            <w:pStyle w:val="TOC2"/>
            <w:rPr>
              <w:rFonts w:asciiTheme="minorHAnsi" w:eastAsiaTheme="minorEastAsia" w:hAnsiTheme="minorHAnsi" w:cstheme="minorBidi"/>
              <w:lang w:eastAsia="en-CA"/>
            </w:rPr>
          </w:pPr>
          <w:hyperlink w:anchor="_Toc68811417" w:history="1">
            <w:r w:rsidR="00857768" w:rsidRPr="00B87922">
              <w:rPr>
                <w:rStyle w:val="Hyperlink"/>
                <w:lang w:eastAsia="en-GB"/>
              </w:rPr>
              <w:t>Leading by example</w:t>
            </w:r>
            <w:r w:rsidR="00857768" w:rsidRPr="00B87922">
              <w:rPr>
                <w:webHidden/>
              </w:rPr>
              <w:tab/>
            </w:r>
            <w:r w:rsidR="00857768" w:rsidRPr="00B87922">
              <w:rPr>
                <w:webHidden/>
              </w:rPr>
              <w:fldChar w:fldCharType="begin"/>
            </w:r>
            <w:r w:rsidR="00857768" w:rsidRPr="00B87922">
              <w:rPr>
                <w:webHidden/>
              </w:rPr>
              <w:instrText xml:space="preserve"> PAGEREF _Toc68811417 \h </w:instrText>
            </w:r>
            <w:r w:rsidR="00857768" w:rsidRPr="00B87922">
              <w:rPr>
                <w:webHidden/>
              </w:rPr>
            </w:r>
            <w:r w:rsidR="00857768" w:rsidRPr="00B87922">
              <w:rPr>
                <w:webHidden/>
              </w:rPr>
              <w:fldChar w:fldCharType="separate"/>
            </w:r>
            <w:r w:rsidR="00857768" w:rsidRPr="00B87922">
              <w:rPr>
                <w:webHidden/>
              </w:rPr>
              <w:t>51</w:t>
            </w:r>
            <w:r w:rsidR="00857768" w:rsidRPr="00B87922">
              <w:rPr>
                <w:webHidden/>
              </w:rPr>
              <w:fldChar w:fldCharType="end"/>
            </w:r>
          </w:hyperlink>
        </w:p>
        <w:p w14:paraId="1AFBB30A" w14:textId="56DDFF4F" w:rsidR="00857768" w:rsidRPr="00B87922" w:rsidRDefault="00570F0C">
          <w:pPr>
            <w:pStyle w:val="TOC3"/>
            <w:tabs>
              <w:tab w:val="right" w:leader="dot" w:pos="9060"/>
            </w:tabs>
            <w:rPr>
              <w:rFonts w:asciiTheme="minorHAnsi" w:eastAsiaTheme="minorEastAsia" w:hAnsiTheme="minorHAnsi" w:cstheme="minorBidi"/>
              <w:lang w:eastAsia="en-CA"/>
            </w:rPr>
          </w:pPr>
          <w:hyperlink w:anchor="_Toc68811418" w:history="1">
            <w:r w:rsidR="00857768" w:rsidRPr="00B87922">
              <w:rPr>
                <w:rStyle w:val="Hyperlink"/>
                <w:b/>
                <w:lang w:eastAsia="en-GB"/>
              </w:rPr>
              <w:t>Green ITU</w:t>
            </w:r>
            <w:r w:rsidR="00857768" w:rsidRPr="00B87922">
              <w:rPr>
                <w:webHidden/>
              </w:rPr>
              <w:tab/>
            </w:r>
            <w:r w:rsidR="00857768" w:rsidRPr="00B87922">
              <w:rPr>
                <w:webHidden/>
              </w:rPr>
              <w:fldChar w:fldCharType="begin"/>
            </w:r>
            <w:r w:rsidR="00857768" w:rsidRPr="00B87922">
              <w:rPr>
                <w:webHidden/>
              </w:rPr>
              <w:instrText xml:space="preserve"> PAGEREF _Toc68811418 \h </w:instrText>
            </w:r>
            <w:r w:rsidR="00857768" w:rsidRPr="00B87922">
              <w:rPr>
                <w:webHidden/>
              </w:rPr>
            </w:r>
            <w:r w:rsidR="00857768" w:rsidRPr="00B87922">
              <w:rPr>
                <w:webHidden/>
              </w:rPr>
              <w:fldChar w:fldCharType="separate"/>
            </w:r>
            <w:r w:rsidR="00857768" w:rsidRPr="00B87922">
              <w:rPr>
                <w:webHidden/>
              </w:rPr>
              <w:t>51</w:t>
            </w:r>
            <w:r w:rsidR="00857768" w:rsidRPr="00B87922">
              <w:rPr>
                <w:webHidden/>
              </w:rPr>
              <w:fldChar w:fldCharType="end"/>
            </w:r>
          </w:hyperlink>
        </w:p>
        <w:p w14:paraId="451035B0" w14:textId="51955643" w:rsidR="00857768" w:rsidRPr="00B87922" w:rsidRDefault="00570F0C">
          <w:pPr>
            <w:pStyle w:val="TOC3"/>
            <w:tabs>
              <w:tab w:val="right" w:leader="dot" w:pos="9060"/>
            </w:tabs>
            <w:rPr>
              <w:rFonts w:asciiTheme="minorHAnsi" w:eastAsiaTheme="minorEastAsia" w:hAnsiTheme="minorHAnsi" w:cstheme="minorBidi"/>
              <w:lang w:eastAsia="en-CA"/>
            </w:rPr>
          </w:pPr>
          <w:hyperlink w:anchor="_Toc68811419" w:history="1">
            <w:r w:rsidR="00857768" w:rsidRPr="00B87922">
              <w:rPr>
                <w:rStyle w:val="Hyperlink"/>
                <w:b/>
                <w:lang w:eastAsia="en-GB"/>
              </w:rPr>
              <w:t>Accessible ITU (the new building)</w:t>
            </w:r>
            <w:r w:rsidR="00857768" w:rsidRPr="00B87922">
              <w:rPr>
                <w:webHidden/>
              </w:rPr>
              <w:tab/>
            </w:r>
            <w:r w:rsidR="00857768" w:rsidRPr="00B87922">
              <w:rPr>
                <w:webHidden/>
              </w:rPr>
              <w:fldChar w:fldCharType="begin"/>
            </w:r>
            <w:r w:rsidR="00857768" w:rsidRPr="00B87922">
              <w:rPr>
                <w:webHidden/>
              </w:rPr>
              <w:instrText xml:space="preserve"> PAGEREF _Toc68811419 \h </w:instrText>
            </w:r>
            <w:r w:rsidR="00857768" w:rsidRPr="00B87922">
              <w:rPr>
                <w:webHidden/>
              </w:rPr>
            </w:r>
            <w:r w:rsidR="00857768" w:rsidRPr="00B87922">
              <w:rPr>
                <w:webHidden/>
              </w:rPr>
              <w:fldChar w:fldCharType="separate"/>
            </w:r>
            <w:r w:rsidR="00857768" w:rsidRPr="00B87922">
              <w:rPr>
                <w:webHidden/>
              </w:rPr>
              <w:t>51</w:t>
            </w:r>
            <w:r w:rsidR="00857768" w:rsidRPr="00B87922">
              <w:rPr>
                <w:webHidden/>
              </w:rPr>
              <w:fldChar w:fldCharType="end"/>
            </w:r>
          </w:hyperlink>
        </w:p>
        <w:p w14:paraId="19E87D7A" w14:textId="6309DDB5" w:rsidR="00857768" w:rsidRPr="00B87922" w:rsidRDefault="00570F0C">
          <w:pPr>
            <w:pStyle w:val="TOC3"/>
            <w:tabs>
              <w:tab w:val="right" w:leader="dot" w:pos="9060"/>
            </w:tabs>
            <w:rPr>
              <w:rFonts w:asciiTheme="minorHAnsi" w:eastAsiaTheme="minorEastAsia" w:hAnsiTheme="minorHAnsi" w:cstheme="minorBidi"/>
              <w:lang w:eastAsia="en-CA"/>
            </w:rPr>
          </w:pPr>
          <w:hyperlink w:anchor="_Toc68811420" w:history="1">
            <w:r w:rsidR="00857768" w:rsidRPr="00B87922">
              <w:rPr>
                <w:rStyle w:val="Hyperlink"/>
                <w:b/>
                <w:lang w:eastAsia="en-GB"/>
              </w:rPr>
              <w:t>Gender balanced ITU</w:t>
            </w:r>
            <w:r w:rsidR="00857768" w:rsidRPr="00B87922">
              <w:rPr>
                <w:webHidden/>
              </w:rPr>
              <w:tab/>
            </w:r>
            <w:r w:rsidR="00857768" w:rsidRPr="00B87922">
              <w:rPr>
                <w:webHidden/>
              </w:rPr>
              <w:fldChar w:fldCharType="begin"/>
            </w:r>
            <w:r w:rsidR="00857768" w:rsidRPr="00B87922">
              <w:rPr>
                <w:webHidden/>
              </w:rPr>
              <w:instrText xml:space="preserve"> PAGEREF _Toc68811420 \h </w:instrText>
            </w:r>
            <w:r w:rsidR="00857768" w:rsidRPr="00B87922">
              <w:rPr>
                <w:webHidden/>
              </w:rPr>
            </w:r>
            <w:r w:rsidR="00857768" w:rsidRPr="00B87922">
              <w:rPr>
                <w:webHidden/>
              </w:rPr>
              <w:fldChar w:fldCharType="separate"/>
            </w:r>
            <w:r w:rsidR="00857768" w:rsidRPr="00B87922">
              <w:rPr>
                <w:webHidden/>
              </w:rPr>
              <w:t>52</w:t>
            </w:r>
            <w:r w:rsidR="00857768" w:rsidRPr="00B87922">
              <w:rPr>
                <w:webHidden/>
              </w:rPr>
              <w:fldChar w:fldCharType="end"/>
            </w:r>
          </w:hyperlink>
        </w:p>
        <w:p w14:paraId="07227150" w14:textId="3C43EE75" w:rsidR="00857768" w:rsidRPr="00B87922" w:rsidRDefault="00570F0C" w:rsidP="00B87922">
          <w:pPr>
            <w:pStyle w:val="TOC2"/>
            <w:rPr>
              <w:rFonts w:asciiTheme="minorHAnsi" w:eastAsiaTheme="minorEastAsia" w:hAnsiTheme="minorHAnsi" w:cstheme="minorBidi"/>
              <w:lang w:eastAsia="en-CA"/>
            </w:rPr>
          </w:pPr>
          <w:hyperlink w:anchor="_Toc68811421" w:history="1">
            <w:r w:rsidR="00857768" w:rsidRPr="00B87922">
              <w:rPr>
                <w:rStyle w:val="Hyperlink"/>
                <w:lang w:eastAsia="en-GB"/>
              </w:rPr>
              <w:t>2.1</w:t>
            </w:r>
            <w:r w:rsidR="00857768" w:rsidRPr="00B87922">
              <w:rPr>
                <w:rFonts w:asciiTheme="minorHAnsi" w:eastAsiaTheme="minorEastAsia" w:hAnsiTheme="minorHAnsi" w:cstheme="minorBidi"/>
                <w:lang w:eastAsia="en-CA"/>
              </w:rPr>
              <w:tab/>
            </w:r>
            <w:r w:rsidR="00857768" w:rsidRPr="00B87922">
              <w:rPr>
                <w:rStyle w:val="Hyperlink"/>
                <w:lang w:eastAsia="en-GB"/>
              </w:rPr>
              <w:t>ITU-R</w:t>
            </w:r>
            <w:r w:rsidR="00857768" w:rsidRPr="00B87922">
              <w:rPr>
                <w:webHidden/>
              </w:rPr>
              <w:tab/>
            </w:r>
            <w:r w:rsidR="00857768" w:rsidRPr="00B87922">
              <w:rPr>
                <w:webHidden/>
              </w:rPr>
              <w:fldChar w:fldCharType="begin"/>
            </w:r>
            <w:r w:rsidR="00857768" w:rsidRPr="00B87922">
              <w:rPr>
                <w:webHidden/>
              </w:rPr>
              <w:instrText xml:space="preserve"> PAGEREF _Toc68811421 \h </w:instrText>
            </w:r>
            <w:r w:rsidR="00857768" w:rsidRPr="00B87922">
              <w:rPr>
                <w:webHidden/>
              </w:rPr>
            </w:r>
            <w:r w:rsidR="00857768" w:rsidRPr="00B87922">
              <w:rPr>
                <w:webHidden/>
              </w:rPr>
              <w:fldChar w:fldCharType="separate"/>
            </w:r>
            <w:r w:rsidR="00857768" w:rsidRPr="00B87922">
              <w:rPr>
                <w:webHidden/>
              </w:rPr>
              <w:t>52</w:t>
            </w:r>
            <w:r w:rsidR="00857768" w:rsidRPr="00B87922">
              <w:rPr>
                <w:webHidden/>
              </w:rPr>
              <w:fldChar w:fldCharType="end"/>
            </w:r>
          </w:hyperlink>
        </w:p>
        <w:p w14:paraId="4F61C22F" w14:textId="64DA4E60" w:rsidR="00857768" w:rsidRPr="00B87922" w:rsidRDefault="00570F0C" w:rsidP="00B87922">
          <w:pPr>
            <w:pStyle w:val="TOC2"/>
            <w:rPr>
              <w:rFonts w:asciiTheme="minorHAnsi" w:eastAsiaTheme="minorEastAsia" w:hAnsiTheme="minorHAnsi" w:cstheme="minorBidi"/>
              <w:lang w:eastAsia="en-CA"/>
            </w:rPr>
          </w:pPr>
          <w:hyperlink w:anchor="_Toc68811422" w:history="1">
            <w:r w:rsidR="00857768" w:rsidRPr="00B87922">
              <w:rPr>
                <w:rStyle w:val="Hyperlink"/>
                <w:lang w:eastAsia="en-GB"/>
              </w:rPr>
              <w:t>2.2</w:t>
            </w:r>
            <w:r w:rsidR="00857768" w:rsidRPr="00B87922">
              <w:rPr>
                <w:rFonts w:asciiTheme="minorHAnsi" w:eastAsiaTheme="minorEastAsia" w:hAnsiTheme="minorHAnsi" w:cstheme="minorBidi"/>
                <w:lang w:eastAsia="en-CA"/>
              </w:rPr>
              <w:tab/>
            </w:r>
            <w:r w:rsidR="00857768" w:rsidRPr="00B87922">
              <w:rPr>
                <w:rStyle w:val="Hyperlink"/>
                <w:lang w:eastAsia="en-GB"/>
              </w:rPr>
              <w:t>ITU-T</w:t>
            </w:r>
            <w:r w:rsidR="00857768" w:rsidRPr="00B87922">
              <w:rPr>
                <w:webHidden/>
              </w:rPr>
              <w:tab/>
            </w:r>
            <w:r w:rsidR="00857768" w:rsidRPr="00B87922">
              <w:rPr>
                <w:webHidden/>
              </w:rPr>
              <w:fldChar w:fldCharType="begin"/>
            </w:r>
            <w:r w:rsidR="00857768" w:rsidRPr="00B87922">
              <w:rPr>
                <w:webHidden/>
              </w:rPr>
              <w:instrText xml:space="preserve"> PAGEREF _Toc68811422 \h </w:instrText>
            </w:r>
            <w:r w:rsidR="00857768" w:rsidRPr="00B87922">
              <w:rPr>
                <w:webHidden/>
              </w:rPr>
            </w:r>
            <w:r w:rsidR="00857768" w:rsidRPr="00B87922">
              <w:rPr>
                <w:webHidden/>
              </w:rPr>
              <w:fldChar w:fldCharType="separate"/>
            </w:r>
            <w:r w:rsidR="00857768" w:rsidRPr="00B87922">
              <w:rPr>
                <w:webHidden/>
              </w:rPr>
              <w:t>53</w:t>
            </w:r>
            <w:r w:rsidR="00857768" w:rsidRPr="00B87922">
              <w:rPr>
                <w:webHidden/>
              </w:rPr>
              <w:fldChar w:fldCharType="end"/>
            </w:r>
          </w:hyperlink>
        </w:p>
        <w:p w14:paraId="746360C9" w14:textId="2107422F" w:rsidR="00857768" w:rsidRPr="00B87922" w:rsidRDefault="00570F0C" w:rsidP="00B87922">
          <w:pPr>
            <w:pStyle w:val="TOC2"/>
            <w:rPr>
              <w:rFonts w:asciiTheme="minorHAnsi" w:eastAsiaTheme="minorEastAsia" w:hAnsiTheme="minorHAnsi" w:cstheme="minorBidi"/>
              <w:lang w:eastAsia="en-CA"/>
            </w:rPr>
          </w:pPr>
          <w:hyperlink w:anchor="_Toc68811423" w:history="1">
            <w:r w:rsidR="00857768" w:rsidRPr="00B87922">
              <w:rPr>
                <w:rStyle w:val="Hyperlink"/>
                <w:lang w:eastAsia="en-GB"/>
              </w:rPr>
              <w:t>2.3</w:t>
            </w:r>
            <w:r w:rsidR="00857768" w:rsidRPr="00B87922">
              <w:rPr>
                <w:rFonts w:asciiTheme="minorHAnsi" w:eastAsiaTheme="minorEastAsia" w:hAnsiTheme="minorHAnsi" w:cstheme="minorBidi"/>
                <w:lang w:eastAsia="en-CA"/>
              </w:rPr>
              <w:tab/>
            </w:r>
            <w:r w:rsidR="00857768" w:rsidRPr="00B87922">
              <w:rPr>
                <w:rStyle w:val="Hyperlink"/>
                <w:lang w:eastAsia="en-GB"/>
              </w:rPr>
              <w:t>ITU-D</w:t>
            </w:r>
            <w:r w:rsidR="00857768" w:rsidRPr="00B87922">
              <w:rPr>
                <w:webHidden/>
              </w:rPr>
              <w:tab/>
            </w:r>
            <w:r w:rsidR="00857768" w:rsidRPr="00B87922">
              <w:rPr>
                <w:webHidden/>
              </w:rPr>
              <w:fldChar w:fldCharType="begin"/>
            </w:r>
            <w:r w:rsidR="00857768" w:rsidRPr="00B87922">
              <w:rPr>
                <w:webHidden/>
              </w:rPr>
              <w:instrText xml:space="preserve"> PAGEREF _Toc68811423 \h </w:instrText>
            </w:r>
            <w:r w:rsidR="00857768" w:rsidRPr="00B87922">
              <w:rPr>
                <w:webHidden/>
              </w:rPr>
            </w:r>
            <w:r w:rsidR="00857768" w:rsidRPr="00B87922">
              <w:rPr>
                <w:webHidden/>
              </w:rPr>
              <w:fldChar w:fldCharType="separate"/>
            </w:r>
            <w:r w:rsidR="00857768" w:rsidRPr="00B87922">
              <w:rPr>
                <w:webHidden/>
              </w:rPr>
              <w:t>55</w:t>
            </w:r>
            <w:r w:rsidR="00857768" w:rsidRPr="00B87922">
              <w:rPr>
                <w:webHidden/>
              </w:rPr>
              <w:fldChar w:fldCharType="end"/>
            </w:r>
          </w:hyperlink>
        </w:p>
        <w:p w14:paraId="2384E573" w14:textId="6EC9203A" w:rsidR="00857768" w:rsidRPr="00B87922" w:rsidRDefault="00570F0C" w:rsidP="00B87922">
          <w:pPr>
            <w:pStyle w:val="TOC2"/>
            <w:rPr>
              <w:rFonts w:asciiTheme="minorHAnsi" w:eastAsiaTheme="minorEastAsia" w:hAnsiTheme="minorHAnsi" w:cstheme="minorBidi"/>
              <w:lang w:eastAsia="en-CA"/>
            </w:rPr>
          </w:pPr>
          <w:hyperlink w:anchor="_Toc68811424" w:history="1">
            <w:r w:rsidR="00857768" w:rsidRPr="00B87922">
              <w:rPr>
                <w:rStyle w:val="Hyperlink"/>
                <w:lang w:eastAsia="en-GB"/>
              </w:rPr>
              <w:t>2.4</w:t>
            </w:r>
            <w:r w:rsidR="00857768" w:rsidRPr="00B87922">
              <w:rPr>
                <w:rFonts w:asciiTheme="minorHAnsi" w:eastAsiaTheme="minorEastAsia" w:hAnsiTheme="minorHAnsi" w:cstheme="minorBidi"/>
                <w:lang w:eastAsia="en-CA"/>
              </w:rPr>
              <w:tab/>
            </w:r>
            <w:r w:rsidR="00857768" w:rsidRPr="00B87922">
              <w:rPr>
                <w:rStyle w:val="Hyperlink"/>
                <w:lang w:eastAsia="en-GB"/>
              </w:rPr>
              <w:t>General Secretariat</w:t>
            </w:r>
            <w:r w:rsidR="00857768" w:rsidRPr="00B87922">
              <w:rPr>
                <w:webHidden/>
              </w:rPr>
              <w:tab/>
            </w:r>
            <w:r w:rsidR="00857768" w:rsidRPr="00B87922">
              <w:rPr>
                <w:webHidden/>
              </w:rPr>
              <w:fldChar w:fldCharType="begin"/>
            </w:r>
            <w:r w:rsidR="00857768" w:rsidRPr="00B87922">
              <w:rPr>
                <w:webHidden/>
              </w:rPr>
              <w:instrText xml:space="preserve"> PAGEREF _Toc68811424 \h </w:instrText>
            </w:r>
            <w:r w:rsidR="00857768" w:rsidRPr="00B87922">
              <w:rPr>
                <w:webHidden/>
              </w:rPr>
            </w:r>
            <w:r w:rsidR="00857768" w:rsidRPr="00B87922">
              <w:rPr>
                <w:webHidden/>
              </w:rPr>
              <w:fldChar w:fldCharType="separate"/>
            </w:r>
            <w:r w:rsidR="00857768" w:rsidRPr="00B87922">
              <w:rPr>
                <w:webHidden/>
              </w:rPr>
              <w:t>56</w:t>
            </w:r>
            <w:r w:rsidR="00857768" w:rsidRPr="00B87922">
              <w:rPr>
                <w:webHidden/>
              </w:rPr>
              <w:fldChar w:fldCharType="end"/>
            </w:r>
          </w:hyperlink>
        </w:p>
        <w:p w14:paraId="3C632BF1" w14:textId="6DDAB422" w:rsidR="00857768" w:rsidRPr="00B87922" w:rsidRDefault="00570F0C" w:rsidP="00B87922">
          <w:pPr>
            <w:pStyle w:val="TOC1"/>
            <w:rPr>
              <w:rFonts w:asciiTheme="minorHAnsi" w:eastAsiaTheme="minorEastAsia" w:hAnsiTheme="minorHAnsi" w:cstheme="minorBidi"/>
              <w:lang w:eastAsia="en-CA"/>
            </w:rPr>
          </w:pPr>
          <w:hyperlink w:anchor="_Toc68811425" w:history="1">
            <w:r w:rsidR="00857768" w:rsidRPr="00B87922">
              <w:rPr>
                <w:rStyle w:val="Hyperlink"/>
                <w:lang w:eastAsia="en-GB"/>
              </w:rPr>
              <w:t>3.</w:t>
            </w:r>
            <w:r w:rsidR="00857768" w:rsidRPr="00B87922">
              <w:rPr>
                <w:rFonts w:asciiTheme="minorHAnsi" w:eastAsiaTheme="minorEastAsia" w:hAnsiTheme="minorHAnsi" w:cstheme="minorBidi"/>
                <w:lang w:eastAsia="en-CA"/>
              </w:rPr>
              <w:tab/>
            </w:r>
            <w:r w:rsidR="00857768" w:rsidRPr="00B87922">
              <w:rPr>
                <w:rStyle w:val="Hyperlink"/>
                <w:lang w:eastAsia="en-GB"/>
              </w:rPr>
              <w:t>ITU strategic plan implementation: progress towards strategic goals and objectives</w:t>
            </w:r>
            <w:r w:rsidR="00857768" w:rsidRPr="00B87922">
              <w:rPr>
                <w:webHidden/>
              </w:rPr>
              <w:tab/>
            </w:r>
            <w:r w:rsidR="00857768" w:rsidRPr="00B87922">
              <w:rPr>
                <w:webHidden/>
              </w:rPr>
              <w:fldChar w:fldCharType="begin"/>
            </w:r>
            <w:r w:rsidR="00857768" w:rsidRPr="00B87922">
              <w:rPr>
                <w:webHidden/>
              </w:rPr>
              <w:instrText xml:space="preserve"> PAGEREF _Toc68811425 \h </w:instrText>
            </w:r>
            <w:r w:rsidR="00857768" w:rsidRPr="00B87922">
              <w:rPr>
                <w:webHidden/>
              </w:rPr>
            </w:r>
            <w:r w:rsidR="00857768" w:rsidRPr="00B87922">
              <w:rPr>
                <w:webHidden/>
              </w:rPr>
              <w:fldChar w:fldCharType="separate"/>
            </w:r>
            <w:r w:rsidR="00857768" w:rsidRPr="00B87922">
              <w:rPr>
                <w:webHidden/>
              </w:rPr>
              <w:t>59</w:t>
            </w:r>
            <w:r w:rsidR="00857768" w:rsidRPr="00B87922">
              <w:rPr>
                <w:webHidden/>
              </w:rPr>
              <w:fldChar w:fldCharType="end"/>
            </w:r>
          </w:hyperlink>
        </w:p>
        <w:p w14:paraId="43999B1C" w14:textId="788CCA45" w:rsidR="00857768" w:rsidRPr="00B87922" w:rsidRDefault="00570F0C" w:rsidP="00B87922">
          <w:pPr>
            <w:pStyle w:val="TOC2"/>
            <w:rPr>
              <w:rFonts w:asciiTheme="minorHAnsi" w:eastAsiaTheme="minorEastAsia" w:hAnsiTheme="minorHAnsi" w:cstheme="minorBidi"/>
              <w:lang w:eastAsia="en-CA"/>
            </w:rPr>
          </w:pPr>
          <w:hyperlink w:anchor="_Toc68811426" w:history="1">
            <w:r w:rsidR="00857768" w:rsidRPr="00B87922">
              <w:rPr>
                <w:rStyle w:val="Hyperlink"/>
              </w:rPr>
              <w:t>3.1</w:t>
            </w:r>
            <w:r w:rsidR="00857768" w:rsidRPr="00B87922">
              <w:rPr>
                <w:rFonts w:asciiTheme="minorHAnsi" w:eastAsiaTheme="minorEastAsia" w:hAnsiTheme="minorHAnsi" w:cstheme="minorBidi"/>
                <w:lang w:eastAsia="en-CA"/>
              </w:rPr>
              <w:tab/>
            </w:r>
            <w:r w:rsidR="00857768" w:rsidRPr="00B87922">
              <w:rPr>
                <w:rStyle w:val="Hyperlink"/>
              </w:rPr>
              <w:t>Results per strategic goal</w:t>
            </w:r>
            <w:r w:rsidR="00857768" w:rsidRPr="00B87922">
              <w:rPr>
                <w:webHidden/>
              </w:rPr>
              <w:tab/>
            </w:r>
            <w:r w:rsidR="00857768" w:rsidRPr="00B87922">
              <w:rPr>
                <w:webHidden/>
              </w:rPr>
              <w:fldChar w:fldCharType="begin"/>
            </w:r>
            <w:r w:rsidR="00857768" w:rsidRPr="00B87922">
              <w:rPr>
                <w:webHidden/>
              </w:rPr>
              <w:instrText xml:space="preserve"> PAGEREF _Toc68811426 \h </w:instrText>
            </w:r>
            <w:r w:rsidR="00857768" w:rsidRPr="00B87922">
              <w:rPr>
                <w:webHidden/>
              </w:rPr>
            </w:r>
            <w:r w:rsidR="00857768" w:rsidRPr="00B87922">
              <w:rPr>
                <w:webHidden/>
              </w:rPr>
              <w:fldChar w:fldCharType="separate"/>
            </w:r>
            <w:r w:rsidR="00857768" w:rsidRPr="00B87922">
              <w:rPr>
                <w:webHidden/>
              </w:rPr>
              <w:t>61</w:t>
            </w:r>
            <w:r w:rsidR="00857768" w:rsidRPr="00B87922">
              <w:rPr>
                <w:webHidden/>
              </w:rPr>
              <w:fldChar w:fldCharType="end"/>
            </w:r>
          </w:hyperlink>
        </w:p>
        <w:p w14:paraId="76E063D9" w14:textId="2BC9B972" w:rsidR="00857768" w:rsidRPr="00B87922" w:rsidRDefault="00570F0C">
          <w:pPr>
            <w:pStyle w:val="TOC3"/>
            <w:tabs>
              <w:tab w:val="left" w:pos="1814"/>
              <w:tab w:val="right" w:leader="dot" w:pos="9060"/>
            </w:tabs>
            <w:rPr>
              <w:rFonts w:asciiTheme="minorHAnsi" w:eastAsiaTheme="minorEastAsia" w:hAnsiTheme="minorHAnsi" w:cstheme="minorBidi"/>
              <w:lang w:eastAsia="en-CA"/>
            </w:rPr>
          </w:pPr>
          <w:hyperlink w:anchor="_Toc68811427" w:history="1">
            <w:r w:rsidR="00857768" w:rsidRPr="00B87922">
              <w:rPr>
                <w:rStyle w:val="Hyperlink"/>
              </w:rPr>
              <w:t>3.1.1</w:t>
            </w:r>
            <w:r w:rsidR="00857768" w:rsidRPr="00B87922">
              <w:rPr>
                <w:rFonts w:asciiTheme="minorHAnsi" w:eastAsiaTheme="minorEastAsia" w:hAnsiTheme="minorHAnsi" w:cstheme="minorBidi"/>
                <w:lang w:eastAsia="en-CA"/>
              </w:rPr>
              <w:tab/>
            </w:r>
            <w:r w:rsidR="00857768" w:rsidRPr="00B87922">
              <w:rPr>
                <w:rStyle w:val="Hyperlink"/>
              </w:rPr>
              <w:t>Goal 1 - Growth</w:t>
            </w:r>
            <w:r w:rsidR="00857768" w:rsidRPr="00B87922">
              <w:rPr>
                <w:webHidden/>
              </w:rPr>
              <w:tab/>
            </w:r>
            <w:r w:rsidR="00857768" w:rsidRPr="00B87922">
              <w:rPr>
                <w:webHidden/>
              </w:rPr>
              <w:fldChar w:fldCharType="begin"/>
            </w:r>
            <w:r w:rsidR="00857768" w:rsidRPr="00B87922">
              <w:rPr>
                <w:webHidden/>
              </w:rPr>
              <w:instrText xml:space="preserve"> PAGEREF _Toc68811427 \h </w:instrText>
            </w:r>
            <w:r w:rsidR="00857768" w:rsidRPr="00B87922">
              <w:rPr>
                <w:webHidden/>
              </w:rPr>
            </w:r>
            <w:r w:rsidR="00857768" w:rsidRPr="00B87922">
              <w:rPr>
                <w:webHidden/>
              </w:rPr>
              <w:fldChar w:fldCharType="separate"/>
            </w:r>
            <w:r w:rsidR="00857768" w:rsidRPr="00B87922">
              <w:rPr>
                <w:webHidden/>
              </w:rPr>
              <w:t>61</w:t>
            </w:r>
            <w:r w:rsidR="00857768" w:rsidRPr="00B87922">
              <w:rPr>
                <w:webHidden/>
              </w:rPr>
              <w:fldChar w:fldCharType="end"/>
            </w:r>
          </w:hyperlink>
        </w:p>
        <w:p w14:paraId="19638481" w14:textId="187FD0AB" w:rsidR="00857768" w:rsidRPr="00B87922" w:rsidRDefault="00570F0C">
          <w:pPr>
            <w:pStyle w:val="TOC3"/>
            <w:tabs>
              <w:tab w:val="left" w:pos="1814"/>
              <w:tab w:val="right" w:leader="dot" w:pos="9060"/>
            </w:tabs>
            <w:rPr>
              <w:rFonts w:asciiTheme="minorHAnsi" w:eastAsiaTheme="minorEastAsia" w:hAnsiTheme="minorHAnsi" w:cstheme="minorBidi"/>
              <w:lang w:eastAsia="en-CA"/>
            </w:rPr>
          </w:pPr>
          <w:hyperlink w:anchor="_Toc68811428" w:history="1">
            <w:r w:rsidR="00857768" w:rsidRPr="00B87922">
              <w:rPr>
                <w:rStyle w:val="Hyperlink"/>
              </w:rPr>
              <w:t>3.1.2</w:t>
            </w:r>
            <w:r w:rsidR="00857768" w:rsidRPr="00B87922">
              <w:rPr>
                <w:rFonts w:asciiTheme="minorHAnsi" w:eastAsiaTheme="minorEastAsia" w:hAnsiTheme="minorHAnsi" w:cstheme="minorBidi"/>
                <w:lang w:eastAsia="en-CA"/>
              </w:rPr>
              <w:tab/>
            </w:r>
            <w:r w:rsidR="00857768" w:rsidRPr="00B87922">
              <w:rPr>
                <w:rStyle w:val="Hyperlink"/>
              </w:rPr>
              <w:t>Goal 2 - Inclusiveness</w:t>
            </w:r>
            <w:r w:rsidR="00857768" w:rsidRPr="00B87922">
              <w:rPr>
                <w:webHidden/>
              </w:rPr>
              <w:tab/>
            </w:r>
            <w:r w:rsidR="00857768" w:rsidRPr="00B87922">
              <w:rPr>
                <w:webHidden/>
              </w:rPr>
              <w:fldChar w:fldCharType="begin"/>
            </w:r>
            <w:r w:rsidR="00857768" w:rsidRPr="00B87922">
              <w:rPr>
                <w:webHidden/>
              </w:rPr>
              <w:instrText xml:space="preserve"> PAGEREF _Toc68811428 \h </w:instrText>
            </w:r>
            <w:r w:rsidR="00857768" w:rsidRPr="00B87922">
              <w:rPr>
                <w:webHidden/>
              </w:rPr>
            </w:r>
            <w:r w:rsidR="00857768" w:rsidRPr="00B87922">
              <w:rPr>
                <w:webHidden/>
              </w:rPr>
              <w:fldChar w:fldCharType="separate"/>
            </w:r>
            <w:r w:rsidR="00857768" w:rsidRPr="00B87922">
              <w:rPr>
                <w:webHidden/>
              </w:rPr>
              <w:t>63</w:t>
            </w:r>
            <w:r w:rsidR="00857768" w:rsidRPr="00B87922">
              <w:rPr>
                <w:webHidden/>
              </w:rPr>
              <w:fldChar w:fldCharType="end"/>
            </w:r>
          </w:hyperlink>
        </w:p>
        <w:p w14:paraId="19DF0855" w14:textId="0C62BA81" w:rsidR="00857768" w:rsidRPr="00B87922" w:rsidRDefault="00570F0C">
          <w:pPr>
            <w:pStyle w:val="TOC3"/>
            <w:tabs>
              <w:tab w:val="left" w:pos="1814"/>
              <w:tab w:val="right" w:leader="dot" w:pos="9060"/>
            </w:tabs>
            <w:rPr>
              <w:rFonts w:asciiTheme="minorHAnsi" w:eastAsiaTheme="minorEastAsia" w:hAnsiTheme="minorHAnsi" w:cstheme="minorBidi"/>
              <w:lang w:eastAsia="en-CA"/>
            </w:rPr>
          </w:pPr>
          <w:hyperlink w:anchor="_Toc68811429" w:history="1">
            <w:r w:rsidR="00857768" w:rsidRPr="00B87922">
              <w:rPr>
                <w:rStyle w:val="Hyperlink"/>
              </w:rPr>
              <w:t>3.1.3</w:t>
            </w:r>
            <w:r w:rsidR="00857768" w:rsidRPr="00B87922">
              <w:rPr>
                <w:rFonts w:asciiTheme="minorHAnsi" w:eastAsiaTheme="minorEastAsia" w:hAnsiTheme="minorHAnsi" w:cstheme="minorBidi"/>
                <w:lang w:eastAsia="en-CA"/>
              </w:rPr>
              <w:tab/>
            </w:r>
            <w:r w:rsidR="00857768" w:rsidRPr="00B87922">
              <w:rPr>
                <w:rStyle w:val="Hyperlink"/>
              </w:rPr>
              <w:t>Goal 3 – Sustainability</w:t>
            </w:r>
            <w:r w:rsidR="00857768" w:rsidRPr="00B87922">
              <w:rPr>
                <w:webHidden/>
              </w:rPr>
              <w:tab/>
            </w:r>
            <w:r w:rsidR="00857768" w:rsidRPr="00B87922">
              <w:rPr>
                <w:webHidden/>
              </w:rPr>
              <w:fldChar w:fldCharType="begin"/>
            </w:r>
            <w:r w:rsidR="00857768" w:rsidRPr="00B87922">
              <w:rPr>
                <w:webHidden/>
              </w:rPr>
              <w:instrText xml:space="preserve"> PAGEREF _Toc68811429 \h </w:instrText>
            </w:r>
            <w:r w:rsidR="00857768" w:rsidRPr="00B87922">
              <w:rPr>
                <w:webHidden/>
              </w:rPr>
            </w:r>
            <w:r w:rsidR="00857768" w:rsidRPr="00B87922">
              <w:rPr>
                <w:webHidden/>
              </w:rPr>
              <w:fldChar w:fldCharType="separate"/>
            </w:r>
            <w:r w:rsidR="00857768" w:rsidRPr="00B87922">
              <w:rPr>
                <w:webHidden/>
              </w:rPr>
              <w:t>66</w:t>
            </w:r>
            <w:r w:rsidR="00857768" w:rsidRPr="00B87922">
              <w:rPr>
                <w:webHidden/>
              </w:rPr>
              <w:fldChar w:fldCharType="end"/>
            </w:r>
          </w:hyperlink>
        </w:p>
        <w:p w14:paraId="1C4F5296" w14:textId="6283755E" w:rsidR="00857768" w:rsidRPr="00B87922" w:rsidRDefault="00570F0C">
          <w:pPr>
            <w:pStyle w:val="TOC3"/>
            <w:tabs>
              <w:tab w:val="left" w:pos="1814"/>
              <w:tab w:val="right" w:leader="dot" w:pos="9060"/>
            </w:tabs>
            <w:rPr>
              <w:rFonts w:asciiTheme="minorHAnsi" w:eastAsiaTheme="minorEastAsia" w:hAnsiTheme="minorHAnsi" w:cstheme="minorBidi"/>
              <w:lang w:eastAsia="en-CA"/>
            </w:rPr>
          </w:pPr>
          <w:hyperlink w:anchor="_Toc68811430" w:history="1">
            <w:r w:rsidR="00857768" w:rsidRPr="00B87922">
              <w:rPr>
                <w:rStyle w:val="Hyperlink"/>
              </w:rPr>
              <w:t>3.1.4</w:t>
            </w:r>
            <w:r w:rsidR="00857768" w:rsidRPr="00B87922">
              <w:rPr>
                <w:rFonts w:asciiTheme="minorHAnsi" w:eastAsiaTheme="minorEastAsia" w:hAnsiTheme="minorHAnsi" w:cstheme="minorBidi"/>
                <w:lang w:eastAsia="en-CA"/>
              </w:rPr>
              <w:tab/>
            </w:r>
            <w:r w:rsidR="00857768" w:rsidRPr="00B87922">
              <w:rPr>
                <w:rStyle w:val="Hyperlink"/>
              </w:rPr>
              <w:t>Goal 4 – Innovation</w:t>
            </w:r>
            <w:r w:rsidR="00857768" w:rsidRPr="00B87922">
              <w:rPr>
                <w:webHidden/>
              </w:rPr>
              <w:tab/>
            </w:r>
            <w:r w:rsidR="00857768" w:rsidRPr="00B87922">
              <w:rPr>
                <w:webHidden/>
              </w:rPr>
              <w:fldChar w:fldCharType="begin"/>
            </w:r>
            <w:r w:rsidR="00857768" w:rsidRPr="00B87922">
              <w:rPr>
                <w:webHidden/>
              </w:rPr>
              <w:instrText xml:space="preserve"> PAGEREF _Toc68811430 \h </w:instrText>
            </w:r>
            <w:r w:rsidR="00857768" w:rsidRPr="00B87922">
              <w:rPr>
                <w:webHidden/>
              </w:rPr>
            </w:r>
            <w:r w:rsidR="00857768" w:rsidRPr="00B87922">
              <w:rPr>
                <w:webHidden/>
              </w:rPr>
              <w:fldChar w:fldCharType="separate"/>
            </w:r>
            <w:r w:rsidR="00857768" w:rsidRPr="00B87922">
              <w:rPr>
                <w:webHidden/>
              </w:rPr>
              <w:t>67</w:t>
            </w:r>
            <w:r w:rsidR="00857768" w:rsidRPr="00B87922">
              <w:rPr>
                <w:webHidden/>
              </w:rPr>
              <w:fldChar w:fldCharType="end"/>
            </w:r>
          </w:hyperlink>
        </w:p>
        <w:p w14:paraId="2A2016B1" w14:textId="2E33B9B7" w:rsidR="00857768" w:rsidRPr="00B87922" w:rsidRDefault="00570F0C">
          <w:pPr>
            <w:pStyle w:val="TOC3"/>
            <w:tabs>
              <w:tab w:val="left" w:pos="1814"/>
              <w:tab w:val="right" w:leader="dot" w:pos="9060"/>
            </w:tabs>
            <w:rPr>
              <w:rFonts w:asciiTheme="minorHAnsi" w:eastAsiaTheme="minorEastAsia" w:hAnsiTheme="minorHAnsi" w:cstheme="minorBidi"/>
              <w:lang w:eastAsia="en-CA"/>
            </w:rPr>
          </w:pPr>
          <w:hyperlink w:anchor="_Toc68811431" w:history="1">
            <w:r w:rsidR="00857768" w:rsidRPr="00B87922">
              <w:rPr>
                <w:rStyle w:val="Hyperlink"/>
              </w:rPr>
              <w:t>3.1.5</w:t>
            </w:r>
            <w:r w:rsidR="00857768" w:rsidRPr="00B87922">
              <w:rPr>
                <w:rFonts w:asciiTheme="minorHAnsi" w:eastAsiaTheme="minorEastAsia" w:hAnsiTheme="minorHAnsi" w:cstheme="minorBidi"/>
                <w:lang w:eastAsia="en-CA"/>
              </w:rPr>
              <w:tab/>
            </w:r>
            <w:r w:rsidR="00857768" w:rsidRPr="00B87922">
              <w:rPr>
                <w:rStyle w:val="Hyperlink"/>
              </w:rPr>
              <w:t>Goal 5 – Partnerships</w:t>
            </w:r>
            <w:r w:rsidR="00857768" w:rsidRPr="00B87922">
              <w:rPr>
                <w:webHidden/>
              </w:rPr>
              <w:tab/>
            </w:r>
            <w:r w:rsidR="00857768" w:rsidRPr="00B87922">
              <w:rPr>
                <w:webHidden/>
              </w:rPr>
              <w:fldChar w:fldCharType="begin"/>
            </w:r>
            <w:r w:rsidR="00857768" w:rsidRPr="00B87922">
              <w:rPr>
                <w:webHidden/>
              </w:rPr>
              <w:instrText xml:space="preserve"> PAGEREF _Toc68811431 \h </w:instrText>
            </w:r>
            <w:r w:rsidR="00857768" w:rsidRPr="00B87922">
              <w:rPr>
                <w:webHidden/>
              </w:rPr>
            </w:r>
            <w:r w:rsidR="00857768" w:rsidRPr="00B87922">
              <w:rPr>
                <w:webHidden/>
              </w:rPr>
              <w:fldChar w:fldCharType="separate"/>
            </w:r>
            <w:r w:rsidR="00857768" w:rsidRPr="00B87922">
              <w:rPr>
                <w:webHidden/>
              </w:rPr>
              <w:t>68</w:t>
            </w:r>
            <w:r w:rsidR="00857768" w:rsidRPr="00B87922">
              <w:rPr>
                <w:webHidden/>
              </w:rPr>
              <w:fldChar w:fldCharType="end"/>
            </w:r>
          </w:hyperlink>
        </w:p>
        <w:p w14:paraId="2C1341BE" w14:textId="197E9CF4" w:rsidR="00857768" w:rsidRPr="00B87922" w:rsidRDefault="00570F0C" w:rsidP="00B87922">
          <w:pPr>
            <w:pStyle w:val="TOC2"/>
            <w:rPr>
              <w:rFonts w:asciiTheme="minorHAnsi" w:eastAsiaTheme="minorEastAsia" w:hAnsiTheme="minorHAnsi" w:cstheme="minorBidi"/>
              <w:lang w:eastAsia="en-CA"/>
            </w:rPr>
          </w:pPr>
          <w:hyperlink w:anchor="_Toc68811432" w:history="1">
            <w:r w:rsidR="00857768" w:rsidRPr="00B87922">
              <w:rPr>
                <w:rStyle w:val="Hyperlink"/>
              </w:rPr>
              <w:t>3.2</w:t>
            </w:r>
            <w:r w:rsidR="00857768" w:rsidRPr="00B87922">
              <w:rPr>
                <w:rFonts w:asciiTheme="minorHAnsi" w:eastAsiaTheme="minorEastAsia" w:hAnsiTheme="minorHAnsi" w:cstheme="minorBidi"/>
                <w:lang w:eastAsia="en-CA"/>
              </w:rPr>
              <w:tab/>
            </w:r>
            <w:r w:rsidR="00857768" w:rsidRPr="00B87922">
              <w:rPr>
                <w:rStyle w:val="Hyperlink"/>
              </w:rPr>
              <w:t>Outcomes of the work of the Union – ITU sector and inter-sectoral objectives</w:t>
            </w:r>
            <w:r w:rsidR="00857768" w:rsidRPr="00B87922">
              <w:rPr>
                <w:webHidden/>
              </w:rPr>
              <w:tab/>
            </w:r>
            <w:r w:rsidR="00857768" w:rsidRPr="00B87922">
              <w:rPr>
                <w:webHidden/>
              </w:rPr>
              <w:fldChar w:fldCharType="begin"/>
            </w:r>
            <w:r w:rsidR="00857768" w:rsidRPr="00B87922">
              <w:rPr>
                <w:webHidden/>
              </w:rPr>
              <w:instrText xml:space="preserve"> PAGEREF _Toc68811432 \h </w:instrText>
            </w:r>
            <w:r w:rsidR="00857768" w:rsidRPr="00B87922">
              <w:rPr>
                <w:webHidden/>
              </w:rPr>
            </w:r>
            <w:r w:rsidR="00857768" w:rsidRPr="00B87922">
              <w:rPr>
                <w:webHidden/>
              </w:rPr>
              <w:fldChar w:fldCharType="separate"/>
            </w:r>
            <w:r w:rsidR="00857768" w:rsidRPr="00B87922">
              <w:rPr>
                <w:webHidden/>
              </w:rPr>
              <w:t>69</w:t>
            </w:r>
            <w:r w:rsidR="00857768" w:rsidRPr="00B87922">
              <w:rPr>
                <w:webHidden/>
              </w:rPr>
              <w:fldChar w:fldCharType="end"/>
            </w:r>
          </w:hyperlink>
        </w:p>
        <w:p w14:paraId="79CDEDC3" w14:textId="648561B4" w:rsidR="00857768" w:rsidRPr="00B87922" w:rsidRDefault="00570F0C" w:rsidP="00B87922">
          <w:pPr>
            <w:pStyle w:val="TOC2"/>
            <w:rPr>
              <w:rFonts w:asciiTheme="minorHAnsi" w:eastAsiaTheme="minorEastAsia" w:hAnsiTheme="minorHAnsi" w:cstheme="minorBidi"/>
              <w:lang w:eastAsia="en-CA"/>
            </w:rPr>
          </w:pPr>
          <w:hyperlink w:anchor="_Toc68811433" w:history="1">
            <w:r w:rsidR="00857768" w:rsidRPr="00B87922">
              <w:rPr>
                <w:rStyle w:val="Hyperlink"/>
              </w:rPr>
              <w:t>3.3</w:t>
            </w:r>
            <w:r w:rsidR="00857768" w:rsidRPr="00B87922">
              <w:rPr>
                <w:rFonts w:asciiTheme="minorHAnsi" w:eastAsiaTheme="minorEastAsia" w:hAnsiTheme="minorHAnsi" w:cstheme="minorBidi"/>
                <w:lang w:eastAsia="en-CA"/>
              </w:rPr>
              <w:tab/>
            </w:r>
            <w:r w:rsidR="00857768" w:rsidRPr="00B87922">
              <w:rPr>
                <w:rStyle w:val="Hyperlink"/>
              </w:rPr>
              <w:t>Results of the enablers</w:t>
            </w:r>
            <w:r w:rsidR="00857768" w:rsidRPr="00B87922">
              <w:rPr>
                <w:webHidden/>
              </w:rPr>
              <w:tab/>
            </w:r>
            <w:r w:rsidR="00857768" w:rsidRPr="00B87922">
              <w:rPr>
                <w:webHidden/>
              </w:rPr>
              <w:fldChar w:fldCharType="begin"/>
            </w:r>
            <w:r w:rsidR="00857768" w:rsidRPr="00B87922">
              <w:rPr>
                <w:webHidden/>
              </w:rPr>
              <w:instrText xml:space="preserve"> PAGEREF _Toc68811433 \h </w:instrText>
            </w:r>
            <w:r w:rsidR="00857768" w:rsidRPr="00B87922">
              <w:rPr>
                <w:webHidden/>
              </w:rPr>
            </w:r>
            <w:r w:rsidR="00857768" w:rsidRPr="00B87922">
              <w:rPr>
                <w:webHidden/>
              </w:rPr>
              <w:fldChar w:fldCharType="separate"/>
            </w:r>
            <w:r w:rsidR="00857768" w:rsidRPr="00B87922">
              <w:rPr>
                <w:webHidden/>
              </w:rPr>
              <w:t>69</w:t>
            </w:r>
            <w:r w:rsidR="00857768" w:rsidRPr="00B87922">
              <w:rPr>
                <w:webHidden/>
              </w:rPr>
              <w:fldChar w:fldCharType="end"/>
            </w:r>
          </w:hyperlink>
        </w:p>
        <w:p w14:paraId="6C274693" w14:textId="117FCB2F" w:rsidR="00857768" w:rsidRPr="00B87922" w:rsidRDefault="00570F0C" w:rsidP="00B87922">
          <w:pPr>
            <w:pStyle w:val="TOC2"/>
            <w:rPr>
              <w:rFonts w:asciiTheme="minorHAnsi" w:eastAsiaTheme="minorEastAsia" w:hAnsiTheme="minorHAnsi" w:cstheme="minorBidi"/>
              <w:lang w:eastAsia="en-CA"/>
            </w:rPr>
          </w:pPr>
          <w:hyperlink w:anchor="_Toc68811434" w:history="1">
            <w:r w:rsidR="00857768" w:rsidRPr="00B87922">
              <w:rPr>
                <w:rStyle w:val="Hyperlink"/>
                <w:lang w:eastAsia="en-GB"/>
              </w:rPr>
              <w:t>3.4</w:t>
            </w:r>
            <w:r w:rsidR="00857768" w:rsidRPr="00B87922">
              <w:rPr>
                <w:rFonts w:asciiTheme="minorHAnsi" w:eastAsiaTheme="minorEastAsia" w:hAnsiTheme="minorHAnsi" w:cstheme="minorBidi"/>
                <w:lang w:eastAsia="en-CA"/>
              </w:rPr>
              <w:tab/>
            </w:r>
            <w:r w:rsidR="00857768" w:rsidRPr="00B87922">
              <w:rPr>
                <w:rStyle w:val="Hyperlink"/>
                <w:lang w:eastAsia="en-GB"/>
              </w:rPr>
              <w:t>Priorities for 2020-2021</w:t>
            </w:r>
            <w:r w:rsidR="00857768" w:rsidRPr="00B87922">
              <w:rPr>
                <w:webHidden/>
              </w:rPr>
              <w:tab/>
            </w:r>
            <w:r w:rsidR="00857768" w:rsidRPr="00B87922">
              <w:rPr>
                <w:webHidden/>
              </w:rPr>
              <w:fldChar w:fldCharType="begin"/>
            </w:r>
            <w:r w:rsidR="00857768" w:rsidRPr="00B87922">
              <w:rPr>
                <w:webHidden/>
              </w:rPr>
              <w:instrText xml:space="preserve"> PAGEREF _Toc68811434 \h </w:instrText>
            </w:r>
            <w:r w:rsidR="00857768" w:rsidRPr="00B87922">
              <w:rPr>
                <w:webHidden/>
              </w:rPr>
            </w:r>
            <w:r w:rsidR="00857768" w:rsidRPr="00B87922">
              <w:rPr>
                <w:webHidden/>
              </w:rPr>
              <w:fldChar w:fldCharType="separate"/>
            </w:r>
            <w:r w:rsidR="00857768" w:rsidRPr="00B87922">
              <w:rPr>
                <w:webHidden/>
              </w:rPr>
              <w:t>69</w:t>
            </w:r>
            <w:r w:rsidR="00857768" w:rsidRPr="00B87922">
              <w:rPr>
                <w:webHidden/>
              </w:rPr>
              <w:fldChar w:fldCharType="end"/>
            </w:r>
          </w:hyperlink>
        </w:p>
        <w:p w14:paraId="39CB759B" w14:textId="03E04AB7" w:rsidR="00857768" w:rsidRPr="00B87922" w:rsidRDefault="00570F0C" w:rsidP="00B87922">
          <w:pPr>
            <w:pStyle w:val="TOC1"/>
            <w:rPr>
              <w:rFonts w:asciiTheme="minorHAnsi" w:eastAsiaTheme="minorEastAsia" w:hAnsiTheme="minorHAnsi" w:cstheme="minorBidi"/>
              <w:lang w:eastAsia="en-CA"/>
            </w:rPr>
          </w:pPr>
          <w:hyperlink w:anchor="_Toc68811435" w:history="1">
            <w:r w:rsidR="00857768" w:rsidRPr="00B87922">
              <w:rPr>
                <w:rStyle w:val="Hyperlink"/>
              </w:rPr>
              <w:t>Annex 1</w:t>
            </w:r>
            <w:r w:rsidR="00857768" w:rsidRPr="00B87922">
              <w:rPr>
                <w:rFonts w:asciiTheme="minorHAnsi" w:eastAsiaTheme="minorEastAsia" w:hAnsiTheme="minorHAnsi" w:cstheme="minorBidi"/>
                <w:lang w:eastAsia="en-CA"/>
              </w:rPr>
              <w:tab/>
            </w:r>
            <w:r w:rsidR="00857768" w:rsidRPr="00B87922">
              <w:rPr>
                <w:rStyle w:val="Hyperlink"/>
              </w:rPr>
              <w:t>Implementation of PP Resolutions</w:t>
            </w:r>
            <w:r w:rsidR="00857768" w:rsidRPr="00B87922">
              <w:rPr>
                <w:webHidden/>
              </w:rPr>
              <w:tab/>
            </w:r>
            <w:r w:rsidR="00857768" w:rsidRPr="00B87922">
              <w:rPr>
                <w:webHidden/>
              </w:rPr>
              <w:fldChar w:fldCharType="begin"/>
            </w:r>
            <w:r w:rsidR="00857768" w:rsidRPr="00B87922">
              <w:rPr>
                <w:webHidden/>
              </w:rPr>
              <w:instrText xml:space="preserve"> PAGEREF _Toc68811435 \h </w:instrText>
            </w:r>
            <w:r w:rsidR="00857768" w:rsidRPr="00B87922">
              <w:rPr>
                <w:webHidden/>
              </w:rPr>
            </w:r>
            <w:r w:rsidR="00857768" w:rsidRPr="00B87922">
              <w:rPr>
                <w:webHidden/>
              </w:rPr>
              <w:fldChar w:fldCharType="separate"/>
            </w:r>
            <w:r w:rsidR="00857768" w:rsidRPr="00B87922">
              <w:rPr>
                <w:webHidden/>
              </w:rPr>
              <w:t>70</w:t>
            </w:r>
            <w:r w:rsidR="00857768" w:rsidRPr="00B87922">
              <w:rPr>
                <w:webHidden/>
              </w:rPr>
              <w:fldChar w:fldCharType="end"/>
            </w:r>
          </w:hyperlink>
        </w:p>
        <w:p w14:paraId="4D6B8D0E" w14:textId="452628F6" w:rsidR="00857768" w:rsidRPr="00B87922" w:rsidRDefault="00570F0C" w:rsidP="00B87922">
          <w:pPr>
            <w:pStyle w:val="TOC1"/>
            <w:rPr>
              <w:rFonts w:asciiTheme="minorHAnsi" w:eastAsiaTheme="minorEastAsia" w:hAnsiTheme="minorHAnsi" w:cstheme="minorBidi"/>
              <w:lang w:eastAsia="en-CA"/>
            </w:rPr>
          </w:pPr>
          <w:hyperlink w:anchor="_Toc68811436" w:history="1">
            <w:r w:rsidR="00857768" w:rsidRPr="00B87922">
              <w:rPr>
                <w:rStyle w:val="Hyperlink"/>
              </w:rPr>
              <w:t xml:space="preserve">Annex 2 </w:t>
            </w:r>
            <w:r w:rsidR="00857768" w:rsidRPr="00B87922">
              <w:rPr>
                <w:rFonts w:asciiTheme="minorHAnsi" w:eastAsiaTheme="minorEastAsia" w:hAnsiTheme="minorHAnsi" w:cstheme="minorBidi"/>
                <w:lang w:eastAsia="en-CA"/>
              </w:rPr>
              <w:tab/>
            </w:r>
            <w:r w:rsidR="00857768" w:rsidRPr="00B87922">
              <w:rPr>
                <w:rStyle w:val="Hyperlink"/>
              </w:rPr>
              <w:t>Outcomes of the work of the Union / efficiency of enablers</w:t>
            </w:r>
            <w:r w:rsidR="00857768" w:rsidRPr="00B87922">
              <w:rPr>
                <w:webHidden/>
              </w:rPr>
              <w:tab/>
            </w:r>
            <w:r w:rsidR="00857768" w:rsidRPr="00B87922">
              <w:rPr>
                <w:webHidden/>
              </w:rPr>
              <w:fldChar w:fldCharType="begin"/>
            </w:r>
            <w:r w:rsidR="00857768" w:rsidRPr="00B87922">
              <w:rPr>
                <w:webHidden/>
              </w:rPr>
              <w:instrText xml:space="preserve"> PAGEREF _Toc68811436 \h </w:instrText>
            </w:r>
            <w:r w:rsidR="00857768" w:rsidRPr="00B87922">
              <w:rPr>
                <w:webHidden/>
              </w:rPr>
            </w:r>
            <w:r w:rsidR="00857768" w:rsidRPr="00B87922">
              <w:rPr>
                <w:webHidden/>
              </w:rPr>
              <w:fldChar w:fldCharType="separate"/>
            </w:r>
            <w:r w:rsidR="00857768" w:rsidRPr="00B87922">
              <w:rPr>
                <w:webHidden/>
              </w:rPr>
              <w:t>95</w:t>
            </w:r>
            <w:r w:rsidR="00857768" w:rsidRPr="00B87922">
              <w:rPr>
                <w:webHidden/>
              </w:rPr>
              <w:fldChar w:fldCharType="end"/>
            </w:r>
          </w:hyperlink>
        </w:p>
        <w:p w14:paraId="320F3272" w14:textId="36BBB65B" w:rsidR="00857768" w:rsidRPr="00B87922" w:rsidRDefault="00570F0C" w:rsidP="00B87922">
          <w:pPr>
            <w:pStyle w:val="TOC2"/>
            <w:rPr>
              <w:rFonts w:asciiTheme="minorHAnsi" w:eastAsiaTheme="minorEastAsia" w:hAnsiTheme="minorHAnsi" w:cstheme="minorBidi"/>
              <w:lang w:eastAsia="en-CA"/>
            </w:rPr>
          </w:pPr>
          <w:hyperlink w:anchor="_Toc68811437" w:history="1">
            <w:r w:rsidR="00857768" w:rsidRPr="00B87922">
              <w:rPr>
                <w:rStyle w:val="Hyperlink"/>
              </w:rPr>
              <w:t>ITU-R Objectives</w:t>
            </w:r>
            <w:r w:rsidR="00857768" w:rsidRPr="00B87922">
              <w:rPr>
                <w:webHidden/>
              </w:rPr>
              <w:tab/>
            </w:r>
            <w:r w:rsidR="00857768" w:rsidRPr="00B87922">
              <w:rPr>
                <w:webHidden/>
              </w:rPr>
              <w:fldChar w:fldCharType="begin"/>
            </w:r>
            <w:r w:rsidR="00857768" w:rsidRPr="00B87922">
              <w:rPr>
                <w:webHidden/>
              </w:rPr>
              <w:instrText xml:space="preserve"> PAGEREF _Toc68811437 \h </w:instrText>
            </w:r>
            <w:r w:rsidR="00857768" w:rsidRPr="00B87922">
              <w:rPr>
                <w:webHidden/>
              </w:rPr>
            </w:r>
            <w:r w:rsidR="00857768" w:rsidRPr="00B87922">
              <w:rPr>
                <w:webHidden/>
              </w:rPr>
              <w:fldChar w:fldCharType="separate"/>
            </w:r>
            <w:r w:rsidR="00857768" w:rsidRPr="00B87922">
              <w:rPr>
                <w:webHidden/>
              </w:rPr>
              <w:t>95</w:t>
            </w:r>
            <w:r w:rsidR="00857768" w:rsidRPr="00B87922">
              <w:rPr>
                <w:webHidden/>
              </w:rPr>
              <w:fldChar w:fldCharType="end"/>
            </w:r>
          </w:hyperlink>
        </w:p>
        <w:p w14:paraId="0C0F0986" w14:textId="1D6CE808" w:rsidR="00857768" w:rsidRPr="00B87922" w:rsidRDefault="00570F0C" w:rsidP="00B87922">
          <w:pPr>
            <w:pStyle w:val="TOC2"/>
            <w:rPr>
              <w:rFonts w:asciiTheme="minorHAnsi" w:eastAsiaTheme="minorEastAsia" w:hAnsiTheme="minorHAnsi" w:cstheme="minorBidi"/>
              <w:lang w:eastAsia="en-CA"/>
            </w:rPr>
          </w:pPr>
          <w:hyperlink w:anchor="_Toc68811438" w:history="1">
            <w:r w:rsidR="00857768" w:rsidRPr="00B87922">
              <w:rPr>
                <w:rStyle w:val="Hyperlink"/>
              </w:rPr>
              <w:t>ITU-T Objectives</w:t>
            </w:r>
            <w:r w:rsidR="00857768" w:rsidRPr="00B87922">
              <w:rPr>
                <w:webHidden/>
              </w:rPr>
              <w:tab/>
            </w:r>
            <w:r w:rsidR="00857768" w:rsidRPr="00B87922">
              <w:rPr>
                <w:webHidden/>
              </w:rPr>
              <w:fldChar w:fldCharType="begin"/>
            </w:r>
            <w:r w:rsidR="00857768" w:rsidRPr="00B87922">
              <w:rPr>
                <w:webHidden/>
              </w:rPr>
              <w:instrText xml:space="preserve"> PAGEREF _Toc68811438 \h </w:instrText>
            </w:r>
            <w:r w:rsidR="00857768" w:rsidRPr="00B87922">
              <w:rPr>
                <w:webHidden/>
              </w:rPr>
            </w:r>
            <w:r w:rsidR="00857768" w:rsidRPr="00B87922">
              <w:rPr>
                <w:webHidden/>
              </w:rPr>
              <w:fldChar w:fldCharType="separate"/>
            </w:r>
            <w:r w:rsidR="00857768" w:rsidRPr="00B87922">
              <w:rPr>
                <w:webHidden/>
              </w:rPr>
              <w:t>99</w:t>
            </w:r>
            <w:r w:rsidR="00857768" w:rsidRPr="00B87922">
              <w:rPr>
                <w:webHidden/>
              </w:rPr>
              <w:fldChar w:fldCharType="end"/>
            </w:r>
          </w:hyperlink>
        </w:p>
        <w:p w14:paraId="37ECFF72" w14:textId="12CC3EB7" w:rsidR="00857768" w:rsidRPr="00B87922" w:rsidRDefault="00570F0C" w:rsidP="00B87922">
          <w:pPr>
            <w:pStyle w:val="TOC2"/>
            <w:rPr>
              <w:rFonts w:asciiTheme="minorHAnsi" w:eastAsiaTheme="minorEastAsia" w:hAnsiTheme="minorHAnsi" w:cstheme="minorBidi"/>
              <w:lang w:eastAsia="en-CA"/>
            </w:rPr>
          </w:pPr>
          <w:hyperlink w:anchor="_Toc68811439" w:history="1">
            <w:r w:rsidR="00857768" w:rsidRPr="00B87922">
              <w:rPr>
                <w:rStyle w:val="Hyperlink"/>
              </w:rPr>
              <w:t>ITU-D Objectives</w:t>
            </w:r>
            <w:r w:rsidR="00857768" w:rsidRPr="00B87922">
              <w:rPr>
                <w:webHidden/>
              </w:rPr>
              <w:tab/>
            </w:r>
            <w:r w:rsidR="00857768" w:rsidRPr="00B87922">
              <w:rPr>
                <w:webHidden/>
              </w:rPr>
              <w:fldChar w:fldCharType="begin"/>
            </w:r>
            <w:r w:rsidR="00857768" w:rsidRPr="00B87922">
              <w:rPr>
                <w:webHidden/>
              </w:rPr>
              <w:instrText xml:space="preserve"> PAGEREF _Toc68811439 \h </w:instrText>
            </w:r>
            <w:r w:rsidR="00857768" w:rsidRPr="00B87922">
              <w:rPr>
                <w:webHidden/>
              </w:rPr>
            </w:r>
            <w:r w:rsidR="00857768" w:rsidRPr="00B87922">
              <w:rPr>
                <w:webHidden/>
              </w:rPr>
              <w:fldChar w:fldCharType="separate"/>
            </w:r>
            <w:r w:rsidR="00857768" w:rsidRPr="00B87922">
              <w:rPr>
                <w:webHidden/>
              </w:rPr>
              <w:t>103</w:t>
            </w:r>
            <w:r w:rsidR="00857768" w:rsidRPr="00B87922">
              <w:rPr>
                <w:webHidden/>
              </w:rPr>
              <w:fldChar w:fldCharType="end"/>
            </w:r>
          </w:hyperlink>
        </w:p>
        <w:p w14:paraId="1A1080DF" w14:textId="3B67E468" w:rsidR="00857768" w:rsidRPr="00B87922" w:rsidRDefault="00570F0C" w:rsidP="00B87922">
          <w:pPr>
            <w:pStyle w:val="TOC2"/>
            <w:rPr>
              <w:rFonts w:asciiTheme="minorHAnsi" w:eastAsiaTheme="minorEastAsia" w:hAnsiTheme="minorHAnsi" w:cstheme="minorBidi"/>
              <w:lang w:eastAsia="en-CA"/>
            </w:rPr>
          </w:pPr>
          <w:hyperlink w:anchor="_Toc68811440" w:history="1">
            <w:r w:rsidR="00857768" w:rsidRPr="00B87922">
              <w:rPr>
                <w:rStyle w:val="Hyperlink"/>
              </w:rPr>
              <w:t>Inter-sectoral objectives</w:t>
            </w:r>
            <w:r w:rsidR="00857768" w:rsidRPr="00B87922">
              <w:rPr>
                <w:webHidden/>
              </w:rPr>
              <w:tab/>
            </w:r>
            <w:r w:rsidR="00857768" w:rsidRPr="00B87922">
              <w:rPr>
                <w:webHidden/>
              </w:rPr>
              <w:fldChar w:fldCharType="begin"/>
            </w:r>
            <w:r w:rsidR="00857768" w:rsidRPr="00B87922">
              <w:rPr>
                <w:webHidden/>
              </w:rPr>
              <w:instrText xml:space="preserve"> PAGEREF _Toc68811440 \h </w:instrText>
            </w:r>
            <w:r w:rsidR="00857768" w:rsidRPr="00B87922">
              <w:rPr>
                <w:webHidden/>
              </w:rPr>
            </w:r>
            <w:r w:rsidR="00857768" w:rsidRPr="00B87922">
              <w:rPr>
                <w:webHidden/>
              </w:rPr>
              <w:fldChar w:fldCharType="separate"/>
            </w:r>
            <w:r w:rsidR="00857768" w:rsidRPr="00B87922">
              <w:rPr>
                <w:webHidden/>
              </w:rPr>
              <w:t>113</w:t>
            </w:r>
            <w:r w:rsidR="00857768" w:rsidRPr="00B87922">
              <w:rPr>
                <w:webHidden/>
              </w:rPr>
              <w:fldChar w:fldCharType="end"/>
            </w:r>
          </w:hyperlink>
        </w:p>
        <w:p w14:paraId="7B7D18C2" w14:textId="3A4ACC45" w:rsidR="00794CDE" w:rsidRPr="00A060FE" w:rsidRDefault="00570F0C" w:rsidP="00B87922">
          <w:pPr>
            <w:pStyle w:val="TOC2"/>
          </w:pPr>
          <w:hyperlink w:anchor="_Toc68811441" w:history="1">
            <w:r w:rsidR="00857768" w:rsidRPr="00B87922">
              <w:rPr>
                <w:rStyle w:val="Hyperlink"/>
              </w:rPr>
              <w:t>Enablers</w:t>
            </w:r>
            <w:r w:rsidR="00857768" w:rsidRPr="00B87922">
              <w:rPr>
                <w:webHidden/>
              </w:rPr>
              <w:tab/>
            </w:r>
            <w:r w:rsidR="00857768" w:rsidRPr="00B87922">
              <w:rPr>
                <w:webHidden/>
              </w:rPr>
              <w:fldChar w:fldCharType="begin"/>
            </w:r>
            <w:r w:rsidR="00857768" w:rsidRPr="00B87922">
              <w:rPr>
                <w:webHidden/>
              </w:rPr>
              <w:instrText xml:space="preserve"> PAGEREF _Toc68811441 \h </w:instrText>
            </w:r>
            <w:r w:rsidR="00857768" w:rsidRPr="00B87922">
              <w:rPr>
                <w:webHidden/>
              </w:rPr>
            </w:r>
            <w:r w:rsidR="00857768" w:rsidRPr="00B87922">
              <w:rPr>
                <w:webHidden/>
              </w:rPr>
              <w:fldChar w:fldCharType="separate"/>
            </w:r>
            <w:r w:rsidR="00857768" w:rsidRPr="00B87922">
              <w:rPr>
                <w:webHidden/>
              </w:rPr>
              <w:t>118</w:t>
            </w:r>
            <w:r w:rsidR="00857768" w:rsidRPr="00B87922">
              <w:rPr>
                <w:webHidden/>
              </w:rPr>
              <w:fldChar w:fldCharType="end"/>
            </w:r>
          </w:hyperlink>
          <w:r w:rsidR="00A83DAA" w:rsidRPr="00166BCE">
            <w:fldChar w:fldCharType="end"/>
          </w:r>
        </w:p>
      </w:sdtContent>
    </w:sdt>
    <w:p w14:paraId="2153BEEA" w14:textId="77777777" w:rsidR="007655B1" w:rsidRPr="00B64995" w:rsidRDefault="007655B1" w:rsidP="004E219F">
      <w:pPr>
        <w:spacing w:after="160" w:line="259" w:lineRule="auto"/>
        <w:rPr>
          <w:color w:val="0000FF"/>
        </w:rPr>
      </w:pPr>
    </w:p>
    <w:p w14:paraId="740789AB" w14:textId="77777777" w:rsidR="007655B1" w:rsidRPr="00B64995" w:rsidRDefault="007655B1" w:rsidP="007655B1">
      <w:pPr>
        <w:sectPr w:rsidR="007655B1" w:rsidRPr="00B64995" w:rsidSect="00231D35">
          <w:headerReference w:type="default" r:id="rId22"/>
          <w:headerReference w:type="first" r:id="rId23"/>
          <w:footerReference w:type="first" r:id="rId24"/>
          <w:pgSz w:w="11906" w:h="16838" w:code="9"/>
          <w:pgMar w:top="1247" w:right="1418" w:bottom="1418" w:left="1418" w:header="567" w:footer="567" w:gutter="0"/>
          <w:pgNumType w:fmt="lowerRoman" w:start="1"/>
          <w:cols w:space="708"/>
          <w:titlePg/>
          <w:docGrid w:linePitch="360"/>
        </w:sectPr>
      </w:pPr>
    </w:p>
    <w:p w14:paraId="3F33829C" w14:textId="1ADA2B41" w:rsidR="00E417F0" w:rsidRPr="00B64995" w:rsidRDefault="00026FC6" w:rsidP="00026FC6">
      <w:pPr>
        <w:pStyle w:val="Heading1"/>
      </w:pPr>
      <w:bookmarkStart w:id="15" w:name="_Toc37860454"/>
      <w:bookmarkStart w:id="16" w:name="_Toc37861215"/>
      <w:bookmarkStart w:id="17" w:name="_Toc37943334"/>
      <w:bookmarkStart w:id="18" w:name="_Toc68811404"/>
      <w:r w:rsidRPr="00A060FE">
        <w:lastRenderedPageBreak/>
        <w:t>1.</w:t>
      </w:r>
      <w:r w:rsidRPr="00A060FE">
        <w:tab/>
      </w:r>
      <w:r w:rsidR="0033664D" w:rsidRPr="00B64995">
        <w:t>Key t</w:t>
      </w:r>
      <w:r w:rsidR="00E417F0" w:rsidRPr="00B64995">
        <w:t>hemes of wor</w:t>
      </w:r>
      <w:r w:rsidR="0033664D" w:rsidRPr="00B64995">
        <w:t>k</w:t>
      </w:r>
      <w:bookmarkEnd w:id="15"/>
      <w:bookmarkEnd w:id="16"/>
      <w:bookmarkEnd w:id="17"/>
      <w:bookmarkEnd w:id="18"/>
    </w:p>
    <w:p w14:paraId="6A05A809" w14:textId="77777777" w:rsidR="00CD1524" w:rsidRPr="00B64995" w:rsidRDefault="00CD1524" w:rsidP="00614D53">
      <w:pPr>
        <w:textAlignment w:val="baseline"/>
        <w:rPr>
          <w:rFonts w:eastAsia="Times New Roman"/>
          <w:lang w:eastAsia="en-GB"/>
        </w:rPr>
      </w:pPr>
    </w:p>
    <w:p w14:paraId="1BEF58B0" w14:textId="77777777" w:rsidR="0049723A" w:rsidRPr="00B64995" w:rsidRDefault="00026FC6" w:rsidP="00026FC6">
      <w:pPr>
        <w:pStyle w:val="Heading2"/>
        <w:rPr>
          <w:lang w:eastAsia="en-GB"/>
        </w:rPr>
      </w:pPr>
      <w:bookmarkStart w:id="19" w:name="_Toc37860455"/>
      <w:bookmarkStart w:id="20" w:name="_Toc37861216"/>
      <w:bookmarkStart w:id="21" w:name="_Toc37943335"/>
      <w:bookmarkStart w:id="22" w:name="Section_1_1"/>
      <w:bookmarkStart w:id="23" w:name="_Toc68811405"/>
      <w:r w:rsidRPr="00B64995">
        <w:rPr>
          <w:lang w:eastAsia="en-GB"/>
        </w:rPr>
        <w:t>1.1</w:t>
      </w:r>
      <w:r w:rsidRPr="00B64995">
        <w:rPr>
          <w:lang w:eastAsia="en-GB"/>
        </w:rPr>
        <w:tab/>
      </w:r>
      <w:r w:rsidR="00CD1524" w:rsidRPr="00B64995">
        <w:rPr>
          <w:lang w:eastAsia="en-GB"/>
        </w:rPr>
        <w:t>WRC-19</w:t>
      </w:r>
      <w:r w:rsidR="00935DD6" w:rsidRPr="00B64995">
        <w:rPr>
          <w:lang w:eastAsia="en-GB"/>
        </w:rPr>
        <w:t xml:space="preserve"> </w:t>
      </w:r>
      <w:r w:rsidR="001D3038" w:rsidRPr="00B64995">
        <w:rPr>
          <w:lang w:eastAsia="en-GB"/>
        </w:rPr>
        <w:t>and RA</w:t>
      </w:r>
      <w:r w:rsidR="0033664D" w:rsidRPr="00B64995">
        <w:rPr>
          <w:lang w:eastAsia="en-GB"/>
        </w:rPr>
        <w:t>-</w:t>
      </w:r>
      <w:r w:rsidR="001D3038" w:rsidRPr="00B64995">
        <w:rPr>
          <w:lang w:eastAsia="en-GB"/>
        </w:rPr>
        <w:t>19</w:t>
      </w:r>
      <w:bookmarkEnd w:id="19"/>
      <w:bookmarkEnd w:id="20"/>
      <w:bookmarkEnd w:id="21"/>
      <w:bookmarkEnd w:id="22"/>
      <w:bookmarkEnd w:id="23"/>
    </w:p>
    <w:p w14:paraId="15A5139C" w14:textId="2CF707B4" w:rsidR="001D3038" w:rsidRPr="00B64995" w:rsidRDefault="001D3038" w:rsidP="00614D53">
      <w:pPr>
        <w:jc w:val="both"/>
        <w:textAlignment w:val="baseline"/>
        <w:rPr>
          <w:rFonts w:eastAsia="Times New Roman"/>
          <w:lang w:eastAsia="en-GB"/>
        </w:rPr>
      </w:pPr>
    </w:p>
    <w:p w14:paraId="69116DE6" w14:textId="7E2E39BE" w:rsidR="00536A22" w:rsidRPr="00B64995" w:rsidRDefault="00536A22" w:rsidP="00614D53">
      <w:pPr>
        <w:jc w:val="both"/>
        <w:textAlignment w:val="baseline"/>
        <w:rPr>
          <w:rFonts w:eastAsia="Times New Roman"/>
          <w:b/>
          <w:bCs/>
          <w:lang w:eastAsia="en-GB"/>
        </w:rPr>
      </w:pPr>
      <w:r w:rsidRPr="00B64995">
        <w:rPr>
          <w:rFonts w:eastAsia="Times New Roman"/>
          <w:b/>
          <w:bCs/>
          <w:lang w:eastAsia="en-GB"/>
        </w:rPr>
        <w:t>World Radiocommunication Conference 2019 (WRC-19)</w:t>
      </w:r>
    </w:p>
    <w:p w14:paraId="1F91FD57" w14:textId="48D207EA" w:rsidR="001D3038" w:rsidRPr="0074433B" w:rsidRDefault="001D3038" w:rsidP="00614D53">
      <w:pPr>
        <w:jc w:val="both"/>
        <w:textAlignment w:val="baseline"/>
        <w:rPr>
          <w:rFonts w:eastAsia="Times New Roman"/>
          <w:lang w:eastAsia="en-GB"/>
        </w:rPr>
      </w:pPr>
      <w:r w:rsidRPr="00B64995">
        <w:rPr>
          <w:rFonts w:eastAsia="Times New Roman"/>
          <w:lang w:eastAsia="en-GB"/>
        </w:rPr>
        <w:t xml:space="preserve">Further to Resolution 809 (WRC-15), and </w:t>
      </w:r>
      <w:r w:rsidRPr="0074433B">
        <w:rPr>
          <w:rFonts w:eastAsia="Times New Roman"/>
          <w:lang w:eastAsia="en-GB"/>
        </w:rPr>
        <w:t>following Council Resolution 1380 (</w:t>
      </w:r>
      <w:r w:rsidR="00106B84" w:rsidRPr="0074433B">
        <w:rPr>
          <w:rFonts w:eastAsia="Times New Roman"/>
          <w:lang w:eastAsia="en-GB"/>
        </w:rPr>
        <w:t>C16, amended C17</w:t>
      </w:r>
      <w:r w:rsidRPr="0074433B">
        <w:rPr>
          <w:rFonts w:eastAsia="Times New Roman"/>
          <w:lang w:eastAsia="en-GB"/>
        </w:rPr>
        <w:t>), the World Radiocommunication Conference 2019 (WRC-19) was held in Sharm el-Sheikh, Egypt</w:t>
      </w:r>
      <w:r w:rsidR="00A365DB" w:rsidRPr="0074433B">
        <w:rPr>
          <w:rFonts w:eastAsia="Times New Roman"/>
          <w:lang w:eastAsia="en-GB"/>
        </w:rPr>
        <w:t>,</w:t>
      </w:r>
      <w:r w:rsidRPr="0074433B">
        <w:rPr>
          <w:rFonts w:eastAsia="Times New Roman"/>
          <w:lang w:eastAsia="en-GB"/>
        </w:rPr>
        <w:t xml:space="preserve"> from 28 October to 22 November 2019.</w:t>
      </w:r>
      <w:r w:rsidR="0033664D" w:rsidRPr="0074433B">
        <w:rPr>
          <w:rFonts w:eastAsia="Times New Roman"/>
          <w:lang w:eastAsia="en-GB"/>
        </w:rPr>
        <w:t xml:space="preserve"> </w:t>
      </w:r>
      <w:r w:rsidRPr="0074433B">
        <w:rPr>
          <w:rFonts w:eastAsia="Times New Roman"/>
          <w:lang w:eastAsia="en-GB"/>
        </w:rPr>
        <w:t>A total of 3</w:t>
      </w:r>
      <w:r w:rsidR="005D4A07" w:rsidRPr="0074433B">
        <w:rPr>
          <w:rFonts w:eastAsia="Times New Roman"/>
          <w:lang w:eastAsia="en-GB"/>
        </w:rPr>
        <w:t> </w:t>
      </w:r>
      <w:r w:rsidRPr="0074433B">
        <w:rPr>
          <w:rFonts w:eastAsia="Times New Roman"/>
          <w:lang w:eastAsia="en-GB"/>
        </w:rPr>
        <w:t xml:space="preserve">420 participants representing 163 Member States and 129 observer organizations attended </w:t>
      </w:r>
      <w:r w:rsidR="434A3095" w:rsidRPr="0074433B">
        <w:rPr>
          <w:rFonts w:eastAsia="Times New Roman"/>
          <w:lang w:eastAsia="en-GB"/>
        </w:rPr>
        <w:t>the event</w:t>
      </w:r>
      <w:r w:rsidRPr="0074433B">
        <w:rPr>
          <w:rFonts w:eastAsia="Times New Roman"/>
          <w:lang w:eastAsia="en-GB"/>
        </w:rPr>
        <w:t>.</w:t>
      </w:r>
    </w:p>
    <w:p w14:paraId="5C3A3EE4" w14:textId="77777777" w:rsidR="001D3038" w:rsidRPr="0074433B" w:rsidRDefault="001D3038" w:rsidP="00614D53">
      <w:pPr>
        <w:jc w:val="both"/>
        <w:textAlignment w:val="baseline"/>
        <w:rPr>
          <w:rFonts w:eastAsia="Times New Roman"/>
          <w:lang w:eastAsia="en-GB"/>
        </w:rPr>
      </w:pPr>
    </w:p>
    <w:p w14:paraId="0E2D5609" w14:textId="4CA6F7F4" w:rsidR="001D3038" w:rsidRPr="0074433B" w:rsidRDefault="001D3038" w:rsidP="00614D53">
      <w:pPr>
        <w:jc w:val="both"/>
        <w:textAlignment w:val="baseline"/>
        <w:rPr>
          <w:rFonts w:eastAsia="Times New Roman"/>
          <w:lang w:eastAsia="en-GB"/>
        </w:rPr>
      </w:pPr>
      <w:r w:rsidRPr="0074433B">
        <w:rPr>
          <w:rFonts w:eastAsia="Times New Roman"/>
          <w:lang w:eastAsia="en-GB"/>
        </w:rPr>
        <w:t>WRC-19 was a fully paperless conference. To facilitate the handling of the 970 documents containing 5</w:t>
      </w:r>
      <w:r w:rsidR="00A365DB" w:rsidRPr="0074433B">
        <w:rPr>
          <w:rFonts w:eastAsia="Times New Roman"/>
          <w:lang w:eastAsia="en-GB"/>
        </w:rPr>
        <w:t xml:space="preserve"> </w:t>
      </w:r>
      <w:r w:rsidRPr="0074433B">
        <w:rPr>
          <w:rFonts w:eastAsia="Times New Roman"/>
          <w:lang w:eastAsia="en-GB"/>
        </w:rPr>
        <w:t xml:space="preserve">811 proposals issued for the conference, </w:t>
      </w:r>
      <w:r w:rsidR="2BF11FD0" w:rsidRPr="0074433B">
        <w:rPr>
          <w:rFonts w:eastAsia="Times New Roman"/>
          <w:lang w:eastAsia="en-GB"/>
        </w:rPr>
        <w:t xml:space="preserve">ITU enhanced the use of </w:t>
      </w:r>
      <w:r w:rsidRPr="0074433B">
        <w:rPr>
          <w:rFonts w:eastAsia="Times New Roman"/>
          <w:lang w:eastAsia="en-GB"/>
        </w:rPr>
        <w:t>the Proposals Management System</w:t>
      </w:r>
      <w:r w:rsidR="7865FAA6" w:rsidRPr="0074433B">
        <w:rPr>
          <w:rFonts w:eastAsia="Times New Roman"/>
          <w:lang w:eastAsia="en-GB"/>
        </w:rPr>
        <w:t xml:space="preserve">, and </w:t>
      </w:r>
      <w:r w:rsidRPr="0074433B">
        <w:rPr>
          <w:rFonts w:eastAsia="Times New Roman"/>
          <w:lang w:eastAsia="en-GB"/>
        </w:rPr>
        <w:t>further developed the Conference Proposals Interface</w:t>
      </w:r>
      <w:r w:rsidR="58BC3407" w:rsidRPr="0074433B">
        <w:rPr>
          <w:rFonts w:eastAsia="Times New Roman"/>
          <w:lang w:eastAsia="en-GB"/>
        </w:rPr>
        <w:t>, both</w:t>
      </w:r>
      <w:r w:rsidR="00EA202B" w:rsidRPr="0074433B">
        <w:rPr>
          <w:rFonts w:eastAsia="Times New Roman"/>
          <w:lang w:eastAsia="en-GB"/>
        </w:rPr>
        <w:t xml:space="preserve"> </w:t>
      </w:r>
      <w:r w:rsidR="58BC3407" w:rsidRPr="0074433B">
        <w:rPr>
          <w:rFonts w:eastAsia="Times New Roman"/>
          <w:lang w:eastAsia="en-GB"/>
        </w:rPr>
        <w:t xml:space="preserve">already used in previous ITU conferences. </w:t>
      </w:r>
      <w:r w:rsidRPr="0074433B">
        <w:rPr>
          <w:rFonts w:eastAsia="Times New Roman"/>
          <w:lang w:eastAsia="en-GB"/>
        </w:rPr>
        <w:t>Other electronic tools used during the conference were: the WRC-19 SharePoint, the WRC-19 Smartphone Applications, the Radio Regulations Navigation Tool, and the Sync Application.</w:t>
      </w:r>
    </w:p>
    <w:p w14:paraId="3093A6CA" w14:textId="77777777" w:rsidR="001D3038" w:rsidRPr="0074433B" w:rsidRDefault="001D3038" w:rsidP="00614D53">
      <w:pPr>
        <w:jc w:val="both"/>
        <w:textAlignment w:val="baseline"/>
        <w:rPr>
          <w:rFonts w:eastAsia="Times New Roman"/>
          <w:lang w:eastAsia="en-GB"/>
        </w:rPr>
      </w:pPr>
    </w:p>
    <w:p w14:paraId="25913325" w14:textId="3C867EB0" w:rsidR="001D3038" w:rsidRPr="0074433B" w:rsidRDefault="00614C1F" w:rsidP="00614D53">
      <w:pPr>
        <w:jc w:val="both"/>
        <w:textAlignment w:val="baseline"/>
        <w:rPr>
          <w:rFonts w:eastAsia="Times New Roman"/>
          <w:lang w:eastAsia="en-GB"/>
        </w:rPr>
      </w:pPr>
      <w:r w:rsidRPr="0074433B">
        <w:rPr>
          <w:rFonts w:eastAsia="Times New Roman"/>
          <w:lang w:eastAsia="en-GB"/>
        </w:rPr>
        <w:t>As per ITU Information/document access policy</w:t>
      </w:r>
      <w:r w:rsidR="001D3038" w:rsidRPr="0074433B">
        <w:rPr>
          <w:rFonts w:eastAsia="Times New Roman"/>
          <w:lang w:eastAsia="en-GB"/>
        </w:rPr>
        <w:t xml:space="preserve">, all input documents were freely accessible by the public in advance of the conference. The </w:t>
      </w:r>
      <w:hyperlink r:id="rId25" w:history="1">
        <w:r w:rsidR="001D3038" w:rsidRPr="0074433B">
          <w:rPr>
            <w:rStyle w:val="Hyperlink"/>
            <w:rFonts w:eastAsia="Times New Roman"/>
            <w:lang w:eastAsia="en-GB"/>
          </w:rPr>
          <w:t>Final Acts of WRC-19</w:t>
        </w:r>
      </w:hyperlink>
      <w:r w:rsidR="001D3038" w:rsidRPr="0074433B">
        <w:rPr>
          <w:rFonts w:eastAsia="Times New Roman"/>
          <w:lang w:eastAsia="en-GB"/>
        </w:rPr>
        <w:t xml:space="preserve"> are also available for public access as they are considered the main output of the conference.</w:t>
      </w:r>
      <w:r w:rsidR="0033664D" w:rsidRPr="0074433B">
        <w:rPr>
          <w:rFonts w:eastAsia="Times New Roman"/>
          <w:lang w:eastAsia="en-GB"/>
        </w:rPr>
        <w:t xml:space="preserve"> </w:t>
      </w:r>
      <w:r w:rsidR="001D3038" w:rsidRPr="0074433B">
        <w:rPr>
          <w:rFonts w:eastAsia="Times New Roman"/>
          <w:lang w:eastAsia="en-GB"/>
        </w:rPr>
        <w:t>Full information on WRC-19</w:t>
      </w:r>
      <w:r w:rsidR="00C72D27" w:rsidRPr="0074433B">
        <w:rPr>
          <w:rFonts w:eastAsia="Times New Roman"/>
          <w:lang w:eastAsia="en-GB"/>
        </w:rPr>
        <w:t xml:space="preserve"> </w:t>
      </w:r>
      <w:r w:rsidR="001D3038" w:rsidRPr="0074433B">
        <w:rPr>
          <w:rFonts w:eastAsia="Times New Roman"/>
          <w:lang w:eastAsia="en-GB"/>
        </w:rPr>
        <w:t xml:space="preserve">can be found at </w:t>
      </w:r>
      <w:hyperlink r:id="rId26">
        <w:r w:rsidR="001D3038" w:rsidRPr="0074433B">
          <w:rPr>
            <w:rStyle w:val="Hyperlink"/>
            <w:rFonts w:eastAsia="Times New Roman"/>
            <w:lang w:eastAsia="en-GB"/>
          </w:rPr>
          <w:t>www.itu.int/go/WRC-19</w:t>
        </w:r>
      </w:hyperlink>
      <w:r w:rsidR="001D3038" w:rsidRPr="0074433B">
        <w:rPr>
          <w:rFonts w:eastAsia="Times New Roman"/>
          <w:lang w:eastAsia="en-GB"/>
        </w:rPr>
        <w:t>.</w:t>
      </w:r>
    </w:p>
    <w:p w14:paraId="65E1C494" w14:textId="77777777" w:rsidR="001D3038" w:rsidRPr="0074433B" w:rsidRDefault="001D3038" w:rsidP="00614D53">
      <w:pPr>
        <w:jc w:val="both"/>
        <w:textAlignment w:val="baseline"/>
        <w:rPr>
          <w:rFonts w:eastAsia="Times New Roman"/>
          <w:lang w:eastAsia="en-GB"/>
        </w:rPr>
      </w:pPr>
    </w:p>
    <w:p w14:paraId="4E63E0AA" w14:textId="1CA7A140" w:rsidR="001D3038" w:rsidRPr="0074433B" w:rsidRDefault="001D3038" w:rsidP="000B788D">
      <w:pPr>
        <w:pStyle w:val="Heading5"/>
        <w:rPr>
          <w:lang w:eastAsia="en-GB"/>
        </w:rPr>
      </w:pPr>
      <w:r w:rsidRPr="0074433B">
        <w:rPr>
          <w:lang w:eastAsia="en-GB"/>
        </w:rPr>
        <w:t>Main outcomes of WRC-19</w:t>
      </w:r>
    </w:p>
    <w:p w14:paraId="68AECBDF" w14:textId="1EC4185A" w:rsidR="001D3038" w:rsidRPr="00A060FE" w:rsidRDefault="001D3038" w:rsidP="00614D53">
      <w:pPr>
        <w:jc w:val="both"/>
        <w:textAlignment w:val="baseline"/>
        <w:rPr>
          <w:rFonts w:eastAsia="Times New Roman"/>
          <w:lang w:eastAsia="en-GB"/>
        </w:rPr>
      </w:pPr>
      <w:r w:rsidRPr="0074433B">
        <w:rPr>
          <w:rFonts w:eastAsia="Times New Roman"/>
          <w:lang w:eastAsia="en-GB"/>
        </w:rPr>
        <w:t xml:space="preserve">WRC-19 addressed over 36 topics related to frequency allocation and frequency sharing for the efficient use of spectrum and orbital resources. The following are </w:t>
      </w:r>
      <w:r w:rsidR="00653B8E" w:rsidRPr="0074433B">
        <w:rPr>
          <w:rFonts w:eastAsia="Times New Roman"/>
          <w:lang w:eastAsia="en-GB"/>
        </w:rPr>
        <w:t xml:space="preserve">the key </w:t>
      </w:r>
      <w:r w:rsidRPr="0074433B">
        <w:rPr>
          <w:rFonts w:eastAsia="Times New Roman"/>
          <w:lang w:eastAsia="en-GB"/>
        </w:rPr>
        <w:t>WRC-19 outcomes</w:t>
      </w:r>
      <w:r w:rsidR="00653B8E" w:rsidRPr="0074433B">
        <w:rPr>
          <w:rFonts w:eastAsia="Times New Roman"/>
          <w:lang w:eastAsia="en-GB"/>
        </w:rPr>
        <w:t>.</w:t>
      </w:r>
    </w:p>
    <w:p w14:paraId="12C75082" w14:textId="77777777" w:rsidR="001D3038" w:rsidRPr="00B64995" w:rsidRDefault="001D3038" w:rsidP="00614D53">
      <w:pPr>
        <w:jc w:val="both"/>
        <w:textAlignment w:val="baseline"/>
        <w:rPr>
          <w:rFonts w:eastAsia="Times New Roman"/>
          <w:lang w:eastAsia="en-GB"/>
        </w:rPr>
      </w:pPr>
    </w:p>
    <w:p w14:paraId="14D01C5B" w14:textId="213F41AD" w:rsidR="001D3038" w:rsidRPr="00B64995" w:rsidRDefault="001D3038" w:rsidP="00614D53">
      <w:pPr>
        <w:jc w:val="both"/>
        <w:textAlignment w:val="baseline"/>
        <w:rPr>
          <w:rFonts w:eastAsia="Times New Roman"/>
          <w:u w:val="single"/>
          <w:lang w:eastAsia="en-GB"/>
        </w:rPr>
      </w:pPr>
      <w:r w:rsidRPr="00B64995">
        <w:rPr>
          <w:rFonts w:eastAsia="Times New Roman"/>
          <w:u w:val="single"/>
          <w:lang w:eastAsia="en-GB"/>
        </w:rPr>
        <w:t>Mobile and fixed broadband communications</w:t>
      </w:r>
    </w:p>
    <w:p w14:paraId="0EDC8995" w14:textId="63E708C3" w:rsidR="001D3038" w:rsidRPr="00B64995" w:rsidRDefault="001D3038" w:rsidP="00614D53">
      <w:pPr>
        <w:jc w:val="both"/>
        <w:textAlignment w:val="baseline"/>
        <w:rPr>
          <w:rFonts w:eastAsia="Times New Roman"/>
          <w:lang w:eastAsia="en-GB"/>
        </w:rPr>
      </w:pPr>
      <w:r w:rsidRPr="00B64995">
        <w:rPr>
          <w:rFonts w:eastAsia="Times New Roman"/>
          <w:lang w:eastAsia="en-GB"/>
        </w:rPr>
        <w:t>Satisfying IMT-2020/5G requirements for millimetre-wave spectrum, WRC-19 identified a total of 17.25 GHz of additional spectrum for IMT in frequencies between 24 GHz and 71 GHz, 86</w:t>
      </w:r>
      <w:r w:rsidR="00782133">
        <w:rPr>
          <w:rFonts w:eastAsia="Times New Roman"/>
          <w:lang w:eastAsia="en-GB"/>
        </w:rPr>
        <w:t xml:space="preserve"> per cent</w:t>
      </w:r>
      <w:r w:rsidRPr="00B64995">
        <w:rPr>
          <w:rFonts w:eastAsia="Times New Roman"/>
          <w:lang w:eastAsia="en-GB"/>
        </w:rPr>
        <w:t xml:space="preserve"> of which was harmonized on a global basis. The additional frequency bands identified for IMT globally are the 24.25-27.5 GHz, 37-43.5 </w:t>
      </w:r>
      <w:proofErr w:type="gramStart"/>
      <w:r w:rsidRPr="00B64995">
        <w:rPr>
          <w:rFonts w:eastAsia="Times New Roman"/>
          <w:lang w:eastAsia="en-GB"/>
        </w:rPr>
        <w:t>GHz</w:t>
      </w:r>
      <w:proofErr w:type="gramEnd"/>
      <w:r w:rsidRPr="00B64995">
        <w:rPr>
          <w:rFonts w:eastAsia="Times New Roman"/>
          <w:lang w:eastAsia="en-GB"/>
        </w:rPr>
        <w:t xml:space="preserve"> and 66-71 GHz bands, with regional and country identifications made in the 45.5-47 GHz and 47.2-48.2 GHz bands.</w:t>
      </w:r>
    </w:p>
    <w:p w14:paraId="52E0DE0D" w14:textId="77777777" w:rsidR="001D3038" w:rsidRPr="00B64995" w:rsidRDefault="001D3038" w:rsidP="00614D53">
      <w:pPr>
        <w:jc w:val="both"/>
        <w:textAlignment w:val="baseline"/>
        <w:rPr>
          <w:rFonts w:eastAsia="Times New Roman"/>
          <w:lang w:eastAsia="en-GB"/>
        </w:rPr>
      </w:pPr>
    </w:p>
    <w:p w14:paraId="3D96C749" w14:textId="2BEACB68" w:rsidR="001D3038" w:rsidRPr="00B64995" w:rsidRDefault="001D3038" w:rsidP="00614D53">
      <w:pPr>
        <w:jc w:val="both"/>
        <w:textAlignment w:val="baseline"/>
        <w:rPr>
          <w:rFonts w:eastAsia="Times New Roman"/>
          <w:lang w:eastAsia="en-GB"/>
        </w:rPr>
      </w:pPr>
      <w:r w:rsidRPr="00B64995">
        <w:rPr>
          <w:rFonts w:eastAsia="Times New Roman"/>
          <w:lang w:eastAsia="en-GB"/>
        </w:rPr>
        <w:t xml:space="preserve">To protect systems in the Earth exploration-satellite service (passive) in 23.6 – 24 GHz, WRC-19 updated Resolution 750 to specify limits of unwanted emission power levels from IMT systems in the 24.25-27.5 GHz band. </w:t>
      </w:r>
      <w:r w:rsidR="002B21B6" w:rsidRPr="00B64995">
        <w:rPr>
          <w:rFonts w:eastAsia="Times New Roman"/>
          <w:lang w:eastAsia="en-GB"/>
        </w:rPr>
        <w:t xml:space="preserve">A </w:t>
      </w:r>
      <w:r w:rsidRPr="00B64995">
        <w:rPr>
          <w:rFonts w:eastAsia="Times New Roman"/>
          <w:lang w:eastAsia="en-GB"/>
        </w:rPr>
        <w:t xml:space="preserve">two-step approach </w:t>
      </w:r>
      <w:r w:rsidR="0058790C" w:rsidRPr="00B64995">
        <w:rPr>
          <w:rFonts w:eastAsia="Times New Roman"/>
          <w:lang w:eastAsia="en-GB"/>
        </w:rPr>
        <w:t xml:space="preserve">was established </w:t>
      </w:r>
      <w:r w:rsidRPr="00B64995">
        <w:rPr>
          <w:rFonts w:eastAsia="Times New Roman"/>
          <w:lang w:eastAsia="en-GB"/>
        </w:rPr>
        <w:t xml:space="preserve">whereby the limit on unwanted emission power levels become even more stringent for IMT systems deployed after 1 September 2027, </w:t>
      </w:r>
      <w:r w:rsidR="0069119C" w:rsidRPr="00B64995">
        <w:rPr>
          <w:rFonts w:eastAsia="Times New Roman"/>
          <w:lang w:eastAsia="en-GB"/>
        </w:rPr>
        <w:t>after which</w:t>
      </w:r>
      <w:r w:rsidRPr="00B64995">
        <w:rPr>
          <w:rFonts w:eastAsia="Times New Roman"/>
          <w:lang w:eastAsia="en-GB"/>
        </w:rPr>
        <w:t xml:space="preserve"> a greater number of IMT systems </w:t>
      </w:r>
      <w:r w:rsidR="0069119C" w:rsidRPr="00B64995">
        <w:rPr>
          <w:rFonts w:eastAsia="Times New Roman"/>
          <w:lang w:eastAsia="en-GB"/>
        </w:rPr>
        <w:t xml:space="preserve">are anticipated to </w:t>
      </w:r>
      <w:r w:rsidRPr="00B64995">
        <w:rPr>
          <w:rFonts w:eastAsia="Times New Roman"/>
          <w:lang w:eastAsia="en-GB"/>
        </w:rPr>
        <w:t>be in service in that frequency range.</w:t>
      </w:r>
    </w:p>
    <w:p w14:paraId="5B6122EC" w14:textId="77777777" w:rsidR="001D3038" w:rsidRPr="00B64995" w:rsidRDefault="001D3038" w:rsidP="00614D53">
      <w:pPr>
        <w:jc w:val="both"/>
        <w:textAlignment w:val="baseline"/>
        <w:rPr>
          <w:rFonts w:eastAsia="Times New Roman"/>
          <w:lang w:eastAsia="en-GB"/>
        </w:rPr>
      </w:pPr>
    </w:p>
    <w:p w14:paraId="5C681129" w14:textId="360341DC" w:rsidR="001D3038" w:rsidRPr="00B64995" w:rsidRDefault="001D3038" w:rsidP="00614D53">
      <w:pPr>
        <w:jc w:val="both"/>
        <w:textAlignment w:val="baseline"/>
        <w:rPr>
          <w:rFonts w:eastAsia="Times New Roman"/>
          <w:lang w:eastAsia="en-GB"/>
        </w:rPr>
      </w:pPr>
      <w:r w:rsidRPr="00B64995">
        <w:rPr>
          <w:rFonts w:eastAsia="Times New Roman"/>
          <w:lang w:eastAsia="en-GB"/>
        </w:rPr>
        <w:t>WRC-19 changed the regulatory conditions for wireless access systems, including radio local area networks (WAS/RLANs) in the band 5</w:t>
      </w:r>
      <w:r w:rsidR="00A060FE">
        <w:rPr>
          <w:rFonts w:eastAsia="Times New Roman"/>
          <w:lang w:eastAsia="en-GB"/>
        </w:rPr>
        <w:t> </w:t>
      </w:r>
      <w:r w:rsidRPr="00B64995">
        <w:rPr>
          <w:rFonts w:eastAsia="Times New Roman"/>
          <w:lang w:eastAsia="en-GB"/>
        </w:rPr>
        <w:t>150 -5</w:t>
      </w:r>
      <w:r w:rsidR="00A060FE">
        <w:rPr>
          <w:rFonts w:eastAsia="Times New Roman"/>
          <w:lang w:eastAsia="en-GB"/>
        </w:rPr>
        <w:t> </w:t>
      </w:r>
      <w:r w:rsidRPr="00B64995">
        <w:rPr>
          <w:rFonts w:eastAsia="Times New Roman"/>
          <w:lang w:eastAsia="en-GB"/>
        </w:rPr>
        <w:t xml:space="preserve">250 </w:t>
      </w:r>
      <w:proofErr w:type="spellStart"/>
      <w:r w:rsidRPr="00B64995">
        <w:rPr>
          <w:rFonts w:eastAsia="Times New Roman"/>
          <w:lang w:eastAsia="en-GB"/>
        </w:rPr>
        <w:t>MHz.</w:t>
      </w:r>
      <w:proofErr w:type="spellEnd"/>
      <w:r w:rsidRPr="00B64995">
        <w:rPr>
          <w:rFonts w:eastAsia="Times New Roman"/>
          <w:lang w:eastAsia="en-GB"/>
        </w:rPr>
        <w:t xml:space="preserve"> This decision allows for the use of Wi-Fi devices in trains and cars, </w:t>
      </w:r>
      <w:r w:rsidR="002928FA" w:rsidRPr="00B64995">
        <w:rPr>
          <w:rFonts w:eastAsia="Times New Roman"/>
          <w:lang w:eastAsia="en-GB"/>
        </w:rPr>
        <w:t xml:space="preserve">highly </w:t>
      </w:r>
      <w:r w:rsidRPr="00B64995">
        <w:rPr>
          <w:rFonts w:eastAsia="Times New Roman"/>
          <w:lang w:eastAsia="en-GB"/>
        </w:rPr>
        <w:t>sought by the automotive and railway industries. It also permits a limited deployment of outdoor WAS/RLANs, with due protection of space services.</w:t>
      </w:r>
    </w:p>
    <w:p w14:paraId="77FA9CE4" w14:textId="77777777" w:rsidR="001D3038" w:rsidRPr="00B64995" w:rsidRDefault="001D3038" w:rsidP="00614D53">
      <w:pPr>
        <w:jc w:val="both"/>
        <w:textAlignment w:val="baseline"/>
        <w:rPr>
          <w:rFonts w:eastAsia="Times New Roman"/>
          <w:lang w:eastAsia="en-GB"/>
        </w:rPr>
      </w:pPr>
    </w:p>
    <w:p w14:paraId="14D729DF" w14:textId="18A990CC" w:rsidR="001D3038" w:rsidRPr="00B64995" w:rsidRDefault="00C62E2D" w:rsidP="000B788D">
      <w:pPr>
        <w:jc w:val="both"/>
        <w:textAlignment w:val="baseline"/>
        <w:rPr>
          <w:rFonts w:eastAsia="Times New Roman"/>
          <w:lang w:eastAsia="en-GB"/>
        </w:rPr>
      </w:pPr>
      <w:r w:rsidRPr="00B64995">
        <w:rPr>
          <w:rFonts w:eastAsia="Times New Roman"/>
          <w:lang w:eastAsia="en-GB"/>
        </w:rPr>
        <w:t>V</w:t>
      </w:r>
      <w:r w:rsidR="001D3038" w:rsidRPr="00B64995">
        <w:rPr>
          <w:rFonts w:eastAsia="Times New Roman"/>
          <w:lang w:eastAsia="en-GB"/>
        </w:rPr>
        <w:t xml:space="preserve">arious frequency bands for high altitude platform stations (HAPS) </w:t>
      </w:r>
      <w:r w:rsidR="009244D0" w:rsidRPr="00B64995">
        <w:rPr>
          <w:rFonts w:eastAsia="Times New Roman"/>
          <w:lang w:eastAsia="en-GB"/>
        </w:rPr>
        <w:t>were identified globally,</w:t>
      </w:r>
      <w:r w:rsidR="001D3038" w:rsidRPr="00B64995">
        <w:rPr>
          <w:rFonts w:eastAsia="Times New Roman"/>
          <w:lang w:eastAsia="en-GB"/>
        </w:rPr>
        <w:t xml:space="preserve"> along with other bands in Region 2, for a total of 5.25 GHz spectrum. This will facilitate the development and implementation of HAPS and will enable affordable broadband connectivity and telecommunication services in underserved communities and in rural and remote areas, including mountainous and desert zones, thus connecting the unconnected. HAPS can also be used for disaster recovery communications.</w:t>
      </w:r>
    </w:p>
    <w:p w14:paraId="578F143B" w14:textId="65792D52" w:rsidR="001D3038" w:rsidRPr="00B64995" w:rsidRDefault="5B1F56C3" w:rsidP="00614D53">
      <w:pPr>
        <w:jc w:val="both"/>
        <w:textAlignment w:val="baseline"/>
        <w:rPr>
          <w:rFonts w:eastAsia="Times New Roman"/>
          <w:lang w:eastAsia="en-GB"/>
        </w:rPr>
      </w:pPr>
      <w:r w:rsidRPr="00B64995">
        <w:rPr>
          <w:rFonts w:eastAsia="Times New Roman"/>
          <w:lang w:eastAsia="en-GB"/>
        </w:rPr>
        <w:lastRenderedPageBreak/>
        <w:t>V</w:t>
      </w:r>
      <w:r w:rsidR="001D3038" w:rsidRPr="00B64995">
        <w:rPr>
          <w:rFonts w:eastAsia="Times New Roman"/>
          <w:lang w:eastAsia="en-GB"/>
        </w:rPr>
        <w:t>arious bands between 275 and 450 GHz</w:t>
      </w:r>
      <w:r w:rsidR="496E4909" w:rsidRPr="00B64995">
        <w:rPr>
          <w:rFonts w:eastAsia="Times New Roman"/>
          <w:lang w:eastAsia="en-GB"/>
        </w:rPr>
        <w:t xml:space="preserve"> were identified</w:t>
      </w:r>
      <w:r w:rsidR="001D3038" w:rsidRPr="00B64995">
        <w:rPr>
          <w:rFonts w:eastAsia="Times New Roman"/>
          <w:lang w:eastAsia="en-GB"/>
        </w:rPr>
        <w:t xml:space="preserve"> for the land mobile and fixed services, with conditions necessary to protect the Earth</w:t>
      </w:r>
      <w:r w:rsidR="001D3038" w:rsidRPr="00B64995">
        <w:rPr>
          <w:rFonts w:ascii="Cambria Math" w:eastAsia="Times New Roman" w:hAnsi="Cambria Math" w:cs="Cambria Math"/>
          <w:lang w:eastAsia="en-GB"/>
        </w:rPr>
        <w:t>‑</w:t>
      </w:r>
      <w:r w:rsidR="001D3038" w:rsidRPr="00B64995">
        <w:rPr>
          <w:rFonts w:eastAsia="Times New Roman"/>
          <w:lang w:eastAsia="en-GB"/>
        </w:rPr>
        <w:t xml:space="preserve">exploration satellite service (EESS) (passive) applications in some of these bands. The identification enables future fixed and mobile systems with data rates of more than 100 Gbit/s. The protection of passive services </w:t>
      </w:r>
      <w:r w:rsidR="5199896A" w:rsidRPr="00B64995">
        <w:rPr>
          <w:rFonts w:eastAsia="Times New Roman"/>
          <w:lang w:eastAsia="en-GB"/>
        </w:rPr>
        <w:t xml:space="preserve">will require </w:t>
      </w:r>
      <w:r w:rsidR="001D3038" w:rsidRPr="00B64995">
        <w:rPr>
          <w:rFonts w:eastAsia="Times New Roman"/>
          <w:lang w:eastAsia="en-GB"/>
        </w:rPr>
        <w:t>further studies.</w:t>
      </w:r>
    </w:p>
    <w:p w14:paraId="21323C74" w14:textId="77777777" w:rsidR="001D3038" w:rsidRPr="00B64995" w:rsidRDefault="001D3038" w:rsidP="00614D53">
      <w:pPr>
        <w:jc w:val="both"/>
        <w:textAlignment w:val="baseline"/>
        <w:rPr>
          <w:rFonts w:eastAsia="Times New Roman"/>
          <w:lang w:eastAsia="en-GB"/>
        </w:rPr>
      </w:pPr>
    </w:p>
    <w:p w14:paraId="2707FB0B" w14:textId="1D6E07E9" w:rsidR="001D3038" w:rsidRPr="00B64995" w:rsidRDefault="001D3038" w:rsidP="00614D53">
      <w:pPr>
        <w:jc w:val="both"/>
        <w:textAlignment w:val="baseline"/>
        <w:rPr>
          <w:rFonts w:eastAsia="Times New Roman"/>
          <w:u w:val="single"/>
          <w:lang w:eastAsia="en-GB"/>
        </w:rPr>
      </w:pPr>
      <w:r w:rsidRPr="00B64995">
        <w:rPr>
          <w:rFonts w:eastAsia="Times New Roman"/>
          <w:u w:val="single"/>
          <w:lang w:eastAsia="en-GB"/>
        </w:rPr>
        <w:t>Amateur radio service</w:t>
      </w:r>
    </w:p>
    <w:p w14:paraId="7836A624" w14:textId="59F01D4D" w:rsidR="001D3038" w:rsidRPr="00B64995" w:rsidRDefault="001D3038" w:rsidP="00614D53">
      <w:pPr>
        <w:jc w:val="both"/>
        <w:textAlignment w:val="baseline"/>
        <w:rPr>
          <w:rFonts w:eastAsia="Times New Roman"/>
          <w:lang w:eastAsia="en-GB"/>
        </w:rPr>
      </w:pPr>
      <w:r w:rsidRPr="00B64995">
        <w:rPr>
          <w:rFonts w:eastAsia="Times New Roman"/>
          <w:lang w:eastAsia="en-GB"/>
        </w:rPr>
        <w:t>WRC-19 made allocations to the amateur service on a secondary basis in the frequency band 50</w:t>
      </w:r>
      <w:r w:rsidR="00971E61" w:rsidRPr="00B64995">
        <w:rPr>
          <w:rFonts w:eastAsia="Times New Roman"/>
          <w:lang w:eastAsia="en-GB"/>
        </w:rPr>
        <w:t>-</w:t>
      </w:r>
      <w:r w:rsidRPr="00B64995">
        <w:rPr>
          <w:rFonts w:eastAsia="Times New Roman"/>
          <w:lang w:eastAsia="en-GB"/>
        </w:rPr>
        <w:t>52 MHz in Region 1</w:t>
      </w:r>
      <w:r w:rsidR="00971E61" w:rsidRPr="00B64995">
        <w:rPr>
          <w:rFonts w:eastAsia="Times New Roman"/>
          <w:lang w:eastAsia="en-GB"/>
        </w:rPr>
        <w:t xml:space="preserve"> (R1)</w:t>
      </w:r>
      <w:r w:rsidRPr="00B64995">
        <w:rPr>
          <w:rFonts w:eastAsia="Times New Roman"/>
          <w:lang w:eastAsia="en-GB"/>
        </w:rPr>
        <w:t>, with the conditions to protect the incumbent services. In some R1 countries, the allocation to the amateur service is on a primary basis in the entire band 50-54 MHz or its parts. Through this action, WRC-19 completed harmonization of spectrum throughout the three Regions, since in Regions 2 and 3 the allocation existed before WRC-19. This will enhance radio amateur’s capacity to communicate in this frequency band.</w:t>
      </w:r>
    </w:p>
    <w:p w14:paraId="5AAA7101" w14:textId="77777777" w:rsidR="001D3038" w:rsidRPr="00B64995" w:rsidRDefault="001D3038" w:rsidP="00614D53">
      <w:pPr>
        <w:jc w:val="both"/>
        <w:textAlignment w:val="baseline"/>
        <w:rPr>
          <w:rFonts w:eastAsia="Times New Roman"/>
          <w:lang w:eastAsia="en-GB"/>
        </w:rPr>
      </w:pPr>
    </w:p>
    <w:p w14:paraId="6390A86A" w14:textId="160F8423" w:rsidR="001D3038" w:rsidRPr="00B64995" w:rsidRDefault="001D3038" w:rsidP="00614D53">
      <w:pPr>
        <w:jc w:val="both"/>
        <w:textAlignment w:val="baseline"/>
        <w:rPr>
          <w:rFonts w:eastAsia="Times New Roman"/>
          <w:u w:val="single"/>
          <w:lang w:eastAsia="en-GB"/>
        </w:rPr>
      </w:pPr>
      <w:r w:rsidRPr="00B64995">
        <w:rPr>
          <w:rFonts w:eastAsia="Times New Roman"/>
          <w:u w:val="single"/>
          <w:lang w:eastAsia="en-GB"/>
        </w:rPr>
        <w:t xml:space="preserve">Radiocommunications for </w:t>
      </w:r>
      <w:r w:rsidR="0064759D" w:rsidRPr="00B64995">
        <w:rPr>
          <w:rFonts w:eastAsia="Times New Roman"/>
          <w:u w:val="single"/>
          <w:lang w:eastAsia="en-GB"/>
        </w:rPr>
        <w:t>t</w:t>
      </w:r>
      <w:r w:rsidRPr="00B64995">
        <w:rPr>
          <w:rFonts w:eastAsia="Times New Roman"/>
          <w:u w:val="single"/>
          <w:lang w:eastAsia="en-GB"/>
        </w:rPr>
        <w:t xml:space="preserve">ransportation </w:t>
      </w:r>
      <w:r w:rsidR="0064759D" w:rsidRPr="00B64995">
        <w:rPr>
          <w:rFonts w:eastAsia="Times New Roman"/>
          <w:u w:val="single"/>
          <w:lang w:eastAsia="en-GB"/>
        </w:rPr>
        <w:t>s</w:t>
      </w:r>
      <w:r w:rsidRPr="00B64995">
        <w:rPr>
          <w:rFonts w:eastAsia="Times New Roman"/>
          <w:u w:val="single"/>
          <w:lang w:eastAsia="en-GB"/>
        </w:rPr>
        <w:t>ystems</w:t>
      </w:r>
    </w:p>
    <w:p w14:paraId="3F99D5BB" w14:textId="79515A33" w:rsidR="001D3038" w:rsidRPr="00B64995" w:rsidRDefault="001D3038" w:rsidP="00614D53">
      <w:pPr>
        <w:jc w:val="both"/>
        <w:textAlignment w:val="baseline"/>
        <w:rPr>
          <w:rFonts w:eastAsia="Times New Roman"/>
          <w:lang w:eastAsia="en-GB"/>
        </w:rPr>
      </w:pPr>
      <w:r w:rsidRPr="00B64995">
        <w:rPr>
          <w:rFonts w:eastAsia="Times New Roman"/>
          <w:lang w:eastAsia="en-GB"/>
        </w:rPr>
        <w:t xml:space="preserve">WRC-19 adopted a new Resolution on Railway radiocommunication systems between train and trackside (RSTT). It </w:t>
      </w:r>
      <w:r w:rsidR="00CC7A73" w:rsidRPr="00B64995">
        <w:rPr>
          <w:rFonts w:eastAsia="Times New Roman"/>
          <w:lang w:eastAsia="en-GB"/>
        </w:rPr>
        <w:t>invites continued</w:t>
      </w:r>
      <w:r w:rsidRPr="00B64995">
        <w:rPr>
          <w:rFonts w:eastAsia="Times New Roman"/>
          <w:lang w:eastAsia="en-GB"/>
        </w:rPr>
        <w:t xml:space="preserve"> development of the ITU-R Recommendations/Report for spectrum harmonization of RSTT. Countries are encouraged, when planning for their RSTT, to consider these study results. This </w:t>
      </w:r>
      <w:r w:rsidR="2A8C1609" w:rsidRPr="00B64995">
        <w:rPr>
          <w:rFonts w:eastAsia="Times New Roman"/>
          <w:lang w:eastAsia="en-GB"/>
        </w:rPr>
        <w:t>resolution</w:t>
      </w:r>
      <w:r w:rsidRPr="00B64995">
        <w:rPr>
          <w:rFonts w:eastAsia="Times New Roman"/>
          <w:lang w:eastAsia="en-GB"/>
        </w:rPr>
        <w:t xml:space="preserve"> contributes to global and regional harmonization of RSTT applications, enabling economies of scale and interoperability.</w:t>
      </w:r>
    </w:p>
    <w:p w14:paraId="324C6735" w14:textId="77777777" w:rsidR="001D3038" w:rsidRPr="00B64995" w:rsidRDefault="001D3038" w:rsidP="00614D53">
      <w:pPr>
        <w:jc w:val="both"/>
        <w:textAlignment w:val="baseline"/>
        <w:rPr>
          <w:rFonts w:eastAsia="Times New Roman"/>
          <w:lang w:eastAsia="en-GB"/>
        </w:rPr>
      </w:pPr>
    </w:p>
    <w:p w14:paraId="0BA93E01" w14:textId="6C4CE60A" w:rsidR="001D3038" w:rsidRPr="00B64995" w:rsidRDefault="34A1E923" w:rsidP="00614D53">
      <w:pPr>
        <w:jc w:val="both"/>
        <w:textAlignment w:val="baseline"/>
        <w:rPr>
          <w:rFonts w:eastAsia="Times New Roman"/>
          <w:lang w:eastAsia="en-GB"/>
        </w:rPr>
      </w:pPr>
      <w:r w:rsidRPr="00B64995">
        <w:rPr>
          <w:rFonts w:eastAsia="Times New Roman"/>
          <w:lang w:eastAsia="en-GB"/>
        </w:rPr>
        <w:t xml:space="preserve">WRC-19 also adopted </w:t>
      </w:r>
      <w:r w:rsidR="58B514E5" w:rsidRPr="00B64995">
        <w:rPr>
          <w:rFonts w:eastAsia="Times New Roman"/>
          <w:lang w:eastAsia="en-GB"/>
        </w:rPr>
        <w:t>a</w:t>
      </w:r>
      <w:r w:rsidR="001D3038" w:rsidRPr="00B64995">
        <w:rPr>
          <w:rFonts w:eastAsia="Times New Roman"/>
          <w:lang w:eastAsia="en-GB"/>
        </w:rPr>
        <w:t xml:space="preserve"> new Recommendation on Intelligent Transport Systems (ITS)</w:t>
      </w:r>
      <w:r w:rsidR="27BDC914" w:rsidRPr="00B64995">
        <w:rPr>
          <w:rFonts w:eastAsia="Times New Roman"/>
          <w:lang w:eastAsia="en-GB"/>
        </w:rPr>
        <w:t xml:space="preserve"> </w:t>
      </w:r>
      <w:r w:rsidR="2013E2D1" w:rsidRPr="00B64995">
        <w:rPr>
          <w:rFonts w:eastAsia="Times New Roman"/>
          <w:lang w:eastAsia="en-GB"/>
        </w:rPr>
        <w:t xml:space="preserve">to </w:t>
      </w:r>
      <w:r w:rsidR="001D3038" w:rsidRPr="00B64995">
        <w:rPr>
          <w:rFonts w:eastAsia="Times New Roman"/>
          <w:lang w:eastAsia="en-GB"/>
        </w:rPr>
        <w:t>recommend administrations to consider the harmonized frequency bands, as described in the relevant Recommendations (</w:t>
      </w:r>
      <w:proofErr w:type="gramStart"/>
      <w:r w:rsidR="001D3038" w:rsidRPr="00B64995">
        <w:rPr>
          <w:rFonts w:eastAsia="Times New Roman"/>
          <w:lang w:eastAsia="en-GB"/>
        </w:rPr>
        <w:t>e.g.</w:t>
      </w:r>
      <w:proofErr w:type="gramEnd"/>
      <w:r w:rsidR="001D3038" w:rsidRPr="00B64995">
        <w:rPr>
          <w:rFonts w:eastAsia="Times New Roman"/>
          <w:lang w:eastAsia="en-GB"/>
        </w:rPr>
        <w:t xml:space="preserve"> ITU-R M.2121), when planning and deploying evolving ITS applications. This </w:t>
      </w:r>
      <w:r w:rsidR="0BFC7EDD" w:rsidRPr="00B64995">
        <w:rPr>
          <w:rFonts w:eastAsia="Times New Roman"/>
          <w:lang w:eastAsia="en-GB"/>
        </w:rPr>
        <w:t>recommendation</w:t>
      </w:r>
      <w:r w:rsidR="001D3038" w:rsidRPr="00B64995">
        <w:rPr>
          <w:rFonts w:eastAsia="Times New Roman"/>
          <w:lang w:eastAsia="en-GB"/>
        </w:rPr>
        <w:t xml:space="preserve"> contributes to global and regional harmonization of ITS applications, enabling economies of scale and interoperability.</w:t>
      </w:r>
    </w:p>
    <w:p w14:paraId="4726E41F" w14:textId="77777777" w:rsidR="001D3038" w:rsidRPr="00B64995" w:rsidRDefault="001D3038" w:rsidP="00614D53">
      <w:pPr>
        <w:jc w:val="both"/>
        <w:textAlignment w:val="baseline"/>
        <w:rPr>
          <w:rFonts w:eastAsia="Times New Roman"/>
          <w:lang w:eastAsia="en-GB"/>
        </w:rPr>
      </w:pPr>
    </w:p>
    <w:p w14:paraId="76BC6262" w14:textId="24C382E7" w:rsidR="001D3038" w:rsidRPr="00B64995" w:rsidRDefault="001D3038" w:rsidP="00614D53">
      <w:pPr>
        <w:jc w:val="both"/>
        <w:textAlignment w:val="baseline"/>
        <w:rPr>
          <w:rFonts w:eastAsia="Times New Roman"/>
          <w:u w:val="single"/>
          <w:lang w:eastAsia="en-GB"/>
        </w:rPr>
      </w:pPr>
      <w:r w:rsidRPr="00B64995">
        <w:rPr>
          <w:rFonts w:eastAsia="Times New Roman"/>
          <w:u w:val="single"/>
          <w:lang w:eastAsia="en-GB"/>
        </w:rPr>
        <w:t xml:space="preserve">Enhanced </w:t>
      </w:r>
      <w:r w:rsidR="006C305A" w:rsidRPr="00B64995">
        <w:rPr>
          <w:rFonts w:eastAsia="Times New Roman"/>
          <w:u w:val="single"/>
          <w:lang w:eastAsia="en-GB"/>
        </w:rPr>
        <w:t>m</w:t>
      </w:r>
      <w:r w:rsidRPr="00B64995">
        <w:rPr>
          <w:rFonts w:eastAsia="Times New Roman"/>
          <w:u w:val="single"/>
          <w:lang w:eastAsia="en-GB"/>
        </w:rPr>
        <w:t xml:space="preserve">aritime </w:t>
      </w:r>
      <w:r w:rsidR="006C305A" w:rsidRPr="00B64995">
        <w:rPr>
          <w:rFonts w:eastAsia="Times New Roman"/>
          <w:u w:val="single"/>
          <w:lang w:eastAsia="en-GB"/>
        </w:rPr>
        <w:t>c</w:t>
      </w:r>
      <w:r w:rsidRPr="00B64995">
        <w:rPr>
          <w:rFonts w:eastAsia="Times New Roman"/>
          <w:u w:val="single"/>
          <w:lang w:eastAsia="en-GB"/>
        </w:rPr>
        <w:t xml:space="preserve">ommunication </w:t>
      </w:r>
      <w:r w:rsidR="006C305A" w:rsidRPr="00B64995">
        <w:rPr>
          <w:rFonts w:eastAsia="Times New Roman"/>
          <w:u w:val="single"/>
          <w:lang w:eastAsia="en-GB"/>
        </w:rPr>
        <w:t>s</w:t>
      </w:r>
      <w:r w:rsidRPr="00B64995">
        <w:rPr>
          <w:rFonts w:eastAsia="Times New Roman"/>
          <w:u w:val="single"/>
          <w:lang w:eastAsia="en-GB"/>
        </w:rPr>
        <w:t xml:space="preserve">ystems and </w:t>
      </w:r>
      <w:proofErr w:type="gramStart"/>
      <w:r w:rsidR="006C305A" w:rsidRPr="00B64995">
        <w:rPr>
          <w:rFonts w:eastAsia="Times New Roman"/>
          <w:u w:val="single"/>
          <w:lang w:eastAsia="en-GB"/>
        </w:rPr>
        <w:t>s</w:t>
      </w:r>
      <w:r w:rsidRPr="00B64995">
        <w:rPr>
          <w:rFonts w:eastAsia="Times New Roman"/>
          <w:u w:val="single"/>
          <w:lang w:eastAsia="en-GB"/>
        </w:rPr>
        <w:t>ervices</w:t>
      </w:r>
      <w:proofErr w:type="gramEnd"/>
    </w:p>
    <w:p w14:paraId="34174862" w14:textId="77777777" w:rsidR="001D3038" w:rsidRPr="00B64995" w:rsidRDefault="001D3038" w:rsidP="00614D53">
      <w:pPr>
        <w:jc w:val="both"/>
        <w:textAlignment w:val="baseline"/>
        <w:rPr>
          <w:rFonts w:eastAsia="Times New Roman"/>
          <w:lang w:eastAsia="en-GB"/>
        </w:rPr>
      </w:pPr>
      <w:r w:rsidRPr="00B64995">
        <w:rPr>
          <w:rFonts w:eastAsia="Times New Roman"/>
          <w:lang w:eastAsia="en-GB"/>
        </w:rPr>
        <w:t>NAVDAT (Navigation Data) is a digital system to broadcast maritime safety information, including navigation and meteorological warnings. WRC-19 authorized the usage of NAVDAT in certain medium- and high-frequency bands in the maritime mobile service, which will provide a variety of safety-related information to ships using digital technologies.</w:t>
      </w:r>
    </w:p>
    <w:p w14:paraId="375A05A5" w14:textId="77777777" w:rsidR="001D3038" w:rsidRPr="00B64995" w:rsidRDefault="001D3038" w:rsidP="00614D53">
      <w:pPr>
        <w:jc w:val="both"/>
        <w:textAlignment w:val="baseline"/>
        <w:rPr>
          <w:rFonts w:eastAsia="Times New Roman"/>
          <w:lang w:eastAsia="en-GB"/>
        </w:rPr>
      </w:pPr>
    </w:p>
    <w:p w14:paraId="7C4097F6" w14:textId="32177935" w:rsidR="001D3038" w:rsidRPr="00B64995" w:rsidRDefault="001D3038" w:rsidP="00614D53">
      <w:pPr>
        <w:jc w:val="both"/>
        <w:textAlignment w:val="baseline"/>
        <w:rPr>
          <w:rFonts w:eastAsia="Times New Roman"/>
          <w:lang w:eastAsia="en-GB"/>
        </w:rPr>
      </w:pPr>
      <w:r w:rsidRPr="00B64995">
        <w:rPr>
          <w:rFonts w:eastAsia="Times New Roman"/>
          <w:lang w:eastAsia="en-GB"/>
        </w:rPr>
        <w:t>WRC-19 adopted the regulatory provisions necessary for adding Iridium as a second satellite provider to the Global Maritime Distress and Safety System (GMDSS). Specifically, allocation to the maritime-mobile satellite service</w:t>
      </w:r>
      <w:r w:rsidR="293DE508" w:rsidRPr="00B64995">
        <w:rPr>
          <w:rFonts w:eastAsia="Times New Roman"/>
          <w:lang w:eastAsia="en-GB"/>
        </w:rPr>
        <w:t xml:space="preserve"> was upgraded</w:t>
      </w:r>
      <w:r w:rsidRPr="00B64995">
        <w:rPr>
          <w:rFonts w:eastAsia="Times New Roman"/>
          <w:lang w:eastAsia="en-GB"/>
        </w:rPr>
        <w:t xml:space="preserve"> in the downlink and entered this band in </w:t>
      </w:r>
      <w:r w:rsidR="00971E61" w:rsidRPr="00B64995">
        <w:rPr>
          <w:rFonts w:eastAsia="Times New Roman"/>
          <w:lang w:eastAsia="en-GB"/>
        </w:rPr>
        <w:t>the Radio regulations (</w:t>
      </w:r>
      <w:r w:rsidRPr="00B64995">
        <w:rPr>
          <w:rFonts w:eastAsia="Times New Roman"/>
          <w:lang w:eastAsia="en-GB"/>
        </w:rPr>
        <w:t>RR</w:t>
      </w:r>
      <w:r w:rsidR="00971E61" w:rsidRPr="00B64995">
        <w:rPr>
          <w:rFonts w:eastAsia="Times New Roman"/>
          <w:lang w:eastAsia="en-GB"/>
        </w:rPr>
        <w:t>)</w:t>
      </w:r>
      <w:r w:rsidRPr="00B64995">
        <w:rPr>
          <w:rFonts w:eastAsia="Times New Roman"/>
          <w:lang w:eastAsia="en-GB"/>
        </w:rPr>
        <w:t xml:space="preserve"> Appendix 15 for GMDSS. Additionally, regulatory provisions were reinforced to protect radio astronomy in the lower adjacent band and the mobile-satellite service in the same band and adjacent upper band. The introduction of this second GMDSS satellite provider, which is a non-geostationary orbit (non-GSO) system, is very beneficial for the maritime community</w:t>
      </w:r>
      <w:r w:rsidR="006A5424" w:rsidRPr="00B64995">
        <w:rPr>
          <w:rFonts w:eastAsia="Times New Roman"/>
          <w:lang w:eastAsia="en-GB"/>
        </w:rPr>
        <w:t xml:space="preserve"> as it</w:t>
      </w:r>
      <w:r w:rsidRPr="00B64995">
        <w:rPr>
          <w:rFonts w:eastAsia="Times New Roman"/>
          <w:lang w:eastAsia="en-GB"/>
        </w:rPr>
        <w:t xml:space="preserve"> allows GMDSS globe</w:t>
      </w:r>
      <w:r w:rsidR="0087755E" w:rsidRPr="00B64995">
        <w:rPr>
          <w:rFonts w:eastAsia="Times New Roman"/>
          <w:lang w:eastAsia="en-GB"/>
        </w:rPr>
        <w:t xml:space="preserve"> coverage</w:t>
      </w:r>
      <w:r w:rsidRPr="00B64995">
        <w:rPr>
          <w:rFonts w:eastAsia="Times New Roman"/>
          <w:lang w:eastAsia="en-GB"/>
        </w:rPr>
        <w:t xml:space="preserve">, including polar areas, and reinforces competition </w:t>
      </w:r>
      <w:proofErr w:type="gramStart"/>
      <w:r w:rsidRPr="00B64995">
        <w:rPr>
          <w:rFonts w:eastAsia="Times New Roman"/>
          <w:lang w:eastAsia="en-GB"/>
        </w:rPr>
        <w:t>in the area of</w:t>
      </w:r>
      <w:proofErr w:type="gramEnd"/>
      <w:r w:rsidRPr="00B64995">
        <w:rPr>
          <w:rFonts w:eastAsia="Times New Roman"/>
          <w:lang w:eastAsia="en-GB"/>
        </w:rPr>
        <w:t xml:space="preserve"> maritime communications.</w:t>
      </w:r>
    </w:p>
    <w:p w14:paraId="715F222B" w14:textId="77777777" w:rsidR="001D3038" w:rsidRPr="00B64995" w:rsidRDefault="001D3038" w:rsidP="00614D53">
      <w:pPr>
        <w:jc w:val="both"/>
        <w:textAlignment w:val="baseline"/>
        <w:rPr>
          <w:rFonts w:eastAsia="Times New Roman"/>
          <w:lang w:eastAsia="en-GB"/>
        </w:rPr>
      </w:pPr>
    </w:p>
    <w:p w14:paraId="400BB88F" w14:textId="77777777" w:rsidR="0049723A" w:rsidRPr="00B64995" w:rsidRDefault="5997C3B5" w:rsidP="00614D53">
      <w:pPr>
        <w:jc w:val="both"/>
        <w:textAlignment w:val="baseline"/>
        <w:rPr>
          <w:rFonts w:eastAsia="Times New Roman"/>
          <w:lang w:eastAsia="en-GB"/>
        </w:rPr>
      </w:pPr>
      <w:r w:rsidRPr="00B64995">
        <w:rPr>
          <w:rFonts w:eastAsia="Times New Roman"/>
          <w:lang w:eastAsia="en-GB"/>
        </w:rPr>
        <w:t>U</w:t>
      </w:r>
      <w:r w:rsidR="001D3038" w:rsidRPr="00B64995">
        <w:rPr>
          <w:rFonts w:eastAsia="Times New Roman"/>
          <w:lang w:eastAsia="en-GB"/>
        </w:rPr>
        <w:t xml:space="preserve">sage of maritime frequency channels for </w:t>
      </w:r>
      <w:r w:rsidR="00E157F2" w:rsidRPr="00B64995">
        <w:rPr>
          <w:rFonts w:eastAsia="Times New Roman"/>
          <w:lang w:eastAsia="en-GB"/>
        </w:rPr>
        <w:t>autonomous maritime radio devices</w:t>
      </w:r>
      <w:r w:rsidR="001D3038" w:rsidRPr="00B64995">
        <w:rPr>
          <w:rFonts w:eastAsia="Times New Roman"/>
          <w:lang w:eastAsia="en-GB"/>
        </w:rPr>
        <w:t xml:space="preserve"> </w:t>
      </w:r>
      <w:r w:rsidR="00E157F2" w:rsidRPr="00B64995">
        <w:rPr>
          <w:rFonts w:eastAsia="Times New Roman"/>
          <w:lang w:eastAsia="en-GB"/>
        </w:rPr>
        <w:t>(</w:t>
      </w:r>
      <w:r w:rsidR="001D3038" w:rsidRPr="00B64995">
        <w:rPr>
          <w:rFonts w:eastAsia="Times New Roman"/>
          <w:lang w:eastAsia="en-GB"/>
        </w:rPr>
        <w:t>AMRDs</w:t>
      </w:r>
      <w:r w:rsidR="00E157F2" w:rsidRPr="00B64995">
        <w:rPr>
          <w:rFonts w:eastAsia="Times New Roman"/>
          <w:lang w:eastAsia="en-GB"/>
        </w:rPr>
        <w:t>)</w:t>
      </w:r>
      <w:r w:rsidR="001D3038" w:rsidRPr="00B64995">
        <w:rPr>
          <w:rFonts w:eastAsia="Times New Roman"/>
          <w:lang w:eastAsia="en-GB"/>
        </w:rPr>
        <w:t xml:space="preserve"> </w:t>
      </w:r>
      <w:r w:rsidR="27221B71" w:rsidRPr="00B64995">
        <w:rPr>
          <w:rFonts w:eastAsia="Times New Roman"/>
          <w:lang w:eastAsia="en-GB"/>
        </w:rPr>
        <w:t xml:space="preserve">was regulated </w:t>
      </w:r>
      <w:r w:rsidR="001D3038" w:rsidRPr="00B64995">
        <w:rPr>
          <w:rFonts w:eastAsia="Times New Roman"/>
          <w:lang w:eastAsia="en-GB"/>
        </w:rPr>
        <w:t xml:space="preserve">by segregating these channels into safety-related and non-safety related groups and </w:t>
      </w:r>
      <w:r w:rsidR="005813B9" w:rsidRPr="00B64995">
        <w:rPr>
          <w:rFonts w:eastAsia="Times New Roman"/>
          <w:lang w:eastAsia="en-GB"/>
        </w:rPr>
        <w:t>limitin</w:t>
      </w:r>
      <w:r w:rsidR="003E1794" w:rsidRPr="00B64995">
        <w:rPr>
          <w:rFonts w:eastAsia="Times New Roman"/>
          <w:lang w:eastAsia="en-GB"/>
        </w:rPr>
        <w:t>g</w:t>
      </w:r>
      <w:r w:rsidR="005813B9" w:rsidRPr="00B64995">
        <w:rPr>
          <w:rFonts w:eastAsia="Times New Roman"/>
          <w:lang w:eastAsia="en-GB"/>
        </w:rPr>
        <w:t xml:space="preserve"> </w:t>
      </w:r>
      <w:r w:rsidR="001D3038" w:rsidRPr="00B64995">
        <w:rPr>
          <w:rFonts w:eastAsia="Times New Roman"/>
          <w:lang w:eastAsia="en-GB"/>
        </w:rPr>
        <w:t xml:space="preserve">access to them accordingly. </w:t>
      </w:r>
      <w:r w:rsidR="13DCDC12" w:rsidRPr="00B64995">
        <w:rPr>
          <w:rFonts w:eastAsia="Times New Roman"/>
          <w:lang w:eastAsia="en-GB"/>
        </w:rPr>
        <w:t>Safety of navigation at sea is enhanced with this AMRD regulation.</w:t>
      </w:r>
    </w:p>
    <w:p w14:paraId="70CE5AFB" w14:textId="5E09FBBF" w:rsidR="001D3038" w:rsidRPr="00B64995" w:rsidRDefault="001D3038" w:rsidP="00614D53">
      <w:pPr>
        <w:jc w:val="both"/>
        <w:textAlignment w:val="baseline"/>
        <w:rPr>
          <w:rFonts w:eastAsia="Times New Roman"/>
          <w:lang w:eastAsia="en-GB"/>
        </w:rPr>
      </w:pPr>
    </w:p>
    <w:p w14:paraId="4A6AA8EC" w14:textId="19850CDF" w:rsidR="001D3038" w:rsidRPr="00B64995" w:rsidRDefault="001D3038" w:rsidP="00614D53">
      <w:pPr>
        <w:jc w:val="both"/>
        <w:textAlignment w:val="baseline"/>
        <w:rPr>
          <w:rFonts w:eastAsia="Times New Roman"/>
          <w:lang w:eastAsia="en-GB"/>
        </w:rPr>
      </w:pPr>
      <w:r w:rsidRPr="00B64995">
        <w:rPr>
          <w:rFonts w:eastAsia="Times New Roman"/>
          <w:lang w:eastAsia="en-GB"/>
        </w:rPr>
        <w:t>To enable the satellite component of the VHF Data Exchange System (VDES), secondary allocations to the maritime mobile-satellite service</w:t>
      </w:r>
      <w:r w:rsidR="7811F72C" w:rsidRPr="00B64995">
        <w:rPr>
          <w:rFonts w:eastAsia="Times New Roman"/>
          <w:lang w:eastAsia="en-GB"/>
        </w:rPr>
        <w:t xml:space="preserve"> were secured</w:t>
      </w:r>
      <w:r w:rsidRPr="00B64995">
        <w:rPr>
          <w:rFonts w:eastAsia="Times New Roman"/>
          <w:lang w:eastAsia="en-GB"/>
        </w:rPr>
        <w:t xml:space="preserve">. </w:t>
      </w:r>
      <w:r w:rsidR="003E1794" w:rsidRPr="00B64995">
        <w:rPr>
          <w:rFonts w:eastAsia="Times New Roman"/>
          <w:lang w:eastAsia="en-GB"/>
        </w:rPr>
        <w:t>E</w:t>
      </w:r>
      <w:r w:rsidRPr="00B64995">
        <w:rPr>
          <w:rFonts w:eastAsia="Times New Roman"/>
          <w:lang w:eastAsia="en-GB"/>
        </w:rPr>
        <w:t xml:space="preserve">nabling satellite VDES extended VDES service beyond the coastal areas reached by the terrestrial component </w:t>
      </w:r>
      <w:r w:rsidR="00DE1CD8" w:rsidRPr="00B64995">
        <w:rPr>
          <w:rFonts w:eastAsia="Times New Roman"/>
          <w:lang w:eastAsia="en-GB"/>
        </w:rPr>
        <w:t>(</w:t>
      </w:r>
      <w:r w:rsidR="1E35B7F7" w:rsidRPr="00B64995">
        <w:rPr>
          <w:rFonts w:eastAsia="Times New Roman"/>
          <w:lang w:eastAsia="en-GB"/>
        </w:rPr>
        <w:t xml:space="preserve">previously </w:t>
      </w:r>
      <w:r w:rsidRPr="00B64995">
        <w:rPr>
          <w:rFonts w:eastAsia="Times New Roman"/>
          <w:lang w:eastAsia="en-GB"/>
        </w:rPr>
        <w:t>approved by WRC-15</w:t>
      </w:r>
      <w:r w:rsidR="00DE1CD8" w:rsidRPr="00B64995">
        <w:rPr>
          <w:rFonts w:eastAsia="Times New Roman"/>
          <w:lang w:eastAsia="en-GB"/>
        </w:rPr>
        <w:t>)</w:t>
      </w:r>
      <w:r w:rsidRPr="00B64995">
        <w:rPr>
          <w:rFonts w:eastAsia="Times New Roman"/>
          <w:lang w:eastAsia="en-GB"/>
        </w:rPr>
        <w:t xml:space="preserve"> to global coverage, </w:t>
      </w:r>
      <w:r w:rsidR="00DE1CD8" w:rsidRPr="00B64995">
        <w:rPr>
          <w:rFonts w:eastAsia="Times New Roman"/>
          <w:lang w:eastAsia="en-GB"/>
        </w:rPr>
        <w:t>allowing</w:t>
      </w:r>
      <w:r w:rsidRPr="00B64995">
        <w:rPr>
          <w:rFonts w:eastAsia="Times New Roman"/>
          <w:lang w:eastAsia="en-GB"/>
        </w:rPr>
        <w:t xml:space="preserve"> for the implementation of </w:t>
      </w:r>
      <w:r w:rsidR="001169DD" w:rsidRPr="00B64995">
        <w:rPr>
          <w:rFonts w:eastAsia="Times New Roman"/>
          <w:lang w:eastAsia="en-GB"/>
        </w:rPr>
        <w:t xml:space="preserve">a </w:t>
      </w:r>
      <w:r w:rsidRPr="00B64995">
        <w:rPr>
          <w:rFonts w:eastAsia="Times New Roman"/>
          <w:lang w:eastAsia="en-GB"/>
        </w:rPr>
        <w:t>complete VDES concept. This decision enhances VHF communications and improves maritime safety on a global basis.</w:t>
      </w:r>
    </w:p>
    <w:p w14:paraId="17AF17DC" w14:textId="466547A2" w:rsidR="007655B1" w:rsidRPr="00B64995" w:rsidRDefault="007655B1" w:rsidP="00614D53">
      <w:pPr>
        <w:jc w:val="both"/>
        <w:textAlignment w:val="baseline"/>
        <w:rPr>
          <w:rFonts w:eastAsia="Times New Roman"/>
          <w:u w:val="single"/>
          <w:lang w:eastAsia="en-GB"/>
        </w:rPr>
      </w:pPr>
    </w:p>
    <w:p w14:paraId="78DF359B" w14:textId="5D21F7BB" w:rsidR="001D3038" w:rsidRPr="00B64995" w:rsidRDefault="001D3038" w:rsidP="0074433B">
      <w:pPr>
        <w:keepNext/>
        <w:keepLines/>
        <w:jc w:val="both"/>
        <w:textAlignment w:val="baseline"/>
        <w:rPr>
          <w:rFonts w:eastAsia="Times New Roman"/>
          <w:u w:val="single"/>
          <w:lang w:eastAsia="en-GB"/>
        </w:rPr>
      </w:pPr>
      <w:r w:rsidRPr="00B64995">
        <w:rPr>
          <w:rFonts w:eastAsia="Times New Roman"/>
          <w:u w:val="single"/>
          <w:lang w:eastAsia="en-GB"/>
        </w:rPr>
        <w:lastRenderedPageBreak/>
        <w:t>Global Aeronautical Distress and Safety System</w:t>
      </w:r>
    </w:p>
    <w:p w14:paraId="53BF627D" w14:textId="77777777" w:rsidR="0049723A" w:rsidRPr="00B64995" w:rsidRDefault="001D3038" w:rsidP="0074433B">
      <w:pPr>
        <w:keepNext/>
        <w:keepLines/>
        <w:jc w:val="both"/>
        <w:textAlignment w:val="baseline"/>
        <w:rPr>
          <w:rFonts w:eastAsia="Times New Roman"/>
          <w:lang w:eastAsia="en-GB"/>
        </w:rPr>
      </w:pPr>
      <w:r w:rsidRPr="00B64995">
        <w:rPr>
          <w:rFonts w:eastAsia="Times New Roman"/>
          <w:lang w:eastAsia="en-GB"/>
        </w:rPr>
        <w:t xml:space="preserve">WRC-19 </w:t>
      </w:r>
      <w:r w:rsidR="00422AC1" w:rsidRPr="00B64995">
        <w:rPr>
          <w:rFonts w:eastAsia="Times New Roman"/>
          <w:lang w:eastAsia="en-GB"/>
        </w:rPr>
        <w:t>considered</w:t>
      </w:r>
      <w:r w:rsidRPr="00B64995">
        <w:rPr>
          <w:rFonts w:eastAsia="Times New Roman"/>
          <w:lang w:eastAsia="en-GB"/>
        </w:rPr>
        <w:t xml:space="preserve"> spectrum needs and regulatory provisions for the introduction and use of the Global Aeronautical Distress and Safety System (GADSS). Based on the results of </w:t>
      </w:r>
      <w:r w:rsidR="3058C81C" w:rsidRPr="00B64995">
        <w:rPr>
          <w:rFonts w:eastAsia="Times New Roman"/>
          <w:lang w:eastAsia="en-GB"/>
        </w:rPr>
        <w:t xml:space="preserve">relevant </w:t>
      </w:r>
      <w:r w:rsidRPr="00B64995">
        <w:rPr>
          <w:rFonts w:eastAsia="Times New Roman"/>
          <w:lang w:eastAsia="en-GB"/>
        </w:rPr>
        <w:t>ITU</w:t>
      </w:r>
      <w:r w:rsidR="00FB7FFA" w:rsidRPr="00B64995">
        <w:rPr>
          <w:rFonts w:eastAsia="Times New Roman"/>
          <w:lang w:eastAsia="en-GB"/>
        </w:rPr>
        <w:t>-</w:t>
      </w:r>
      <w:r w:rsidRPr="00B64995">
        <w:rPr>
          <w:rFonts w:eastAsia="Times New Roman"/>
          <w:lang w:eastAsia="en-GB"/>
        </w:rPr>
        <w:t>R studies, WRC-19 did not make any regulatory changes in the Radio Regulations to accommodate GADSS</w:t>
      </w:r>
      <w:r w:rsidR="1981BC60" w:rsidRPr="00B64995">
        <w:rPr>
          <w:rFonts w:eastAsia="Times New Roman"/>
          <w:lang w:eastAsia="en-GB"/>
        </w:rPr>
        <w:t>,</w:t>
      </w:r>
      <w:r w:rsidRPr="00B64995">
        <w:rPr>
          <w:rFonts w:eastAsia="Times New Roman"/>
          <w:lang w:eastAsia="en-GB"/>
        </w:rPr>
        <w:t xml:space="preserve"> since it represents an evolving performance-based system that is difficult to describe in specific regulatory terms.</w:t>
      </w:r>
    </w:p>
    <w:p w14:paraId="1315F8FF" w14:textId="609F20EF" w:rsidR="655A0338" w:rsidRPr="00B64995" w:rsidRDefault="655A0338" w:rsidP="00614D53">
      <w:pPr>
        <w:jc w:val="both"/>
        <w:rPr>
          <w:rFonts w:eastAsia="Times New Roman"/>
          <w:u w:val="single"/>
          <w:lang w:eastAsia="en-GB"/>
        </w:rPr>
      </w:pPr>
    </w:p>
    <w:p w14:paraId="1224FAE9" w14:textId="7B29A290" w:rsidR="001D3038" w:rsidRPr="00B64995" w:rsidRDefault="001D3038" w:rsidP="00614D53">
      <w:pPr>
        <w:jc w:val="both"/>
        <w:textAlignment w:val="baseline"/>
        <w:rPr>
          <w:rFonts w:eastAsia="Times New Roman"/>
          <w:u w:val="single"/>
          <w:lang w:eastAsia="en-GB"/>
        </w:rPr>
      </w:pPr>
      <w:r w:rsidRPr="00B64995">
        <w:rPr>
          <w:rFonts w:eastAsia="Times New Roman"/>
          <w:u w:val="single"/>
          <w:lang w:eastAsia="en-GB"/>
        </w:rPr>
        <w:t xml:space="preserve">Satellite </w:t>
      </w:r>
      <w:r w:rsidR="0064759D" w:rsidRPr="00B64995">
        <w:rPr>
          <w:rFonts w:eastAsia="Times New Roman"/>
          <w:u w:val="single"/>
          <w:lang w:eastAsia="en-GB"/>
        </w:rPr>
        <w:t>s</w:t>
      </w:r>
      <w:r w:rsidRPr="00B64995">
        <w:rPr>
          <w:rFonts w:eastAsia="Times New Roman"/>
          <w:u w:val="single"/>
          <w:lang w:eastAsia="en-GB"/>
        </w:rPr>
        <w:t>ervices</w:t>
      </w:r>
    </w:p>
    <w:p w14:paraId="2FBA8660" w14:textId="2EF9C8CA" w:rsidR="001D3038" w:rsidRPr="00B64995" w:rsidRDefault="001D3038" w:rsidP="00614D53">
      <w:pPr>
        <w:jc w:val="both"/>
        <w:textAlignment w:val="baseline"/>
        <w:rPr>
          <w:rFonts w:eastAsia="Times New Roman"/>
          <w:lang w:eastAsia="en-GB"/>
        </w:rPr>
      </w:pPr>
      <w:r w:rsidRPr="00B64995">
        <w:rPr>
          <w:rFonts w:eastAsia="Times New Roman"/>
          <w:lang w:eastAsia="en-GB"/>
        </w:rPr>
        <w:t>WRC-19 adopted a new regulatory framework, including a milestone-based approach for the deployment of non-GSO satellite constellations in specific frequency bands and services. The new milestone-based regulatory framework will enable mega-constellations of satellites - hundreds to thousands of spacecrafts in low-</w:t>
      </w:r>
      <w:r w:rsidR="00A418E7" w:rsidRPr="00B64995">
        <w:rPr>
          <w:rFonts w:eastAsia="Times New Roman"/>
          <w:lang w:eastAsia="en-GB"/>
        </w:rPr>
        <w:t>e</w:t>
      </w:r>
      <w:r w:rsidRPr="00B64995">
        <w:rPr>
          <w:rFonts w:eastAsia="Times New Roman"/>
          <w:lang w:eastAsia="en-GB"/>
        </w:rPr>
        <w:t xml:space="preserve">arth orbit - to rapidly come to fruition ensuring the operation of as many systems as possible. The approach will help ensure that the Master International Frequency Register is aligned with the actual deployment of non-GSO satellite systems. In making this decision, WRC-19 struck a balance </w:t>
      </w:r>
      <w:r w:rsidR="004B7D85" w:rsidRPr="00B64995">
        <w:rPr>
          <w:rFonts w:eastAsia="Times New Roman"/>
          <w:lang w:eastAsia="en-GB"/>
        </w:rPr>
        <w:t xml:space="preserve">among </w:t>
      </w:r>
      <w:r w:rsidRPr="00B64995">
        <w:rPr>
          <w:rFonts w:eastAsia="Times New Roman"/>
          <w:lang w:eastAsia="en-GB"/>
        </w:rPr>
        <w:t>the prevention of spectrum warehousing, the proper functioning of coordination, notification and registration mechanisms, and the operational requirements related to the deployment of non-GSO systems.</w:t>
      </w:r>
    </w:p>
    <w:p w14:paraId="7A04CB9E" w14:textId="77777777" w:rsidR="00562D92" w:rsidRPr="0074433B" w:rsidRDefault="00562D92" w:rsidP="00614D53">
      <w:pPr>
        <w:jc w:val="both"/>
        <w:textAlignment w:val="baseline"/>
        <w:rPr>
          <w:rFonts w:eastAsia="Times New Roman"/>
          <w:sz w:val="20"/>
          <w:szCs w:val="20"/>
          <w:lang w:eastAsia="en-GB"/>
        </w:rPr>
      </w:pPr>
    </w:p>
    <w:p w14:paraId="4C9910B3" w14:textId="77777777" w:rsidR="0049723A" w:rsidRPr="00B64995" w:rsidRDefault="62B5993B" w:rsidP="00614D53">
      <w:pPr>
        <w:jc w:val="both"/>
        <w:textAlignment w:val="baseline"/>
        <w:rPr>
          <w:rFonts w:eastAsia="Times New Roman"/>
          <w:lang w:eastAsia="en-GB"/>
        </w:rPr>
      </w:pPr>
      <w:r w:rsidRPr="00B64995">
        <w:rPr>
          <w:rFonts w:eastAsia="Times New Roman"/>
          <w:lang w:eastAsia="en-GB"/>
        </w:rPr>
        <w:t>N</w:t>
      </w:r>
      <w:r w:rsidR="001D3038" w:rsidRPr="00B64995">
        <w:rPr>
          <w:rFonts w:eastAsia="Times New Roman"/>
          <w:lang w:eastAsia="en-GB"/>
        </w:rPr>
        <w:t>ew orbital slots for broadcasting satellites</w:t>
      </w:r>
      <w:r w:rsidR="163535C2" w:rsidRPr="00B64995">
        <w:rPr>
          <w:rFonts w:eastAsia="Times New Roman"/>
          <w:lang w:eastAsia="en-GB"/>
        </w:rPr>
        <w:t xml:space="preserve"> were opened</w:t>
      </w:r>
      <w:r w:rsidR="001D3038" w:rsidRPr="00B64995">
        <w:rPr>
          <w:rFonts w:eastAsia="Times New Roman"/>
          <w:lang w:eastAsia="en-GB"/>
        </w:rPr>
        <w:t xml:space="preserve">, providing developing countries with the opportunity to regain access to spectrum orbit resources </w:t>
      </w:r>
      <w:r w:rsidR="005D3423" w:rsidRPr="00B64995">
        <w:rPr>
          <w:rFonts w:eastAsia="Times New Roman"/>
          <w:lang w:eastAsia="en-GB"/>
        </w:rPr>
        <w:t>through a specially</w:t>
      </w:r>
      <w:r w:rsidR="00645D71" w:rsidRPr="00B64995">
        <w:rPr>
          <w:rFonts w:eastAsia="Times New Roman"/>
          <w:lang w:eastAsia="en-GB"/>
        </w:rPr>
        <w:t xml:space="preserve"> </w:t>
      </w:r>
      <w:r w:rsidR="005D3423" w:rsidRPr="00B64995">
        <w:rPr>
          <w:rFonts w:eastAsia="Times New Roman"/>
          <w:lang w:eastAsia="en-GB"/>
        </w:rPr>
        <w:t>designed</w:t>
      </w:r>
      <w:r w:rsidR="001D3038" w:rsidRPr="00B64995">
        <w:rPr>
          <w:rFonts w:eastAsia="Times New Roman"/>
          <w:lang w:eastAsia="en-GB"/>
        </w:rPr>
        <w:t xml:space="preserve"> priority mechanism.</w:t>
      </w:r>
    </w:p>
    <w:p w14:paraId="34D2CCC3" w14:textId="0628217B" w:rsidR="00562D92" w:rsidRPr="0074433B" w:rsidRDefault="00562D92" w:rsidP="00614D53">
      <w:pPr>
        <w:jc w:val="both"/>
        <w:textAlignment w:val="baseline"/>
        <w:rPr>
          <w:rFonts w:eastAsia="Times New Roman"/>
          <w:sz w:val="20"/>
          <w:szCs w:val="20"/>
          <w:lang w:eastAsia="en-GB"/>
        </w:rPr>
      </w:pPr>
    </w:p>
    <w:p w14:paraId="25CF51BE" w14:textId="64EB2626" w:rsidR="001D3038" w:rsidRPr="00B64995" w:rsidRDefault="001D3038" w:rsidP="00614D53">
      <w:pPr>
        <w:jc w:val="both"/>
        <w:textAlignment w:val="baseline"/>
        <w:rPr>
          <w:rFonts w:eastAsia="Times New Roman"/>
          <w:lang w:eastAsia="en-GB"/>
        </w:rPr>
      </w:pPr>
      <w:r w:rsidRPr="00B64995">
        <w:rPr>
          <w:rFonts w:eastAsia="Times New Roman"/>
          <w:lang w:eastAsia="en-GB"/>
        </w:rPr>
        <w:t xml:space="preserve">WRC-19 defined the regulatory, </w:t>
      </w:r>
      <w:proofErr w:type="gramStart"/>
      <w:r w:rsidRPr="00B64995">
        <w:rPr>
          <w:rFonts w:eastAsia="Times New Roman"/>
          <w:lang w:eastAsia="en-GB"/>
        </w:rPr>
        <w:t>operational</w:t>
      </w:r>
      <w:proofErr w:type="gramEnd"/>
      <w:r w:rsidRPr="00B64995">
        <w:rPr>
          <w:rFonts w:eastAsia="Times New Roman"/>
          <w:lang w:eastAsia="en-GB"/>
        </w:rPr>
        <w:t xml:space="preserve"> and technical conditions under which frequency bands in the 30/20 GHz frequency range can be used by earth stations in motion (ESIM) communicating with geostationary-satellite orbit (GSO) space stations in the fixed-satellite service in all Regions. This decision will enable the connection of people on ships (maritime ESIM), aircraft (aeronautical ESIM) and land vehicles (land ESIM) and ensure their safety, </w:t>
      </w:r>
      <w:proofErr w:type="gramStart"/>
      <w:r w:rsidRPr="00B64995">
        <w:rPr>
          <w:rFonts w:eastAsia="Times New Roman"/>
          <w:lang w:eastAsia="en-GB"/>
        </w:rPr>
        <w:t>security</w:t>
      </w:r>
      <w:proofErr w:type="gramEnd"/>
      <w:r w:rsidRPr="00B64995">
        <w:rPr>
          <w:rFonts w:eastAsia="Times New Roman"/>
          <w:lang w:eastAsia="en-GB"/>
        </w:rPr>
        <w:t xml:space="preserve"> and comfort while in motion. It will also increase the use and further develop ESIMs while protecting other GSO networks and non-GSO systems as well as terrestrial services.</w:t>
      </w:r>
    </w:p>
    <w:p w14:paraId="033FDD28" w14:textId="77777777" w:rsidR="00562D92" w:rsidRPr="00B64995" w:rsidRDefault="00562D92" w:rsidP="00614D53">
      <w:pPr>
        <w:jc w:val="both"/>
        <w:textAlignment w:val="baseline"/>
        <w:rPr>
          <w:rFonts w:eastAsia="Times New Roman"/>
          <w:lang w:eastAsia="en-GB"/>
        </w:rPr>
      </w:pPr>
    </w:p>
    <w:p w14:paraId="1D7FB06E" w14:textId="6518451D" w:rsidR="001D3038" w:rsidRPr="00B64995" w:rsidRDefault="001D3038" w:rsidP="00614D53">
      <w:pPr>
        <w:jc w:val="both"/>
        <w:textAlignment w:val="baseline"/>
        <w:rPr>
          <w:rFonts w:eastAsia="Times New Roman"/>
          <w:u w:val="single"/>
          <w:lang w:eastAsia="en-GB"/>
        </w:rPr>
      </w:pPr>
      <w:r w:rsidRPr="00B64995">
        <w:rPr>
          <w:rFonts w:eastAsia="Times New Roman"/>
          <w:u w:val="single"/>
          <w:lang w:eastAsia="en-GB"/>
        </w:rPr>
        <w:t xml:space="preserve">Support for </w:t>
      </w:r>
      <w:r w:rsidR="0064759D" w:rsidRPr="00B64995">
        <w:rPr>
          <w:rFonts w:eastAsia="Times New Roman"/>
          <w:u w:val="single"/>
          <w:lang w:eastAsia="en-GB"/>
        </w:rPr>
        <w:t>s</w:t>
      </w:r>
      <w:r w:rsidRPr="00B64995">
        <w:rPr>
          <w:rFonts w:eastAsia="Times New Roman"/>
          <w:u w:val="single"/>
          <w:lang w:eastAsia="en-GB"/>
        </w:rPr>
        <w:t xml:space="preserve">cience </w:t>
      </w:r>
      <w:r w:rsidR="0064759D" w:rsidRPr="00B64995">
        <w:rPr>
          <w:rFonts w:eastAsia="Times New Roman"/>
          <w:u w:val="single"/>
          <w:lang w:eastAsia="en-GB"/>
        </w:rPr>
        <w:t>s</w:t>
      </w:r>
      <w:r w:rsidRPr="00B64995">
        <w:rPr>
          <w:rFonts w:eastAsia="Times New Roman"/>
          <w:u w:val="single"/>
          <w:lang w:eastAsia="en-GB"/>
        </w:rPr>
        <w:t>ervices</w:t>
      </w:r>
    </w:p>
    <w:p w14:paraId="173DE008" w14:textId="77777777" w:rsidR="0049723A" w:rsidRPr="00B64995" w:rsidRDefault="001D3038" w:rsidP="00614D53">
      <w:pPr>
        <w:jc w:val="both"/>
        <w:textAlignment w:val="baseline"/>
        <w:rPr>
          <w:rFonts w:eastAsia="Times New Roman"/>
          <w:lang w:eastAsia="en-GB"/>
        </w:rPr>
      </w:pPr>
      <w:r w:rsidRPr="00B64995">
        <w:rPr>
          <w:rFonts w:eastAsia="Times New Roman"/>
          <w:lang w:eastAsia="en-GB"/>
        </w:rPr>
        <w:t xml:space="preserve">WRC-19 established in-band and adjacent band protections for </w:t>
      </w:r>
      <w:r w:rsidR="000F50CD" w:rsidRPr="00B64995">
        <w:rPr>
          <w:rFonts w:eastAsia="Times New Roman"/>
          <w:lang w:eastAsia="en-GB"/>
        </w:rPr>
        <w:t>Earth</w:t>
      </w:r>
      <w:r w:rsidR="000F50CD" w:rsidRPr="00B64995">
        <w:rPr>
          <w:rFonts w:ascii="Cambria Math" w:eastAsia="Times New Roman" w:hAnsi="Cambria Math" w:cs="Cambria Math"/>
          <w:lang w:eastAsia="en-GB"/>
        </w:rPr>
        <w:t>‑</w:t>
      </w:r>
      <w:r w:rsidR="002200A2" w:rsidRPr="00B64995">
        <w:rPr>
          <w:rFonts w:eastAsia="Times New Roman"/>
          <w:lang w:eastAsia="en-GB"/>
        </w:rPr>
        <w:t>E</w:t>
      </w:r>
      <w:r w:rsidR="000F50CD" w:rsidRPr="00B64995">
        <w:rPr>
          <w:rFonts w:eastAsia="Times New Roman"/>
          <w:lang w:eastAsia="en-GB"/>
        </w:rPr>
        <w:t xml:space="preserve">xploration </w:t>
      </w:r>
      <w:r w:rsidR="002200A2" w:rsidRPr="00B64995">
        <w:rPr>
          <w:rFonts w:eastAsia="Times New Roman"/>
          <w:lang w:eastAsia="en-GB"/>
        </w:rPr>
        <w:t>S</w:t>
      </w:r>
      <w:r w:rsidR="000F50CD" w:rsidRPr="00B64995">
        <w:rPr>
          <w:rFonts w:eastAsia="Times New Roman"/>
          <w:lang w:eastAsia="en-GB"/>
        </w:rPr>
        <w:t xml:space="preserve">atellite </w:t>
      </w:r>
      <w:r w:rsidR="002200A2" w:rsidRPr="00B64995">
        <w:rPr>
          <w:rFonts w:eastAsia="Times New Roman"/>
          <w:lang w:eastAsia="en-GB"/>
        </w:rPr>
        <w:t>S</w:t>
      </w:r>
      <w:r w:rsidR="000F50CD" w:rsidRPr="00B64995">
        <w:rPr>
          <w:rFonts w:eastAsia="Times New Roman"/>
          <w:lang w:eastAsia="en-GB"/>
        </w:rPr>
        <w:t>ervice</w:t>
      </w:r>
      <w:r w:rsidR="002200A2" w:rsidRPr="00B64995">
        <w:rPr>
          <w:rFonts w:eastAsia="Times New Roman"/>
          <w:lang w:eastAsia="en-GB"/>
        </w:rPr>
        <w:t>s</w:t>
      </w:r>
      <w:r w:rsidRPr="00B64995">
        <w:rPr>
          <w:rFonts w:eastAsia="Times New Roman"/>
          <w:lang w:eastAsia="en-GB"/>
        </w:rPr>
        <w:t xml:space="preserve"> </w:t>
      </w:r>
      <w:r w:rsidR="007757C5" w:rsidRPr="00B64995">
        <w:rPr>
          <w:rFonts w:eastAsia="Times New Roman"/>
          <w:lang w:eastAsia="en-GB"/>
        </w:rPr>
        <w:t>(</w:t>
      </w:r>
      <w:r w:rsidRPr="00B64995">
        <w:rPr>
          <w:rFonts w:eastAsia="Times New Roman"/>
          <w:lang w:eastAsia="en-GB"/>
        </w:rPr>
        <w:t>EESS</w:t>
      </w:r>
      <w:r w:rsidR="007757C5" w:rsidRPr="00B64995">
        <w:rPr>
          <w:rFonts w:eastAsia="Times New Roman"/>
          <w:lang w:eastAsia="en-GB"/>
        </w:rPr>
        <w:t>)</w:t>
      </w:r>
      <w:r w:rsidRPr="00B64995">
        <w:rPr>
          <w:rFonts w:eastAsia="Times New Roman"/>
          <w:lang w:eastAsia="en-GB"/>
        </w:rPr>
        <w:t xml:space="preserve"> and </w:t>
      </w:r>
      <w:r w:rsidR="002C6237" w:rsidRPr="00B64995">
        <w:rPr>
          <w:rFonts w:eastAsia="Times New Roman"/>
          <w:lang w:eastAsia="en-GB"/>
        </w:rPr>
        <w:t>Space Radiocommunications Stations</w:t>
      </w:r>
      <w:r w:rsidRPr="00B64995">
        <w:rPr>
          <w:rFonts w:eastAsia="Times New Roman"/>
          <w:lang w:eastAsia="en-GB"/>
        </w:rPr>
        <w:t xml:space="preserve"> </w:t>
      </w:r>
      <w:r w:rsidR="002C6237" w:rsidRPr="00B64995">
        <w:rPr>
          <w:rFonts w:eastAsia="Times New Roman"/>
          <w:lang w:eastAsia="en-GB"/>
        </w:rPr>
        <w:t>(</w:t>
      </w:r>
      <w:r w:rsidRPr="00B64995">
        <w:rPr>
          <w:rFonts w:eastAsia="Times New Roman"/>
          <w:lang w:eastAsia="en-GB"/>
        </w:rPr>
        <w:t>SRS</w:t>
      </w:r>
      <w:r w:rsidR="002C6237" w:rsidRPr="00B64995">
        <w:rPr>
          <w:rFonts w:eastAsia="Times New Roman"/>
          <w:lang w:eastAsia="en-GB"/>
        </w:rPr>
        <w:t>)</w:t>
      </w:r>
      <w:r w:rsidRPr="00B64995">
        <w:rPr>
          <w:rFonts w:eastAsia="Times New Roman"/>
          <w:lang w:eastAsia="en-GB"/>
        </w:rPr>
        <w:t xml:space="preserve"> to ensure that space</w:t>
      </w:r>
      <w:r w:rsidR="001F4629" w:rsidRPr="00B64995">
        <w:rPr>
          <w:rFonts w:eastAsia="Times New Roman"/>
          <w:lang w:eastAsia="en-GB"/>
        </w:rPr>
        <w:t>-</w:t>
      </w:r>
      <w:r w:rsidRPr="00B64995">
        <w:rPr>
          <w:rFonts w:eastAsia="Times New Roman"/>
          <w:lang w:eastAsia="en-GB"/>
        </w:rPr>
        <w:t>based monitoring of the Earth and its atmosphere remain unhindered.</w:t>
      </w:r>
    </w:p>
    <w:p w14:paraId="502F0F44" w14:textId="13C56845" w:rsidR="00562D92" w:rsidRPr="0074433B" w:rsidRDefault="00562D92" w:rsidP="00614D53">
      <w:pPr>
        <w:jc w:val="both"/>
        <w:textAlignment w:val="baseline"/>
        <w:rPr>
          <w:rFonts w:eastAsia="Times New Roman"/>
          <w:sz w:val="20"/>
          <w:szCs w:val="20"/>
          <w:lang w:eastAsia="en-GB"/>
        </w:rPr>
      </w:pPr>
    </w:p>
    <w:p w14:paraId="0A0224EC" w14:textId="00CDF299" w:rsidR="001D3038" w:rsidRPr="00B64995" w:rsidRDefault="001D3038" w:rsidP="00614D53">
      <w:pPr>
        <w:jc w:val="both"/>
        <w:textAlignment w:val="baseline"/>
        <w:rPr>
          <w:rFonts w:eastAsia="Times New Roman"/>
          <w:lang w:eastAsia="en-GB"/>
        </w:rPr>
      </w:pPr>
      <w:r w:rsidRPr="00B64995">
        <w:rPr>
          <w:rFonts w:eastAsia="Times New Roman"/>
          <w:lang w:eastAsia="en-GB"/>
        </w:rPr>
        <w:t>Regulatory and technical measures were approved to protect the long-term development of Data Collection Platforms. Frequency bands in the Space Operation Service and regulatory procedures were defined for introducing satellites with short duration missions</w:t>
      </w:r>
      <w:r w:rsidR="001C1714" w:rsidRPr="00B64995">
        <w:rPr>
          <w:rFonts w:eastAsia="Times New Roman"/>
          <w:lang w:eastAsia="en-GB"/>
        </w:rPr>
        <w:t>,</w:t>
      </w:r>
      <w:r w:rsidRPr="00B64995">
        <w:rPr>
          <w:rFonts w:eastAsia="Times New Roman"/>
          <w:lang w:eastAsia="en-GB"/>
        </w:rPr>
        <w:t xml:space="preserve"> while affording due protection to terrestrial service.</w:t>
      </w:r>
    </w:p>
    <w:p w14:paraId="10F001EF" w14:textId="77777777" w:rsidR="00B60723" w:rsidRPr="0074433B" w:rsidRDefault="00B60723" w:rsidP="00614D53">
      <w:pPr>
        <w:jc w:val="both"/>
        <w:textAlignment w:val="baseline"/>
        <w:rPr>
          <w:rFonts w:eastAsia="Times New Roman"/>
          <w:sz w:val="20"/>
          <w:szCs w:val="20"/>
          <w:lang w:eastAsia="en-GB"/>
        </w:rPr>
      </w:pPr>
    </w:p>
    <w:p w14:paraId="407309E0" w14:textId="796998A0" w:rsidR="001D3038" w:rsidRPr="00B64995" w:rsidRDefault="001D3038" w:rsidP="00614D53">
      <w:pPr>
        <w:jc w:val="both"/>
        <w:textAlignment w:val="baseline"/>
        <w:rPr>
          <w:rFonts w:eastAsia="Times New Roman"/>
          <w:lang w:eastAsia="en-GB"/>
        </w:rPr>
      </w:pPr>
      <w:r w:rsidRPr="00B64995">
        <w:rPr>
          <w:rFonts w:eastAsia="Times New Roman"/>
          <w:lang w:eastAsia="en-GB"/>
        </w:rPr>
        <w:t>WRC-19 adopted measures to ensure that satellite services supporting meteorology and climatology, which aim to safeguard human life and assess the state of natural resources, will be protected from harmful radio</w:t>
      </w:r>
      <w:r w:rsidRPr="00B64995">
        <w:rPr>
          <w:rFonts w:ascii="Cambria Math" w:eastAsia="Times New Roman" w:hAnsi="Cambria Math" w:cs="Cambria Math"/>
          <w:lang w:eastAsia="en-GB"/>
        </w:rPr>
        <w:t>‑</w:t>
      </w:r>
      <w:r w:rsidRPr="00B64995">
        <w:rPr>
          <w:rFonts w:eastAsia="Times New Roman"/>
          <w:lang w:eastAsia="en-GB"/>
        </w:rPr>
        <w:t xml:space="preserve">frequency interference, as will systems </w:t>
      </w:r>
      <w:proofErr w:type="gramStart"/>
      <w:r w:rsidRPr="00B64995">
        <w:rPr>
          <w:rFonts w:eastAsia="Times New Roman"/>
          <w:lang w:eastAsia="en-GB"/>
        </w:rPr>
        <w:t>used</w:t>
      </w:r>
      <w:proofErr w:type="gramEnd"/>
      <w:r w:rsidRPr="00B64995">
        <w:rPr>
          <w:rFonts w:eastAsia="Times New Roman"/>
          <w:lang w:eastAsia="en-GB"/>
        </w:rPr>
        <w:t xml:space="preserve"> by radio astronomers for deep space exploration.</w:t>
      </w:r>
      <w:r w:rsidR="00590B07" w:rsidRPr="00B64995">
        <w:rPr>
          <w:rFonts w:eastAsia="Times New Roman"/>
          <w:lang w:eastAsia="en-GB"/>
        </w:rPr>
        <w:t xml:space="preserve"> </w:t>
      </w:r>
      <w:r w:rsidR="610AB934" w:rsidRPr="00B64995">
        <w:rPr>
          <w:rFonts w:eastAsia="Times New Roman"/>
          <w:lang w:eastAsia="en-GB"/>
        </w:rPr>
        <w:t>A</w:t>
      </w:r>
      <w:r w:rsidRPr="00B64995">
        <w:rPr>
          <w:rFonts w:eastAsia="Times New Roman"/>
          <w:lang w:eastAsia="en-GB"/>
        </w:rPr>
        <w:t xml:space="preserve">dditional measures </w:t>
      </w:r>
      <w:r w:rsidR="1672E080" w:rsidRPr="00B64995">
        <w:rPr>
          <w:rFonts w:eastAsia="Times New Roman"/>
          <w:lang w:eastAsia="en-GB"/>
        </w:rPr>
        <w:t xml:space="preserve">were adopted </w:t>
      </w:r>
      <w:r w:rsidRPr="00B64995">
        <w:rPr>
          <w:rFonts w:eastAsia="Times New Roman"/>
          <w:lang w:eastAsia="en-GB"/>
        </w:rPr>
        <w:t>to ensure that radio astronomy stations will be protected from harmful radio interference from other space stations or satellite systems in orbit.</w:t>
      </w:r>
    </w:p>
    <w:p w14:paraId="6BF29996" w14:textId="77777777" w:rsidR="00B60723" w:rsidRPr="0074433B" w:rsidRDefault="00B60723" w:rsidP="00614D53">
      <w:pPr>
        <w:jc w:val="both"/>
        <w:textAlignment w:val="baseline"/>
        <w:rPr>
          <w:rFonts w:eastAsia="Times New Roman"/>
          <w:sz w:val="20"/>
          <w:szCs w:val="20"/>
          <w:lang w:eastAsia="en-GB"/>
        </w:rPr>
      </w:pPr>
    </w:p>
    <w:p w14:paraId="184EB503" w14:textId="3C2AF415" w:rsidR="001D3038" w:rsidRPr="00B64995" w:rsidRDefault="254C3EB9" w:rsidP="00614D53">
      <w:pPr>
        <w:jc w:val="both"/>
        <w:textAlignment w:val="baseline"/>
        <w:rPr>
          <w:rFonts w:eastAsia="Times New Roman"/>
          <w:lang w:eastAsia="en-GB"/>
        </w:rPr>
      </w:pPr>
      <w:r w:rsidRPr="00B64995">
        <w:rPr>
          <w:rFonts w:eastAsia="Times New Roman"/>
          <w:lang w:eastAsia="en-GB"/>
        </w:rPr>
        <w:t>M</w:t>
      </w:r>
      <w:r w:rsidR="001D3038" w:rsidRPr="00B64995">
        <w:rPr>
          <w:rFonts w:eastAsia="Times New Roman"/>
          <w:lang w:eastAsia="en-GB"/>
        </w:rPr>
        <w:t xml:space="preserve">easures </w:t>
      </w:r>
      <w:r w:rsidR="3C5ADEB0" w:rsidRPr="00B64995">
        <w:rPr>
          <w:rFonts w:eastAsia="Times New Roman"/>
          <w:lang w:eastAsia="en-GB"/>
        </w:rPr>
        <w:t xml:space="preserve">were also adopted </w:t>
      </w:r>
      <w:r w:rsidR="001D3038" w:rsidRPr="00B64995">
        <w:rPr>
          <w:rFonts w:eastAsia="Times New Roman"/>
          <w:lang w:eastAsia="en-GB"/>
        </w:rPr>
        <w:t>to ensure the continuous assistance and support for the timely implementation of new technologies, including 4G and 5G networks and services in Palestine.</w:t>
      </w:r>
    </w:p>
    <w:p w14:paraId="738D4DF0" w14:textId="6A9ADB00" w:rsidR="4F76DE1C" w:rsidRPr="0074433B" w:rsidRDefault="4F76DE1C" w:rsidP="4F76DE1C">
      <w:pPr>
        <w:jc w:val="both"/>
        <w:rPr>
          <w:rFonts w:eastAsia="Times New Roman"/>
          <w:sz w:val="20"/>
          <w:szCs w:val="20"/>
          <w:highlight w:val="yellow"/>
          <w:lang w:eastAsia="en-GB"/>
        </w:rPr>
      </w:pPr>
    </w:p>
    <w:p w14:paraId="48661752" w14:textId="77777777" w:rsidR="00A65A67" w:rsidRPr="00B64995" w:rsidRDefault="00A65A67" w:rsidP="0074433B">
      <w:pPr>
        <w:jc w:val="both"/>
        <w:textAlignment w:val="baseline"/>
        <w:rPr>
          <w:rFonts w:eastAsia="Times New Roman"/>
          <w:u w:val="single"/>
          <w:lang w:eastAsia="en-GB"/>
        </w:rPr>
      </w:pPr>
      <w:r w:rsidRPr="00B64995">
        <w:rPr>
          <w:rFonts w:eastAsia="Times New Roman"/>
          <w:u w:val="single"/>
          <w:lang w:eastAsia="en-GB"/>
        </w:rPr>
        <w:t>Publications</w:t>
      </w:r>
    </w:p>
    <w:p w14:paraId="51D08AB5" w14:textId="524BA013" w:rsidR="00A65A67" w:rsidRPr="00B64995" w:rsidRDefault="5B0189F9" w:rsidP="0074433B">
      <w:pPr>
        <w:jc w:val="both"/>
        <w:rPr>
          <w:rFonts w:eastAsia="Times New Roman"/>
          <w:lang w:eastAsia="en-GB"/>
        </w:rPr>
      </w:pPr>
      <w:r w:rsidRPr="00B64995">
        <w:rPr>
          <w:rFonts w:asciiTheme="minorHAnsi" w:hAnsiTheme="minorHAnsi" w:cstheme="minorBidi"/>
        </w:rPr>
        <w:t>The</w:t>
      </w:r>
      <w:r w:rsidR="00A65A67" w:rsidRPr="00B64995">
        <w:rPr>
          <w:rFonts w:asciiTheme="minorHAnsi" w:hAnsiTheme="minorHAnsi" w:cstheme="minorBidi"/>
        </w:rPr>
        <w:t xml:space="preserve"> 2020 </w:t>
      </w:r>
      <w:r w:rsidR="00653B8E" w:rsidRPr="00B64995">
        <w:rPr>
          <w:rFonts w:asciiTheme="minorHAnsi" w:hAnsiTheme="minorHAnsi" w:cstheme="minorBidi"/>
        </w:rPr>
        <w:t>e</w:t>
      </w:r>
      <w:r w:rsidR="00A65A67" w:rsidRPr="00B64995">
        <w:rPr>
          <w:rFonts w:asciiTheme="minorHAnsi" w:hAnsiTheme="minorHAnsi" w:cstheme="minorBidi"/>
        </w:rPr>
        <w:t xml:space="preserve">dition of the Radio Regulations </w:t>
      </w:r>
      <w:r w:rsidR="00653B8E" w:rsidRPr="00B64995">
        <w:rPr>
          <w:rFonts w:asciiTheme="minorHAnsi" w:hAnsiTheme="minorHAnsi" w:cstheme="minorBidi"/>
        </w:rPr>
        <w:t xml:space="preserve">has been </w:t>
      </w:r>
      <w:r w:rsidR="006479B2" w:rsidRPr="00B64995">
        <w:rPr>
          <w:rFonts w:asciiTheme="minorHAnsi" w:hAnsiTheme="minorHAnsi" w:cstheme="minorBidi"/>
        </w:rPr>
        <w:t xml:space="preserve">published </w:t>
      </w:r>
      <w:r w:rsidR="00A65A67" w:rsidRPr="00B64995">
        <w:rPr>
          <w:rFonts w:asciiTheme="minorHAnsi" w:hAnsiTheme="minorHAnsi" w:cstheme="minorBidi"/>
        </w:rPr>
        <w:t xml:space="preserve">and is available for download </w:t>
      </w:r>
      <w:r w:rsidR="00653B8E" w:rsidRPr="00B64995">
        <w:rPr>
          <w:rFonts w:asciiTheme="minorHAnsi" w:hAnsiTheme="minorHAnsi" w:cstheme="minorBidi"/>
        </w:rPr>
        <w:t xml:space="preserve">from </w:t>
      </w:r>
      <w:r w:rsidR="00A65A67" w:rsidRPr="00B64995">
        <w:rPr>
          <w:rFonts w:asciiTheme="minorHAnsi" w:hAnsiTheme="minorHAnsi" w:cstheme="minorBidi"/>
        </w:rPr>
        <w:t xml:space="preserve">the ITU website. </w:t>
      </w:r>
      <w:r w:rsidR="00653B8E" w:rsidRPr="00B64995">
        <w:rPr>
          <w:rFonts w:asciiTheme="minorHAnsi" w:hAnsiTheme="minorHAnsi" w:cstheme="minorBidi"/>
        </w:rPr>
        <w:t>T</w:t>
      </w:r>
      <w:r w:rsidR="00A65A67" w:rsidRPr="00B64995">
        <w:rPr>
          <w:rFonts w:asciiTheme="minorHAnsi" w:hAnsiTheme="minorHAnsi" w:cstheme="minorBidi"/>
        </w:rPr>
        <w:t xml:space="preserve">he </w:t>
      </w:r>
      <w:r w:rsidR="00A65A67" w:rsidRPr="00B64995">
        <w:t xml:space="preserve">Manual for </w:t>
      </w:r>
      <w:r w:rsidR="00653B8E" w:rsidRPr="00B64995">
        <w:t>U</w:t>
      </w:r>
      <w:r w:rsidR="00A65A67" w:rsidRPr="00B64995">
        <w:t>se by the Maritime Mobile and Maritime Mobile-Satellite Services</w:t>
      </w:r>
      <w:r w:rsidR="00997424" w:rsidRPr="00B64995">
        <w:rPr>
          <w:rFonts w:asciiTheme="minorHAnsi" w:hAnsiTheme="minorHAnsi" w:cstheme="minorBidi"/>
        </w:rPr>
        <w:t xml:space="preserve"> </w:t>
      </w:r>
      <w:r w:rsidR="00A65A67" w:rsidRPr="00B64995">
        <w:rPr>
          <w:rFonts w:asciiTheme="minorHAnsi" w:hAnsiTheme="minorHAnsi" w:cstheme="minorBidi"/>
        </w:rPr>
        <w:t xml:space="preserve">has been updated based on </w:t>
      </w:r>
      <w:r w:rsidR="00653B8E" w:rsidRPr="00B64995">
        <w:rPr>
          <w:rFonts w:asciiTheme="minorHAnsi" w:hAnsiTheme="minorHAnsi" w:cstheme="minorBidi"/>
        </w:rPr>
        <w:t xml:space="preserve">the new </w:t>
      </w:r>
      <w:r w:rsidR="00A65A67" w:rsidRPr="00B64995">
        <w:rPr>
          <w:rFonts w:asciiTheme="minorHAnsi" w:hAnsiTheme="minorHAnsi" w:cstheme="minorBidi"/>
        </w:rPr>
        <w:t>edition of the Radio Regulations</w:t>
      </w:r>
      <w:r w:rsidR="00653B8E" w:rsidRPr="00B64995">
        <w:rPr>
          <w:rFonts w:asciiTheme="minorHAnsi" w:hAnsiTheme="minorHAnsi" w:cstheme="minorBidi"/>
        </w:rPr>
        <w:t xml:space="preserve"> and has also been published</w:t>
      </w:r>
      <w:r w:rsidR="00A65A67" w:rsidRPr="00B64995">
        <w:rPr>
          <w:rFonts w:asciiTheme="minorHAnsi" w:hAnsiTheme="minorHAnsi" w:cstheme="minorBidi"/>
        </w:rPr>
        <w:t>.</w:t>
      </w:r>
    </w:p>
    <w:p w14:paraId="4AD5F7E6" w14:textId="3A48D60A" w:rsidR="3B16A499" w:rsidRPr="00B64995" w:rsidRDefault="3B16A499" w:rsidP="0074433B">
      <w:pPr>
        <w:pStyle w:val="Heading5"/>
        <w:spacing w:before="0"/>
        <w:rPr>
          <w:b w:val="0"/>
        </w:rPr>
      </w:pPr>
      <w:r w:rsidRPr="00B64995">
        <w:lastRenderedPageBreak/>
        <w:t xml:space="preserve">Gender </w:t>
      </w:r>
      <w:r w:rsidR="0064759D" w:rsidRPr="00B64995">
        <w:t>d</w:t>
      </w:r>
      <w:r w:rsidRPr="00B64995">
        <w:t>eclaration</w:t>
      </w:r>
    </w:p>
    <w:p w14:paraId="642AE2EB" w14:textId="42BED8D6" w:rsidR="3B16A499" w:rsidRPr="00B64995" w:rsidRDefault="3B16A499" w:rsidP="009F57E4">
      <w:pPr>
        <w:jc w:val="both"/>
        <w:rPr>
          <w:rFonts w:eastAsia="Calibri"/>
        </w:rPr>
      </w:pPr>
      <w:r w:rsidRPr="00B64995">
        <w:rPr>
          <w:rFonts w:eastAsia="Calibri"/>
        </w:rPr>
        <w:t xml:space="preserve">WRC-19 adopted the “Declaration on Promoting Gender Equality, Equity and Parity in the ITU Radiocommunication Sector”, which stated the commitment of the Radiocommunication Sector to gender equality and balance. Further, it declared that ITU Member States and Sector Members should encourage the adoption of proven measures to increase globally the number of women pursuing academic degrees at all levels in STEM fields, particularly those related to the ICT. Member States should also consider the adoption of a Resolution at the 2023 Radiocommunication Assembly on gender equality, </w:t>
      </w:r>
      <w:proofErr w:type="gramStart"/>
      <w:r w:rsidRPr="00B64995">
        <w:rPr>
          <w:rFonts w:eastAsia="Calibri"/>
        </w:rPr>
        <w:t>equity</w:t>
      </w:r>
      <w:proofErr w:type="gramEnd"/>
      <w:r w:rsidRPr="00B64995">
        <w:rPr>
          <w:rFonts w:eastAsia="Calibri"/>
        </w:rPr>
        <w:t xml:space="preserve"> and parity in the ITU-R.</w:t>
      </w:r>
    </w:p>
    <w:p w14:paraId="200774D7" w14:textId="599AC45E" w:rsidR="0074456D" w:rsidRPr="00B64995" w:rsidRDefault="0074456D" w:rsidP="00614D53">
      <w:pPr>
        <w:jc w:val="both"/>
        <w:textAlignment w:val="baseline"/>
        <w:rPr>
          <w:rFonts w:eastAsia="Times New Roman"/>
          <w:lang w:eastAsia="en-GB"/>
        </w:rPr>
      </w:pPr>
    </w:p>
    <w:p w14:paraId="65AFB336" w14:textId="77777777" w:rsidR="004E219F" w:rsidRPr="00B64995" w:rsidRDefault="004E219F" w:rsidP="004E219F">
      <w:pPr>
        <w:jc w:val="both"/>
        <w:textAlignment w:val="baseline"/>
        <w:rPr>
          <w:rFonts w:eastAsia="Times New Roman"/>
          <w:u w:val="single"/>
          <w:lang w:eastAsia="en-GB"/>
        </w:rPr>
      </w:pPr>
      <w:r w:rsidRPr="00B64995">
        <w:rPr>
          <w:rFonts w:eastAsia="Times New Roman"/>
          <w:u w:val="single"/>
          <w:lang w:eastAsia="en-GB"/>
        </w:rPr>
        <w:t>Agenda for WRC-23 and preliminary agenda for WRC-27</w:t>
      </w:r>
    </w:p>
    <w:p w14:paraId="207B147B" w14:textId="77777777" w:rsidR="004E219F" w:rsidRPr="00B64995" w:rsidRDefault="004E219F" w:rsidP="004E219F">
      <w:pPr>
        <w:jc w:val="both"/>
        <w:textAlignment w:val="baseline"/>
        <w:rPr>
          <w:rFonts w:eastAsia="Times New Roman"/>
          <w:lang w:eastAsia="en-GB"/>
        </w:rPr>
      </w:pPr>
      <w:r w:rsidRPr="00B64995">
        <w:rPr>
          <w:rFonts w:eastAsia="Times New Roman"/>
          <w:lang w:eastAsia="en-GB"/>
        </w:rPr>
        <w:t>WRC-19 adopted new Resolutions containing the agenda for WRC-23 and the preliminary agenda for WRC-27. The WRC-23 agenda contains 19 specific agenda items on technology development and new spectrum requirements for users in the terrestrial, aeronautical, maritime, satellite or science services. The WRC-23 agenda contains also the usual standing agenda items and will further consider the preliminary agenda for WRC-27. The WRC-23 agenda will be presented in a separate document to Council 2020.</w:t>
      </w:r>
    </w:p>
    <w:p w14:paraId="62F9B4D8" w14:textId="77777777" w:rsidR="004E219F" w:rsidRPr="00B64995" w:rsidRDefault="004E219F" w:rsidP="00614D53">
      <w:pPr>
        <w:rPr>
          <w:b/>
          <w:bCs/>
          <w:lang w:eastAsia="en-GB"/>
        </w:rPr>
      </w:pPr>
    </w:p>
    <w:p w14:paraId="16E6CF6A" w14:textId="7C6CD7A9" w:rsidR="0074456D" w:rsidRPr="00B64995" w:rsidRDefault="00536A22" w:rsidP="00B36DE2">
      <w:pPr>
        <w:pStyle w:val="Heading5"/>
      </w:pPr>
      <w:r w:rsidRPr="00B64995">
        <w:rPr>
          <w:lang w:eastAsia="en-GB"/>
        </w:rPr>
        <w:t>Radiocommunications Assembly</w:t>
      </w:r>
      <w:r w:rsidRPr="00B64995">
        <w:t xml:space="preserve"> (</w:t>
      </w:r>
      <w:r w:rsidR="0074456D" w:rsidRPr="00B64995">
        <w:t>RA-19</w:t>
      </w:r>
      <w:r w:rsidRPr="00B64995">
        <w:t>)</w:t>
      </w:r>
    </w:p>
    <w:p w14:paraId="2FAFC593" w14:textId="17480F02" w:rsidR="0074456D" w:rsidRPr="00B64995" w:rsidRDefault="0074456D" w:rsidP="00614D53">
      <w:pPr>
        <w:jc w:val="both"/>
      </w:pPr>
      <w:r w:rsidRPr="00B64995">
        <w:t xml:space="preserve">As per Council Resolution 1343, the Radiocommunication Assembly 2019 (RA-19) was held in Sharm el-Sheikh, Egypt, from 21 to 25 October 2019 with 521 participants representing 91 </w:t>
      </w:r>
      <w:r w:rsidR="00271C5D" w:rsidRPr="00B64995">
        <w:t>a</w:t>
      </w:r>
      <w:r w:rsidRPr="00B64995">
        <w:t>dministrations and 31 Sector Members and 1 specialized agency of the United Nations.</w:t>
      </w:r>
    </w:p>
    <w:p w14:paraId="47ED1C2E" w14:textId="77777777" w:rsidR="0074456D" w:rsidRPr="0074433B" w:rsidRDefault="0074456D" w:rsidP="00614D53">
      <w:pPr>
        <w:jc w:val="both"/>
        <w:rPr>
          <w:sz w:val="20"/>
          <w:szCs w:val="20"/>
        </w:rPr>
      </w:pPr>
    </w:p>
    <w:p w14:paraId="417A8D99" w14:textId="77777777" w:rsidR="0049723A" w:rsidRPr="00B64995" w:rsidRDefault="0074456D" w:rsidP="00614D53">
      <w:pPr>
        <w:jc w:val="both"/>
        <w:rPr>
          <w:rFonts w:eastAsia="Arial Unicode MS"/>
          <w:bCs/>
        </w:rPr>
      </w:pPr>
      <w:r w:rsidRPr="00B64995">
        <w:t xml:space="preserve">RA-19 was a fully paperless assembly, with </w:t>
      </w:r>
      <w:proofErr w:type="gramStart"/>
      <w:r w:rsidRPr="00B64995">
        <w:t>all of</w:t>
      </w:r>
      <w:proofErr w:type="gramEnd"/>
      <w:r w:rsidRPr="00B64995">
        <w:t xml:space="preserve"> the detailed drafting activities being conducted using the RA</w:t>
      </w:r>
      <w:r w:rsidRPr="00B64995">
        <w:rPr>
          <w:rFonts w:eastAsia="Arial Unicode MS"/>
          <w:bCs/>
        </w:rPr>
        <w:t>-19 SharePoint web site. A Sync Application was also provided and used.</w:t>
      </w:r>
      <w:r w:rsidR="00FB7FFA" w:rsidRPr="00B64995">
        <w:rPr>
          <w:rFonts w:eastAsia="Arial Unicode MS"/>
          <w:bCs/>
        </w:rPr>
        <w:t xml:space="preserve"> </w:t>
      </w:r>
      <w:r w:rsidRPr="00B64995">
        <w:rPr>
          <w:rFonts w:eastAsia="Arial Unicode MS"/>
          <w:bCs/>
        </w:rPr>
        <w:t xml:space="preserve">As decided during the opening plenary and in line with the decisions of PP-14, all input documents were freely accessible by the public in advance of the assembly since no Member State considered that their disclosure would </w:t>
      </w:r>
      <w:r w:rsidRPr="0074433B">
        <w:rPr>
          <w:rFonts w:eastAsia="Arial Unicode MS"/>
          <w:bCs/>
          <w:spacing w:val="-2"/>
        </w:rPr>
        <w:t>cause potential harm to a legitimate private or public interest that outweighs the benefits of accessibility.</w:t>
      </w:r>
    </w:p>
    <w:p w14:paraId="15AE86C7" w14:textId="77777777" w:rsidR="00940CB9" w:rsidRPr="0074433B" w:rsidRDefault="00940CB9" w:rsidP="00614D53">
      <w:pPr>
        <w:jc w:val="both"/>
        <w:rPr>
          <w:sz w:val="20"/>
          <w:szCs w:val="20"/>
        </w:rPr>
      </w:pPr>
    </w:p>
    <w:p w14:paraId="26498776" w14:textId="0F4D36A1" w:rsidR="00940CB9" w:rsidRPr="00B64995" w:rsidRDefault="00940CB9" w:rsidP="00614D53">
      <w:pPr>
        <w:jc w:val="both"/>
        <w:rPr>
          <w:rFonts w:eastAsia="Arial Unicode MS"/>
        </w:rPr>
      </w:pPr>
      <w:r w:rsidRPr="00B64995">
        <w:t xml:space="preserve">Resolution ITU-R </w:t>
      </w:r>
      <w:hyperlink r:id="rId27" w:history="1">
        <w:r w:rsidRPr="00A060FE">
          <w:rPr>
            <w:color w:val="0000FF"/>
            <w:u w:val="single"/>
          </w:rPr>
          <w:t>1</w:t>
        </w:r>
      </w:hyperlink>
      <w:r w:rsidRPr="00A060FE">
        <w:t xml:space="preserve"> "Working methods for the Radiocommunication Assembly, the Radiocommunication Study Groups, the Radiocommunication Advisory Group and other groups of the Radiocommunication Sector" and Resolution ITU-R </w:t>
      </w:r>
      <w:hyperlink r:id="rId28" w:history="1">
        <w:r w:rsidRPr="00A060FE">
          <w:rPr>
            <w:color w:val="0000FF"/>
            <w:u w:val="single"/>
          </w:rPr>
          <w:t>2</w:t>
        </w:r>
      </w:hyperlink>
      <w:r w:rsidRPr="00A060FE">
        <w:t xml:space="preserve"> “Conference Preparatory Meeting” were both revised. Since Resolution ITU-R 1 was restructured and significantly updated in RA-15, only minor refinements and clarifications were made during RA-19. Regarding Resolution ITU-R 2, substantial revisions were ma</w:t>
      </w:r>
      <w:r w:rsidRPr="00B64995">
        <w:t xml:space="preserve">de to </w:t>
      </w:r>
      <w:r w:rsidRPr="00B64995">
        <w:rPr>
          <w:bCs/>
        </w:rPr>
        <w:t>improve the study and reporting process of technical preparations towards the World Radiocommunication Conference (WRC).</w:t>
      </w:r>
    </w:p>
    <w:p w14:paraId="392976C6" w14:textId="262D3F58" w:rsidR="0074456D" w:rsidRPr="0074433B" w:rsidRDefault="0074456D" w:rsidP="00614D53">
      <w:pPr>
        <w:jc w:val="both"/>
        <w:rPr>
          <w:sz w:val="20"/>
          <w:szCs w:val="20"/>
        </w:rPr>
      </w:pPr>
    </w:p>
    <w:p w14:paraId="06BE5A2F" w14:textId="2297871A" w:rsidR="0074456D" w:rsidRPr="00A060FE" w:rsidRDefault="0074456D" w:rsidP="00614D53">
      <w:pPr>
        <w:jc w:val="both"/>
        <w:rPr>
          <w:color w:val="0000FF"/>
          <w:u w:val="single"/>
        </w:rPr>
      </w:pPr>
      <w:r w:rsidRPr="00B64995">
        <w:t xml:space="preserve">The existing six ITU-R Study Groups continue into the new study period (2019-2023) with the same scopes of activity. </w:t>
      </w:r>
      <w:r w:rsidRPr="00B64995">
        <w:rPr>
          <w:rFonts w:eastAsia="Arial Unicode MS"/>
        </w:rPr>
        <w:t xml:space="preserve">The </w:t>
      </w:r>
      <w:r w:rsidRPr="00B64995">
        <w:t xml:space="preserve">structure of Radiocommunication Study Groups, including their scopes, </w:t>
      </w:r>
      <w:proofErr w:type="gramStart"/>
      <w:r w:rsidRPr="00B64995">
        <w:t>chair</w:t>
      </w:r>
      <w:r w:rsidR="00981A21" w:rsidRPr="00B64995">
        <w:t>person</w:t>
      </w:r>
      <w:proofErr w:type="gramEnd"/>
      <w:r w:rsidRPr="00B64995">
        <w:t xml:space="preserve"> and vice-chair</w:t>
      </w:r>
      <w:r w:rsidR="00981A21" w:rsidRPr="00B64995">
        <w:t>person</w:t>
      </w:r>
      <w:r w:rsidRPr="00B64995">
        <w:t>, can be found in Resolution ITU</w:t>
      </w:r>
      <w:r w:rsidR="25E632B6" w:rsidRPr="00B64995">
        <w:t>-</w:t>
      </w:r>
      <w:r w:rsidRPr="00B64995">
        <w:t>R </w:t>
      </w:r>
      <w:hyperlink r:id="rId29">
        <w:r w:rsidRPr="00A060FE">
          <w:rPr>
            <w:color w:val="0000FF"/>
            <w:u w:val="single"/>
          </w:rPr>
          <w:t>4</w:t>
        </w:r>
      </w:hyperlink>
      <w:r w:rsidRPr="00A060FE">
        <w:rPr>
          <w:color w:val="0000FF"/>
          <w:u w:val="single"/>
        </w:rPr>
        <w:t>.</w:t>
      </w:r>
      <w:bookmarkStart w:id="24" w:name="_Toc180535450"/>
      <w:bookmarkStart w:id="25" w:name="_Toc180537870"/>
      <w:bookmarkStart w:id="26" w:name="_Toc436827414"/>
      <w:bookmarkEnd w:id="24"/>
      <w:bookmarkEnd w:id="25"/>
      <w:bookmarkEnd w:id="26"/>
    </w:p>
    <w:p w14:paraId="349EA348" w14:textId="77777777" w:rsidR="00F65FC0" w:rsidRPr="0074433B" w:rsidRDefault="00F65FC0" w:rsidP="00614D53">
      <w:pPr>
        <w:jc w:val="both"/>
        <w:rPr>
          <w:sz w:val="20"/>
          <w:szCs w:val="20"/>
        </w:rPr>
      </w:pPr>
    </w:p>
    <w:p w14:paraId="56BF618B" w14:textId="42FA54F7" w:rsidR="0074456D" w:rsidRPr="00B64995" w:rsidRDefault="0074456D" w:rsidP="00B36DE2">
      <w:pPr>
        <w:jc w:val="both"/>
      </w:pPr>
      <w:r w:rsidRPr="00B64995">
        <w:t>RA-19 approved the work programme and Questions of the Radiocommunication Study Groups (see Resolution ITU-R </w:t>
      </w:r>
      <w:hyperlink r:id="rId30" w:history="1">
        <w:r w:rsidRPr="00A060FE">
          <w:rPr>
            <w:color w:val="0000FF"/>
            <w:u w:val="single"/>
          </w:rPr>
          <w:t>5</w:t>
        </w:r>
      </w:hyperlink>
      <w:r w:rsidRPr="00A060FE">
        <w:t>) as well as five ITU-R Recommendations.</w:t>
      </w:r>
    </w:p>
    <w:p w14:paraId="11E0CBE6" w14:textId="50AE9340" w:rsidR="007655B1" w:rsidRPr="0074433B" w:rsidRDefault="007655B1" w:rsidP="00614D53">
      <w:pPr>
        <w:jc w:val="both"/>
        <w:rPr>
          <w:rFonts w:eastAsia="Arial Unicode MS"/>
          <w:sz w:val="20"/>
          <w:szCs w:val="20"/>
        </w:rPr>
      </w:pPr>
    </w:p>
    <w:p w14:paraId="070DFC7F" w14:textId="791ABD65" w:rsidR="0074456D" w:rsidRPr="00B64995" w:rsidRDefault="0074456D" w:rsidP="00614D53">
      <w:pPr>
        <w:jc w:val="both"/>
        <w:rPr>
          <w:rFonts w:eastAsia="Arial Unicode MS"/>
        </w:rPr>
      </w:pPr>
      <w:r w:rsidRPr="00B64995">
        <w:rPr>
          <w:rFonts w:eastAsia="Arial Unicode MS"/>
        </w:rPr>
        <w:t>Additionally, two new ITU-R Resolutions were approved, both related to broadcasting issues:</w:t>
      </w:r>
    </w:p>
    <w:p w14:paraId="3E9C564C" w14:textId="77777777" w:rsidR="0074456D" w:rsidRPr="00B64995" w:rsidRDefault="0074456D" w:rsidP="00614D53">
      <w:pPr>
        <w:ind w:left="567"/>
        <w:jc w:val="both"/>
      </w:pPr>
      <w:r w:rsidRPr="00B64995">
        <w:rPr>
          <w:b/>
          <w:bCs/>
        </w:rPr>
        <w:t xml:space="preserve">Resolution ITU-R </w:t>
      </w:r>
      <w:hyperlink r:id="rId31" w:history="1">
        <w:r w:rsidRPr="00A060FE">
          <w:rPr>
            <w:b/>
            <w:bCs/>
            <w:color w:val="0000FF"/>
            <w:u w:val="single"/>
          </w:rPr>
          <w:t>70</w:t>
        </w:r>
      </w:hyperlink>
      <w:r w:rsidRPr="00A060FE">
        <w:t xml:space="preserve"> </w:t>
      </w:r>
      <w:r w:rsidRPr="00A060FE">
        <w:rPr>
          <w:color w:val="000000"/>
        </w:rPr>
        <w:t>–</w:t>
      </w:r>
      <w:r w:rsidRPr="00B64995">
        <w:t xml:space="preserve">- </w:t>
      </w:r>
      <w:r w:rsidRPr="00B64995">
        <w:rPr>
          <w:color w:val="000000"/>
        </w:rPr>
        <w:t>Principles for the future development of broadcasting</w:t>
      </w:r>
    </w:p>
    <w:p w14:paraId="0EA78A5D" w14:textId="1DD94652" w:rsidR="0074456D" w:rsidRPr="00B64995" w:rsidRDefault="0074456D" w:rsidP="00614D53">
      <w:pPr>
        <w:ind w:left="567"/>
        <w:jc w:val="both"/>
      </w:pPr>
      <w:r w:rsidRPr="00B64995">
        <w:rPr>
          <w:b/>
          <w:bCs/>
        </w:rPr>
        <w:t xml:space="preserve">Resolution ITU-R </w:t>
      </w:r>
      <w:hyperlink r:id="rId32" w:history="1">
        <w:r w:rsidRPr="00A060FE">
          <w:rPr>
            <w:b/>
            <w:bCs/>
            <w:color w:val="0000FF"/>
            <w:u w:val="single"/>
          </w:rPr>
          <w:t>71</w:t>
        </w:r>
      </w:hyperlink>
      <w:r w:rsidRPr="00A060FE">
        <w:t xml:space="preserve"> </w:t>
      </w:r>
      <w:r w:rsidRPr="00A060FE">
        <w:rPr>
          <w:color w:val="000000"/>
        </w:rPr>
        <w:t>–</w:t>
      </w:r>
      <w:r w:rsidRPr="00B64995">
        <w:t xml:space="preserve"> </w:t>
      </w:r>
      <w:r w:rsidRPr="00B64995">
        <w:rPr>
          <w:color w:val="000000"/>
        </w:rPr>
        <w:t xml:space="preserve">Role of the Radiocommunication Sector in the ongoing development of television, </w:t>
      </w:r>
      <w:proofErr w:type="gramStart"/>
      <w:r w:rsidRPr="00B64995">
        <w:rPr>
          <w:color w:val="000000"/>
        </w:rPr>
        <w:t>sound</w:t>
      </w:r>
      <w:proofErr w:type="gramEnd"/>
      <w:r w:rsidRPr="00B64995">
        <w:rPr>
          <w:color w:val="000000"/>
        </w:rPr>
        <w:t xml:space="preserve"> and multimedia broadcasting</w:t>
      </w:r>
      <w:r w:rsidR="00AC4914" w:rsidRPr="00B64995">
        <w:rPr>
          <w:color w:val="000000"/>
        </w:rPr>
        <w:t>.</w:t>
      </w:r>
    </w:p>
    <w:p w14:paraId="4C73C2B7" w14:textId="2A26C378" w:rsidR="0074456D" w:rsidRPr="00B64995" w:rsidRDefault="0074456D" w:rsidP="001A69FF">
      <w:pPr>
        <w:spacing w:before="120"/>
        <w:jc w:val="both"/>
        <w:rPr>
          <w:rFonts w:eastAsia="Arial Unicode MS"/>
        </w:rPr>
      </w:pPr>
      <w:r w:rsidRPr="00B64995">
        <w:rPr>
          <w:rFonts w:eastAsia="Arial Unicode MS"/>
        </w:rPr>
        <w:t>The Assembly suppress</w:t>
      </w:r>
      <w:r w:rsidR="00765B30" w:rsidRPr="00B64995">
        <w:rPr>
          <w:rFonts w:eastAsia="Arial Unicode MS"/>
        </w:rPr>
        <w:t>ed</w:t>
      </w:r>
      <w:r w:rsidRPr="00B64995">
        <w:rPr>
          <w:rFonts w:eastAsia="Arial Unicode MS"/>
        </w:rPr>
        <w:t xml:space="preserve"> three ITU-R Resolutions:</w:t>
      </w:r>
    </w:p>
    <w:p w14:paraId="618259A7" w14:textId="77777777" w:rsidR="0049723A" w:rsidRPr="00B64995" w:rsidRDefault="0074456D" w:rsidP="00614D53">
      <w:pPr>
        <w:ind w:left="567"/>
        <w:jc w:val="both"/>
        <w:rPr>
          <w:color w:val="000000"/>
        </w:rPr>
      </w:pPr>
      <w:r w:rsidRPr="00B64995">
        <w:rPr>
          <w:b/>
          <w:bCs/>
        </w:rPr>
        <w:t xml:space="preserve">Resolution ITU-R </w:t>
      </w:r>
      <w:hyperlink r:id="rId33" w:history="1">
        <w:r w:rsidRPr="00A060FE">
          <w:rPr>
            <w:b/>
            <w:bCs/>
            <w:color w:val="0000FF"/>
            <w:u w:val="single"/>
          </w:rPr>
          <w:t>34</w:t>
        </w:r>
      </w:hyperlink>
      <w:r w:rsidRPr="00A060FE">
        <w:t xml:space="preserve"> </w:t>
      </w:r>
      <w:r w:rsidRPr="00A060FE">
        <w:rPr>
          <w:color w:val="000000"/>
        </w:rPr>
        <w:t>–</w:t>
      </w:r>
      <w:r w:rsidRPr="00B64995">
        <w:t xml:space="preserve"> </w:t>
      </w:r>
      <w:r w:rsidRPr="00B64995">
        <w:rPr>
          <w:color w:val="000000"/>
        </w:rPr>
        <w:t>Guidelines for the preparation of terms and definitions</w:t>
      </w:r>
    </w:p>
    <w:p w14:paraId="2BFFD533" w14:textId="13C757DC" w:rsidR="0074456D" w:rsidRPr="00B64995" w:rsidRDefault="0074456D" w:rsidP="00614D53">
      <w:pPr>
        <w:ind w:left="567"/>
        <w:jc w:val="both"/>
        <w:rPr>
          <w:color w:val="000000"/>
        </w:rPr>
      </w:pPr>
      <w:r w:rsidRPr="00B64995">
        <w:rPr>
          <w:b/>
          <w:bCs/>
        </w:rPr>
        <w:t xml:space="preserve">Resolution ITU-R </w:t>
      </w:r>
      <w:hyperlink r:id="rId34" w:history="1">
        <w:r w:rsidRPr="00A060FE">
          <w:rPr>
            <w:b/>
            <w:bCs/>
            <w:color w:val="0000FF"/>
            <w:u w:val="single"/>
          </w:rPr>
          <w:t>35</w:t>
        </w:r>
      </w:hyperlink>
      <w:r w:rsidRPr="00A060FE">
        <w:t xml:space="preserve"> </w:t>
      </w:r>
      <w:r w:rsidRPr="00A060FE">
        <w:rPr>
          <w:color w:val="000000"/>
        </w:rPr>
        <w:t>–</w:t>
      </w:r>
      <w:r w:rsidRPr="00B64995">
        <w:t xml:space="preserve"> </w:t>
      </w:r>
      <w:r w:rsidRPr="00B64995">
        <w:rPr>
          <w:color w:val="000000"/>
        </w:rPr>
        <w:t xml:space="preserve">The organization of vocabulary work covering terms and </w:t>
      </w:r>
      <w:proofErr w:type="gramStart"/>
      <w:r w:rsidRPr="00B64995">
        <w:rPr>
          <w:color w:val="000000"/>
        </w:rPr>
        <w:t>definitions</w:t>
      </w:r>
      <w:proofErr w:type="gramEnd"/>
    </w:p>
    <w:p w14:paraId="10A2C705" w14:textId="5F178038" w:rsidR="0074456D" w:rsidRPr="00B64995" w:rsidRDefault="0074456D" w:rsidP="00614D53">
      <w:pPr>
        <w:ind w:left="567"/>
        <w:jc w:val="both"/>
        <w:rPr>
          <w:rFonts w:eastAsia="Arial Unicode MS"/>
        </w:rPr>
      </w:pPr>
      <w:r w:rsidRPr="00B64995">
        <w:rPr>
          <w:b/>
          <w:bCs/>
        </w:rPr>
        <w:t>Resolution ITU</w:t>
      </w:r>
      <w:r w:rsidRPr="00B64995">
        <w:rPr>
          <w:rFonts w:eastAsia="Arial Unicode MS"/>
          <w:b/>
        </w:rPr>
        <w:t xml:space="preserve">-R </w:t>
      </w:r>
      <w:hyperlink r:id="rId35" w:history="1">
        <w:r w:rsidRPr="00A060FE">
          <w:rPr>
            <w:b/>
            <w:bCs/>
            <w:color w:val="0000FF"/>
            <w:u w:val="single"/>
          </w:rPr>
          <w:t>43</w:t>
        </w:r>
      </w:hyperlink>
      <w:r w:rsidRPr="00A060FE">
        <w:rPr>
          <w:rFonts w:eastAsia="Arial Unicode MS"/>
        </w:rPr>
        <w:t xml:space="preserve"> </w:t>
      </w:r>
      <w:r w:rsidRPr="00A060FE">
        <w:rPr>
          <w:color w:val="000000"/>
        </w:rPr>
        <w:t>– Rights of associates</w:t>
      </w:r>
      <w:r w:rsidR="00AC4914" w:rsidRPr="00B64995">
        <w:rPr>
          <w:color w:val="000000"/>
        </w:rPr>
        <w:t>.</w:t>
      </w:r>
    </w:p>
    <w:p w14:paraId="4FB9B4DA" w14:textId="77777777" w:rsidR="0074456D" w:rsidRPr="00B64995" w:rsidRDefault="0074456D" w:rsidP="00614D53">
      <w:pPr>
        <w:jc w:val="both"/>
        <w:rPr>
          <w:rFonts w:eastAsia="Arial Unicode MS"/>
        </w:rPr>
      </w:pPr>
    </w:p>
    <w:p w14:paraId="5D3B07CD" w14:textId="77777777" w:rsidR="0049723A" w:rsidRPr="00B64995" w:rsidRDefault="00026FC6" w:rsidP="00026FC6">
      <w:pPr>
        <w:pStyle w:val="Heading2"/>
        <w:rPr>
          <w:lang w:eastAsia="en-GB"/>
        </w:rPr>
      </w:pPr>
      <w:bookmarkStart w:id="27" w:name="_Toc37860456"/>
      <w:bookmarkStart w:id="28" w:name="_Toc37861217"/>
      <w:bookmarkStart w:id="29" w:name="_Toc37943336"/>
      <w:bookmarkStart w:id="30" w:name="_Toc68811406"/>
      <w:r w:rsidRPr="00B64995">
        <w:rPr>
          <w:lang w:eastAsia="en-GB"/>
        </w:rPr>
        <w:t>1.2</w:t>
      </w:r>
      <w:r w:rsidRPr="00B64995">
        <w:rPr>
          <w:lang w:eastAsia="en-GB"/>
        </w:rPr>
        <w:tab/>
      </w:r>
      <w:r w:rsidR="00E417F0" w:rsidRPr="00B64995">
        <w:rPr>
          <w:lang w:eastAsia="en-GB"/>
        </w:rPr>
        <w:t>Spectrum/orbit regulation and management</w:t>
      </w:r>
      <w:bookmarkEnd w:id="27"/>
      <w:bookmarkEnd w:id="28"/>
      <w:bookmarkEnd w:id="29"/>
      <w:bookmarkEnd w:id="30"/>
    </w:p>
    <w:p w14:paraId="72A3D3EC" w14:textId="2266CFB5" w:rsidR="00CD1524" w:rsidRPr="00B64995" w:rsidRDefault="00CD1524" w:rsidP="00614D53">
      <w:pPr>
        <w:jc w:val="both"/>
        <w:textAlignment w:val="baseline"/>
        <w:rPr>
          <w:rFonts w:eastAsia="Times New Roman"/>
          <w:color w:val="548DD4"/>
          <w:lang w:eastAsia="en-GB"/>
        </w:rPr>
      </w:pPr>
    </w:p>
    <w:p w14:paraId="7517CCB0" w14:textId="77777777" w:rsidR="0049723A" w:rsidRPr="00B64995" w:rsidRDefault="00CB6EE2" w:rsidP="5503EDA3">
      <w:pPr>
        <w:jc w:val="both"/>
        <w:rPr>
          <w:color w:val="000000" w:themeColor="text1"/>
        </w:rPr>
      </w:pPr>
      <w:r w:rsidRPr="00B64995">
        <w:rPr>
          <w:color w:val="000000" w:themeColor="text1"/>
        </w:rPr>
        <w:t>The ITU Radiocommunication Sector (ITU-R) plays a vital role in the global management of the radio-frequency spectrum and satellite orbits</w:t>
      </w:r>
      <w:r w:rsidR="005B4F66" w:rsidRPr="00B64995">
        <w:rPr>
          <w:color w:val="000000" w:themeColor="text1"/>
        </w:rPr>
        <w:t xml:space="preserve">, </w:t>
      </w:r>
      <w:r w:rsidRPr="00B64995">
        <w:rPr>
          <w:color w:val="000000" w:themeColor="text1"/>
        </w:rPr>
        <w:t xml:space="preserve">limited natural resources which are increasingly in demand from a large and growing number of services such as fixed, mobile, broadcasting, amateur, space research, emergency telecommunications, meteorology, global positioning systems, environmental </w:t>
      </w:r>
      <w:proofErr w:type="gramStart"/>
      <w:r w:rsidRPr="00B64995">
        <w:rPr>
          <w:color w:val="000000" w:themeColor="text1"/>
        </w:rPr>
        <w:t>monitoring</w:t>
      </w:r>
      <w:proofErr w:type="gramEnd"/>
      <w:r w:rsidRPr="00B64995">
        <w:rPr>
          <w:color w:val="000000" w:themeColor="text1"/>
        </w:rPr>
        <w:t xml:space="preserve"> and communication services</w:t>
      </w:r>
      <w:r w:rsidR="005B4F66" w:rsidRPr="00B64995">
        <w:rPr>
          <w:color w:val="000000" w:themeColor="text1"/>
        </w:rPr>
        <w:t xml:space="preserve">. </w:t>
      </w:r>
      <w:r w:rsidR="00A662D8" w:rsidRPr="00B64995">
        <w:rPr>
          <w:color w:val="000000" w:themeColor="text1"/>
        </w:rPr>
        <w:t>In implementing this mission, ITU-R creat</w:t>
      </w:r>
      <w:r w:rsidR="005B4F66" w:rsidRPr="00B64995">
        <w:rPr>
          <w:color w:val="000000" w:themeColor="text1"/>
        </w:rPr>
        <w:t>es</w:t>
      </w:r>
      <w:r w:rsidR="00A662D8" w:rsidRPr="00B64995">
        <w:rPr>
          <w:color w:val="000000" w:themeColor="text1"/>
        </w:rPr>
        <w:t xml:space="preserve"> the conditions for harmonized development and efficient operation of existing and new radiocommunication systems, taking due account of all parties concerned.</w:t>
      </w:r>
    </w:p>
    <w:p w14:paraId="7A82EB3F" w14:textId="71160702" w:rsidR="00536A22" w:rsidRPr="00B64995" w:rsidRDefault="00536A22" w:rsidP="5503EDA3">
      <w:pPr>
        <w:jc w:val="both"/>
        <w:rPr>
          <w:color w:val="000000" w:themeColor="text1"/>
        </w:rPr>
      </w:pPr>
    </w:p>
    <w:p w14:paraId="0E624B3B" w14:textId="3810A124" w:rsidR="00985B5C" w:rsidRPr="00B64995" w:rsidRDefault="00567B71" w:rsidP="00614D53">
      <w:pPr>
        <w:jc w:val="both"/>
        <w:rPr>
          <w:color w:val="000000" w:themeColor="text1"/>
        </w:rPr>
      </w:pPr>
      <w:r w:rsidRPr="00B64995">
        <w:t>ITU</w:t>
      </w:r>
      <w:r w:rsidR="00536A22" w:rsidRPr="00B64995">
        <w:t xml:space="preserve"> </w:t>
      </w:r>
      <w:r w:rsidR="62EEE104" w:rsidRPr="00B64995">
        <w:t xml:space="preserve">also supports </w:t>
      </w:r>
      <w:r w:rsidRPr="00B64995">
        <w:t xml:space="preserve">developing countries with capacity building </w:t>
      </w:r>
      <w:r w:rsidR="008B5D5E" w:rsidRPr="00B64995">
        <w:t xml:space="preserve">related to </w:t>
      </w:r>
      <w:r w:rsidR="00011F44" w:rsidRPr="00B64995">
        <w:t xml:space="preserve">the management </w:t>
      </w:r>
      <w:r w:rsidR="008B5D5E" w:rsidRPr="00B64995">
        <w:t>of spectrum</w:t>
      </w:r>
      <w:r w:rsidR="00B56C6D" w:rsidRPr="00B64995">
        <w:t>.</w:t>
      </w:r>
      <w:r w:rsidR="00985B5C" w:rsidRPr="00B64995">
        <w:t xml:space="preserve"> </w:t>
      </w:r>
      <w:r w:rsidR="04E79D2A" w:rsidRPr="00B64995">
        <w:t xml:space="preserve">Key </w:t>
      </w:r>
      <w:r w:rsidR="04E79D2A" w:rsidRPr="00B64995">
        <w:rPr>
          <w:color w:val="000000" w:themeColor="text1"/>
        </w:rPr>
        <w:t>outcomes of WRC-19 and RA-19</w:t>
      </w:r>
      <w:r w:rsidR="04E79D2A" w:rsidRPr="00B64995">
        <w:rPr>
          <w:rFonts w:eastAsia="Times New Roman"/>
          <w:lang w:eastAsia="en-GB"/>
        </w:rPr>
        <w:t xml:space="preserve"> including frequency allocation and frequency sharing for the efficient use of spectrum and orbital resources are addressed </w:t>
      </w:r>
      <w:r w:rsidR="00536A22" w:rsidRPr="00B64995">
        <w:rPr>
          <w:rFonts w:eastAsia="Times New Roman"/>
          <w:lang w:eastAsia="en-GB"/>
        </w:rPr>
        <w:t xml:space="preserve">in </w:t>
      </w:r>
      <w:hyperlink w:anchor="Section_1_1" w:history="1">
        <w:r w:rsidR="007F05EB" w:rsidRPr="00B64995">
          <w:rPr>
            <w:rStyle w:val="Hyperlink"/>
          </w:rPr>
          <w:t>section</w:t>
        </w:r>
        <w:r w:rsidR="00536A22" w:rsidRPr="00B64995">
          <w:rPr>
            <w:rStyle w:val="Hyperlink"/>
          </w:rPr>
          <w:t xml:space="preserve"> 1.1</w:t>
        </w:r>
      </w:hyperlink>
      <w:r w:rsidR="04E79D2A" w:rsidRPr="00A060FE">
        <w:rPr>
          <w:rFonts w:eastAsia="Times New Roman"/>
          <w:lang w:eastAsia="en-GB"/>
        </w:rPr>
        <w:t>.</w:t>
      </w:r>
      <w:r w:rsidR="04E79D2A" w:rsidRPr="00A060FE">
        <w:t xml:space="preserve"> </w:t>
      </w:r>
      <w:r w:rsidR="746FEF63" w:rsidRPr="00B64995">
        <w:t xml:space="preserve">Further information on ITU-R is available </w:t>
      </w:r>
      <w:hyperlink r:id="rId36" w:history="1">
        <w:r w:rsidR="746FEF63" w:rsidRPr="00A060FE">
          <w:rPr>
            <w:rStyle w:val="Hyperlink"/>
          </w:rPr>
          <w:t>online</w:t>
        </w:r>
      </w:hyperlink>
      <w:r w:rsidR="746FEF63" w:rsidRPr="00A060FE">
        <w:t xml:space="preserve">. </w:t>
      </w:r>
    </w:p>
    <w:p w14:paraId="70DF9E56" w14:textId="77777777" w:rsidR="00CB6EE2" w:rsidRPr="00B64995" w:rsidRDefault="00CB6EE2" w:rsidP="00614D53">
      <w:pPr>
        <w:jc w:val="both"/>
        <w:rPr>
          <w:b/>
          <w:bCs/>
          <w:color w:val="2F5496" w:themeColor="accent1" w:themeShade="BF"/>
        </w:rPr>
      </w:pPr>
    </w:p>
    <w:p w14:paraId="177E7074" w14:textId="768F8513" w:rsidR="00CB6EE2" w:rsidRPr="00B64995" w:rsidRDefault="00CB6EE2" w:rsidP="00007BBE">
      <w:pPr>
        <w:pStyle w:val="tabletitle"/>
      </w:pPr>
      <w:r w:rsidRPr="00B64995">
        <w:t>Results of the processing of space notices and other related activities</w:t>
      </w:r>
    </w:p>
    <w:tbl>
      <w:tblPr>
        <w:tblStyle w:val="ListTable3-Accent1"/>
        <w:tblW w:w="9016" w:type="dxa"/>
        <w:tblLook w:val="04A0" w:firstRow="1" w:lastRow="0" w:firstColumn="1" w:lastColumn="0" w:noHBand="0" w:noVBand="1"/>
      </w:tblPr>
      <w:tblGrid>
        <w:gridCol w:w="2167"/>
        <w:gridCol w:w="856"/>
        <w:gridCol w:w="1079"/>
        <w:gridCol w:w="1171"/>
        <w:gridCol w:w="1125"/>
        <w:gridCol w:w="940"/>
        <w:gridCol w:w="1678"/>
      </w:tblGrid>
      <w:tr w:rsidR="00CD3E30" w:rsidRPr="00B64995" w14:paraId="5105A33D" w14:textId="77777777" w:rsidTr="00CD3E3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67" w:type="dxa"/>
            <w:shd w:val="clear" w:color="auto" w:fill="4472C4"/>
            <w:hideMark/>
          </w:tcPr>
          <w:p w14:paraId="7D4B7558" w14:textId="77777777" w:rsidR="00CD3E30" w:rsidRPr="00B64995" w:rsidRDefault="00CD3E30" w:rsidP="006A3906">
            <w:pPr>
              <w:rPr>
                <w:rFonts w:ascii="Times New Roman" w:eastAsia="Times New Roman" w:hAnsi="Times New Roman" w:cs="Times New Roman"/>
                <w:color w:val="FFFFFF"/>
                <w:lang w:eastAsia="en-GB"/>
              </w:rPr>
            </w:pPr>
          </w:p>
        </w:tc>
        <w:tc>
          <w:tcPr>
            <w:tcW w:w="856" w:type="dxa"/>
            <w:shd w:val="clear" w:color="auto" w:fill="4472C4"/>
            <w:noWrap/>
            <w:hideMark/>
          </w:tcPr>
          <w:p w14:paraId="52E19D77" w14:textId="77777777" w:rsidR="00CD3E30" w:rsidRPr="00B64995" w:rsidRDefault="00CD3E30" w:rsidP="006A3906">
            <w:pPr>
              <w:spacing w:before="120"/>
              <w:jc w:val="both"/>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B64995">
              <w:rPr>
                <w:rFonts w:eastAsia="Times New Roman"/>
                <w:color w:val="FFFFFF"/>
                <w:lang w:eastAsia="fr-FR"/>
              </w:rPr>
              <w:t>2016</w:t>
            </w:r>
          </w:p>
        </w:tc>
        <w:tc>
          <w:tcPr>
            <w:tcW w:w="1079" w:type="dxa"/>
            <w:shd w:val="clear" w:color="auto" w:fill="4472C4"/>
            <w:noWrap/>
            <w:hideMark/>
          </w:tcPr>
          <w:p w14:paraId="3462B8AC" w14:textId="77777777" w:rsidR="00CD3E30" w:rsidRPr="00B64995" w:rsidRDefault="00CD3E30" w:rsidP="006A3906">
            <w:pPr>
              <w:spacing w:before="120"/>
              <w:jc w:val="both"/>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B64995">
              <w:rPr>
                <w:rFonts w:eastAsia="Times New Roman"/>
                <w:color w:val="FFFFFF"/>
                <w:lang w:eastAsia="fr-FR"/>
              </w:rPr>
              <w:t>2017</w:t>
            </w:r>
          </w:p>
        </w:tc>
        <w:tc>
          <w:tcPr>
            <w:tcW w:w="1171" w:type="dxa"/>
            <w:shd w:val="clear" w:color="auto" w:fill="4472C4"/>
            <w:noWrap/>
            <w:hideMark/>
          </w:tcPr>
          <w:p w14:paraId="4A535B2D" w14:textId="77777777" w:rsidR="00CD3E30" w:rsidRPr="00B64995" w:rsidRDefault="00CD3E30" w:rsidP="006A3906">
            <w:pPr>
              <w:spacing w:before="120"/>
              <w:jc w:val="both"/>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B64995">
              <w:rPr>
                <w:rFonts w:eastAsia="Times New Roman"/>
                <w:color w:val="FFFFFF"/>
                <w:lang w:eastAsia="fr-FR"/>
              </w:rPr>
              <w:t>2018</w:t>
            </w:r>
          </w:p>
        </w:tc>
        <w:tc>
          <w:tcPr>
            <w:tcW w:w="1125" w:type="dxa"/>
            <w:shd w:val="clear" w:color="auto" w:fill="4472C4"/>
            <w:noWrap/>
            <w:hideMark/>
          </w:tcPr>
          <w:p w14:paraId="7ADDAC21" w14:textId="77777777" w:rsidR="00CD3E30" w:rsidRPr="00B64995" w:rsidRDefault="00CD3E30" w:rsidP="006A3906">
            <w:pPr>
              <w:spacing w:before="120"/>
              <w:jc w:val="both"/>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B64995">
              <w:rPr>
                <w:rFonts w:eastAsia="Times New Roman"/>
                <w:color w:val="FFFFFF"/>
                <w:lang w:eastAsia="fr-FR"/>
              </w:rPr>
              <w:t>2019</w:t>
            </w:r>
          </w:p>
        </w:tc>
        <w:tc>
          <w:tcPr>
            <w:tcW w:w="940" w:type="dxa"/>
            <w:shd w:val="clear" w:color="auto" w:fill="4472C4"/>
          </w:tcPr>
          <w:p w14:paraId="25216593" w14:textId="77777777" w:rsidR="00CD3E30" w:rsidRPr="00B64995" w:rsidRDefault="00CD3E30" w:rsidP="006A3906">
            <w:pPr>
              <w:spacing w:before="120"/>
              <w:jc w:val="both"/>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B64995">
              <w:rPr>
                <w:rFonts w:eastAsia="Times New Roman"/>
                <w:color w:val="FFFFFF"/>
                <w:lang w:eastAsia="fr-FR"/>
              </w:rPr>
              <w:t>2020</w:t>
            </w:r>
          </w:p>
        </w:tc>
        <w:tc>
          <w:tcPr>
            <w:tcW w:w="1678" w:type="dxa"/>
            <w:shd w:val="clear" w:color="auto" w:fill="4472C4"/>
            <w:noWrap/>
            <w:hideMark/>
          </w:tcPr>
          <w:p w14:paraId="0D428E59" w14:textId="77777777" w:rsidR="00CD3E30" w:rsidRPr="00B64995" w:rsidRDefault="00CD3E30" w:rsidP="006A3906">
            <w:pPr>
              <w:spacing w:before="120"/>
              <w:jc w:val="both"/>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lang w:eastAsia="fr-FR"/>
              </w:rPr>
            </w:pPr>
            <w:r w:rsidRPr="00B64995">
              <w:rPr>
                <w:rFonts w:eastAsia="Times New Roman"/>
                <w:color w:val="FFFFFF"/>
                <w:lang w:eastAsia="fr-FR"/>
              </w:rPr>
              <w:t>Total</w:t>
            </w:r>
          </w:p>
          <w:p w14:paraId="4D5BACEB" w14:textId="77777777" w:rsidR="00CD3E30" w:rsidRPr="00B64995" w:rsidRDefault="00CD3E30" w:rsidP="006A3906">
            <w:pPr>
              <w:spacing w:before="120"/>
              <w:jc w:val="both"/>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B64995">
              <w:rPr>
                <w:rFonts w:eastAsia="Times New Roman"/>
                <w:color w:val="FFFFFF"/>
                <w:lang w:eastAsia="fr-FR"/>
              </w:rPr>
              <w:t xml:space="preserve"> 2016-2020</w:t>
            </w:r>
          </w:p>
        </w:tc>
      </w:tr>
      <w:tr w:rsidR="00CD3E30" w:rsidRPr="00B64995" w14:paraId="41D85363" w14:textId="77777777" w:rsidTr="00CD3E30">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167" w:type="dxa"/>
            <w:shd w:val="clear" w:color="auto" w:fill="B6C8E8"/>
            <w:hideMark/>
          </w:tcPr>
          <w:p w14:paraId="60543C44" w14:textId="77777777" w:rsidR="00CD3E30" w:rsidRPr="00B64995" w:rsidRDefault="00CD3E30" w:rsidP="006A3906">
            <w:pPr>
              <w:pStyle w:val="boxtext"/>
              <w:rPr>
                <w:b w:val="0"/>
                <w:lang w:val="en-GB"/>
              </w:rPr>
            </w:pPr>
            <w:r w:rsidRPr="00B64995">
              <w:rPr>
                <w:lang w:val="en-GB"/>
              </w:rPr>
              <w:t xml:space="preserve">Coordination and notification requests </w:t>
            </w:r>
          </w:p>
        </w:tc>
        <w:tc>
          <w:tcPr>
            <w:tcW w:w="856" w:type="dxa"/>
            <w:shd w:val="clear" w:color="auto" w:fill="B6C8E8"/>
            <w:noWrap/>
            <w:hideMark/>
          </w:tcPr>
          <w:p w14:paraId="1A98E621" w14:textId="7102B492"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1</w:t>
            </w:r>
            <w:r w:rsidR="00A060FE">
              <w:rPr>
                <w:rFonts w:eastAsia="Times New Roman"/>
                <w:lang w:eastAsia="fr-FR"/>
              </w:rPr>
              <w:t> </w:t>
            </w:r>
            <w:r w:rsidRPr="00B64995">
              <w:rPr>
                <w:rFonts w:eastAsia="Times New Roman"/>
                <w:lang w:eastAsia="fr-FR"/>
              </w:rPr>
              <w:t>267</w:t>
            </w:r>
          </w:p>
        </w:tc>
        <w:tc>
          <w:tcPr>
            <w:tcW w:w="1079" w:type="dxa"/>
            <w:shd w:val="clear" w:color="auto" w:fill="B6C8E8"/>
            <w:noWrap/>
            <w:hideMark/>
          </w:tcPr>
          <w:p w14:paraId="76C14944" w14:textId="0FD644B8"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1</w:t>
            </w:r>
            <w:r w:rsidR="00A060FE">
              <w:rPr>
                <w:rFonts w:eastAsia="Times New Roman"/>
                <w:lang w:eastAsia="fr-FR"/>
              </w:rPr>
              <w:t> </w:t>
            </w:r>
            <w:r w:rsidRPr="00B64995">
              <w:rPr>
                <w:rFonts w:eastAsia="Times New Roman"/>
                <w:lang w:eastAsia="fr-FR"/>
              </w:rPr>
              <w:t>186</w:t>
            </w:r>
          </w:p>
        </w:tc>
        <w:tc>
          <w:tcPr>
            <w:tcW w:w="1171" w:type="dxa"/>
            <w:shd w:val="clear" w:color="auto" w:fill="B6C8E8"/>
            <w:noWrap/>
            <w:hideMark/>
          </w:tcPr>
          <w:p w14:paraId="7024A844"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957</w:t>
            </w:r>
          </w:p>
        </w:tc>
        <w:tc>
          <w:tcPr>
            <w:tcW w:w="1125" w:type="dxa"/>
            <w:shd w:val="clear" w:color="auto" w:fill="B6C8E8"/>
            <w:noWrap/>
            <w:hideMark/>
          </w:tcPr>
          <w:p w14:paraId="49582E91" w14:textId="2A170E1A"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1</w:t>
            </w:r>
            <w:r w:rsidR="00A060FE">
              <w:rPr>
                <w:rFonts w:eastAsia="Times New Roman"/>
                <w:lang w:eastAsia="fr-FR"/>
              </w:rPr>
              <w:t> </w:t>
            </w:r>
            <w:r w:rsidRPr="00B64995">
              <w:rPr>
                <w:rFonts w:eastAsia="Times New Roman"/>
                <w:lang w:eastAsia="fr-FR"/>
              </w:rPr>
              <w:t>174</w:t>
            </w:r>
          </w:p>
        </w:tc>
        <w:tc>
          <w:tcPr>
            <w:tcW w:w="940" w:type="dxa"/>
            <w:shd w:val="clear" w:color="auto" w:fill="B6C8E8"/>
          </w:tcPr>
          <w:p w14:paraId="56FF3FE0"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886</w:t>
            </w:r>
          </w:p>
        </w:tc>
        <w:tc>
          <w:tcPr>
            <w:tcW w:w="1678" w:type="dxa"/>
            <w:shd w:val="clear" w:color="auto" w:fill="B6C8E8"/>
            <w:noWrap/>
          </w:tcPr>
          <w:p w14:paraId="19424DFE" w14:textId="5184CB51"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5</w:t>
            </w:r>
            <w:r w:rsidR="005D4A07">
              <w:rPr>
                <w:rFonts w:eastAsia="Times New Roman"/>
                <w:lang w:eastAsia="fr-FR"/>
              </w:rPr>
              <w:t> </w:t>
            </w:r>
            <w:r w:rsidRPr="00B64995">
              <w:rPr>
                <w:rFonts w:eastAsia="Times New Roman"/>
                <w:lang w:eastAsia="fr-FR"/>
              </w:rPr>
              <w:t>470</w:t>
            </w:r>
          </w:p>
          <w:p w14:paraId="1FB6C60B"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p>
        </w:tc>
      </w:tr>
      <w:tr w:rsidR="00CD3E30" w:rsidRPr="00B64995" w14:paraId="75218960" w14:textId="77777777" w:rsidTr="00CD3E30">
        <w:trPr>
          <w:trHeight w:val="900"/>
        </w:trPr>
        <w:tc>
          <w:tcPr>
            <w:cnfStyle w:val="001000000000" w:firstRow="0" w:lastRow="0" w:firstColumn="1" w:lastColumn="0" w:oddVBand="0" w:evenVBand="0" w:oddHBand="0" w:evenHBand="0" w:firstRowFirstColumn="0" w:firstRowLastColumn="0" w:lastRowFirstColumn="0" w:lastRowLastColumn="0"/>
            <w:tcW w:w="2167" w:type="dxa"/>
            <w:hideMark/>
          </w:tcPr>
          <w:p w14:paraId="2303CA11" w14:textId="77777777" w:rsidR="00CD3E30" w:rsidRPr="00B64995" w:rsidRDefault="00CD3E30" w:rsidP="006A3906">
            <w:pPr>
              <w:pStyle w:val="boxtext"/>
              <w:rPr>
                <w:b w:val="0"/>
                <w:lang w:val="en-GB"/>
              </w:rPr>
            </w:pPr>
            <w:r w:rsidRPr="00B64995">
              <w:rPr>
                <w:lang w:val="en-GB"/>
              </w:rPr>
              <w:t xml:space="preserve">Requests for broadcasting-satellite and associated feeder links Plans </w:t>
            </w:r>
          </w:p>
        </w:tc>
        <w:tc>
          <w:tcPr>
            <w:tcW w:w="856" w:type="dxa"/>
            <w:noWrap/>
            <w:hideMark/>
          </w:tcPr>
          <w:p w14:paraId="636BC47E" w14:textId="77777777" w:rsidR="00CD3E30" w:rsidRPr="00B64995" w:rsidRDefault="00CD3E30" w:rsidP="006A3906">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B64995">
              <w:rPr>
                <w:rFonts w:eastAsia="Times New Roman"/>
                <w:lang w:eastAsia="fr-FR"/>
              </w:rPr>
              <w:t>100</w:t>
            </w:r>
          </w:p>
        </w:tc>
        <w:tc>
          <w:tcPr>
            <w:tcW w:w="1079" w:type="dxa"/>
            <w:noWrap/>
            <w:hideMark/>
          </w:tcPr>
          <w:p w14:paraId="385DF934" w14:textId="77777777" w:rsidR="00CD3E30" w:rsidRPr="00B64995" w:rsidRDefault="00CD3E30" w:rsidP="006A3906">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B64995">
              <w:rPr>
                <w:rFonts w:eastAsia="Times New Roman"/>
                <w:lang w:eastAsia="fr-FR"/>
              </w:rPr>
              <w:t>79</w:t>
            </w:r>
          </w:p>
        </w:tc>
        <w:tc>
          <w:tcPr>
            <w:tcW w:w="1171" w:type="dxa"/>
            <w:noWrap/>
            <w:hideMark/>
          </w:tcPr>
          <w:p w14:paraId="082E1B28" w14:textId="77777777" w:rsidR="00CD3E30" w:rsidRPr="00B64995" w:rsidRDefault="00CD3E30" w:rsidP="006A3906">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B64995">
              <w:rPr>
                <w:rFonts w:eastAsia="Times New Roman"/>
                <w:lang w:eastAsia="fr-FR"/>
              </w:rPr>
              <w:t>135</w:t>
            </w:r>
          </w:p>
        </w:tc>
        <w:tc>
          <w:tcPr>
            <w:tcW w:w="1125" w:type="dxa"/>
            <w:noWrap/>
            <w:hideMark/>
          </w:tcPr>
          <w:p w14:paraId="6BD48A25" w14:textId="77777777" w:rsidR="00CD3E30" w:rsidRPr="00B64995" w:rsidRDefault="00CD3E30" w:rsidP="006A3906">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B64995">
              <w:rPr>
                <w:rFonts w:eastAsia="Times New Roman"/>
                <w:lang w:eastAsia="fr-FR"/>
              </w:rPr>
              <w:t>73</w:t>
            </w:r>
          </w:p>
        </w:tc>
        <w:tc>
          <w:tcPr>
            <w:tcW w:w="940" w:type="dxa"/>
          </w:tcPr>
          <w:p w14:paraId="53C4AB9F" w14:textId="77777777" w:rsidR="00CD3E30" w:rsidRPr="00B64995" w:rsidRDefault="00CD3E30" w:rsidP="006A3906">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B64995">
              <w:rPr>
                <w:rFonts w:eastAsia="Times New Roman"/>
                <w:lang w:eastAsia="fr-FR"/>
              </w:rPr>
              <w:t>186*</w:t>
            </w:r>
          </w:p>
        </w:tc>
        <w:tc>
          <w:tcPr>
            <w:tcW w:w="1678" w:type="dxa"/>
            <w:noWrap/>
          </w:tcPr>
          <w:p w14:paraId="3AF8C81B" w14:textId="77777777" w:rsidR="00CD3E30" w:rsidRPr="00B64995" w:rsidRDefault="00CD3E30" w:rsidP="006A3906">
            <w:pPr>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B64995">
              <w:rPr>
                <w:rFonts w:eastAsia="Times New Roman"/>
                <w:lang w:eastAsia="fr-FR"/>
              </w:rPr>
              <w:t>573</w:t>
            </w:r>
          </w:p>
        </w:tc>
      </w:tr>
      <w:tr w:rsidR="00CD3E30" w:rsidRPr="00B64995" w14:paraId="4EC47F80" w14:textId="77777777" w:rsidTr="00CD3E3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167" w:type="dxa"/>
            <w:shd w:val="clear" w:color="auto" w:fill="B6C8E8"/>
            <w:hideMark/>
          </w:tcPr>
          <w:p w14:paraId="22A0125A" w14:textId="77777777" w:rsidR="00CD3E30" w:rsidRPr="00B64995" w:rsidRDefault="00CD3E30" w:rsidP="006A3906">
            <w:pPr>
              <w:pStyle w:val="boxtext"/>
              <w:rPr>
                <w:b w:val="0"/>
                <w:lang w:val="en-GB"/>
              </w:rPr>
            </w:pPr>
            <w:r w:rsidRPr="00B64995">
              <w:rPr>
                <w:lang w:val="en-GB"/>
              </w:rPr>
              <w:t xml:space="preserve">Requests for fixed-satellite service Plan </w:t>
            </w:r>
          </w:p>
        </w:tc>
        <w:tc>
          <w:tcPr>
            <w:tcW w:w="856" w:type="dxa"/>
            <w:shd w:val="clear" w:color="auto" w:fill="B6C8E8"/>
            <w:noWrap/>
            <w:hideMark/>
          </w:tcPr>
          <w:p w14:paraId="71ECBE84"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84</w:t>
            </w:r>
          </w:p>
        </w:tc>
        <w:tc>
          <w:tcPr>
            <w:tcW w:w="1079" w:type="dxa"/>
            <w:shd w:val="clear" w:color="auto" w:fill="B6C8E8"/>
            <w:noWrap/>
            <w:hideMark/>
          </w:tcPr>
          <w:p w14:paraId="2255B428"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55</w:t>
            </w:r>
          </w:p>
        </w:tc>
        <w:tc>
          <w:tcPr>
            <w:tcW w:w="1171" w:type="dxa"/>
            <w:shd w:val="clear" w:color="auto" w:fill="B6C8E8"/>
            <w:noWrap/>
            <w:hideMark/>
          </w:tcPr>
          <w:p w14:paraId="4CED3314"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89</w:t>
            </w:r>
          </w:p>
        </w:tc>
        <w:tc>
          <w:tcPr>
            <w:tcW w:w="1125" w:type="dxa"/>
            <w:shd w:val="clear" w:color="auto" w:fill="B6C8E8"/>
            <w:noWrap/>
            <w:hideMark/>
          </w:tcPr>
          <w:p w14:paraId="42CD6A38"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51</w:t>
            </w:r>
          </w:p>
        </w:tc>
        <w:tc>
          <w:tcPr>
            <w:tcW w:w="940" w:type="dxa"/>
            <w:shd w:val="clear" w:color="auto" w:fill="B6C8E8"/>
          </w:tcPr>
          <w:p w14:paraId="5D70CC05"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27**</w:t>
            </w:r>
          </w:p>
        </w:tc>
        <w:tc>
          <w:tcPr>
            <w:tcW w:w="1678" w:type="dxa"/>
            <w:shd w:val="clear" w:color="auto" w:fill="B6C8E8"/>
            <w:noWrap/>
          </w:tcPr>
          <w:p w14:paraId="4B4FC850" w14:textId="77777777" w:rsidR="00CD3E30" w:rsidRPr="00B64995" w:rsidRDefault="00CD3E30" w:rsidP="006A3906">
            <w:pP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B64995">
              <w:rPr>
                <w:rFonts w:eastAsia="Times New Roman"/>
                <w:lang w:eastAsia="fr-FR"/>
              </w:rPr>
              <w:t>306</w:t>
            </w:r>
          </w:p>
        </w:tc>
      </w:tr>
    </w:tbl>
    <w:p w14:paraId="635C348E" w14:textId="77777777" w:rsidR="00CD3E30" w:rsidRPr="00B64995" w:rsidRDefault="00CD3E30" w:rsidP="00CD3E30">
      <w:pPr>
        <w:jc w:val="both"/>
        <w:rPr>
          <w:b/>
          <w:bCs/>
          <w:sz w:val="20"/>
          <w:szCs w:val="20"/>
        </w:rPr>
      </w:pPr>
      <w:r w:rsidRPr="00B64995">
        <w:rPr>
          <w:sz w:val="20"/>
          <w:szCs w:val="20"/>
        </w:rPr>
        <w:t xml:space="preserve">* including 90 requests pursuant to Resolution </w:t>
      </w:r>
      <w:r w:rsidRPr="00B64995">
        <w:rPr>
          <w:b/>
          <w:bCs/>
          <w:sz w:val="20"/>
          <w:szCs w:val="20"/>
        </w:rPr>
        <w:t>559 (WRC-19)</w:t>
      </w:r>
    </w:p>
    <w:p w14:paraId="24C0E2C0" w14:textId="77777777" w:rsidR="0049723A" w:rsidRPr="00B64995" w:rsidRDefault="00CD3E30" w:rsidP="00CD3E30">
      <w:pPr>
        <w:jc w:val="both"/>
        <w:rPr>
          <w:sz w:val="20"/>
          <w:szCs w:val="20"/>
        </w:rPr>
      </w:pPr>
      <w:r w:rsidRPr="00B64995">
        <w:rPr>
          <w:sz w:val="20"/>
          <w:szCs w:val="20"/>
        </w:rPr>
        <w:t xml:space="preserve">** Following the receipt of several submissions under Article 7 of Appendix </w:t>
      </w:r>
      <w:r w:rsidRPr="00B64995">
        <w:rPr>
          <w:b/>
          <w:bCs/>
          <w:sz w:val="20"/>
          <w:szCs w:val="20"/>
        </w:rPr>
        <w:t>30B</w:t>
      </w:r>
      <w:r w:rsidRPr="00B64995">
        <w:rPr>
          <w:sz w:val="20"/>
          <w:szCs w:val="20"/>
        </w:rPr>
        <w:t xml:space="preserve">, the processing of other submissions has been postponed in application of </w:t>
      </w:r>
      <w:r w:rsidRPr="00B64995">
        <w:rPr>
          <w:rFonts w:ascii="Times New Roman" w:hAnsi="Times New Roman" w:cs="Times New Roman"/>
          <w:sz w:val="20"/>
          <w:szCs w:val="20"/>
        </w:rPr>
        <w:t>§</w:t>
      </w:r>
      <w:r w:rsidRPr="00B64995">
        <w:rPr>
          <w:sz w:val="20"/>
          <w:szCs w:val="20"/>
        </w:rPr>
        <w:t xml:space="preserve"> 7.3 of this Article.</w:t>
      </w:r>
    </w:p>
    <w:p w14:paraId="6144B6CF" w14:textId="77777777" w:rsidR="005B4F66" w:rsidRPr="00B64995" w:rsidRDefault="005B4F66" w:rsidP="005B4F66">
      <w:pPr>
        <w:jc w:val="both"/>
        <w:rPr>
          <w:b/>
          <w:bCs/>
        </w:rPr>
      </w:pPr>
    </w:p>
    <w:p w14:paraId="7CB7209F" w14:textId="6E78D464" w:rsidR="00CB6EE2" w:rsidRPr="00B64995" w:rsidRDefault="00CB6EE2" w:rsidP="00007BBE">
      <w:pPr>
        <w:pStyle w:val="tabletitle"/>
      </w:pPr>
      <w:r w:rsidRPr="00B64995">
        <w:t>Results of the processing of terrestrial notices and other related activities in 20</w:t>
      </w:r>
      <w:r w:rsidR="00FC17C7" w:rsidRPr="00B64995">
        <w:t>20</w:t>
      </w:r>
    </w:p>
    <w:p w14:paraId="1D5E1069" w14:textId="77777777" w:rsidR="000E191A" w:rsidRPr="00B64995" w:rsidRDefault="000E191A" w:rsidP="00DA7D9A"/>
    <w:tbl>
      <w:tblPr>
        <w:tblW w:w="0" w:type="auto"/>
        <w:tblLayout w:type="fixed"/>
        <w:tblLook w:val="04A0" w:firstRow="1" w:lastRow="0" w:firstColumn="1" w:lastColumn="0" w:noHBand="0" w:noVBand="1"/>
      </w:tblPr>
      <w:tblGrid>
        <w:gridCol w:w="3225"/>
        <w:gridCol w:w="990"/>
        <w:gridCol w:w="1110"/>
        <w:gridCol w:w="1050"/>
        <w:gridCol w:w="990"/>
        <w:gridCol w:w="1635"/>
      </w:tblGrid>
      <w:tr w:rsidR="000E191A" w:rsidRPr="00B64995" w14:paraId="76A6D713" w14:textId="77777777" w:rsidTr="006A3906">
        <w:tc>
          <w:tcPr>
            <w:tcW w:w="3225" w:type="dxa"/>
            <w:tcBorders>
              <w:top w:val="single" w:sz="8" w:space="0" w:color="4472C4" w:themeColor="accent1"/>
              <w:left w:val="single" w:sz="8" w:space="0" w:color="4472C4" w:themeColor="accent1"/>
              <w:bottom w:val="nil"/>
              <w:right w:val="nil"/>
            </w:tcBorders>
            <w:shd w:val="clear" w:color="auto" w:fill="4472C4" w:themeFill="accent1"/>
          </w:tcPr>
          <w:p w14:paraId="3CA85F2A" w14:textId="77777777" w:rsidR="000E191A" w:rsidRPr="00B64995" w:rsidRDefault="000E191A" w:rsidP="006A3906">
            <w:pPr>
              <w:rPr>
                <w:rFonts w:eastAsia="Calibri"/>
                <w:b/>
                <w:bCs/>
                <w:color w:val="FFFFFF" w:themeColor="background1"/>
              </w:rPr>
            </w:pPr>
          </w:p>
        </w:tc>
        <w:tc>
          <w:tcPr>
            <w:tcW w:w="990" w:type="dxa"/>
            <w:tcBorders>
              <w:top w:val="single" w:sz="8" w:space="0" w:color="4472C4" w:themeColor="accent1"/>
              <w:left w:val="nil"/>
              <w:bottom w:val="nil"/>
              <w:right w:val="nil"/>
            </w:tcBorders>
            <w:shd w:val="clear" w:color="auto" w:fill="4472C4" w:themeFill="accent1"/>
          </w:tcPr>
          <w:p w14:paraId="2257B1FD" w14:textId="77777777" w:rsidR="000E191A" w:rsidRPr="00B64995" w:rsidRDefault="000E191A" w:rsidP="006A3906">
            <w:pPr>
              <w:jc w:val="both"/>
              <w:rPr>
                <w:rFonts w:eastAsia="Calibri"/>
                <w:color w:val="000000" w:themeColor="text1"/>
              </w:rPr>
            </w:pPr>
            <w:r w:rsidRPr="00B64995">
              <w:rPr>
                <w:rFonts w:eastAsia="Calibri"/>
                <w:b/>
                <w:bCs/>
                <w:color w:val="FFFFFF" w:themeColor="background1"/>
              </w:rPr>
              <w:t>2017</w:t>
            </w:r>
            <w:r w:rsidRPr="00B64995">
              <w:rPr>
                <w:rFonts w:eastAsia="Calibri"/>
                <w:color w:val="000000" w:themeColor="text1"/>
              </w:rPr>
              <w:t xml:space="preserve"> </w:t>
            </w:r>
          </w:p>
        </w:tc>
        <w:tc>
          <w:tcPr>
            <w:tcW w:w="1110" w:type="dxa"/>
            <w:tcBorders>
              <w:top w:val="single" w:sz="8" w:space="0" w:color="4472C4" w:themeColor="accent1"/>
              <w:left w:val="nil"/>
              <w:bottom w:val="nil"/>
              <w:right w:val="nil"/>
            </w:tcBorders>
            <w:shd w:val="clear" w:color="auto" w:fill="4472C4" w:themeFill="accent1"/>
          </w:tcPr>
          <w:p w14:paraId="195407AF" w14:textId="77777777" w:rsidR="000E191A" w:rsidRPr="00B64995" w:rsidRDefault="000E191A" w:rsidP="006A3906">
            <w:pPr>
              <w:jc w:val="both"/>
              <w:rPr>
                <w:rFonts w:eastAsia="Calibri"/>
                <w:b/>
                <w:bCs/>
                <w:color w:val="FFFFFF" w:themeColor="background1"/>
              </w:rPr>
            </w:pPr>
            <w:r w:rsidRPr="00B64995">
              <w:rPr>
                <w:rFonts w:eastAsia="Calibri"/>
                <w:b/>
                <w:bCs/>
                <w:color w:val="FFFFFF" w:themeColor="background1"/>
              </w:rPr>
              <w:t xml:space="preserve">2018 </w:t>
            </w:r>
          </w:p>
        </w:tc>
        <w:tc>
          <w:tcPr>
            <w:tcW w:w="1050" w:type="dxa"/>
            <w:tcBorders>
              <w:top w:val="single" w:sz="8" w:space="0" w:color="4472C4" w:themeColor="accent1"/>
              <w:left w:val="nil"/>
              <w:bottom w:val="nil"/>
              <w:right w:val="nil"/>
            </w:tcBorders>
            <w:shd w:val="clear" w:color="auto" w:fill="4472C4" w:themeFill="accent1"/>
          </w:tcPr>
          <w:p w14:paraId="47B79712" w14:textId="77777777" w:rsidR="000E191A" w:rsidRPr="00B64995" w:rsidRDefault="000E191A" w:rsidP="006A3906">
            <w:pPr>
              <w:jc w:val="both"/>
              <w:rPr>
                <w:rFonts w:eastAsia="Calibri"/>
                <w:b/>
                <w:bCs/>
                <w:color w:val="FFFFFF" w:themeColor="background1"/>
              </w:rPr>
            </w:pPr>
            <w:r w:rsidRPr="00B64995">
              <w:rPr>
                <w:rFonts w:eastAsia="Calibri"/>
                <w:b/>
                <w:bCs/>
                <w:color w:val="FFFFFF" w:themeColor="background1"/>
              </w:rPr>
              <w:t xml:space="preserve">2019 </w:t>
            </w:r>
          </w:p>
        </w:tc>
        <w:tc>
          <w:tcPr>
            <w:tcW w:w="990" w:type="dxa"/>
            <w:tcBorders>
              <w:top w:val="single" w:sz="8" w:space="0" w:color="4472C4" w:themeColor="accent1"/>
              <w:left w:val="nil"/>
              <w:bottom w:val="nil"/>
              <w:right w:val="nil"/>
            </w:tcBorders>
            <w:shd w:val="clear" w:color="auto" w:fill="4472C4" w:themeFill="accent1"/>
          </w:tcPr>
          <w:p w14:paraId="692B66DA" w14:textId="77777777" w:rsidR="000E191A" w:rsidRPr="00B64995" w:rsidRDefault="000E191A" w:rsidP="006A3906">
            <w:pPr>
              <w:jc w:val="both"/>
              <w:rPr>
                <w:rFonts w:eastAsia="Calibri"/>
                <w:b/>
                <w:bCs/>
                <w:color w:val="FFFFFF" w:themeColor="background1"/>
              </w:rPr>
            </w:pPr>
            <w:r w:rsidRPr="00B64995">
              <w:rPr>
                <w:rFonts w:eastAsia="Calibri"/>
                <w:b/>
                <w:bCs/>
                <w:color w:val="FFFFFF" w:themeColor="background1"/>
              </w:rPr>
              <w:t>2020</w:t>
            </w:r>
          </w:p>
        </w:tc>
        <w:tc>
          <w:tcPr>
            <w:tcW w:w="1635" w:type="dxa"/>
            <w:tcBorders>
              <w:top w:val="single" w:sz="8" w:space="0" w:color="4472C4" w:themeColor="accent1"/>
              <w:left w:val="nil"/>
              <w:bottom w:val="nil"/>
              <w:right w:val="single" w:sz="8" w:space="0" w:color="4472C4" w:themeColor="accent1"/>
            </w:tcBorders>
            <w:shd w:val="clear" w:color="auto" w:fill="4472C4" w:themeFill="accent1"/>
          </w:tcPr>
          <w:p w14:paraId="083256C3" w14:textId="77777777" w:rsidR="0049723A" w:rsidRPr="00B64995" w:rsidRDefault="000E191A" w:rsidP="006A3906">
            <w:pPr>
              <w:jc w:val="both"/>
              <w:rPr>
                <w:rFonts w:eastAsia="Calibri"/>
                <w:b/>
                <w:bCs/>
                <w:color w:val="FFFFFF" w:themeColor="background1"/>
              </w:rPr>
            </w:pPr>
            <w:r w:rsidRPr="00B64995">
              <w:rPr>
                <w:rFonts w:eastAsia="Calibri"/>
                <w:b/>
                <w:bCs/>
                <w:color w:val="FFFFFF" w:themeColor="background1"/>
              </w:rPr>
              <w:t>Total</w:t>
            </w:r>
          </w:p>
          <w:p w14:paraId="76AD6FCC" w14:textId="6C4402F5" w:rsidR="000E191A" w:rsidRPr="00B64995" w:rsidRDefault="000E191A" w:rsidP="006A3906">
            <w:pPr>
              <w:jc w:val="both"/>
              <w:rPr>
                <w:rFonts w:eastAsia="Calibri"/>
                <w:b/>
                <w:bCs/>
                <w:color w:val="FFFFFF" w:themeColor="background1"/>
              </w:rPr>
            </w:pPr>
            <w:r w:rsidRPr="00B64995">
              <w:rPr>
                <w:rFonts w:eastAsia="Calibri"/>
                <w:b/>
                <w:bCs/>
                <w:color w:val="FFFFFF" w:themeColor="background1"/>
              </w:rPr>
              <w:t xml:space="preserve">2017 – 2020 </w:t>
            </w:r>
          </w:p>
        </w:tc>
      </w:tr>
      <w:tr w:rsidR="000E191A" w:rsidRPr="00B64995" w14:paraId="22E10FE2" w14:textId="77777777" w:rsidTr="006A3906">
        <w:tc>
          <w:tcPr>
            <w:tcW w:w="3225" w:type="dxa"/>
            <w:tcBorders>
              <w:top w:val="single" w:sz="8" w:space="0" w:color="4472C4" w:themeColor="accent1"/>
              <w:left w:val="single" w:sz="8" w:space="0" w:color="4472C4" w:themeColor="accent1"/>
              <w:bottom w:val="single" w:sz="8" w:space="0" w:color="4472C4" w:themeColor="accent1"/>
              <w:right w:val="nil"/>
            </w:tcBorders>
            <w:shd w:val="clear" w:color="auto" w:fill="B6C8E8"/>
          </w:tcPr>
          <w:p w14:paraId="7995D861" w14:textId="77777777" w:rsidR="000E191A" w:rsidRPr="00B64995" w:rsidRDefault="000E191A" w:rsidP="006A3906">
            <w:r w:rsidRPr="00B64995">
              <w:rPr>
                <w:rFonts w:eastAsia="Calibri"/>
                <w:color w:val="000000" w:themeColor="text1"/>
              </w:rPr>
              <w:t>Notices recorded in the MIFR/Plans</w:t>
            </w:r>
            <w:r w:rsidRPr="00B64995">
              <w:rPr>
                <w:rFonts w:eastAsia="Calibri"/>
                <w:b/>
                <w:bCs/>
                <w:color w:val="000000" w:themeColor="text1"/>
              </w:rPr>
              <w:t xml:space="preserve"> </w:t>
            </w:r>
          </w:p>
        </w:tc>
        <w:tc>
          <w:tcPr>
            <w:tcW w:w="990" w:type="dxa"/>
            <w:tcBorders>
              <w:top w:val="single" w:sz="8" w:space="0" w:color="4472C4" w:themeColor="accent1"/>
              <w:left w:val="nil"/>
              <w:bottom w:val="single" w:sz="8" w:space="0" w:color="4472C4" w:themeColor="accent1"/>
              <w:right w:val="nil"/>
            </w:tcBorders>
            <w:shd w:val="clear" w:color="auto" w:fill="B6C8E8"/>
          </w:tcPr>
          <w:p w14:paraId="049AF169" w14:textId="1B4F9618" w:rsidR="000E191A" w:rsidRPr="00B64995" w:rsidRDefault="000E191A" w:rsidP="006A3906">
            <w:pPr>
              <w:jc w:val="both"/>
              <w:rPr>
                <w:rFonts w:eastAsia="Calibri"/>
                <w:color w:val="000000" w:themeColor="text1"/>
              </w:rPr>
            </w:pPr>
            <w:r w:rsidRPr="00B64995">
              <w:rPr>
                <w:rFonts w:eastAsia="Calibri"/>
                <w:color w:val="000000" w:themeColor="text1"/>
              </w:rPr>
              <w:t>100</w:t>
            </w:r>
            <w:r w:rsidR="00A060FE">
              <w:rPr>
                <w:rFonts w:eastAsia="Calibri"/>
                <w:color w:val="000000" w:themeColor="text1"/>
              </w:rPr>
              <w:t> </w:t>
            </w:r>
            <w:r w:rsidRPr="00B64995">
              <w:rPr>
                <w:rFonts w:eastAsia="Calibri"/>
                <w:color w:val="000000" w:themeColor="text1"/>
              </w:rPr>
              <w:t>971/ 3</w:t>
            </w:r>
            <w:r w:rsidR="00A060FE">
              <w:rPr>
                <w:rFonts w:eastAsia="Calibri"/>
                <w:color w:val="000000" w:themeColor="text1"/>
              </w:rPr>
              <w:t> </w:t>
            </w:r>
            <w:r w:rsidRPr="00B64995">
              <w:rPr>
                <w:rFonts w:eastAsia="Calibri"/>
                <w:color w:val="000000" w:themeColor="text1"/>
              </w:rPr>
              <w:t xml:space="preserve">378 </w:t>
            </w:r>
          </w:p>
        </w:tc>
        <w:tc>
          <w:tcPr>
            <w:tcW w:w="1110" w:type="dxa"/>
            <w:tcBorders>
              <w:top w:val="single" w:sz="8" w:space="0" w:color="4472C4" w:themeColor="accent1"/>
              <w:left w:val="nil"/>
              <w:bottom w:val="single" w:sz="8" w:space="0" w:color="4472C4" w:themeColor="accent1"/>
              <w:right w:val="nil"/>
            </w:tcBorders>
            <w:shd w:val="clear" w:color="auto" w:fill="B6C8E8"/>
          </w:tcPr>
          <w:p w14:paraId="472BF979" w14:textId="79D302B4" w:rsidR="000E191A" w:rsidRPr="00B64995" w:rsidRDefault="000E191A" w:rsidP="006A3906">
            <w:pPr>
              <w:jc w:val="both"/>
              <w:rPr>
                <w:rFonts w:eastAsia="Calibri"/>
                <w:color w:val="000000" w:themeColor="text1"/>
              </w:rPr>
            </w:pPr>
            <w:r w:rsidRPr="00B64995">
              <w:rPr>
                <w:rFonts w:eastAsia="Calibri"/>
                <w:color w:val="000000" w:themeColor="text1"/>
              </w:rPr>
              <w:t>79</w:t>
            </w:r>
            <w:r w:rsidR="00A060FE">
              <w:rPr>
                <w:rFonts w:eastAsia="Calibri"/>
                <w:color w:val="000000" w:themeColor="text1"/>
              </w:rPr>
              <w:t> </w:t>
            </w:r>
            <w:r w:rsidRPr="00B64995">
              <w:rPr>
                <w:rFonts w:eastAsia="Calibri"/>
                <w:color w:val="000000" w:themeColor="text1"/>
              </w:rPr>
              <w:t>134/ 2</w:t>
            </w:r>
            <w:r w:rsidR="00A060FE">
              <w:rPr>
                <w:rFonts w:eastAsia="Calibri"/>
                <w:color w:val="000000" w:themeColor="text1"/>
              </w:rPr>
              <w:t> </w:t>
            </w:r>
            <w:r w:rsidRPr="00B64995">
              <w:rPr>
                <w:rFonts w:eastAsia="Calibri"/>
                <w:color w:val="000000" w:themeColor="text1"/>
              </w:rPr>
              <w:t xml:space="preserve">798 </w:t>
            </w:r>
          </w:p>
        </w:tc>
        <w:tc>
          <w:tcPr>
            <w:tcW w:w="1050" w:type="dxa"/>
            <w:tcBorders>
              <w:top w:val="single" w:sz="8" w:space="0" w:color="4472C4" w:themeColor="accent1"/>
              <w:left w:val="nil"/>
              <w:bottom w:val="single" w:sz="8" w:space="0" w:color="4472C4" w:themeColor="accent1"/>
              <w:right w:val="nil"/>
            </w:tcBorders>
            <w:shd w:val="clear" w:color="auto" w:fill="B6C8E8"/>
          </w:tcPr>
          <w:p w14:paraId="7D0E76DD" w14:textId="516FE673" w:rsidR="000E191A" w:rsidRPr="00B64995" w:rsidRDefault="000E191A" w:rsidP="006A3906">
            <w:pPr>
              <w:jc w:val="both"/>
              <w:rPr>
                <w:rFonts w:eastAsia="Calibri"/>
                <w:color w:val="000000" w:themeColor="text1"/>
              </w:rPr>
            </w:pPr>
            <w:r w:rsidRPr="00B64995">
              <w:rPr>
                <w:rFonts w:eastAsia="Calibri"/>
                <w:color w:val="000000" w:themeColor="text1"/>
              </w:rPr>
              <w:t>81</w:t>
            </w:r>
            <w:r w:rsidR="00A060FE">
              <w:rPr>
                <w:rFonts w:eastAsia="Calibri"/>
                <w:color w:val="000000" w:themeColor="text1"/>
              </w:rPr>
              <w:t> </w:t>
            </w:r>
            <w:r w:rsidRPr="00B64995">
              <w:rPr>
                <w:rFonts w:eastAsia="Calibri"/>
                <w:color w:val="000000" w:themeColor="text1"/>
              </w:rPr>
              <w:t>602/ 3</w:t>
            </w:r>
            <w:r w:rsidR="00A060FE">
              <w:rPr>
                <w:rFonts w:eastAsia="Calibri"/>
                <w:color w:val="000000" w:themeColor="text1"/>
              </w:rPr>
              <w:t> </w:t>
            </w:r>
            <w:r w:rsidRPr="00B64995">
              <w:rPr>
                <w:rFonts w:eastAsia="Calibri"/>
                <w:color w:val="000000" w:themeColor="text1"/>
              </w:rPr>
              <w:t xml:space="preserve">690 </w:t>
            </w:r>
          </w:p>
        </w:tc>
        <w:tc>
          <w:tcPr>
            <w:tcW w:w="990" w:type="dxa"/>
            <w:tcBorders>
              <w:top w:val="single" w:sz="8" w:space="0" w:color="4472C4" w:themeColor="accent1"/>
              <w:left w:val="nil"/>
              <w:bottom w:val="single" w:sz="8" w:space="0" w:color="4472C4" w:themeColor="accent1"/>
              <w:right w:val="nil"/>
            </w:tcBorders>
            <w:shd w:val="clear" w:color="auto" w:fill="B6C8E8"/>
          </w:tcPr>
          <w:p w14:paraId="2EF2E94F" w14:textId="4CE8AD6E" w:rsidR="000E191A" w:rsidRPr="00B64995" w:rsidRDefault="000E191A" w:rsidP="006A3906">
            <w:pPr>
              <w:jc w:val="both"/>
              <w:rPr>
                <w:rFonts w:eastAsia="Calibri"/>
              </w:rPr>
            </w:pPr>
            <w:r w:rsidRPr="00B64995">
              <w:rPr>
                <w:rFonts w:eastAsia="Calibri"/>
              </w:rPr>
              <w:t>252</w:t>
            </w:r>
            <w:r w:rsidR="00A060FE">
              <w:rPr>
                <w:rFonts w:eastAsia="Calibri"/>
              </w:rPr>
              <w:t> </w:t>
            </w:r>
            <w:r w:rsidRPr="00B64995">
              <w:rPr>
                <w:rFonts w:eastAsia="Calibri"/>
              </w:rPr>
              <w:t>555/5</w:t>
            </w:r>
            <w:r w:rsidR="00A060FE">
              <w:rPr>
                <w:rFonts w:eastAsia="Calibri"/>
              </w:rPr>
              <w:t> </w:t>
            </w:r>
            <w:r w:rsidRPr="00B64995">
              <w:rPr>
                <w:rFonts w:eastAsia="Calibri"/>
              </w:rPr>
              <w:t xml:space="preserve">355 </w:t>
            </w:r>
          </w:p>
        </w:tc>
        <w:tc>
          <w:tcPr>
            <w:tcW w:w="1635" w:type="dxa"/>
            <w:tcBorders>
              <w:top w:val="single" w:sz="8" w:space="0" w:color="4472C4" w:themeColor="accent1"/>
              <w:left w:val="nil"/>
              <w:bottom w:val="single" w:sz="8" w:space="0" w:color="4472C4" w:themeColor="accent1"/>
              <w:right w:val="single" w:sz="8" w:space="0" w:color="4472C4" w:themeColor="accent1"/>
            </w:tcBorders>
            <w:shd w:val="clear" w:color="auto" w:fill="B6C8E8"/>
          </w:tcPr>
          <w:p w14:paraId="37ED3A44" w14:textId="15524522" w:rsidR="000E191A" w:rsidRPr="00B64995" w:rsidRDefault="000E191A" w:rsidP="006A3906">
            <w:pPr>
              <w:jc w:val="both"/>
              <w:rPr>
                <w:rFonts w:eastAsia="Calibri"/>
                <w:color w:val="000000" w:themeColor="text1"/>
              </w:rPr>
            </w:pPr>
            <w:r w:rsidRPr="00B64995">
              <w:rPr>
                <w:rFonts w:eastAsia="Calibri"/>
                <w:color w:val="000000" w:themeColor="text1"/>
              </w:rPr>
              <w:t>514</w:t>
            </w:r>
            <w:r w:rsidR="00A060FE">
              <w:rPr>
                <w:rFonts w:eastAsia="Calibri"/>
                <w:color w:val="000000" w:themeColor="text1"/>
              </w:rPr>
              <w:t> </w:t>
            </w:r>
            <w:r w:rsidRPr="00B64995">
              <w:rPr>
                <w:rFonts w:eastAsia="Calibri"/>
                <w:color w:val="000000" w:themeColor="text1"/>
              </w:rPr>
              <w:t>262</w:t>
            </w:r>
            <w:proofErr w:type="gramStart"/>
            <w:r w:rsidRPr="00B64995">
              <w:rPr>
                <w:rFonts w:eastAsia="Calibri"/>
                <w:color w:val="000000" w:themeColor="text1"/>
              </w:rPr>
              <w:t>/  15</w:t>
            </w:r>
            <w:proofErr w:type="gramEnd"/>
            <w:r w:rsidR="00A060FE">
              <w:rPr>
                <w:rFonts w:eastAsia="Calibri"/>
                <w:color w:val="000000" w:themeColor="text1"/>
              </w:rPr>
              <w:t> </w:t>
            </w:r>
            <w:r w:rsidRPr="00B64995">
              <w:rPr>
                <w:rFonts w:eastAsia="Calibri"/>
                <w:color w:val="000000" w:themeColor="text1"/>
              </w:rPr>
              <w:t>221</w:t>
            </w:r>
          </w:p>
        </w:tc>
      </w:tr>
      <w:tr w:rsidR="000E191A" w:rsidRPr="00B64995" w14:paraId="295D41CE" w14:textId="77777777" w:rsidTr="006A3906">
        <w:tc>
          <w:tcPr>
            <w:tcW w:w="3225" w:type="dxa"/>
            <w:tcBorders>
              <w:top w:val="single" w:sz="8" w:space="0" w:color="4472C4" w:themeColor="accent1"/>
              <w:left w:val="single" w:sz="8" w:space="0" w:color="4472C4" w:themeColor="accent1"/>
              <w:bottom w:val="nil"/>
              <w:right w:val="nil"/>
            </w:tcBorders>
            <w:shd w:val="clear" w:color="auto" w:fill="FFFFFF" w:themeFill="background1"/>
          </w:tcPr>
          <w:p w14:paraId="2F2B0806" w14:textId="77777777" w:rsidR="000E191A" w:rsidRPr="00B64995" w:rsidRDefault="000E191A" w:rsidP="006A3906">
            <w:r w:rsidRPr="00B64995">
              <w:rPr>
                <w:rFonts w:eastAsia="Calibri"/>
                <w:color w:val="000000" w:themeColor="text1"/>
              </w:rPr>
              <w:t>Review of findings for terrestrial stations recorded in the MIFR</w:t>
            </w:r>
            <w:r w:rsidRPr="00B64995">
              <w:rPr>
                <w:rFonts w:eastAsia="Calibri"/>
                <w:b/>
                <w:bCs/>
                <w:color w:val="000000" w:themeColor="text1"/>
              </w:rPr>
              <w:t xml:space="preserve"> </w:t>
            </w:r>
          </w:p>
        </w:tc>
        <w:tc>
          <w:tcPr>
            <w:tcW w:w="990" w:type="dxa"/>
            <w:tcBorders>
              <w:top w:val="single" w:sz="8" w:space="0" w:color="4472C4" w:themeColor="accent1"/>
              <w:left w:val="nil"/>
              <w:bottom w:val="nil"/>
              <w:right w:val="nil"/>
            </w:tcBorders>
          </w:tcPr>
          <w:p w14:paraId="20DFAD7E" w14:textId="1032D99C" w:rsidR="000E191A" w:rsidRPr="00B64995" w:rsidRDefault="000E191A" w:rsidP="006A3906">
            <w:pPr>
              <w:jc w:val="both"/>
              <w:rPr>
                <w:rFonts w:eastAsia="Calibri"/>
              </w:rPr>
            </w:pPr>
            <w:r w:rsidRPr="00B64995">
              <w:rPr>
                <w:rFonts w:eastAsia="Calibri"/>
              </w:rPr>
              <w:t>2</w:t>
            </w:r>
            <w:r w:rsidR="00A060FE">
              <w:rPr>
                <w:rFonts w:eastAsia="Calibri"/>
              </w:rPr>
              <w:t> </w:t>
            </w:r>
            <w:r w:rsidRPr="00B64995">
              <w:rPr>
                <w:rFonts w:eastAsia="Calibri"/>
              </w:rPr>
              <w:t xml:space="preserve">578 </w:t>
            </w:r>
          </w:p>
        </w:tc>
        <w:tc>
          <w:tcPr>
            <w:tcW w:w="1110" w:type="dxa"/>
            <w:tcBorders>
              <w:top w:val="single" w:sz="8" w:space="0" w:color="4472C4" w:themeColor="accent1"/>
              <w:left w:val="nil"/>
              <w:bottom w:val="nil"/>
              <w:right w:val="nil"/>
            </w:tcBorders>
          </w:tcPr>
          <w:p w14:paraId="400F700C" w14:textId="77777777" w:rsidR="000E191A" w:rsidRPr="00B64995" w:rsidRDefault="000E191A" w:rsidP="006A3906">
            <w:pPr>
              <w:jc w:val="both"/>
              <w:rPr>
                <w:rFonts w:eastAsia="Calibri"/>
              </w:rPr>
            </w:pPr>
            <w:r w:rsidRPr="00B64995">
              <w:rPr>
                <w:rFonts w:eastAsia="Calibri"/>
              </w:rPr>
              <w:t xml:space="preserve">244 </w:t>
            </w:r>
          </w:p>
        </w:tc>
        <w:tc>
          <w:tcPr>
            <w:tcW w:w="1050" w:type="dxa"/>
            <w:tcBorders>
              <w:top w:val="single" w:sz="8" w:space="0" w:color="4472C4" w:themeColor="accent1"/>
              <w:left w:val="nil"/>
              <w:bottom w:val="nil"/>
              <w:right w:val="nil"/>
            </w:tcBorders>
          </w:tcPr>
          <w:p w14:paraId="2B4A5BD2" w14:textId="77777777" w:rsidR="000E191A" w:rsidRPr="00B64995" w:rsidRDefault="000E191A" w:rsidP="006A3906">
            <w:pPr>
              <w:jc w:val="both"/>
              <w:rPr>
                <w:rFonts w:eastAsia="Calibri"/>
              </w:rPr>
            </w:pPr>
            <w:r w:rsidRPr="00B64995">
              <w:rPr>
                <w:rFonts w:eastAsia="Calibri"/>
              </w:rPr>
              <w:t xml:space="preserve">164 </w:t>
            </w:r>
          </w:p>
        </w:tc>
        <w:tc>
          <w:tcPr>
            <w:tcW w:w="990" w:type="dxa"/>
            <w:tcBorders>
              <w:top w:val="single" w:sz="8" w:space="0" w:color="4472C4" w:themeColor="accent1"/>
              <w:left w:val="nil"/>
              <w:bottom w:val="nil"/>
              <w:right w:val="nil"/>
            </w:tcBorders>
          </w:tcPr>
          <w:p w14:paraId="5EB14A80" w14:textId="09D2E841" w:rsidR="000E191A" w:rsidRPr="00B64995" w:rsidRDefault="000E191A" w:rsidP="006A3906">
            <w:pPr>
              <w:jc w:val="both"/>
              <w:rPr>
                <w:rFonts w:eastAsia="Calibri"/>
              </w:rPr>
            </w:pPr>
            <w:r w:rsidRPr="00B64995">
              <w:rPr>
                <w:rFonts w:eastAsia="Calibri"/>
              </w:rPr>
              <w:t>5</w:t>
            </w:r>
            <w:r w:rsidR="00A060FE">
              <w:rPr>
                <w:rFonts w:eastAsia="Calibri"/>
              </w:rPr>
              <w:t> </w:t>
            </w:r>
            <w:r w:rsidRPr="00B64995">
              <w:rPr>
                <w:rFonts w:eastAsia="Calibri"/>
              </w:rPr>
              <w:t>221</w:t>
            </w:r>
          </w:p>
        </w:tc>
        <w:tc>
          <w:tcPr>
            <w:tcW w:w="1635" w:type="dxa"/>
            <w:tcBorders>
              <w:top w:val="single" w:sz="8" w:space="0" w:color="4472C4" w:themeColor="accent1"/>
              <w:left w:val="nil"/>
              <w:bottom w:val="nil"/>
              <w:right w:val="single" w:sz="8" w:space="0" w:color="4472C4" w:themeColor="accent1"/>
            </w:tcBorders>
          </w:tcPr>
          <w:p w14:paraId="5283E7B7" w14:textId="391D3BAC" w:rsidR="000E191A" w:rsidRPr="00B64995" w:rsidRDefault="000E191A" w:rsidP="006A3906">
            <w:pPr>
              <w:jc w:val="both"/>
              <w:rPr>
                <w:rFonts w:eastAsia="Calibri"/>
              </w:rPr>
            </w:pPr>
            <w:r w:rsidRPr="00B64995">
              <w:rPr>
                <w:rFonts w:eastAsia="Calibri"/>
              </w:rPr>
              <w:t>8</w:t>
            </w:r>
            <w:r w:rsidR="00A060FE">
              <w:rPr>
                <w:rFonts w:eastAsia="Calibri"/>
              </w:rPr>
              <w:t> </w:t>
            </w:r>
            <w:r w:rsidRPr="00B64995">
              <w:rPr>
                <w:rFonts w:eastAsia="Calibri"/>
              </w:rPr>
              <w:t>207</w:t>
            </w:r>
          </w:p>
        </w:tc>
      </w:tr>
      <w:tr w:rsidR="000E191A" w:rsidRPr="00B64995" w14:paraId="53E6F995" w14:textId="77777777" w:rsidTr="006A3906">
        <w:tc>
          <w:tcPr>
            <w:tcW w:w="3225" w:type="dxa"/>
            <w:tcBorders>
              <w:top w:val="single" w:sz="8" w:space="0" w:color="4472C4" w:themeColor="accent1"/>
              <w:left w:val="single" w:sz="8" w:space="0" w:color="4472C4" w:themeColor="accent1"/>
              <w:bottom w:val="single" w:sz="8" w:space="0" w:color="4472C4" w:themeColor="accent1"/>
              <w:right w:val="nil"/>
            </w:tcBorders>
            <w:shd w:val="clear" w:color="auto" w:fill="B6C8E8"/>
          </w:tcPr>
          <w:p w14:paraId="79B24C02" w14:textId="77777777" w:rsidR="000E191A" w:rsidRPr="00B64995" w:rsidRDefault="000E191A" w:rsidP="006A3906">
            <w:r w:rsidRPr="00B64995">
              <w:rPr>
                <w:rFonts w:eastAsia="Calibri"/>
                <w:color w:val="000000" w:themeColor="text1"/>
              </w:rPr>
              <w:t>Notifications of coast and ship stations for recording in the ITU maritime database</w:t>
            </w:r>
            <w:r w:rsidRPr="00B64995">
              <w:rPr>
                <w:rFonts w:eastAsia="Calibri"/>
                <w:b/>
                <w:bCs/>
                <w:color w:val="000000" w:themeColor="text1"/>
              </w:rPr>
              <w:t xml:space="preserve"> </w:t>
            </w:r>
          </w:p>
        </w:tc>
        <w:tc>
          <w:tcPr>
            <w:tcW w:w="990" w:type="dxa"/>
            <w:tcBorders>
              <w:top w:val="single" w:sz="8" w:space="0" w:color="4472C4" w:themeColor="accent1"/>
              <w:left w:val="nil"/>
              <w:bottom w:val="single" w:sz="8" w:space="0" w:color="4472C4" w:themeColor="accent1"/>
              <w:right w:val="nil"/>
            </w:tcBorders>
            <w:shd w:val="clear" w:color="auto" w:fill="B6C8E8"/>
          </w:tcPr>
          <w:p w14:paraId="481AD034" w14:textId="7B24AA06" w:rsidR="000E191A" w:rsidRPr="00B64995" w:rsidRDefault="000E191A" w:rsidP="006A3906">
            <w:pPr>
              <w:jc w:val="both"/>
              <w:rPr>
                <w:rFonts w:eastAsia="Calibri"/>
                <w:color w:val="000000" w:themeColor="text1"/>
              </w:rPr>
            </w:pPr>
            <w:r w:rsidRPr="00B64995">
              <w:rPr>
                <w:rFonts w:eastAsia="Calibri"/>
                <w:color w:val="000000" w:themeColor="text1"/>
              </w:rPr>
              <w:t>2</w:t>
            </w:r>
            <w:r w:rsidR="00A060FE">
              <w:rPr>
                <w:rFonts w:eastAsia="Calibri"/>
                <w:color w:val="000000" w:themeColor="text1"/>
              </w:rPr>
              <w:t> </w:t>
            </w:r>
            <w:r w:rsidRPr="00B64995">
              <w:rPr>
                <w:rFonts w:eastAsia="Calibri"/>
                <w:color w:val="000000" w:themeColor="text1"/>
              </w:rPr>
              <w:t xml:space="preserve">865 </w:t>
            </w:r>
          </w:p>
        </w:tc>
        <w:tc>
          <w:tcPr>
            <w:tcW w:w="1110" w:type="dxa"/>
            <w:tcBorders>
              <w:top w:val="single" w:sz="8" w:space="0" w:color="4472C4" w:themeColor="accent1"/>
              <w:left w:val="nil"/>
              <w:bottom w:val="single" w:sz="8" w:space="0" w:color="4472C4" w:themeColor="accent1"/>
              <w:right w:val="nil"/>
            </w:tcBorders>
            <w:shd w:val="clear" w:color="auto" w:fill="B6C8E8"/>
          </w:tcPr>
          <w:p w14:paraId="47B22EE3" w14:textId="489BB306" w:rsidR="000E191A" w:rsidRPr="00B64995" w:rsidRDefault="000E191A" w:rsidP="006A3906">
            <w:pPr>
              <w:jc w:val="both"/>
              <w:rPr>
                <w:rFonts w:eastAsia="Calibri"/>
                <w:color w:val="000000" w:themeColor="text1"/>
              </w:rPr>
            </w:pPr>
            <w:r w:rsidRPr="00B64995">
              <w:rPr>
                <w:rFonts w:eastAsia="Calibri"/>
                <w:color w:val="000000" w:themeColor="text1"/>
              </w:rPr>
              <w:t>2</w:t>
            </w:r>
            <w:r w:rsidR="00A060FE">
              <w:rPr>
                <w:rFonts w:eastAsia="Calibri"/>
                <w:color w:val="000000" w:themeColor="text1"/>
              </w:rPr>
              <w:t> </w:t>
            </w:r>
            <w:r w:rsidRPr="00B64995">
              <w:rPr>
                <w:rFonts w:eastAsia="Calibri"/>
                <w:color w:val="000000" w:themeColor="text1"/>
              </w:rPr>
              <w:t xml:space="preserve">367 </w:t>
            </w:r>
          </w:p>
        </w:tc>
        <w:tc>
          <w:tcPr>
            <w:tcW w:w="1050" w:type="dxa"/>
            <w:tcBorders>
              <w:top w:val="single" w:sz="8" w:space="0" w:color="4472C4" w:themeColor="accent1"/>
              <w:left w:val="nil"/>
              <w:bottom w:val="single" w:sz="8" w:space="0" w:color="4472C4" w:themeColor="accent1"/>
              <w:right w:val="nil"/>
            </w:tcBorders>
            <w:shd w:val="clear" w:color="auto" w:fill="B6C8E8"/>
          </w:tcPr>
          <w:p w14:paraId="19BD85B2" w14:textId="182FB6FD" w:rsidR="000E191A" w:rsidRPr="00B64995" w:rsidRDefault="000E191A" w:rsidP="006A3906">
            <w:pPr>
              <w:jc w:val="both"/>
              <w:rPr>
                <w:rFonts w:eastAsia="Calibri"/>
                <w:color w:val="000000" w:themeColor="text1"/>
              </w:rPr>
            </w:pPr>
            <w:r w:rsidRPr="00B64995">
              <w:rPr>
                <w:rFonts w:eastAsia="Calibri"/>
                <w:color w:val="000000" w:themeColor="text1"/>
              </w:rPr>
              <w:t>2</w:t>
            </w:r>
            <w:r w:rsidR="00A060FE">
              <w:rPr>
                <w:rFonts w:eastAsia="Calibri"/>
                <w:color w:val="000000" w:themeColor="text1"/>
              </w:rPr>
              <w:t> </w:t>
            </w:r>
            <w:r w:rsidRPr="00B64995">
              <w:rPr>
                <w:rFonts w:eastAsia="Calibri"/>
                <w:color w:val="000000" w:themeColor="text1"/>
              </w:rPr>
              <w:t xml:space="preserve">414 </w:t>
            </w:r>
          </w:p>
        </w:tc>
        <w:tc>
          <w:tcPr>
            <w:tcW w:w="990" w:type="dxa"/>
            <w:tcBorders>
              <w:top w:val="single" w:sz="8" w:space="0" w:color="4472C4" w:themeColor="accent1"/>
              <w:left w:val="nil"/>
              <w:bottom w:val="single" w:sz="8" w:space="0" w:color="4472C4" w:themeColor="accent1"/>
              <w:right w:val="nil"/>
            </w:tcBorders>
            <w:shd w:val="clear" w:color="auto" w:fill="B6C8E8"/>
          </w:tcPr>
          <w:p w14:paraId="16BEBF3B" w14:textId="4EB57803" w:rsidR="000E191A" w:rsidRPr="00B64995" w:rsidRDefault="000E191A" w:rsidP="006A3906">
            <w:pPr>
              <w:jc w:val="both"/>
              <w:rPr>
                <w:rFonts w:eastAsia="Calibri"/>
                <w:color w:val="000000" w:themeColor="text1"/>
              </w:rPr>
            </w:pPr>
            <w:r w:rsidRPr="00B64995">
              <w:rPr>
                <w:rFonts w:eastAsia="Calibri"/>
                <w:color w:val="000000" w:themeColor="text1"/>
              </w:rPr>
              <w:t>1</w:t>
            </w:r>
            <w:r w:rsidR="00A060FE">
              <w:rPr>
                <w:rFonts w:eastAsia="Calibri"/>
                <w:color w:val="000000" w:themeColor="text1"/>
              </w:rPr>
              <w:t> </w:t>
            </w:r>
            <w:r w:rsidRPr="00B64995">
              <w:rPr>
                <w:rFonts w:eastAsia="Calibri"/>
                <w:color w:val="000000" w:themeColor="text1"/>
              </w:rPr>
              <w:t>982</w:t>
            </w:r>
          </w:p>
        </w:tc>
        <w:tc>
          <w:tcPr>
            <w:tcW w:w="1635" w:type="dxa"/>
            <w:tcBorders>
              <w:top w:val="single" w:sz="8" w:space="0" w:color="4472C4" w:themeColor="accent1"/>
              <w:left w:val="nil"/>
              <w:bottom w:val="single" w:sz="8" w:space="0" w:color="4472C4" w:themeColor="accent1"/>
              <w:right w:val="single" w:sz="8" w:space="0" w:color="4472C4" w:themeColor="accent1"/>
            </w:tcBorders>
            <w:shd w:val="clear" w:color="auto" w:fill="B6C8E8"/>
          </w:tcPr>
          <w:p w14:paraId="2EBAEB70" w14:textId="386A08B3" w:rsidR="000E191A" w:rsidRPr="00B64995" w:rsidRDefault="000E191A" w:rsidP="006A3906">
            <w:pPr>
              <w:jc w:val="both"/>
              <w:rPr>
                <w:rFonts w:eastAsia="Calibri"/>
                <w:color w:val="000000" w:themeColor="text1"/>
              </w:rPr>
            </w:pPr>
            <w:r w:rsidRPr="00B64995">
              <w:rPr>
                <w:rFonts w:eastAsia="Calibri"/>
                <w:color w:val="000000" w:themeColor="text1"/>
              </w:rPr>
              <w:t>9</w:t>
            </w:r>
            <w:r w:rsidR="00A060FE">
              <w:rPr>
                <w:rFonts w:eastAsia="Calibri"/>
                <w:color w:val="000000" w:themeColor="text1"/>
              </w:rPr>
              <w:t> </w:t>
            </w:r>
            <w:r w:rsidRPr="00B64995">
              <w:rPr>
                <w:rFonts w:eastAsia="Calibri"/>
                <w:color w:val="000000" w:themeColor="text1"/>
              </w:rPr>
              <w:t>628</w:t>
            </w:r>
          </w:p>
        </w:tc>
      </w:tr>
      <w:tr w:rsidR="000E191A" w:rsidRPr="00B64995" w14:paraId="535E5CA1" w14:textId="77777777" w:rsidTr="006A3906">
        <w:tc>
          <w:tcPr>
            <w:tcW w:w="3225" w:type="dxa"/>
            <w:tcBorders>
              <w:top w:val="single" w:sz="8" w:space="0" w:color="4472C4" w:themeColor="accent1"/>
              <w:left w:val="single" w:sz="8" w:space="0" w:color="4472C4" w:themeColor="accent1"/>
              <w:bottom w:val="nil"/>
              <w:right w:val="nil"/>
            </w:tcBorders>
            <w:shd w:val="clear" w:color="auto" w:fill="FFFFFF" w:themeFill="background1"/>
          </w:tcPr>
          <w:p w14:paraId="5F01B76C" w14:textId="77777777" w:rsidR="000E191A" w:rsidRPr="00B64995" w:rsidRDefault="000E191A" w:rsidP="006A3906">
            <w:r w:rsidRPr="00B64995">
              <w:rPr>
                <w:rFonts w:eastAsia="Calibri"/>
                <w:color w:val="000000" w:themeColor="text1"/>
              </w:rPr>
              <w:t>High-frequency broadcasting requirements</w:t>
            </w:r>
            <w:r w:rsidRPr="00B64995">
              <w:rPr>
                <w:rFonts w:eastAsia="Calibri"/>
                <w:b/>
                <w:bCs/>
                <w:color w:val="000000" w:themeColor="text1"/>
              </w:rPr>
              <w:t xml:space="preserve"> </w:t>
            </w:r>
          </w:p>
        </w:tc>
        <w:tc>
          <w:tcPr>
            <w:tcW w:w="990" w:type="dxa"/>
            <w:tcBorders>
              <w:top w:val="single" w:sz="8" w:space="0" w:color="4472C4" w:themeColor="accent1"/>
              <w:left w:val="nil"/>
              <w:bottom w:val="nil"/>
              <w:right w:val="nil"/>
            </w:tcBorders>
          </w:tcPr>
          <w:p w14:paraId="5FE69275" w14:textId="798BB829" w:rsidR="000E191A" w:rsidRPr="00B64995" w:rsidRDefault="000E191A" w:rsidP="006A3906">
            <w:pPr>
              <w:jc w:val="both"/>
              <w:rPr>
                <w:rFonts w:eastAsia="Calibri"/>
              </w:rPr>
            </w:pPr>
            <w:r w:rsidRPr="00B64995">
              <w:rPr>
                <w:rFonts w:eastAsia="Calibri"/>
              </w:rPr>
              <w:t>32</w:t>
            </w:r>
            <w:r w:rsidR="00A060FE">
              <w:rPr>
                <w:rFonts w:eastAsia="Calibri"/>
              </w:rPr>
              <w:t> </w:t>
            </w:r>
            <w:r w:rsidRPr="00B64995">
              <w:rPr>
                <w:rFonts w:eastAsia="Calibri"/>
              </w:rPr>
              <w:t xml:space="preserve">523 </w:t>
            </w:r>
          </w:p>
        </w:tc>
        <w:tc>
          <w:tcPr>
            <w:tcW w:w="1110" w:type="dxa"/>
            <w:tcBorders>
              <w:top w:val="single" w:sz="8" w:space="0" w:color="4472C4" w:themeColor="accent1"/>
              <w:left w:val="nil"/>
              <w:bottom w:val="nil"/>
              <w:right w:val="nil"/>
            </w:tcBorders>
          </w:tcPr>
          <w:p w14:paraId="2B8D85BF" w14:textId="0024FC34" w:rsidR="000E191A" w:rsidRPr="00B64995" w:rsidRDefault="000E191A" w:rsidP="006A3906">
            <w:pPr>
              <w:jc w:val="both"/>
              <w:rPr>
                <w:rFonts w:eastAsia="Calibri"/>
              </w:rPr>
            </w:pPr>
            <w:r w:rsidRPr="00B64995">
              <w:rPr>
                <w:rFonts w:eastAsia="Calibri"/>
              </w:rPr>
              <w:t>31</w:t>
            </w:r>
            <w:r w:rsidR="00A060FE">
              <w:rPr>
                <w:rFonts w:eastAsia="Calibri"/>
              </w:rPr>
              <w:t> </w:t>
            </w:r>
            <w:r w:rsidRPr="00B64995">
              <w:rPr>
                <w:rFonts w:eastAsia="Calibri"/>
              </w:rPr>
              <w:t xml:space="preserve">215 </w:t>
            </w:r>
          </w:p>
        </w:tc>
        <w:tc>
          <w:tcPr>
            <w:tcW w:w="1050" w:type="dxa"/>
            <w:tcBorders>
              <w:top w:val="single" w:sz="8" w:space="0" w:color="4472C4" w:themeColor="accent1"/>
              <w:left w:val="nil"/>
              <w:bottom w:val="nil"/>
              <w:right w:val="nil"/>
            </w:tcBorders>
          </w:tcPr>
          <w:p w14:paraId="6F50B1CC" w14:textId="25EBFB62" w:rsidR="000E191A" w:rsidRPr="00B64995" w:rsidRDefault="000E191A" w:rsidP="006A3906">
            <w:pPr>
              <w:jc w:val="both"/>
              <w:rPr>
                <w:rFonts w:eastAsia="Calibri"/>
              </w:rPr>
            </w:pPr>
            <w:r w:rsidRPr="00B64995">
              <w:rPr>
                <w:rFonts w:eastAsia="Calibri"/>
              </w:rPr>
              <w:t>34</w:t>
            </w:r>
            <w:r w:rsidR="00A060FE">
              <w:rPr>
                <w:rFonts w:eastAsia="Calibri"/>
              </w:rPr>
              <w:t> </w:t>
            </w:r>
            <w:r w:rsidRPr="00B64995">
              <w:rPr>
                <w:rFonts w:eastAsia="Calibri"/>
              </w:rPr>
              <w:t xml:space="preserve">344 </w:t>
            </w:r>
          </w:p>
        </w:tc>
        <w:tc>
          <w:tcPr>
            <w:tcW w:w="990" w:type="dxa"/>
            <w:tcBorders>
              <w:top w:val="single" w:sz="8" w:space="0" w:color="4472C4" w:themeColor="accent1"/>
              <w:left w:val="nil"/>
              <w:bottom w:val="nil"/>
              <w:right w:val="nil"/>
            </w:tcBorders>
          </w:tcPr>
          <w:p w14:paraId="05C1CEE8" w14:textId="6917A3AF" w:rsidR="000E191A" w:rsidRPr="00B64995" w:rsidRDefault="000E191A" w:rsidP="006A3906">
            <w:pPr>
              <w:jc w:val="both"/>
              <w:rPr>
                <w:rFonts w:eastAsia="Calibri"/>
              </w:rPr>
            </w:pPr>
            <w:r w:rsidRPr="00B64995">
              <w:rPr>
                <w:rFonts w:eastAsia="Calibri"/>
              </w:rPr>
              <w:t xml:space="preserve"> 31</w:t>
            </w:r>
            <w:r w:rsidR="00A060FE">
              <w:rPr>
                <w:rFonts w:eastAsia="Calibri"/>
              </w:rPr>
              <w:t> </w:t>
            </w:r>
            <w:r w:rsidRPr="00B64995">
              <w:rPr>
                <w:rFonts w:eastAsia="Calibri"/>
              </w:rPr>
              <w:t>738</w:t>
            </w:r>
          </w:p>
        </w:tc>
        <w:tc>
          <w:tcPr>
            <w:tcW w:w="1635" w:type="dxa"/>
            <w:tcBorders>
              <w:top w:val="single" w:sz="8" w:space="0" w:color="4472C4" w:themeColor="accent1"/>
              <w:left w:val="nil"/>
              <w:bottom w:val="nil"/>
              <w:right w:val="single" w:sz="8" w:space="0" w:color="4472C4" w:themeColor="accent1"/>
            </w:tcBorders>
          </w:tcPr>
          <w:p w14:paraId="772B4E0E" w14:textId="4AEF6AEF" w:rsidR="000E191A" w:rsidRPr="00B64995" w:rsidRDefault="000E191A" w:rsidP="006A3906">
            <w:pPr>
              <w:jc w:val="both"/>
              <w:rPr>
                <w:rFonts w:eastAsia="Calibri"/>
              </w:rPr>
            </w:pPr>
            <w:r w:rsidRPr="00B64995">
              <w:rPr>
                <w:rFonts w:eastAsia="Calibri"/>
              </w:rPr>
              <w:t>129</w:t>
            </w:r>
            <w:r w:rsidR="00A060FE">
              <w:rPr>
                <w:rFonts w:eastAsia="Calibri"/>
              </w:rPr>
              <w:t> </w:t>
            </w:r>
            <w:r w:rsidRPr="00B64995">
              <w:rPr>
                <w:rFonts w:eastAsia="Calibri"/>
              </w:rPr>
              <w:t>820</w:t>
            </w:r>
          </w:p>
        </w:tc>
      </w:tr>
      <w:tr w:rsidR="000E191A" w:rsidRPr="00B64995" w14:paraId="5950D504" w14:textId="77777777" w:rsidTr="006A3906">
        <w:tc>
          <w:tcPr>
            <w:tcW w:w="3225" w:type="dxa"/>
            <w:tcBorders>
              <w:top w:val="single" w:sz="8" w:space="0" w:color="4472C4" w:themeColor="accent1"/>
              <w:left w:val="single" w:sz="8" w:space="0" w:color="4472C4" w:themeColor="accent1"/>
              <w:bottom w:val="single" w:sz="8" w:space="0" w:color="4472C4" w:themeColor="accent1"/>
              <w:right w:val="nil"/>
            </w:tcBorders>
            <w:shd w:val="clear" w:color="auto" w:fill="B6C8E8"/>
          </w:tcPr>
          <w:p w14:paraId="66147BE8" w14:textId="23BA77AC" w:rsidR="000E191A" w:rsidRPr="00B64995" w:rsidRDefault="000E191A" w:rsidP="006A3906">
            <w:r w:rsidRPr="00B64995">
              <w:rPr>
                <w:rFonts w:eastAsia="Calibri"/>
                <w:color w:val="000000" w:themeColor="text1"/>
              </w:rPr>
              <w:lastRenderedPageBreak/>
              <w:t>Monitoring observations concerning the monitoring programme at 2</w:t>
            </w:r>
            <w:r w:rsidR="005D4A07">
              <w:rPr>
                <w:rFonts w:eastAsia="Calibri"/>
                <w:color w:val="000000" w:themeColor="text1"/>
              </w:rPr>
              <w:t> </w:t>
            </w:r>
            <w:r w:rsidRPr="00B64995">
              <w:rPr>
                <w:rFonts w:eastAsia="Calibri"/>
                <w:color w:val="000000" w:themeColor="text1"/>
              </w:rPr>
              <w:t>850-28</w:t>
            </w:r>
            <w:r w:rsidR="005D4A07">
              <w:rPr>
                <w:rFonts w:eastAsia="Calibri"/>
                <w:color w:val="000000" w:themeColor="text1"/>
              </w:rPr>
              <w:t> </w:t>
            </w:r>
            <w:r w:rsidRPr="00B64995">
              <w:rPr>
                <w:rFonts w:eastAsia="Calibri"/>
                <w:color w:val="000000" w:themeColor="text1"/>
              </w:rPr>
              <w:t>000 kHz/ and 406-406.1 MHz</w:t>
            </w:r>
            <w:r w:rsidRPr="00B64995">
              <w:rPr>
                <w:rFonts w:eastAsia="Calibri"/>
                <w:b/>
                <w:bCs/>
                <w:color w:val="000000" w:themeColor="text1"/>
              </w:rPr>
              <w:t xml:space="preserve"> </w:t>
            </w:r>
          </w:p>
        </w:tc>
        <w:tc>
          <w:tcPr>
            <w:tcW w:w="990" w:type="dxa"/>
            <w:tcBorders>
              <w:top w:val="single" w:sz="8" w:space="0" w:color="4472C4" w:themeColor="accent1"/>
              <w:left w:val="nil"/>
              <w:bottom w:val="single" w:sz="8" w:space="0" w:color="4472C4" w:themeColor="accent1"/>
              <w:right w:val="nil"/>
            </w:tcBorders>
            <w:shd w:val="clear" w:color="auto" w:fill="B6C8E8"/>
          </w:tcPr>
          <w:p w14:paraId="38FEB531" w14:textId="438DD362" w:rsidR="0049723A" w:rsidRPr="00B64995" w:rsidRDefault="000E191A" w:rsidP="006A3906">
            <w:pPr>
              <w:jc w:val="both"/>
              <w:rPr>
                <w:rFonts w:eastAsia="Calibri"/>
                <w:color w:val="000000" w:themeColor="text1"/>
              </w:rPr>
            </w:pPr>
            <w:r w:rsidRPr="00B64995">
              <w:rPr>
                <w:rFonts w:eastAsia="Calibri"/>
                <w:color w:val="000000" w:themeColor="text1"/>
              </w:rPr>
              <w:t>22</w:t>
            </w:r>
            <w:r w:rsidR="00A060FE">
              <w:rPr>
                <w:rFonts w:eastAsia="Calibri"/>
                <w:color w:val="000000" w:themeColor="text1"/>
              </w:rPr>
              <w:t> </w:t>
            </w:r>
            <w:r w:rsidRPr="00B64995">
              <w:rPr>
                <w:rFonts w:eastAsia="Calibri"/>
                <w:color w:val="000000" w:themeColor="text1"/>
              </w:rPr>
              <w:t>496/</w:t>
            </w:r>
          </w:p>
          <w:p w14:paraId="17480957" w14:textId="029C15D8" w:rsidR="000E191A" w:rsidRPr="00B64995" w:rsidRDefault="000E191A" w:rsidP="006A3906">
            <w:pPr>
              <w:jc w:val="both"/>
              <w:rPr>
                <w:rFonts w:eastAsia="Calibri"/>
                <w:color w:val="000000" w:themeColor="text1"/>
              </w:rPr>
            </w:pPr>
            <w:r w:rsidRPr="00B64995">
              <w:rPr>
                <w:rFonts w:eastAsia="Calibri"/>
                <w:color w:val="000000" w:themeColor="text1"/>
              </w:rPr>
              <w:t xml:space="preserve">202 </w:t>
            </w:r>
          </w:p>
        </w:tc>
        <w:tc>
          <w:tcPr>
            <w:tcW w:w="1110" w:type="dxa"/>
            <w:tcBorders>
              <w:top w:val="single" w:sz="8" w:space="0" w:color="4472C4" w:themeColor="accent1"/>
              <w:left w:val="nil"/>
              <w:bottom w:val="single" w:sz="8" w:space="0" w:color="4472C4" w:themeColor="accent1"/>
              <w:right w:val="nil"/>
            </w:tcBorders>
            <w:shd w:val="clear" w:color="auto" w:fill="B6C8E8"/>
          </w:tcPr>
          <w:p w14:paraId="2ECDFDC6" w14:textId="32F31E89" w:rsidR="0049723A" w:rsidRPr="00B64995" w:rsidRDefault="000E191A" w:rsidP="006A3906">
            <w:pPr>
              <w:jc w:val="both"/>
              <w:rPr>
                <w:rFonts w:eastAsia="Calibri"/>
                <w:color w:val="000000" w:themeColor="text1"/>
              </w:rPr>
            </w:pPr>
            <w:r w:rsidRPr="00B64995">
              <w:rPr>
                <w:rFonts w:eastAsia="Calibri"/>
                <w:color w:val="000000" w:themeColor="text1"/>
              </w:rPr>
              <w:t>27</w:t>
            </w:r>
            <w:r w:rsidR="00A060FE">
              <w:rPr>
                <w:rFonts w:eastAsia="Calibri"/>
                <w:color w:val="000000" w:themeColor="text1"/>
              </w:rPr>
              <w:t> </w:t>
            </w:r>
            <w:r w:rsidRPr="00B64995">
              <w:rPr>
                <w:rFonts w:eastAsia="Calibri"/>
                <w:color w:val="000000" w:themeColor="text1"/>
              </w:rPr>
              <w:t>908/</w:t>
            </w:r>
          </w:p>
          <w:p w14:paraId="7599EF8B" w14:textId="2ACDA8B5" w:rsidR="000E191A" w:rsidRPr="00B64995" w:rsidRDefault="000E191A" w:rsidP="006A3906">
            <w:pPr>
              <w:jc w:val="both"/>
              <w:rPr>
                <w:rFonts w:eastAsia="Calibri"/>
                <w:color w:val="000000" w:themeColor="text1"/>
              </w:rPr>
            </w:pPr>
            <w:r w:rsidRPr="00B64995">
              <w:rPr>
                <w:rFonts w:eastAsia="Calibri"/>
                <w:color w:val="000000" w:themeColor="text1"/>
              </w:rPr>
              <w:t xml:space="preserve">222 </w:t>
            </w:r>
          </w:p>
        </w:tc>
        <w:tc>
          <w:tcPr>
            <w:tcW w:w="1050" w:type="dxa"/>
            <w:tcBorders>
              <w:top w:val="single" w:sz="8" w:space="0" w:color="4472C4" w:themeColor="accent1"/>
              <w:left w:val="nil"/>
              <w:bottom w:val="single" w:sz="8" w:space="0" w:color="4472C4" w:themeColor="accent1"/>
              <w:right w:val="nil"/>
            </w:tcBorders>
            <w:shd w:val="clear" w:color="auto" w:fill="B6C8E8"/>
          </w:tcPr>
          <w:p w14:paraId="261CDBFA" w14:textId="33E72FA2" w:rsidR="0049723A" w:rsidRPr="00B64995" w:rsidRDefault="000E191A" w:rsidP="006A3906">
            <w:pPr>
              <w:jc w:val="both"/>
              <w:rPr>
                <w:rFonts w:eastAsia="Calibri"/>
                <w:color w:val="000000" w:themeColor="text1"/>
              </w:rPr>
            </w:pPr>
            <w:r w:rsidRPr="00B64995">
              <w:rPr>
                <w:rFonts w:eastAsia="Calibri"/>
                <w:color w:val="000000" w:themeColor="text1"/>
              </w:rPr>
              <w:t>30</w:t>
            </w:r>
            <w:r w:rsidR="00A060FE">
              <w:rPr>
                <w:rFonts w:eastAsia="Calibri"/>
                <w:color w:val="000000" w:themeColor="text1"/>
              </w:rPr>
              <w:t> </w:t>
            </w:r>
            <w:r w:rsidRPr="00B64995">
              <w:rPr>
                <w:rFonts w:eastAsia="Calibri"/>
                <w:color w:val="000000" w:themeColor="text1"/>
              </w:rPr>
              <w:t>825/</w:t>
            </w:r>
          </w:p>
          <w:p w14:paraId="47F17315" w14:textId="7986093A" w:rsidR="000E191A" w:rsidRPr="00B64995" w:rsidRDefault="000E191A" w:rsidP="006A3906">
            <w:pPr>
              <w:jc w:val="both"/>
              <w:rPr>
                <w:rFonts w:eastAsia="Calibri"/>
                <w:color w:val="000000" w:themeColor="text1"/>
              </w:rPr>
            </w:pPr>
            <w:r w:rsidRPr="00B64995">
              <w:rPr>
                <w:rFonts w:eastAsia="Calibri"/>
                <w:color w:val="000000" w:themeColor="text1"/>
              </w:rPr>
              <w:t xml:space="preserve">253 </w:t>
            </w:r>
          </w:p>
        </w:tc>
        <w:tc>
          <w:tcPr>
            <w:tcW w:w="990" w:type="dxa"/>
            <w:tcBorders>
              <w:top w:val="single" w:sz="8" w:space="0" w:color="4472C4" w:themeColor="accent1"/>
              <w:left w:val="nil"/>
              <w:bottom w:val="single" w:sz="8" w:space="0" w:color="4472C4" w:themeColor="accent1"/>
              <w:right w:val="nil"/>
            </w:tcBorders>
            <w:shd w:val="clear" w:color="auto" w:fill="B6C8E8"/>
          </w:tcPr>
          <w:p w14:paraId="14D8C7E5" w14:textId="471B26BA" w:rsidR="000E191A" w:rsidRPr="00B64995" w:rsidRDefault="000E191A" w:rsidP="006A3906">
            <w:pPr>
              <w:jc w:val="both"/>
              <w:rPr>
                <w:rFonts w:eastAsia="Calibri"/>
              </w:rPr>
            </w:pPr>
            <w:r w:rsidRPr="00B64995">
              <w:rPr>
                <w:rFonts w:eastAsia="Calibri"/>
              </w:rPr>
              <w:t>25</w:t>
            </w:r>
            <w:r w:rsidR="00A060FE">
              <w:rPr>
                <w:rFonts w:eastAsia="Calibri"/>
              </w:rPr>
              <w:t> </w:t>
            </w:r>
            <w:r w:rsidRPr="00B64995">
              <w:rPr>
                <w:rFonts w:eastAsia="Calibri"/>
              </w:rPr>
              <w:t xml:space="preserve">642/174 </w:t>
            </w:r>
          </w:p>
        </w:tc>
        <w:tc>
          <w:tcPr>
            <w:tcW w:w="1635" w:type="dxa"/>
            <w:tcBorders>
              <w:top w:val="single" w:sz="8" w:space="0" w:color="4472C4" w:themeColor="accent1"/>
              <w:left w:val="nil"/>
              <w:bottom w:val="single" w:sz="8" w:space="0" w:color="4472C4" w:themeColor="accent1"/>
              <w:right w:val="single" w:sz="8" w:space="0" w:color="4472C4" w:themeColor="accent1"/>
            </w:tcBorders>
            <w:shd w:val="clear" w:color="auto" w:fill="B6C8E8"/>
          </w:tcPr>
          <w:p w14:paraId="5B7958CF" w14:textId="77A99558" w:rsidR="000E191A" w:rsidRPr="00B64995" w:rsidRDefault="000E191A" w:rsidP="006A3906">
            <w:pPr>
              <w:jc w:val="both"/>
              <w:rPr>
                <w:rFonts w:eastAsia="Calibri"/>
                <w:color w:val="000000" w:themeColor="text1"/>
              </w:rPr>
            </w:pPr>
            <w:r w:rsidRPr="00B64995">
              <w:rPr>
                <w:rFonts w:eastAsia="Calibri"/>
                <w:color w:val="000000" w:themeColor="text1"/>
              </w:rPr>
              <w:t>106</w:t>
            </w:r>
            <w:r w:rsidR="00A060FE">
              <w:rPr>
                <w:rFonts w:eastAsia="Calibri"/>
                <w:color w:val="000000" w:themeColor="text1"/>
              </w:rPr>
              <w:t> </w:t>
            </w:r>
            <w:r w:rsidRPr="00B64995">
              <w:rPr>
                <w:rFonts w:eastAsia="Calibri"/>
                <w:color w:val="000000" w:themeColor="text1"/>
              </w:rPr>
              <w:t>871/851</w:t>
            </w:r>
          </w:p>
        </w:tc>
      </w:tr>
      <w:tr w:rsidR="000E191A" w:rsidRPr="00B64995" w14:paraId="5446AA74" w14:textId="77777777" w:rsidTr="006A3906">
        <w:trPr>
          <w:trHeight w:val="330"/>
        </w:trPr>
        <w:tc>
          <w:tcPr>
            <w:tcW w:w="3225" w:type="dxa"/>
            <w:tcBorders>
              <w:top w:val="single" w:sz="8" w:space="0" w:color="4472C4" w:themeColor="accent1"/>
              <w:left w:val="single" w:sz="8" w:space="0" w:color="4472C4" w:themeColor="accent1"/>
              <w:bottom w:val="single" w:sz="8" w:space="0" w:color="4472C4" w:themeColor="accent1"/>
              <w:right w:val="nil"/>
            </w:tcBorders>
            <w:shd w:val="clear" w:color="auto" w:fill="FFFFFF" w:themeFill="background1"/>
          </w:tcPr>
          <w:p w14:paraId="0D08CFCD" w14:textId="77777777" w:rsidR="000E191A" w:rsidRPr="00B64995" w:rsidRDefault="000E191A" w:rsidP="006A3906">
            <w:r w:rsidRPr="00B64995">
              <w:rPr>
                <w:rFonts w:eastAsia="Calibri"/>
                <w:color w:val="000000" w:themeColor="text1"/>
              </w:rPr>
              <w:t>Reports of harmful interference</w:t>
            </w:r>
            <w:r w:rsidRPr="00B64995">
              <w:rPr>
                <w:rFonts w:eastAsia="Calibri"/>
                <w:b/>
                <w:bCs/>
                <w:color w:val="000000" w:themeColor="text1"/>
              </w:rPr>
              <w:t xml:space="preserve"> </w:t>
            </w:r>
          </w:p>
        </w:tc>
        <w:tc>
          <w:tcPr>
            <w:tcW w:w="990" w:type="dxa"/>
            <w:tcBorders>
              <w:top w:val="single" w:sz="8" w:space="0" w:color="4472C4" w:themeColor="accent1"/>
              <w:left w:val="nil"/>
              <w:bottom w:val="single" w:sz="8" w:space="0" w:color="4472C4" w:themeColor="accent1"/>
              <w:right w:val="nil"/>
            </w:tcBorders>
          </w:tcPr>
          <w:p w14:paraId="26189AAE" w14:textId="3FD340C3" w:rsidR="000E191A" w:rsidRPr="00B64995" w:rsidRDefault="000E191A" w:rsidP="006A3906">
            <w:pPr>
              <w:jc w:val="both"/>
              <w:rPr>
                <w:rFonts w:eastAsia="Calibri"/>
              </w:rPr>
            </w:pPr>
            <w:r w:rsidRPr="00B64995">
              <w:rPr>
                <w:rFonts w:eastAsia="Calibri"/>
              </w:rPr>
              <w:t>1</w:t>
            </w:r>
            <w:r w:rsidR="00A060FE">
              <w:rPr>
                <w:rFonts w:eastAsia="Calibri"/>
              </w:rPr>
              <w:t> </w:t>
            </w:r>
            <w:r w:rsidRPr="00B64995">
              <w:rPr>
                <w:rFonts w:eastAsia="Calibri"/>
              </w:rPr>
              <w:t xml:space="preserve">187 </w:t>
            </w:r>
          </w:p>
        </w:tc>
        <w:tc>
          <w:tcPr>
            <w:tcW w:w="1110" w:type="dxa"/>
            <w:tcBorders>
              <w:top w:val="single" w:sz="8" w:space="0" w:color="4472C4" w:themeColor="accent1"/>
              <w:left w:val="nil"/>
              <w:bottom w:val="single" w:sz="8" w:space="0" w:color="4472C4" w:themeColor="accent1"/>
              <w:right w:val="nil"/>
            </w:tcBorders>
          </w:tcPr>
          <w:p w14:paraId="18F2C953" w14:textId="266852FB" w:rsidR="000E191A" w:rsidRPr="00B64995" w:rsidRDefault="000E191A" w:rsidP="006A3906">
            <w:pPr>
              <w:jc w:val="both"/>
              <w:rPr>
                <w:rFonts w:eastAsia="Calibri"/>
              </w:rPr>
            </w:pPr>
            <w:r w:rsidRPr="00B64995">
              <w:rPr>
                <w:rFonts w:eastAsia="Calibri"/>
              </w:rPr>
              <w:t>1</w:t>
            </w:r>
            <w:r w:rsidR="00A060FE">
              <w:rPr>
                <w:rFonts w:eastAsia="Calibri"/>
              </w:rPr>
              <w:t> </w:t>
            </w:r>
            <w:r w:rsidRPr="00B64995">
              <w:rPr>
                <w:rFonts w:eastAsia="Calibri"/>
              </w:rPr>
              <w:t xml:space="preserve">096 </w:t>
            </w:r>
          </w:p>
        </w:tc>
        <w:tc>
          <w:tcPr>
            <w:tcW w:w="1050" w:type="dxa"/>
            <w:tcBorders>
              <w:top w:val="single" w:sz="8" w:space="0" w:color="4472C4" w:themeColor="accent1"/>
              <w:left w:val="nil"/>
              <w:bottom w:val="single" w:sz="8" w:space="0" w:color="4472C4" w:themeColor="accent1"/>
              <w:right w:val="nil"/>
            </w:tcBorders>
          </w:tcPr>
          <w:p w14:paraId="35222CE6" w14:textId="0B442E5E" w:rsidR="000E191A" w:rsidRPr="00B64995" w:rsidRDefault="000E191A" w:rsidP="006A3906">
            <w:pPr>
              <w:jc w:val="both"/>
              <w:rPr>
                <w:rFonts w:eastAsia="Calibri"/>
              </w:rPr>
            </w:pPr>
            <w:r w:rsidRPr="00B64995">
              <w:rPr>
                <w:rFonts w:eastAsia="Calibri"/>
              </w:rPr>
              <w:t>1</w:t>
            </w:r>
            <w:r w:rsidR="00A060FE">
              <w:rPr>
                <w:rFonts w:eastAsia="Calibri"/>
              </w:rPr>
              <w:t> </w:t>
            </w:r>
            <w:r w:rsidRPr="00B64995">
              <w:rPr>
                <w:rFonts w:eastAsia="Calibri"/>
              </w:rPr>
              <w:t xml:space="preserve">088 </w:t>
            </w:r>
          </w:p>
        </w:tc>
        <w:tc>
          <w:tcPr>
            <w:tcW w:w="990" w:type="dxa"/>
            <w:tcBorders>
              <w:top w:val="single" w:sz="8" w:space="0" w:color="4472C4" w:themeColor="accent1"/>
              <w:left w:val="nil"/>
              <w:bottom w:val="single" w:sz="8" w:space="0" w:color="4472C4" w:themeColor="accent1"/>
              <w:right w:val="nil"/>
            </w:tcBorders>
          </w:tcPr>
          <w:p w14:paraId="7B2152C9" w14:textId="51B3950E" w:rsidR="000E191A" w:rsidRPr="00B64995" w:rsidRDefault="000E191A" w:rsidP="006A3906">
            <w:pPr>
              <w:jc w:val="both"/>
              <w:rPr>
                <w:rFonts w:eastAsia="Calibri"/>
              </w:rPr>
            </w:pPr>
            <w:r w:rsidRPr="00B64995">
              <w:rPr>
                <w:rFonts w:eastAsia="Calibri"/>
              </w:rPr>
              <w:t xml:space="preserve"> 1</w:t>
            </w:r>
            <w:r w:rsidR="00A060FE">
              <w:rPr>
                <w:rFonts w:eastAsia="Calibri"/>
              </w:rPr>
              <w:t> </w:t>
            </w:r>
            <w:r w:rsidRPr="00B64995">
              <w:rPr>
                <w:rFonts w:eastAsia="Calibri"/>
              </w:rPr>
              <w:t>165</w:t>
            </w:r>
          </w:p>
        </w:tc>
        <w:tc>
          <w:tcPr>
            <w:tcW w:w="1635" w:type="dxa"/>
            <w:tcBorders>
              <w:top w:val="single" w:sz="8" w:space="0" w:color="4472C4" w:themeColor="accent1"/>
              <w:left w:val="nil"/>
              <w:bottom w:val="single" w:sz="8" w:space="0" w:color="4472C4" w:themeColor="accent1"/>
              <w:right w:val="single" w:sz="8" w:space="0" w:color="4472C4" w:themeColor="accent1"/>
            </w:tcBorders>
          </w:tcPr>
          <w:p w14:paraId="4871E40D" w14:textId="716A09CF" w:rsidR="000E191A" w:rsidRPr="00B64995" w:rsidRDefault="000E191A" w:rsidP="006A3906">
            <w:pPr>
              <w:jc w:val="both"/>
              <w:rPr>
                <w:rFonts w:eastAsia="Calibri"/>
              </w:rPr>
            </w:pPr>
            <w:r w:rsidRPr="00B64995">
              <w:rPr>
                <w:rFonts w:eastAsia="Calibri"/>
              </w:rPr>
              <w:t>4</w:t>
            </w:r>
            <w:r w:rsidR="00A060FE">
              <w:rPr>
                <w:rFonts w:eastAsia="Calibri"/>
              </w:rPr>
              <w:t> </w:t>
            </w:r>
            <w:r w:rsidRPr="00B64995">
              <w:rPr>
                <w:rFonts w:eastAsia="Calibri"/>
              </w:rPr>
              <w:t>536</w:t>
            </w:r>
          </w:p>
        </w:tc>
      </w:tr>
    </w:tbl>
    <w:p w14:paraId="345DCC9B" w14:textId="77777777" w:rsidR="79A23227" w:rsidRPr="00B64995" w:rsidRDefault="79A23227" w:rsidP="00614D53"/>
    <w:p w14:paraId="52B1AAB8" w14:textId="77777777" w:rsidR="00CB6EE2" w:rsidRPr="00B64995" w:rsidRDefault="00CB6EE2" w:rsidP="00A83DAA">
      <w:pPr>
        <w:pStyle w:val="Heading5"/>
      </w:pPr>
      <w:r w:rsidRPr="00B64995">
        <w:t>Improvement of ITU-R software</w:t>
      </w:r>
    </w:p>
    <w:p w14:paraId="60D34D85" w14:textId="30BE0BD8" w:rsidR="00CB6EE2" w:rsidRPr="00B64995" w:rsidRDefault="00CB6EE2" w:rsidP="00614D53">
      <w:pPr>
        <w:jc w:val="both"/>
      </w:pPr>
      <w:r w:rsidRPr="00B64995">
        <w:t>In 2019, the Radiocommunication Bureau</w:t>
      </w:r>
      <w:r w:rsidR="00E248ED" w:rsidRPr="00B64995">
        <w:t xml:space="preserve"> (BR)</w:t>
      </w:r>
      <w:r w:rsidRPr="00B64995">
        <w:t xml:space="preserve"> continued to develop software applications and databases to enable efficient and timely processing of notices and to facilitate the use of ITU-R outputs by ITU membership.</w:t>
      </w:r>
    </w:p>
    <w:p w14:paraId="05D93510" w14:textId="78D5673F" w:rsidR="00355A91" w:rsidRPr="00B64995" w:rsidRDefault="00355A91" w:rsidP="00614D53">
      <w:pPr>
        <w:jc w:val="both"/>
      </w:pPr>
    </w:p>
    <w:p w14:paraId="595EC0A1" w14:textId="0BDC064A" w:rsidR="00CC554B" w:rsidRPr="00B64995" w:rsidRDefault="00CC554B" w:rsidP="00CC554B">
      <w:pPr>
        <w:jc w:val="both"/>
        <w:rPr>
          <w:rFonts w:asciiTheme="minorHAnsi" w:hAnsiTheme="minorHAnsi" w:cstheme="minorHAnsi"/>
        </w:rPr>
      </w:pPr>
      <w:r w:rsidRPr="00B64995">
        <w:rPr>
          <w:rFonts w:asciiTheme="minorHAnsi" w:hAnsiTheme="minorHAnsi" w:cstheme="minorHAnsi"/>
        </w:rPr>
        <w:t>In 2020 BR updated the stand-alone software application that provides users with a mechanism to electronically use, query and analy</w:t>
      </w:r>
      <w:r w:rsidR="00AD750B" w:rsidRPr="00B64995">
        <w:rPr>
          <w:rFonts w:asciiTheme="minorHAnsi" w:hAnsiTheme="minorHAnsi" w:cstheme="minorHAnsi"/>
        </w:rPr>
        <w:t>s</w:t>
      </w:r>
      <w:r w:rsidRPr="00B64995">
        <w:rPr>
          <w:rFonts w:asciiTheme="minorHAnsi" w:hAnsiTheme="minorHAnsi" w:cstheme="minorHAnsi"/>
        </w:rPr>
        <w:t>e the Table of Frequency Allocations (TFA) in Article 5 of the Radio Regulation,</w:t>
      </w:r>
      <w:r w:rsidRPr="00B64995">
        <w:t xml:space="preserve"> </w:t>
      </w:r>
      <w:r w:rsidRPr="00B64995">
        <w:rPr>
          <w:rFonts w:asciiTheme="minorHAnsi" w:hAnsiTheme="minorHAnsi" w:cstheme="minorHAnsi"/>
        </w:rPr>
        <w:t xml:space="preserve">as well as other related texts including WRC </w:t>
      </w:r>
      <w:r w:rsidR="00AD750B" w:rsidRPr="00B64995">
        <w:rPr>
          <w:rFonts w:asciiTheme="minorHAnsi" w:hAnsiTheme="minorHAnsi" w:cstheme="minorHAnsi"/>
        </w:rPr>
        <w:t>r</w:t>
      </w:r>
      <w:r w:rsidRPr="00B64995">
        <w:rPr>
          <w:rFonts w:asciiTheme="minorHAnsi" w:hAnsiTheme="minorHAnsi" w:cstheme="minorHAnsi"/>
        </w:rPr>
        <w:t xml:space="preserve">esolutions, referenced ITU-R Recommendations and associated </w:t>
      </w:r>
      <w:r w:rsidR="00AD750B" w:rsidRPr="00B64995">
        <w:rPr>
          <w:rFonts w:asciiTheme="minorHAnsi" w:hAnsiTheme="minorHAnsi" w:cstheme="minorHAnsi"/>
        </w:rPr>
        <w:t>r</w:t>
      </w:r>
      <w:r w:rsidRPr="00B64995">
        <w:rPr>
          <w:rFonts w:asciiTheme="minorHAnsi" w:hAnsiTheme="minorHAnsi" w:cstheme="minorHAnsi"/>
        </w:rPr>
        <w:t xml:space="preserve">ules of </w:t>
      </w:r>
      <w:r w:rsidR="00AD750B" w:rsidRPr="00B64995">
        <w:rPr>
          <w:rFonts w:asciiTheme="minorHAnsi" w:hAnsiTheme="minorHAnsi" w:cstheme="minorHAnsi"/>
        </w:rPr>
        <w:t>p</w:t>
      </w:r>
      <w:r w:rsidRPr="00B64995">
        <w:rPr>
          <w:rFonts w:asciiTheme="minorHAnsi" w:hAnsiTheme="minorHAnsi" w:cstheme="minorHAnsi"/>
        </w:rPr>
        <w:t xml:space="preserve">rocedure. This software application </w:t>
      </w:r>
      <w:r w:rsidR="0093523A" w:rsidRPr="00B64995">
        <w:rPr>
          <w:rFonts w:asciiTheme="minorHAnsi" w:hAnsiTheme="minorHAnsi" w:cstheme="minorHAnsi"/>
        </w:rPr>
        <w:t xml:space="preserve">can be used to </w:t>
      </w:r>
      <w:r w:rsidRPr="00B64995">
        <w:rPr>
          <w:rFonts w:asciiTheme="minorHAnsi" w:hAnsiTheme="minorHAnsi" w:cstheme="minorHAnsi"/>
        </w:rPr>
        <w:t xml:space="preserve">extract regional </w:t>
      </w:r>
      <w:r w:rsidR="0093523A" w:rsidRPr="00B64995">
        <w:rPr>
          <w:rFonts w:asciiTheme="minorHAnsi" w:hAnsiTheme="minorHAnsi" w:cstheme="minorHAnsi"/>
        </w:rPr>
        <w:t xml:space="preserve">and </w:t>
      </w:r>
      <w:r w:rsidRPr="00B64995">
        <w:rPr>
          <w:rFonts w:asciiTheme="minorHAnsi" w:hAnsiTheme="minorHAnsi" w:cstheme="minorHAnsi"/>
        </w:rPr>
        <w:t xml:space="preserve">country-specific regulations for the presentation of </w:t>
      </w:r>
      <w:r w:rsidR="00B96732" w:rsidRPr="00B64995">
        <w:rPr>
          <w:rFonts w:asciiTheme="minorHAnsi" w:hAnsiTheme="minorHAnsi" w:cstheme="minorHAnsi"/>
        </w:rPr>
        <w:t>r</w:t>
      </w:r>
      <w:r w:rsidRPr="00B64995">
        <w:rPr>
          <w:rFonts w:asciiTheme="minorHAnsi" w:hAnsiTheme="minorHAnsi" w:cstheme="minorHAnsi"/>
        </w:rPr>
        <w:t xml:space="preserve">egional or </w:t>
      </w:r>
      <w:r w:rsidR="00B96732" w:rsidRPr="00B64995">
        <w:rPr>
          <w:rFonts w:asciiTheme="minorHAnsi" w:hAnsiTheme="minorHAnsi" w:cstheme="minorHAnsi"/>
        </w:rPr>
        <w:t>n</w:t>
      </w:r>
      <w:r w:rsidRPr="00B64995">
        <w:rPr>
          <w:rFonts w:asciiTheme="minorHAnsi" w:hAnsiTheme="minorHAnsi" w:cstheme="minorHAnsi"/>
        </w:rPr>
        <w:t xml:space="preserve">ational </w:t>
      </w:r>
      <w:r w:rsidR="00B96732" w:rsidRPr="00B64995">
        <w:rPr>
          <w:rFonts w:asciiTheme="minorHAnsi" w:hAnsiTheme="minorHAnsi" w:cstheme="minorHAnsi"/>
        </w:rPr>
        <w:t>t</w:t>
      </w:r>
      <w:r w:rsidRPr="00B64995">
        <w:rPr>
          <w:rFonts w:asciiTheme="minorHAnsi" w:hAnsiTheme="minorHAnsi" w:cstheme="minorHAnsi"/>
        </w:rPr>
        <w:t xml:space="preserve">ables of </w:t>
      </w:r>
      <w:r w:rsidR="00B96732" w:rsidRPr="00B64995">
        <w:rPr>
          <w:rFonts w:asciiTheme="minorHAnsi" w:hAnsiTheme="minorHAnsi" w:cstheme="minorHAnsi"/>
        </w:rPr>
        <w:t>f</w:t>
      </w:r>
      <w:r w:rsidRPr="00B64995">
        <w:rPr>
          <w:rFonts w:asciiTheme="minorHAnsi" w:hAnsiTheme="minorHAnsi" w:cstheme="minorHAnsi"/>
        </w:rPr>
        <w:t xml:space="preserve">requency </w:t>
      </w:r>
      <w:r w:rsidR="00B96732" w:rsidRPr="00B64995">
        <w:rPr>
          <w:rFonts w:asciiTheme="minorHAnsi" w:hAnsiTheme="minorHAnsi" w:cstheme="minorHAnsi"/>
        </w:rPr>
        <w:t>a</w:t>
      </w:r>
      <w:r w:rsidRPr="00B64995">
        <w:rPr>
          <w:rFonts w:asciiTheme="minorHAnsi" w:hAnsiTheme="minorHAnsi" w:cstheme="minorHAnsi"/>
        </w:rPr>
        <w:t>llocations, respectively.</w:t>
      </w:r>
    </w:p>
    <w:p w14:paraId="2310C485" w14:textId="77777777" w:rsidR="00CC554B" w:rsidRPr="00B64995" w:rsidRDefault="00CC554B" w:rsidP="00CC554B">
      <w:pPr>
        <w:jc w:val="both"/>
        <w:rPr>
          <w:rFonts w:asciiTheme="minorHAnsi" w:hAnsiTheme="minorHAnsi" w:cstheme="minorHAnsi"/>
        </w:rPr>
      </w:pPr>
    </w:p>
    <w:p w14:paraId="2DE6E42F" w14:textId="32CA6B8A" w:rsidR="00355A91" w:rsidRPr="00B64995" w:rsidRDefault="00CC554B" w:rsidP="00614D53">
      <w:pPr>
        <w:jc w:val="both"/>
      </w:pPr>
      <w:r w:rsidRPr="00B64995">
        <w:rPr>
          <w:rFonts w:asciiTheme="minorHAnsi" w:hAnsiTheme="minorHAnsi" w:cstheme="minorHAnsi"/>
        </w:rPr>
        <w:t xml:space="preserve">In addition, the relevant databases and software were updated to implement WRC-19 decisions that entered into force on </w:t>
      </w:r>
      <w:r w:rsidR="0093523A" w:rsidRPr="00B64995">
        <w:rPr>
          <w:rFonts w:asciiTheme="minorHAnsi" w:hAnsiTheme="minorHAnsi" w:cstheme="minorHAnsi"/>
        </w:rPr>
        <w:t xml:space="preserve">1 </w:t>
      </w:r>
      <w:r w:rsidRPr="00B64995">
        <w:rPr>
          <w:rFonts w:asciiTheme="minorHAnsi" w:hAnsiTheme="minorHAnsi" w:cstheme="minorHAnsi"/>
        </w:rPr>
        <w:t>January 2021.</w:t>
      </w:r>
    </w:p>
    <w:p w14:paraId="3A0FF5F2" w14:textId="77777777" w:rsidR="00301619" w:rsidRPr="00B64995" w:rsidRDefault="00301619" w:rsidP="00614D53">
      <w:pPr>
        <w:jc w:val="both"/>
      </w:pPr>
    </w:p>
    <w:p w14:paraId="039F75F6" w14:textId="1A8C4BC7" w:rsidR="00CB6EE2" w:rsidRPr="00B64995" w:rsidRDefault="682E9DAC" w:rsidP="00A83DAA">
      <w:pPr>
        <w:pStyle w:val="Heading5"/>
      </w:pPr>
      <w:r w:rsidRPr="00B64995">
        <w:t xml:space="preserve">Progress in </w:t>
      </w:r>
      <w:r w:rsidR="00CB6EE2" w:rsidRPr="00B64995">
        <w:t>terrestrial services</w:t>
      </w:r>
    </w:p>
    <w:p w14:paraId="034F66E6" w14:textId="00DB705C" w:rsidR="00CB6EE2" w:rsidRPr="00B64995" w:rsidRDefault="00CB6EE2" w:rsidP="00614D53">
      <w:pPr>
        <w:pStyle w:val="ListParagraph"/>
        <w:numPr>
          <w:ilvl w:val="0"/>
          <w:numId w:val="6"/>
        </w:numPr>
        <w:jc w:val="both"/>
        <w:rPr>
          <w:rFonts w:eastAsiaTheme="minorEastAsia" w:cs="Calibri"/>
          <w:lang w:val="en-GB" w:eastAsia="fr-FR"/>
        </w:rPr>
      </w:pPr>
      <w:r w:rsidRPr="00B64995">
        <w:rPr>
          <w:rFonts w:cs="Calibri"/>
          <w:lang w:val="en-GB"/>
        </w:rPr>
        <w:t xml:space="preserve">Implementation of the changes in the examination of filings under </w:t>
      </w:r>
      <w:r w:rsidR="00E248ED" w:rsidRPr="00B64995">
        <w:rPr>
          <w:rFonts w:cs="Calibri"/>
          <w:lang w:val="en-GB"/>
        </w:rPr>
        <w:t>Radio Regulations (</w:t>
      </w:r>
      <w:r w:rsidRPr="00B64995">
        <w:rPr>
          <w:rFonts w:cs="Calibri"/>
          <w:lang w:val="en-GB"/>
        </w:rPr>
        <w:t>RR</w:t>
      </w:r>
      <w:r w:rsidR="00E248ED" w:rsidRPr="00B64995">
        <w:rPr>
          <w:rFonts w:cs="Calibri"/>
          <w:lang w:val="en-GB"/>
        </w:rPr>
        <w:t>)</w:t>
      </w:r>
      <w:r w:rsidRPr="00B64995">
        <w:rPr>
          <w:rFonts w:cs="Calibri"/>
          <w:lang w:val="en-GB"/>
        </w:rPr>
        <w:t xml:space="preserve"> No. </w:t>
      </w:r>
      <w:r w:rsidRPr="00B64995">
        <w:rPr>
          <w:rFonts w:cs="Calibri"/>
          <w:b/>
          <w:bCs/>
          <w:lang w:val="en-GB"/>
        </w:rPr>
        <w:t>9.19</w:t>
      </w:r>
      <w:r w:rsidR="008A2F98" w:rsidRPr="00B64995">
        <w:rPr>
          <w:rFonts w:cs="Calibri"/>
          <w:b/>
          <w:bCs/>
          <w:lang w:val="en-GB"/>
        </w:rPr>
        <w:t>.</w:t>
      </w:r>
    </w:p>
    <w:p w14:paraId="5C0C56B2" w14:textId="7D722759" w:rsidR="00CB6EE2" w:rsidRPr="00B64995" w:rsidRDefault="00CB6EE2" w:rsidP="00614D53">
      <w:pPr>
        <w:pStyle w:val="ListParagraph"/>
        <w:numPr>
          <w:ilvl w:val="0"/>
          <w:numId w:val="6"/>
        </w:numPr>
        <w:jc w:val="both"/>
        <w:rPr>
          <w:rFonts w:eastAsiaTheme="minorEastAsia" w:cs="Calibri"/>
          <w:lang w:val="en-GB" w:eastAsia="fr-FR"/>
        </w:rPr>
      </w:pPr>
      <w:r w:rsidRPr="00B64995">
        <w:rPr>
          <w:rFonts w:cs="Calibri"/>
          <w:lang w:val="en-GB"/>
        </w:rPr>
        <w:t xml:space="preserve">Considerable progress in the Integration of the processing of coordination requests under RR No. </w:t>
      </w:r>
      <w:r w:rsidRPr="00B64995">
        <w:rPr>
          <w:rFonts w:cs="Calibri"/>
          <w:b/>
          <w:bCs/>
          <w:lang w:val="en-GB"/>
        </w:rPr>
        <w:t>9.21</w:t>
      </w:r>
      <w:r w:rsidR="008A2F98" w:rsidRPr="00B64995">
        <w:rPr>
          <w:rFonts w:cs="Calibri"/>
          <w:b/>
          <w:bCs/>
          <w:lang w:val="en-GB"/>
        </w:rPr>
        <w:t>.</w:t>
      </w:r>
    </w:p>
    <w:p w14:paraId="238D29CC" w14:textId="1F5C8ECD" w:rsidR="00CB6EE2" w:rsidRPr="00B64995" w:rsidRDefault="00CB6EE2" w:rsidP="00614D53">
      <w:pPr>
        <w:pStyle w:val="ListParagraph"/>
        <w:numPr>
          <w:ilvl w:val="0"/>
          <w:numId w:val="6"/>
        </w:numPr>
        <w:jc w:val="both"/>
        <w:rPr>
          <w:rFonts w:eastAsiaTheme="minorEastAsia" w:cs="Calibri"/>
          <w:lang w:val="en-GB" w:eastAsia="fr-FR"/>
        </w:rPr>
      </w:pPr>
      <w:r w:rsidRPr="00B64995">
        <w:rPr>
          <w:rFonts w:cs="Calibri"/>
          <w:lang w:val="en-GB"/>
        </w:rPr>
        <w:t xml:space="preserve">Integration of GE06 software into </w:t>
      </w:r>
      <w:proofErr w:type="spellStart"/>
      <w:r w:rsidRPr="00B64995">
        <w:rPr>
          <w:rFonts w:cs="Calibri"/>
          <w:lang w:val="en-GB"/>
        </w:rPr>
        <w:t>TerRaSys</w:t>
      </w:r>
      <w:proofErr w:type="spellEnd"/>
      <w:r w:rsidR="008A2F98" w:rsidRPr="00B64995">
        <w:rPr>
          <w:rFonts w:cs="Calibri"/>
          <w:lang w:val="en-GB"/>
        </w:rPr>
        <w:t>.</w:t>
      </w:r>
    </w:p>
    <w:p w14:paraId="4A483D54" w14:textId="77777777" w:rsidR="0049723A" w:rsidRPr="00B64995" w:rsidRDefault="00A21508" w:rsidP="00A21508">
      <w:pPr>
        <w:pStyle w:val="ListParagraph"/>
        <w:numPr>
          <w:ilvl w:val="0"/>
          <w:numId w:val="6"/>
        </w:numPr>
        <w:jc w:val="both"/>
        <w:rPr>
          <w:rFonts w:eastAsiaTheme="minorEastAsia" w:cs="Calibri"/>
          <w:lang w:val="en-GB" w:eastAsia="fr-FR"/>
        </w:rPr>
      </w:pPr>
      <w:r w:rsidRPr="00B64995">
        <w:rPr>
          <w:rFonts w:eastAsiaTheme="minorEastAsia" w:cs="Calibri"/>
          <w:lang w:val="en-GB" w:eastAsia="fr-FR"/>
        </w:rPr>
        <w:t xml:space="preserve">Development of the </w:t>
      </w:r>
      <w:proofErr w:type="spellStart"/>
      <w:r w:rsidRPr="00B64995">
        <w:rPr>
          <w:rFonts w:eastAsiaTheme="minorEastAsia" w:cs="Calibri"/>
          <w:lang w:val="en-GB" w:eastAsia="fr-FR"/>
        </w:rPr>
        <w:t>eTerrestrial</w:t>
      </w:r>
      <w:proofErr w:type="spellEnd"/>
      <w:r w:rsidRPr="00B64995">
        <w:rPr>
          <w:rFonts w:eastAsiaTheme="minorEastAsia" w:cs="Calibri"/>
          <w:lang w:val="en-GB" w:eastAsia="fr-FR"/>
        </w:rPr>
        <w:t xml:space="preserve"> web platform, integrating </w:t>
      </w:r>
      <w:proofErr w:type="spellStart"/>
      <w:r w:rsidRPr="00B64995">
        <w:rPr>
          <w:rFonts w:eastAsiaTheme="minorEastAsia" w:cs="Calibri"/>
          <w:lang w:val="en-GB" w:eastAsia="fr-FR"/>
        </w:rPr>
        <w:t>eMIFR</w:t>
      </w:r>
      <w:proofErr w:type="spellEnd"/>
      <w:r w:rsidRPr="00B64995">
        <w:rPr>
          <w:rFonts w:eastAsiaTheme="minorEastAsia" w:cs="Calibri"/>
          <w:lang w:val="en-GB" w:eastAsia="fr-FR"/>
        </w:rPr>
        <w:t xml:space="preserve">, </w:t>
      </w:r>
      <w:proofErr w:type="spellStart"/>
      <w:r w:rsidRPr="00B64995">
        <w:rPr>
          <w:rFonts w:eastAsiaTheme="minorEastAsia" w:cs="Calibri"/>
          <w:lang w:val="en-GB" w:eastAsia="fr-FR"/>
        </w:rPr>
        <w:t>eValidation</w:t>
      </w:r>
      <w:proofErr w:type="spellEnd"/>
      <w:r w:rsidRPr="00B64995">
        <w:rPr>
          <w:rFonts w:eastAsiaTheme="minorEastAsia" w:cs="Calibri"/>
          <w:lang w:val="en-GB" w:eastAsia="fr-FR"/>
        </w:rPr>
        <w:t xml:space="preserve"> and </w:t>
      </w:r>
      <w:bookmarkStart w:id="31" w:name="_Hlk68686100"/>
      <w:proofErr w:type="spellStart"/>
      <w:r w:rsidRPr="00B64995">
        <w:rPr>
          <w:rFonts w:eastAsiaTheme="minorEastAsia" w:cs="Calibri"/>
          <w:lang w:val="en-GB" w:eastAsia="fr-FR"/>
        </w:rPr>
        <w:t>eBroadcasting</w:t>
      </w:r>
      <w:proofErr w:type="spellEnd"/>
      <w:r w:rsidRPr="00B64995">
        <w:rPr>
          <w:rFonts w:eastAsiaTheme="minorEastAsia" w:cs="Calibri"/>
          <w:lang w:val="en-GB" w:eastAsia="fr-FR"/>
        </w:rPr>
        <w:t xml:space="preserve"> </w:t>
      </w:r>
      <w:bookmarkEnd w:id="31"/>
      <w:r w:rsidRPr="00B64995">
        <w:rPr>
          <w:rFonts w:eastAsiaTheme="minorEastAsia" w:cs="Calibri"/>
          <w:lang w:val="en-GB" w:eastAsia="fr-FR"/>
        </w:rPr>
        <w:t>tools (</w:t>
      </w:r>
      <w:proofErr w:type="spellStart"/>
      <w:r w:rsidRPr="00B64995">
        <w:rPr>
          <w:rFonts w:eastAsiaTheme="minorEastAsia" w:cs="Calibri"/>
          <w:lang w:val="en-GB" w:eastAsia="fr-FR"/>
        </w:rPr>
        <w:t>eQuery</w:t>
      </w:r>
      <w:proofErr w:type="spellEnd"/>
      <w:r w:rsidRPr="00B64995">
        <w:rPr>
          <w:rFonts w:eastAsiaTheme="minorEastAsia" w:cs="Calibri"/>
          <w:lang w:val="en-GB" w:eastAsia="fr-FR"/>
        </w:rPr>
        <w:t xml:space="preserve">, </w:t>
      </w:r>
      <w:proofErr w:type="spellStart"/>
      <w:r w:rsidRPr="00B64995">
        <w:rPr>
          <w:rFonts w:eastAsiaTheme="minorEastAsia" w:cs="Calibri"/>
          <w:lang w:val="en-GB" w:eastAsia="fr-FR"/>
        </w:rPr>
        <w:t>ePub</w:t>
      </w:r>
      <w:proofErr w:type="spellEnd"/>
      <w:r w:rsidRPr="00B64995">
        <w:rPr>
          <w:rFonts w:eastAsiaTheme="minorEastAsia" w:cs="Calibri"/>
          <w:lang w:val="en-GB" w:eastAsia="fr-FR"/>
        </w:rPr>
        <w:t xml:space="preserve">, </w:t>
      </w:r>
      <w:proofErr w:type="spellStart"/>
      <w:r w:rsidRPr="00B64995">
        <w:rPr>
          <w:rFonts w:eastAsiaTheme="minorEastAsia" w:cs="Calibri"/>
          <w:lang w:val="en-GB" w:eastAsia="fr-FR"/>
        </w:rPr>
        <w:t>eTools</w:t>
      </w:r>
      <w:proofErr w:type="spellEnd"/>
      <w:r w:rsidRPr="00B64995">
        <w:rPr>
          <w:rFonts w:eastAsiaTheme="minorEastAsia" w:cs="Calibri"/>
          <w:lang w:val="en-GB" w:eastAsia="fr-FR"/>
        </w:rPr>
        <w:t xml:space="preserve"> and </w:t>
      </w:r>
      <w:proofErr w:type="spellStart"/>
      <w:r w:rsidRPr="00B64995">
        <w:rPr>
          <w:rFonts w:eastAsiaTheme="minorEastAsia" w:cs="Calibri"/>
          <w:lang w:val="en-GB" w:eastAsia="fr-FR"/>
        </w:rPr>
        <w:t>MyAdmin</w:t>
      </w:r>
      <w:proofErr w:type="spellEnd"/>
      <w:r w:rsidRPr="00B64995">
        <w:rPr>
          <w:rFonts w:eastAsiaTheme="minorEastAsia" w:cs="Calibri"/>
          <w:lang w:val="en-GB" w:eastAsia="fr-FR"/>
        </w:rPr>
        <w:t>).</w:t>
      </w:r>
    </w:p>
    <w:p w14:paraId="366F1284" w14:textId="29061512" w:rsidR="00A21508" w:rsidRPr="00B64995" w:rsidRDefault="00A21508" w:rsidP="00C13232">
      <w:pPr>
        <w:pStyle w:val="ListParagraph"/>
        <w:numPr>
          <w:ilvl w:val="0"/>
          <w:numId w:val="6"/>
        </w:numPr>
        <w:jc w:val="both"/>
        <w:rPr>
          <w:rFonts w:eastAsiaTheme="minorEastAsia" w:cs="Calibri"/>
          <w:lang w:val="en-GB" w:eastAsia="fr-FR"/>
        </w:rPr>
      </w:pPr>
      <w:r w:rsidRPr="00B64995">
        <w:rPr>
          <w:rFonts w:eastAsiaTheme="minorEastAsia" w:cs="Calibri"/>
          <w:lang w:val="en-GB" w:eastAsia="fr-FR"/>
        </w:rPr>
        <w:t>Development of the online tool “GE84 Optimization”</w:t>
      </w:r>
      <w:r w:rsidR="009E6B32" w:rsidRPr="00B64995">
        <w:rPr>
          <w:rFonts w:eastAsiaTheme="minorEastAsia" w:cs="Calibri"/>
          <w:lang w:val="en-GB" w:eastAsia="fr-FR"/>
        </w:rPr>
        <w:t>,</w:t>
      </w:r>
      <w:r w:rsidRPr="00B64995">
        <w:rPr>
          <w:rFonts w:eastAsiaTheme="minorEastAsia" w:cs="Calibri"/>
          <w:lang w:val="en-GB" w:eastAsia="fr-FR"/>
        </w:rPr>
        <w:t xml:space="preserve"> to be used for the optimization of the GE84 Plan in African countries. This tool can also be used by the administrations </w:t>
      </w:r>
      <w:r w:rsidR="009E6B32" w:rsidRPr="00B64995">
        <w:rPr>
          <w:rFonts w:eastAsiaTheme="minorEastAsia" w:cs="Calibri"/>
          <w:lang w:val="en-GB" w:eastAsia="fr-FR"/>
        </w:rPr>
        <w:t xml:space="preserve">of all States Parties </w:t>
      </w:r>
      <w:r w:rsidRPr="00B64995">
        <w:rPr>
          <w:rFonts w:eastAsiaTheme="minorEastAsia" w:cs="Calibri"/>
          <w:lang w:val="en-GB" w:eastAsia="fr-FR"/>
        </w:rPr>
        <w:t>to the GE84 Agreement.</w:t>
      </w:r>
    </w:p>
    <w:p w14:paraId="0703A36A" w14:textId="77777777" w:rsidR="0049723A" w:rsidRPr="00B64995" w:rsidRDefault="00CB6EE2" w:rsidP="00614D53">
      <w:pPr>
        <w:pStyle w:val="ListParagraph"/>
        <w:numPr>
          <w:ilvl w:val="0"/>
          <w:numId w:val="6"/>
        </w:numPr>
        <w:jc w:val="both"/>
        <w:rPr>
          <w:rFonts w:cs="Calibri"/>
          <w:lang w:val="en-GB"/>
        </w:rPr>
      </w:pPr>
      <w:r w:rsidRPr="00B64995">
        <w:rPr>
          <w:rFonts w:cs="Calibri"/>
          <w:lang w:val="en-GB"/>
        </w:rPr>
        <w:t>Continuation of the migration from Ingres platform to SQL Server</w:t>
      </w:r>
      <w:r w:rsidR="008A2F98" w:rsidRPr="00B64995">
        <w:rPr>
          <w:rFonts w:cs="Calibri"/>
          <w:lang w:val="en-GB"/>
        </w:rPr>
        <w:t>.</w:t>
      </w:r>
    </w:p>
    <w:p w14:paraId="2E3D946A" w14:textId="77777777" w:rsidR="0049723A" w:rsidRPr="00B64995" w:rsidRDefault="00CB6EE2" w:rsidP="00614D53">
      <w:pPr>
        <w:pStyle w:val="ListParagraph"/>
        <w:numPr>
          <w:ilvl w:val="0"/>
          <w:numId w:val="6"/>
        </w:numPr>
        <w:jc w:val="both"/>
        <w:rPr>
          <w:rFonts w:cs="Calibri"/>
          <w:lang w:val="en-GB"/>
        </w:rPr>
      </w:pPr>
      <w:r w:rsidRPr="00B64995">
        <w:rPr>
          <w:rFonts w:cs="Calibri"/>
          <w:lang w:val="en-GB"/>
        </w:rPr>
        <w:t>Changing platform (to SQL Server) and improvements of the interface for the Maritime mobile Access and Retrieval System (MARS) and International Monitoring Stations</w:t>
      </w:r>
      <w:r w:rsidR="008A2F98" w:rsidRPr="00B64995">
        <w:rPr>
          <w:rFonts w:cs="Calibri"/>
          <w:lang w:val="en-GB"/>
        </w:rPr>
        <w:t>.</w:t>
      </w:r>
    </w:p>
    <w:p w14:paraId="35553342" w14:textId="256EFF1C" w:rsidR="00C13232" w:rsidRPr="00B64995" w:rsidRDefault="00C13232" w:rsidP="00C13232">
      <w:pPr>
        <w:pStyle w:val="ListParagraph"/>
        <w:numPr>
          <w:ilvl w:val="0"/>
          <w:numId w:val="6"/>
        </w:numPr>
        <w:jc w:val="both"/>
        <w:rPr>
          <w:lang w:val="en-GB"/>
        </w:rPr>
      </w:pPr>
      <w:r w:rsidRPr="00B64995">
        <w:rPr>
          <w:rFonts w:eastAsia="Times New Roman"/>
          <w:lang w:val="en-GB" w:eastAsia="zh-CN"/>
        </w:rPr>
        <w:t xml:space="preserve">Modifications in </w:t>
      </w:r>
      <w:proofErr w:type="spellStart"/>
      <w:r w:rsidRPr="00B64995">
        <w:rPr>
          <w:rFonts w:eastAsia="Times New Roman"/>
          <w:lang w:val="en-GB" w:eastAsia="zh-CN"/>
        </w:rPr>
        <w:t>TerRaSys</w:t>
      </w:r>
      <w:proofErr w:type="spellEnd"/>
      <w:r w:rsidRPr="00B64995">
        <w:rPr>
          <w:rFonts w:eastAsia="Times New Roman"/>
          <w:lang w:val="en-GB" w:eastAsia="zh-CN"/>
        </w:rPr>
        <w:t xml:space="preserve"> to implement </w:t>
      </w:r>
      <w:r w:rsidRPr="00B64995">
        <w:rPr>
          <w:rFonts w:eastAsia="Times New Roman" w:cs="Calibri"/>
          <w:lang w:val="en-GB"/>
        </w:rPr>
        <w:t>new Rule of Procedure on No 5.441B of the RR</w:t>
      </w:r>
      <w:r w:rsidRPr="00B64995">
        <w:rPr>
          <w:rFonts w:asciiTheme="minorHAnsi" w:hAnsiTheme="minorHAnsi" w:cstheme="minorBidi"/>
          <w:lang w:val="en-GB"/>
        </w:rPr>
        <w:t xml:space="preserve"> and modified </w:t>
      </w:r>
      <w:proofErr w:type="spellStart"/>
      <w:r w:rsidRPr="00B64995">
        <w:rPr>
          <w:rFonts w:asciiTheme="minorHAnsi" w:hAnsiTheme="minorHAnsi" w:cstheme="minorBidi"/>
          <w:lang w:val="en-GB"/>
        </w:rPr>
        <w:t>RoP</w:t>
      </w:r>
      <w:proofErr w:type="spellEnd"/>
      <w:r w:rsidRPr="00B64995">
        <w:rPr>
          <w:rFonts w:asciiTheme="minorHAnsi" w:hAnsiTheme="minorHAnsi" w:cstheme="minorBidi"/>
          <w:lang w:val="en-GB"/>
        </w:rPr>
        <w:t xml:space="preserve"> </w:t>
      </w:r>
      <w:r w:rsidRPr="00B64995">
        <w:rPr>
          <w:rFonts w:eastAsia="Times New Roman" w:cs="Calibri"/>
          <w:color w:val="000000"/>
          <w:lang w:val="en-GB"/>
        </w:rPr>
        <w:t>on No. 9.19 of the RR</w:t>
      </w:r>
      <w:r w:rsidRPr="00B64995">
        <w:rPr>
          <w:rFonts w:eastAsia="Times New Roman" w:cs="Calibri"/>
          <w:lang w:val="en-GB"/>
        </w:rPr>
        <w:t>.</w:t>
      </w:r>
    </w:p>
    <w:p w14:paraId="5630AD66" w14:textId="77777777" w:rsidR="007B0128" w:rsidRPr="00B64995" w:rsidRDefault="007B0128" w:rsidP="00614D53">
      <w:pPr>
        <w:jc w:val="both"/>
        <w:rPr>
          <w:b/>
          <w:bCs/>
        </w:rPr>
      </w:pPr>
    </w:p>
    <w:p w14:paraId="44DADBF5" w14:textId="69630CDB" w:rsidR="00CB6EE2" w:rsidRPr="00B64995" w:rsidRDefault="00CB6EE2" w:rsidP="00A83DAA">
      <w:pPr>
        <w:pStyle w:val="Heading5"/>
      </w:pPr>
      <w:bookmarkStart w:id="32" w:name="_Hlk68803223"/>
      <w:r w:rsidRPr="00B64995">
        <w:t>Progress in fulfilling the BR Space Information Systems roadmap (RAG-19, 2012)</w:t>
      </w:r>
      <w:bookmarkEnd w:id="32"/>
    </w:p>
    <w:p w14:paraId="70CB2DE4" w14:textId="17E75FCD" w:rsidR="00CB6EE2" w:rsidRPr="00B64995" w:rsidRDefault="00CB6EE2" w:rsidP="00614D53">
      <w:pPr>
        <w:pStyle w:val="ListParagraph"/>
        <w:numPr>
          <w:ilvl w:val="0"/>
          <w:numId w:val="6"/>
        </w:numPr>
        <w:jc w:val="both"/>
        <w:rPr>
          <w:rFonts w:cs="Calibri"/>
          <w:lang w:val="en-GB"/>
        </w:rPr>
      </w:pPr>
      <w:r w:rsidRPr="00B64995">
        <w:rPr>
          <w:rFonts w:cs="Calibri"/>
          <w:lang w:val="en-GB"/>
        </w:rPr>
        <w:t xml:space="preserve">Business </w:t>
      </w:r>
      <w:r w:rsidR="0063311E" w:rsidRPr="00B64995">
        <w:rPr>
          <w:rFonts w:cs="Calibri"/>
          <w:lang w:val="en-GB"/>
        </w:rPr>
        <w:t>c</w:t>
      </w:r>
      <w:r w:rsidRPr="00B64995">
        <w:rPr>
          <w:rFonts w:cs="Calibri"/>
          <w:lang w:val="en-GB"/>
        </w:rPr>
        <w:t xml:space="preserve">ontinuity and </w:t>
      </w:r>
      <w:r w:rsidR="0063311E" w:rsidRPr="00B64995">
        <w:rPr>
          <w:rFonts w:cs="Calibri"/>
          <w:lang w:val="en-GB"/>
        </w:rPr>
        <w:t>d</w:t>
      </w:r>
      <w:r w:rsidRPr="00B64995">
        <w:rPr>
          <w:rFonts w:cs="Calibri"/>
          <w:lang w:val="en-GB"/>
        </w:rPr>
        <w:t xml:space="preserve">isaster </w:t>
      </w:r>
      <w:r w:rsidR="0063311E" w:rsidRPr="00B64995">
        <w:rPr>
          <w:rFonts w:cs="Calibri"/>
          <w:lang w:val="en-GB"/>
        </w:rPr>
        <w:t>r</w:t>
      </w:r>
      <w:r w:rsidRPr="00B64995">
        <w:rPr>
          <w:rFonts w:cs="Calibri"/>
          <w:lang w:val="en-GB"/>
        </w:rPr>
        <w:t xml:space="preserve">ecovery (both </w:t>
      </w:r>
      <w:r w:rsidR="0063311E" w:rsidRPr="00B64995">
        <w:rPr>
          <w:rFonts w:cs="Calibri"/>
          <w:lang w:val="en-GB"/>
        </w:rPr>
        <w:t>s</w:t>
      </w:r>
      <w:r w:rsidRPr="00B64995">
        <w:rPr>
          <w:rFonts w:cs="Calibri"/>
          <w:lang w:val="en-GB"/>
        </w:rPr>
        <w:t xml:space="preserve">pace and </w:t>
      </w:r>
      <w:r w:rsidR="0063311E" w:rsidRPr="00B64995">
        <w:rPr>
          <w:rFonts w:cs="Calibri"/>
          <w:lang w:val="en-GB"/>
        </w:rPr>
        <w:t>t</w:t>
      </w:r>
      <w:r w:rsidRPr="00B64995">
        <w:rPr>
          <w:rFonts w:cs="Calibri"/>
          <w:lang w:val="en-GB"/>
        </w:rPr>
        <w:t xml:space="preserve">errestrial </w:t>
      </w:r>
      <w:r w:rsidR="0063311E" w:rsidRPr="00B64995">
        <w:rPr>
          <w:rFonts w:cs="Calibri"/>
          <w:lang w:val="en-GB"/>
        </w:rPr>
        <w:t>s</w:t>
      </w:r>
      <w:r w:rsidRPr="00B64995">
        <w:rPr>
          <w:rFonts w:cs="Calibri"/>
          <w:lang w:val="en-GB"/>
        </w:rPr>
        <w:t>ervices)</w:t>
      </w:r>
      <w:r w:rsidR="008A2F98" w:rsidRPr="00B64995">
        <w:rPr>
          <w:rFonts w:cs="Calibri"/>
          <w:lang w:val="en-GB"/>
        </w:rPr>
        <w:t>.</w:t>
      </w:r>
    </w:p>
    <w:p w14:paraId="70F9D871" w14:textId="16B08996" w:rsidR="00CB6EE2" w:rsidRPr="00B64995" w:rsidRDefault="00CB6EE2" w:rsidP="00614D53">
      <w:pPr>
        <w:pStyle w:val="ListParagraph"/>
        <w:numPr>
          <w:ilvl w:val="0"/>
          <w:numId w:val="6"/>
        </w:numPr>
        <w:jc w:val="both"/>
        <w:rPr>
          <w:rFonts w:cs="Calibri"/>
          <w:lang w:val="en-GB"/>
        </w:rPr>
      </w:pPr>
      <w:r w:rsidRPr="00B64995">
        <w:rPr>
          <w:rFonts w:cs="Calibri"/>
          <w:lang w:val="en-GB"/>
        </w:rPr>
        <w:t>Rewrite legacy software for technical examination</w:t>
      </w:r>
      <w:r w:rsidR="008A2F98" w:rsidRPr="00B64995">
        <w:rPr>
          <w:rFonts w:cs="Calibri"/>
          <w:lang w:val="en-GB"/>
        </w:rPr>
        <w:t>.</w:t>
      </w:r>
    </w:p>
    <w:p w14:paraId="2537EAAA" w14:textId="56B0986B" w:rsidR="00CB6EE2" w:rsidRPr="00B64995" w:rsidRDefault="00CB6EE2" w:rsidP="00614D53">
      <w:pPr>
        <w:pStyle w:val="ListParagraph"/>
        <w:numPr>
          <w:ilvl w:val="0"/>
          <w:numId w:val="6"/>
        </w:numPr>
        <w:jc w:val="both"/>
        <w:rPr>
          <w:rFonts w:cs="Calibri"/>
          <w:lang w:val="en-GB"/>
        </w:rPr>
      </w:pPr>
      <w:r w:rsidRPr="00B64995">
        <w:rPr>
          <w:rFonts w:cs="Calibri"/>
          <w:lang w:val="en-GB"/>
        </w:rPr>
        <w:t>Design and develop the BR Space Information System (BR SIS)</w:t>
      </w:r>
      <w:r w:rsidR="008A2F98" w:rsidRPr="00B64995">
        <w:rPr>
          <w:rFonts w:cs="Calibri"/>
          <w:lang w:val="en-GB"/>
        </w:rPr>
        <w:t>.</w:t>
      </w:r>
    </w:p>
    <w:p w14:paraId="61829076" w14:textId="77777777" w:rsidR="007B0128" w:rsidRPr="00B64995" w:rsidRDefault="007B0128" w:rsidP="00614D53">
      <w:pPr>
        <w:jc w:val="both"/>
        <w:rPr>
          <w:b/>
          <w:bCs/>
        </w:rPr>
      </w:pPr>
    </w:p>
    <w:p w14:paraId="17D8422A" w14:textId="35F1D890" w:rsidR="00CB6EE2" w:rsidRPr="00B64995" w:rsidRDefault="00CB6EE2" w:rsidP="00A83DAA">
      <w:pPr>
        <w:pStyle w:val="Heading5"/>
      </w:pPr>
      <w:r w:rsidRPr="00B64995">
        <w:lastRenderedPageBreak/>
        <w:t>A</w:t>
      </w:r>
      <w:r w:rsidR="00AC4914" w:rsidRPr="00B64995">
        <w:t>chievements resulting from a</w:t>
      </w:r>
      <w:r w:rsidRPr="00B64995">
        <w:t xml:space="preserve">ctivities for space </w:t>
      </w:r>
      <w:proofErr w:type="gramStart"/>
      <w:r w:rsidRPr="00B64995">
        <w:t>applications</w:t>
      </w:r>
      <w:proofErr w:type="gramEnd"/>
    </w:p>
    <w:p w14:paraId="747F8098" w14:textId="4FD42234" w:rsidR="00CB6EE2" w:rsidRPr="00B64995" w:rsidRDefault="00CB6EE2" w:rsidP="00614D53">
      <w:pPr>
        <w:pStyle w:val="ListParagraph"/>
        <w:numPr>
          <w:ilvl w:val="0"/>
          <w:numId w:val="7"/>
        </w:numPr>
        <w:jc w:val="both"/>
        <w:rPr>
          <w:rFonts w:cs="Calibri"/>
          <w:lang w:val="en-GB"/>
        </w:rPr>
      </w:pPr>
      <w:r w:rsidRPr="00B64995">
        <w:rPr>
          <w:rFonts w:cs="Calibri"/>
          <w:lang w:val="en-GB"/>
        </w:rPr>
        <w:t>Implementation of Resolution 907 (Rev. WRC-15): Use of modern electronic means of communication for satellite network-related administrative correspondence</w:t>
      </w:r>
      <w:r w:rsidR="008A2F98" w:rsidRPr="00B64995">
        <w:rPr>
          <w:rFonts w:cs="Calibri"/>
          <w:lang w:val="en-GB"/>
        </w:rPr>
        <w:t>.</w:t>
      </w:r>
    </w:p>
    <w:p w14:paraId="52FE7268" w14:textId="1830FCDC" w:rsidR="00007BBE" w:rsidRPr="00B64995" w:rsidRDefault="00CB6EE2" w:rsidP="00007BBE">
      <w:pPr>
        <w:pStyle w:val="ListParagraph"/>
        <w:numPr>
          <w:ilvl w:val="0"/>
          <w:numId w:val="7"/>
        </w:numPr>
        <w:jc w:val="both"/>
        <w:rPr>
          <w:rFonts w:cs="Calibri"/>
          <w:lang w:val="en-GB"/>
        </w:rPr>
      </w:pPr>
      <w:r w:rsidRPr="00B64995">
        <w:rPr>
          <w:rFonts w:cs="Calibri"/>
          <w:lang w:val="en-GB"/>
        </w:rPr>
        <w:t>Implementation of the new non-GSO PFD examination software</w:t>
      </w:r>
      <w:r w:rsidR="008A2F98" w:rsidRPr="00B64995">
        <w:rPr>
          <w:rFonts w:cs="Calibri"/>
          <w:lang w:val="en-GB"/>
        </w:rPr>
        <w:t>.</w:t>
      </w:r>
    </w:p>
    <w:p w14:paraId="7893F23F" w14:textId="77777777" w:rsidR="00007BBE" w:rsidRPr="00B64995" w:rsidRDefault="00007BBE" w:rsidP="00007BBE"/>
    <w:p w14:paraId="1FFED8B4" w14:textId="5ADFB3B8" w:rsidR="00CA1A34" w:rsidRPr="00B64995" w:rsidRDefault="00DA4B3A" w:rsidP="00614D53">
      <w:pPr>
        <w:jc w:val="both"/>
      </w:pPr>
      <w:r w:rsidRPr="00B64995">
        <w:t>In 2019 t</w:t>
      </w:r>
      <w:r w:rsidR="00CA1A34" w:rsidRPr="00B64995">
        <w:t>he ITU Development Sector (ITU-D)</w:t>
      </w:r>
      <w:r w:rsidR="00A3450C" w:rsidRPr="00B64995">
        <w:t>,</w:t>
      </w:r>
      <w:r w:rsidR="00CA1A34" w:rsidRPr="00B64995">
        <w:t xml:space="preserve"> </w:t>
      </w:r>
      <w:r w:rsidR="2ABAE0F3" w:rsidRPr="00B64995">
        <w:t xml:space="preserve">in coordination </w:t>
      </w:r>
      <w:r w:rsidR="00C94EE3" w:rsidRPr="00B64995">
        <w:t>with ITU-R</w:t>
      </w:r>
      <w:r w:rsidR="00A3450C" w:rsidRPr="00B64995">
        <w:t xml:space="preserve">, </w:t>
      </w:r>
      <w:r w:rsidR="19594F77" w:rsidRPr="00B64995">
        <w:t xml:space="preserve">conducted the following additional work </w:t>
      </w:r>
      <w:r w:rsidR="72F13442" w:rsidRPr="00B64995">
        <w:t xml:space="preserve">to </w:t>
      </w:r>
      <w:r w:rsidR="00CA1A34" w:rsidRPr="00B64995">
        <w:t>support developing countries with capacity building on issues</w:t>
      </w:r>
      <w:r w:rsidR="07DE1771" w:rsidRPr="00B64995">
        <w:t xml:space="preserve"> related with spectrum management</w:t>
      </w:r>
      <w:r w:rsidR="00CA1A34" w:rsidRPr="00B64995">
        <w:t>:</w:t>
      </w:r>
    </w:p>
    <w:p w14:paraId="6531D450" w14:textId="2ECB010C" w:rsidR="0049723A" w:rsidRPr="00B64995" w:rsidRDefault="1DD47BA2" w:rsidP="00B65153">
      <w:pPr>
        <w:pStyle w:val="ListParagraph"/>
        <w:numPr>
          <w:ilvl w:val="0"/>
          <w:numId w:val="27"/>
        </w:numPr>
        <w:overflowPunct w:val="0"/>
        <w:autoSpaceDE w:val="0"/>
        <w:autoSpaceDN w:val="0"/>
        <w:spacing w:after="120"/>
        <w:jc w:val="both"/>
        <w:rPr>
          <w:rFonts w:cs="Calibri"/>
          <w:color w:val="000000" w:themeColor="text1"/>
          <w:lang w:val="en-GB"/>
        </w:rPr>
      </w:pPr>
      <w:r w:rsidRPr="00B64995">
        <w:rPr>
          <w:rFonts w:cs="Calibri"/>
          <w:i/>
          <w:color w:val="000000" w:themeColor="text1"/>
          <w:lang w:val="en-GB"/>
        </w:rPr>
        <w:t>Policy and Regulation Initiative for Digital Africa (</w:t>
      </w:r>
      <w:proofErr w:type="gramStart"/>
      <w:r w:rsidR="00CB6EE2" w:rsidRPr="00B64995">
        <w:rPr>
          <w:rFonts w:cs="Calibri"/>
          <w:i/>
          <w:color w:val="000000" w:themeColor="text1"/>
          <w:lang w:val="en-GB"/>
        </w:rPr>
        <w:t>PRIDA</w:t>
      </w:r>
      <w:r w:rsidR="005B4F66" w:rsidRPr="00B64995">
        <w:rPr>
          <w:rFonts w:cs="Calibri"/>
          <w:color w:val="000000" w:themeColor="text1"/>
          <w:lang w:val="en-GB"/>
        </w:rPr>
        <w:t>;</w:t>
      </w:r>
      <w:proofErr w:type="gramEnd"/>
    </w:p>
    <w:p w14:paraId="3FEF4E77" w14:textId="073C5E34" w:rsidR="0049723A" w:rsidRPr="00B64995" w:rsidRDefault="00CB6EE2" w:rsidP="00B65153">
      <w:pPr>
        <w:pStyle w:val="ListParagraph"/>
        <w:numPr>
          <w:ilvl w:val="0"/>
          <w:numId w:val="27"/>
        </w:numPr>
        <w:overflowPunct w:val="0"/>
        <w:autoSpaceDE w:val="0"/>
        <w:autoSpaceDN w:val="0"/>
        <w:spacing w:after="120"/>
        <w:jc w:val="both"/>
        <w:rPr>
          <w:rFonts w:cs="Calibri"/>
          <w:color w:val="000000" w:themeColor="text1"/>
          <w:lang w:val="en-GB"/>
        </w:rPr>
      </w:pPr>
      <w:r w:rsidRPr="00B64995">
        <w:rPr>
          <w:rFonts w:cs="Calibri"/>
          <w:i/>
          <w:iCs/>
          <w:color w:val="000000" w:themeColor="text1"/>
          <w:lang w:val="en-GB"/>
        </w:rPr>
        <w:t>ITU Seminar on Radiocommunication Matters for Europe (SRME-</w:t>
      </w:r>
      <w:proofErr w:type="gramStart"/>
      <w:r w:rsidRPr="00B64995">
        <w:rPr>
          <w:rFonts w:cs="Calibri"/>
          <w:i/>
          <w:iCs/>
          <w:color w:val="000000" w:themeColor="text1"/>
          <w:lang w:val="en-GB"/>
        </w:rPr>
        <w:t>19</w:t>
      </w:r>
      <w:r w:rsidR="005B4F66" w:rsidRPr="00B64995">
        <w:rPr>
          <w:rFonts w:cs="Calibri"/>
          <w:color w:val="000000" w:themeColor="text1"/>
          <w:lang w:val="en-GB"/>
        </w:rPr>
        <w:t>;</w:t>
      </w:r>
      <w:proofErr w:type="gramEnd"/>
    </w:p>
    <w:p w14:paraId="5357C5C1" w14:textId="5B57BAFD" w:rsidR="00CB6EE2" w:rsidRPr="00B64995" w:rsidRDefault="00CB6EE2" w:rsidP="00007BBE">
      <w:pPr>
        <w:pStyle w:val="ListParagraph"/>
        <w:numPr>
          <w:ilvl w:val="0"/>
          <w:numId w:val="27"/>
        </w:numPr>
        <w:spacing w:after="240"/>
        <w:jc w:val="both"/>
        <w:rPr>
          <w:rFonts w:eastAsia="Times New Roman" w:cs="Calibri"/>
          <w:color w:val="000000" w:themeColor="text1"/>
          <w:lang w:val="en-GB"/>
        </w:rPr>
      </w:pPr>
      <w:r w:rsidRPr="00B64995">
        <w:rPr>
          <w:rFonts w:cs="Calibri"/>
          <w:i/>
          <w:lang w:val="en-GB"/>
        </w:rPr>
        <w:t>A regional spectrum management training seminar</w:t>
      </w:r>
      <w:r w:rsidRPr="00B64995">
        <w:rPr>
          <w:rFonts w:cs="Calibri"/>
          <w:lang w:val="en-GB"/>
        </w:rPr>
        <w:t xml:space="preserve"> for the Caribbean.</w:t>
      </w:r>
    </w:p>
    <w:p w14:paraId="1184406F" w14:textId="77777777" w:rsidR="00C02906" w:rsidRPr="00B64995" w:rsidRDefault="03776CAB" w:rsidP="00007BBE">
      <w:pPr>
        <w:jc w:val="both"/>
        <w:rPr>
          <w:rFonts w:eastAsia="Calibri"/>
        </w:rPr>
      </w:pPr>
      <w:r w:rsidRPr="00B64995">
        <w:rPr>
          <w:rFonts w:eastAsia="Calibri"/>
        </w:rPr>
        <w:t xml:space="preserve">In addition to the previous activities, ITU-D provided specialized assistance to </w:t>
      </w:r>
      <w:r w:rsidR="00E248ED" w:rsidRPr="00B64995">
        <w:rPr>
          <w:rFonts w:eastAsia="Calibri"/>
        </w:rPr>
        <w:t xml:space="preserve">Regions and </w:t>
      </w:r>
      <w:r w:rsidRPr="00B64995">
        <w:rPr>
          <w:rFonts w:eastAsia="Calibri"/>
        </w:rPr>
        <w:t>ITU administrations</w:t>
      </w:r>
      <w:r w:rsidR="00E248ED" w:rsidRPr="00B64995">
        <w:rPr>
          <w:rFonts w:eastAsia="Calibri"/>
        </w:rPr>
        <w:t>, as follows</w:t>
      </w:r>
      <w:r w:rsidR="00C02906" w:rsidRPr="00B64995">
        <w:rPr>
          <w:rFonts w:eastAsia="Calibri"/>
        </w:rPr>
        <w:t>:</w:t>
      </w:r>
    </w:p>
    <w:p w14:paraId="7E76B658" w14:textId="25719595" w:rsidR="03776CAB" w:rsidRPr="00B64995" w:rsidRDefault="03776CAB" w:rsidP="00614D53">
      <w:pPr>
        <w:pStyle w:val="ListParagraph"/>
        <w:numPr>
          <w:ilvl w:val="0"/>
          <w:numId w:val="5"/>
        </w:numPr>
        <w:jc w:val="both"/>
        <w:rPr>
          <w:rFonts w:eastAsiaTheme="minorEastAsia" w:cs="Calibri"/>
          <w:lang w:val="en-GB"/>
        </w:rPr>
      </w:pPr>
      <w:r w:rsidRPr="00B64995">
        <w:rPr>
          <w:rFonts w:eastAsia="Calibri" w:cs="Calibri"/>
          <w:lang w:val="en-GB"/>
        </w:rPr>
        <w:t xml:space="preserve">Mongolia, to review the national radio frequency spectrum charging regime and amending its national laws on </w:t>
      </w:r>
      <w:proofErr w:type="gramStart"/>
      <w:r w:rsidRPr="00B64995">
        <w:rPr>
          <w:rFonts w:eastAsia="Calibri" w:cs="Calibri"/>
          <w:lang w:val="en-GB"/>
        </w:rPr>
        <w:t>frequencies</w:t>
      </w:r>
      <w:r w:rsidR="005B4F66" w:rsidRPr="00B64995">
        <w:rPr>
          <w:rFonts w:eastAsia="Calibri" w:cs="Calibri"/>
          <w:lang w:val="en-GB"/>
        </w:rPr>
        <w:t>;</w:t>
      </w:r>
      <w:proofErr w:type="gramEnd"/>
    </w:p>
    <w:p w14:paraId="0C7A6B5F" w14:textId="77777777" w:rsidR="0049723A" w:rsidRPr="00B64995" w:rsidRDefault="03776CAB" w:rsidP="00614D53">
      <w:pPr>
        <w:pStyle w:val="ListParagraph"/>
        <w:numPr>
          <w:ilvl w:val="0"/>
          <w:numId w:val="5"/>
        </w:numPr>
        <w:jc w:val="both"/>
        <w:rPr>
          <w:rFonts w:eastAsia="Calibri" w:cs="Calibri"/>
          <w:lang w:val="en-GB"/>
        </w:rPr>
      </w:pPr>
      <w:r w:rsidRPr="00B64995">
        <w:rPr>
          <w:rFonts w:eastAsia="Calibri" w:cs="Calibri"/>
          <w:lang w:val="en-GB"/>
        </w:rPr>
        <w:t xml:space="preserve">Solomon Islands and Vanuatu, to develop a national </w:t>
      </w:r>
      <w:proofErr w:type="gramStart"/>
      <w:r w:rsidRPr="00B64995">
        <w:rPr>
          <w:rFonts w:eastAsia="Calibri" w:cs="Calibri"/>
          <w:lang w:val="en-GB"/>
        </w:rPr>
        <w:t>type</w:t>
      </w:r>
      <w:proofErr w:type="gramEnd"/>
      <w:r w:rsidRPr="00B64995">
        <w:rPr>
          <w:rFonts w:eastAsia="Calibri" w:cs="Calibri"/>
          <w:lang w:val="en-GB"/>
        </w:rPr>
        <w:t xml:space="preserve"> approval regime for short-range wireless devices</w:t>
      </w:r>
      <w:r w:rsidR="005B4F66" w:rsidRPr="00B64995">
        <w:rPr>
          <w:rFonts w:eastAsia="Calibri" w:cs="Calibri"/>
          <w:lang w:val="en-GB"/>
        </w:rPr>
        <w:t>;</w:t>
      </w:r>
    </w:p>
    <w:p w14:paraId="1EDCB647" w14:textId="6919590E" w:rsidR="03776CAB" w:rsidRPr="00B64995" w:rsidRDefault="03776CAB" w:rsidP="00614D53">
      <w:pPr>
        <w:pStyle w:val="ListParagraph"/>
        <w:numPr>
          <w:ilvl w:val="0"/>
          <w:numId w:val="5"/>
        </w:numPr>
        <w:jc w:val="both"/>
        <w:rPr>
          <w:rFonts w:eastAsiaTheme="minorEastAsia" w:cs="Calibri"/>
          <w:lang w:val="en-GB"/>
        </w:rPr>
      </w:pPr>
      <w:r w:rsidRPr="00B64995">
        <w:rPr>
          <w:rFonts w:eastAsia="Calibri" w:cs="Calibri"/>
          <w:lang w:val="en-GB"/>
        </w:rPr>
        <w:t>more than 15 workshops and trainings to raise awareness and build skills on spectrum management and trainings in Asia-</w:t>
      </w:r>
      <w:proofErr w:type="gramStart"/>
      <w:r w:rsidRPr="00B64995">
        <w:rPr>
          <w:rFonts w:eastAsia="Calibri" w:cs="Calibri"/>
          <w:lang w:val="en-GB"/>
        </w:rPr>
        <w:t>Pacific</w:t>
      </w:r>
      <w:r w:rsidR="005B4F66" w:rsidRPr="00B64995">
        <w:rPr>
          <w:rFonts w:eastAsia="Calibri" w:cs="Calibri"/>
          <w:lang w:val="en-GB"/>
        </w:rPr>
        <w:t>;</w:t>
      </w:r>
      <w:proofErr w:type="gramEnd"/>
    </w:p>
    <w:p w14:paraId="0C1A64EC" w14:textId="4FAD5107" w:rsidR="03776CAB" w:rsidRPr="00B64995" w:rsidRDefault="03776CAB" w:rsidP="00614D53">
      <w:pPr>
        <w:pStyle w:val="ListParagraph"/>
        <w:numPr>
          <w:ilvl w:val="0"/>
          <w:numId w:val="5"/>
        </w:numPr>
        <w:jc w:val="both"/>
        <w:rPr>
          <w:rFonts w:eastAsiaTheme="minorEastAsia" w:cs="Calibri"/>
          <w:lang w:val="en-GB"/>
        </w:rPr>
      </w:pPr>
      <w:r w:rsidRPr="00B64995">
        <w:rPr>
          <w:rFonts w:eastAsia="Calibri" w:cs="Calibri"/>
          <w:lang w:val="en-GB"/>
        </w:rPr>
        <w:t>assistance to the Ministry of Science, Energy and Technology and the Spectrum Management Authority of Jamaica for the development of a national spectrum licen</w:t>
      </w:r>
      <w:r w:rsidR="00395155" w:rsidRPr="00B64995">
        <w:rPr>
          <w:rFonts w:eastAsia="Calibri" w:cs="Calibri"/>
          <w:lang w:val="en-GB"/>
        </w:rPr>
        <w:t>c</w:t>
      </w:r>
      <w:r w:rsidRPr="00B64995">
        <w:rPr>
          <w:rFonts w:eastAsia="Calibri" w:cs="Calibri"/>
          <w:lang w:val="en-GB"/>
        </w:rPr>
        <w:t xml:space="preserve">e </w:t>
      </w:r>
      <w:proofErr w:type="gramStart"/>
      <w:r w:rsidRPr="00B64995">
        <w:rPr>
          <w:rFonts w:eastAsia="Calibri" w:cs="Calibri"/>
          <w:lang w:val="en-GB"/>
        </w:rPr>
        <w:t>framework</w:t>
      </w:r>
      <w:r w:rsidR="005B4F66" w:rsidRPr="00B64995">
        <w:rPr>
          <w:rFonts w:eastAsia="Calibri" w:cs="Calibri"/>
          <w:lang w:val="en-GB"/>
        </w:rPr>
        <w:t>;</w:t>
      </w:r>
      <w:proofErr w:type="gramEnd"/>
    </w:p>
    <w:p w14:paraId="07420307" w14:textId="02392DDA" w:rsidR="03776CAB" w:rsidRPr="00B64995" w:rsidRDefault="03776CAB" w:rsidP="00614D53">
      <w:pPr>
        <w:pStyle w:val="ListParagraph"/>
        <w:numPr>
          <w:ilvl w:val="0"/>
          <w:numId w:val="5"/>
        </w:numPr>
        <w:jc w:val="both"/>
        <w:rPr>
          <w:rFonts w:eastAsiaTheme="minorEastAsia" w:cs="Calibri"/>
          <w:lang w:val="en-GB"/>
        </w:rPr>
      </w:pPr>
      <w:r w:rsidRPr="00B64995">
        <w:rPr>
          <w:rFonts w:eastAsia="Calibri" w:cs="Calibri"/>
          <w:lang w:val="en-GB"/>
        </w:rPr>
        <w:t>the third annual CIS region and CEE spectrum management conference and ITU workshop on interference-free communication (Minsk, Belarus</w:t>
      </w:r>
      <w:proofErr w:type="gramStart"/>
      <w:r w:rsidRPr="00B64995">
        <w:rPr>
          <w:rFonts w:eastAsia="Calibri" w:cs="Calibri"/>
          <w:lang w:val="en-GB"/>
        </w:rPr>
        <w:t>)</w:t>
      </w:r>
      <w:r w:rsidR="005B4F66" w:rsidRPr="00B64995">
        <w:rPr>
          <w:rFonts w:eastAsia="Calibri" w:cs="Calibri"/>
          <w:lang w:val="en-GB"/>
        </w:rPr>
        <w:t>;</w:t>
      </w:r>
      <w:proofErr w:type="gramEnd"/>
    </w:p>
    <w:p w14:paraId="730DCA51" w14:textId="66A0B14D" w:rsidR="03776CAB" w:rsidRPr="00B64995" w:rsidRDefault="03776CAB" w:rsidP="00614D53">
      <w:pPr>
        <w:pStyle w:val="ListParagraph"/>
        <w:numPr>
          <w:ilvl w:val="0"/>
          <w:numId w:val="5"/>
        </w:numPr>
        <w:jc w:val="both"/>
        <w:rPr>
          <w:rFonts w:eastAsiaTheme="minorEastAsia" w:cs="Calibri"/>
          <w:lang w:val="en-GB"/>
        </w:rPr>
      </w:pPr>
      <w:r w:rsidRPr="00B64995">
        <w:rPr>
          <w:rFonts w:eastAsia="Calibri" w:cs="Calibri"/>
          <w:lang w:val="en-GB"/>
        </w:rPr>
        <w:t xml:space="preserve">a series of workshops and seminars in CIS to discuss the future of television, the mapping of terrestrial broadband infrastructure and services and radiocommunication </w:t>
      </w:r>
      <w:proofErr w:type="gramStart"/>
      <w:r w:rsidRPr="00B64995">
        <w:rPr>
          <w:rFonts w:eastAsia="Calibri" w:cs="Calibri"/>
          <w:lang w:val="en-GB"/>
        </w:rPr>
        <w:t>matters</w:t>
      </w:r>
      <w:r w:rsidR="005B4F66" w:rsidRPr="00B64995">
        <w:rPr>
          <w:rFonts w:eastAsia="Calibri" w:cs="Calibri"/>
          <w:lang w:val="en-GB"/>
        </w:rPr>
        <w:t>;</w:t>
      </w:r>
      <w:proofErr w:type="gramEnd"/>
    </w:p>
    <w:p w14:paraId="3D23A553" w14:textId="3DBEBE27" w:rsidR="03776CAB" w:rsidRPr="00B64995" w:rsidRDefault="03776CAB" w:rsidP="00614D53">
      <w:pPr>
        <w:pStyle w:val="ListParagraph"/>
        <w:numPr>
          <w:ilvl w:val="0"/>
          <w:numId w:val="5"/>
        </w:numPr>
        <w:jc w:val="both"/>
        <w:rPr>
          <w:rFonts w:eastAsiaTheme="minorEastAsia" w:cs="Calibri"/>
          <w:lang w:val="en-GB"/>
        </w:rPr>
      </w:pPr>
      <w:r w:rsidRPr="00B64995">
        <w:rPr>
          <w:rFonts w:eastAsia="Calibri" w:cs="Calibri"/>
          <w:lang w:val="en-GB"/>
        </w:rPr>
        <w:t>assistance within Korean projects related to spectrum management basics and Spectrum Management System for Developing Countries (SMS4DC</w:t>
      </w:r>
      <w:proofErr w:type="gramStart"/>
      <w:r w:rsidRPr="00B64995">
        <w:rPr>
          <w:rFonts w:eastAsia="Calibri" w:cs="Calibri"/>
          <w:lang w:val="en-GB"/>
        </w:rPr>
        <w:t>)</w:t>
      </w:r>
      <w:r w:rsidR="005B4F66" w:rsidRPr="00B64995">
        <w:rPr>
          <w:rFonts w:eastAsia="Calibri" w:cs="Calibri"/>
          <w:lang w:val="en-GB"/>
        </w:rPr>
        <w:t>;</w:t>
      </w:r>
      <w:proofErr w:type="gramEnd"/>
    </w:p>
    <w:p w14:paraId="2E226C78" w14:textId="4E7EA5D8" w:rsidR="00CB6EE2" w:rsidRPr="00B64995" w:rsidRDefault="03776CAB" w:rsidP="00614D53">
      <w:pPr>
        <w:pStyle w:val="ListParagraph"/>
        <w:numPr>
          <w:ilvl w:val="0"/>
          <w:numId w:val="5"/>
        </w:numPr>
        <w:jc w:val="both"/>
        <w:rPr>
          <w:rFonts w:eastAsiaTheme="minorEastAsia" w:cs="Calibri"/>
          <w:lang w:val="en-GB"/>
        </w:rPr>
      </w:pPr>
      <w:r w:rsidRPr="00B64995">
        <w:rPr>
          <w:rFonts w:eastAsia="Calibri" w:cs="Calibri"/>
          <w:lang w:val="en-GB"/>
        </w:rPr>
        <w:t>SMS4DC Technical training in Vientiane, Lao PDR.</w:t>
      </w:r>
    </w:p>
    <w:p w14:paraId="1918FB24" w14:textId="77777777" w:rsidR="0049723A" w:rsidRPr="00B64995" w:rsidRDefault="0049723A" w:rsidP="00614D53">
      <w:pPr>
        <w:jc w:val="both"/>
        <w:textAlignment w:val="baseline"/>
        <w:rPr>
          <w:rFonts w:eastAsia="Times New Roman"/>
          <w:lang w:eastAsia="en-GB"/>
        </w:rPr>
      </w:pPr>
    </w:p>
    <w:p w14:paraId="3AED07AE" w14:textId="77777777" w:rsidR="0049723A" w:rsidRPr="00B64995" w:rsidRDefault="00026FC6" w:rsidP="00026FC6">
      <w:pPr>
        <w:pStyle w:val="Heading2"/>
        <w:rPr>
          <w:lang w:eastAsia="en-GB"/>
        </w:rPr>
      </w:pPr>
      <w:bookmarkStart w:id="33" w:name="_Toc37860457"/>
      <w:bookmarkStart w:id="34" w:name="_Toc37861218"/>
      <w:bookmarkStart w:id="35" w:name="_Toc37943337"/>
      <w:bookmarkStart w:id="36" w:name="_Toc68811407"/>
      <w:r w:rsidRPr="00B64995">
        <w:rPr>
          <w:lang w:eastAsia="en-GB"/>
        </w:rPr>
        <w:t>1.3</w:t>
      </w:r>
      <w:r w:rsidRPr="00B64995">
        <w:rPr>
          <w:lang w:eastAsia="en-GB"/>
        </w:rPr>
        <w:tab/>
      </w:r>
      <w:r w:rsidR="00E417F0" w:rsidRPr="00B64995">
        <w:rPr>
          <w:lang w:eastAsia="en-GB"/>
        </w:rPr>
        <w:t>Standardization</w:t>
      </w:r>
      <w:bookmarkEnd w:id="33"/>
      <w:bookmarkEnd w:id="34"/>
      <w:bookmarkEnd w:id="35"/>
      <w:bookmarkEnd w:id="36"/>
    </w:p>
    <w:p w14:paraId="2DBF0D7D" w14:textId="4FF31157" w:rsidR="00CD1524" w:rsidRPr="00B64995" w:rsidRDefault="00CD1524" w:rsidP="00614D53">
      <w:pPr>
        <w:jc w:val="both"/>
        <w:textAlignment w:val="baseline"/>
        <w:rPr>
          <w:rFonts w:eastAsia="Times New Roman"/>
          <w:lang w:eastAsia="en-GB"/>
        </w:rPr>
      </w:pPr>
    </w:p>
    <w:p w14:paraId="0D3A2B99" w14:textId="77777777" w:rsidR="0049723A" w:rsidRPr="00B64995" w:rsidRDefault="35192DC2" w:rsidP="00614D53">
      <w:pPr>
        <w:autoSpaceDE w:val="0"/>
        <w:autoSpaceDN w:val="0"/>
        <w:adjustRightInd w:val="0"/>
        <w:spacing w:after="120"/>
        <w:jc w:val="both"/>
      </w:pPr>
      <w:r w:rsidRPr="00B64995">
        <w:t>ITU’s standardization work comprises telecommunications standards (ITU-T Recommendations) and radiocommunications standards (ITU-R Recommendations).</w:t>
      </w:r>
    </w:p>
    <w:p w14:paraId="7CFB522A" w14:textId="15BCF61B" w:rsidR="3413F6DA" w:rsidRPr="00B64995" w:rsidRDefault="3413F6DA" w:rsidP="00A83DAA">
      <w:pPr>
        <w:pStyle w:val="Heading5"/>
      </w:pPr>
      <w:r w:rsidRPr="00B64995">
        <w:t>ITU-T Recommendations</w:t>
      </w:r>
    </w:p>
    <w:p w14:paraId="70E01535" w14:textId="61EBFC6E" w:rsidR="593547E3" w:rsidRPr="00B64995" w:rsidRDefault="00570F0C" w:rsidP="00614D53">
      <w:pPr>
        <w:spacing w:after="120"/>
        <w:jc w:val="both"/>
        <w:rPr>
          <w:rFonts w:eastAsia="Calibri"/>
        </w:rPr>
      </w:pPr>
      <w:hyperlink r:id="rId37">
        <w:r w:rsidR="593547E3" w:rsidRPr="00A060FE">
          <w:rPr>
            <w:rStyle w:val="Hyperlink"/>
            <w:rFonts w:eastAsia="Calibri"/>
          </w:rPr>
          <w:t>ITU-T Recommendations</w:t>
        </w:r>
      </w:hyperlink>
      <w:r w:rsidR="593547E3" w:rsidRPr="00A060FE">
        <w:rPr>
          <w:rFonts w:eastAsia="Calibri"/>
        </w:rPr>
        <w:t xml:space="preserve"> define how ICT networks operate and </w:t>
      </w:r>
      <w:r w:rsidR="003A0F17" w:rsidRPr="00A060FE">
        <w:rPr>
          <w:rFonts w:eastAsia="Calibri"/>
        </w:rPr>
        <w:t>interwork</w:t>
      </w:r>
      <w:r w:rsidR="593547E3" w:rsidRPr="00B64995">
        <w:rPr>
          <w:rFonts w:eastAsia="Calibri"/>
        </w:rPr>
        <w:t>. Although these Recommendations have non-mandatory status un</w:t>
      </w:r>
      <w:r w:rsidR="00B858A9" w:rsidRPr="00B64995">
        <w:rPr>
          <w:rFonts w:eastAsia="Calibri"/>
        </w:rPr>
        <w:t>less</w:t>
      </w:r>
      <w:r w:rsidR="00D45615" w:rsidRPr="00B64995">
        <w:rPr>
          <w:rFonts w:eastAsia="Calibri"/>
        </w:rPr>
        <w:t xml:space="preserve"> </w:t>
      </w:r>
      <w:r w:rsidR="593547E3" w:rsidRPr="00B64995">
        <w:rPr>
          <w:rFonts w:eastAsia="Calibri"/>
        </w:rPr>
        <w:t xml:space="preserve">adopted in national law, the level of compliance is high due </w:t>
      </w:r>
      <w:r w:rsidR="00F83DDC" w:rsidRPr="00B64995">
        <w:rPr>
          <w:rFonts w:eastAsia="Calibri"/>
        </w:rPr>
        <w:t xml:space="preserve">to </w:t>
      </w:r>
      <w:r w:rsidR="593547E3" w:rsidRPr="00B64995">
        <w:rPr>
          <w:rFonts w:eastAsia="Calibri"/>
        </w:rPr>
        <w:t>their international applicability and level of quality. Currently, there are over 4</w:t>
      </w:r>
      <w:r w:rsidR="00A060FE">
        <w:rPr>
          <w:rFonts w:eastAsia="Calibri"/>
        </w:rPr>
        <w:t> </w:t>
      </w:r>
      <w:r w:rsidR="593547E3" w:rsidRPr="00B64995">
        <w:rPr>
          <w:rFonts w:eastAsia="Calibri"/>
        </w:rPr>
        <w:t xml:space="preserve">000 Recommendations in force on </w:t>
      </w:r>
      <w:r w:rsidR="00B9316F" w:rsidRPr="00B64995">
        <w:rPr>
          <w:rFonts w:eastAsia="Calibri"/>
        </w:rPr>
        <w:t xml:space="preserve">a broad range of </w:t>
      </w:r>
      <w:r w:rsidR="593547E3" w:rsidRPr="00B64995">
        <w:rPr>
          <w:rFonts w:eastAsia="Calibri"/>
        </w:rPr>
        <w:t xml:space="preserve">topics </w:t>
      </w:r>
      <w:r w:rsidR="00B9316F" w:rsidRPr="00B64995">
        <w:rPr>
          <w:rFonts w:eastAsia="Calibri"/>
        </w:rPr>
        <w:t>including</w:t>
      </w:r>
      <w:r w:rsidR="0074268A" w:rsidRPr="00B64995">
        <w:rPr>
          <w:rFonts w:eastAsia="Calibri"/>
        </w:rPr>
        <w:t xml:space="preserve"> </w:t>
      </w:r>
      <w:r w:rsidR="593547E3" w:rsidRPr="00B64995">
        <w:rPr>
          <w:rFonts w:eastAsia="Calibri"/>
        </w:rPr>
        <w:t xml:space="preserve">service definition to network architecture and security, broadband DSL to Gbit/s optical transmission systems, </w:t>
      </w:r>
      <w:r w:rsidR="00272322" w:rsidRPr="00B64995">
        <w:rPr>
          <w:rFonts w:eastAsia="Calibri"/>
        </w:rPr>
        <w:t xml:space="preserve">Network-2030, </w:t>
      </w:r>
      <w:r w:rsidR="009E6B32" w:rsidRPr="00B64995">
        <w:rPr>
          <w:rFonts w:eastAsia="Calibri"/>
        </w:rPr>
        <w:t>q</w:t>
      </w:r>
      <w:r w:rsidR="00272322" w:rsidRPr="00B64995">
        <w:rPr>
          <w:rFonts w:eastAsia="Calibri"/>
        </w:rPr>
        <w:t xml:space="preserve">uantum </w:t>
      </w:r>
      <w:r w:rsidR="009E6B32" w:rsidRPr="00B64995">
        <w:rPr>
          <w:rFonts w:eastAsia="Calibri"/>
        </w:rPr>
        <w:t>i</w:t>
      </w:r>
      <w:r w:rsidR="00272322" w:rsidRPr="00B64995">
        <w:rPr>
          <w:rFonts w:eastAsia="Calibri"/>
        </w:rPr>
        <w:t xml:space="preserve">nformation </w:t>
      </w:r>
      <w:r w:rsidR="009E6B32" w:rsidRPr="00B64995">
        <w:rPr>
          <w:rFonts w:eastAsia="Calibri"/>
        </w:rPr>
        <w:t>t</w:t>
      </w:r>
      <w:r w:rsidR="00272322" w:rsidRPr="00B64995">
        <w:rPr>
          <w:rFonts w:eastAsia="Calibri"/>
        </w:rPr>
        <w:t xml:space="preserve">echnology, </w:t>
      </w:r>
      <w:r w:rsidR="009E6B32" w:rsidRPr="00B64995">
        <w:rPr>
          <w:rFonts w:eastAsia="Calibri"/>
        </w:rPr>
        <w:t>b</w:t>
      </w:r>
      <w:r w:rsidR="00272322" w:rsidRPr="00B64995">
        <w:rPr>
          <w:rFonts w:eastAsia="Calibri"/>
        </w:rPr>
        <w:t>lockchain</w:t>
      </w:r>
      <w:r w:rsidR="009E6B32" w:rsidRPr="00B64995">
        <w:rPr>
          <w:rFonts w:eastAsia="Calibri"/>
        </w:rPr>
        <w:t>,</w:t>
      </w:r>
      <w:r w:rsidR="593547E3" w:rsidRPr="00B64995">
        <w:rPr>
          <w:rFonts w:eastAsia="Calibri"/>
        </w:rPr>
        <w:t xml:space="preserve"> and IP-related issues. </w:t>
      </w:r>
      <w:proofErr w:type="gramStart"/>
      <w:r w:rsidR="593547E3" w:rsidRPr="00B64995">
        <w:rPr>
          <w:rFonts w:eastAsia="Calibri"/>
        </w:rPr>
        <w:t>All of</w:t>
      </w:r>
      <w:proofErr w:type="gramEnd"/>
      <w:r w:rsidR="593547E3" w:rsidRPr="00B64995">
        <w:rPr>
          <w:rFonts w:eastAsia="Calibri"/>
        </w:rPr>
        <w:t xml:space="preserve"> these topics </w:t>
      </w:r>
      <w:r w:rsidR="00C77BF3" w:rsidRPr="00B64995">
        <w:rPr>
          <w:rFonts w:eastAsia="Calibri"/>
        </w:rPr>
        <w:t>constitute</w:t>
      </w:r>
      <w:r w:rsidR="593547E3" w:rsidRPr="00B64995">
        <w:rPr>
          <w:rFonts w:eastAsia="Calibri"/>
        </w:rPr>
        <w:t xml:space="preserve"> the fundamental components of today's ICTs.</w:t>
      </w:r>
    </w:p>
    <w:p w14:paraId="662F45C6" w14:textId="222B0272" w:rsidR="0049723A" w:rsidRPr="00A060FE" w:rsidRDefault="593547E3" w:rsidP="00614D53">
      <w:pPr>
        <w:jc w:val="both"/>
        <w:rPr>
          <w:i/>
          <w:iCs/>
        </w:rPr>
      </w:pPr>
      <w:r w:rsidRPr="00B64995">
        <w:rPr>
          <w:rFonts w:eastAsia="Calibri"/>
        </w:rPr>
        <w:lastRenderedPageBreak/>
        <w:t xml:space="preserve">ITU approved more than </w:t>
      </w:r>
      <w:r w:rsidR="6C21F020" w:rsidRPr="00B64995">
        <w:rPr>
          <w:rFonts w:eastAsia="Calibri"/>
        </w:rPr>
        <w:t>6</w:t>
      </w:r>
      <w:r w:rsidR="006C537C" w:rsidRPr="00B64995">
        <w:rPr>
          <w:rFonts w:eastAsia="Calibri"/>
        </w:rPr>
        <w:t>75</w:t>
      </w:r>
      <w:r w:rsidR="6C21F020" w:rsidRPr="00B64995">
        <w:rPr>
          <w:rFonts w:eastAsia="Calibri"/>
        </w:rPr>
        <w:t xml:space="preserve"> </w:t>
      </w:r>
      <w:r w:rsidRPr="00B64995">
        <w:rPr>
          <w:rFonts w:eastAsia="Calibri"/>
        </w:rPr>
        <w:t>new and revised ITU-T Recommendations</w:t>
      </w:r>
      <w:r w:rsidR="00D74750" w:rsidRPr="00B64995">
        <w:rPr>
          <w:rFonts w:eastAsia="Calibri"/>
        </w:rPr>
        <w:t xml:space="preserve"> from April 2019 to December 2020</w:t>
      </w:r>
      <w:r w:rsidRPr="00B64995">
        <w:rPr>
          <w:rFonts w:eastAsia="Calibri"/>
        </w:rPr>
        <w:t xml:space="preserve">. A selection of recent standardization achievements is provided </w:t>
      </w:r>
      <w:proofErr w:type="gramStart"/>
      <w:r w:rsidRPr="00B64995">
        <w:rPr>
          <w:rFonts w:eastAsia="Calibri"/>
        </w:rPr>
        <w:t>below</w:t>
      </w:r>
      <w:proofErr w:type="gramEnd"/>
      <w:r w:rsidR="00E248ED" w:rsidRPr="00B64995">
        <w:t xml:space="preserve"> </w:t>
      </w:r>
      <w:r w:rsidR="0026638A" w:rsidRPr="00B64995">
        <w:t>and e</w:t>
      </w:r>
      <w:r w:rsidR="005505C6" w:rsidRPr="00B64995">
        <w:t>xecutive summaries of ITU-T study group meetings can be found on the</w:t>
      </w:r>
      <w:r w:rsidR="005505C6" w:rsidRPr="00B64995">
        <w:rPr>
          <w:i/>
          <w:iCs/>
        </w:rPr>
        <w:t xml:space="preserve"> </w:t>
      </w:r>
      <w:hyperlink r:id="rId38">
        <w:r w:rsidR="005505C6" w:rsidRPr="00A060FE">
          <w:rPr>
            <w:rStyle w:val="Hyperlink"/>
          </w:rPr>
          <w:t>homepages of ITU-T study groups</w:t>
        </w:r>
      </w:hyperlink>
      <w:r w:rsidR="005505C6" w:rsidRPr="00A060FE">
        <w:rPr>
          <w:i/>
          <w:iCs/>
        </w:rPr>
        <w:t>.</w:t>
      </w:r>
    </w:p>
    <w:p w14:paraId="42F32737" w14:textId="044BACC2" w:rsidR="00272322" w:rsidRPr="00B64995" w:rsidRDefault="00272322" w:rsidP="00614D53">
      <w:pPr>
        <w:jc w:val="both"/>
        <w:rPr>
          <w:i/>
          <w:iCs/>
        </w:rPr>
      </w:pPr>
    </w:p>
    <w:p w14:paraId="1C989A1A" w14:textId="3D6ABD76" w:rsidR="00272322" w:rsidRPr="00B64995" w:rsidRDefault="00272322" w:rsidP="00614D53">
      <w:pPr>
        <w:jc w:val="both"/>
        <w:rPr>
          <w:b/>
          <w:bCs/>
          <w:i/>
          <w:iCs/>
        </w:rPr>
      </w:pPr>
      <w:r w:rsidRPr="00B64995">
        <w:rPr>
          <w:b/>
          <w:bCs/>
          <w:i/>
          <w:iCs/>
        </w:rPr>
        <w:t>Multimedia and health</w:t>
      </w:r>
    </w:p>
    <w:p w14:paraId="6A4491AA" w14:textId="692F979E" w:rsidR="00272322" w:rsidRPr="00B64995" w:rsidRDefault="00272322" w:rsidP="00614D53">
      <w:pPr>
        <w:jc w:val="both"/>
        <w:rPr>
          <w:rFonts w:eastAsia="Calibri"/>
        </w:rPr>
      </w:pPr>
    </w:p>
    <w:p w14:paraId="51A38FF9" w14:textId="670982E3" w:rsidR="005505C6" w:rsidRPr="00B64995" w:rsidRDefault="005505C6"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JPEG wins an Emmy</w:t>
      </w:r>
      <w:r w:rsidRPr="00B64995">
        <w:rPr>
          <w:rFonts w:cs="Calibri"/>
          <w:lang w:val="en-GB"/>
        </w:rPr>
        <w:t>: The engineering team responsible for the first edition of the JPEG image compression standard (</w:t>
      </w:r>
      <w:hyperlink r:id="rId39">
        <w:r w:rsidRPr="00B64995">
          <w:rPr>
            <w:rStyle w:val="Hyperlink"/>
            <w:rFonts w:cs="Calibri"/>
            <w:lang w:val="en-GB"/>
          </w:rPr>
          <w:t>T.80-series</w:t>
        </w:r>
      </w:hyperlink>
      <w:r w:rsidRPr="00A060FE">
        <w:rPr>
          <w:rFonts w:cs="Calibri"/>
          <w:lang w:val="en-GB"/>
        </w:rPr>
        <w:t xml:space="preserve">) </w:t>
      </w:r>
      <w:r w:rsidR="76332DD9" w:rsidRPr="00A060FE">
        <w:rPr>
          <w:rFonts w:cs="Calibri"/>
          <w:lang w:val="en-GB"/>
        </w:rPr>
        <w:t xml:space="preserve">was </w:t>
      </w:r>
      <w:hyperlink r:id="rId40">
        <w:r w:rsidRPr="00B64995">
          <w:rPr>
            <w:rStyle w:val="Hyperlink"/>
            <w:rFonts w:cs="Calibri"/>
            <w:lang w:val="en-GB"/>
          </w:rPr>
          <w:t>hono</w:t>
        </w:r>
        <w:r w:rsidR="009E6B32" w:rsidRPr="00B64995">
          <w:rPr>
            <w:rStyle w:val="Hyperlink"/>
            <w:rFonts w:cs="Calibri"/>
            <w:lang w:val="en-GB"/>
          </w:rPr>
          <w:t>u</w:t>
        </w:r>
        <w:r w:rsidRPr="00B64995">
          <w:rPr>
            <w:rStyle w:val="Hyperlink"/>
            <w:rFonts w:cs="Calibri"/>
            <w:lang w:val="en-GB"/>
          </w:rPr>
          <w:t>red with an Emmy Award</w:t>
        </w:r>
      </w:hyperlink>
      <w:r w:rsidRPr="00A060FE">
        <w:rPr>
          <w:rFonts w:cs="Calibri"/>
          <w:lang w:val="en-GB"/>
        </w:rPr>
        <w:t> for its outstanding contribution to image coding</w:t>
      </w:r>
      <w:r w:rsidR="005546A0" w:rsidRPr="00B64995">
        <w:rPr>
          <w:rFonts w:cs="Calibri"/>
          <w:lang w:val="en-GB"/>
        </w:rPr>
        <w:t>.</w:t>
      </w:r>
    </w:p>
    <w:p w14:paraId="48E1BAB8" w14:textId="598AEA21" w:rsidR="00E1708A" w:rsidRPr="00B64995" w:rsidRDefault="001F1BD0" w:rsidP="00614D53">
      <w:pPr>
        <w:pStyle w:val="ListParagraph"/>
        <w:numPr>
          <w:ilvl w:val="0"/>
          <w:numId w:val="4"/>
        </w:numPr>
        <w:autoSpaceDE w:val="0"/>
        <w:autoSpaceDN w:val="0"/>
        <w:adjustRightInd w:val="0"/>
        <w:spacing w:after="120"/>
        <w:jc w:val="both"/>
        <w:rPr>
          <w:rFonts w:eastAsiaTheme="minorEastAsia" w:cs="Calibri"/>
          <w:bCs/>
          <w:lang w:val="en-GB"/>
        </w:rPr>
      </w:pPr>
      <w:r w:rsidRPr="00B64995">
        <w:rPr>
          <w:rFonts w:eastAsiaTheme="minorEastAsia" w:cs="Calibri"/>
          <w:bCs/>
          <w:i/>
          <w:iCs/>
          <w:lang w:val="en-GB"/>
        </w:rPr>
        <w:t>Versatile Video Coding</w:t>
      </w:r>
      <w:r w:rsidRPr="00B64995">
        <w:rPr>
          <w:rFonts w:eastAsiaTheme="minorEastAsia" w:cs="Calibri"/>
          <w:bCs/>
          <w:lang w:val="en-GB"/>
        </w:rPr>
        <w:t>: The new “Versatile Video Coding” (VVC</w:t>
      </w:r>
      <w:r w:rsidR="009E6B32" w:rsidRPr="00B64995">
        <w:rPr>
          <w:rFonts w:eastAsiaTheme="minorEastAsia" w:cs="Calibri"/>
          <w:bCs/>
          <w:lang w:val="en-GB"/>
        </w:rPr>
        <w:t>)</w:t>
      </w:r>
      <w:r w:rsidRPr="00B64995">
        <w:rPr>
          <w:rFonts w:eastAsiaTheme="minorEastAsia" w:cs="Calibri"/>
          <w:bCs/>
          <w:lang w:val="en-GB"/>
        </w:rPr>
        <w:t xml:space="preserve"> H.266) standard advances the state of the art of video compression and has unprecedented application versatility. Developed by the Joint Video Experts Team with MPEG, VVC will </w:t>
      </w:r>
      <w:r w:rsidR="009E6B32" w:rsidRPr="00B64995">
        <w:rPr>
          <w:rFonts w:eastAsiaTheme="minorEastAsia" w:cs="Calibri"/>
          <w:bCs/>
          <w:lang w:val="en-GB"/>
        </w:rPr>
        <w:t xml:space="preserve">reduce </w:t>
      </w:r>
      <w:r w:rsidRPr="00B64995">
        <w:rPr>
          <w:rFonts w:eastAsiaTheme="minorEastAsia" w:cs="Calibri"/>
          <w:bCs/>
          <w:lang w:val="en-GB"/>
        </w:rPr>
        <w:t xml:space="preserve">the bitrate needed to stream videos, for the same quality level, </w:t>
      </w:r>
      <w:r w:rsidR="009E6B32" w:rsidRPr="00B64995">
        <w:rPr>
          <w:rFonts w:eastAsiaTheme="minorEastAsia" w:cs="Calibri"/>
          <w:bCs/>
          <w:lang w:val="en-GB"/>
        </w:rPr>
        <w:t xml:space="preserve">by one half </w:t>
      </w:r>
      <w:r w:rsidRPr="00B64995">
        <w:rPr>
          <w:rFonts w:eastAsiaTheme="minorEastAsia" w:cs="Calibri"/>
          <w:bCs/>
          <w:lang w:val="en-GB"/>
        </w:rPr>
        <w:t xml:space="preserve">relative to “High Efficiency Video Coding” (H.265), </w:t>
      </w:r>
      <w:r w:rsidR="009E6B32" w:rsidRPr="00B64995">
        <w:rPr>
          <w:rFonts w:eastAsiaTheme="minorEastAsia" w:cs="Calibri"/>
          <w:bCs/>
          <w:lang w:val="en-GB"/>
        </w:rPr>
        <w:t xml:space="preserve">or by one </w:t>
      </w:r>
      <w:r w:rsidRPr="00B64995">
        <w:rPr>
          <w:rFonts w:eastAsiaTheme="minorEastAsia" w:cs="Calibri"/>
          <w:bCs/>
          <w:lang w:val="en-GB"/>
        </w:rPr>
        <w:t>quarter relative to “Advanced Video Coding” (H.264). A new twin text with ISO/IEC provides guidance on alternative text for images (T.701.11).</w:t>
      </w:r>
    </w:p>
    <w:p w14:paraId="154F58AC" w14:textId="0EBD3932" w:rsidR="007923E7" w:rsidRPr="00B64995" w:rsidRDefault="007923E7" w:rsidP="00614D53">
      <w:pPr>
        <w:pStyle w:val="ListParagraph"/>
        <w:numPr>
          <w:ilvl w:val="0"/>
          <w:numId w:val="4"/>
        </w:numPr>
        <w:autoSpaceDE w:val="0"/>
        <w:autoSpaceDN w:val="0"/>
        <w:adjustRightInd w:val="0"/>
        <w:spacing w:after="120"/>
        <w:jc w:val="both"/>
        <w:rPr>
          <w:rFonts w:eastAsiaTheme="minorEastAsia" w:cs="Calibri"/>
          <w:bCs/>
          <w:lang w:val="en-GB"/>
        </w:rPr>
      </w:pPr>
      <w:r w:rsidRPr="00B64995">
        <w:rPr>
          <w:rFonts w:eastAsiaTheme="minorEastAsia" w:cs="Calibri"/>
          <w:bCs/>
          <w:i/>
          <w:iCs/>
          <w:lang w:val="en-GB"/>
        </w:rPr>
        <w:t>Digital health</w:t>
      </w:r>
      <w:r w:rsidRPr="00B64995">
        <w:rPr>
          <w:rFonts w:eastAsiaTheme="minorEastAsia" w:cs="Calibri"/>
          <w:bCs/>
          <w:lang w:val="en-GB"/>
        </w:rPr>
        <w:t xml:space="preserve">: Updated ITU standards developed in cooperation with the Personal Connected Health Alliance provide for medical-grade e-health devices such as blood pressure cuffs, glucose monitors and a wide range of activity trackers (H.810-series). New ITU standards provide characteristics of personal sound amplifiers in support of ITU-WHO collaboration for safe listening (H.871); and evaluate the performance of e-health systems </w:t>
      </w:r>
      <w:proofErr w:type="gramStart"/>
      <w:r w:rsidRPr="00B64995">
        <w:rPr>
          <w:rFonts w:eastAsiaTheme="minorEastAsia" w:cs="Calibri"/>
          <w:bCs/>
          <w:lang w:val="en-GB"/>
        </w:rPr>
        <w:t>in</w:t>
      </w:r>
      <w:proofErr w:type="gramEnd"/>
      <w:r w:rsidRPr="00B64995">
        <w:rPr>
          <w:rFonts w:eastAsiaTheme="minorEastAsia" w:cs="Calibri"/>
          <w:bCs/>
          <w:lang w:val="en-GB"/>
        </w:rPr>
        <w:t xml:space="preserve"> </w:t>
      </w:r>
      <w:r w:rsidR="009E6B32" w:rsidRPr="00B64995">
        <w:rPr>
          <w:rFonts w:eastAsiaTheme="minorEastAsia" w:cs="Calibri"/>
          <w:bCs/>
          <w:lang w:val="en-GB"/>
        </w:rPr>
        <w:t>the Internet of Things (</w:t>
      </w:r>
      <w:r w:rsidRPr="00B64995">
        <w:rPr>
          <w:rFonts w:eastAsiaTheme="minorEastAsia" w:cs="Calibri"/>
          <w:bCs/>
          <w:lang w:val="en-GB"/>
        </w:rPr>
        <w:t>IoT</w:t>
      </w:r>
      <w:r w:rsidR="009E6B32" w:rsidRPr="00B64995">
        <w:rPr>
          <w:rFonts w:eastAsiaTheme="minorEastAsia" w:cs="Calibri"/>
          <w:bCs/>
          <w:lang w:val="en-GB"/>
        </w:rPr>
        <w:t>)</w:t>
      </w:r>
      <w:r w:rsidRPr="00B64995">
        <w:rPr>
          <w:rFonts w:eastAsiaTheme="minorEastAsia" w:cs="Calibri"/>
          <w:bCs/>
          <w:lang w:val="en-GB"/>
        </w:rPr>
        <w:t xml:space="preserve"> (Y.4908).</w:t>
      </w:r>
    </w:p>
    <w:p w14:paraId="1A55CEBF" w14:textId="67EDE974" w:rsidR="00142CC5" w:rsidRPr="00B64995" w:rsidRDefault="00142CC5" w:rsidP="00142CC5">
      <w:pPr>
        <w:pStyle w:val="ListParagraph"/>
        <w:numPr>
          <w:ilvl w:val="0"/>
          <w:numId w:val="4"/>
        </w:numPr>
        <w:autoSpaceDE w:val="0"/>
        <w:autoSpaceDN w:val="0"/>
        <w:adjustRightInd w:val="0"/>
        <w:spacing w:after="120"/>
        <w:jc w:val="both"/>
        <w:rPr>
          <w:rFonts w:eastAsiaTheme="minorEastAsia" w:cs="Calibri"/>
          <w:bCs/>
          <w:lang w:val="en-GB"/>
        </w:rPr>
      </w:pPr>
      <w:r w:rsidRPr="00B64995">
        <w:rPr>
          <w:rFonts w:eastAsiaTheme="minorEastAsia" w:cs="Calibri"/>
          <w:bCs/>
          <w:i/>
          <w:iCs/>
          <w:lang w:val="en-GB"/>
        </w:rPr>
        <w:t>Content delivery and edge computing</w:t>
      </w:r>
      <w:r w:rsidRPr="00B64995">
        <w:rPr>
          <w:rFonts w:eastAsiaTheme="minorEastAsia" w:cs="Calibri"/>
          <w:bCs/>
          <w:lang w:val="en-GB"/>
        </w:rPr>
        <w:t>: New ITU standards provide requirements for content delivery networks enabled by mobile edge computing (F.743.10) and mobile edge computing enabled by civilian unmanned aerial vehicles (F.749.11</w:t>
      </w:r>
      <w:r w:rsidR="00F374DD" w:rsidRPr="00B64995">
        <w:rPr>
          <w:rFonts w:eastAsiaTheme="minorEastAsia" w:cs="Calibri"/>
          <w:bCs/>
          <w:lang w:val="en-GB"/>
        </w:rPr>
        <w:t>)</w:t>
      </w:r>
      <w:r w:rsidRPr="00B64995">
        <w:rPr>
          <w:rFonts w:eastAsiaTheme="minorEastAsia" w:cs="Calibri"/>
          <w:bCs/>
          <w:lang w:val="en-GB"/>
        </w:rPr>
        <w:t>.</w:t>
      </w:r>
    </w:p>
    <w:p w14:paraId="72D31C8E" w14:textId="2D5B5E29" w:rsidR="00142CC5" w:rsidRPr="00B64995" w:rsidRDefault="00142CC5" w:rsidP="00142CC5">
      <w:pPr>
        <w:pStyle w:val="ListParagraph"/>
        <w:numPr>
          <w:ilvl w:val="0"/>
          <w:numId w:val="4"/>
        </w:numPr>
        <w:autoSpaceDE w:val="0"/>
        <w:autoSpaceDN w:val="0"/>
        <w:adjustRightInd w:val="0"/>
        <w:spacing w:after="120"/>
        <w:jc w:val="both"/>
        <w:rPr>
          <w:rFonts w:eastAsiaTheme="minorEastAsia" w:cs="Calibri"/>
          <w:bCs/>
          <w:lang w:val="en-GB"/>
        </w:rPr>
      </w:pPr>
      <w:r w:rsidRPr="00B64995">
        <w:rPr>
          <w:rFonts w:eastAsiaTheme="minorEastAsia" w:cs="Calibri"/>
          <w:bCs/>
          <w:i/>
          <w:iCs/>
          <w:lang w:val="en-GB"/>
        </w:rPr>
        <w:t>Accessibility</w:t>
      </w:r>
      <w:r w:rsidRPr="00B64995">
        <w:rPr>
          <w:rFonts w:eastAsiaTheme="minorEastAsia" w:cs="Calibri"/>
          <w:bCs/>
          <w:lang w:val="en-GB"/>
        </w:rPr>
        <w:t xml:space="preserve">: A revised ITU standard provides accessibility profiles for </w:t>
      </w:r>
      <w:r w:rsidR="0063311E" w:rsidRPr="00B64995">
        <w:rPr>
          <w:rFonts w:eastAsiaTheme="minorEastAsia" w:cs="Calibri"/>
          <w:bCs/>
          <w:lang w:val="en-GB"/>
        </w:rPr>
        <w:t>Internet Protocol television (</w:t>
      </w:r>
      <w:r w:rsidRPr="00B64995">
        <w:rPr>
          <w:rFonts w:eastAsiaTheme="minorEastAsia" w:cs="Calibri"/>
          <w:bCs/>
          <w:lang w:val="en-GB"/>
        </w:rPr>
        <w:t>IPTV</w:t>
      </w:r>
      <w:r w:rsidR="0063311E" w:rsidRPr="00B64995">
        <w:rPr>
          <w:rFonts w:eastAsiaTheme="minorEastAsia" w:cs="Calibri"/>
          <w:bCs/>
          <w:lang w:val="en-GB"/>
        </w:rPr>
        <w:t>)</w:t>
      </w:r>
      <w:r w:rsidRPr="00B64995">
        <w:rPr>
          <w:rFonts w:eastAsiaTheme="minorEastAsia" w:cs="Calibri"/>
          <w:bCs/>
          <w:lang w:val="en-GB"/>
        </w:rPr>
        <w:t xml:space="preserve"> systems (H.702 (V2))</w:t>
      </w:r>
      <w:r w:rsidR="009F52B0" w:rsidRPr="00B64995">
        <w:rPr>
          <w:rFonts w:eastAsiaTheme="minorEastAsia" w:cs="Calibri"/>
          <w:bCs/>
          <w:lang w:val="en-GB"/>
        </w:rPr>
        <w:t>. N</w:t>
      </w:r>
      <w:r w:rsidRPr="00B64995">
        <w:rPr>
          <w:rFonts w:eastAsiaTheme="minorEastAsia" w:cs="Calibri"/>
          <w:bCs/>
          <w:lang w:val="en-GB"/>
        </w:rPr>
        <w:t xml:space="preserve">ew ITU standards address annotation methods for </w:t>
      </w:r>
      <w:proofErr w:type="spellStart"/>
      <w:r w:rsidRPr="00B64995">
        <w:rPr>
          <w:rFonts w:eastAsiaTheme="minorEastAsia" w:cs="Calibri"/>
          <w:bCs/>
          <w:lang w:val="en-GB"/>
        </w:rPr>
        <w:t>biosignal</w:t>
      </w:r>
      <w:proofErr w:type="spellEnd"/>
      <w:r w:rsidRPr="00B64995">
        <w:rPr>
          <w:rFonts w:eastAsiaTheme="minorEastAsia" w:cs="Calibri"/>
          <w:bCs/>
          <w:lang w:val="en-GB"/>
        </w:rPr>
        <w:t xml:space="preserve"> data (H.862.2), voice management interfaces for human-care services (H.862.3), and information service systems for visually impaired persons (F.922). </w:t>
      </w:r>
      <w:r w:rsidR="009F52B0" w:rsidRPr="00B64995">
        <w:rPr>
          <w:rFonts w:eastAsiaTheme="minorEastAsia" w:cs="Calibri"/>
          <w:bCs/>
          <w:lang w:val="en-GB"/>
        </w:rPr>
        <w:t xml:space="preserve">Other new </w:t>
      </w:r>
      <w:r w:rsidRPr="00B64995">
        <w:rPr>
          <w:rFonts w:eastAsiaTheme="minorEastAsia" w:cs="Calibri"/>
          <w:bCs/>
          <w:lang w:val="en-GB"/>
        </w:rPr>
        <w:t>standards provide an enhanced user interface framework for IPTV terminal device</w:t>
      </w:r>
      <w:r w:rsidR="009F52B0" w:rsidRPr="00B64995">
        <w:rPr>
          <w:rFonts w:eastAsiaTheme="minorEastAsia" w:cs="Calibri"/>
          <w:bCs/>
          <w:lang w:val="en-GB"/>
        </w:rPr>
        <w:t>s</w:t>
      </w:r>
      <w:r w:rsidRPr="00B64995">
        <w:rPr>
          <w:rFonts w:eastAsiaTheme="minorEastAsia" w:cs="Calibri"/>
          <w:bCs/>
          <w:lang w:val="en-GB"/>
        </w:rPr>
        <w:t xml:space="preserve"> </w:t>
      </w:r>
      <w:r w:rsidR="00E766DE" w:rsidRPr="00B64995">
        <w:rPr>
          <w:rFonts w:eastAsiaTheme="minorEastAsia" w:cs="Calibri"/>
          <w:bCs/>
          <w:lang w:val="en-GB"/>
        </w:rPr>
        <w:t xml:space="preserve">in the form of a </w:t>
      </w:r>
      <w:r w:rsidRPr="00B64995">
        <w:rPr>
          <w:rFonts w:eastAsiaTheme="minorEastAsia" w:cs="Calibri"/>
          <w:bCs/>
          <w:lang w:val="en-GB"/>
        </w:rPr>
        <w:t xml:space="preserve">gesture control interface (H.704) and accessibility requirements for smart public transportation services (Y.4211). New </w:t>
      </w:r>
      <w:r w:rsidR="000E4A82" w:rsidRPr="00B64995">
        <w:rPr>
          <w:rFonts w:eastAsiaTheme="minorEastAsia" w:cs="Calibri"/>
          <w:bCs/>
          <w:lang w:val="en-GB"/>
        </w:rPr>
        <w:t>t</w:t>
      </w:r>
      <w:r w:rsidRPr="00B64995">
        <w:rPr>
          <w:rFonts w:eastAsiaTheme="minorEastAsia" w:cs="Calibri"/>
          <w:bCs/>
          <w:lang w:val="en-GB"/>
        </w:rPr>
        <w:t xml:space="preserve">echnical </w:t>
      </w:r>
      <w:r w:rsidR="000E4A82" w:rsidRPr="00B64995">
        <w:rPr>
          <w:rFonts w:eastAsiaTheme="minorEastAsia" w:cs="Calibri"/>
          <w:bCs/>
          <w:lang w:val="en-GB"/>
        </w:rPr>
        <w:t>p</w:t>
      </w:r>
      <w:r w:rsidRPr="00B64995">
        <w:rPr>
          <w:rFonts w:eastAsiaTheme="minorEastAsia" w:cs="Calibri"/>
          <w:bCs/>
          <w:lang w:val="en-GB"/>
        </w:rPr>
        <w:t>apers provide a guideline on web-based remote sign language interpretation (FSTP.ACC-</w:t>
      </w:r>
      <w:proofErr w:type="spellStart"/>
      <w:r w:rsidRPr="00B64995">
        <w:rPr>
          <w:rFonts w:eastAsiaTheme="minorEastAsia" w:cs="Calibri"/>
          <w:bCs/>
          <w:lang w:val="en-GB"/>
        </w:rPr>
        <w:t>WebVRI</w:t>
      </w:r>
      <w:proofErr w:type="spellEnd"/>
      <w:r w:rsidRPr="00B64995">
        <w:rPr>
          <w:rFonts w:eastAsiaTheme="minorEastAsia" w:cs="Calibri"/>
          <w:bCs/>
          <w:lang w:val="en-GB"/>
        </w:rPr>
        <w:t>) and an overview of assistive listening systems (FSTP-ACC-ALD).</w:t>
      </w:r>
    </w:p>
    <w:p w14:paraId="015AA7C2" w14:textId="1E8C6D37" w:rsidR="009A133C" w:rsidRPr="00B64995" w:rsidRDefault="009A133C" w:rsidP="009A133C">
      <w:pPr>
        <w:autoSpaceDE w:val="0"/>
        <w:autoSpaceDN w:val="0"/>
        <w:adjustRightInd w:val="0"/>
        <w:spacing w:after="120"/>
        <w:jc w:val="both"/>
        <w:rPr>
          <w:rFonts w:eastAsiaTheme="minorEastAsia"/>
          <w:b/>
          <w:i/>
          <w:iCs/>
        </w:rPr>
      </w:pPr>
      <w:r w:rsidRPr="00B64995">
        <w:rPr>
          <w:rFonts w:eastAsiaTheme="minorEastAsia"/>
          <w:b/>
          <w:i/>
          <w:iCs/>
        </w:rPr>
        <w:t xml:space="preserve">Transport, </w:t>
      </w:r>
      <w:proofErr w:type="gramStart"/>
      <w:r w:rsidRPr="00B64995">
        <w:rPr>
          <w:rFonts w:eastAsiaTheme="minorEastAsia"/>
          <w:b/>
          <w:i/>
          <w:iCs/>
        </w:rPr>
        <w:t>access</w:t>
      </w:r>
      <w:proofErr w:type="gramEnd"/>
      <w:r w:rsidRPr="00B64995">
        <w:rPr>
          <w:rFonts w:eastAsiaTheme="minorEastAsia"/>
          <w:b/>
          <w:i/>
          <w:iCs/>
        </w:rPr>
        <w:t xml:space="preserve"> and home</w:t>
      </w:r>
    </w:p>
    <w:p w14:paraId="65181E1F" w14:textId="73485019" w:rsidR="005505C6" w:rsidRPr="00B64995" w:rsidRDefault="005505C6"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5G transport</w:t>
      </w:r>
      <w:r w:rsidRPr="00B64995">
        <w:rPr>
          <w:rFonts w:cs="Calibri"/>
          <w:lang w:val="en-GB"/>
        </w:rPr>
        <w:t>: ITU-standardized backbone technologies expected to support 5G systems includ</w:t>
      </w:r>
      <w:r w:rsidR="004F308E" w:rsidRPr="00B64995">
        <w:rPr>
          <w:rFonts w:cs="Calibri"/>
          <w:lang w:val="en-GB"/>
        </w:rPr>
        <w:t>ing</w:t>
      </w:r>
      <w:r w:rsidRPr="00B64995">
        <w:rPr>
          <w:rFonts w:cs="Calibri"/>
          <w:lang w:val="en-GB"/>
        </w:rPr>
        <w:t xml:space="preserve"> Passive Optical Network (PON), Carrier Ethernet and Optical Transport Network (OTN). </w:t>
      </w:r>
      <w:r w:rsidR="00EF4867" w:rsidRPr="00B64995">
        <w:rPr>
          <w:rFonts w:cs="Calibri"/>
          <w:lang w:val="en-GB"/>
        </w:rPr>
        <w:t>New ITU standards provide the characteristics of transport networks to support 5G (</w:t>
      </w:r>
      <w:hyperlink r:id="rId41" w:history="1">
        <w:r w:rsidR="00EF4867" w:rsidRPr="00A060FE">
          <w:rPr>
            <w:rStyle w:val="Hyperlink"/>
            <w:rFonts w:cs="Calibri"/>
            <w:lang w:val="en-GB"/>
          </w:rPr>
          <w:t>G.8300</w:t>
        </w:r>
      </w:hyperlink>
      <w:r w:rsidR="00EF4867" w:rsidRPr="00A060FE">
        <w:rPr>
          <w:rFonts w:cs="Calibri"/>
          <w:lang w:val="en-GB"/>
        </w:rPr>
        <w:t>), architecture of the metro transport network (</w:t>
      </w:r>
      <w:hyperlink r:id="rId42" w:history="1">
        <w:r w:rsidR="00EF4867" w:rsidRPr="00A060FE">
          <w:rPr>
            <w:rStyle w:val="Hyperlink"/>
            <w:rFonts w:cs="Calibri"/>
            <w:lang w:val="en-GB"/>
          </w:rPr>
          <w:t>G.8310</w:t>
        </w:r>
      </w:hyperlink>
      <w:r w:rsidR="00EF4867" w:rsidRPr="00A060FE">
        <w:rPr>
          <w:rFonts w:cs="Calibri"/>
          <w:lang w:val="en-GB"/>
        </w:rPr>
        <w:t>), and interfaces for the metro transport network (</w:t>
      </w:r>
      <w:hyperlink r:id="rId43" w:history="1">
        <w:r w:rsidR="00EF4867" w:rsidRPr="00A060FE">
          <w:rPr>
            <w:rStyle w:val="Hyperlink"/>
            <w:rFonts w:cs="Calibri"/>
            <w:lang w:val="en-GB"/>
          </w:rPr>
          <w:t>G.8312</w:t>
        </w:r>
      </w:hyperlink>
      <w:r w:rsidR="00EF4867" w:rsidRPr="00A060FE">
        <w:rPr>
          <w:rFonts w:cs="Calibri"/>
          <w:lang w:val="en-GB"/>
        </w:rPr>
        <w:t xml:space="preserve">). </w:t>
      </w:r>
      <w:r w:rsidRPr="00A060FE">
        <w:rPr>
          <w:rFonts w:cs="Calibri"/>
          <w:lang w:val="en-GB"/>
        </w:rPr>
        <w:t xml:space="preserve">New </w:t>
      </w:r>
      <w:r w:rsidR="000E4A82" w:rsidRPr="00B64995">
        <w:rPr>
          <w:rFonts w:cs="Calibri"/>
          <w:lang w:val="en-GB"/>
        </w:rPr>
        <w:t>s</w:t>
      </w:r>
      <w:r w:rsidRPr="00B64995">
        <w:rPr>
          <w:rFonts w:cs="Calibri"/>
          <w:lang w:val="en-GB"/>
        </w:rPr>
        <w:t>upplements describe the requirements of 5G fronthaul in a PON context (</w:t>
      </w:r>
      <w:hyperlink r:id="rId44">
        <w:r w:rsidRPr="00B64995">
          <w:rPr>
            <w:rStyle w:val="Hyperlink"/>
            <w:rFonts w:cs="Calibri"/>
            <w:lang w:val="en-GB"/>
          </w:rPr>
          <w:t>G. Suppl. 66</w:t>
        </w:r>
      </w:hyperlink>
      <w:r w:rsidRPr="00A060FE">
        <w:rPr>
          <w:rFonts w:cs="Calibri"/>
          <w:lang w:val="en-GB"/>
        </w:rPr>
        <w:t>) and the application of OTN to 5G transport (</w:t>
      </w:r>
      <w:hyperlink r:id="rId45">
        <w:r w:rsidRPr="00B64995">
          <w:rPr>
            <w:rStyle w:val="Hyperlink"/>
            <w:rFonts w:cs="Calibri"/>
            <w:lang w:val="en-GB"/>
          </w:rPr>
          <w:t>G. Suppl. 67</w:t>
        </w:r>
      </w:hyperlink>
      <w:r w:rsidRPr="00A060FE">
        <w:rPr>
          <w:rFonts w:cs="Calibri"/>
          <w:lang w:val="en-GB"/>
        </w:rPr>
        <w:t>)</w:t>
      </w:r>
      <w:r w:rsidR="005546A0" w:rsidRPr="00A060FE">
        <w:rPr>
          <w:rFonts w:cs="Calibri"/>
          <w:lang w:val="en-GB"/>
        </w:rPr>
        <w:t>.</w:t>
      </w:r>
    </w:p>
    <w:p w14:paraId="3D7AFE49" w14:textId="3835CFF6" w:rsidR="00C02191" w:rsidRPr="00B64995" w:rsidRDefault="00C02191" w:rsidP="00C02191">
      <w:pPr>
        <w:pStyle w:val="ListParagraph"/>
        <w:numPr>
          <w:ilvl w:val="0"/>
          <w:numId w:val="4"/>
        </w:numPr>
        <w:autoSpaceDE w:val="0"/>
        <w:autoSpaceDN w:val="0"/>
        <w:adjustRightInd w:val="0"/>
        <w:spacing w:after="120"/>
        <w:jc w:val="both"/>
        <w:rPr>
          <w:rFonts w:eastAsiaTheme="minorEastAsia" w:cs="Calibri"/>
          <w:bCs/>
          <w:lang w:val="en-GB"/>
        </w:rPr>
      </w:pPr>
      <w:r w:rsidRPr="00B64995">
        <w:rPr>
          <w:rFonts w:eastAsiaTheme="minorEastAsia" w:cs="Calibri"/>
          <w:bCs/>
          <w:i/>
          <w:iCs/>
          <w:lang w:val="en-GB"/>
        </w:rPr>
        <w:t>OTN interfaces</w:t>
      </w:r>
      <w:r w:rsidRPr="00B64995">
        <w:rPr>
          <w:rFonts w:eastAsiaTheme="minorEastAsia" w:cs="Calibri"/>
          <w:bCs/>
          <w:lang w:val="en-GB"/>
        </w:rPr>
        <w:t xml:space="preserve">: A revised ITU standard addresses flexible OTN long-reach interfaces (G.709.3) and an </w:t>
      </w:r>
      <w:r w:rsidR="000E4A82" w:rsidRPr="00B64995">
        <w:rPr>
          <w:rFonts w:eastAsiaTheme="minorEastAsia" w:cs="Calibri"/>
          <w:bCs/>
          <w:lang w:val="en-GB"/>
        </w:rPr>
        <w:t>a</w:t>
      </w:r>
      <w:r w:rsidRPr="00B64995">
        <w:rPr>
          <w:rFonts w:eastAsiaTheme="minorEastAsia" w:cs="Calibri"/>
          <w:bCs/>
          <w:lang w:val="en-GB"/>
        </w:rPr>
        <w:t>mendment updates the ITU standard for flexible OTN short-reach interfaces (G.709.1).</w:t>
      </w:r>
    </w:p>
    <w:p w14:paraId="3279FD07" w14:textId="0377D408" w:rsidR="00C02191" w:rsidRPr="00B64995" w:rsidRDefault="00C02191" w:rsidP="00C02191">
      <w:pPr>
        <w:pStyle w:val="ListParagraph"/>
        <w:numPr>
          <w:ilvl w:val="0"/>
          <w:numId w:val="4"/>
        </w:numPr>
        <w:autoSpaceDE w:val="0"/>
        <w:autoSpaceDN w:val="0"/>
        <w:adjustRightInd w:val="0"/>
        <w:spacing w:after="120"/>
        <w:jc w:val="both"/>
        <w:rPr>
          <w:rFonts w:eastAsiaTheme="minorEastAsia" w:cs="Calibri"/>
          <w:bCs/>
          <w:lang w:val="en-GB"/>
        </w:rPr>
      </w:pPr>
      <w:r w:rsidRPr="00B64995">
        <w:rPr>
          <w:rFonts w:eastAsiaTheme="minorEastAsia" w:cs="Calibri"/>
          <w:bCs/>
          <w:i/>
          <w:iCs/>
          <w:lang w:val="en-GB"/>
        </w:rPr>
        <w:t>Fibre to the home</w:t>
      </w:r>
      <w:r w:rsidRPr="00B64995">
        <w:rPr>
          <w:rFonts w:eastAsiaTheme="minorEastAsia" w:cs="Calibri"/>
          <w:bCs/>
          <w:lang w:val="en-GB"/>
        </w:rPr>
        <w:t xml:space="preserve">: A new ITU standard serves as a guide to the development </w:t>
      </w:r>
      <w:r w:rsidR="0034760A" w:rsidRPr="00B64995">
        <w:rPr>
          <w:rFonts w:eastAsiaTheme="minorEastAsia" w:cs="Calibri"/>
          <w:bCs/>
          <w:lang w:val="en-GB"/>
        </w:rPr>
        <w:t xml:space="preserve">of </w:t>
      </w:r>
      <w:r w:rsidRPr="00B64995">
        <w:rPr>
          <w:rFonts w:eastAsiaTheme="minorEastAsia" w:cs="Calibri"/>
          <w:bCs/>
          <w:lang w:val="en-GB"/>
        </w:rPr>
        <w:t>higher speed PON systems, identifying sets of applications that can be addressed by a particular system and defining the requirements for each of those systems (G.9804.1).</w:t>
      </w:r>
    </w:p>
    <w:p w14:paraId="0CECCC77" w14:textId="270DEB35" w:rsidR="00C02191" w:rsidRPr="00B64995" w:rsidRDefault="00C02191" w:rsidP="00C02191">
      <w:pPr>
        <w:pStyle w:val="ListParagraph"/>
        <w:numPr>
          <w:ilvl w:val="0"/>
          <w:numId w:val="4"/>
        </w:numPr>
        <w:autoSpaceDE w:val="0"/>
        <w:autoSpaceDN w:val="0"/>
        <w:adjustRightInd w:val="0"/>
        <w:spacing w:after="120"/>
        <w:jc w:val="both"/>
        <w:rPr>
          <w:rFonts w:eastAsiaTheme="minorEastAsia" w:cs="Calibri"/>
          <w:bCs/>
          <w:lang w:val="en-GB"/>
        </w:rPr>
      </w:pPr>
      <w:r w:rsidRPr="00B64995">
        <w:rPr>
          <w:rFonts w:eastAsiaTheme="minorEastAsia" w:cs="Calibri"/>
          <w:bCs/>
          <w:i/>
          <w:iCs/>
          <w:lang w:val="en-GB"/>
        </w:rPr>
        <w:lastRenderedPageBreak/>
        <w:t>Fibre for rural broadband</w:t>
      </w:r>
      <w:r w:rsidRPr="00B64995">
        <w:rPr>
          <w:rFonts w:eastAsiaTheme="minorEastAsia" w:cs="Calibri"/>
          <w:bCs/>
          <w:lang w:val="en-GB"/>
        </w:rPr>
        <w:t>: New ITU standards aim to bring high-speed broadband services to rural communities with lightweight, terabit-capable optical cable that can be deployed on the ground surface with minimal expense and environmental impact (L.163, L.1700, and L.110).</w:t>
      </w:r>
    </w:p>
    <w:p w14:paraId="29731807" w14:textId="639CD1BE" w:rsidR="00C76A48" w:rsidRPr="00B64995" w:rsidRDefault="00C02191" w:rsidP="00C76A48">
      <w:pPr>
        <w:pStyle w:val="ListParagraph"/>
        <w:numPr>
          <w:ilvl w:val="0"/>
          <w:numId w:val="4"/>
        </w:numPr>
        <w:autoSpaceDE w:val="0"/>
        <w:autoSpaceDN w:val="0"/>
        <w:adjustRightInd w:val="0"/>
        <w:spacing w:after="120"/>
        <w:jc w:val="both"/>
        <w:rPr>
          <w:rFonts w:eastAsiaTheme="minorEastAsia" w:cs="Calibri"/>
          <w:b/>
          <w:lang w:val="en-GB"/>
        </w:rPr>
      </w:pPr>
      <w:r w:rsidRPr="00B64995">
        <w:rPr>
          <w:rFonts w:eastAsiaTheme="minorEastAsia" w:cs="Calibri"/>
          <w:bCs/>
          <w:i/>
          <w:iCs/>
          <w:lang w:val="en-GB"/>
        </w:rPr>
        <w:t>Visible light communication</w:t>
      </w:r>
      <w:r w:rsidRPr="00B64995">
        <w:rPr>
          <w:rFonts w:eastAsiaTheme="minorEastAsia" w:cs="Calibri"/>
          <w:bCs/>
          <w:lang w:val="en-GB"/>
        </w:rPr>
        <w:t>: A new ITU standard (G.9991) for high-speed indoor ‘visible light communication’ (VLC), also known as ‘</w:t>
      </w:r>
      <w:proofErr w:type="spellStart"/>
      <w:r w:rsidRPr="00B64995">
        <w:rPr>
          <w:rFonts w:eastAsiaTheme="minorEastAsia" w:cs="Calibri"/>
          <w:bCs/>
          <w:lang w:val="en-GB"/>
        </w:rPr>
        <w:t>LiFi</w:t>
      </w:r>
      <w:proofErr w:type="spellEnd"/>
      <w:r w:rsidRPr="00B64995">
        <w:rPr>
          <w:rFonts w:eastAsiaTheme="minorEastAsia" w:cs="Calibri"/>
          <w:bCs/>
          <w:lang w:val="en-GB"/>
        </w:rPr>
        <w:t>’, establishes the foundations for the growth of the VLC market</w:t>
      </w:r>
      <w:r w:rsidR="00F374DD" w:rsidRPr="00B64995">
        <w:rPr>
          <w:rFonts w:eastAsiaTheme="minorEastAsia" w:cs="Calibri"/>
          <w:bCs/>
          <w:lang w:val="en-GB"/>
        </w:rPr>
        <w:t>.</w:t>
      </w:r>
    </w:p>
    <w:p w14:paraId="49C5942F" w14:textId="0CECEB59" w:rsidR="00C76A48" w:rsidRPr="00B64995" w:rsidRDefault="00C76A48" w:rsidP="00C76A48">
      <w:pPr>
        <w:autoSpaceDE w:val="0"/>
        <w:autoSpaceDN w:val="0"/>
        <w:adjustRightInd w:val="0"/>
        <w:spacing w:after="120"/>
        <w:ind w:left="360"/>
        <w:jc w:val="both"/>
        <w:rPr>
          <w:rFonts w:eastAsiaTheme="minorEastAsia"/>
          <w:b/>
          <w:i/>
          <w:iCs/>
        </w:rPr>
      </w:pPr>
      <w:r w:rsidRPr="00B64995">
        <w:rPr>
          <w:rFonts w:eastAsiaTheme="minorEastAsia"/>
          <w:b/>
          <w:i/>
          <w:iCs/>
        </w:rPr>
        <w:t>Future networks and cloud</w:t>
      </w:r>
    </w:p>
    <w:p w14:paraId="63F78BD8" w14:textId="47EEAE40" w:rsidR="005505C6" w:rsidRPr="00B64995" w:rsidRDefault="005505C6"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5G networking</w:t>
      </w:r>
      <w:r w:rsidRPr="00B64995">
        <w:rPr>
          <w:rFonts w:cs="Calibri"/>
          <w:lang w:val="en-GB"/>
        </w:rPr>
        <w:t xml:space="preserve">: New ITU standards address network slice orchestration and management </w:t>
      </w:r>
      <w:r w:rsidR="00272322" w:rsidRPr="00B64995">
        <w:rPr>
          <w:rFonts w:cs="Calibri"/>
          <w:lang w:val="en-GB"/>
        </w:rPr>
        <w:t>(</w:t>
      </w:r>
      <w:hyperlink r:id="rId46">
        <w:r w:rsidR="00272322" w:rsidRPr="00B64995">
          <w:rPr>
            <w:rStyle w:val="Hyperlink"/>
            <w:rFonts w:cs="Calibri"/>
            <w:lang w:val="en-GB"/>
          </w:rPr>
          <w:t>Y.3153</w:t>
        </w:r>
      </w:hyperlink>
      <w:r w:rsidR="00272322" w:rsidRPr="00A060FE">
        <w:rPr>
          <w:rStyle w:val="Hyperlink"/>
          <w:rFonts w:cs="Calibri"/>
          <w:lang w:val="en-GB"/>
        </w:rPr>
        <w:t xml:space="preserve"> and Y.3154</w:t>
      </w:r>
      <w:r w:rsidR="00272322" w:rsidRPr="00A060FE">
        <w:rPr>
          <w:rFonts w:cs="Calibri"/>
          <w:lang w:val="en-GB"/>
        </w:rPr>
        <w:t>)</w:t>
      </w:r>
      <w:r w:rsidR="00272322" w:rsidRPr="00B64995">
        <w:rPr>
          <w:rFonts w:cs="Calibri"/>
          <w:lang w:val="en-GB"/>
        </w:rPr>
        <w:t xml:space="preserve"> and </w:t>
      </w:r>
      <w:r w:rsidR="005546A0" w:rsidRPr="00B64995">
        <w:rPr>
          <w:rFonts w:cs="Calibri"/>
          <w:lang w:val="en-GB"/>
        </w:rPr>
        <w:t>the software-defined networking (</w:t>
      </w:r>
      <w:r w:rsidR="00272322" w:rsidRPr="00B64995">
        <w:rPr>
          <w:lang w:val="en-GB"/>
        </w:rPr>
        <w:t>SDN</w:t>
      </w:r>
      <w:r w:rsidR="005546A0" w:rsidRPr="00B64995">
        <w:rPr>
          <w:lang w:val="en-GB"/>
        </w:rPr>
        <w:t>)</w:t>
      </w:r>
      <w:r w:rsidR="00272322" w:rsidRPr="00B64995">
        <w:rPr>
          <w:lang w:val="en-GB"/>
        </w:rPr>
        <w:t xml:space="preserve"> data plane (</w:t>
      </w:r>
      <w:hyperlink r:id="rId47" w:history="1">
        <w:r w:rsidR="00272322" w:rsidRPr="00A060FE">
          <w:rPr>
            <w:rStyle w:val="Hyperlink"/>
            <w:lang w:val="en-GB"/>
          </w:rPr>
          <w:t>Y.3155</w:t>
        </w:r>
      </w:hyperlink>
      <w:r w:rsidR="00272322" w:rsidRPr="00A060FE">
        <w:rPr>
          <w:lang w:val="en-GB"/>
        </w:rPr>
        <w:t>)</w:t>
      </w:r>
      <w:r w:rsidR="00272322" w:rsidRPr="00A060FE">
        <w:rPr>
          <w:rFonts w:cs="Calibri"/>
          <w:lang w:val="en-GB"/>
        </w:rPr>
        <w:t>; fixed-mobile convergence (</w:t>
      </w:r>
      <w:hyperlink r:id="rId48">
        <w:r w:rsidR="00272322" w:rsidRPr="00B64995">
          <w:rPr>
            <w:rStyle w:val="Hyperlink"/>
            <w:rFonts w:cs="Calibri"/>
            <w:lang w:val="en-GB"/>
          </w:rPr>
          <w:t>Y.3132</w:t>
        </w:r>
      </w:hyperlink>
      <w:r w:rsidR="00272322" w:rsidRPr="00A060FE">
        <w:rPr>
          <w:rFonts w:cs="Calibri"/>
          <w:lang w:val="en-GB"/>
        </w:rPr>
        <w:t xml:space="preserve">, </w:t>
      </w:r>
      <w:hyperlink r:id="rId49">
        <w:r w:rsidR="00272322" w:rsidRPr="00B64995">
          <w:rPr>
            <w:rStyle w:val="Hyperlink"/>
            <w:rFonts w:cs="Calibri"/>
            <w:lang w:val="en-GB"/>
          </w:rPr>
          <w:t>Y.3133</w:t>
        </w:r>
      </w:hyperlink>
      <w:r w:rsidR="00272322" w:rsidRPr="00A060FE">
        <w:rPr>
          <w:rFonts w:cs="Calibri"/>
          <w:lang w:val="en-GB"/>
        </w:rPr>
        <w:t xml:space="preserve">, </w:t>
      </w:r>
      <w:hyperlink r:id="rId50" w:history="1">
        <w:r w:rsidR="00272322" w:rsidRPr="00A060FE">
          <w:rPr>
            <w:rStyle w:val="Hyperlink"/>
            <w:lang w:val="en-GB"/>
          </w:rPr>
          <w:t>Y.3134</w:t>
        </w:r>
      </w:hyperlink>
      <w:r w:rsidR="00272322" w:rsidRPr="00A060FE">
        <w:rPr>
          <w:lang w:val="en-GB"/>
        </w:rPr>
        <w:t xml:space="preserve"> and </w:t>
      </w:r>
      <w:hyperlink r:id="rId51" w:history="1">
        <w:r w:rsidR="00272322" w:rsidRPr="00A060FE">
          <w:rPr>
            <w:rStyle w:val="Hyperlink"/>
            <w:lang w:val="en-GB"/>
          </w:rPr>
          <w:t>Y.3136</w:t>
        </w:r>
      </w:hyperlink>
      <w:r w:rsidR="00272322" w:rsidRPr="00A060FE">
        <w:rPr>
          <w:lang w:val="en-GB"/>
        </w:rPr>
        <w:t>);</w:t>
      </w:r>
      <w:r w:rsidR="00A80900" w:rsidRPr="00A060FE">
        <w:rPr>
          <w:lang w:val="en-GB"/>
        </w:rPr>
        <w:t xml:space="preserve"> </w:t>
      </w:r>
      <w:r w:rsidR="00272322" w:rsidRPr="00B64995">
        <w:rPr>
          <w:lang w:val="en-GB"/>
        </w:rPr>
        <w:t>energy-efficient device-to-device communication for 5G (</w:t>
      </w:r>
      <w:hyperlink r:id="rId52" w:history="1">
        <w:r w:rsidR="00272322" w:rsidRPr="00A060FE">
          <w:rPr>
            <w:rStyle w:val="Hyperlink"/>
            <w:lang w:val="en-GB"/>
          </w:rPr>
          <w:t>Q.5022</w:t>
        </w:r>
      </w:hyperlink>
      <w:r w:rsidR="00272322" w:rsidRPr="00A060FE">
        <w:rPr>
          <w:lang w:val="en-GB"/>
        </w:rPr>
        <w:t xml:space="preserve">); </w:t>
      </w:r>
      <w:r w:rsidR="00866F9B" w:rsidRPr="00B64995">
        <w:rPr>
          <w:lang w:val="en-GB"/>
        </w:rPr>
        <w:t>i</w:t>
      </w:r>
      <w:r w:rsidR="00272322" w:rsidRPr="00B64995">
        <w:rPr>
          <w:lang w:val="en-GB"/>
        </w:rPr>
        <w:t>nformation</w:t>
      </w:r>
      <w:r w:rsidR="00866F9B" w:rsidRPr="00B64995">
        <w:rPr>
          <w:lang w:val="en-GB"/>
        </w:rPr>
        <w:t>-c</w:t>
      </w:r>
      <w:r w:rsidR="00272322" w:rsidRPr="00B64995">
        <w:rPr>
          <w:lang w:val="en-GB"/>
        </w:rPr>
        <w:t xml:space="preserve">entric </w:t>
      </w:r>
      <w:r w:rsidR="00866F9B" w:rsidRPr="00B64995">
        <w:rPr>
          <w:lang w:val="en-GB"/>
        </w:rPr>
        <w:t>n</w:t>
      </w:r>
      <w:r w:rsidR="00272322" w:rsidRPr="00B64995">
        <w:rPr>
          <w:lang w:val="en-GB"/>
        </w:rPr>
        <w:t>etworking for routing, forwarding and edge networking (</w:t>
      </w:r>
      <w:hyperlink r:id="rId53" w:history="1">
        <w:r w:rsidR="00272322" w:rsidRPr="00A060FE">
          <w:rPr>
            <w:rStyle w:val="Hyperlink"/>
            <w:lang w:val="en-GB"/>
          </w:rPr>
          <w:t>Y.3075</w:t>
        </w:r>
      </w:hyperlink>
      <w:r w:rsidR="00272322" w:rsidRPr="00A060FE">
        <w:rPr>
          <w:lang w:val="en-GB"/>
        </w:rPr>
        <w:t xml:space="preserve"> and </w:t>
      </w:r>
      <w:hyperlink r:id="rId54" w:history="1">
        <w:r w:rsidR="00272322" w:rsidRPr="00A060FE">
          <w:rPr>
            <w:rStyle w:val="Hyperlink"/>
            <w:lang w:val="en-GB"/>
          </w:rPr>
          <w:t>Y.3076</w:t>
        </w:r>
      </w:hyperlink>
      <w:r w:rsidR="00272322" w:rsidRPr="00A060FE">
        <w:rPr>
          <w:lang w:val="en-GB"/>
        </w:rPr>
        <w:t>). Three new ITU standards on managed and hybrid peer-to-peer communications were approved (</w:t>
      </w:r>
      <w:hyperlink r:id="rId55" w:history="1">
        <w:r w:rsidR="00272322" w:rsidRPr="00A060FE">
          <w:rPr>
            <w:rStyle w:val="Hyperlink"/>
            <w:lang w:val="en-GB"/>
          </w:rPr>
          <w:t>X.609.9</w:t>
        </w:r>
      </w:hyperlink>
      <w:r w:rsidR="00272322" w:rsidRPr="00A060FE">
        <w:rPr>
          <w:lang w:val="en-GB"/>
        </w:rPr>
        <w:t xml:space="preserve">, </w:t>
      </w:r>
      <w:hyperlink r:id="rId56" w:history="1">
        <w:r w:rsidR="00272322" w:rsidRPr="00A060FE">
          <w:rPr>
            <w:rStyle w:val="Hyperlink"/>
            <w:lang w:val="en-GB"/>
          </w:rPr>
          <w:t>X.609.10</w:t>
        </w:r>
      </w:hyperlink>
      <w:r w:rsidR="00272322" w:rsidRPr="00A060FE">
        <w:rPr>
          <w:lang w:val="en-GB"/>
        </w:rPr>
        <w:t xml:space="preserve"> and </w:t>
      </w:r>
      <w:hyperlink r:id="rId57" w:history="1">
        <w:r w:rsidR="00272322" w:rsidRPr="00A060FE">
          <w:rPr>
            <w:rStyle w:val="Hyperlink"/>
            <w:lang w:val="en-GB"/>
          </w:rPr>
          <w:t>Q.4100</w:t>
        </w:r>
      </w:hyperlink>
      <w:r w:rsidR="00272322" w:rsidRPr="00A060FE">
        <w:rPr>
          <w:lang w:val="en-GB"/>
        </w:rPr>
        <w:t>). A new Supplement aims to build awareness on use cases and mi</w:t>
      </w:r>
      <w:r w:rsidR="00272322" w:rsidRPr="00B64995">
        <w:rPr>
          <w:lang w:val="en-GB"/>
        </w:rPr>
        <w:t>gration aspects of 5G (</w:t>
      </w:r>
      <w:hyperlink r:id="rId58" w:history="1">
        <w:r w:rsidR="00272322" w:rsidRPr="00A060FE">
          <w:rPr>
            <w:rStyle w:val="Hyperlink"/>
            <w:lang w:val="en-GB"/>
          </w:rPr>
          <w:t>Y.Suppl.34</w:t>
        </w:r>
      </w:hyperlink>
      <w:r w:rsidR="00272322" w:rsidRPr="00A060FE">
        <w:rPr>
          <w:lang w:val="en-GB"/>
        </w:rPr>
        <w:t>).</w:t>
      </w:r>
    </w:p>
    <w:p w14:paraId="71FDDBB2" w14:textId="2A9F9931" w:rsidR="001D1915" w:rsidRPr="00A060FE" w:rsidRDefault="001D1915" w:rsidP="001D1915">
      <w:pPr>
        <w:pStyle w:val="ListParagraph"/>
        <w:numPr>
          <w:ilvl w:val="0"/>
          <w:numId w:val="4"/>
        </w:numPr>
        <w:jc w:val="both"/>
        <w:rPr>
          <w:lang w:val="en-GB"/>
        </w:rPr>
      </w:pPr>
      <w:bookmarkStart w:id="37" w:name="_Hlk63677657"/>
      <w:r w:rsidRPr="00B64995">
        <w:rPr>
          <w:i/>
          <w:iCs/>
          <w:lang w:val="en-GB"/>
        </w:rPr>
        <w:t>Cloud computing</w:t>
      </w:r>
      <w:r w:rsidRPr="00B64995">
        <w:rPr>
          <w:b/>
          <w:bCs/>
          <w:lang w:val="en-GB"/>
        </w:rPr>
        <w:t>:</w:t>
      </w:r>
      <w:r w:rsidRPr="00B64995">
        <w:rPr>
          <w:lang w:val="en-GB"/>
        </w:rPr>
        <w:t xml:space="preserve"> New ITU standards address requirements for cloud service development and operation management (</w:t>
      </w:r>
      <w:hyperlink r:id="rId59" w:history="1">
        <w:r w:rsidRPr="00A060FE">
          <w:rPr>
            <w:rStyle w:val="Hyperlink"/>
            <w:lang w:val="en-GB"/>
          </w:rPr>
          <w:t>Y.3525</w:t>
        </w:r>
      </w:hyperlink>
      <w:r w:rsidRPr="00A060FE">
        <w:rPr>
          <w:lang w:val="en-GB"/>
        </w:rPr>
        <w:t>)</w:t>
      </w:r>
      <w:r w:rsidR="00866F9B" w:rsidRPr="00A060FE">
        <w:rPr>
          <w:lang w:val="en-GB"/>
        </w:rPr>
        <w:t>,</w:t>
      </w:r>
      <w:r w:rsidRPr="00B64995">
        <w:rPr>
          <w:lang w:val="en-GB"/>
        </w:rPr>
        <w:t xml:space="preserve"> functional requirements for blockchain as a service (</w:t>
      </w:r>
      <w:hyperlink r:id="rId60" w:history="1">
        <w:r w:rsidRPr="00A060FE">
          <w:rPr>
            <w:rStyle w:val="Hyperlink"/>
            <w:lang w:val="en-GB"/>
          </w:rPr>
          <w:t>Y.3530</w:t>
        </w:r>
      </w:hyperlink>
      <w:r w:rsidRPr="00A060FE">
        <w:rPr>
          <w:lang w:val="en-GB"/>
        </w:rPr>
        <w:t>), and functional requirements for machine learning as a service (Y.3551).</w:t>
      </w:r>
      <w:bookmarkEnd w:id="37"/>
    </w:p>
    <w:p w14:paraId="32E22D42" w14:textId="76B2CDFA" w:rsidR="001D1915" w:rsidRPr="00A060FE" w:rsidRDefault="001D1915" w:rsidP="001D1915">
      <w:pPr>
        <w:pStyle w:val="ListParagraph"/>
        <w:numPr>
          <w:ilvl w:val="0"/>
          <w:numId w:val="4"/>
        </w:numPr>
        <w:jc w:val="both"/>
        <w:rPr>
          <w:bCs/>
          <w:lang w:val="en-GB"/>
        </w:rPr>
      </w:pPr>
      <w:r w:rsidRPr="00B64995">
        <w:rPr>
          <w:i/>
          <w:iCs/>
          <w:lang w:val="en-GB"/>
        </w:rPr>
        <w:t>Big data</w:t>
      </w:r>
      <w:r w:rsidRPr="00B64995">
        <w:rPr>
          <w:lang w:val="en-GB"/>
        </w:rPr>
        <w:t>: New ITU standards provide the requirements of big data driven networking (</w:t>
      </w:r>
      <w:hyperlink r:id="rId61" w:history="1">
        <w:r w:rsidRPr="00A060FE">
          <w:rPr>
            <w:rStyle w:val="Hyperlink"/>
            <w:lang w:val="en-GB"/>
          </w:rPr>
          <w:t>Y.3652</w:t>
        </w:r>
      </w:hyperlink>
      <w:r w:rsidRPr="00A060FE">
        <w:rPr>
          <w:lang w:val="en-GB"/>
        </w:rPr>
        <w:t>) and data preservation (</w:t>
      </w:r>
      <w:hyperlink r:id="rId62" w:history="1">
        <w:r w:rsidRPr="00A060FE">
          <w:rPr>
            <w:rStyle w:val="Hyperlink"/>
            <w:lang w:val="en-GB"/>
          </w:rPr>
          <w:t>Y.3604</w:t>
        </w:r>
      </w:hyperlink>
      <w:r w:rsidRPr="00A060FE">
        <w:rPr>
          <w:lang w:val="en-GB"/>
        </w:rPr>
        <w:t xml:space="preserve">), </w:t>
      </w:r>
      <w:r w:rsidRPr="00A060FE">
        <w:rPr>
          <w:bCs/>
          <w:lang w:val="en-GB"/>
        </w:rPr>
        <w:t xml:space="preserve">and a </w:t>
      </w:r>
      <w:r w:rsidR="00866F9B" w:rsidRPr="00B64995">
        <w:rPr>
          <w:bCs/>
          <w:lang w:val="en-GB"/>
        </w:rPr>
        <w:t>b</w:t>
      </w:r>
      <w:r w:rsidRPr="00B64995">
        <w:rPr>
          <w:bCs/>
          <w:lang w:val="en-GB"/>
        </w:rPr>
        <w:t>ig data reference architecture (</w:t>
      </w:r>
      <w:hyperlink r:id="rId63" w:history="1">
        <w:r w:rsidRPr="00A060FE">
          <w:rPr>
            <w:rStyle w:val="Hyperlink"/>
            <w:bCs/>
            <w:lang w:val="en-GB"/>
          </w:rPr>
          <w:t>Y.3605</w:t>
        </w:r>
      </w:hyperlink>
      <w:r w:rsidRPr="00A060FE">
        <w:rPr>
          <w:bCs/>
          <w:lang w:val="en-GB"/>
        </w:rPr>
        <w:t xml:space="preserve">). </w:t>
      </w:r>
      <w:r w:rsidRPr="00A060FE">
        <w:rPr>
          <w:lang w:val="en-GB"/>
        </w:rPr>
        <w:t xml:space="preserve">A new Supplement assesses the status of big data adoption in developing countries following a survey of </w:t>
      </w:r>
      <w:r w:rsidR="00866F9B" w:rsidRPr="00B64995">
        <w:rPr>
          <w:lang w:val="en-GB"/>
        </w:rPr>
        <w:t xml:space="preserve">the </w:t>
      </w:r>
      <w:r w:rsidRPr="00B64995">
        <w:rPr>
          <w:lang w:val="en-GB"/>
        </w:rPr>
        <w:t>ITU-T members</w:t>
      </w:r>
      <w:r w:rsidR="00866F9B" w:rsidRPr="00B64995">
        <w:rPr>
          <w:lang w:val="en-GB"/>
        </w:rPr>
        <w:t>hip</w:t>
      </w:r>
      <w:r w:rsidRPr="00B64995">
        <w:rPr>
          <w:lang w:val="en-GB"/>
        </w:rPr>
        <w:t xml:space="preserve"> (</w:t>
      </w:r>
      <w:hyperlink r:id="rId64" w:history="1">
        <w:r w:rsidRPr="00A060FE">
          <w:rPr>
            <w:rStyle w:val="Hyperlink"/>
            <w:lang w:val="en-GB"/>
          </w:rPr>
          <w:t>Y.Suppl.65</w:t>
        </w:r>
      </w:hyperlink>
      <w:r w:rsidRPr="00A060FE">
        <w:rPr>
          <w:lang w:val="en-GB"/>
        </w:rPr>
        <w:t>).</w:t>
      </w:r>
    </w:p>
    <w:p w14:paraId="0AF0CB36" w14:textId="1F90555A" w:rsidR="002D0DED" w:rsidRPr="00B64995" w:rsidRDefault="001D1915" w:rsidP="001D1915">
      <w:pPr>
        <w:pStyle w:val="ListParagraph"/>
        <w:numPr>
          <w:ilvl w:val="0"/>
          <w:numId w:val="4"/>
        </w:numPr>
        <w:autoSpaceDE w:val="0"/>
        <w:autoSpaceDN w:val="0"/>
        <w:adjustRightInd w:val="0"/>
        <w:spacing w:after="120"/>
        <w:jc w:val="both"/>
        <w:rPr>
          <w:rFonts w:eastAsiaTheme="minorEastAsia" w:cs="Calibri"/>
          <w:b/>
          <w:lang w:val="en-GB"/>
        </w:rPr>
      </w:pPr>
      <w:r w:rsidRPr="00B64995">
        <w:rPr>
          <w:i/>
          <w:iCs/>
          <w:lang w:val="en-GB"/>
        </w:rPr>
        <w:t>Network 2030</w:t>
      </w:r>
      <w:r w:rsidRPr="00B64995">
        <w:rPr>
          <w:b/>
          <w:bCs/>
          <w:i/>
          <w:iCs/>
          <w:lang w:val="en-GB"/>
        </w:rPr>
        <w:t>:</w:t>
      </w:r>
      <w:r w:rsidRPr="00B64995">
        <w:rPr>
          <w:i/>
          <w:iCs/>
          <w:lang w:val="en-GB"/>
        </w:rPr>
        <w:t xml:space="preserve"> </w:t>
      </w:r>
      <w:r w:rsidRPr="00B64995">
        <w:rPr>
          <w:lang w:val="en-GB"/>
        </w:rPr>
        <w:t xml:space="preserve">New </w:t>
      </w:r>
      <w:r w:rsidR="00866F9B" w:rsidRPr="00B64995">
        <w:rPr>
          <w:lang w:val="en-GB"/>
        </w:rPr>
        <w:t>s</w:t>
      </w:r>
      <w:r w:rsidRPr="00B64995">
        <w:rPr>
          <w:lang w:val="en-GB"/>
        </w:rPr>
        <w:t>upplements describe capabilities, performance and design of new communications services for Network 2030 applications (</w:t>
      </w:r>
      <w:hyperlink r:id="rId65" w:history="1">
        <w:r w:rsidRPr="00A060FE">
          <w:rPr>
            <w:rStyle w:val="Hyperlink"/>
            <w:lang w:val="en-GB"/>
          </w:rPr>
          <w:t>Y.Suppl.66</w:t>
        </w:r>
      </w:hyperlink>
      <w:r w:rsidRPr="00A060FE">
        <w:rPr>
          <w:lang w:val="en-GB"/>
        </w:rPr>
        <w:t>)</w:t>
      </w:r>
      <w:r w:rsidR="00866F9B" w:rsidRPr="00A060FE">
        <w:rPr>
          <w:lang w:val="en-GB"/>
        </w:rPr>
        <w:t>, along with</w:t>
      </w:r>
      <w:r w:rsidRPr="00B64995">
        <w:rPr>
          <w:lang w:val="en-GB"/>
        </w:rPr>
        <w:t xml:space="preserve"> representative use cases and key network requirements (</w:t>
      </w:r>
      <w:hyperlink r:id="rId66" w:history="1">
        <w:r w:rsidRPr="00A060FE">
          <w:rPr>
            <w:rStyle w:val="Hyperlink"/>
            <w:lang w:val="en-GB"/>
          </w:rPr>
          <w:t>Y.Suppl.67</w:t>
        </w:r>
      </w:hyperlink>
      <w:r w:rsidRPr="00A060FE">
        <w:rPr>
          <w:lang w:val="en-GB"/>
        </w:rPr>
        <w:t xml:space="preserve">). A related </w:t>
      </w:r>
      <w:r w:rsidR="00866F9B" w:rsidRPr="00B64995">
        <w:rPr>
          <w:lang w:val="en-GB"/>
        </w:rPr>
        <w:t>t</w:t>
      </w:r>
      <w:r w:rsidRPr="00B64995">
        <w:rPr>
          <w:lang w:val="en-GB"/>
        </w:rPr>
        <w:t xml:space="preserve">echnical </w:t>
      </w:r>
      <w:r w:rsidR="00866F9B" w:rsidRPr="00B64995">
        <w:rPr>
          <w:lang w:val="en-GB"/>
        </w:rPr>
        <w:t>r</w:t>
      </w:r>
      <w:r w:rsidRPr="00B64995">
        <w:rPr>
          <w:lang w:val="en-GB"/>
        </w:rPr>
        <w:t>eport describes the driving forces and vision towards Network 2030</w:t>
      </w:r>
      <w:r w:rsidR="00866F9B" w:rsidRPr="00B64995">
        <w:rPr>
          <w:lang w:val="en-GB"/>
        </w:rPr>
        <w:t>.</w:t>
      </w:r>
    </w:p>
    <w:p w14:paraId="7AFD3AB7" w14:textId="7F271FC7" w:rsidR="0049723A" w:rsidRPr="00B64995" w:rsidRDefault="005505C6" w:rsidP="00DF4192">
      <w:pPr>
        <w:autoSpaceDE w:val="0"/>
        <w:autoSpaceDN w:val="0"/>
        <w:adjustRightInd w:val="0"/>
        <w:spacing w:after="120"/>
        <w:ind w:left="360"/>
        <w:jc w:val="both"/>
        <w:rPr>
          <w:rFonts w:eastAsia="PMingLiU"/>
          <w:lang w:eastAsia="zh-TW"/>
        </w:rPr>
      </w:pPr>
      <w:r w:rsidRPr="00B64995">
        <w:rPr>
          <w:b/>
          <w:bCs/>
          <w:i/>
          <w:iCs/>
        </w:rPr>
        <w:t>Machine learning for 5G</w:t>
      </w:r>
    </w:p>
    <w:p w14:paraId="635F84CE" w14:textId="6DCDE4AA" w:rsidR="005505C6" w:rsidRPr="00B64995" w:rsidRDefault="005E0CD4"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Machine learning toolkit:</w:t>
      </w:r>
      <w:r w:rsidRPr="00B64995">
        <w:rPr>
          <w:rFonts w:cs="Calibri"/>
          <w:lang w:val="en-GB"/>
        </w:rPr>
        <w:t xml:space="preserve"> </w:t>
      </w:r>
      <w:r w:rsidR="005505C6" w:rsidRPr="00B64995">
        <w:rPr>
          <w:rFonts w:cs="Calibri"/>
          <w:lang w:val="en-GB"/>
        </w:rPr>
        <w:t>New ITU standards describe an architectural framework for the integration of machine learning into 5G and future networks (</w:t>
      </w:r>
      <w:hyperlink r:id="rId67">
        <w:r w:rsidR="005505C6" w:rsidRPr="00B64995">
          <w:rPr>
            <w:rStyle w:val="Hyperlink"/>
            <w:rFonts w:cs="Calibri"/>
            <w:lang w:val="en-GB"/>
          </w:rPr>
          <w:t>Y.3172</w:t>
        </w:r>
      </w:hyperlink>
      <w:r w:rsidR="005505C6" w:rsidRPr="00A060FE">
        <w:rPr>
          <w:rFonts w:cs="Calibri"/>
          <w:lang w:val="en-GB"/>
        </w:rPr>
        <w:t>), a framework to evaluate intelligence levels across different parts of the network (</w:t>
      </w:r>
      <w:hyperlink r:id="rId68">
        <w:r w:rsidR="005505C6" w:rsidRPr="00B64995">
          <w:rPr>
            <w:rStyle w:val="Hyperlink"/>
            <w:rFonts w:cs="Calibri"/>
            <w:lang w:val="en-GB"/>
          </w:rPr>
          <w:t>Y.3173</w:t>
        </w:r>
      </w:hyperlink>
      <w:r w:rsidR="005505C6" w:rsidRPr="00A060FE">
        <w:rPr>
          <w:rFonts w:cs="Calibri"/>
          <w:lang w:val="en-GB"/>
        </w:rPr>
        <w:t>), and a framework for data handling in support of machine learning (</w:t>
      </w:r>
      <w:hyperlink r:id="rId69">
        <w:r w:rsidR="005505C6" w:rsidRPr="00B64995">
          <w:rPr>
            <w:rStyle w:val="Hyperlink"/>
            <w:rFonts w:cs="Calibri"/>
            <w:lang w:val="en-GB"/>
          </w:rPr>
          <w:t>Y.3174</w:t>
        </w:r>
      </w:hyperlink>
      <w:r w:rsidR="005505C6" w:rsidRPr="00A060FE">
        <w:rPr>
          <w:rFonts w:cs="Calibri"/>
          <w:lang w:val="en-GB"/>
        </w:rPr>
        <w:t>)</w:t>
      </w:r>
      <w:r w:rsidR="00C54009" w:rsidRPr="00B64995">
        <w:rPr>
          <w:lang w:val="en-GB"/>
        </w:rPr>
        <w:t>Other n</w:t>
      </w:r>
      <w:r w:rsidR="00866F9B" w:rsidRPr="00B64995">
        <w:rPr>
          <w:lang w:val="en-GB"/>
        </w:rPr>
        <w:t xml:space="preserve">ew standards </w:t>
      </w:r>
      <w:r w:rsidR="001E0EB2" w:rsidRPr="00B64995">
        <w:rPr>
          <w:lang w:val="en-GB"/>
        </w:rPr>
        <w:t xml:space="preserve">provide a functional architecture </w:t>
      </w:r>
      <w:r w:rsidR="00C54009" w:rsidRPr="00B64995">
        <w:rPr>
          <w:lang w:val="en-GB"/>
        </w:rPr>
        <w:t xml:space="preserve">for </w:t>
      </w:r>
      <w:r w:rsidR="001E0EB2" w:rsidRPr="00B64995">
        <w:rPr>
          <w:lang w:val="en-GB"/>
        </w:rPr>
        <w:t xml:space="preserve">machine learning-based </w:t>
      </w:r>
      <w:r w:rsidR="0063311E" w:rsidRPr="00B64995">
        <w:rPr>
          <w:lang w:val="en-GB"/>
        </w:rPr>
        <w:t>quality of service (</w:t>
      </w:r>
      <w:r w:rsidR="001E0EB2" w:rsidRPr="00B64995">
        <w:rPr>
          <w:lang w:val="en-GB"/>
        </w:rPr>
        <w:t>QoS</w:t>
      </w:r>
      <w:r w:rsidR="0063311E" w:rsidRPr="00B64995">
        <w:rPr>
          <w:lang w:val="en-GB"/>
        </w:rPr>
        <w:t>)</w:t>
      </w:r>
      <w:r w:rsidR="001E0EB2" w:rsidRPr="00B64995">
        <w:rPr>
          <w:lang w:val="en-GB"/>
        </w:rPr>
        <w:t xml:space="preserve"> assurance for 5G (</w:t>
      </w:r>
      <w:hyperlink r:id="rId70" w:history="1">
        <w:r w:rsidR="001E0EB2" w:rsidRPr="00A060FE">
          <w:rPr>
            <w:rStyle w:val="Hyperlink"/>
            <w:lang w:val="en-GB"/>
          </w:rPr>
          <w:t>Y.3175</w:t>
        </w:r>
      </w:hyperlink>
      <w:r w:rsidR="001E0EB2" w:rsidRPr="00A060FE">
        <w:rPr>
          <w:lang w:val="en-GB"/>
        </w:rPr>
        <w:t>), a framework for evaluating intelligence levels across 5G and future networks (</w:t>
      </w:r>
      <w:hyperlink r:id="rId71" w:history="1">
        <w:r w:rsidR="001E0EB2" w:rsidRPr="00A060FE">
          <w:rPr>
            <w:rStyle w:val="Hyperlink"/>
            <w:lang w:val="en-GB"/>
          </w:rPr>
          <w:t>Y.3173</w:t>
        </w:r>
      </w:hyperlink>
      <w:r w:rsidR="001E0EB2" w:rsidRPr="00A060FE">
        <w:rPr>
          <w:lang w:val="en-GB"/>
        </w:rPr>
        <w:t>), and a framework for data handling to enable machine learning in 5G and future networks (</w:t>
      </w:r>
      <w:hyperlink r:id="rId72" w:history="1">
        <w:r w:rsidR="001E0EB2" w:rsidRPr="00A060FE">
          <w:rPr>
            <w:rStyle w:val="Hyperlink"/>
            <w:lang w:val="en-GB"/>
          </w:rPr>
          <w:t>Y.3174</w:t>
        </w:r>
      </w:hyperlink>
      <w:r w:rsidR="001E0EB2" w:rsidRPr="00A060FE">
        <w:rPr>
          <w:lang w:val="en-GB"/>
        </w:rPr>
        <w:t>)</w:t>
      </w:r>
      <w:r w:rsidR="00C54009" w:rsidRPr="00A060FE">
        <w:rPr>
          <w:lang w:val="en-GB"/>
        </w:rPr>
        <w:t>. Still others de</w:t>
      </w:r>
      <w:r w:rsidR="00C54009" w:rsidRPr="00B64995">
        <w:rPr>
          <w:lang w:val="en-GB"/>
        </w:rPr>
        <w:t>al with</w:t>
      </w:r>
      <w:r w:rsidR="001E0EB2" w:rsidRPr="00B64995">
        <w:rPr>
          <w:lang w:val="en-GB"/>
        </w:rPr>
        <w:t xml:space="preserve"> network slicing with AI-assisted analysis (Y.3156) and </w:t>
      </w:r>
      <w:r w:rsidR="00C54009" w:rsidRPr="00B64995">
        <w:rPr>
          <w:lang w:val="en-GB"/>
        </w:rPr>
        <w:t xml:space="preserve">with </w:t>
      </w:r>
      <w:r w:rsidR="001E0EB2" w:rsidRPr="00B64995">
        <w:rPr>
          <w:lang w:val="en-GB"/>
        </w:rPr>
        <w:t>machine learning marketplace integration (</w:t>
      </w:r>
      <w:hyperlink r:id="rId73" w:history="1">
        <w:r w:rsidR="001E0EB2" w:rsidRPr="00A060FE">
          <w:rPr>
            <w:rStyle w:val="Hyperlink"/>
            <w:lang w:val="en-GB"/>
          </w:rPr>
          <w:t>Y.3176</w:t>
        </w:r>
      </w:hyperlink>
      <w:r w:rsidR="001E0EB2" w:rsidRPr="00A060FE">
        <w:rPr>
          <w:lang w:val="en-GB"/>
        </w:rPr>
        <w:t xml:space="preserve">). </w:t>
      </w:r>
      <w:r w:rsidR="005505C6" w:rsidRPr="00A060FE">
        <w:rPr>
          <w:rFonts w:cs="Calibri"/>
          <w:lang w:val="en-GB"/>
        </w:rPr>
        <w:t xml:space="preserve">These standards will guide contributions to a new </w:t>
      </w:r>
      <w:hyperlink r:id="rId74">
        <w:r w:rsidR="005505C6" w:rsidRPr="00B64995">
          <w:rPr>
            <w:rStyle w:val="Hyperlink"/>
            <w:rFonts w:cs="Calibri"/>
            <w:lang w:val="en-GB"/>
          </w:rPr>
          <w:t>ITU Global Challenge on AI and Machine Learning in 5G</w:t>
        </w:r>
      </w:hyperlink>
      <w:r w:rsidR="00C54009" w:rsidRPr="00B64995">
        <w:rPr>
          <w:rFonts w:cs="Calibri"/>
          <w:lang w:val="en-GB"/>
        </w:rPr>
        <w:t>.</w:t>
      </w:r>
    </w:p>
    <w:p w14:paraId="2DD4FDE9" w14:textId="255FDB47" w:rsidR="005505C6" w:rsidRPr="00B64995" w:rsidRDefault="00147056" w:rsidP="003C7FD5">
      <w:pPr>
        <w:rPr>
          <w:rFonts w:eastAsiaTheme="minorEastAsia"/>
          <w:b/>
        </w:rPr>
      </w:pPr>
      <w:r w:rsidRPr="00B64995">
        <w:rPr>
          <w:rFonts w:eastAsiaTheme="minorEastAsia"/>
          <w:b/>
          <w:i/>
          <w:iCs/>
        </w:rPr>
        <w:t>Cable networks</w:t>
      </w:r>
    </w:p>
    <w:p w14:paraId="56EFF863" w14:textId="6FF4229E" w:rsidR="006D787D" w:rsidRPr="00A060FE" w:rsidRDefault="006D787D" w:rsidP="006D787D">
      <w:pPr>
        <w:pStyle w:val="ListParagraph"/>
        <w:numPr>
          <w:ilvl w:val="0"/>
          <w:numId w:val="4"/>
        </w:numPr>
        <w:jc w:val="both"/>
        <w:rPr>
          <w:lang w:val="en-GB"/>
        </w:rPr>
      </w:pPr>
      <w:bookmarkStart w:id="38" w:name="_Hlk63678605"/>
      <w:r w:rsidRPr="00B64995">
        <w:rPr>
          <w:i/>
          <w:iCs/>
          <w:lang w:val="en-GB"/>
        </w:rPr>
        <w:t>Broadband cable and TV:</w:t>
      </w:r>
      <w:r w:rsidRPr="00B64995">
        <w:rPr>
          <w:lang w:val="en-GB"/>
        </w:rPr>
        <w:t xml:space="preserve"> New ITU standards address IP cable modems with the fourth and fifth generations of transmission systems for interactive cable television services (</w:t>
      </w:r>
      <w:hyperlink r:id="rId75" w:history="1">
        <w:r w:rsidRPr="00A060FE">
          <w:rPr>
            <w:rStyle w:val="Hyperlink"/>
            <w:lang w:val="en-GB"/>
          </w:rPr>
          <w:t>J.225</w:t>
        </w:r>
      </w:hyperlink>
      <w:r w:rsidRPr="00A060FE">
        <w:rPr>
          <w:lang w:val="en-GB"/>
        </w:rPr>
        <w:t xml:space="preserve"> and </w:t>
      </w:r>
      <w:hyperlink r:id="rId76" w:history="1">
        <w:r w:rsidRPr="00A060FE">
          <w:rPr>
            <w:rStyle w:val="Hyperlink"/>
            <w:lang w:val="en-GB"/>
          </w:rPr>
          <w:t>J.224</w:t>
        </w:r>
      </w:hyperlink>
      <w:r w:rsidRPr="00A060FE">
        <w:rPr>
          <w:lang w:val="en-GB"/>
        </w:rPr>
        <w:t xml:space="preserve">), </w:t>
      </w:r>
      <w:r w:rsidR="00C54009" w:rsidRPr="00A060FE">
        <w:rPr>
          <w:lang w:val="en-GB"/>
        </w:rPr>
        <w:t xml:space="preserve">an </w:t>
      </w:r>
      <w:r w:rsidRPr="00B64995">
        <w:rPr>
          <w:lang w:val="en-GB"/>
        </w:rPr>
        <w:t xml:space="preserve">embedded common interface for exchangeable conditional access/digital rights management solutions </w:t>
      </w:r>
      <w:hyperlink r:id="rId77" w:history="1">
        <w:r w:rsidRPr="00A060FE">
          <w:rPr>
            <w:rStyle w:val="Hyperlink"/>
            <w:lang w:val="en-GB"/>
          </w:rPr>
          <w:t>(J.112</w:t>
        </w:r>
      </w:hyperlink>
      <w:r w:rsidRPr="00A060FE">
        <w:rPr>
          <w:lang w:val="en-GB"/>
        </w:rPr>
        <w:t xml:space="preserve">, </w:t>
      </w:r>
      <w:hyperlink r:id="rId78" w:history="1">
        <w:r w:rsidRPr="00A060FE">
          <w:rPr>
            <w:rStyle w:val="Hyperlink"/>
            <w:lang w:val="en-GB"/>
          </w:rPr>
          <w:t>J.113</w:t>
        </w:r>
      </w:hyperlink>
      <w:r w:rsidRPr="00A060FE">
        <w:rPr>
          <w:lang w:val="en-GB"/>
        </w:rPr>
        <w:t xml:space="preserve">, </w:t>
      </w:r>
      <w:hyperlink r:id="rId79" w:history="1">
        <w:r w:rsidRPr="00A060FE">
          <w:rPr>
            <w:rStyle w:val="Hyperlink"/>
            <w:lang w:val="en-GB"/>
          </w:rPr>
          <w:t>J.114</w:t>
        </w:r>
      </w:hyperlink>
      <w:r w:rsidRPr="00A060FE">
        <w:rPr>
          <w:lang w:val="en-GB"/>
        </w:rPr>
        <w:t xml:space="preserve">, </w:t>
      </w:r>
      <w:hyperlink r:id="rId80" w:history="1">
        <w:r w:rsidRPr="00A060FE">
          <w:rPr>
            <w:rStyle w:val="Hyperlink"/>
            <w:lang w:val="en-GB"/>
          </w:rPr>
          <w:t>J.115</w:t>
        </w:r>
      </w:hyperlink>
      <w:r w:rsidRPr="00A060FE">
        <w:rPr>
          <w:lang w:val="en-GB"/>
        </w:rPr>
        <w:t xml:space="preserve"> and J.115.1), </w:t>
      </w:r>
      <w:r w:rsidR="009C591E" w:rsidRPr="00A060FE">
        <w:rPr>
          <w:lang w:val="en-GB"/>
        </w:rPr>
        <w:t xml:space="preserve">a </w:t>
      </w:r>
      <w:r w:rsidRPr="00B64995">
        <w:rPr>
          <w:lang w:val="en-GB"/>
        </w:rPr>
        <w:t>downloadable conditional access system for bidirectional networks (</w:t>
      </w:r>
      <w:hyperlink r:id="rId81" w:history="1">
        <w:r w:rsidRPr="00A060FE">
          <w:rPr>
            <w:rStyle w:val="Hyperlink"/>
            <w:lang w:val="en-GB"/>
          </w:rPr>
          <w:t>J.1031</w:t>
        </w:r>
      </w:hyperlink>
      <w:r w:rsidRPr="00A060FE">
        <w:rPr>
          <w:lang w:val="en-GB"/>
        </w:rPr>
        <w:t xml:space="preserve">, </w:t>
      </w:r>
      <w:hyperlink r:id="rId82" w:history="1">
        <w:r w:rsidRPr="00A060FE">
          <w:rPr>
            <w:rStyle w:val="Hyperlink"/>
            <w:lang w:val="en-GB"/>
          </w:rPr>
          <w:t>J.1032</w:t>
        </w:r>
      </w:hyperlink>
      <w:r w:rsidRPr="00A060FE">
        <w:rPr>
          <w:lang w:val="en-GB"/>
        </w:rPr>
        <w:t xml:space="preserve"> and </w:t>
      </w:r>
      <w:hyperlink r:id="rId83" w:history="1">
        <w:r w:rsidRPr="00A060FE">
          <w:rPr>
            <w:rStyle w:val="Hyperlink"/>
            <w:lang w:val="en-GB"/>
          </w:rPr>
          <w:t>J.1033</w:t>
        </w:r>
      </w:hyperlink>
      <w:r w:rsidRPr="00A060FE">
        <w:rPr>
          <w:lang w:val="en-GB"/>
        </w:rPr>
        <w:t>), smart TV operating systems (</w:t>
      </w:r>
      <w:hyperlink r:id="rId84" w:history="1">
        <w:r w:rsidRPr="00A060FE">
          <w:rPr>
            <w:rStyle w:val="Hyperlink"/>
            <w:lang w:val="en-GB"/>
          </w:rPr>
          <w:t>J.1203</w:t>
        </w:r>
      </w:hyperlink>
      <w:r w:rsidRPr="00A060FE">
        <w:rPr>
          <w:lang w:val="en-GB"/>
        </w:rPr>
        <w:t xml:space="preserve"> and </w:t>
      </w:r>
      <w:hyperlink r:id="rId85" w:history="1">
        <w:r w:rsidRPr="00A060FE">
          <w:rPr>
            <w:rStyle w:val="Hyperlink"/>
            <w:lang w:val="en-GB"/>
          </w:rPr>
          <w:t>J.12</w:t>
        </w:r>
        <w:r w:rsidRPr="00B64995">
          <w:rPr>
            <w:rStyle w:val="Hyperlink"/>
            <w:lang w:val="en-GB"/>
          </w:rPr>
          <w:t>04</w:t>
        </w:r>
      </w:hyperlink>
      <w:r w:rsidRPr="00A060FE">
        <w:rPr>
          <w:lang w:val="en-GB"/>
        </w:rPr>
        <w:t>), the remote management of cable set-top boxes by auto configuration server (</w:t>
      </w:r>
      <w:hyperlink r:id="rId86" w:history="1">
        <w:r w:rsidRPr="00A060FE">
          <w:rPr>
            <w:rStyle w:val="Hyperlink"/>
            <w:lang w:val="en-GB"/>
          </w:rPr>
          <w:t>J.299</w:t>
        </w:r>
      </w:hyperlink>
      <w:r w:rsidRPr="00A060FE">
        <w:rPr>
          <w:lang w:val="en-GB"/>
        </w:rPr>
        <w:t>), and IP video broadcast for CATV networks (</w:t>
      </w:r>
      <w:hyperlink r:id="rId87" w:history="1">
        <w:r w:rsidRPr="00A060FE">
          <w:rPr>
            <w:rStyle w:val="Hyperlink"/>
            <w:lang w:val="en-GB"/>
          </w:rPr>
          <w:t>J.1211</w:t>
        </w:r>
      </w:hyperlink>
      <w:r w:rsidRPr="00A060FE">
        <w:rPr>
          <w:lang w:val="en-GB"/>
        </w:rPr>
        <w:t>).</w:t>
      </w:r>
    </w:p>
    <w:p w14:paraId="4F18C2A2" w14:textId="77777777" w:rsidR="006D787D" w:rsidRPr="00B64995" w:rsidRDefault="006D787D" w:rsidP="006D787D">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Premium cable networks</w:t>
      </w:r>
      <w:r w:rsidRPr="00B64995">
        <w:rPr>
          <w:rFonts w:cs="Calibri"/>
          <w:lang w:val="en-GB"/>
        </w:rPr>
        <w:t>: A new ITU standard provides the framework for a premium cable network platform to support industry in offering advanced multimedia services (</w:t>
      </w:r>
      <w:hyperlink r:id="rId88">
        <w:r w:rsidRPr="00B64995">
          <w:rPr>
            <w:rStyle w:val="Hyperlink"/>
            <w:rFonts w:cs="Calibri"/>
            <w:lang w:val="en-GB"/>
          </w:rPr>
          <w:t>J.1600</w:t>
        </w:r>
      </w:hyperlink>
      <w:r w:rsidRPr="00A060FE">
        <w:rPr>
          <w:rFonts w:cs="Calibri"/>
          <w:lang w:val="en-GB"/>
        </w:rPr>
        <w:t>). It is the first of a new series of ITU standards on AI-assisted cable networks.</w:t>
      </w:r>
    </w:p>
    <w:p w14:paraId="54055075" w14:textId="3200CBEA" w:rsidR="0049723A" w:rsidRPr="00B64995" w:rsidRDefault="005505C6" w:rsidP="00271A6E">
      <w:pPr>
        <w:autoSpaceDE w:val="0"/>
        <w:autoSpaceDN w:val="0"/>
        <w:adjustRightInd w:val="0"/>
        <w:spacing w:after="120"/>
        <w:jc w:val="both"/>
        <w:rPr>
          <w:b/>
          <w:bCs/>
        </w:rPr>
      </w:pPr>
      <w:bookmarkStart w:id="39" w:name="_Hlk68803436"/>
      <w:bookmarkEnd w:id="38"/>
      <w:r w:rsidRPr="00B64995">
        <w:rPr>
          <w:b/>
          <w:bCs/>
          <w:i/>
          <w:iCs/>
        </w:rPr>
        <w:lastRenderedPageBreak/>
        <w:t>Quantum information technology</w:t>
      </w:r>
      <w:bookmarkEnd w:id="39"/>
    </w:p>
    <w:p w14:paraId="09BC4D2B" w14:textId="242BF50D" w:rsidR="005505C6" w:rsidRPr="00B64995" w:rsidRDefault="00073F4F"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Quantum key distribution</w:t>
      </w:r>
      <w:r w:rsidRPr="00B64995">
        <w:rPr>
          <w:rFonts w:cs="Calibri"/>
          <w:lang w:val="en-GB"/>
        </w:rPr>
        <w:t xml:space="preserve">: </w:t>
      </w:r>
      <w:r w:rsidR="005505C6" w:rsidRPr="00B64995">
        <w:rPr>
          <w:rFonts w:cs="Calibri"/>
          <w:lang w:val="en-GB"/>
        </w:rPr>
        <w:t>New ITU standards describe the networking concepts to underpin quantum key distribution</w:t>
      </w:r>
      <w:r w:rsidR="009C591E" w:rsidRPr="00B64995">
        <w:rPr>
          <w:rFonts w:cs="Calibri"/>
          <w:lang w:val="en-GB"/>
        </w:rPr>
        <w:t xml:space="preserve"> </w:t>
      </w:r>
      <w:r w:rsidR="009C591E" w:rsidRPr="00B64995">
        <w:rPr>
          <w:lang w:val="en-GB"/>
        </w:rPr>
        <w:t>(QKD)</w:t>
      </w:r>
      <w:r w:rsidR="005505C6" w:rsidRPr="00B64995">
        <w:rPr>
          <w:rFonts w:cs="Calibri"/>
          <w:lang w:val="en-GB"/>
        </w:rPr>
        <w:t>, a means of enabling secure encryption and authentication (</w:t>
      </w:r>
      <w:hyperlink r:id="rId89">
        <w:r w:rsidR="005505C6" w:rsidRPr="00B64995">
          <w:rPr>
            <w:rStyle w:val="Hyperlink"/>
            <w:rFonts w:cs="Calibri"/>
            <w:lang w:val="en-GB"/>
          </w:rPr>
          <w:t>Y.3800</w:t>
        </w:r>
      </w:hyperlink>
      <w:r w:rsidR="005505C6" w:rsidRPr="00A060FE">
        <w:rPr>
          <w:rFonts w:cs="Calibri"/>
          <w:lang w:val="en-GB"/>
        </w:rPr>
        <w:t>), and the architecture of a quantum noise random number generator (</w:t>
      </w:r>
      <w:hyperlink r:id="rId90">
        <w:r w:rsidR="005505C6" w:rsidRPr="00B64995">
          <w:rPr>
            <w:rStyle w:val="Hyperlink"/>
            <w:rFonts w:cs="Calibri"/>
            <w:lang w:val="en-GB"/>
          </w:rPr>
          <w:t>X.1702</w:t>
        </w:r>
      </w:hyperlink>
      <w:r w:rsidR="005505C6" w:rsidRPr="00A060FE">
        <w:rPr>
          <w:rFonts w:cs="Calibri"/>
          <w:lang w:val="en-GB"/>
        </w:rPr>
        <w:t>)</w:t>
      </w:r>
      <w:r w:rsidR="009C591E" w:rsidRPr="00A060FE">
        <w:rPr>
          <w:rFonts w:cs="Calibri"/>
          <w:lang w:val="en-GB"/>
        </w:rPr>
        <w:t>, and</w:t>
      </w:r>
      <w:r w:rsidR="005505C6" w:rsidRPr="00B64995">
        <w:rPr>
          <w:rFonts w:cs="Calibri"/>
          <w:lang w:val="en-GB"/>
        </w:rPr>
        <w:t xml:space="preserve"> </w:t>
      </w:r>
      <w:r w:rsidR="00D26EF5" w:rsidRPr="00B64995">
        <w:rPr>
          <w:lang w:val="en-GB"/>
        </w:rPr>
        <w:t>continue to refine aspects of QKD networks, such as functional requirements for QKD networks (</w:t>
      </w:r>
      <w:hyperlink r:id="rId91" w:history="1">
        <w:r w:rsidR="00D26EF5" w:rsidRPr="00A060FE">
          <w:rPr>
            <w:rStyle w:val="Hyperlink"/>
            <w:lang w:val="en-GB"/>
          </w:rPr>
          <w:t>Y.3801</w:t>
        </w:r>
      </w:hyperlink>
      <w:r w:rsidR="00D26EF5" w:rsidRPr="00A060FE">
        <w:rPr>
          <w:lang w:val="en-GB"/>
        </w:rPr>
        <w:t>), a functional architecture (</w:t>
      </w:r>
      <w:hyperlink r:id="rId92" w:history="1">
        <w:r w:rsidR="00D26EF5" w:rsidRPr="00A060FE">
          <w:rPr>
            <w:rStyle w:val="Hyperlink"/>
            <w:lang w:val="en-GB"/>
          </w:rPr>
          <w:t>Y.3802</w:t>
        </w:r>
      </w:hyperlink>
      <w:r w:rsidR="00D26EF5" w:rsidRPr="00A060FE">
        <w:rPr>
          <w:lang w:val="en-GB"/>
        </w:rPr>
        <w:t>), key management (</w:t>
      </w:r>
      <w:hyperlink r:id="rId93" w:history="1">
        <w:r w:rsidR="00D26EF5" w:rsidRPr="00A060FE">
          <w:rPr>
            <w:rStyle w:val="Hyperlink"/>
            <w:lang w:val="en-GB"/>
          </w:rPr>
          <w:t>Y.3803</w:t>
        </w:r>
      </w:hyperlink>
      <w:r w:rsidR="00D26EF5" w:rsidRPr="00A060FE">
        <w:rPr>
          <w:lang w:val="en-GB"/>
        </w:rPr>
        <w:t>), and control and management (</w:t>
      </w:r>
      <w:hyperlink r:id="rId94" w:history="1">
        <w:r w:rsidR="00D26EF5" w:rsidRPr="00A060FE">
          <w:rPr>
            <w:rStyle w:val="Hyperlink"/>
            <w:lang w:val="en-GB"/>
          </w:rPr>
          <w:t>Y.3804</w:t>
        </w:r>
      </w:hyperlink>
      <w:r w:rsidR="00D26EF5" w:rsidRPr="00A060FE">
        <w:rPr>
          <w:lang w:val="en-GB"/>
        </w:rPr>
        <w:t xml:space="preserve">). A </w:t>
      </w:r>
      <w:proofErr w:type="gramStart"/>
      <w:r w:rsidR="00D26EF5" w:rsidRPr="00A060FE">
        <w:rPr>
          <w:lang w:val="en-GB"/>
        </w:rPr>
        <w:t>new Technical Report highlights security considerations</w:t>
      </w:r>
      <w:proofErr w:type="gramEnd"/>
      <w:r w:rsidR="00D26EF5" w:rsidRPr="00A060FE">
        <w:rPr>
          <w:lang w:val="en-GB"/>
        </w:rPr>
        <w:t xml:space="preserve"> </w:t>
      </w:r>
      <w:r w:rsidR="00D26EF5" w:rsidRPr="00B64995">
        <w:rPr>
          <w:lang w:val="en-GB"/>
        </w:rPr>
        <w:t>for QKD networks (</w:t>
      </w:r>
      <w:proofErr w:type="spellStart"/>
      <w:r w:rsidR="00D26EF5" w:rsidRPr="00B64995">
        <w:rPr>
          <w:lang w:val="en-GB"/>
        </w:rPr>
        <w:t>TR.sec-qkd</w:t>
      </w:r>
      <w:proofErr w:type="spellEnd"/>
      <w:r w:rsidR="00D26EF5" w:rsidRPr="00B64995">
        <w:rPr>
          <w:lang w:val="en-GB"/>
        </w:rPr>
        <w:t>)</w:t>
      </w:r>
      <w:r w:rsidR="009C591E" w:rsidRPr="00B64995">
        <w:rPr>
          <w:lang w:val="en-GB"/>
        </w:rPr>
        <w:t xml:space="preserve">. </w:t>
      </w:r>
      <w:r w:rsidR="000028FB" w:rsidRPr="00B64995">
        <w:rPr>
          <w:lang w:val="en-GB"/>
        </w:rPr>
        <w:t>New standards set out</w:t>
      </w:r>
      <w:r w:rsidR="00B06FD2" w:rsidRPr="00B64995">
        <w:rPr>
          <w:lang w:val="en-GB"/>
        </w:rPr>
        <w:t xml:space="preserve"> a security framework for quantum key distribution networks (</w:t>
      </w:r>
      <w:hyperlink r:id="rId95" w:history="1">
        <w:r w:rsidR="00B06FD2" w:rsidRPr="00A060FE">
          <w:rPr>
            <w:rStyle w:val="Hyperlink"/>
            <w:lang w:val="en-GB"/>
          </w:rPr>
          <w:t>X.1710</w:t>
        </w:r>
      </w:hyperlink>
      <w:r w:rsidR="00B06FD2" w:rsidRPr="00A060FE">
        <w:rPr>
          <w:lang w:val="en-GB"/>
        </w:rPr>
        <w:t>)</w:t>
      </w:r>
      <w:r w:rsidR="00B06FD2" w:rsidRPr="00B64995">
        <w:rPr>
          <w:lang w:val="en-GB"/>
        </w:rPr>
        <w:t xml:space="preserve"> and key combination methods (</w:t>
      </w:r>
      <w:hyperlink r:id="rId96" w:history="1">
        <w:r w:rsidR="00B06FD2" w:rsidRPr="00A060FE">
          <w:rPr>
            <w:rStyle w:val="Hyperlink"/>
            <w:lang w:val="en-GB"/>
          </w:rPr>
          <w:t>X.1714</w:t>
        </w:r>
      </w:hyperlink>
      <w:r w:rsidR="00B06FD2" w:rsidRPr="00A060FE">
        <w:rPr>
          <w:lang w:val="en-GB"/>
        </w:rPr>
        <w:t>)</w:t>
      </w:r>
      <w:r w:rsidR="00A002C5" w:rsidRPr="00A060FE">
        <w:rPr>
          <w:lang w:val="en-GB"/>
        </w:rPr>
        <w:t>; requirements for distributed ledger systems (</w:t>
      </w:r>
      <w:hyperlink r:id="rId97" w:history="1">
        <w:r w:rsidR="00A002C5" w:rsidRPr="00A060FE">
          <w:rPr>
            <w:rStyle w:val="Hyperlink"/>
            <w:lang w:val="en-GB"/>
          </w:rPr>
          <w:t>F.751.0</w:t>
        </w:r>
      </w:hyperlink>
      <w:r w:rsidR="00A002C5" w:rsidRPr="00A060FE">
        <w:rPr>
          <w:lang w:val="en-GB"/>
        </w:rPr>
        <w:t xml:space="preserve">); assessment criteria for </w:t>
      </w:r>
      <w:r w:rsidR="000028FB" w:rsidRPr="00A060FE">
        <w:rPr>
          <w:lang w:val="en-GB"/>
        </w:rPr>
        <w:t>distributed ledger technology (</w:t>
      </w:r>
      <w:r w:rsidR="00A002C5" w:rsidRPr="00B64995">
        <w:rPr>
          <w:lang w:val="en-GB"/>
        </w:rPr>
        <w:t>DLT</w:t>
      </w:r>
      <w:r w:rsidR="000028FB" w:rsidRPr="00B64995">
        <w:rPr>
          <w:lang w:val="en-GB"/>
        </w:rPr>
        <w:t>)</w:t>
      </w:r>
      <w:r w:rsidR="00A002C5" w:rsidRPr="00B64995">
        <w:rPr>
          <w:lang w:val="en-GB"/>
        </w:rPr>
        <w:t xml:space="preserve"> platforms (</w:t>
      </w:r>
      <w:hyperlink r:id="rId98" w:history="1">
        <w:r w:rsidR="00A002C5" w:rsidRPr="00A060FE">
          <w:rPr>
            <w:rStyle w:val="Hyperlink"/>
            <w:lang w:val="en-GB"/>
          </w:rPr>
          <w:t>F.751.1</w:t>
        </w:r>
      </w:hyperlink>
      <w:r w:rsidR="00A002C5" w:rsidRPr="00A060FE">
        <w:rPr>
          <w:lang w:val="en-GB"/>
        </w:rPr>
        <w:t>); a reference framework for DLT</w:t>
      </w:r>
      <w:r w:rsidR="00A002C5" w:rsidRPr="00B64995">
        <w:rPr>
          <w:lang w:val="en-GB"/>
        </w:rPr>
        <w:t xml:space="preserve"> (</w:t>
      </w:r>
      <w:hyperlink r:id="rId99" w:history="1">
        <w:r w:rsidR="00A002C5" w:rsidRPr="00A060FE">
          <w:rPr>
            <w:rStyle w:val="Hyperlink"/>
            <w:lang w:val="en-GB"/>
          </w:rPr>
          <w:t>F.751.2</w:t>
        </w:r>
      </w:hyperlink>
      <w:r w:rsidR="00A002C5" w:rsidRPr="00A060FE">
        <w:rPr>
          <w:lang w:val="en-GB"/>
        </w:rPr>
        <w:t>); DLT terms and definitions (</w:t>
      </w:r>
      <w:hyperlink r:id="rId100" w:history="1">
        <w:r w:rsidR="00A002C5" w:rsidRPr="00A060FE">
          <w:rPr>
            <w:rStyle w:val="Hyperlink"/>
            <w:lang w:val="en-GB"/>
          </w:rPr>
          <w:t>X.1400</w:t>
        </w:r>
      </w:hyperlink>
      <w:r w:rsidR="00A002C5" w:rsidRPr="00A060FE">
        <w:rPr>
          <w:lang w:val="en-GB"/>
        </w:rPr>
        <w:t>); a security framework for DLT (</w:t>
      </w:r>
      <w:hyperlink r:id="rId101" w:history="1">
        <w:r w:rsidR="00A002C5" w:rsidRPr="00A060FE">
          <w:rPr>
            <w:rStyle w:val="Hyperlink"/>
            <w:lang w:val="en-GB"/>
          </w:rPr>
          <w:t>X.1402</w:t>
        </w:r>
      </w:hyperlink>
      <w:r w:rsidR="00A002C5" w:rsidRPr="00A060FE">
        <w:rPr>
          <w:lang w:val="en-GB"/>
        </w:rPr>
        <w:t>); security guidelines for using DLT for decentralized identity management (</w:t>
      </w:r>
      <w:hyperlink r:id="rId102" w:history="1">
        <w:r w:rsidR="00A002C5" w:rsidRPr="00A060FE">
          <w:rPr>
            <w:rStyle w:val="Hyperlink"/>
            <w:lang w:val="en-GB"/>
          </w:rPr>
          <w:t>X.1403</w:t>
        </w:r>
      </w:hyperlink>
      <w:r w:rsidR="00A002C5" w:rsidRPr="00A060FE">
        <w:rPr>
          <w:lang w:val="en-GB"/>
        </w:rPr>
        <w:t>); DLT security assurance (</w:t>
      </w:r>
      <w:hyperlink r:id="rId103" w:history="1">
        <w:r w:rsidR="00A002C5" w:rsidRPr="00A060FE">
          <w:rPr>
            <w:rStyle w:val="Hyperlink"/>
            <w:lang w:val="en-GB"/>
          </w:rPr>
          <w:t>X.1404</w:t>
        </w:r>
      </w:hyperlink>
      <w:r w:rsidR="00A002C5" w:rsidRPr="00A060FE">
        <w:rPr>
          <w:lang w:val="en-GB"/>
        </w:rPr>
        <w:t>); and the requirements of</w:t>
      </w:r>
      <w:r w:rsidR="001D016A" w:rsidRPr="00A060FE">
        <w:rPr>
          <w:lang w:val="en-GB"/>
        </w:rPr>
        <w:t xml:space="preserve"> blockchain as a service in the clo</w:t>
      </w:r>
      <w:r w:rsidR="001D016A" w:rsidRPr="00B64995">
        <w:rPr>
          <w:lang w:val="en-GB"/>
        </w:rPr>
        <w:t>ud computing context (</w:t>
      </w:r>
      <w:hyperlink r:id="rId104" w:history="1">
        <w:r w:rsidR="001D016A" w:rsidRPr="00A060FE">
          <w:rPr>
            <w:rStyle w:val="Hyperlink"/>
            <w:lang w:val="en-GB"/>
          </w:rPr>
          <w:t>Y.3530</w:t>
        </w:r>
      </w:hyperlink>
      <w:r w:rsidR="001D016A" w:rsidRPr="00A060FE">
        <w:rPr>
          <w:lang w:val="en-GB"/>
        </w:rPr>
        <w:t>)</w:t>
      </w:r>
      <w:r w:rsidR="005546A0" w:rsidRPr="00B64995">
        <w:rPr>
          <w:lang w:val="en-GB"/>
        </w:rPr>
        <w:t>.</w:t>
      </w:r>
    </w:p>
    <w:p w14:paraId="232F2961" w14:textId="3DD97BD1" w:rsidR="007C4AAE" w:rsidRPr="00B64995" w:rsidRDefault="007C4AAE" w:rsidP="006C3313">
      <w:pPr>
        <w:pStyle w:val="ListParagraph"/>
        <w:autoSpaceDE w:val="0"/>
        <w:autoSpaceDN w:val="0"/>
        <w:adjustRightInd w:val="0"/>
        <w:spacing w:after="120"/>
        <w:ind w:left="720"/>
        <w:jc w:val="both"/>
        <w:rPr>
          <w:rFonts w:eastAsiaTheme="minorEastAsia" w:cs="Calibri"/>
          <w:bCs/>
          <w:lang w:val="en-GB"/>
        </w:rPr>
      </w:pPr>
    </w:p>
    <w:p w14:paraId="054B4F1A" w14:textId="50B2FE4B" w:rsidR="0049723A" w:rsidRPr="00B64995" w:rsidRDefault="005505C6" w:rsidP="004E1363">
      <w:pPr>
        <w:autoSpaceDE w:val="0"/>
        <w:autoSpaceDN w:val="0"/>
        <w:adjustRightInd w:val="0"/>
        <w:spacing w:after="120"/>
        <w:jc w:val="both"/>
        <w:rPr>
          <w:b/>
          <w:bCs/>
        </w:rPr>
      </w:pPr>
      <w:r w:rsidRPr="00B64995">
        <w:rPr>
          <w:b/>
          <w:bCs/>
          <w:i/>
          <w:iCs/>
        </w:rPr>
        <w:t xml:space="preserve">Distributed ledger </w:t>
      </w:r>
      <w:r w:rsidR="004E1363" w:rsidRPr="00B64995">
        <w:rPr>
          <w:b/>
          <w:bCs/>
          <w:i/>
          <w:iCs/>
        </w:rPr>
        <w:t>technology</w:t>
      </w:r>
      <w:r w:rsidR="004E1363" w:rsidRPr="00B64995">
        <w:rPr>
          <w:b/>
          <w:bCs/>
        </w:rPr>
        <w:t xml:space="preserve"> </w:t>
      </w:r>
      <w:r w:rsidR="004E1363" w:rsidRPr="00B64995">
        <w:rPr>
          <w:b/>
          <w:bCs/>
          <w:i/>
          <w:iCs/>
        </w:rPr>
        <w:t>and blockchain</w:t>
      </w:r>
    </w:p>
    <w:p w14:paraId="4CBDC6F3" w14:textId="0B8BD82F" w:rsidR="005505C6" w:rsidRPr="00B64995" w:rsidRDefault="00D86BE8"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Distributed ledger technologies (DLT)</w:t>
      </w:r>
      <w:r w:rsidRPr="00B64995">
        <w:rPr>
          <w:rFonts w:cs="Calibri"/>
          <w:lang w:val="en-GB"/>
        </w:rPr>
        <w:t xml:space="preserve">: </w:t>
      </w:r>
      <w:r w:rsidR="005505C6" w:rsidRPr="00B64995">
        <w:rPr>
          <w:rFonts w:cs="Calibri"/>
          <w:lang w:val="en-GB"/>
        </w:rPr>
        <w:t>New ITU standards address the requirements of blockchain in next-generation network evolution (</w:t>
      </w:r>
      <w:hyperlink r:id="rId105">
        <w:r w:rsidR="005505C6" w:rsidRPr="00B64995">
          <w:rPr>
            <w:rStyle w:val="Hyperlink"/>
            <w:rFonts w:cs="Calibri"/>
            <w:lang w:val="en-GB"/>
          </w:rPr>
          <w:t>Y.2342</w:t>
        </w:r>
      </w:hyperlink>
      <w:r w:rsidR="005505C6" w:rsidRPr="00A060FE">
        <w:rPr>
          <w:rFonts w:cs="Calibri"/>
          <w:lang w:val="en-GB"/>
        </w:rPr>
        <w:t>)</w:t>
      </w:r>
      <w:r w:rsidR="009607E2" w:rsidRPr="00A060FE">
        <w:rPr>
          <w:rFonts w:cs="Calibri"/>
          <w:lang w:val="en-GB"/>
        </w:rPr>
        <w:t xml:space="preserve">; </w:t>
      </w:r>
      <w:r w:rsidR="005505C6" w:rsidRPr="00B64995">
        <w:rPr>
          <w:rFonts w:cs="Calibri"/>
          <w:lang w:val="en-GB"/>
        </w:rPr>
        <w:t>the security requirements of blockchain, both in terms of blockchain’s security capabilities and security threats to blockchain (</w:t>
      </w:r>
      <w:hyperlink r:id="rId106">
        <w:r w:rsidR="005505C6" w:rsidRPr="00B64995">
          <w:rPr>
            <w:rStyle w:val="Hyperlink"/>
            <w:rFonts w:cs="Calibri"/>
            <w:lang w:val="en-GB"/>
          </w:rPr>
          <w:t>X.1401</w:t>
        </w:r>
      </w:hyperlink>
      <w:r w:rsidR="005505C6" w:rsidRPr="00A060FE">
        <w:rPr>
          <w:rFonts w:cs="Calibri"/>
          <w:lang w:val="en-GB"/>
        </w:rPr>
        <w:t>)</w:t>
      </w:r>
      <w:r w:rsidR="005546A0" w:rsidRPr="00B64995">
        <w:rPr>
          <w:rFonts w:cs="Calibri"/>
          <w:lang w:val="en-GB"/>
        </w:rPr>
        <w:t>.</w:t>
      </w:r>
    </w:p>
    <w:p w14:paraId="441C724E" w14:textId="7D3134C4" w:rsidR="006C3313" w:rsidRPr="00A060FE" w:rsidRDefault="006C3313"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eastAsiaTheme="minorEastAsia" w:cs="Calibri"/>
          <w:bCs/>
          <w:i/>
          <w:iCs/>
          <w:lang w:val="en-GB"/>
        </w:rPr>
        <w:t>Blockchain for cities</w:t>
      </w:r>
      <w:r w:rsidRPr="00B64995">
        <w:rPr>
          <w:rFonts w:eastAsiaTheme="minorEastAsia" w:cs="Calibri"/>
          <w:bCs/>
          <w:lang w:val="en-GB"/>
        </w:rPr>
        <w:t xml:space="preserve">: </w:t>
      </w:r>
      <w:r w:rsidRPr="00B64995">
        <w:rPr>
          <w:lang w:val="en-GB"/>
        </w:rPr>
        <w:t xml:space="preserve">New ITU standards address </w:t>
      </w:r>
      <w:r w:rsidR="000028FB" w:rsidRPr="00B64995">
        <w:rPr>
          <w:lang w:val="en-GB"/>
        </w:rPr>
        <w:t xml:space="preserve">the </w:t>
      </w:r>
      <w:r w:rsidRPr="00B64995">
        <w:rPr>
          <w:lang w:val="en-GB"/>
        </w:rPr>
        <w:t>blockchain of things as a decentralized service platform (</w:t>
      </w:r>
      <w:hyperlink r:id="rId107" w:history="1">
        <w:r w:rsidRPr="00A060FE">
          <w:rPr>
            <w:rStyle w:val="Hyperlink"/>
            <w:lang w:val="en-GB"/>
          </w:rPr>
          <w:t>Y.4464</w:t>
        </w:r>
      </w:hyperlink>
      <w:r w:rsidRPr="00A060FE">
        <w:rPr>
          <w:lang w:val="en-GB"/>
        </w:rPr>
        <w:t>), blockchain-based data exchange and sharing (</w:t>
      </w:r>
      <w:hyperlink r:id="rId108" w:history="1">
        <w:r w:rsidRPr="00A060FE">
          <w:rPr>
            <w:rStyle w:val="Hyperlink"/>
            <w:lang w:val="en-GB"/>
          </w:rPr>
          <w:t>Y.4560</w:t>
        </w:r>
      </w:hyperlink>
      <w:r w:rsidRPr="00A060FE">
        <w:rPr>
          <w:lang w:val="en-GB"/>
        </w:rPr>
        <w:t>) and blockchain-based data management (</w:t>
      </w:r>
      <w:hyperlink r:id="rId109" w:history="1">
        <w:r w:rsidRPr="00A060FE">
          <w:rPr>
            <w:rStyle w:val="Hyperlink"/>
            <w:lang w:val="en-GB"/>
          </w:rPr>
          <w:t>Y.4561</w:t>
        </w:r>
      </w:hyperlink>
      <w:r w:rsidRPr="00A060FE">
        <w:rPr>
          <w:lang w:val="en-GB"/>
        </w:rPr>
        <w:t xml:space="preserve">), and blockchain-based unified </w:t>
      </w:r>
      <w:r w:rsidR="000028FB" w:rsidRPr="00B64995">
        <w:rPr>
          <w:lang w:val="en-GB"/>
        </w:rPr>
        <w:t>k</w:t>
      </w:r>
      <w:r w:rsidRPr="00B64995">
        <w:rPr>
          <w:lang w:val="en-GB"/>
        </w:rPr>
        <w:t xml:space="preserve">ey </w:t>
      </w:r>
      <w:r w:rsidR="000028FB" w:rsidRPr="00B64995">
        <w:rPr>
          <w:lang w:val="en-GB"/>
        </w:rPr>
        <w:t>p</w:t>
      </w:r>
      <w:r w:rsidRPr="00B64995">
        <w:rPr>
          <w:lang w:val="en-GB"/>
        </w:rPr>
        <w:t xml:space="preserve">erformance </w:t>
      </w:r>
      <w:r w:rsidR="000028FB" w:rsidRPr="00B64995">
        <w:rPr>
          <w:lang w:val="en-GB"/>
        </w:rPr>
        <w:t>i</w:t>
      </w:r>
      <w:r w:rsidRPr="00B64995">
        <w:rPr>
          <w:lang w:val="en-GB"/>
        </w:rPr>
        <w:t>ndicator data management (</w:t>
      </w:r>
      <w:hyperlink r:id="rId110" w:history="1">
        <w:r w:rsidRPr="00A060FE">
          <w:rPr>
            <w:rStyle w:val="Hyperlink"/>
            <w:lang w:val="en-GB"/>
          </w:rPr>
          <w:t>Y.4907</w:t>
        </w:r>
      </w:hyperlink>
      <w:r w:rsidRPr="00A060FE">
        <w:rPr>
          <w:lang w:val="en-GB"/>
        </w:rPr>
        <w:t xml:space="preserve">). A new Supplement </w:t>
      </w:r>
      <w:r w:rsidR="000028FB" w:rsidRPr="00B64995">
        <w:rPr>
          <w:lang w:val="en-GB"/>
        </w:rPr>
        <w:t xml:space="preserve">deals with </w:t>
      </w:r>
      <w:r w:rsidRPr="00B64995">
        <w:rPr>
          <w:lang w:val="en-GB"/>
        </w:rPr>
        <w:t>data processing and management aspects of blockchain for IoT and smart cities (</w:t>
      </w:r>
      <w:hyperlink r:id="rId111" w:history="1">
        <w:r w:rsidRPr="00A060FE">
          <w:rPr>
            <w:rStyle w:val="Hyperlink"/>
            <w:lang w:val="en-GB"/>
          </w:rPr>
          <w:t>Y.Suppl.62</w:t>
        </w:r>
      </w:hyperlink>
      <w:r w:rsidRPr="00A060FE">
        <w:rPr>
          <w:lang w:val="en-GB"/>
        </w:rPr>
        <w:t>).</w:t>
      </w:r>
    </w:p>
    <w:p w14:paraId="12862B46" w14:textId="49F093F5" w:rsidR="00F80A64" w:rsidRPr="00B64995" w:rsidRDefault="00F80A64" w:rsidP="00F80A64">
      <w:pPr>
        <w:autoSpaceDE w:val="0"/>
        <w:autoSpaceDN w:val="0"/>
        <w:adjustRightInd w:val="0"/>
        <w:spacing w:after="120"/>
        <w:jc w:val="both"/>
        <w:rPr>
          <w:rFonts w:eastAsiaTheme="minorEastAsia"/>
          <w:b/>
        </w:rPr>
      </w:pPr>
      <w:r w:rsidRPr="00B64995">
        <w:rPr>
          <w:b/>
          <w:bCs/>
          <w:i/>
          <w:iCs/>
        </w:rPr>
        <w:t>Security</w:t>
      </w:r>
    </w:p>
    <w:p w14:paraId="4C7AA20C" w14:textId="51E70899" w:rsidR="00FF7FED" w:rsidRPr="00B64995" w:rsidRDefault="00205DB5" w:rsidP="0091575D">
      <w:pPr>
        <w:pStyle w:val="ListParagraph"/>
        <w:numPr>
          <w:ilvl w:val="0"/>
          <w:numId w:val="4"/>
        </w:numPr>
        <w:autoSpaceDE w:val="0"/>
        <w:autoSpaceDN w:val="0"/>
        <w:adjustRightInd w:val="0"/>
        <w:spacing w:after="120"/>
        <w:jc w:val="both"/>
        <w:rPr>
          <w:rFonts w:eastAsiaTheme="minorEastAsia" w:cs="Calibri"/>
          <w:b/>
          <w:lang w:val="en-GB"/>
        </w:rPr>
      </w:pPr>
      <w:r w:rsidRPr="00B64995">
        <w:rPr>
          <w:i/>
          <w:iCs/>
          <w:lang w:val="en-GB"/>
        </w:rPr>
        <w:t>Security</w:t>
      </w:r>
      <w:r w:rsidRPr="00B64995">
        <w:rPr>
          <w:b/>
          <w:bCs/>
          <w:lang w:val="en-GB"/>
        </w:rPr>
        <w:t>:</w:t>
      </w:r>
      <w:r w:rsidRPr="00B64995">
        <w:rPr>
          <w:lang w:val="en-GB"/>
        </w:rPr>
        <w:t xml:space="preserve"> New ITU standards address </w:t>
      </w:r>
      <w:r w:rsidR="000028FB" w:rsidRPr="00B64995">
        <w:rPr>
          <w:lang w:val="en-GB"/>
        </w:rPr>
        <w:t>p</w:t>
      </w:r>
      <w:r w:rsidRPr="00B64995">
        <w:rPr>
          <w:lang w:val="en-GB"/>
        </w:rPr>
        <w:t xml:space="preserve">ublic </w:t>
      </w:r>
      <w:r w:rsidR="000028FB" w:rsidRPr="00B64995">
        <w:rPr>
          <w:lang w:val="en-GB"/>
        </w:rPr>
        <w:t>k</w:t>
      </w:r>
      <w:r w:rsidRPr="00B64995">
        <w:rPr>
          <w:lang w:val="en-GB"/>
        </w:rPr>
        <w:t xml:space="preserve">ey </w:t>
      </w:r>
      <w:r w:rsidR="000028FB" w:rsidRPr="00B64995">
        <w:rPr>
          <w:lang w:val="en-GB"/>
        </w:rPr>
        <w:t>i</w:t>
      </w:r>
      <w:r w:rsidRPr="00B64995">
        <w:rPr>
          <w:lang w:val="en-GB"/>
        </w:rPr>
        <w:t>nfrastructure (</w:t>
      </w:r>
      <w:hyperlink r:id="rId112" w:history="1">
        <w:r w:rsidRPr="00A060FE">
          <w:rPr>
            <w:rStyle w:val="Hyperlink"/>
            <w:lang w:val="en-GB"/>
          </w:rPr>
          <w:t>X.510 | ISO/IEC 9594-11</w:t>
        </w:r>
      </w:hyperlink>
      <w:r w:rsidRPr="00A060FE">
        <w:rPr>
          <w:lang w:val="en-GB"/>
        </w:rPr>
        <w:t>)</w:t>
      </w:r>
      <w:r w:rsidR="000028FB" w:rsidRPr="00A060FE">
        <w:rPr>
          <w:lang w:val="en-GB"/>
        </w:rPr>
        <w:t xml:space="preserve"> and</w:t>
      </w:r>
      <w:r w:rsidRPr="00B64995">
        <w:rPr>
          <w:lang w:val="en-GB"/>
        </w:rPr>
        <w:t xml:space="preserve"> </w:t>
      </w:r>
      <w:r w:rsidR="000028FB" w:rsidRPr="00B64995">
        <w:rPr>
          <w:lang w:val="en-GB"/>
        </w:rPr>
        <w:t>a</w:t>
      </w:r>
      <w:r w:rsidRPr="00B64995">
        <w:rPr>
          <w:lang w:val="en-GB"/>
        </w:rPr>
        <w:t xml:space="preserve">bstract </w:t>
      </w:r>
      <w:r w:rsidR="000028FB" w:rsidRPr="00B64995">
        <w:rPr>
          <w:lang w:val="en-GB"/>
        </w:rPr>
        <w:t>s</w:t>
      </w:r>
      <w:r w:rsidRPr="00B64995">
        <w:rPr>
          <w:lang w:val="en-GB"/>
        </w:rPr>
        <w:t xml:space="preserve">yntax </w:t>
      </w:r>
      <w:r w:rsidR="000028FB" w:rsidRPr="00B64995">
        <w:rPr>
          <w:lang w:val="en-GB"/>
        </w:rPr>
        <w:t>n</w:t>
      </w:r>
      <w:r w:rsidRPr="00B64995">
        <w:rPr>
          <w:lang w:val="en-GB"/>
        </w:rPr>
        <w:t>otation (</w:t>
      </w:r>
      <w:hyperlink r:id="rId113" w:history="1">
        <w:r w:rsidRPr="00A060FE">
          <w:rPr>
            <w:rStyle w:val="Hyperlink"/>
            <w:lang w:val="en-GB"/>
          </w:rPr>
          <w:t>X.680-690</w:t>
        </w:r>
        <w:r w:rsidR="000028FB" w:rsidRPr="00B64995">
          <w:rPr>
            <w:rStyle w:val="Hyperlink"/>
            <w:lang w:val="en-GB"/>
          </w:rPr>
          <w:t xml:space="preserve"> </w:t>
        </w:r>
        <w:r w:rsidRPr="00B64995">
          <w:rPr>
            <w:rStyle w:val="Hyperlink"/>
            <w:lang w:val="en-GB"/>
          </w:rPr>
          <w:t>series</w:t>
        </w:r>
      </w:hyperlink>
      <w:r w:rsidRPr="00A060FE">
        <w:rPr>
          <w:lang w:val="en-GB"/>
        </w:rPr>
        <w:t xml:space="preserve"> on ASN.1); </w:t>
      </w:r>
      <w:r w:rsidR="005546A0" w:rsidRPr="00A060FE">
        <w:rPr>
          <w:lang w:val="en-GB"/>
        </w:rPr>
        <w:t>software-defined network</w:t>
      </w:r>
      <w:r w:rsidR="005546A0" w:rsidRPr="00B64995">
        <w:rPr>
          <w:lang w:val="en-GB"/>
        </w:rPr>
        <w:t>ing/network function virtualization (</w:t>
      </w:r>
      <w:r w:rsidRPr="00B64995">
        <w:rPr>
          <w:lang w:val="en-GB"/>
        </w:rPr>
        <w:t>SDN/NFV</w:t>
      </w:r>
      <w:r w:rsidR="005546A0" w:rsidRPr="00B64995">
        <w:rPr>
          <w:lang w:val="en-GB"/>
        </w:rPr>
        <w:t>)</w:t>
      </w:r>
      <w:r w:rsidRPr="00B64995">
        <w:rPr>
          <w:lang w:val="en-GB"/>
        </w:rPr>
        <w:t xml:space="preserve"> security (X.1046); security management (X.1052rev and X.1054rev); de-identification and Fintech security (X.1148 and </w:t>
      </w:r>
      <w:hyperlink r:id="rId114" w:history="1">
        <w:r w:rsidRPr="00A060FE">
          <w:rPr>
            <w:rStyle w:val="Hyperlink"/>
            <w:lang w:val="en-GB"/>
          </w:rPr>
          <w:t>X.1149</w:t>
        </w:r>
      </w:hyperlink>
      <w:r w:rsidRPr="00A060FE">
        <w:rPr>
          <w:lang w:val="en-GB"/>
        </w:rPr>
        <w:t>); cyber defence (</w:t>
      </w:r>
      <w:hyperlink r:id="rId115" w:history="1">
        <w:r w:rsidRPr="00A060FE">
          <w:rPr>
            <w:rStyle w:val="Hyperlink"/>
            <w:lang w:val="en-GB"/>
          </w:rPr>
          <w:t>X.1216</w:t>
        </w:r>
      </w:hyperlink>
      <w:r w:rsidRPr="00A060FE">
        <w:rPr>
          <w:lang w:val="en-GB"/>
        </w:rPr>
        <w:t xml:space="preserve">, </w:t>
      </w:r>
      <w:hyperlink r:id="rId116" w:history="1">
        <w:r w:rsidRPr="00A060FE">
          <w:rPr>
            <w:rStyle w:val="Hyperlink"/>
            <w:lang w:val="en-GB"/>
          </w:rPr>
          <w:t>X.1217</w:t>
        </w:r>
      </w:hyperlink>
      <w:r w:rsidRPr="00A060FE">
        <w:rPr>
          <w:b/>
          <w:bCs/>
          <w:lang w:val="en-GB"/>
        </w:rPr>
        <w:t xml:space="preserve"> </w:t>
      </w:r>
      <w:r w:rsidRPr="00A060FE">
        <w:rPr>
          <w:lang w:val="en-GB"/>
        </w:rPr>
        <w:t>and</w:t>
      </w:r>
      <w:r w:rsidRPr="00B64995">
        <w:rPr>
          <w:b/>
          <w:bCs/>
          <w:lang w:val="en-GB"/>
        </w:rPr>
        <w:t xml:space="preserve"> </w:t>
      </w:r>
      <w:hyperlink r:id="rId117" w:history="1">
        <w:r w:rsidRPr="00A060FE">
          <w:rPr>
            <w:rStyle w:val="Hyperlink"/>
            <w:lang w:val="en-GB"/>
          </w:rPr>
          <w:t>X.1218</w:t>
        </w:r>
      </w:hyperlink>
      <w:r w:rsidRPr="00A060FE">
        <w:rPr>
          <w:lang w:val="en-GB"/>
        </w:rPr>
        <w:t>)</w:t>
      </w:r>
      <w:r w:rsidR="005546A0" w:rsidRPr="00A060FE">
        <w:rPr>
          <w:lang w:val="en-GB"/>
        </w:rPr>
        <w:t>;</w:t>
      </w:r>
      <w:r w:rsidRPr="00B64995">
        <w:rPr>
          <w:lang w:val="en-GB"/>
        </w:rPr>
        <w:t xml:space="preserve"> </w:t>
      </w:r>
      <w:r w:rsidR="005546A0" w:rsidRPr="00B64995">
        <w:rPr>
          <w:lang w:val="en-GB"/>
        </w:rPr>
        <w:t>a</w:t>
      </w:r>
      <w:r w:rsidRPr="00B64995">
        <w:rPr>
          <w:lang w:val="en-GB"/>
        </w:rPr>
        <w:t xml:space="preserve">uthentication (X.1254rev, </w:t>
      </w:r>
      <w:hyperlink r:id="rId118" w:history="1">
        <w:r w:rsidRPr="00A060FE">
          <w:rPr>
            <w:rStyle w:val="Hyperlink"/>
            <w:lang w:val="en-GB"/>
          </w:rPr>
          <w:t>X.1279</w:t>
        </w:r>
      </w:hyperlink>
      <w:r w:rsidRPr="00A060FE">
        <w:rPr>
          <w:lang w:val="en-GB"/>
        </w:rPr>
        <w:t xml:space="preserve">, </w:t>
      </w:r>
      <w:hyperlink r:id="rId119" w:history="1">
        <w:r w:rsidRPr="00A060FE">
          <w:rPr>
            <w:rStyle w:val="Hyperlink"/>
            <w:lang w:val="en-GB"/>
          </w:rPr>
          <w:t>X.1451</w:t>
        </w:r>
      </w:hyperlink>
      <w:r w:rsidRPr="00A060FE">
        <w:rPr>
          <w:lang w:val="en-GB"/>
        </w:rPr>
        <w:t xml:space="preserve"> and </w:t>
      </w:r>
      <w:hyperlink r:id="rId120" w:history="1">
        <w:r w:rsidRPr="00A060FE">
          <w:rPr>
            <w:rStyle w:val="Hyperlink"/>
            <w:lang w:val="en-GB"/>
          </w:rPr>
          <w:t>X.1452</w:t>
        </w:r>
      </w:hyperlink>
      <w:r w:rsidRPr="00A060FE">
        <w:rPr>
          <w:lang w:val="en-GB"/>
        </w:rPr>
        <w:t>); IoT security (</w:t>
      </w:r>
      <w:hyperlink r:id="rId121" w:history="1">
        <w:r w:rsidRPr="00A060FE">
          <w:rPr>
            <w:rStyle w:val="Hyperlink"/>
            <w:lang w:val="en-GB"/>
          </w:rPr>
          <w:t>X.1363</w:t>
        </w:r>
      </w:hyperlink>
      <w:r w:rsidRPr="00A060FE">
        <w:rPr>
          <w:lang w:val="en-GB"/>
        </w:rPr>
        <w:t xml:space="preserve">, </w:t>
      </w:r>
      <w:hyperlink r:id="rId122" w:history="1">
        <w:r w:rsidRPr="00A060FE">
          <w:rPr>
            <w:rStyle w:val="Hyperlink"/>
            <w:lang w:val="en-GB"/>
          </w:rPr>
          <w:t>X.1364</w:t>
        </w:r>
      </w:hyperlink>
      <w:r w:rsidRPr="00A060FE">
        <w:rPr>
          <w:lang w:val="en-GB"/>
        </w:rPr>
        <w:t xml:space="preserve">, </w:t>
      </w:r>
      <w:hyperlink r:id="rId123" w:history="1">
        <w:r w:rsidRPr="00A060FE">
          <w:rPr>
            <w:rStyle w:val="Hyperlink"/>
            <w:lang w:val="en-GB"/>
          </w:rPr>
          <w:t>X.1365</w:t>
        </w:r>
      </w:hyperlink>
      <w:r w:rsidRPr="00A060FE">
        <w:rPr>
          <w:lang w:val="en-GB"/>
        </w:rPr>
        <w:t xml:space="preserve">, </w:t>
      </w:r>
      <w:hyperlink r:id="rId124" w:history="1">
        <w:r w:rsidRPr="00A060FE">
          <w:rPr>
            <w:rStyle w:val="Hyperlink"/>
            <w:lang w:val="en-GB"/>
          </w:rPr>
          <w:t>X.1366</w:t>
        </w:r>
      </w:hyperlink>
      <w:r w:rsidRPr="00A060FE">
        <w:rPr>
          <w:lang w:val="en-GB"/>
        </w:rPr>
        <w:t xml:space="preserve">, </w:t>
      </w:r>
      <w:hyperlink r:id="rId125" w:history="1">
        <w:r w:rsidRPr="00A060FE">
          <w:rPr>
            <w:rStyle w:val="Hyperlink"/>
            <w:lang w:val="en-GB"/>
          </w:rPr>
          <w:t>X.1367</w:t>
        </w:r>
      </w:hyperlink>
      <w:r w:rsidRPr="00A060FE">
        <w:rPr>
          <w:lang w:val="en-GB"/>
        </w:rPr>
        <w:t xml:space="preserve"> and </w:t>
      </w:r>
      <w:hyperlink r:id="rId126" w:history="1">
        <w:r w:rsidRPr="00A060FE">
          <w:rPr>
            <w:rStyle w:val="Hyperlink"/>
            <w:lang w:val="en-GB"/>
          </w:rPr>
          <w:t>X.1368</w:t>
        </w:r>
      </w:hyperlink>
      <w:r w:rsidRPr="00A060FE">
        <w:rPr>
          <w:lang w:val="en-GB"/>
        </w:rPr>
        <w:t>)</w:t>
      </w:r>
      <w:r w:rsidRPr="00A060FE">
        <w:rPr>
          <w:b/>
          <w:bCs/>
          <w:lang w:val="en-GB"/>
        </w:rPr>
        <w:t xml:space="preserve">; </w:t>
      </w:r>
      <w:r w:rsidR="005546A0" w:rsidRPr="00B64995">
        <w:rPr>
          <w:lang w:val="en-GB"/>
        </w:rPr>
        <w:t>i</w:t>
      </w:r>
      <w:r w:rsidRPr="00B64995">
        <w:rPr>
          <w:lang w:val="en-GB"/>
        </w:rPr>
        <w:t xml:space="preserve">ntelligent </w:t>
      </w:r>
      <w:r w:rsidR="005546A0" w:rsidRPr="00B64995">
        <w:rPr>
          <w:lang w:val="en-GB"/>
        </w:rPr>
        <w:t>t</w:t>
      </w:r>
      <w:r w:rsidRPr="00B64995">
        <w:rPr>
          <w:lang w:val="en-GB"/>
        </w:rPr>
        <w:t>ransport system security (</w:t>
      </w:r>
      <w:hyperlink r:id="rId127" w:history="1">
        <w:r w:rsidRPr="00A060FE">
          <w:rPr>
            <w:rStyle w:val="Hyperlink"/>
            <w:lang w:val="en-GB"/>
          </w:rPr>
          <w:t>X.1371</w:t>
        </w:r>
      </w:hyperlink>
      <w:r w:rsidRPr="00A060FE">
        <w:rPr>
          <w:lang w:val="en-GB"/>
        </w:rPr>
        <w:t xml:space="preserve">, </w:t>
      </w:r>
      <w:hyperlink r:id="rId128" w:history="1">
        <w:r w:rsidRPr="00A060FE">
          <w:rPr>
            <w:rStyle w:val="Hyperlink"/>
            <w:lang w:val="en-GB"/>
          </w:rPr>
          <w:t>X.1374</w:t>
        </w:r>
      </w:hyperlink>
      <w:r w:rsidRPr="00A060FE">
        <w:rPr>
          <w:lang w:val="en-GB"/>
        </w:rPr>
        <w:t xml:space="preserve">, </w:t>
      </w:r>
      <w:hyperlink r:id="rId129" w:history="1">
        <w:r w:rsidRPr="00A060FE">
          <w:rPr>
            <w:rStyle w:val="Hyperlink"/>
            <w:lang w:val="en-GB"/>
          </w:rPr>
          <w:t>X.1375</w:t>
        </w:r>
      </w:hyperlink>
      <w:r w:rsidRPr="00A060FE">
        <w:rPr>
          <w:lang w:val="en-GB"/>
        </w:rPr>
        <w:t xml:space="preserve"> and </w:t>
      </w:r>
      <w:hyperlink r:id="rId130" w:history="1">
        <w:r w:rsidRPr="00A060FE">
          <w:rPr>
            <w:rStyle w:val="Hyperlink"/>
            <w:lang w:val="en-GB"/>
          </w:rPr>
          <w:t>X.1376</w:t>
        </w:r>
      </w:hyperlink>
      <w:r w:rsidRPr="00A060FE">
        <w:rPr>
          <w:lang w:val="en-GB"/>
        </w:rPr>
        <w:t>); DLT and blockchain security (</w:t>
      </w:r>
      <w:hyperlink r:id="rId131" w:history="1">
        <w:r w:rsidRPr="00A060FE">
          <w:rPr>
            <w:rStyle w:val="Hyperlink"/>
            <w:lang w:val="en-GB"/>
          </w:rPr>
          <w:t>X.1400</w:t>
        </w:r>
      </w:hyperlink>
      <w:r w:rsidRPr="00A060FE">
        <w:rPr>
          <w:lang w:val="en-GB"/>
        </w:rPr>
        <w:t xml:space="preserve">, </w:t>
      </w:r>
      <w:hyperlink r:id="rId132" w:history="1">
        <w:r w:rsidRPr="00A060FE">
          <w:rPr>
            <w:rStyle w:val="Hyperlink"/>
            <w:lang w:val="en-GB"/>
          </w:rPr>
          <w:t>X.1401</w:t>
        </w:r>
      </w:hyperlink>
      <w:r w:rsidRPr="00A060FE">
        <w:rPr>
          <w:lang w:val="en-GB"/>
        </w:rPr>
        <w:t xml:space="preserve">, </w:t>
      </w:r>
      <w:hyperlink r:id="rId133" w:history="1">
        <w:r w:rsidRPr="00A060FE">
          <w:rPr>
            <w:rStyle w:val="Hyperlink"/>
            <w:lang w:val="en-GB"/>
          </w:rPr>
          <w:t>X.1402</w:t>
        </w:r>
      </w:hyperlink>
      <w:r w:rsidRPr="00A060FE">
        <w:rPr>
          <w:lang w:val="en-GB"/>
        </w:rPr>
        <w:t xml:space="preserve">, </w:t>
      </w:r>
      <w:hyperlink r:id="rId134" w:history="1">
        <w:r w:rsidRPr="00A060FE">
          <w:rPr>
            <w:rStyle w:val="Hyperlink"/>
            <w:lang w:val="en-GB"/>
          </w:rPr>
          <w:t>X.1403</w:t>
        </w:r>
      </w:hyperlink>
      <w:r w:rsidRPr="00A060FE">
        <w:rPr>
          <w:lang w:val="en-GB"/>
        </w:rPr>
        <w:t xml:space="preserve"> and </w:t>
      </w:r>
      <w:hyperlink r:id="rId135" w:history="1">
        <w:r w:rsidRPr="00A060FE">
          <w:rPr>
            <w:rStyle w:val="Hyperlink"/>
            <w:lang w:val="en-GB"/>
          </w:rPr>
          <w:t>X.1404</w:t>
        </w:r>
      </w:hyperlink>
      <w:r w:rsidRPr="00A060FE">
        <w:rPr>
          <w:lang w:val="en-GB"/>
        </w:rPr>
        <w:t xml:space="preserve">); </w:t>
      </w:r>
      <w:r w:rsidR="005546A0" w:rsidRPr="00B64995">
        <w:rPr>
          <w:lang w:val="en-GB"/>
        </w:rPr>
        <w:t>c</w:t>
      </w:r>
      <w:r w:rsidRPr="00B64995">
        <w:rPr>
          <w:lang w:val="en-GB"/>
        </w:rPr>
        <w:t>loud security (</w:t>
      </w:r>
      <w:hyperlink r:id="rId136" w:history="1">
        <w:r w:rsidRPr="00A060FE">
          <w:rPr>
            <w:rStyle w:val="Hyperlink"/>
            <w:lang w:val="en-GB"/>
          </w:rPr>
          <w:t>X.1606</w:t>
        </w:r>
      </w:hyperlink>
      <w:r w:rsidRPr="00A060FE">
        <w:rPr>
          <w:lang w:val="en-GB"/>
        </w:rPr>
        <w:t>)</w:t>
      </w:r>
      <w:r w:rsidR="005546A0" w:rsidRPr="00A060FE">
        <w:rPr>
          <w:lang w:val="en-GB"/>
        </w:rPr>
        <w:t xml:space="preserve">; </w:t>
      </w:r>
      <w:r w:rsidR="005546A0" w:rsidRPr="00B64995">
        <w:rPr>
          <w:lang w:val="en-GB"/>
        </w:rPr>
        <w:t>q</w:t>
      </w:r>
      <w:r w:rsidRPr="00B64995">
        <w:rPr>
          <w:lang w:val="en-GB"/>
        </w:rPr>
        <w:t xml:space="preserve">uantum </w:t>
      </w:r>
      <w:r w:rsidR="005546A0" w:rsidRPr="00B64995">
        <w:rPr>
          <w:lang w:val="en-GB"/>
        </w:rPr>
        <w:t>k</w:t>
      </w:r>
      <w:r w:rsidRPr="00B64995">
        <w:rPr>
          <w:lang w:val="en-GB"/>
        </w:rPr>
        <w:t xml:space="preserve">ey </w:t>
      </w:r>
      <w:r w:rsidR="005546A0" w:rsidRPr="00B64995">
        <w:rPr>
          <w:lang w:val="en-GB"/>
        </w:rPr>
        <w:t>d</w:t>
      </w:r>
      <w:r w:rsidRPr="00B64995">
        <w:rPr>
          <w:lang w:val="en-GB"/>
        </w:rPr>
        <w:t>istribution (</w:t>
      </w:r>
      <w:hyperlink r:id="rId137" w:history="1">
        <w:r w:rsidRPr="00A060FE">
          <w:rPr>
            <w:rStyle w:val="Hyperlink"/>
            <w:lang w:val="en-GB"/>
          </w:rPr>
          <w:t>X.1710</w:t>
        </w:r>
      </w:hyperlink>
      <w:r w:rsidRPr="00A060FE">
        <w:rPr>
          <w:lang w:val="en-GB"/>
        </w:rPr>
        <w:t xml:space="preserve"> and </w:t>
      </w:r>
      <w:hyperlink r:id="rId138" w:history="1">
        <w:r w:rsidRPr="00A060FE">
          <w:rPr>
            <w:rStyle w:val="Hyperlink"/>
            <w:lang w:val="en-GB"/>
          </w:rPr>
          <w:t>X.1714</w:t>
        </w:r>
      </w:hyperlink>
      <w:r w:rsidRPr="00A060FE">
        <w:rPr>
          <w:lang w:val="en-GB"/>
        </w:rPr>
        <w:t xml:space="preserve">); </w:t>
      </w:r>
      <w:r w:rsidR="005546A0" w:rsidRPr="00A060FE">
        <w:rPr>
          <w:lang w:val="en-GB"/>
        </w:rPr>
        <w:t xml:space="preserve">and </w:t>
      </w:r>
      <w:r w:rsidR="005546A0" w:rsidRPr="00B64995">
        <w:rPr>
          <w:lang w:val="en-GB"/>
        </w:rPr>
        <w:t>b</w:t>
      </w:r>
      <w:r w:rsidRPr="00B64995">
        <w:rPr>
          <w:lang w:val="en-GB"/>
        </w:rPr>
        <w:t xml:space="preserve">ig </w:t>
      </w:r>
      <w:r w:rsidR="005546A0" w:rsidRPr="00B64995">
        <w:rPr>
          <w:lang w:val="en-GB"/>
        </w:rPr>
        <w:t>d</w:t>
      </w:r>
      <w:r w:rsidRPr="00B64995">
        <w:rPr>
          <w:lang w:val="en-GB"/>
        </w:rPr>
        <w:t>ata (</w:t>
      </w:r>
      <w:hyperlink r:id="rId139" w:history="1">
        <w:r w:rsidRPr="00A060FE">
          <w:rPr>
            <w:rStyle w:val="Hyperlink"/>
            <w:lang w:val="en-GB"/>
          </w:rPr>
          <w:t>X.1750</w:t>
        </w:r>
      </w:hyperlink>
      <w:r w:rsidRPr="00A060FE">
        <w:rPr>
          <w:lang w:val="en-GB"/>
        </w:rPr>
        <w:t xml:space="preserve"> and </w:t>
      </w:r>
      <w:hyperlink r:id="rId140" w:history="1">
        <w:r w:rsidRPr="00A060FE">
          <w:rPr>
            <w:rStyle w:val="Hyperlink"/>
            <w:lang w:val="en-GB"/>
          </w:rPr>
          <w:t>X.1751</w:t>
        </w:r>
      </w:hyperlink>
      <w:r w:rsidRPr="00A060FE">
        <w:rPr>
          <w:lang w:val="en-GB"/>
        </w:rPr>
        <w:t>) and 5G security (X.1811 under approval)</w:t>
      </w:r>
      <w:r w:rsidR="005546A0" w:rsidRPr="00B64995">
        <w:rPr>
          <w:b/>
          <w:bCs/>
          <w:lang w:val="en-GB"/>
        </w:rPr>
        <w:t>.</w:t>
      </w:r>
    </w:p>
    <w:p w14:paraId="31E94268" w14:textId="2741C155" w:rsidR="005505C6" w:rsidRPr="00B64995" w:rsidRDefault="005505C6"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Strong authentication</w:t>
      </w:r>
      <w:r w:rsidRPr="00B64995">
        <w:rPr>
          <w:rFonts w:cs="Calibri"/>
          <w:lang w:val="en-GB"/>
        </w:rPr>
        <w:t>: Two new ITU standards (</w:t>
      </w:r>
      <w:hyperlink r:id="rId141">
        <w:r w:rsidRPr="00B64995">
          <w:rPr>
            <w:rStyle w:val="Hyperlink"/>
            <w:rFonts w:cs="Calibri"/>
            <w:lang w:val="en-GB"/>
          </w:rPr>
          <w:t>X.1277</w:t>
        </w:r>
      </w:hyperlink>
      <w:r w:rsidRPr="00A060FE">
        <w:rPr>
          <w:rFonts w:cs="Calibri"/>
          <w:lang w:val="en-GB"/>
        </w:rPr>
        <w:t xml:space="preserve"> and </w:t>
      </w:r>
      <w:hyperlink r:id="rId142">
        <w:r w:rsidRPr="00B64995">
          <w:rPr>
            <w:rStyle w:val="Hyperlink"/>
            <w:rFonts w:cs="Calibri"/>
            <w:lang w:val="en-GB"/>
          </w:rPr>
          <w:t>X.1278</w:t>
        </w:r>
      </w:hyperlink>
      <w:r w:rsidRPr="00A060FE">
        <w:rPr>
          <w:rFonts w:cs="Calibri"/>
          <w:lang w:val="en-GB"/>
        </w:rPr>
        <w:t>) aim to overcome the security limitations of passwords, addressing biometric aut</w:t>
      </w:r>
      <w:r w:rsidRPr="00B64995">
        <w:rPr>
          <w:rFonts w:cs="Calibri"/>
          <w:lang w:val="en-GB"/>
        </w:rPr>
        <w:t>hentication on mobile devices and the use of external authenticators, such as mobile devices, to authenticate Web users. The specifications were submitted to ITU by the FIDO Alliance (‘Fast Identity Online’)</w:t>
      </w:r>
      <w:r w:rsidR="005546A0" w:rsidRPr="00B64995">
        <w:rPr>
          <w:rFonts w:cs="Calibri"/>
          <w:lang w:val="en-GB"/>
        </w:rPr>
        <w:t>.</w:t>
      </w:r>
    </w:p>
    <w:p w14:paraId="679634AE" w14:textId="183AE08B" w:rsidR="0091575D" w:rsidRPr="00B64995" w:rsidRDefault="0091575D"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i/>
          <w:iCs/>
          <w:lang w:val="en-GB"/>
        </w:rPr>
        <w:t>Personal data and trust</w:t>
      </w:r>
      <w:r w:rsidRPr="00B64995">
        <w:rPr>
          <w:lang w:val="en-GB"/>
        </w:rPr>
        <w:t xml:space="preserve">: </w:t>
      </w:r>
      <w:r w:rsidR="005546A0" w:rsidRPr="00B64995">
        <w:rPr>
          <w:lang w:val="en-GB"/>
        </w:rPr>
        <w:t>A n</w:t>
      </w:r>
      <w:r w:rsidRPr="00B64995">
        <w:rPr>
          <w:lang w:val="en-GB"/>
        </w:rPr>
        <w:t xml:space="preserve">ew ITU standard </w:t>
      </w:r>
      <w:proofErr w:type="gramStart"/>
      <w:r w:rsidRPr="00B64995">
        <w:rPr>
          <w:lang w:val="en-GB"/>
        </w:rPr>
        <w:t>provides</w:t>
      </w:r>
      <w:proofErr w:type="gramEnd"/>
      <w:r w:rsidRPr="00B64995">
        <w:rPr>
          <w:lang w:val="en-GB"/>
        </w:rPr>
        <w:t xml:space="preserve"> a framework for trust-based personal data management (</w:t>
      </w:r>
      <w:hyperlink r:id="rId143" w:history="1">
        <w:r w:rsidRPr="00A060FE">
          <w:rPr>
            <w:rStyle w:val="Hyperlink"/>
            <w:lang w:val="en-GB"/>
          </w:rPr>
          <w:t>Y.3055</w:t>
        </w:r>
      </w:hyperlink>
      <w:r w:rsidRPr="00A060FE">
        <w:rPr>
          <w:lang w:val="en-GB"/>
        </w:rPr>
        <w:t>)</w:t>
      </w:r>
      <w:r w:rsidR="005546A0" w:rsidRPr="00B64995">
        <w:rPr>
          <w:lang w:val="en-GB"/>
        </w:rPr>
        <w:t>.</w:t>
      </w:r>
    </w:p>
    <w:p w14:paraId="16476DF9" w14:textId="22E00776" w:rsidR="00184521" w:rsidRPr="00B64995" w:rsidRDefault="00184521" w:rsidP="00184521">
      <w:pPr>
        <w:autoSpaceDE w:val="0"/>
        <w:autoSpaceDN w:val="0"/>
        <w:adjustRightInd w:val="0"/>
        <w:spacing w:after="120"/>
        <w:jc w:val="both"/>
        <w:rPr>
          <w:rFonts w:eastAsiaTheme="minorEastAsia"/>
          <w:b/>
        </w:rPr>
      </w:pPr>
      <w:r w:rsidRPr="00B64995">
        <w:rPr>
          <w:b/>
          <w:bCs/>
          <w:i/>
          <w:iCs/>
        </w:rPr>
        <w:t>Environment and climate change</w:t>
      </w:r>
    </w:p>
    <w:p w14:paraId="12685189" w14:textId="30DF22A1" w:rsidR="0049723A" w:rsidRPr="00B64995" w:rsidRDefault="005505C6" w:rsidP="00614D53">
      <w:pPr>
        <w:pStyle w:val="ListParagraph"/>
        <w:numPr>
          <w:ilvl w:val="0"/>
          <w:numId w:val="4"/>
        </w:numPr>
        <w:autoSpaceDE w:val="0"/>
        <w:autoSpaceDN w:val="0"/>
        <w:adjustRightInd w:val="0"/>
        <w:spacing w:after="120"/>
        <w:jc w:val="both"/>
        <w:rPr>
          <w:lang w:val="en-GB"/>
        </w:rPr>
      </w:pPr>
      <w:r w:rsidRPr="00B64995">
        <w:rPr>
          <w:rFonts w:cs="Calibri"/>
          <w:i/>
          <w:iCs/>
          <w:lang w:val="en-GB"/>
        </w:rPr>
        <w:t xml:space="preserve">Environment and </w:t>
      </w:r>
      <w:r w:rsidR="005546A0" w:rsidRPr="00B64995">
        <w:rPr>
          <w:rFonts w:cs="Calibri"/>
          <w:i/>
          <w:iCs/>
          <w:lang w:val="en-GB"/>
        </w:rPr>
        <w:t xml:space="preserve">the </w:t>
      </w:r>
      <w:r w:rsidRPr="00B64995">
        <w:rPr>
          <w:rFonts w:cs="Calibri"/>
          <w:i/>
          <w:iCs/>
          <w:lang w:val="en-GB"/>
        </w:rPr>
        <w:t>circular economy</w:t>
      </w:r>
      <w:r w:rsidRPr="00B64995">
        <w:rPr>
          <w:rFonts w:cs="Calibri"/>
          <w:lang w:val="en-GB"/>
        </w:rPr>
        <w:t>: New ITU standards provide criteria for the evaluation of the environmental impact of mobile phones (</w:t>
      </w:r>
      <w:hyperlink r:id="rId144">
        <w:r w:rsidRPr="00B64995">
          <w:rPr>
            <w:rStyle w:val="Hyperlink"/>
            <w:rFonts w:cs="Calibri"/>
            <w:lang w:val="en-GB"/>
          </w:rPr>
          <w:t>L.1015</w:t>
        </w:r>
      </w:hyperlink>
      <w:r w:rsidRPr="00A060FE">
        <w:rPr>
          <w:rFonts w:cs="Calibri"/>
          <w:lang w:val="en-GB"/>
        </w:rPr>
        <w:t>), guidelines and certification schemes for e-waste recyclers (</w:t>
      </w:r>
      <w:hyperlink r:id="rId145">
        <w:r w:rsidRPr="00B64995">
          <w:rPr>
            <w:rStyle w:val="Hyperlink"/>
            <w:rFonts w:cs="Calibri"/>
            <w:lang w:val="en-GB"/>
          </w:rPr>
          <w:t>L.1032</w:t>
        </w:r>
      </w:hyperlink>
      <w:r w:rsidRPr="00A060FE">
        <w:rPr>
          <w:rFonts w:cs="Calibri"/>
          <w:lang w:val="en-GB"/>
        </w:rPr>
        <w:t>), definitions and concepts relevant to material efficiency in the ICT sector (</w:t>
      </w:r>
      <w:hyperlink r:id="rId146">
        <w:r w:rsidRPr="00B64995">
          <w:rPr>
            <w:rStyle w:val="Hyperlink"/>
            <w:rFonts w:cs="Calibri"/>
            <w:lang w:val="en-GB"/>
          </w:rPr>
          <w:t>L.1022</w:t>
        </w:r>
      </w:hyperlink>
      <w:r w:rsidRPr="00A060FE">
        <w:rPr>
          <w:rFonts w:cs="Calibri"/>
          <w:lang w:val="en-GB"/>
        </w:rPr>
        <w:t xml:space="preserve">), </w:t>
      </w:r>
      <w:r w:rsidRPr="00B64995">
        <w:rPr>
          <w:rFonts w:cs="Calibri"/>
          <w:lang w:val="en-GB"/>
        </w:rPr>
        <w:t>a methodology to assess the positive impacts of ICTs on the environmental efficiency of other industry sectors (</w:t>
      </w:r>
      <w:hyperlink r:id="rId147">
        <w:r w:rsidRPr="00B64995">
          <w:rPr>
            <w:rStyle w:val="Hyperlink"/>
            <w:rFonts w:cs="Calibri"/>
            <w:lang w:val="en-GB"/>
          </w:rPr>
          <w:t>L.1451</w:t>
        </w:r>
      </w:hyperlink>
      <w:r w:rsidRPr="00A060FE">
        <w:rPr>
          <w:rFonts w:cs="Calibri"/>
          <w:lang w:val="en-GB"/>
        </w:rPr>
        <w:t>)</w:t>
      </w:r>
      <w:bookmarkStart w:id="40" w:name="_Hlk35434789"/>
      <w:r w:rsidR="00B90879" w:rsidRPr="00A060FE">
        <w:rPr>
          <w:rFonts w:cs="Calibri"/>
          <w:lang w:val="en-GB"/>
        </w:rPr>
        <w:t>;</w:t>
      </w:r>
      <w:r w:rsidR="00491AC8" w:rsidRPr="00B64995">
        <w:rPr>
          <w:rFonts w:cs="Calibri"/>
          <w:lang w:val="en-GB"/>
        </w:rPr>
        <w:t xml:space="preserve"> </w:t>
      </w:r>
      <w:r w:rsidR="00491AC8" w:rsidRPr="00B64995">
        <w:rPr>
          <w:lang w:val="en-GB"/>
        </w:rPr>
        <w:t xml:space="preserve">an assessment method for circular scoring </w:t>
      </w:r>
      <w:r w:rsidR="00491AC8" w:rsidRPr="00B64995">
        <w:rPr>
          <w:lang w:val="en-GB"/>
        </w:rPr>
        <w:lastRenderedPageBreak/>
        <w:t>(</w:t>
      </w:r>
      <w:hyperlink r:id="rId148" w:history="1">
        <w:r w:rsidR="00491AC8" w:rsidRPr="00A060FE">
          <w:rPr>
            <w:rStyle w:val="Hyperlink"/>
            <w:lang w:val="en-GB"/>
          </w:rPr>
          <w:t>L.1023</w:t>
        </w:r>
      </w:hyperlink>
      <w:r w:rsidR="00491AC8" w:rsidRPr="00A060FE">
        <w:rPr>
          <w:lang w:val="en-GB"/>
        </w:rPr>
        <w:t>), the assessment and scoring of the sustainability performance of office buildings (</w:t>
      </w:r>
      <w:hyperlink r:id="rId149" w:history="1">
        <w:r w:rsidR="00491AC8" w:rsidRPr="00A060FE">
          <w:rPr>
            <w:rStyle w:val="Hyperlink"/>
            <w:lang w:val="en-GB"/>
          </w:rPr>
          <w:t>L.1371</w:t>
        </w:r>
      </w:hyperlink>
      <w:r w:rsidR="00491AC8" w:rsidRPr="00A060FE">
        <w:rPr>
          <w:lang w:val="en-GB"/>
        </w:rPr>
        <w:t>) including its tool (</w:t>
      </w:r>
      <w:hyperlink r:id="rId150" w:history="1">
        <w:r w:rsidR="00491AC8" w:rsidRPr="00A060FE">
          <w:rPr>
            <w:rStyle w:val="Hyperlink"/>
            <w:lang w:val="en-GB"/>
          </w:rPr>
          <w:t>L.Suppl.40</w:t>
        </w:r>
      </w:hyperlink>
      <w:r w:rsidR="00491AC8" w:rsidRPr="00A060FE">
        <w:rPr>
          <w:lang w:val="en-GB"/>
        </w:rPr>
        <w:t>); procurement criteria for sustainable data centres (</w:t>
      </w:r>
      <w:hyperlink r:id="rId151" w:history="1">
        <w:r w:rsidR="00491AC8" w:rsidRPr="00A060FE">
          <w:rPr>
            <w:rStyle w:val="Hyperlink"/>
            <w:lang w:val="en-GB"/>
          </w:rPr>
          <w:t>L.1304</w:t>
        </w:r>
      </w:hyperlink>
      <w:r w:rsidR="00491AC8" w:rsidRPr="00A060FE">
        <w:rPr>
          <w:lang w:val="en-GB"/>
        </w:rPr>
        <w:t>), and a guideline for achieving the e-waste targets of the Connect 2030 Agenda (</w:t>
      </w:r>
      <w:hyperlink r:id="rId152" w:history="1">
        <w:r w:rsidR="00491AC8" w:rsidRPr="00A060FE">
          <w:rPr>
            <w:rStyle w:val="Hyperlink"/>
            <w:lang w:val="en-GB"/>
          </w:rPr>
          <w:t>L.1031</w:t>
        </w:r>
      </w:hyperlink>
      <w:r w:rsidR="00491AC8" w:rsidRPr="00A060FE">
        <w:rPr>
          <w:lang w:val="en-GB"/>
        </w:rPr>
        <w:t>)</w:t>
      </w:r>
      <w:r w:rsidR="005546A0" w:rsidRPr="00B64995">
        <w:rPr>
          <w:lang w:val="en-GB"/>
        </w:rPr>
        <w:t>.</w:t>
      </w:r>
    </w:p>
    <w:p w14:paraId="21A5E3D5" w14:textId="028225D7" w:rsidR="005505C6" w:rsidRPr="00B64995" w:rsidRDefault="005505C6" w:rsidP="003C7FD5">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Climate change</w:t>
      </w:r>
      <w:r w:rsidRPr="00B64995">
        <w:rPr>
          <w:rFonts w:cs="Calibri"/>
          <w:lang w:val="en-GB"/>
        </w:rPr>
        <w:t>: A new ITU standard (</w:t>
      </w:r>
      <w:hyperlink r:id="rId153">
        <w:r w:rsidRPr="00B64995">
          <w:rPr>
            <w:rStyle w:val="Hyperlink"/>
            <w:rFonts w:cs="Calibri"/>
            <w:lang w:val="en-GB"/>
          </w:rPr>
          <w:t>L.1470</w:t>
        </w:r>
      </w:hyperlink>
      <w:r w:rsidRPr="00A060FE">
        <w:rPr>
          <w:rFonts w:cs="Calibri"/>
          <w:lang w:val="en-GB"/>
        </w:rPr>
        <w:t>) highlights that compliance with the UNFCCC Paris Agreement</w:t>
      </w:r>
      <w:r w:rsidR="005731CB" w:rsidRPr="00A060FE">
        <w:rPr>
          <w:rFonts w:cs="Calibri"/>
          <w:lang w:val="en-GB"/>
        </w:rPr>
        <w:t xml:space="preserve">. More details are provided in </w:t>
      </w:r>
      <w:hyperlink w:anchor="Section_1_5" w:history="1">
        <w:r w:rsidR="007F05EB" w:rsidRPr="00B64995">
          <w:rPr>
            <w:rStyle w:val="Hyperlink"/>
            <w:rFonts w:cs="Calibri"/>
            <w:lang w:val="en-GB"/>
          </w:rPr>
          <w:t>section</w:t>
        </w:r>
        <w:r w:rsidR="005731CB" w:rsidRPr="00B64995">
          <w:rPr>
            <w:rStyle w:val="Hyperlink"/>
            <w:rFonts w:cs="Calibri"/>
            <w:lang w:val="en-GB"/>
          </w:rPr>
          <w:t xml:space="preserve"> 1.5</w:t>
        </w:r>
      </w:hyperlink>
      <w:r w:rsidR="00B90879" w:rsidRPr="00A060FE">
        <w:rPr>
          <w:rFonts w:cs="Calibri"/>
          <w:lang w:val="en-GB"/>
        </w:rPr>
        <w:t>;</w:t>
      </w:r>
      <w:r w:rsidR="00A252E8" w:rsidRPr="00A060FE">
        <w:rPr>
          <w:rFonts w:cs="Calibri"/>
          <w:lang w:val="en-GB"/>
        </w:rPr>
        <w:t xml:space="preserve"> </w:t>
      </w:r>
      <w:r w:rsidR="00A252E8" w:rsidRPr="00B64995">
        <w:rPr>
          <w:lang w:val="en-GB"/>
        </w:rPr>
        <w:t xml:space="preserve">two new Supplements (ITU-T </w:t>
      </w:r>
      <w:hyperlink r:id="rId154" w:history="1">
        <w:r w:rsidR="00A252E8" w:rsidRPr="00A060FE">
          <w:rPr>
            <w:rStyle w:val="Hyperlink"/>
            <w:lang w:val="en-GB"/>
          </w:rPr>
          <w:t>L.Suppl.37</w:t>
        </w:r>
      </w:hyperlink>
      <w:r w:rsidR="00A252E8" w:rsidRPr="00A060FE">
        <w:rPr>
          <w:lang w:val="en-GB"/>
        </w:rPr>
        <w:t xml:space="preserve">) provides guidance to operators of mobile networks, fixed networks and datacentres, and ICT manufacturers on setting 1.5°C-aligned targets compliant with L.1470. </w:t>
      </w:r>
      <w:r w:rsidR="00E2344E" w:rsidRPr="00B64995">
        <w:rPr>
          <w:lang w:val="en-GB"/>
        </w:rPr>
        <w:t xml:space="preserve">which </w:t>
      </w:r>
      <w:r w:rsidR="00A252E8" w:rsidRPr="00B64995">
        <w:rPr>
          <w:lang w:val="en-GB"/>
        </w:rPr>
        <w:t>highlights that compliance with the UNFCCC Paris Agreement will require the ICT industry to reduce GHG emissions by 45 per cent from 2020 to 2030</w:t>
      </w:r>
      <w:r w:rsidR="008A2F98" w:rsidRPr="00B64995">
        <w:rPr>
          <w:lang w:val="en-GB"/>
        </w:rPr>
        <w:t>.</w:t>
      </w:r>
      <w:bookmarkEnd w:id="40"/>
    </w:p>
    <w:p w14:paraId="2E10209F" w14:textId="55F2675F" w:rsidR="00A252E8" w:rsidRPr="00B64995" w:rsidRDefault="00B654D8" w:rsidP="00614D53">
      <w:pPr>
        <w:pStyle w:val="ListParagraph"/>
        <w:numPr>
          <w:ilvl w:val="0"/>
          <w:numId w:val="4"/>
        </w:numPr>
        <w:autoSpaceDE w:val="0"/>
        <w:autoSpaceDN w:val="0"/>
        <w:adjustRightInd w:val="0"/>
        <w:spacing w:after="120"/>
        <w:jc w:val="both"/>
        <w:rPr>
          <w:rFonts w:eastAsiaTheme="minorEastAsia" w:cs="Calibri"/>
          <w:b/>
          <w:lang w:val="en-GB"/>
        </w:rPr>
      </w:pPr>
      <w:bookmarkStart w:id="41" w:name="_Hlk35434802"/>
      <w:r w:rsidRPr="00B64995">
        <w:rPr>
          <w:i/>
          <w:iCs/>
          <w:lang w:val="en-GB"/>
        </w:rPr>
        <w:t>Electromagnetic fields:</w:t>
      </w:r>
      <w:r w:rsidRPr="00B64995">
        <w:rPr>
          <w:b/>
          <w:bCs/>
          <w:lang w:val="en-GB"/>
        </w:rPr>
        <w:t xml:space="preserve"> </w:t>
      </w:r>
      <w:r w:rsidRPr="00B64995">
        <w:rPr>
          <w:lang w:val="en-GB"/>
        </w:rPr>
        <w:t>New ITU standards provide a multiservice surge protective device application guide (</w:t>
      </w:r>
      <w:hyperlink r:id="rId155" w:history="1">
        <w:r w:rsidRPr="00A060FE">
          <w:rPr>
            <w:rStyle w:val="Hyperlink"/>
            <w:lang w:val="en-GB"/>
          </w:rPr>
          <w:t>K.148</w:t>
        </w:r>
      </w:hyperlink>
      <w:r w:rsidRPr="00A060FE">
        <w:rPr>
          <w:lang w:val="en-GB"/>
        </w:rPr>
        <w:t>), passive intermodulation test methods of array antenna systems in mobile communication systems (</w:t>
      </w:r>
      <w:hyperlink r:id="rId156" w:history="1">
        <w:r w:rsidRPr="00A060FE">
          <w:rPr>
            <w:rStyle w:val="Hyperlink"/>
            <w:lang w:val="en-GB"/>
          </w:rPr>
          <w:t>K.149</w:t>
        </w:r>
      </w:hyperlink>
      <w:r w:rsidRPr="00A060FE">
        <w:rPr>
          <w:lang w:val="en-GB"/>
        </w:rPr>
        <w:t>), and information on semiconductor devices required for the design of telecommunication equipment applying soft error mitigation measures (</w:t>
      </w:r>
      <w:hyperlink r:id="rId157" w:history="1">
        <w:r w:rsidRPr="00A060FE">
          <w:rPr>
            <w:rStyle w:val="Hyperlink"/>
            <w:lang w:val="en-GB"/>
          </w:rPr>
          <w:t>K.150</w:t>
        </w:r>
      </w:hyperlink>
      <w:r w:rsidRPr="00A060FE">
        <w:rPr>
          <w:lang w:val="en-GB"/>
        </w:rPr>
        <w:t>)</w:t>
      </w:r>
      <w:r w:rsidR="008A2F98" w:rsidRPr="00A060FE">
        <w:rPr>
          <w:lang w:val="en-GB"/>
        </w:rPr>
        <w:t>.</w:t>
      </w:r>
    </w:p>
    <w:p w14:paraId="13CB51EC" w14:textId="433FE61F" w:rsidR="0049723A" w:rsidRPr="00B64995" w:rsidRDefault="00614D53" w:rsidP="00BE4E52">
      <w:pPr>
        <w:autoSpaceDE w:val="0"/>
        <w:autoSpaceDN w:val="0"/>
        <w:adjustRightInd w:val="0"/>
        <w:spacing w:after="120"/>
        <w:jc w:val="both"/>
      </w:pPr>
      <w:r w:rsidRPr="00B64995">
        <w:rPr>
          <w:b/>
          <w:bCs/>
          <w:i/>
          <w:iCs/>
        </w:rPr>
        <w:t>Internet</w:t>
      </w:r>
      <w:r w:rsidR="005505C6" w:rsidRPr="00B64995">
        <w:rPr>
          <w:b/>
          <w:bCs/>
          <w:i/>
          <w:iCs/>
        </w:rPr>
        <w:t xml:space="preserve"> of Things</w:t>
      </w:r>
      <w:r w:rsidR="005B4F66" w:rsidRPr="00B64995">
        <w:rPr>
          <w:b/>
          <w:bCs/>
          <w:i/>
          <w:iCs/>
        </w:rPr>
        <w:t xml:space="preserve"> </w:t>
      </w:r>
      <w:r w:rsidR="00BE4E52" w:rsidRPr="00B64995">
        <w:rPr>
          <w:b/>
          <w:bCs/>
          <w:i/>
          <w:iCs/>
        </w:rPr>
        <w:t>and smart cities</w:t>
      </w:r>
    </w:p>
    <w:p w14:paraId="4AC96B51" w14:textId="056C0802" w:rsidR="0049723A" w:rsidRPr="00B64995" w:rsidRDefault="00483762" w:rsidP="00614D53">
      <w:pPr>
        <w:pStyle w:val="ListParagraph"/>
        <w:numPr>
          <w:ilvl w:val="0"/>
          <w:numId w:val="4"/>
        </w:numPr>
        <w:autoSpaceDE w:val="0"/>
        <w:autoSpaceDN w:val="0"/>
        <w:adjustRightInd w:val="0"/>
        <w:spacing w:after="120"/>
        <w:jc w:val="both"/>
        <w:rPr>
          <w:lang w:val="en-GB"/>
        </w:rPr>
      </w:pPr>
      <w:r w:rsidRPr="00B64995">
        <w:rPr>
          <w:rFonts w:cs="Calibri"/>
          <w:i/>
          <w:iCs/>
          <w:lang w:val="en-GB"/>
        </w:rPr>
        <w:t xml:space="preserve">Internet of Things (IoT): </w:t>
      </w:r>
      <w:r w:rsidR="005505C6" w:rsidRPr="00B64995">
        <w:rPr>
          <w:rFonts w:cs="Calibri"/>
          <w:lang w:val="en-GB"/>
        </w:rPr>
        <w:t>New ITU standards address IoT-based smart residential communities (</w:t>
      </w:r>
      <w:hyperlink r:id="rId158">
        <w:r w:rsidR="005505C6" w:rsidRPr="00B64995">
          <w:rPr>
            <w:rStyle w:val="Hyperlink"/>
            <w:rFonts w:cs="Calibri"/>
            <w:lang w:val="en-GB"/>
          </w:rPr>
          <w:t>Y.4556</w:t>
        </w:r>
      </w:hyperlink>
      <w:r w:rsidR="005505C6" w:rsidRPr="00A060FE">
        <w:rPr>
          <w:rFonts w:cs="Calibri"/>
          <w:lang w:val="en-GB"/>
        </w:rPr>
        <w:t xml:space="preserve">) and the accessibility of </w:t>
      </w:r>
      <w:r w:rsidR="00614D53" w:rsidRPr="00A060FE">
        <w:rPr>
          <w:rFonts w:cs="Calibri"/>
          <w:lang w:val="en-GB"/>
        </w:rPr>
        <w:t>Internet</w:t>
      </w:r>
      <w:r w:rsidR="005505C6" w:rsidRPr="00B64995">
        <w:rPr>
          <w:rFonts w:cs="Calibri"/>
          <w:lang w:val="en-GB"/>
        </w:rPr>
        <w:t xml:space="preserve"> of Things applications and services to persons with disabilities (</w:t>
      </w:r>
      <w:hyperlink r:id="rId159">
        <w:r w:rsidR="005505C6" w:rsidRPr="00B64995">
          <w:rPr>
            <w:rStyle w:val="Hyperlink"/>
            <w:rFonts w:cs="Calibri"/>
            <w:lang w:val="en-GB"/>
          </w:rPr>
          <w:t>Y.4204</w:t>
        </w:r>
      </w:hyperlink>
      <w:r w:rsidR="005505C6" w:rsidRPr="00A060FE">
        <w:rPr>
          <w:rFonts w:cs="Calibri"/>
          <w:lang w:val="en-GB"/>
        </w:rPr>
        <w:t>)</w:t>
      </w:r>
      <w:r w:rsidR="00B90879" w:rsidRPr="00A060FE">
        <w:rPr>
          <w:rFonts w:cs="Calibri"/>
          <w:lang w:val="en-GB"/>
        </w:rPr>
        <w:t>;</w:t>
      </w:r>
      <w:r w:rsidR="003840A1" w:rsidRPr="00B64995">
        <w:rPr>
          <w:rFonts w:cs="Calibri"/>
          <w:lang w:val="en-GB"/>
        </w:rPr>
        <w:t xml:space="preserve"> </w:t>
      </w:r>
      <w:r w:rsidR="003840A1" w:rsidRPr="00B64995">
        <w:rPr>
          <w:lang w:val="en-GB"/>
        </w:rPr>
        <w:t>address IoT requirements for the support of edge computing (</w:t>
      </w:r>
      <w:hyperlink r:id="rId160" w:history="1">
        <w:r w:rsidR="003840A1" w:rsidRPr="00A060FE">
          <w:rPr>
            <w:rStyle w:val="Hyperlink"/>
            <w:lang w:val="en-GB"/>
          </w:rPr>
          <w:t>Y.4208</w:t>
        </w:r>
      </w:hyperlink>
      <w:r w:rsidR="003840A1" w:rsidRPr="00A060FE">
        <w:rPr>
          <w:lang w:val="en-GB"/>
        </w:rPr>
        <w:t>), universal communication modules of mobile IoT devices (</w:t>
      </w:r>
      <w:hyperlink r:id="rId161" w:history="1">
        <w:r w:rsidR="003840A1" w:rsidRPr="00A060FE">
          <w:rPr>
            <w:rStyle w:val="Hyperlink"/>
            <w:lang w:val="en-GB"/>
          </w:rPr>
          <w:t>Y.4210</w:t>
        </w:r>
      </w:hyperlink>
      <w:r w:rsidR="003840A1" w:rsidRPr="00A060FE">
        <w:rPr>
          <w:lang w:val="en-GB"/>
        </w:rPr>
        <w:t>), digital entity architecture for IoT interoperability (</w:t>
      </w:r>
      <w:hyperlink r:id="rId162" w:history="1">
        <w:r w:rsidR="003840A1" w:rsidRPr="00A060FE">
          <w:rPr>
            <w:rStyle w:val="Hyperlink"/>
            <w:lang w:val="en-GB"/>
          </w:rPr>
          <w:t>Y.4459</w:t>
        </w:r>
      </w:hyperlink>
      <w:r w:rsidR="003840A1" w:rsidRPr="00A060FE">
        <w:rPr>
          <w:lang w:val="en-GB"/>
        </w:rPr>
        <w:t>) and combatting counterfeiting in IoT (</w:t>
      </w:r>
      <w:hyperlink r:id="rId163" w:history="1">
        <w:r w:rsidR="003840A1" w:rsidRPr="00A060FE">
          <w:rPr>
            <w:rStyle w:val="Hyperlink"/>
            <w:lang w:val="en-GB"/>
          </w:rPr>
          <w:t>Y.4808</w:t>
        </w:r>
      </w:hyperlink>
      <w:r w:rsidR="003840A1" w:rsidRPr="00A060FE">
        <w:rPr>
          <w:lang w:val="en-GB"/>
        </w:rPr>
        <w:t>), open IoT identity correlation service (</w:t>
      </w:r>
      <w:hyperlink r:id="rId164" w:history="1">
        <w:r w:rsidR="003840A1" w:rsidRPr="00A060FE">
          <w:rPr>
            <w:rStyle w:val="Hyperlink"/>
            <w:lang w:val="en-GB"/>
          </w:rPr>
          <w:t>Y.4462</w:t>
        </w:r>
      </w:hyperlink>
      <w:r w:rsidR="003840A1" w:rsidRPr="00A060FE">
        <w:rPr>
          <w:lang w:val="en-GB"/>
        </w:rPr>
        <w:t>), delegation services for IoT devices (</w:t>
      </w:r>
      <w:hyperlink r:id="rId165" w:history="1">
        <w:r w:rsidR="003840A1" w:rsidRPr="00A060FE">
          <w:rPr>
            <w:rStyle w:val="Hyperlink"/>
            <w:lang w:val="en-GB"/>
          </w:rPr>
          <w:t>Y.4463</w:t>
        </w:r>
      </w:hyperlink>
      <w:r w:rsidR="003840A1" w:rsidRPr="00A060FE">
        <w:rPr>
          <w:lang w:val="en-GB"/>
        </w:rPr>
        <w:t>), IoT services based on Visible Light Communications (</w:t>
      </w:r>
      <w:hyperlink r:id="rId166" w:history="1">
        <w:r w:rsidR="003840A1" w:rsidRPr="00A060FE">
          <w:rPr>
            <w:rStyle w:val="Hyperlink"/>
            <w:lang w:val="en-GB"/>
          </w:rPr>
          <w:t>Y.4465</w:t>
        </w:r>
      </w:hyperlink>
      <w:r w:rsidR="003840A1" w:rsidRPr="00A060FE">
        <w:rPr>
          <w:lang w:val="en-GB"/>
        </w:rPr>
        <w:t xml:space="preserve"> and </w:t>
      </w:r>
      <w:hyperlink r:id="rId167" w:history="1">
        <w:r w:rsidR="003840A1" w:rsidRPr="00A060FE">
          <w:rPr>
            <w:rStyle w:val="Hyperlink"/>
            <w:lang w:val="en-GB"/>
          </w:rPr>
          <w:t>Y.4474</w:t>
        </w:r>
      </w:hyperlink>
      <w:r w:rsidR="003840A1" w:rsidRPr="00A060FE">
        <w:rPr>
          <w:lang w:val="en-GB"/>
        </w:rPr>
        <w:t>), spare computational capability exposure of IoT devices for smart homes (</w:t>
      </w:r>
      <w:hyperlink r:id="rId168" w:history="1">
        <w:r w:rsidR="003840A1" w:rsidRPr="00A060FE">
          <w:rPr>
            <w:rStyle w:val="Hyperlink"/>
            <w:lang w:val="en-GB"/>
          </w:rPr>
          <w:t>Y.4469</w:t>
        </w:r>
      </w:hyperlink>
      <w:r w:rsidR="003840A1" w:rsidRPr="00A060FE">
        <w:rPr>
          <w:lang w:val="en-GB"/>
        </w:rPr>
        <w:t xml:space="preserve">), </w:t>
      </w:r>
      <w:proofErr w:type="spellStart"/>
      <w:r w:rsidR="003840A1" w:rsidRPr="00A060FE">
        <w:rPr>
          <w:lang w:val="en-GB"/>
        </w:rPr>
        <w:t>SensorThings</w:t>
      </w:r>
      <w:proofErr w:type="spellEnd"/>
      <w:r w:rsidR="003840A1" w:rsidRPr="00A060FE">
        <w:rPr>
          <w:lang w:val="en-GB"/>
        </w:rPr>
        <w:t xml:space="preserve"> API – Sensing (</w:t>
      </w:r>
      <w:hyperlink r:id="rId169" w:history="1">
        <w:r w:rsidR="003840A1" w:rsidRPr="00A060FE">
          <w:rPr>
            <w:rStyle w:val="Hyperlink"/>
            <w:lang w:val="en-GB"/>
          </w:rPr>
          <w:t>Y.4473</w:t>
        </w:r>
      </w:hyperlink>
      <w:r w:rsidR="003840A1" w:rsidRPr="00A060FE">
        <w:rPr>
          <w:lang w:val="en-GB"/>
        </w:rPr>
        <w:t>), lightweight intelligent software for IoT devices (</w:t>
      </w:r>
      <w:hyperlink r:id="rId170" w:history="1">
        <w:r w:rsidR="003840A1" w:rsidRPr="00A060FE">
          <w:rPr>
            <w:rStyle w:val="Hyperlink"/>
            <w:lang w:val="en-GB"/>
          </w:rPr>
          <w:t>Y.4475</w:t>
        </w:r>
      </w:hyperlink>
      <w:r w:rsidR="003840A1" w:rsidRPr="00A060FE">
        <w:rPr>
          <w:lang w:val="en-GB"/>
        </w:rPr>
        <w:t>), agility by design for ICT systems security used in IoT (</w:t>
      </w:r>
      <w:hyperlink r:id="rId171" w:history="1">
        <w:r w:rsidR="003840A1" w:rsidRPr="00A060FE">
          <w:rPr>
            <w:rStyle w:val="Hyperlink"/>
            <w:lang w:val="en-GB"/>
          </w:rPr>
          <w:t>Y.4807</w:t>
        </w:r>
      </w:hyperlink>
      <w:r w:rsidR="003840A1" w:rsidRPr="00A060FE">
        <w:rPr>
          <w:lang w:val="en-GB"/>
        </w:rPr>
        <w:t>), and</w:t>
      </w:r>
      <w:r w:rsidR="00AA5516" w:rsidRPr="00A060FE">
        <w:rPr>
          <w:lang w:val="en-GB"/>
        </w:rPr>
        <w:t xml:space="preserve"> base station inspection services using unmanned aerial vehicles (</w:t>
      </w:r>
      <w:hyperlink r:id="rId172" w:history="1">
        <w:r w:rsidR="00AA5516" w:rsidRPr="00A060FE">
          <w:rPr>
            <w:rStyle w:val="Hyperlink"/>
            <w:lang w:val="en-GB"/>
          </w:rPr>
          <w:t>Y.4559</w:t>
        </w:r>
      </w:hyperlink>
      <w:r w:rsidR="00AA5516" w:rsidRPr="00A060FE">
        <w:rPr>
          <w:lang w:val="en-GB"/>
        </w:rPr>
        <w:t>)</w:t>
      </w:r>
      <w:r w:rsidR="008A2F98" w:rsidRPr="00A060FE">
        <w:rPr>
          <w:lang w:val="en-GB"/>
        </w:rPr>
        <w:t>.</w:t>
      </w:r>
    </w:p>
    <w:p w14:paraId="73B61BE4" w14:textId="5B08E7B9" w:rsidR="00196B85" w:rsidRPr="00B64995" w:rsidRDefault="005505C6" w:rsidP="00196B85">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Smart sustainable cities</w:t>
      </w:r>
      <w:r w:rsidR="005B4F66" w:rsidRPr="00B64995">
        <w:rPr>
          <w:rFonts w:cs="Calibri"/>
          <w:i/>
          <w:iCs/>
          <w:lang w:val="en-GB"/>
        </w:rPr>
        <w:t xml:space="preserve"> and communities</w:t>
      </w:r>
      <w:r w:rsidRPr="00B64995">
        <w:rPr>
          <w:rFonts w:cs="Calibri"/>
          <w:lang w:val="en-GB"/>
        </w:rPr>
        <w:t>: A new ITU standard puts forward a maturity model for smart sustainable cities, enabling the examination of a city’s progress towards smart city objectives (</w:t>
      </w:r>
      <w:hyperlink r:id="rId173">
        <w:r w:rsidRPr="00B64995">
          <w:rPr>
            <w:rStyle w:val="Hyperlink"/>
            <w:rFonts w:cs="Calibri"/>
            <w:lang w:val="en-GB"/>
          </w:rPr>
          <w:t>Y.4904</w:t>
        </w:r>
      </w:hyperlink>
      <w:r w:rsidRPr="00A060FE">
        <w:rPr>
          <w:rFonts w:cs="Calibri"/>
          <w:lang w:val="en-GB"/>
        </w:rPr>
        <w:t>)</w:t>
      </w:r>
      <w:r w:rsidR="00B90879" w:rsidRPr="00A060FE">
        <w:rPr>
          <w:rFonts w:cs="Calibri"/>
          <w:lang w:val="en-GB"/>
        </w:rPr>
        <w:t xml:space="preserve">. More details are provided in </w:t>
      </w:r>
      <w:hyperlink w:anchor="Section_1_5" w:history="1">
        <w:r w:rsidR="007F05EB" w:rsidRPr="00B64995">
          <w:rPr>
            <w:rStyle w:val="Hyperlink"/>
            <w:rFonts w:cs="Calibri"/>
            <w:lang w:val="en-GB"/>
          </w:rPr>
          <w:t>section</w:t>
        </w:r>
        <w:r w:rsidR="00B90879" w:rsidRPr="00B64995">
          <w:rPr>
            <w:rStyle w:val="Hyperlink"/>
            <w:rFonts w:cs="Calibri"/>
            <w:lang w:val="en-GB"/>
          </w:rPr>
          <w:t xml:space="preserve"> 1.5</w:t>
        </w:r>
      </w:hyperlink>
      <w:r w:rsidR="00B90879" w:rsidRPr="00A060FE">
        <w:rPr>
          <w:rFonts w:cs="Calibri"/>
          <w:lang w:val="en-GB"/>
        </w:rPr>
        <w:t>;</w:t>
      </w:r>
      <w:r w:rsidR="00BC4912" w:rsidRPr="00A060FE">
        <w:rPr>
          <w:rFonts w:cs="Calibri"/>
          <w:lang w:val="en-GB"/>
        </w:rPr>
        <w:t xml:space="preserve"> New ITU standards </w:t>
      </w:r>
      <w:r w:rsidR="00BC4912" w:rsidRPr="00B64995">
        <w:rPr>
          <w:lang w:val="en-GB"/>
        </w:rPr>
        <w:t>address the interoperation of smart ports with smart cities (</w:t>
      </w:r>
      <w:hyperlink r:id="rId174" w:history="1">
        <w:r w:rsidR="00BC4912" w:rsidRPr="00A060FE">
          <w:rPr>
            <w:rStyle w:val="Hyperlink"/>
            <w:lang w:val="en-GB"/>
          </w:rPr>
          <w:t>Y.4209</w:t>
        </w:r>
      </w:hyperlink>
      <w:r w:rsidR="00BC4912" w:rsidRPr="00A060FE">
        <w:rPr>
          <w:lang w:val="en-GB"/>
        </w:rPr>
        <w:t>), open data in smart cities (</w:t>
      </w:r>
      <w:hyperlink r:id="rId175" w:history="1">
        <w:r w:rsidR="00BC4912" w:rsidRPr="00A060FE">
          <w:rPr>
            <w:rStyle w:val="Hyperlink"/>
            <w:lang w:val="en-GB"/>
          </w:rPr>
          <w:t>Y.4461</w:t>
        </w:r>
      </w:hyperlink>
      <w:r w:rsidR="00BC4912" w:rsidRPr="00A060FE">
        <w:rPr>
          <w:lang w:val="en-GB"/>
        </w:rPr>
        <w:t>), smart greenhouse services (</w:t>
      </w:r>
      <w:hyperlink r:id="rId176" w:history="1">
        <w:r w:rsidR="00BC4912" w:rsidRPr="00A060FE">
          <w:rPr>
            <w:rStyle w:val="Hyperlink"/>
            <w:lang w:val="en-GB"/>
          </w:rPr>
          <w:t>Y.4466</w:t>
        </w:r>
      </w:hyperlink>
      <w:r w:rsidR="00BC4912" w:rsidRPr="00A060FE">
        <w:rPr>
          <w:lang w:val="en-GB"/>
        </w:rPr>
        <w:t>), data structure and data transfer protocol for automotive emergency response systems (</w:t>
      </w:r>
      <w:hyperlink r:id="rId177" w:history="1">
        <w:r w:rsidR="00BC4912" w:rsidRPr="00A060FE">
          <w:rPr>
            <w:rStyle w:val="Hyperlink"/>
            <w:lang w:val="en-GB"/>
          </w:rPr>
          <w:t>Y.4467</w:t>
        </w:r>
      </w:hyperlink>
      <w:r w:rsidR="00BC4912" w:rsidRPr="00A060FE">
        <w:rPr>
          <w:lang w:val="en-GB"/>
        </w:rPr>
        <w:t xml:space="preserve"> and </w:t>
      </w:r>
      <w:hyperlink r:id="rId178" w:history="1">
        <w:r w:rsidR="00BC4912" w:rsidRPr="00A060FE">
          <w:rPr>
            <w:rStyle w:val="Hyperlink"/>
            <w:lang w:val="en-GB"/>
          </w:rPr>
          <w:t>Y.4468</w:t>
        </w:r>
      </w:hyperlink>
      <w:r w:rsidR="00BC4912" w:rsidRPr="00A060FE">
        <w:rPr>
          <w:lang w:val="en-GB"/>
        </w:rPr>
        <w:t>), AI service exposure for smart cities (</w:t>
      </w:r>
      <w:hyperlink r:id="rId179" w:history="1">
        <w:r w:rsidR="00BC4912" w:rsidRPr="00A060FE">
          <w:rPr>
            <w:rStyle w:val="Hyperlink"/>
            <w:lang w:val="en-GB"/>
          </w:rPr>
          <w:t>Y.4470</w:t>
        </w:r>
      </w:hyperlink>
      <w:r w:rsidR="00BC4912" w:rsidRPr="00A060FE">
        <w:rPr>
          <w:lang w:val="en-GB"/>
        </w:rPr>
        <w:t>), and smart fire smoke detection services (</w:t>
      </w:r>
      <w:hyperlink r:id="rId180" w:history="1">
        <w:r w:rsidR="00BC4912" w:rsidRPr="00A060FE">
          <w:rPr>
            <w:rStyle w:val="Hyperlink"/>
            <w:lang w:val="en-GB"/>
          </w:rPr>
          <w:t>Y.4558</w:t>
        </w:r>
      </w:hyperlink>
      <w:r w:rsidR="00BC4912" w:rsidRPr="00A060FE">
        <w:rPr>
          <w:lang w:val="en-GB"/>
        </w:rPr>
        <w:t>)</w:t>
      </w:r>
      <w:r w:rsidR="008A2F98" w:rsidRPr="00A060FE">
        <w:rPr>
          <w:lang w:val="en-GB"/>
        </w:rPr>
        <w:t>.</w:t>
      </w:r>
    </w:p>
    <w:p w14:paraId="521D9101" w14:textId="1D564D3F" w:rsidR="00196B85" w:rsidRPr="00B64995" w:rsidRDefault="00196B85" w:rsidP="00A96308">
      <w:pPr>
        <w:autoSpaceDE w:val="0"/>
        <w:autoSpaceDN w:val="0"/>
        <w:adjustRightInd w:val="0"/>
        <w:spacing w:after="120"/>
        <w:jc w:val="both"/>
        <w:rPr>
          <w:rFonts w:eastAsiaTheme="minorEastAsia"/>
          <w:b/>
          <w:i/>
          <w:iCs/>
        </w:rPr>
      </w:pPr>
      <w:r w:rsidRPr="00B64995">
        <w:rPr>
          <w:rFonts w:eastAsiaTheme="minorEastAsia"/>
          <w:b/>
          <w:i/>
          <w:iCs/>
        </w:rPr>
        <w:t xml:space="preserve">Performance, QoS and </w:t>
      </w:r>
      <w:proofErr w:type="spellStart"/>
      <w:r w:rsidRPr="00B64995">
        <w:rPr>
          <w:rFonts w:eastAsiaTheme="minorEastAsia"/>
          <w:b/>
          <w:i/>
          <w:iCs/>
        </w:rPr>
        <w:t>QoE</w:t>
      </w:r>
      <w:proofErr w:type="spellEnd"/>
    </w:p>
    <w:bookmarkEnd w:id="41"/>
    <w:p w14:paraId="09566CDA" w14:textId="2CF729B6" w:rsidR="0049723A" w:rsidRPr="00B64995" w:rsidRDefault="005505C6" w:rsidP="00614D53">
      <w:pPr>
        <w:pStyle w:val="ListParagraph"/>
        <w:numPr>
          <w:ilvl w:val="0"/>
          <w:numId w:val="4"/>
        </w:numPr>
        <w:autoSpaceDE w:val="0"/>
        <w:autoSpaceDN w:val="0"/>
        <w:adjustRightInd w:val="0"/>
        <w:spacing w:after="120"/>
        <w:jc w:val="both"/>
        <w:rPr>
          <w:rFonts w:cs="Calibri"/>
          <w:lang w:val="en-GB"/>
        </w:rPr>
      </w:pPr>
      <w:r w:rsidRPr="00B64995">
        <w:rPr>
          <w:rFonts w:cs="Calibri"/>
          <w:i/>
          <w:iCs/>
          <w:lang w:val="en-GB"/>
        </w:rPr>
        <w:t>Voice quality</w:t>
      </w:r>
      <w:r w:rsidRPr="00B64995">
        <w:rPr>
          <w:rFonts w:cs="Calibri"/>
          <w:lang w:val="en-GB"/>
        </w:rPr>
        <w:t>: New ITU standards address the relationship between voice QoS and 4G circuit-switched fallback (</w:t>
      </w:r>
      <w:hyperlink r:id="rId181">
        <w:r w:rsidRPr="00B64995">
          <w:rPr>
            <w:rStyle w:val="Hyperlink"/>
            <w:rFonts w:cs="Calibri"/>
            <w:lang w:val="en-GB"/>
          </w:rPr>
          <w:t>G.1028.2</w:t>
        </w:r>
      </w:hyperlink>
      <w:r w:rsidRPr="00A060FE">
        <w:rPr>
          <w:rFonts w:cs="Calibri"/>
          <w:lang w:val="en-GB"/>
        </w:rPr>
        <w:t>) and best practices for the measurement of QoS in mobile networks (</w:t>
      </w:r>
      <w:hyperlink r:id="rId182">
        <w:r w:rsidRPr="00B64995">
          <w:rPr>
            <w:rStyle w:val="Hyperlink"/>
            <w:rFonts w:cs="Calibri"/>
            <w:lang w:val="en-GB"/>
          </w:rPr>
          <w:t>E.806</w:t>
        </w:r>
      </w:hyperlink>
      <w:r w:rsidRPr="00A060FE">
        <w:rPr>
          <w:rFonts w:cs="Calibri"/>
          <w:lang w:val="en-GB"/>
        </w:rPr>
        <w:t>). A revised ITU standard details the factors influencing end-to-end QoS for 4G voice (</w:t>
      </w:r>
      <w:hyperlink r:id="rId183">
        <w:r w:rsidRPr="00B64995">
          <w:rPr>
            <w:rStyle w:val="Hyperlink"/>
            <w:rFonts w:cs="Calibri"/>
            <w:lang w:val="en-GB"/>
          </w:rPr>
          <w:t>G.1028</w:t>
        </w:r>
      </w:hyperlink>
      <w:r w:rsidRPr="00A060FE">
        <w:rPr>
          <w:rFonts w:cs="Calibri"/>
          <w:lang w:val="en-GB"/>
        </w:rPr>
        <w:t>). The E-Model (</w:t>
      </w:r>
      <w:hyperlink r:id="rId184">
        <w:r w:rsidRPr="00B64995">
          <w:rPr>
            <w:rStyle w:val="Hyperlink"/>
            <w:rFonts w:cs="Calibri"/>
            <w:lang w:val="en-GB"/>
          </w:rPr>
          <w:t>G.107</w:t>
        </w:r>
      </w:hyperlink>
      <w:r w:rsidRPr="00A060FE">
        <w:rPr>
          <w:rFonts w:cs="Calibri"/>
          <w:lang w:val="en-GB"/>
        </w:rPr>
        <w:t>), supporting high-quality voice, now addresses both wideband (50-7</w:t>
      </w:r>
      <w:r w:rsidR="00A060FE">
        <w:rPr>
          <w:rFonts w:cs="Calibri"/>
          <w:lang w:val="en-GB"/>
        </w:rPr>
        <w:t> </w:t>
      </w:r>
      <w:r w:rsidRPr="00B64995">
        <w:rPr>
          <w:rFonts w:cs="Calibri"/>
          <w:lang w:val="en-GB"/>
        </w:rPr>
        <w:t xml:space="preserve">000 Hz: </w:t>
      </w:r>
      <w:hyperlink r:id="rId185">
        <w:r w:rsidRPr="00B64995">
          <w:rPr>
            <w:rStyle w:val="Hyperlink"/>
            <w:rFonts w:cs="Calibri"/>
            <w:lang w:val="en-GB"/>
          </w:rPr>
          <w:t>G.107.1</w:t>
        </w:r>
      </w:hyperlink>
      <w:r w:rsidRPr="00A060FE">
        <w:rPr>
          <w:rFonts w:cs="Calibri"/>
          <w:lang w:val="en-GB"/>
        </w:rPr>
        <w:t xml:space="preserve">) and </w:t>
      </w:r>
      <w:proofErr w:type="spellStart"/>
      <w:r w:rsidRPr="00A060FE">
        <w:rPr>
          <w:rFonts w:cs="Calibri"/>
          <w:lang w:val="en-GB"/>
        </w:rPr>
        <w:t>fullband</w:t>
      </w:r>
      <w:proofErr w:type="spellEnd"/>
      <w:r w:rsidRPr="00A060FE">
        <w:rPr>
          <w:rFonts w:cs="Calibri"/>
          <w:lang w:val="en-GB"/>
        </w:rPr>
        <w:t xml:space="preserve"> (20-20</w:t>
      </w:r>
      <w:r w:rsidR="00A060FE">
        <w:rPr>
          <w:rFonts w:cs="Calibri"/>
          <w:lang w:val="en-GB"/>
        </w:rPr>
        <w:t> </w:t>
      </w:r>
      <w:r w:rsidRPr="00B64995">
        <w:rPr>
          <w:rFonts w:cs="Calibri"/>
          <w:lang w:val="en-GB"/>
        </w:rPr>
        <w:t xml:space="preserve">000 Hz: </w:t>
      </w:r>
      <w:hyperlink r:id="rId186">
        <w:r w:rsidRPr="00B64995">
          <w:rPr>
            <w:rStyle w:val="Hyperlink"/>
            <w:rFonts w:cs="Calibri"/>
            <w:lang w:val="en-GB"/>
          </w:rPr>
          <w:t>G.107.2</w:t>
        </w:r>
      </w:hyperlink>
      <w:r w:rsidRPr="00A060FE">
        <w:rPr>
          <w:rFonts w:cs="Calibri"/>
          <w:lang w:val="en-GB"/>
        </w:rPr>
        <w:t>)</w:t>
      </w:r>
      <w:r w:rsidR="008A2F98" w:rsidRPr="00A060FE">
        <w:rPr>
          <w:rFonts w:cs="Calibri"/>
          <w:lang w:val="en-GB"/>
        </w:rPr>
        <w:t>.</w:t>
      </w:r>
    </w:p>
    <w:p w14:paraId="19E132CF" w14:textId="70806959" w:rsidR="00D106BA" w:rsidRPr="00A060FE" w:rsidRDefault="00D106BA" w:rsidP="00D106BA">
      <w:pPr>
        <w:pStyle w:val="ListParagraph"/>
        <w:numPr>
          <w:ilvl w:val="0"/>
          <w:numId w:val="4"/>
        </w:numPr>
        <w:jc w:val="both"/>
        <w:rPr>
          <w:lang w:val="en-GB"/>
        </w:rPr>
      </w:pPr>
      <w:r w:rsidRPr="00B64995">
        <w:rPr>
          <w:bCs/>
          <w:i/>
          <w:iCs/>
          <w:lang w:val="en-GB"/>
        </w:rPr>
        <w:t>Quality of service strategies</w:t>
      </w:r>
      <w:r w:rsidRPr="00B64995">
        <w:rPr>
          <w:bCs/>
          <w:lang w:val="en-GB"/>
        </w:rPr>
        <w:t>:</w:t>
      </w:r>
      <w:r w:rsidRPr="00B64995">
        <w:rPr>
          <w:b/>
          <w:lang w:val="en-GB"/>
        </w:rPr>
        <w:t xml:space="preserve"> </w:t>
      </w:r>
      <w:r w:rsidRPr="00B64995">
        <w:rPr>
          <w:bCs/>
          <w:lang w:val="en-GB"/>
        </w:rPr>
        <w:t xml:space="preserve">New ITU standards </w:t>
      </w:r>
      <w:r w:rsidRPr="00B64995">
        <w:rPr>
          <w:lang w:val="en-GB"/>
        </w:rPr>
        <w:t>address intelligent network analytics and diagnostics (</w:t>
      </w:r>
      <w:hyperlink r:id="rId187" w:history="1">
        <w:r w:rsidRPr="00A060FE">
          <w:rPr>
            <w:rStyle w:val="Hyperlink"/>
            <w:lang w:val="en-GB"/>
          </w:rPr>
          <w:t>E.475</w:t>
        </w:r>
      </w:hyperlink>
      <w:r w:rsidRPr="00A060FE">
        <w:rPr>
          <w:lang w:val="en-GB"/>
        </w:rPr>
        <w:t>) and the creation and performance testing of machine learning-based models to assess the impact of the transmission network on speech quality for 4G voice services (</w:t>
      </w:r>
      <w:hyperlink r:id="rId188" w:history="1">
        <w:r w:rsidRPr="00A060FE">
          <w:rPr>
            <w:rStyle w:val="Hyperlink"/>
            <w:lang w:val="en-GB"/>
          </w:rPr>
          <w:t>P.565</w:t>
        </w:r>
      </w:hyperlink>
      <w:r w:rsidRPr="00A060FE">
        <w:rPr>
          <w:lang w:val="en-GB"/>
        </w:rPr>
        <w:t>); details the crowdsourcing approach to the assessment of end-to-end QoS in fixed and mobile broadband networks (</w:t>
      </w:r>
      <w:hyperlink r:id="rId189" w:history="1">
        <w:r w:rsidRPr="00A060FE">
          <w:rPr>
            <w:rStyle w:val="Hyperlink"/>
            <w:lang w:val="en-GB"/>
          </w:rPr>
          <w:t>E.812</w:t>
        </w:r>
      </w:hyperlink>
      <w:r w:rsidRPr="00A060FE">
        <w:rPr>
          <w:lang w:val="en-GB"/>
        </w:rPr>
        <w:t xml:space="preserve">); </w:t>
      </w:r>
      <w:r w:rsidRPr="00A060FE">
        <w:rPr>
          <w:bCs/>
          <w:lang w:val="en-GB"/>
        </w:rPr>
        <w:t>provide an application guide for Recommendation ITU-T E.804 (</w:t>
      </w:r>
      <w:hyperlink r:id="rId190" w:history="1">
        <w:r w:rsidRPr="00A060FE">
          <w:rPr>
            <w:rStyle w:val="Hyperlink"/>
            <w:bCs/>
            <w:lang w:val="en-GB"/>
          </w:rPr>
          <w:t>E.804.1</w:t>
        </w:r>
      </w:hyperlink>
      <w:r w:rsidRPr="00A060FE">
        <w:rPr>
          <w:bCs/>
          <w:lang w:val="en-GB"/>
        </w:rPr>
        <w:t xml:space="preserve">) and a </w:t>
      </w:r>
      <w:r w:rsidRPr="00A060FE">
        <w:rPr>
          <w:lang w:val="en-GB"/>
        </w:rPr>
        <w:t>QoS operational strategy for improved regulatory supervision on providers of mobi</w:t>
      </w:r>
      <w:r w:rsidRPr="00B64995">
        <w:rPr>
          <w:lang w:val="en-GB"/>
        </w:rPr>
        <w:t>le telecommunication services (</w:t>
      </w:r>
      <w:hyperlink r:id="rId191" w:history="1">
        <w:r w:rsidRPr="00A060FE">
          <w:rPr>
            <w:rStyle w:val="Hyperlink"/>
            <w:lang w:val="en-GB"/>
          </w:rPr>
          <w:t>E.805.1</w:t>
        </w:r>
      </w:hyperlink>
      <w:r w:rsidRPr="00A060FE">
        <w:rPr>
          <w:lang w:val="en-GB"/>
        </w:rPr>
        <w:t>).</w:t>
      </w:r>
    </w:p>
    <w:p w14:paraId="386377C8" w14:textId="7716C917" w:rsidR="00D106BA" w:rsidRPr="00A060FE" w:rsidRDefault="00D106BA" w:rsidP="00D106BA">
      <w:pPr>
        <w:pStyle w:val="ListParagraph"/>
        <w:numPr>
          <w:ilvl w:val="0"/>
          <w:numId w:val="4"/>
        </w:numPr>
        <w:autoSpaceDE w:val="0"/>
        <w:autoSpaceDN w:val="0"/>
        <w:adjustRightInd w:val="0"/>
        <w:spacing w:after="120"/>
        <w:jc w:val="both"/>
        <w:rPr>
          <w:rFonts w:eastAsiaTheme="minorEastAsia" w:cs="Calibri"/>
          <w:b/>
          <w:lang w:val="en-GB"/>
        </w:rPr>
      </w:pPr>
      <w:r w:rsidRPr="00B64995">
        <w:rPr>
          <w:i/>
          <w:iCs/>
          <w:lang w:val="en-GB"/>
        </w:rPr>
        <w:lastRenderedPageBreak/>
        <w:t>Virtual Reality:</w:t>
      </w:r>
      <w:r w:rsidRPr="00B64995">
        <w:rPr>
          <w:lang w:val="en-GB"/>
        </w:rPr>
        <w:t xml:space="preserve"> New ITU standards introduce the factors influencing </w:t>
      </w:r>
      <w:r w:rsidR="0063311E" w:rsidRPr="00B64995">
        <w:rPr>
          <w:lang w:val="en-GB"/>
        </w:rPr>
        <w:t>quality of experience (</w:t>
      </w:r>
      <w:proofErr w:type="spellStart"/>
      <w:r w:rsidRPr="00B64995">
        <w:rPr>
          <w:lang w:val="en-GB"/>
        </w:rPr>
        <w:t>QoE</w:t>
      </w:r>
      <w:proofErr w:type="spellEnd"/>
      <w:r w:rsidR="0063311E" w:rsidRPr="00B64995">
        <w:rPr>
          <w:lang w:val="en-GB"/>
        </w:rPr>
        <w:t>)</w:t>
      </w:r>
      <w:r w:rsidRPr="00B64995">
        <w:rPr>
          <w:lang w:val="en-GB"/>
        </w:rPr>
        <w:t xml:space="preserve"> for virtual reality services (</w:t>
      </w:r>
      <w:hyperlink r:id="rId192" w:history="1">
        <w:r w:rsidRPr="00A060FE">
          <w:rPr>
            <w:rStyle w:val="Hyperlink"/>
            <w:lang w:val="en-GB"/>
          </w:rPr>
          <w:t>G.1035</w:t>
        </w:r>
      </w:hyperlink>
      <w:r w:rsidRPr="00A060FE">
        <w:rPr>
          <w:lang w:val="en-GB"/>
        </w:rPr>
        <w:t xml:space="preserve">), an opinion model predicting </w:t>
      </w:r>
      <w:proofErr w:type="spellStart"/>
      <w:r w:rsidRPr="00A060FE">
        <w:rPr>
          <w:lang w:val="en-GB"/>
        </w:rPr>
        <w:t>QoE</w:t>
      </w:r>
      <w:proofErr w:type="spellEnd"/>
      <w:r w:rsidRPr="00A060FE">
        <w:rPr>
          <w:lang w:val="en-GB"/>
        </w:rPr>
        <w:t xml:space="preserve"> for cloud gaming services (</w:t>
      </w:r>
      <w:hyperlink r:id="rId193" w:history="1">
        <w:r w:rsidRPr="00A060FE">
          <w:rPr>
            <w:rStyle w:val="Hyperlink"/>
            <w:lang w:val="en-GB"/>
          </w:rPr>
          <w:t>G.1072</w:t>
        </w:r>
      </w:hyperlink>
      <w:r w:rsidRPr="00A060FE">
        <w:rPr>
          <w:lang w:val="en-GB"/>
        </w:rPr>
        <w:t>), and dimension-based subjective quality evaluation for video content considering five perceptual dimensions (</w:t>
      </w:r>
      <w:hyperlink r:id="rId194" w:history="1">
        <w:r w:rsidRPr="00A060FE">
          <w:rPr>
            <w:rStyle w:val="Hyperlink"/>
            <w:lang w:val="en-GB"/>
          </w:rPr>
          <w:t>P.918</w:t>
        </w:r>
      </w:hyperlink>
      <w:r w:rsidRPr="00A060FE">
        <w:rPr>
          <w:lang w:val="en-GB"/>
        </w:rPr>
        <w:t xml:space="preserve">); classify virtual reality services and identify the key </w:t>
      </w:r>
      <w:proofErr w:type="spellStart"/>
      <w:r w:rsidRPr="00A060FE">
        <w:rPr>
          <w:lang w:val="en-GB"/>
        </w:rPr>
        <w:t>QoE</w:t>
      </w:r>
      <w:proofErr w:type="spellEnd"/>
      <w:r w:rsidRPr="00A060FE">
        <w:rPr>
          <w:lang w:val="en-GB"/>
        </w:rPr>
        <w:t xml:space="preserve"> factors of VR (</w:t>
      </w:r>
      <w:hyperlink r:id="rId195" w:history="1">
        <w:r w:rsidRPr="00A060FE">
          <w:rPr>
            <w:rStyle w:val="Hyperlink"/>
            <w:lang w:val="en-GB"/>
          </w:rPr>
          <w:t>G.1035</w:t>
        </w:r>
      </w:hyperlink>
      <w:r w:rsidRPr="00A060FE">
        <w:rPr>
          <w:lang w:val="en-GB"/>
        </w:rPr>
        <w:t>); and a subjective test methodologies for 360º video on head-mounted displays (</w:t>
      </w:r>
      <w:hyperlink r:id="rId196" w:history="1">
        <w:r w:rsidRPr="00A060FE">
          <w:rPr>
            <w:rStyle w:val="Hyperlink"/>
            <w:lang w:val="en-GB"/>
          </w:rPr>
          <w:t>P.919</w:t>
        </w:r>
      </w:hyperlink>
      <w:r w:rsidRPr="00A060FE">
        <w:rPr>
          <w:lang w:val="en-GB"/>
        </w:rPr>
        <w:t>).</w:t>
      </w:r>
    </w:p>
    <w:p w14:paraId="5F347D31" w14:textId="2107F36D" w:rsidR="005505C6" w:rsidRPr="00B64995" w:rsidRDefault="005505C6"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Regulatory frameworks for quality of service/experience (QoS/</w:t>
      </w:r>
      <w:proofErr w:type="spellStart"/>
      <w:r w:rsidRPr="00B64995">
        <w:rPr>
          <w:rFonts w:cs="Calibri"/>
          <w:i/>
          <w:iCs/>
          <w:lang w:val="en-GB"/>
        </w:rPr>
        <w:t>QoE</w:t>
      </w:r>
      <w:proofErr w:type="spellEnd"/>
      <w:r w:rsidRPr="00B64995">
        <w:rPr>
          <w:rFonts w:cs="Calibri"/>
          <w:i/>
          <w:iCs/>
          <w:lang w:val="en-GB"/>
        </w:rPr>
        <w:t>)</w:t>
      </w:r>
      <w:r w:rsidRPr="00B64995">
        <w:rPr>
          <w:rFonts w:cs="Calibri"/>
          <w:lang w:val="en-GB"/>
        </w:rPr>
        <w:t xml:space="preserve">: A new ITU standard provides guidance to regulators aiming to establish national or regional regulatory frameworks to monitor and measure QoS and </w:t>
      </w:r>
      <w:proofErr w:type="spellStart"/>
      <w:r w:rsidRPr="00B64995">
        <w:rPr>
          <w:rFonts w:cs="Calibri"/>
          <w:lang w:val="en-GB"/>
        </w:rPr>
        <w:t>QoE</w:t>
      </w:r>
      <w:proofErr w:type="spellEnd"/>
      <w:r w:rsidRPr="00B64995">
        <w:rPr>
          <w:rFonts w:cs="Calibri"/>
          <w:lang w:val="en-GB"/>
        </w:rPr>
        <w:t xml:space="preserve"> (</w:t>
      </w:r>
      <w:hyperlink r:id="rId197">
        <w:r w:rsidRPr="00B64995">
          <w:rPr>
            <w:rStyle w:val="Hyperlink"/>
            <w:rFonts w:cs="Calibri"/>
            <w:lang w:val="en-GB"/>
          </w:rPr>
          <w:t>E.805</w:t>
        </w:r>
      </w:hyperlink>
      <w:r w:rsidRPr="00A060FE">
        <w:rPr>
          <w:rFonts w:cs="Calibri"/>
          <w:lang w:val="en-GB"/>
        </w:rPr>
        <w:t>)</w:t>
      </w:r>
      <w:r w:rsidR="008A2F98" w:rsidRPr="00A060FE">
        <w:rPr>
          <w:rFonts w:cs="Calibri"/>
          <w:lang w:val="en-GB"/>
        </w:rPr>
        <w:t>.</w:t>
      </w:r>
    </w:p>
    <w:p w14:paraId="4FB74EC8" w14:textId="49125AF0" w:rsidR="005505C6" w:rsidRPr="00B64995" w:rsidRDefault="005505C6" w:rsidP="00614D53">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Digital financial services</w:t>
      </w:r>
      <w:r w:rsidRPr="00B64995">
        <w:rPr>
          <w:rFonts w:cs="Calibri"/>
          <w:lang w:val="en-GB"/>
        </w:rPr>
        <w:t xml:space="preserve">: New ITU standards introduce QoS and </w:t>
      </w:r>
      <w:proofErr w:type="spellStart"/>
      <w:r w:rsidRPr="00B64995">
        <w:rPr>
          <w:rFonts w:cs="Calibri"/>
          <w:lang w:val="en-GB"/>
        </w:rPr>
        <w:t>QoE</w:t>
      </w:r>
      <w:proofErr w:type="spellEnd"/>
      <w:r w:rsidRPr="00B64995">
        <w:rPr>
          <w:rFonts w:cs="Calibri"/>
          <w:lang w:val="en-GB"/>
        </w:rPr>
        <w:t xml:space="preserve"> aspects of digital financial services (</w:t>
      </w:r>
      <w:hyperlink r:id="rId198">
        <w:r w:rsidRPr="00B64995">
          <w:rPr>
            <w:rStyle w:val="Hyperlink"/>
            <w:rFonts w:cs="Calibri"/>
            <w:lang w:val="en-GB"/>
          </w:rPr>
          <w:t>G.1033</w:t>
        </w:r>
      </w:hyperlink>
      <w:r w:rsidRPr="00A060FE">
        <w:rPr>
          <w:rFonts w:cs="Calibri"/>
          <w:lang w:val="en-GB"/>
        </w:rPr>
        <w:t xml:space="preserve">) and a methodology to test the </w:t>
      </w:r>
      <w:proofErr w:type="spellStart"/>
      <w:r w:rsidRPr="00A060FE">
        <w:rPr>
          <w:rFonts w:cs="Calibri"/>
          <w:lang w:val="en-GB"/>
        </w:rPr>
        <w:t>QoE</w:t>
      </w:r>
      <w:proofErr w:type="spellEnd"/>
      <w:r w:rsidRPr="00A060FE">
        <w:rPr>
          <w:rFonts w:cs="Calibri"/>
          <w:lang w:val="en-GB"/>
        </w:rPr>
        <w:t xml:space="preserve"> of digital financial services (</w:t>
      </w:r>
      <w:hyperlink r:id="rId199">
        <w:r w:rsidRPr="00B64995">
          <w:rPr>
            <w:rStyle w:val="Hyperlink"/>
            <w:rFonts w:cs="Calibri"/>
            <w:lang w:val="en-GB"/>
          </w:rPr>
          <w:t>P.1502</w:t>
        </w:r>
      </w:hyperlink>
      <w:r w:rsidRPr="00A060FE">
        <w:rPr>
          <w:rFonts w:cs="Calibri"/>
          <w:lang w:val="en-GB"/>
        </w:rPr>
        <w:t>)</w:t>
      </w:r>
      <w:r w:rsidR="00B90879" w:rsidRPr="00A060FE">
        <w:rPr>
          <w:rFonts w:cs="Calibri"/>
          <w:lang w:val="en-GB"/>
        </w:rPr>
        <w:t>;</w:t>
      </w:r>
      <w:r w:rsidR="00591B0E" w:rsidRPr="00B64995">
        <w:rPr>
          <w:rFonts w:cs="Calibri"/>
          <w:lang w:val="en-GB"/>
        </w:rPr>
        <w:t xml:space="preserve"> </w:t>
      </w:r>
      <w:r w:rsidR="00591B0E" w:rsidRPr="00B64995">
        <w:rPr>
          <w:lang w:val="en-GB"/>
        </w:rPr>
        <w:t xml:space="preserve">introduce QoS and </w:t>
      </w:r>
      <w:proofErr w:type="spellStart"/>
      <w:r w:rsidR="00591B0E" w:rsidRPr="00B64995">
        <w:rPr>
          <w:lang w:val="en-GB"/>
        </w:rPr>
        <w:t>QoE</w:t>
      </w:r>
      <w:proofErr w:type="spellEnd"/>
      <w:r w:rsidR="00591B0E" w:rsidRPr="00B64995">
        <w:rPr>
          <w:lang w:val="en-GB"/>
        </w:rPr>
        <w:t xml:space="preserve"> aspects of digital financial services (</w:t>
      </w:r>
      <w:hyperlink r:id="rId200" w:history="1">
        <w:r w:rsidR="00591B0E" w:rsidRPr="00B64995">
          <w:rPr>
            <w:rStyle w:val="Hyperlink"/>
            <w:lang w:val="en-GB"/>
          </w:rPr>
          <w:t>G.1033</w:t>
        </w:r>
      </w:hyperlink>
      <w:r w:rsidR="00591B0E" w:rsidRPr="00A060FE">
        <w:rPr>
          <w:lang w:val="en-GB"/>
        </w:rPr>
        <w:t xml:space="preserve">), a methodology to test the </w:t>
      </w:r>
      <w:proofErr w:type="spellStart"/>
      <w:r w:rsidR="00591B0E" w:rsidRPr="00A060FE">
        <w:rPr>
          <w:lang w:val="en-GB"/>
        </w:rPr>
        <w:t>QoE</w:t>
      </w:r>
      <w:proofErr w:type="spellEnd"/>
      <w:r w:rsidR="00591B0E" w:rsidRPr="00A060FE">
        <w:rPr>
          <w:lang w:val="en-GB"/>
        </w:rPr>
        <w:t xml:space="preserve"> of digital financial services (</w:t>
      </w:r>
      <w:hyperlink r:id="rId201" w:history="1">
        <w:r w:rsidR="00591B0E" w:rsidRPr="00B64995">
          <w:rPr>
            <w:rStyle w:val="Hyperlink"/>
            <w:lang w:val="en-GB"/>
          </w:rPr>
          <w:t>P.1502</w:t>
        </w:r>
      </w:hyperlink>
      <w:r w:rsidR="00591B0E" w:rsidRPr="00A060FE">
        <w:rPr>
          <w:lang w:val="en-GB"/>
        </w:rPr>
        <w:t>)</w:t>
      </w:r>
      <w:r w:rsidR="008A2F98" w:rsidRPr="00B64995">
        <w:rPr>
          <w:lang w:val="en-GB"/>
        </w:rPr>
        <w:t>.</w:t>
      </w:r>
    </w:p>
    <w:p w14:paraId="78B478D7" w14:textId="7DE72B14" w:rsidR="00CA28CF" w:rsidRPr="00B64995" w:rsidRDefault="005505C6" w:rsidP="00CA28CF">
      <w:pPr>
        <w:pStyle w:val="ListParagraph"/>
        <w:numPr>
          <w:ilvl w:val="0"/>
          <w:numId w:val="4"/>
        </w:numPr>
        <w:autoSpaceDE w:val="0"/>
        <w:autoSpaceDN w:val="0"/>
        <w:adjustRightInd w:val="0"/>
        <w:spacing w:after="120"/>
        <w:jc w:val="both"/>
        <w:rPr>
          <w:rFonts w:eastAsiaTheme="minorEastAsia" w:cs="Calibri"/>
          <w:b/>
          <w:lang w:val="en-GB"/>
        </w:rPr>
      </w:pPr>
      <w:r w:rsidRPr="00B64995">
        <w:rPr>
          <w:rFonts w:cs="Calibri"/>
          <w:i/>
          <w:iCs/>
          <w:lang w:val="en-GB"/>
        </w:rPr>
        <w:t>IP performance measurement</w:t>
      </w:r>
      <w:r w:rsidRPr="00B64995">
        <w:rPr>
          <w:rFonts w:cs="Calibri"/>
          <w:lang w:val="en-GB"/>
        </w:rPr>
        <w:t>: A revision of the ITU standard on IP service performance (</w:t>
      </w:r>
      <w:hyperlink r:id="rId202">
        <w:r w:rsidRPr="00B64995">
          <w:rPr>
            <w:rStyle w:val="Hyperlink"/>
            <w:rFonts w:cs="Calibri"/>
            <w:lang w:val="en-GB"/>
          </w:rPr>
          <w:t>Y.1540</w:t>
        </w:r>
      </w:hyperlink>
      <w:r w:rsidRPr="00A060FE">
        <w:rPr>
          <w:rFonts w:cs="Calibri"/>
          <w:lang w:val="en-GB"/>
        </w:rPr>
        <w:t>) reflects changes in the design of IP services and the protocols employed by end-users. The latest edition of the standard defines IP-layer capacity parameters in ways tha</w:t>
      </w:r>
      <w:r w:rsidRPr="00B64995">
        <w:rPr>
          <w:rFonts w:cs="Calibri"/>
          <w:lang w:val="en-GB"/>
        </w:rPr>
        <w:t>t cater to performance assessment, and provides requirements for methods of measurement of IP-layer capacity</w:t>
      </w:r>
      <w:r w:rsidR="00B90879" w:rsidRPr="00B64995">
        <w:rPr>
          <w:rFonts w:cs="Calibri"/>
          <w:lang w:val="en-GB"/>
        </w:rPr>
        <w:t>;</w:t>
      </w:r>
      <w:r w:rsidR="00CA28CF" w:rsidRPr="00B64995">
        <w:rPr>
          <w:rFonts w:cs="Calibri"/>
          <w:lang w:val="en-GB"/>
        </w:rPr>
        <w:t xml:space="preserve"> A </w:t>
      </w:r>
      <w:r w:rsidR="00CA28CF" w:rsidRPr="00B64995">
        <w:rPr>
          <w:lang w:val="en-GB"/>
        </w:rPr>
        <w:t>new Supplement (</w:t>
      </w:r>
      <w:hyperlink r:id="rId203" w:history="1">
        <w:r w:rsidR="00CA28CF" w:rsidRPr="00B64995">
          <w:rPr>
            <w:color w:val="0000FF"/>
            <w:u w:val="single"/>
            <w:lang w:val="en-GB"/>
          </w:rPr>
          <w:t>Y.Suppl.60</w:t>
        </w:r>
      </w:hyperlink>
      <w:r w:rsidR="00CA28CF" w:rsidRPr="00A060FE">
        <w:rPr>
          <w:lang w:val="en-GB"/>
        </w:rPr>
        <w:t xml:space="preserve">) provides guidance the </w:t>
      </w:r>
      <w:r w:rsidR="00CA28CF" w:rsidRPr="00B64995">
        <w:rPr>
          <w:lang w:val="en-GB"/>
        </w:rPr>
        <w:t>interpretation of measurements taken with the ITU standard for IP service performance assessment (</w:t>
      </w:r>
      <w:hyperlink r:id="rId204" w:history="1">
        <w:r w:rsidR="00CA28CF" w:rsidRPr="00B64995">
          <w:rPr>
            <w:color w:val="0000FF"/>
            <w:u w:val="single"/>
            <w:lang w:val="en-GB"/>
          </w:rPr>
          <w:t>Y.1540</w:t>
        </w:r>
      </w:hyperlink>
      <w:r w:rsidR="00CA28CF" w:rsidRPr="00A060FE">
        <w:rPr>
          <w:lang w:val="en-GB"/>
        </w:rPr>
        <w:t>).</w:t>
      </w:r>
    </w:p>
    <w:p w14:paraId="3701580A" w14:textId="3E8CC12C" w:rsidR="005505C6" w:rsidRPr="00B64995" w:rsidRDefault="00CA28CF" w:rsidP="00CA28CF">
      <w:pPr>
        <w:pStyle w:val="ListParagraph"/>
        <w:numPr>
          <w:ilvl w:val="0"/>
          <w:numId w:val="4"/>
        </w:numPr>
        <w:autoSpaceDE w:val="0"/>
        <w:autoSpaceDN w:val="0"/>
        <w:adjustRightInd w:val="0"/>
        <w:spacing w:after="120"/>
        <w:jc w:val="both"/>
        <w:rPr>
          <w:rFonts w:eastAsiaTheme="minorEastAsia" w:cs="Calibri"/>
          <w:b/>
          <w:lang w:val="en-GB"/>
        </w:rPr>
      </w:pPr>
      <w:r w:rsidRPr="00B64995">
        <w:rPr>
          <w:rFonts w:eastAsiaTheme="minorHAnsi" w:cs="Calibri"/>
          <w:i/>
          <w:iCs/>
          <w:lang w:val="en-GB" w:eastAsia="en-US"/>
        </w:rPr>
        <w:t>Intelligent transport systems:</w:t>
      </w:r>
      <w:r w:rsidRPr="00B64995">
        <w:rPr>
          <w:rFonts w:eastAsiaTheme="minorHAnsi" w:cs="Calibri"/>
          <w:lang w:val="en-GB" w:eastAsia="en-US"/>
        </w:rPr>
        <w:t xml:space="preserve"> New ITU standards describe, </w:t>
      </w:r>
      <w:proofErr w:type="spellStart"/>
      <w:r w:rsidRPr="00B64995">
        <w:rPr>
          <w:rFonts w:eastAsiaTheme="minorHAnsi" w:cs="Calibri"/>
          <w:lang w:val="en-GB" w:eastAsia="en-US"/>
        </w:rPr>
        <w:t>QoE</w:t>
      </w:r>
      <w:proofErr w:type="spellEnd"/>
      <w:r w:rsidRPr="00B64995">
        <w:rPr>
          <w:rFonts w:eastAsiaTheme="minorHAnsi" w:cs="Calibri"/>
          <w:lang w:val="en-GB" w:eastAsia="en-US"/>
        </w:rPr>
        <w:t xml:space="preserve"> metrics for mobile telephony communication during rail travel (</w:t>
      </w:r>
      <w:hyperlink r:id="rId205" w:history="1">
        <w:r w:rsidRPr="00B64995">
          <w:rPr>
            <w:rFonts w:eastAsiaTheme="minorHAnsi" w:cs="Calibri"/>
            <w:color w:val="0000FF"/>
            <w:u w:val="single"/>
            <w:lang w:val="en-GB" w:eastAsia="en-US"/>
          </w:rPr>
          <w:t>G.1034</w:t>
        </w:r>
      </w:hyperlink>
      <w:r w:rsidRPr="00A060FE">
        <w:rPr>
          <w:rFonts w:eastAsiaTheme="minorHAnsi" w:cs="Calibri"/>
          <w:lang w:val="en-GB" w:eastAsia="en-US"/>
        </w:rPr>
        <w:t>), an in-car communication audio specification for travellers’ safety (</w:t>
      </w:r>
      <w:hyperlink r:id="rId206" w:history="1">
        <w:r w:rsidRPr="00B64995">
          <w:rPr>
            <w:rFonts w:eastAsiaTheme="minorHAnsi" w:cs="Calibri"/>
            <w:color w:val="0000FF"/>
            <w:u w:val="single"/>
            <w:lang w:val="en-GB" w:eastAsia="en-US"/>
          </w:rPr>
          <w:t>P.1150</w:t>
        </w:r>
      </w:hyperlink>
      <w:r w:rsidRPr="00A060FE">
        <w:rPr>
          <w:rFonts w:eastAsiaTheme="minorHAnsi" w:cs="Calibri"/>
          <w:lang w:val="en-GB" w:eastAsia="en-US"/>
        </w:rPr>
        <w:t>), use cases and requirements for vehicular multimedia networks (</w:t>
      </w:r>
      <w:hyperlink r:id="rId207" w:history="1">
        <w:r w:rsidRPr="00B64995">
          <w:rPr>
            <w:rFonts w:eastAsiaTheme="minorHAnsi" w:cs="Calibri"/>
            <w:color w:val="0000FF"/>
            <w:u w:val="single"/>
            <w:lang w:val="en-GB" w:eastAsia="en-US"/>
          </w:rPr>
          <w:t>F.749.3</w:t>
        </w:r>
      </w:hyperlink>
      <w:r w:rsidRPr="00A060FE">
        <w:rPr>
          <w:rFonts w:eastAsiaTheme="minorHAnsi" w:cs="Calibri"/>
          <w:lang w:val="en-GB" w:eastAsia="en-US"/>
        </w:rPr>
        <w:t>); and accessibility requirements for smart public transportation services (</w:t>
      </w:r>
      <w:hyperlink r:id="rId208" w:history="1">
        <w:r w:rsidRPr="00B64995">
          <w:rPr>
            <w:rFonts w:eastAsiaTheme="minorHAnsi" w:cs="Calibri"/>
            <w:color w:val="0000FF"/>
            <w:u w:val="single"/>
            <w:lang w:val="en-GB" w:eastAsia="en-US"/>
          </w:rPr>
          <w:t>Y.4211</w:t>
        </w:r>
      </w:hyperlink>
      <w:r w:rsidRPr="00A060FE">
        <w:rPr>
          <w:rFonts w:eastAsiaTheme="minorHAnsi" w:cs="Calibri"/>
          <w:lang w:val="en-GB" w:eastAsia="en-US"/>
        </w:rPr>
        <w:t>).</w:t>
      </w:r>
    </w:p>
    <w:p w14:paraId="6DE7A098" w14:textId="2792618F" w:rsidR="005E0061" w:rsidRPr="00B64995" w:rsidRDefault="005E0061" w:rsidP="005E0061">
      <w:pPr>
        <w:autoSpaceDE w:val="0"/>
        <w:autoSpaceDN w:val="0"/>
        <w:adjustRightInd w:val="0"/>
        <w:spacing w:after="120"/>
        <w:jc w:val="both"/>
        <w:rPr>
          <w:rFonts w:eastAsiaTheme="minorEastAsia"/>
          <w:b/>
          <w:i/>
          <w:iCs/>
        </w:rPr>
      </w:pPr>
      <w:r w:rsidRPr="00B64995">
        <w:rPr>
          <w:b/>
          <w:bCs/>
          <w:i/>
          <w:iCs/>
        </w:rPr>
        <w:t>Operational aspects of service provision and telecoms management</w:t>
      </w:r>
    </w:p>
    <w:p w14:paraId="771D65FB" w14:textId="77777777" w:rsidR="00D57BC1" w:rsidRPr="00B64995" w:rsidRDefault="00D57BC1" w:rsidP="00D57BC1">
      <w:pPr>
        <w:pStyle w:val="ListParagraph"/>
        <w:numPr>
          <w:ilvl w:val="0"/>
          <w:numId w:val="4"/>
        </w:numPr>
        <w:jc w:val="both"/>
        <w:rPr>
          <w:lang w:val="en-GB"/>
        </w:rPr>
      </w:pPr>
      <w:r w:rsidRPr="00B64995">
        <w:rPr>
          <w:i/>
          <w:iCs/>
          <w:lang w:val="en-GB"/>
        </w:rPr>
        <w:t>Telecoms management:</w:t>
      </w:r>
      <w:r w:rsidRPr="00B64995">
        <w:rPr>
          <w:lang w:val="en-GB"/>
        </w:rPr>
        <w:t xml:space="preserve"> New ITU standards provide requirements for telecommunication anti-fraud management in the TMN (</w:t>
      </w:r>
      <w:hyperlink r:id="rId209" w:history="1">
        <w:r w:rsidRPr="00B64995">
          <w:rPr>
            <w:rStyle w:val="Hyperlink"/>
            <w:lang w:val="en-GB"/>
          </w:rPr>
          <w:t>M.3362</w:t>
        </w:r>
      </w:hyperlink>
      <w:r w:rsidRPr="00A060FE">
        <w:rPr>
          <w:lang w:val="en-GB"/>
        </w:rPr>
        <w:t>), data management in the TMN (</w:t>
      </w:r>
      <w:hyperlink r:id="rId210" w:history="1">
        <w:r w:rsidRPr="00B64995">
          <w:rPr>
            <w:rStyle w:val="Hyperlink"/>
            <w:lang w:val="en-GB"/>
          </w:rPr>
          <w:t>M.3363</w:t>
        </w:r>
      </w:hyperlink>
      <w:r w:rsidRPr="00A060FE">
        <w:rPr>
          <w:lang w:val="en-GB"/>
        </w:rPr>
        <w:t>) and on-site telecommunication smart maintenance management function (</w:t>
      </w:r>
      <w:hyperlink r:id="rId211" w:history="1">
        <w:r w:rsidRPr="00B64995">
          <w:rPr>
            <w:rStyle w:val="Hyperlink"/>
            <w:lang w:val="en-GB"/>
          </w:rPr>
          <w:t>M.3364</w:t>
        </w:r>
      </w:hyperlink>
      <w:r w:rsidRPr="00A060FE">
        <w:rPr>
          <w:lang w:val="en-GB"/>
        </w:rPr>
        <w:t>). They provide a generic information model for on-site telecommunic</w:t>
      </w:r>
      <w:r w:rsidRPr="00B64995">
        <w:rPr>
          <w:lang w:val="en-GB"/>
        </w:rPr>
        <w:t>ation smart maintenance (</w:t>
      </w:r>
      <w:hyperlink r:id="rId212" w:history="1">
        <w:r w:rsidRPr="00B64995">
          <w:rPr>
            <w:rStyle w:val="Hyperlink"/>
            <w:lang w:val="en-GB"/>
          </w:rPr>
          <w:t>M.3164</w:t>
        </w:r>
      </w:hyperlink>
      <w:r w:rsidRPr="00A060FE">
        <w:rPr>
          <w:lang w:val="en-GB"/>
        </w:rPr>
        <w:t>) and a framework of smart operation, management and maintenance (</w:t>
      </w:r>
      <w:hyperlink r:id="rId213" w:history="1">
        <w:r w:rsidRPr="00B64995">
          <w:rPr>
            <w:rStyle w:val="Hyperlink"/>
            <w:lang w:val="en-GB"/>
          </w:rPr>
          <w:t>M.3041</w:t>
        </w:r>
      </w:hyperlink>
      <w:r w:rsidRPr="00A060FE">
        <w:rPr>
          <w:lang w:val="en-GB"/>
        </w:rPr>
        <w:t>)</w:t>
      </w:r>
      <w:r w:rsidRPr="00B64995">
        <w:rPr>
          <w:lang w:val="en-GB"/>
        </w:rPr>
        <w:t>. And they outline the requirements and benefits of synergy management for cloud and SDN-based networks, detailing its structure and the composition of the function set (</w:t>
      </w:r>
      <w:hyperlink r:id="rId214" w:history="1">
        <w:r w:rsidRPr="00B64995">
          <w:rPr>
            <w:rStyle w:val="Hyperlink"/>
            <w:lang w:val="en-GB"/>
          </w:rPr>
          <w:t>M.3373</w:t>
        </w:r>
      </w:hyperlink>
      <w:r w:rsidRPr="00A060FE">
        <w:rPr>
          <w:lang w:val="en-GB"/>
        </w:rPr>
        <w:t>).</w:t>
      </w:r>
    </w:p>
    <w:p w14:paraId="3DDE57FA" w14:textId="77777777" w:rsidR="00D57BC1" w:rsidRPr="00B64995" w:rsidRDefault="00D57BC1" w:rsidP="00D57BC1">
      <w:pPr>
        <w:pStyle w:val="ListParagraph"/>
        <w:numPr>
          <w:ilvl w:val="0"/>
          <w:numId w:val="4"/>
        </w:numPr>
        <w:jc w:val="both"/>
        <w:rPr>
          <w:lang w:val="en-GB"/>
        </w:rPr>
      </w:pPr>
      <w:r w:rsidRPr="00B64995">
        <w:rPr>
          <w:lang w:val="en-GB"/>
        </w:rPr>
        <w:t>Numbering misuse</w:t>
      </w:r>
      <w:r w:rsidRPr="00B64995">
        <w:rPr>
          <w:b/>
          <w:bCs/>
          <w:lang w:val="en-GB"/>
        </w:rPr>
        <w:t>:</w:t>
      </w:r>
      <w:r w:rsidRPr="00B64995">
        <w:rPr>
          <w:lang w:val="en-GB"/>
        </w:rPr>
        <w:t xml:space="preserve"> Revised guidelines for ITU-T action on reported misuse of E.164 number </w:t>
      </w:r>
      <w:r w:rsidRPr="0074433B">
        <w:rPr>
          <w:spacing w:val="-2"/>
          <w:lang w:val="en-GB"/>
        </w:rPr>
        <w:t>resources (</w:t>
      </w:r>
      <w:hyperlink r:id="rId215" w:history="1">
        <w:r w:rsidRPr="0074433B">
          <w:rPr>
            <w:rStyle w:val="Hyperlink"/>
            <w:spacing w:val="-2"/>
            <w:lang w:val="en-GB"/>
          </w:rPr>
          <w:t>E.156</w:t>
        </w:r>
      </w:hyperlink>
      <w:r w:rsidRPr="0074433B">
        <w:rPr>
          <w:spacing w:val="-2"/>
          <w:lang w:val="en-GB"/>
        </w:rPr>
        <w:t>) describe new cases of misuse and more efficient means of combating misuse.</w:t>
      </w:r>
    </w:p>
    <w:p w14:paraId="7B012CB7" w14:textId="15E1ED29" w:rsidR="00D57BC1" w:rsidRPr="00B64995" w:rsidRDefault="00D57BC1" w:rsidP="00D57BC1">
      <w:pPr>
        <w:pStyle w:val="ListParagraph"/>
        <w:numPr>
          <w:ilvl w:val="0"/>
          <w:numId w:val="4"/>
        </w:numPr>
        <w:autoSpaceDE w:val="0"/>
        <w:autoSpaceDN w:val="0"/>
        <w:adjustRightInd w:val="0"/>
        <w:spacing w:after="120"/>
        <w:jc w:val="both"/>
        <w:rPr>
          <w:rFonts w:eastAsiaTheme="minorEastAsia" w:cs="Calibri"/>
          <w:b/>
          <w:lang w:val="en-GB"/>
        </w:rPr>
      </w:pPr>
      <w:r w:rsidRPr="00B64995">
        <w:rPr>
          <w:lang w:val="en-GB"/>
        </w:rPr>
        <w:t>Codes for M2M/IoT and emergency services: A new Supplement defines criteria for assigning E.164 identification codes and E.212 Mobile Network Codes under shared MCCs for M2M/IoT services (</w:t>
      </w:r>
      <w:hyperlink r:id="rId216" w:history="1">
        <w:r w:rsidRPr="00B64995">
          <w:rPr>
            <w:rStyle w:val="Hyperlink"/>
            <w:lang w:val="en-GB"/>
          </w:rPr>
          <w:t>E.Suppl.11</w:t>
        </w:r>
      </w:hyperlink>
      <w:r w:rsidRPr="00A060FE">
        <w:rPr>
          <w:lang w:val="en-GB"/>
        </w:rPr>
        <w:t>). A new Technical report provides an overview of a technical solution for identifying the call location in support of emergency services (TR.CLE).</w:t>
      </w:r>
    </w:p>
    <w:p w14:paraId="2474C827" w14:textId="603787D2" w:rsidR="00FD2D50" w:rsidRPr="00B64995" w:rsidRDefault="005505C6" w:rsidP="00FD2D50">
      <w:pPr>
        <w:autoSpaceDE w:val="0"/>
        <w:autoSpaceDN w:val="0"/>
        <w:adjustRightInd w:val="0"/>
        <w:spacing w:after="120"/>
        <w:jc w:val="both"/>
        <w:rPr>
          <w:rFonts w:eastAsiaTheme="minorEastAsia"/>
          <w:b/>
        </w:rPr>
      </w:pPr>
      <w:r w:rsidRPr="00B64995">
        <w:rPr>
          <w:b/>
          <w:bCs/>
          <w:i/>
          <w:iCs/>
        </w:rPr>
        <w:t>Economic and policy issues</w:t>
      </w:r>
    </w:p>
    <w:p w14:paraId="1952FDAC" w14:textId="37F3F007" w:rsidR="00734C10" w:rsidRPr="00B64995" w:rsidRDefault="00CB4143" w:rsidP="00DA7D9A">
      <w:pPr>
        <w:pStyle w:val="ListParagraph"/>
        <w:numPr>
          <w:ilvl w:val="0"/>
          <w:numId w:val="62"/>
        </w:numPr>
        <w:autoSpaceDE w:val="0"/>
        <w:autoSpaceDN w:val="0"/>
        <w:adjustRightInd w:val="0"/>
        <w:spacing w:after="120"/>
        <w:jc w:val="both"/>
        <w:rPr>
          <w:lang w:val="en-GB"/>
        </w:rPr>
      </w:pPr>
      <w:r w:rsidRPr="00B64995">
        <w:rPr>
          <w:i/>
          <w:iCs/>
          <w:lang w:val="en-GB"/>
        </w:rPr>
        <w:t>OTTs, mobile financial services, digital ID</w:t>
      </w:r>
      <w:r w:rsidR="005505C6" w:rsidRPr="00B64995">
        <w:rPr>
          <w:lang w:val="en-GB"/>
        </w:rPr>
        <w:t xml:space="preserve"> </w:t>
      </w:r>
      <w:r w:rsidRPr="00B64995">
        <w:rPr>
          <w:lang w:val="en-GB"/>
        </w:rPr>
        <w:t xml:space="preserve">New </w:t>
      </w:r>
      <w:r w:rsidR="005505C6" w:rsidRPr="00B64995">
        <w:rPr>
          <w:lang w:val="en-GB"/>
        </w:rPr>
        <w:t>ITU standards address in particular the relationship between network operators and providers of over-the-top applications (</w:t>
      </w:r>
      <w:hyperlink r:id="rId217">
        <w:r w:rsidR="005505C6" w:rsidRPr="00B64995">
          <w:rPr>
            <w:rStyle w:val="Hyperlink"/>
            <w:lang w:val="en-GB"/>
          </w:rPr>
          <w:t>D.262</w:t>
        </w:r>
      </w:hyperlink>
      <w:r w:rsidR="005505C6" w:rsidRPr="00A060FE">
        <w:rPr>
          <w:lang w:val="en-GB"/>
        </w:rPr>
        <w:t>), competition in mobile financial services (</w:t>
      </w:r>
      <w:hyperlink r:id="rId218">
        <w:r w:rsidR="005505C6" w:rsidRPr="00B64995">
          <w:rPr>
            <w:rStyle w:val="Hyperlink"/>
            <w:lang w:val="en-GB"/>
          </w:rPr>
          <w:t>D.263</w:t>
        </w:r>
      </w:hyperlink>
      <w:r w:rsidR="005505C6" w:rsidRPr="00A060FE">
        <w:rPr>
          <w:lang w:val="en-GB"/>
        </w:rPr>
        <w:t>), and principles for a unified format of price/tariffs/rates-lists used for exchanging telephone tra</w:t>
      </w:r>
      <w:r w:rsidR="005505C6" w:rsidRPr="00B64995">
        <w:rPr>
          <w:lang w:val="en-GB"/>
        </w:rPr>
        <w:t>ffic (</w:t>
      </w:r>
      <w:hyperlink r:id="rId219">
        <w:r w:rsidR="005505C6" w:rsidRPr="00B64995">
          <w:rPr>
            <w:rStyle w:val="Hyperlink"/>
            <w:lang w:val="en-GB"/>
          </w:rPr>
          <w:t>D.198</w:t>
        </w:r>
      </w:hyperlink>
      <w:r w:rsidR="005505C6" w:rsidRPr="00A060FE">
        <w:rPr>
          <w:lang w:val="en-GB"/>
        </w:rPr>
        <w:t>)</w:t>
      </w:r>
      <w:r w:rsidR="00B90879" w:rsidRPr="00B64995">
        <w:rPr>
          <w:lang w:val="en-GB"/>
        </w:rPr>
        <w:t>;</w:t>
      </w:r>
      <w:r w:rsidR="001165F4" w:rsidRPr="00B64995">
        <w:rPr>
          <w:lang w:val="en-GB"/>
        </w:rPr>
        <w:t xml:space="preserve"> describe shared uses of telecommunication infrastructure as possible methods for enhancing the efficiency of telecommunications (</w:t>
      </w:r>
      <w:hyperlink r:id="rId220" w:history="1">
        <w:r w:rsidR="001165F4" w:rsidRPr="00B64995">
          <w:rPr>
            <w:rStyle w:val="Hyperlink"/>
            <w:lang w:val="en-GB"/>
          </w:rPr>
          <w:t>D.264</w:t>
        </w:r>
      </w:hyperlink>
      <w:r w:rsidR="001165F4" w:rsidRPr="00A060FE">
        <w:rPr>
          <w:lang w:val="en-GB"/>
        </w:rPr>
        <w:t>), optimizing terrestrial cable utilization across multiple countries to boost regional and international connectivity (</w:t>
      </w:r>
      <w:hyperlink r:id="rId221" w:history="1">
        <w:r w:rsidR="001165F4" w:rsidRPr="00B64995">
          <w:rPr>
            <w:rStyle w:val="Hyperlink"/>
            <w:lang w:val="en-GB"/>
          </w:rPr>
          <w:t>D.265</w:t>
        </w:r>
      </w:hyperlink>
      <w:r w:rsidR="001165F4" w:rsidRPr="00A060FE">
        <w:rPr>
          <w:lang w:val="en-GB"/>
        </w:rPr>
        <w:t>), an enabling environment for voluntary commercial arrangements between telecommunications network operators and over-the-top application providers (</w:t>
      </w:r>
      <w:hyperlink r:id="rId222" w:history="1">
        <w:r w:rsidR="001165F4" w:rsidRPr="00B64995">
          <w:rPr>
            <w:rStyle w:val="Hyperlink"/>
            <w:lang w:val="en-GB"/>
          </w:rPr>
          <w:t>D.266</w:t>
        </w:r>
      </w:hyperlink>
      <w:r w:rsidR="001165F4" w:rsidRPr="00A060FE">
        <w:rPr>
          <w:lang w:val="en-GB"/>
        </w:rPr>
        <w:t xml:space="preserve">), and a policy framework including principles for </w:t>
      </w:r>
      <w:r w:rsidR="001165F4" w:rsidRPr="00A060FE">
        <w:rPr>
          <w:lang w:val="en-GB"/>
        </w:rPr>
        <w:lastRenderedPageBreak/>
        <w:t>digital identity infrastructure (</w:t>
      </w:r>
      <w:hyperlink r:id="rId223" w:history="1">
        <w:r w:rsidR="001165F4" w:rsidRPr="00B64995">
          <w:rPr>
            <w:rStyle w:val="Hyperlink"/>
            <w:lang w:val="en-GB"/>
          </w:rPr>
          <w:t>D.267/X.1261</w:t>
        </w:r>
      </w:hyperlink>
      <w:r w:rsidR="001165F4" w:rsidRPr="00A060FE">
        <w:rPr>
          <w:lang w:val="en-GB"/>
        </w:rPr>
        <w:t>). A new Supplement describe</w:t>
      </w:r>
      <w:r w:rsidR="001165F4" w:rsidRPr="00B64995">
        <w:rPr>
          <w:lang w:val="en-GB"/>
        </w:rPr>
        <w:t xml:space="preserve">s principles for increased adoption and use of mobile financial services through effective consumer protection mechanisms </w:t>
      </w:r>
      <w:r w:rsidR="00734C10" w:rsidRPr="00B64995">
        <w:rPr>
          <w:lang w:val="en-GB"/>
        </w:rPr>
        <w:t>(</w:t>
      </w:r>
      <w:hyperlink r:id="rId224" w:history="1">
        <w:r w:rsidR="00734C10" w:rsidRPr="00B64995">
          <w:rPr>
            <w:rStyle w:val="Hyperlink"/>
            <w:lang w:val="en-GB"/>
          </w:rPr>
          <w:t>D.Suppl.4</w:t>
        </w:r>
      </w:hyperlink>
      <w:r w:rsidR="00734C10" w:rsidRPr="00A060FE">
        <w:rPr>
          <w:lang w:val="en-GB"/>
        </w:rPr>
        <w:t>)</w:t>
      </w:r>
      <w:r w:rsidR="008A2F98" w:rsidRPr="00B64995">
        <w:rPr>
          <w:lang w:val="en-GB"/>
        </w:rPr>
        <w:t>.</w:t>
      </w:r>
    </w:p>
    <w:p w14:paraId="4AB6821C" w14:textId="12A32F1C" w:rsidR="00734C10" w:rsidRPr="00B64995" w:rsidRDefault="00734C10" w:rsidP="00734C10">
      <w:pPr>
        <w:autoSpaceDE w:val="0"/>
        <w:autoSpaceDN w:val="0"/>
        <w:adjustRightInd w:val="0"/>
        <w:spacing w:after="120"/>
        <w:jc w:val="both"/>
        <w:rPr>
          <w:rFonts w:eastAsiaTheme="minorEastAsia"/>
          <w:b/>
        </w:rPr>
      </w:pPr>
      <w:r w:rsidRPr="00B64995">
        <w:rPr>
          <w:rFonts w:eastAsiaTheme="minorEastAsia"/>
          <w:b/>
        </w:rPr>
        <w:t>Protocols and test specs</w:t>
      </w:r>
    </w:p>
    <w:p w14:paraId="2CD05EF7" w14:textId="25AE313B" w:rsidR="005505C6" w:rsidRPr="00B64995" w:rsidRDefault="00734C10" w:rsidP="003C7FD5">
      <w:pPr>
        <w:pStyle w:val="ListParagraph"/>
        <w:rPr>
          <w:rFonts w:eastAsiaTheme="minorEastAsia"/>
          <w:b/>
          <w:lang w:val="en-GB"/>
        </w:rPr>
      </w:pPr>
      <w:r w:rsidRPr="00B64995">
        <w:t xml:space="preserve">Emergency telecommunications: A new ITU standard defines a </w:t>
      </w:r>
      <w:proofErr w:type="spellStart"/>
      <w:r w:rsidRPr="00B64995">
        <w:t>s</w:t>
      </w:r>
      <w:r w:rsidRPr="00B64995">
        <w:rPr>
          <w:bCs/>
        </w:rPr>
        <w:t>ignalling</w:t>
      </w:r>
      <w:proofErr w:type="spellEnd"/>
      <w:r w:rsidRPr="00B64995">
        <w:rPr>
          <w:bCs/>
        </w:rPr>
        <w:t xml:space="preserve"> architecture of the fast deployment emergency telecommunication network to be used in a natural disaster (</w:t>
      </w:r>
      <w:hyperlink r:id="rId225" w:history="1">
        <w:r w:rsidRPr="00B64995">
          <w:rPr>
            <w:bCs/>
            <w:color w:val="0000FF"/>
            <w:u w:val="single"/>
          </w:rPr>
          <w:t>Q.3060</w:t>
        </w:r>
      </w:hyperlink>
      <w:r w:rsidRPr="00A060FE">
        <w:rPr>
          <w:rFonts w:eastAsiaTheme="minorHAnsi" w:cs="Calibri"/>
          <w:bCs/>
          <w:lang w:val="en-GB" w:eastAsia="en-US"/>
        </w:rPr>
        <w:t>).</w:t>
      </w:r>
      <w:r w:rsidRPr="00B64995">
        <w:t xml:space="preserve"> </w:t>
      </w:r>
      <w:r w:rsidR="005505C6" w:rsidRPr="00B64995">
        <w:rPr>
          <w:i/>
          <w:iCs/>
        </w:rPr>
        <w:t>Combatting counterfeiting</w:t>
      </w:r>
      <w:r w:rsidR="00E02326" w:rsidRPr="00B64995">
        <w:rPr>
          <w:i/>
          <w:iCs/>
        </w:rPr>
        <w:t xml:space="preserve"> and mobile device theft</w:t>
      </w:r>
      <w:r w:rsidR="005505C6" w:rsidRPr="00B64995">
        <w:t xml:space="preserve">: </w:t>
      </w:r>
      <w:r w:rsidR="00E02326" w:rsidRPr="00B64995">
        <w:t>N</w:t>
      </w:r>
      <w:r w:rsidR="005505C6" w:rsidRPr="00B64995">
        <w:t>ew ITU standard</w:t>
      </w:r>
      <w:r w:rsidR="00E02326" w:rsidRPr="00B64995">
        <w:t>s</w:t>
      </w:r>
      <w:r w:rsidR="005505C6" w:rsidRPr="00B64995">
        <w:t xml:space="preserve"> describe a framework for solutions to combat counterfeit ICT devices, providing the reference framework and requirements to be considered when deploying solutions to combat the circulation and use of counterfeit ICT devices (</w:t>
      </w:r>
      <w:hyperlink r:id="rId226">
        <w:r w:rsidR="005505C6" w:rsidRPr="00B64995">
          <w:rPr>
            <w:rStyle w:val="Hyperlink"/>
          </w:rPr>
          <w:t>Q.5050</w:t>
        </w:r>
      </w:hyperlink>
      <w:r w:rsidR="005505C6" w:rsidRPr="00A060FE">
        <w:rPr>
          <w:rFonts w:cs="Calibri"/>
          <w:lang w:val="en-GB"/>
        </w:rPr>
        <w:t>)</w:t>
      </w:r>
      <w:r w:rsidR="00B90879" w:rsidRPr="00B64995">
        <w:t>;</w:t>
      </w:r>
      <w:r w:rsidR="00436EB9" w:rsidRPr="00B64995">
        <w:t xml:space="preserve"> provide a framework for combating the use of stolen mobile devices (</w:t>
      </w:r>
      <w:hyperlink r:id="rId227" w:history="1">
        <w:r w:rsidR="00436EB9" w:rsidRPr="00B64995">
          <w:rPr>
            <w:rStyle w:val="Hyperlink"/>
          </w:rPr>
          <w:t>Q.5051</w:t>
        </w:r>
      </w:hyperlink>
      <w:r w:rsidR="00436EB9" w:rsidRPr="00A060FE">
        <w:rPr>
          <w:lang w:val="en-GB"/>
        </w:rPr>
        <w:t xml:space="preserve">) addresses mobile devices with duplicate unique </w:t>
      </w:r>
      <w:proofErr w:type="spellStart"/>
      <w:r w:rsidR="00436EB9" w:rsidRPr="00A060FE">
        <w:rPr>
          <w:lang w:val="en-GB"/>
        </w:rPr>
        <w:t>identif</w:t>
      </w:r>
      <w:r w:rsidR="00436EB9" w:rsidRPr="00B64995">
        <w:t>ier</w:t>
      </w:r>
      <w:proofErr w:type="spellEnd"/>
      <w:r w:rsidR="00436EB9" w:rsidRPr="00B64995">
        <w:t xml:space="preserve"> (</w:t>
      </w:r>
      <w:hyperlink r:id="rId228" w:history="1">
        <w:r w:rsidR="00436EB9" w:rsidRPr="00B64995">
          <w:rPr>
            <w:rStyle w:val="Hyperlink"/>
          </w:rPr>
          <w:t>Q.5052</w:t>
        </w:r>
      </w:hyperlink>
      <w:r w:rsidR="00436EB9" w:rsidRPr="00A060FE">
        <w:rPr>
          <w:lang w:val="en-GB"/>
        </w:rPr>
        <w:t>) describes mobile device access list audit interface (</w:t>
      </w:r>
      <w:hyperlink r:id="rId229" w:history="1">
        <w:r w:rsidR="00436EB9" w:rsidRPr="00B64995">
          <w:rPr>
            <w:rStyle w:val="Hyperlink"/>
          </w:rPr>
          <w:t>Q.5053</w:t>
        </w:r>
      </w:hyperlink>
      <w:r w:rsidR="00436EB9" w:rsidRPr="00A060FE">
        <w:rPr>
          <w:lang w:val="en-GB"/>
        </w:rPr>
        <w:t>). Two n</w:t>
      </w:r>
      <w:proofErr w:type="spellStart"/>
      <w:r w:rsidR="00436EB9" w:rsidRPr="00B64995">
        <w:t>ew</w:t>
      </w:r>
      <w:proofErr w:type="spellEnd"/>
      <w:r w:rsidR="00436EB9" w:rsidRPr="00B64995">
        <w:t xml:space="preserve"> technical reports study the reliability of IMEI (QTR-RLB-IMEI), and a survey on counterfeit ICT devices in Africa region</w:t>
      </w:r>
      <w:r w:rsidR="00436EB9" w:rsidRPr="00B64995" w:rsidDel="00B10887">
        <w:t xml:space="preserve"> </w:t>
      </w:r>
      <w:r w:rsidR="00436EB9" w:rsidRPr="00B64995">
        <w:t>(QTR-CICT)</w:t>
      </w:r>
      <w:r w:rsidR="008A2F98" w:rsidRPr="00B64995">
        <w:t>.</w:t>
      </w:r>
    </w:p>
    <w:p w14:paraId="27496739" w14:textId="77777777" w:rsidR="001D2D4A" w:rsidRPr="00B64995" w:rsidRDefault="001D2D4A" w:rsidP="001D2D4A">
      <w:pPr>
        <w:pStyle w:val="ListParagraph"/>
        <w:numPr>
          <w:ilvl w:val="0"/>
          <w:numId w:val="4"/>
        </w:numPr>
        <w:jc w:val="both"/>
        <w:rPr>
          <w:lang w:val="en-GB"/>
        </w:rPr>
      </w:pPr>
      <w:r w:rsidRPr="00B64995">
        <w:rPr>
          <w:i/>
          <w:iCs/>
          <w:lang w:val="en-GB"/>
        </w:rPr>
        <w:t>Protocols</w:t>
      </w:r>
      <w:r w:rsidRPr="00B64995">
        <w:rPr>
          <w:b/>
          <w:bCs/>
          <w:lang w:val="en-GB"/>
        </w:rPr>
        <w:t xml:space="preserve">: </w:t>
      </w:r>
      <w:r w:rsidRPr="00B64995">
        <w:rPr>
          <w:lang w:val="en-GB"/>
        </w:rPr>
        <w:t xml:space="preserve">New ITU standards address a signalling architecture of orchestration in </w:t>
      </w:r>
      <w:proofErr w:type="spellStart"/>
      <w:r w:rsidRPr="00B64995">
        <w:rPr>
          <w:lang w:val="en-GB"/>
        </w:rPr>
        <w:t>NGNe</w:t>
      </w:r>
      <w:proofErr w:type="spellEnd"/>
      <w:r w:rsidRPr="00B64995">
        <w:rPr>
          <w:lang w:val="en-GB"/>
        </w:rPr>
        <w:t xml:space="preserve"> (</w:t>
      </w:r>
      <w:hyperlink r:id="rId230" w:history="1">
        <w:r w:rsidRPr="00B64995">
          <w:rPr>
            <w:rStyle w:val="Hyperlink"/>
            <w:lang w:val="en-GB"/>
          </w:rPr>
          <w:t>Q.3058</w:t>
        </w:r>
      </w:hyperlink>
      <w:r w:rsidRPr="00A060FE">
        <w:rPr>
          <w:lang w:val="en-GB"/>
        </w:rPr>
        <w:t>), a protocol at the interface between two distributed ENUM servers for IMS (</w:t>
      </w:r>
      <w:hyperlink r:id="rId231" w:history="1">
        <w:r w:rsidRPr="00B64995">
          <w:rPr>
            <w:rStyle w:val="Hyperlink"/>
            <w:lang w:val="en-GB"/>
          </w:rPr>
          <w:t>Q.3645</w:t>
        </w:r>
      </w:hyperlink>
      <w:r w:rsidRPr="00A060FE">
        <w:rPr>
          <w:lang w:val="en-GB"/>
        </w:rPr>
        <w:t>), a signalling architecture of the fast deployment emergency telecommunication network to be used in a natural disaster (</w:t>
      </w:r>
      <w:hyperlink r:id="rId232" w:history="1">
        <w:r w:rsidRPr="00B64995">
          <w:rPr>
            <w:rStyle w:val="Hyperlink"/>
            <w:lang w:val="en-GB"/>
          </w:rPr>
          <w:t>Q.3060</w:t>
        </w:r>
      </w:hyperlink>
      <w:r w:rsidRPr="00A060FE">
        <w:rPr>
          <w:lang w:val="en-GB"/>
        </w:rPr>
        <w:t>), signalling requirements for service function discovery (</w:t>
      </w:r>
      <w:hyperlink r:id="rId233" w:history="1">
        <w:r w:rsidRPr="00B64995">
          <w:rPr>
            <w:rStyle w:val="Hyperlink"/>
            <w:lang w:val="en-GB"/>
          </w:rPr>
          <w:t>Q.3059</w:t>
        </w:r>
      </w:hyperlink>
      <w:r w:rsidRPr="00A060FE">
        <w:rPr>
          <w:lang w:val="en-GB"/>
        </w:rPr>
        <w:t xml:space="preserve">), and procedures for </w:t>
      </w:r>
      <w:proofErr w:type="spellStart"/>
      <w:r w:rsidRPr="00A060FE">
        <w:rPr>
          <w:lang w:val="en-GB"/>
        </w:rPr>
        <w:t>vBNG</w:t>
      </w:r>
      <w:proofErr w:type="spellEnd"/>
      <w:r w:rsidRPr="00A060FE">
        <w:rPr>
          <w:lang w:val="en-GB"/>
        </w:rPr>
        <w:t xml:space="preserve"> acceleration with programmable acceleration card (</w:t>
      </w:r>
      <w:hyperlink r:id="rId234" w:history="1">
        <w:r w:rsidRPr="00B64995">
          <w:rPr>
            <w:rStyle w:val="Hyperlink"/>
            <w:lang w:val="en-GB"/>
          </w:rPr>
          <w:t>Q.3720</w:t>
        </w:r>
      </w:hyperlink>
      <w:r w:rsidRPr="00A060FE">
        <w:rPr>
          <w:lang w:val="en-GB"/>
        </w:rPr>
        <w:t>), signalling for distributed infrastructure ENUM networking for IMS (</w:t>
      </w:r>
      <w:hyperlink r:id="rId235" w:history="1">
        <w:r w:rsidRPr="00B64995">
          <w:rPr>
            <w:rStyle w:val="Hyperlink"/>
            <w:lang w:val="en-GB"/>
          </w:rPr>
          <w:t>Q.3643</w:t>
        </w:r>
      </w:hyperlink>
      <w:r w:rsidRPr="00A060FE">
        <w:rPr>
          <w:lang w:val="en-GB"/>
        </w:rPr>
        <w:t>); signalling for IMS emergenc</w:t>
      </w:r>
      <w:r w:rsidRPr="00B64995">
        <w:rPr>
          <w:lang w:val="en-GB"/>
        </w:rPr>
        <w:t>y telecommunications (</w:t>
      </w:r>
      <w:hyperlink r:id="rId236" w:history="1">
        <w:r w:rsidRPr="00B64995">
          <w:rPr>
            <w:rStyle w:val="Hyperlink"/>
            <w:lang w:val="en-GB"/>
          </w:rPr>
          <w:t>Q.Suppl.72</w:t>
        </w:r>
      </w:hyperlink>
      <w:r w:rsidRPr="00A060FE">
        <w:rPr>
          <w:lang w:val="en-GB"/>
        </w:rPr>
        <w:t>). New ITU standards also address interconnection between trustable network entities (</w:t>
      </w:r>
      <w:hyperlink r:id="rId237" w:history="1">
        <w:r w:rsidRPr="00B64995">
          <w:rPr>
            <w:rStyle w:val="Hyperlink"/>
            <w:lang w:val="en-GB"/>
          </w:rPr>
          <w:t>Q.3057</w:t>
        </w:r>
      </w:hyperlink>
      <w:r w:rsidRPr="00A060FE">
        <w:rPr>
          <w:lang w:val="en-GB"/>
        </w:rPr>
        <w:t>), energy-efficient device-to-device communication for 5G (</w:t>
      </w:r>
      <w:hyperlink r:id="rId238" w:history="1">
        <w:r w:rsidRPr="00B64995">
          <w:rPr>
            <w:rStyle w:val="Hyperlink"/>
            <w:lang w:val="en-GB"/>
          </w:rPr>
          <w:t>Q.5022</w:t>
        </w:r>
      </w:hyperlink>
      <w:r w:rsidRPr="00A060FE">
        <w:rPr>
          <w:lang w:val="en-GB"/>
        </w:rPr>
        <w:t>), time constraint IoT-based applications over SDN (</w:t>
      </w:r>
      <w:hyperlink r:id="rId239" w:history="1">
        <w:r w:rsidRPr="00B64995">
          <w:rPr>
            <w:rStyle w:val="Hyperlink"/>
            <w:lang w:val="en-GB"/>
          </w:rPr>
          <w:t>Q.3745</w:t>
        </w:r>
      </w:hyperlink>
      <w:r w:rsidRPr="00A060FE">
        <w:rPr>
          <w:lang w:val="en-GB"/>
        </w:rPr>
        <w:t>), managed P2P communications (Q.609.5, Q.609.9, Q.609.10) and hybrid P2P communications (</w:t>
      </w:r>
      <w:hyperlink r:id="rId240" w:history="1">
        <w:r w:rsidRPr="00B64995">
          <w:rPr>
            <w:rStyle w:val="Hyperlink"/>
            <w:lang w:val="en-GB"/>
          </w:rPr>
          <w:t>Q.4100</w:t>
        </w:r>
      </w:hyperlink>
      <w:r w:rsidRPr="00A060FE">
        <w:rPr>
          <w:lang w:val="en-GB"/>
        </w:rPr>
        <w:t>).</w:t>
      </w:r>
    </w:p>
    <w:p w14:paraId="54643D32" w14:textId="4609BBB1" w:rsidR="00D01D2B" w:rsidRPr="00B64995" w:rsidRDefault="001D2D4A" w:rsidP="001D2D4A">
      <w:pPr>
        <w:pStyle w:val="ListParagraph"/>
        <w:numPr>
          <w:ilvl w:val="0"/>
          <w:numId w:val="4"/>
        </w:numPr>
        <w:autoSpaceDE w:val="0"/>
        <w:autoSpaceDN w:val="0"/>
        <w:adjustRightInd w:val="0"/>
        <w:spacing w:after="120"/>
        <w:jc w:val="both"/>
        <w:rPr>
          <w:rFonts w:eastAsiaTheme="minorEastAsia" w:cs="Calibri"/>
          <w:b/>
          <w:lang w:val="en-GB"/>
        </w:rPr>
      </w:pPr>
      <w:r w:rsidRPr="00B64995">
        <w:rPr>
          <w:i/>
          <w:iCs/>
          <w:lang w:val="en-GB"/>
        </w:rPr>
        <w:t>Test specifications</w:t>
      </w:r>
      <w:r w:rsidRPr="00B64995">
        <w:rPr>
          <w:b/>
          <w:bCs/>
          <w:lang w:val="en-GB"/>
        </w:rPr>
        <w:t>:</w:t>
      </w:r>
      <w:r w:rsidRPr="00B64995">
        <w:rPr>
          <w:lang w:val="en-GB"/>
        </w:rPr>
        <w:t xml:space="preserve"> New ITU standards address the compatibility testing of SDN-based equipment using OpenFlow protocol (</w:t>
      </w:r>
      <w:hyperlink r:id="rId241" w:history="1">
        <w:r w:rsidRPr="00B64995">
          <w:rPr>
            <w:rStyle w:val="Hyperlink"/>
            <w:lang w:val="en-GB"/>
          </w:rPr>
          <w:t>Q.3963</w:t>
        </w:r>
      </w:hyperlink>
      <w:r w:rsidRPr="00A060FE">
        <w:rPr>
          <w:lang w:val="en-GB"/>
        </w:rPr>
        <w:t>); provide testing procedures for augmented reality applications (</w:t>
      </w:r>
      <w:hyperlink r:id="rId242" w:history="1">
        <w:r w:rsidRPr="00B64995">
          <w:rPr>
            <w:rStyle w:val="Hyperlink"/>
            <w:lang w:val="en-GB"/>
          </w:rPr>
          <w:t>Q.4066</w:t>
        </w:r>
      </w:hyperlink>
      <w:r w:rsidRPr="00A060FE">
        <w:rPr>
          <w:lang w:val="en-GB"/>
        </w:rPr>
        <w:t>), a framework for IoT testing (</w:t>
      </w:r>
      <w:hyperlink r:id="rId243" w:history="1">
        <w:r w:rsidRPr="00B64995">
          <w:rPr>
            <w:rStyle w:val="Hyperlink"/>
            <w:lang w:val="en-GB"/>
          </w:rPr>
          <w:t>Q.4062</w:t>
        </w:r>
      </w:hyperlink>
      <w:r w:rsidRPr="00A060FE">
        <w:rPr>
          <w:lang w:val="en-GB"/>
        </w:rPr>
        <w:t>), a framework for the testing of identification systems used in IoT (</w:t>
      </w:r>
      <w:hyperlink r:id="rId244" w:history="1">
        <w:r w:rsidRPr="00B64995">
          <w:rPr>
            <w:rStyle w:val="Hyperlink"/>
            <w:lang w:val="en-GB"/>
          </w:rPr>
          <w:t>Q.4063</w:t>
        </w:r>
      </w:hyperlink>
      <w:r w:rsidRPr="00A060FE">
        <w:rPr>
          <w:lang w:val="en-GB"/>
        </w:rPr>
        <w:t>), interoperability testing requirements of virtual Broadband Network Gateway (</w:t>
      </w:r>
      <w:hyperlink r:id="rId245" w:history="1">
        <w:r w:rsidRPr="00B64995">
          <w:rPr>
            <w:rStyle w:val="Hyperlink"/>
            <w:lang w:val="en-GB"/>
          </w:rPr>
          <w:t>Q.4064</w:t>
        </w:r>
      </w:hyperlink>
      <w:r w:rsidRPr="00A060FE">
        <w:rPr>
          <w:lang w:val="en-GB"/>
        </w:rPr>
        <w:t>), parameters of virtual broadba</w:t>
      </w:r>
      <w:r w:rsidRPr="00B64995">
        <w:rPr>
          <w:lang w:val="en-GB"/>
        </w:rPr>
        <w:t>nd network gateway (</w:t>
      </w:r>
      <w:proofErr w:type="spellStart"/>
      <w:r w:rsidRPr="00B64995">
        <w:rPr>
          <w:lang w:val="en-GB"/>
        </w:rPr>
        <w:t>vBNG</w:t>
      </w:r>
      <w:proofErr w:type="spellEnd"/>
      <w:r w:rsidRPr="00B64995">
        <w:rPr>
          <w:lang w:val="en-GB"/>
        </w:rPr>
        <w:t>) for monitoring (</w:t>
      </w:r>
      <w:hyperlink r:id="rId246" w:history="1">
        <w:r w:rsidRPr="00B64995">
          <w:rPr>
            <w:rStyle w:val="Hyperlink"/>
            <w:lang w:val="en-GB"/>
          </w:rPr>
          <w:t>Q.3915</w:t>
        </w:r>
      </w:hyperlink>
      <w:r w:rsidRPr="00A060FE">
        <w:rPr>
          <w:lang w:val="en-GB"/>
        </w:rPr>
        <w:t>), parameters for evaluating bottlenecks in web-browsing service (</w:t>
      </w:r>
      <w:hyperlink r:id="rId247" w:history="1">
        <w:r w:rsidRPr="00B64995">
          <w:rPr>
            <w:rStyle w:val="Hyperlink"/>
            <w:lang w:val="en-GB"/>
          </w:rPr>
          <w:t>Q.3961</w:t>
        </w:r>
      </w:hyperlink>
      <w:r w:rsidRPr="00A060FE">
        <w:rPr>
          <w:lang w:val="en-GB"/>
        </w:rPr>
        <w:t xml:space="preserve">), and </w:t>
      </w:r>
      <w:proofErr w:type="spellStart"/>
      <w:r w:rsidRPr="00A060FE">
        <w:rPr>
          <w:lang w:val="en-GB"/>
        </w:rPr>
        <w:t>vBNG</w:t>
      </w:r>
      <w:proofErr w:type="spellEnd"/>
      <w:r w:rsidRPr="00A060FE">
        <w:rPr>
          <w:lang w:val="en-GB"/>
        </w:rPr>
        <w:t xml:space="preserve"> interoperability testing requirements (</w:t>
      </w:r>
      <w:hyperlink r:id="rId248" w:history="1">
        <w:r w:rsidRPr="00B64995">
          <w:rPr>
            <w:rStyle w:val="Hyperlink"/>
            <w:lang w:val="en-GB"/>
          </w:rPr>
          <w:t>Q.4064</w:t>
        </w:r>
      </w:hyperlink>
      <w:r w:rsidRPr="00A060FE">
        <w:rPr>
          <w:lang w:val="en-GB"/>
        </w:rPr>
        <w:t>).</w:t>
      </w:r>
    </w:p>
    <w:p w14:paraId="56664A1F" w14:textId="77777777" w:rsidR="004E219F" w:rsidRPr="00B64995" w:rsidRDefault="004E219F" w:rsidP="0074433B">
      <w:pPr>
        <w:jc w:val="both"/>
      </w:pPr>
    </w:p>
    <w:p w14:paraId="096AB481" w14:textId="678F47DA" w:rsidR="0049723A" w:rsidRPr="00B64995" w:rsidRDefault="00A87E26" w:rsidP="00614D53">
      <w:pPr>
        <w:spacing w:after="120"/>
        <w:jc w:val="both"/>
      </w:pPr>
      <w:r w:rsidRPr="00B64995">
        <w:t>The inclusivity of the ITU standardization platform is supported by ITU’s Bridging the Standardization Gap programme. Open platforms – such as ITU-T focus groups and collaboration initiatives like the AI for Good Global Summit</w:t>
      </w:r>
      <w:r w:rsidR="0022218E" w:rsidRPr="00B64995">
        <w:t xml:space="preserve"> (see </w:t>
      </w:r>
      <w:hyperlink w:anchor="AI_for_good" w:history="1">
        <w:r w:rsidR="0022218E" w:rsidRPr="00B64995">
          <w:rPr>
            <w:rStyle w:val="Hyperlink"/>
          </w:rPr>
          <w:t>description</w:t>
        </w:r>
      </w:hyperlink>
      <w:r w:rsidR="0022218E" w:rsidRPr="00A060FE">
        <w:t xml:space="preserve"> in </w:t>
      </w:r>
      <w:hyperlink w:anchor="Section_1_1" w:history="1">
        <w:r w:rsidR="007F05EB" w:rsidRPr="00B64995">
          <w:rPr>
            <w:rStyle w:val="Hyperlink"/>
          </w:rPr>
          <w:t>section</w:t>
        </w:r>
        <w:r w:rsidR="0022218E" w:rsidRPr="00B64995">
          <w:rPr>
            <w:rStyle w:val="Hyperlink"/>
          </w:rPr>
          <w:t xml:space="preserve"> 1.1</w:t>
        </w:r>
      </w:hyperlink>
      <w:r w:rsidR="0022218E" w:rsidRPr="00A060FE">
        <w:t>)</w:t>
      </w:r>
      <w:r w:rsidRPr="00B64995">
        <w:t>, the Financial Inclusion Global Initiative</w:t>
      </w:r>
      <w:r w:rsidR="004B2B7E" w:rsidRPr="00B64995">
        <w:t xml:space="preserve"> (see </w:t>
      </w:r>
      <w:hyperlink w:anchor="Resolution_204" w:history="1">
        <w:r w:rsidR="004B2B7E" w:rsidRPr="00B64995">
          <w:rPr>
            <w:rStyle w:val="Hyperlink"/>
          </w:rPr>
          <w:t>Annex 1, Resolution 204)</w:t>
        </w:r>
      </w:hyperlink>
      <w:r w:rsidR="00BE2DC7" w:rsidRPr="00A060FE">
        <w:t>, the Digital Currency Global Initiative</w:t>
      </w:r>
      <w:r w:rsidRPr="00B64995">
        <w:t xml:space="preserve"> </w:t>
      </w:r>
      <w:r w:rsidR="00A2598B" w:rsidRPr="00B64995">
        <w:t xml:space="preserve">(see </w:t>
      </w:r>
      <w:hyperlink w:anchor="Resolution_204" w:history="1">
        <w:r w:rsidR="00A2598B" w:rsidRPr="00B64995">
          <w:rPr>
            <w:rStyle w:val="Hyperlink"/>
          </w:rPr>
          <w:t>Annex 1, Resolution 204)</w:t>
        </w:r>
      </w:hyperlink>
      <w:r w:rsidR="00A2598B" w:rsidRPr="00A060FE">
        <w:t xml:space="preserve"> </w:t>
      </w:r>
      <w:r w:rsidR="005B4F66" w:rsidRPr="00B64995">
        <w:t xml:space="preserve">or </w:t>
      </w:r>
      <w:r w:rsidRPr="00B64995">
        <w:t>the United for Smart Sustainable Cities Initiative</w:t>
      </w:r>
      <w:r w:rsidR="004B2B7E" w:rsidRPr="00B64995">
        <w:t xml:space="preserve"> (see </w:t>
      </w:r>
      <w:r w:rsidR="007F05EB" w:rsidRPr="00B64995">
        <w:t>section</w:t>
      </w:r>
      <w:r w:rsidR="004B2B7E" w:rsidRPr="00B64995">
        <w:t xml:space="preserve"> 1.9)</w:t>
      </w:r>
      <w:r w:rsidRPr="00B64995">
        <w:t xml:space="preserve"> – support the development of new partnerships in emerging fields of ICT innovation and assist in clarifying the contributions expected of ITU standardization.</w:t>
      </w:r>
    </w:p>
    <w:p w14:paraId="62DF971C" w14:textId="7EC465AF" w:rsidR="655A0338" w:rsidRPr="00B64995" w:rsidRDefault="00A55499" w:rsidP="00614D53">
      <w:pPr>
        <w:spacing w:after="120"/>
        <w:jc w:val="both"/>
      </w:pPr>
      <w:r w:rsidRPr="00B64995">
        <w:t>The</w:t>
      </w:r>
      <w:r w:rsidR="002B5C5A" w:rsidRPr="00B64995">
        <w:t xml:space="preserve"> </w:t>
      </w:r>
      <w:r w:rsidRPr="00B64995">
        <w:t>World Telecommunication and Information Society Day</w:t>
      </w:r>
      <w:r w:rsidR="005B4F66" w:rsidRPr="00B64995">
        <w:t xml:space="preserve"> (WTIDS) took place in 2019 under the theme </w:t>
      </w:r>
      <w:hyperlink r:id="rId249" w:history="1">
        <w:r w:rsidRPr="00B64995">
          <w:rPr>
            <w:rStyle w:val="Hyperlink"/>
            <w:lang w:eastAsia="en-GB"/>
          </w:rPr>
          <w:t>"Bridging the Standardization Gap"</w:t>
        </w:r>
      </w:hyperlink>
      <w:r w:rsidRPr="00A060FE">
        <w:t xml:space="preserve">. More details can be found in </w:t>
      </w:r>
      <w:hyperlink w:anchor="Section_1_11" w:history="1">
        <w:r w:rsidR="007F05EB" w:rsidRPr="00B64995">
          <w:rPr>
            <w:rStyle w:val="Hyperlink"/>
          </w:rPr>
          <w:t>section</w:t>
        </w:r>
        <w:r w:rsidRPr="00B64995">
          <w:rPr>
            <w:rStyle w:val="Hyperlink"/>
          </w:rPr>
          <w:t xml:space="preserve"> 1.</w:t>
        </w:r>
        <w:r w:rsidR="009E2AAF" w:rsidRPr="00B64995">
          <w:rPr>
            <w:rStyle w:val="Hyperlink"/>
          </w:rPr>
          <w:t>11</w:t>
        </w:r>
      </w:hyperlink>
      <w:r w:rsidRPr="00A060FE">
        <w:t>.</w:t>
      </w:r>
    </w:p>
    <w:p w14:paraId="40687665" w14:textId="77777777" w:rsidR="004E219F" w:rsidRPr="00B64995" w:rsidRDefault="004E219F" w:rsidP="00614D53">
      <w:pPr>
        <w:spacing w:after="120"/>
        <w:jc w:val="both"/>
        <w:rPr>
          <w:rFonts w:eastAsia="Calibri"/>
          <w:b/>
        </w:rPr>
      </w:pPr>
    </w:p>
    <w:p w14:paraId="67479BF2" w14:textId="17194B3F" w:rsidR="68B4D967" w:rsidRPr="00B64995" w:rsidRDefault="68B4D967" w:rsidP="00A83DAA">
      <w:pPr>
        <w:pStyle w:val="Heading5"/>
      </w:pPr>
      <w:r w:rsidRPr="00B64995">
        <w:t>ITU-R Recommendations</w:t>
      </w:r>
    </w:p>
    <w:p w14:paraId="79DBA180" w14:textId="77777777" w:rsidR="0049723A" w:rsidRPr="00B64995" w:rsidRDefault="00B00159" w:rsidP="00B00159">
      <w:pPr>
        <w:jc w:val="both"/>
        <w:rPr>
          <w:color w:val="000000" w:themeColor="text1"/>
        </w:rPr>
      </w:pPr>
      <w:r w:rsidRPr="00B64995">
        <w:rPr>
          <w:color w:val="000000" w:themeColor="text1"/>
        </w:rPr>
        <w:t xml:space="preserve">The ITU Radiocommunication Sector (ITU-R) plays a vital role in the global management of the radio-frequency spectrum and satellite orbits, limited natural resources which are increasingly in demand from a large and growing number of services such as fixed, mobile, broadcasting, amateur, space </w:t>
      </w:r>
      <w:r w:rsidRPr="00B64995">
        <w:rPr>
          <w:color w:val="000000" w:themeColor="text1"/>
        </w:rPr>
        <w:lastRenderedPageBreak/>
        <w:t xml:space="preserve">research, emergency telecommunications, meteorology, global positioning systems, environmental </w:t>
      </w:r>
      <w:proofErr w:type="gramStart"/>
      <w:r w:rsidRPr="00B64995">
        <w:rPr>
          <w:color w:val="000000" w:themeColor="text1"/>
        </w:rPr>
        <w:t>monitoring</w:t>
      </w:r>
      <w:proofErr w:type="gramEnd"/>
      <w:r w:rsidRPr="00B64995">
        <w:rPr>
          <w:color w:val="000000" w:themeColor="text1"/>
        </w:rPr>
        <w:t xml:space="preserve"> and communication services.</w:t>
      </w:r>
    </w:p>
    <w:p w14:paraId="42A55997" w14:textId="0A084214" w:rsidR="00B00159" w:rsidRPr="00B64995" w:rsidRDefault="00B00159" w:rsidP="00B00159">
      <w:pPr>
        <w:jc w:val="both"/>
        <w:rPr>
          <w:color w:val="000000" w:themeColor="text1"/>
        </w:rPr>
      </w:pPr>
    </w:p>
    <w:p w14:paraId="63B17656" w14:textId="311DDDD0" w:rsidR="0049723A" w:rsidRPr="00B64995" w:rsidRDefault="00B00159" w:rsidP="00614D53">
      <w:pPr>
        <w:jc w:val="both"/>
        <w:rPr>
          <w:color w:val="000000" w:themeColor="text1"/>
        </w:rPr>
      </w:pPr>
      <w:r w:rsidRPr="00B64995">
        <w:rPr>
          <w:color w:val="000000" w:themeColor="text1"/>
        </w:rPr>
        <w:t xml:space="preserve">The main activities related to spectrum and orbit regulation and management </w:t>
      </w:r>
      <w:proofErr w:type="gramStart"/>
      <w:r w:rsidRPr="00B64995">
        <w:rPr>
          <w:color w:val="000000" w:themeColor="text1"/>
        </w:rPr>
        <w:t>are can be</w:t>
      </w:r>
      <w:proofErr w:type="gramEnd"/>
      <w:r w:rsidRPr="00B64995">
        <w:rPr>
          <w:color w:val="000000" w:themeColor="text1"/>
        </w:rPr>
        <w:t xml:space="preserve"> found throughout this document as follows. </w:t>
      </w:r>
      <w:r w:rsidR="007F05EB" w:rsidRPr="00B64995">
        <w:rPr>
          <w:rStyle w:val="Hyperlink"/>
        </w:rPr>
        <w:t>section</w:t>
      </w:r>
      <w:r w:rsidRPr="00B64995">
        <w:rPr>
          <w:rStyle w:val="Hyperlink"/>
        </w:rPr>
        <w:t xml:space="preserve"> 1.1</w:t>
      </w:r>
      <w:r w:rsidRPr="00B64995">
        <w:rPr>
          <w:color w:val="000000" w:themeColor="text1"/>
        </w:rPr>
        <w:t xml:space="preserve"> above contains key outcomes of WRC-19 and RA-19. This section encompasses the results of the processing of space and terrestrial notices, the software developments and capacity building events to support developing countries. Additional capacity building events can be found under </w:t>
      </w:r>
      <w:hyperlink w:anchor="Section_1_10" w:history="1">
        <w:r w:rsidR="007F05EB" w:rsidRPr="00B64995">
          <w:rPr>
            <w:rStyle w:val="Hyperlink"/>
          </w:rPr>
          <w:t>section</w:t>
        </w:r>
        <w:r w:rsidR="00F0533E" w:rsidRPr="00B64995">
          <w:rPr>
            <w:rStyle w:val="Hyperlink"/>
          </w:rPr>
          <w:t xml:space="preserve"> 1.10</w:t>
        </w:r>
      </w:hyperlink>
      <w:r w:rsidRPr="00B64995">
        <w:rPr>
          <w:color w:val="000000" w:themeColor="text1"/>
        </w:rPr>
        <w:t xml:space="preserve">. The output of the standardization work that takes place within ITU-R Study Groups and the ITU-R Recommendations approved in 2019 </w:t>
      </w:r>
      <w:r w:rsidR="00B97861" w:rsidRPr="00B64995">
        <w:rPr>
          <w:color w:val="000000" w:themeColor="text1"/>
        </w:rPr>
        <w:t xml:space="preserve">and 2020 </w:t>
      </w:r>
      <w:r w:rsidRPr="00B64995">
        <w:rPr>
          <w:color w:val="000000" w:themeColor="text1"/>
        </w:rPr>
        <w:t xml:space="preserve">are listed under </w:t>
      </w:r>
      <w:r w:rsidR="007F05EB" w:rsidRPr="00B64995">
        <w:rPr>
          <w:rStyle w:val="Hyperlink"/>
        </w:rPr>
        <w:t>section</w:t>
      </w:r>
      <w:r w:rsidRPr="00B64995">
        <w:rPr>
          <w:rStyle w:val="Hyperlink"/>
        </w:rPr>
        <w:t xml:space="preserve"> 1.3</w:t>
      </w:r>
      <w:r w:rsidRPr="00B64995">
        <w:rPr>
          <w:color w:val="000000" w:themeColor="text1"/>
        </w:rPr>
        <w:t xml:space="preserve">. </w:t>
      </w:r>
      <w:r w:rsidR="007F05EB" w:rsidRPr="00B64995">
        <w:rPr>
          <w:rStyle w:val="Hyperlink"/>
        </w:rPr>
        <w:t>section</w:t>
      </w:r>
      <w:r w:rsidRPr="00B64995">
        <w:rPr>
          <w:rStyle w:val="Hyperlink"/>
        </w:rPr>
        <w:t xml:space="preserve"> 1.4</w:t>
      </w:r>
      <w:r w:rsidRPr="00B64995">
        <w:rPr>
          <w:color w:val="000000" w:themeColor="text1"/>
        </w:rPr>
        <w:t xml:space="preserve"> contains AI activities related to radiocommunications; </w:t>
      </w:r>
      <w:r w:rsidR="007F05EB" w:rsidRPr="00B64995">
        <w:rPr>
          <w:rStyle w:val="Hyperlink"/>
        </w:rPr>
        <w:t>section</w:t>
      </w:r>
      <w:r w:rsidRPr="00B64995">
        <w:rPr>
          <w:rStyle w:val="Hyperlink"/>
        </w:rPr>
        <w:t xml:space="preserve"> 1.9</w:t>
      </w:r>
      <w:r w:rsidRPr="00B64995">
        <w:rPr>
          <w:color w:val="000000" w:themeColor="text1"/>
        </w:rPr>
        <w:t xml:space="preserve"> lists some of partner organizations of the ITU-R and finally </w:t>
      </w:r>
      <w:r w:rsidR="007F05EB" w:rsidRPr="00B64995">
        <w:rPr>
          <w:rStyle w:val="Hyperlink"/>
        </w:rPr>
        <w:t>section</w:t>
      </w:r>
      <w:r w:rsidRPr="00B64995">
        <w:rPr>
          <w:rStyle w:val="Hyperlink"/>
        </w:rPr>
        <w:t xml:space="preserve"> 2</w:t>
      </w:r>
      <w:r w:rsidR="00B26600" w:rsidRPr="00B64995">
        <w:rPr>
          <w:rStyle w:val="Hyperlink"/>
        </w:rPr>
        <w:t>.1</w:t>
      </w:r>
      <w:r w:rsidRPr="00B64995">
        <w:rPr>
          <w:color w:val="000000" w:themeColor="text1"/>
        </w:rPr>
        <w:t xml:space="preserve"> lists the results of the Radio Regulations Board (RRB) and of the Technical Assistances provided by BR.</w:t>
      </w:r>
    </w:p>
    <w:p w14:paraId="62CE1570" w14:textId="304F0CF9" w:rsidR="004E219F" w:rsidRPr="00B64995" w:rsidRDefault="004E219F" w:rsidP="00614D53">
      <w:pPr>
        <w:jc w:val="both"/>
        <w:rPr>
          <w:color w:val="000000" w:themeColor="text1"/>
        </w:rPr>
      </w:pPr>
    </w:p>
    <w:p w14:paraId="3D82D7AE" w14:textId="1795A455" w:rsidR="005505C6" w:rsidRPr="00B64995" w:rsidRDefault="005505C6" w:rsidP="00614D53">
      <w:pPr>
        <w:jc w:val="both"/>
      </w:pPr>
    </w:p>
    <w:tbl>
      <w:tblPr>
        <w:tblStyle w:val="ListTable3-Accent1"/>
        <w:tblW w:w="9121" w:type="dxa"/>
        <w:tblLayout w:type="fixed"/>
        <w:tblLook w:val="01E0" w:firstRow="1" w:lastRow="1" w:firstColumn="1" w:lastColumn="1" w:noHBand="0" w:noVBand="0"/>
      </w:tblPr>
      <w:tblGrid>
        <w:gridCol w:w="4320"/>
        <w:gridCol w:w="4801"/>
      </w:tblGrid>
      <w:tr w:rsidR="00EA3CDE" w:rsidRPr="00B64995" w14:paraId="6869CFC8" w14:textId="77777777" w:rsidTr="006A390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20" w:type="dxa"/>
            <w:hideMark/>
          </w:tcPr>
          <w:p w14:paraId="07C9C00C" w14:textId="77777777" w:rsidR="00EA3CDE" w:rsidRPr="00B64995" w:rsidRDefault="00EA3CDE" w:rsidP="006A3906">
            <w:pPr>
              <w:jc w:val="center"/>
              <w:rPr>
                <w:b w:val="0"/>
                <w:bCs w:val="0"/>
              </w:rPr>
            </w:pPr>
            <w:r w:rsidRPr="00B64995">
              <w:t>Working Parties (WP)</w:t>
            </w:r>
          </w:p>
        </w:tc>
        <w:tc>
          <w:tcPr>
            <w:cnfStyle w:val="000100001000" w:firstRow="0" w:lastRow="0" w:firstColumn="0" w:lastColumn="1" w:oddVBand="0" w:evenVBand="0" w:oddHBand="0" w:evenHBand="0" w:firstRowFirstColumn="0" w:firstRowLastColumn="1" w:lastRowFirstColumn="0" w:lastRowLastColumn="0"/>
            <w:tcW w:w="4801" w:type="dxa"/>
            <w:hideMark/>
          </w:tcPr>
          <w:p w14:paraId="61D94CF2" w14:textId="61D34363"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val="0"/>
                <w:lang w:eastAsia="ja-JP"/>
              </w:rPr>
            </w:pPr>
            <w:r w:rsidRPr="00B64995">
              <w:rPr>
                <w:lang w:eastAsia="ja-JP"/>
              </w:rPr>
              <w:t xml:space="preserve">New or </w:t>
            </w:r>
            <w:r w:rsidR="008A2F98" w:rsidRPr="00B64995">
              <w:rPr>
                <w:lang w:eastAsia="ja-JP"/>
              </w:rPr>
              <w:t>r</w:t>
            </w:r>
            <w:r w:rsidRPr="00B64995">
              <w:t>evised ITU-R Recommendations</w:t>
            </w:r>
          </w:p>
        </w:tc>
      </w:tr>
      <w:tr w:rsidR="00EA3CDE" w:rsidRPr="00B64995" w14:paraId="6913BFFB"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3E550CC4"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1A - Spectrum engineering techniques</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5FD77E43"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SM.1138-3, SM.1448-1, SM.2110-1, SM.2129-0</w:t>
            </w:r>
          </w:p>
        </w:tc>
      </w:tr>
      <w:tr w:rsidR="00EA3CDE" w:rsidRPr="00B64995" w14:paraId="6C2CA980" w14:textId="77777777" w:rsidTr="006A3906">
        <w:tc>
          <w:tcPr>
            <w:cnfStyle w:val="001000000000" w:firstRow="0" w:lastRow="0" w:firstColumn="1" w:lastColumn="0" w:oddVBand="0" w:evenVBand="0" w:oddHBand="0" w:evenHBand="0" w:firstRowFirstColumn="0" w:firstRowLastColumn="0" w:lastRowFirstColumn="0" w:lastRowLastColumn="0"/>
            <w:tcW w:w="4320" w:type="dxa"/>
            <w:hideMark/>
          </w:tcPr>
          <w:p w14:paraId="35B8F2C0"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1C - Spectrum monitoring</w:t>
            </w:r>
          </w:p>
        </w:tc>
        <w:tc>
          <w:tcPr>
            <w:cnfStyle w:val="000100000000" w:firstRow="0" w:lastRow="0" w:firstColumn="0" w:lastColumn="1" w:oddVBand="0" w:evenVBand="0" w:oddHBand="0" w:evenHBand="0" w:firstRowFirstColumn="0" w:firstRowLastColumn="0" w:lastRowFirstColumn="0" w:lastRowLastColumn="0"/>
            <w:tcW w:w="4801" w:type="dxa"/>
            <w:hideMark/>
          </w:tcPr>
          <w:p w14:paraId="13457F2D" w14:textId="77777777" w:rsidR="00EA3CDE" w:rsidRPr="00A060FE"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SM.1054-1, SM.1268-5, SM.1392-2, SM.1875-3, SM.[FS-ACC]</w:t>
            </w:r>
            <w:r w:rsidRPr="00A060FE">
              <w:rPr>
                <w:rStyle w:val="FootnoteReference"/>
                <w:lang w:eastAsia="ja-JP"/>
              </w:rPr>
              <w:footnoteReference w:id="2"/>
            </w:r>
          </w:p>
        </w:tc>
      </w:tr>
      <w:tr w:rsidR="00EA3CDE" w:rsidRPr="00B64995" w14:paraId="6386336D"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086F90A2" w14:textId="77777777" w:rsidR="00EA3CDE" w:rsidRPr="00B64995" w:rsidRDefault="00EA3CDE" w:rsidP="006A3906">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40" w:after="40"/>
              <w:rPr>
                <w:b w:val="0"/>
                <w:bCs w:val="0"/>
              </w:rPr>
            </w:pPr>
            <w:r w:rsidRPr="00B64995">
              <w:t>WP 3J - Propagation fundamentals</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3B0C5784"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P.310-10, P.341-7, P.453</w:t>
            </w:r>
            <w:r w:rsidRPr="00B64995">
              <w:rPr>
                <w:lang w:eastAsia="ja-JP"/>
              </w:rPr>
              <w:noBreakHyphen/>
              <w:t>14, P.525-4, P.526</w:t>
            </w:r>
            <w:r w:rsidRPr="00B64995">
              <w:rPr>
                <w:lang w:eastAsia="ja-JP"/>
              </w:rPr>
              <w:noBreakHyphen/>
              <w:t>15, P.527-5, P.676</w:t>
            </w:r>
            <w:r w:rsidRPr="00B64995">
              <w:rPr>
                <w:lang w:eastAsia="ja-JP"/>
              </w:rPr>
              <w:noBreakHyphen/>
              <w:t>12, P.840</w:t>
            </w:r>
            <w:r w:rsidRPr="00B64995">
              <w:rPr>
                <w:lang w:eastAsia="ja-JP"/>
              </w:rPr>
              <w:noBreakHyphen/>
              <w:t>8, P.841</w:t>
            </w:r>
            <w:r w:rsidRPr="00B64995">
              <w:rPr>
                <w:lang w:eastAsia="ja-JP"/>
              </w:rPr>
              <w:noBreakHyphen/>
              <w:t>6, P.1057</w:t>
            </w:r>
            <w:r w:rsidRPr="00B64995">
              <w:rPr>
                <w:lang w:eastAsia="ja-JP"/>
              </w:rPr>
              <w:noBreakHyphen/>
              <w:t>6, P.1407</w:t>
            </w:r>
            <w:r w:rsidRPr="00B64995">
              <w:rPr>
                <w:lang w:eastAsia="ja-JP"/>
              </w:rPr>
              <w:noBreakHyphen/>
              <w:t>7, P.1511-2, P.1853-2</w:t>
            </w:r>
          </w:p>
        </w:tc>
      </w:tr>
      <w:tr w:rsidR="00EA3CDE" w:rsidRPr="00B64995" w14:paraId="2A58DA39" w14:textId="77777777" w:rsidTr="006A3906">
        <w:tc>
          <w:tcPr>
            <w:cnfStyle w:val="001000000000" w:firstRow="0" w:lastRow="0" w:firstColumn="1" w:lastColumn="0" w:oddVBand="0" w:evenVBand="0" w:oddHBand="0" w:evenHBand="0" w:firstRowFirstColumn="0" w:firstRowLastColumn="0" w:lastRowFirstColumn="0" w:lastRowLastColumn="0"/>
            <w:tcW w:w="4320" w:type="dxa"/>
            <w:hideMark/>
          </w:tcPr>
          <w:p w14:paraId="2E6FB996"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3K - Point-to-area propagation</w:t>
            </w:r>
          </w:p>
        </w:tc>
        <w:tc>
          <w:tcPr>
            <w:cnfStyle w:val="000100000000" w:firstRow="0" w:lastRow="0" w:firstColumn="0" w:lastColumn="1" w:oddVBand="0" w:evenVBand="0" w:oddHBand="0" w:evenHBand="0" w:firstRowFirstColumn="0" w:firstRowLastColumn="0" w:lastRowFirstColumn="0" w:lastRowLastColumn="0"/>
            <w:tcW w:w="4801" w:type="dxa"/>
            <w:hideMark/>
          </w:tcPr>
          <w:p w14:paraId="0F2F72EE"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P.528-4, P.1238-10, P.1411-10, P.1546-6, P.1812-5, P.1816-4, P.2109-1</w:t>
            </w:r>
          </w:p>
        </w:tc>
      </w:tr>
      <w:tr w:rsidR="00EA3CDE" w:rsidRPr="00B64995" w14:paraId="35A914C3"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2DB8744E"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3L - Ionospheric propagation and radio noise</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1852A5A3"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P.372-14, P.531-14, P.533</w:t>
            </w:r>
            <w:r w:rsidRPr="00B64995">
              <w:rPr>
                <w:lang w:eastAsia="ja-JP"/>
              </w:rPr>
              <w:noBreakHyphen/>
              <w:t>14</w:t>
            </w:r>
          </w:p>
        </w:tc>
      </w:tr>
      <w:tr w:rsidR="00EA3CDE" w:rsidRPr="00B64995" w14:paraId="6068B45E" w14:textId="77777777" w:rsidTr="006A3906">
        <w:tc>
          <w:tcPr>
            <w:cnfStyle w:val="001000000000" w:firstRow="0" w:lastRow="0" w:firstColumn="1" w:lastColumn="0" w:oddVBand="0" w:evenVBand="0" w:oddHBand="0" w:evenHBand="0" w:firstRowFirstColumn="0" w:firstRowLastColumn="0" w:lastRowFirstColumn="0" w:lastRowLastColumn="0"/>
            <w:tcW w:w="4320" w:type="dxa"/>
            <w:hideMark/>
          </w:tcPr>
          <w:p w14:paraId="328E5FAC"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3M - Point-to-point and Earth-space propagation</w:t>
            </w:r>
          </w:p>
        </w:tc>
        <w:tc>
          <w:tcPr>
            <w:cnfStyle w:val="000100000000" w:firstRow="0" w:lastRow="0" w:firstColumn="0" w:lastColumn="1" w:oddVBand="0" w:evenVBand="0" w:oddHBand="0" w:evenHBand="0" w:firstRowFirstColumn="0" w:firstRowLastColumn="0" w:lastRowFirstColumn="0" w:lastRowLastColumn="0"/>
            <w:tcW w:w="4801" w:type="dxa"/>
            <w:hideMark/>
          </w:tcPr>
          <w:p w14:paraId="1AF9135E"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P.617-5, P.619-4, P.681</w:t>
            </w:r>
            <w:r w:rsidRPr="00B64995">
              <w:rPr>
                <w:lang w:eastAsia="ja-JP"/>
              </w:rPr>
              <w:noBreakHyphen/>
              <w:t>11, P.1144-10, P.2001-3</w:t>
            </w:r>
          </w:p>
        </w:tc>
      </w:tr>
      <w:tr w:rsidR="00EA3CDE" w:rsidRPr="00B64995" w14:paraId="3AFD58DD"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2BDC7555"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4A - Efficient orbit/spectrum utilization for FSS and BSS</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438E0908"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S.1782-1</w:t>
            </w:r>
          </w:p>
        </w:tc>
      </w:tr>
      <w:tr w:rsidR="00EA3CDE" w:rsidRPr="00B64995" w14:paraId="72BBCF97" w14:textId="77777777" w:rsidTr="006A3906">
        <w:tc>
          <w:tcPr>
            <w:cnfStyle w:val="001000000000" w:firstRow="0" w:lastRow="0" w:firstColumn="1" w:lastColumn="0" w:oddVBand="0" w:evenVBand="0" w:oddHBand="0" w:evenHBand="0" w:firstRowFirstColumn="0" w:firstRowLastColumn="0" w:lastRowFirstColumn="0" w:lastRowLastColumn="0"/>
            <w:tcW w:w="4320" w:type="dxa"/>
            <w:hideMark/>
          </w:tcPr>
          <w:p w14:paraId="2446F1C6"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 xml:space="preserve">WP 4B - Systems, air interfaces, </w:t>
            </w:r>
            <w:proofErr w:type="gramStart"/>
            <w:r w:rsidRPr="00B64995">
              <w:t>performance</w:t>
            </w:r>
            <w:proofErr w:type="gramEnd"/>
            <w:r w:rsidRPr="00B64995">
              <w:t xml:space="preserve"> and availability objectives for FSS, BSS and MSS, including IP-based applications and satellite news gathering</w:t>
            </w:r>
          </w:p>
        </w:tc>
        <w:tc>
          <w:tcPr>
            <w:cnfStyle w:val="000100000000" w:firstRow="0" w:lastRow="0" w:firstColumn="0" w:lastColumn="1" w:oddVBand="0" w:evenVBand="0" w:oddHBand="0" w:evenHBand="0" w:firstRowFirstColumn="0" w:firstRowLastColumn="0" w:lastRowFirstColumn="0" w:lastRowLastColumn="0"/>
            <w:tcW w:w="4801" w:type="dxa"/>
          </w:tcPr>
          <w:p w14:paraId="50B60A73"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S.2131-0</w:t>
            </w:r>
          </w:p>
        </w:tc>
      </w:tr>
      <w:tr w:rsidR="00EA3CDE" w:rsidRPr="00B64995" w14:paraId="19EF4251"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2A17D0B0"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4C - Efficient orbit/spectrum utilization for MSS and RDSS</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6EADBB17"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M.1901-2, M.1902-1, M.1903-1, M.1904-1, M.1905-1</w:t>
            </w:r>
          </w:p>
        </w:tc>
      </w:tr>
      <w:tr w:rsidR="00EA3CDE" w:rsidRPr="00B64995" w14:paraId="762D0A9E" w14:textId="77777777" w:rsidTr="006A3906">
        <w:tc>
          <w:tcPr>
            <w:cnfStyle w:val="001000000000" w:firstRow="0" w:lastRow="0" w:firstColumn="1" w:lastColumn="0" w:oddVBand="0" w:evenVBand="0" w:oddHBand="0" w:evenHBand="0" w:firstRowFirstColumn="0" w:firstRowLastColumn="0" w:lastRowFirstColumn="0" w:lastRowLastColumn="0"/>
            <w:tcW w:w="4320" w:type="dxa"/>
            <w:hideMark/>
          </w:tcPr>
          <w:p w14:paraId="0ACFD2B4"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5A - Land mobile service above 30 MHz* (excluding IMT); wireless access in the fixed service; amateur and amateur-satellite services</w:t>
            </w:r>
          </w:p>
        </w:tc>
        <w:tc>
          <w:tcPr>
            <w:cnfStyle w:val="000100000000" w:firstRow="0" w:lastRow="0" w:firstColumn="0" w:lastColumn="1" w:oddVBand="0" w:evenVBand="0" w:oddHBand="0" w:evenHBand="0" w:firstRowFirstColumn="0" w:firstRowLastColumn="0" w:lastRowFirstColumn="0" w:lastRowLastColumn="0"/>
            <w:tcW w:w="4801" w:type="dxa"/>
          </w:tcPr>
          <w:p w14:paraId="61D2FC7C"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M.1746-1, M.1808</w:t>
            </w:r>
            <w:r w:rsidRPr="00B64995">
              <w:rPr>
                <w:lang w:eastAsia="ja-JP"/>
              </w:rPr>
              <w:noBreakHyphen/>
              <w:t>1, M.1826</w:t>
            </w:r>
            <w:r w:rsidRPr="00B64995">
              <w:rPr>
                <w:lang w:eastAsia="ja-JP"/>
              </w:rPr>
              <w:noBreakHyphen/>
              <w:t>1, M.2084-1, M.2134-0</w:t>
            </w:r>
          </w:p>
        </w:tc>
      </w:tr>
      <w:tr w:rsidR="00EA3CDE" w:rsidRPr="00B64995" w14:paraId="6AC2449D"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38FD4CFB"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5B - Maritime mobile service including Global Maritime Distress and Safety System (GMDSS); aeronautical mobile service and radiodetermination service</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687EFD24"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M.585-8, M.1174-4, M.1798-2, M.2135-0</w:t>
            </w:r>
          </w:p>
        </w:tc>
      </w:tr>
      <w:tr w:rsidR="00EA3CDE" w:rsidRPr="00B64995" w14:paraId="750498D9" w14:textId="77777777" w:rsidTr="006A3906">
        <w:tc>
          <w:tcPr>
            <w:cnfStyle w:val="001000000000" w:firstRow="0" w:lastRow="0" w:firstColumn="1" w:lastColumn="0" w:oddVBand="0" w:evenVBand="0" w:oddHBand="0" w:evenHBand="0" w:firstRowFirstColumn="0" w:firstRowLastColumn="0" w:lastRowFirstColumn="0" w:lastRowLastColumn="0"/>
            <w:tcW w:w="4320" w:type="dxa"/>
            <w:hideMark/>
          </w:tcPr>
          <w:p w14:paraId="39CF2283"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5C - Fixed wireless systems; HF and other systems below 30 MHz in the fixed and land mobile services</w:t>
            </w:r>
          </w:p>
        </w:tc>
        <w:tc>
          <w:tcPr>
            <w:cnfStyle w:val="000100000000" w:firstRow="0" w:lastRow="0" w:firstColumn="0" w:lastColumn="1" w:oddVBand="0" w:evenVBand="0" w:oddHBand="0" w:evenHBand="0" w:firstRowFirstColumn="0" w:firstRowLastColumn="0" w:lastRowFirstColumn="0" w:lastRowLastColumn="0"/>
            <w:tcW w:w="4801" w:type="dxa"/>
          </w:tcPr>
          <w:p w14:paraId="5A6BCF82"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F.383-10, F.387-13, F.636-5, F.758-7, F.1565-1</w:t>
            </w:r>
          </w:p>
        </w:tc>
      </w:tr>
      <w:tr w:rsidR="00EA3CDE" w:rsidRPr="00B64995" w14:paraId="7E601917"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4C68A8E1"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lastRenderedPageBreak/>
              <w:t>WP 5D - IMT Systems</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662396E1"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M.1036-6, M.1457-15, M.2012-4, M.2150-0</w:t>
            </w:r>
          </w:p>
        </w:tc>
      </w:tr>
      <w:tr w:rsidR="00EA3CDE" w:rsidRPr="00B64995" w14:paraId="005A9258" w14:textId="77777777" w:rsidTr="006A3906">
        <w:tc>
          <w:tcPr>
            <w:cnfStyle w:val="001000000000" w:firstRow="0" w:lastRow="0" w:firstColumn="1" w:lastColumn="0" w:oddVBand="0" w:evenVBand="0" w:oddHBand="0" w:evenHBand="0" w:firstRowFirstColumn="0" w:firstRowLastColumn="0" w:lastRowFirstColumn="0" w:lastRowLastColumn="0"/>
            <w:tcW w:w="4320" w:type="dxa"/>
            <w:hideMark/>
          </w:tcPr>
          <w:p w14:paraId="47AF8203"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6A - Terrestrial broadcasting delivery</w:t>
            </w:r>
          </w:p>
          <w:p w14:paraId="331B9444"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p>
          <w:p w14:paraId="4413D31D"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p>
        </w:tc>
        <w:tc>
          <w:tcPr>
            <w:cnfStyle w:val="000100000000" w:firstRow="0" w:lastRow="0" w:firstColumn="0" w:lastColumn="1" w:oddVBand="0" w:evenVBand="0" w:oddHBand="0" w:evenHBand="0" w:firstRowFirstColumn="0" w:firstRowLastColumn="0" w:lastRowFirstColumn="0" w:lastRowLastColumn="0"/>
            <w:tcW w:w="4801" w:type="dxa"/>
            <w:hideMark/>
          </w:tcPr>
          <w:p w14:paraId="4796D447"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BS.450-4, BS.1114-11, BS.1615-2, BS.1660-8, BT.1306-8, BT.1877-2, BT.1877-3, BT.2016-2, BT.2036-3, BT.2136-0</w:t>
            </w:r>
          </w:p>
        </w:tc>
      </w:tr>
      <w:tr w:rsidR="00EA3CDE" w:rsidRPr="00B64995" w14:paraId="5D383F5E"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hideMark/>
          </w:tcPr>
          <w:p w14:paraId="2DACF8AF"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6B - Broadcast service assembly and access</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hideMark/>
          </w:tcPr>
          <w:p w14:paraId="5FCD2CB0"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BS.1196-8, BS.1548-7, BS.2076-2, BS.2088-1, BS.2126-0, BS.2127</w:t>
            </w:r>
            <w:r w:rsidRPr="00B64995">
              <w:rPr>
                <w:lang w:eastAsia="ja-JP"/>
              </w:rPr>
              <w:noBreakHyphen/>
              <w:t>0, BT.1872-3, BT.2073-1, BT.2075-3, BT.2133</w:t>
            </w:r>
            <w:r w:rsidRPr="00B64995">
              <w:rPr>
                <w:lang w:eastAsia="ja-JP"/>
              </w:rPr>
              <w:noBreakHyphen/>
              <w:t>0, BT.2137-0</w:t>
            </w:r>
          </w:p>
        </w:tc>
      </w:tr>
      <w:tr w:rsidR="00EA3CDE" w:rsidRPr="00B64995" w14:paraId="5F76DA70" w14:textId="77777777" w:rsidTr="006A3906">
        <w:tc>
          <w:tcPr>
            <w:cnfStyle w:val="001000000000" w:firstRow="0" w:lastRow="0" w:firstColumn="1" w:lastColumn="0" w:oddVBand="0" w:evenVBand="0" w:oddHBand="0" w:evenHBand="0" w:firstRowFirstColumn="0" w:firstRowLastColumn="0" w:lastRowFirstColumn="0" w:lastRowLastColumn="0"/>
            <w:tcW w:w="4320" w:type="dxa"/>
          </w:tcPr>
          <w:p w14:paraId="51E3D469"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6C - Programme production and quality assessment</w:t>
            </w:r>
          </w:p>
        </w:tc>
        <w:tc>
          <w:tcPr>
            <w:cnfStyle w:val="000100000000" w:firstRow="0" w:lastRow="0" w:firstColumn="0" w:lastColumn="1" w:oddVBand="0" w:evenVBand="0" w:oddHBand="0" w:evenHBand="0" w:firstRowFirstColumn="0" w:firstRowLastColumn="0" w:lastRowFirstColumn="0" w:lastRowLastColumn="0"/>
            <w:tcW w:w="4801" w:type="dxa"/>
          </w:tcPr>
          <w:p w14:paraId="2C58A320" w14:textId="77777777" w:rsidR="00EA3CDE" w:rsidRPr="00B64995" w:rsidRDefault="00EA3CDE" w:rsidP="006A3906">
            <w:pPr>
              <w:spacing w:before="40" w:after="40"/>
              <w:rPr>
                <w:b w:val="0"/>
                <w:bCs w:val="0"/>
                <w:lang w:eastAsia="ja-JP"/>
              </w:rPr>
            </w:pPr>
            <w:r w:rsidRPr="00B64995">
              <w:rPr>
                <w:lang w:eastAsia="ja-JP"/>
              </w:rPr>
              <w:t>BS.1283-2, BS.2132-0, BT.500-14, BT.1702-2, BT.2111-1, BT.2111-2</w:t>
            </w:r>
          </w:p>
        </w:tc>
      </w:tr>
      <w:tr w:rsidR="00EA3CDE" w:rsidRPr="00B64995" w14:paraId="00C50C9B" w14:textId="77777777" w:rsidTr="006A3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shd w:val="clear" w:color="auto" w:fill="B6C8E8"/>
          </w:tcPr>
          <w:p w14:paraId="6DA6F664"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WP 7B - Space radiocommunication applications: Systems for transmission/reception of telecommand, tracking and telemetry data for space operation, space research, earth exploration-satellite, and meteorological satellite services</w:t>
            </w:r>
          </w:p>
        </w:tc>
        <w:tc>
          <w:tcPr>
            <w:cnfStyle w:val="000100000000" w:firstRow="0" w:lastRow="0" w:firstColumn="0" w:lastColumn="1" w:oddVBand="0" w:evenVBand="0" w:oddHBand="0" w:evenHBand="0" w:firstRowFirstColumn="0" w:firstRowLastColumn="0" w:lastRowFirstColumn="0" w:lastRowLastColumn="0"/>
            <w:tcW w:w="4801" w:type="dxa"/>
            <w:shd w:val="clear" w:color="auto" w:fill="B6C8E8"/>
          </w:tcPr>
          <w:p w14:paraId="39475643"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SA.1016-1, SA.1027-6, SA.1161-3, SA.1164-4</w:t>
            </w:r>
          </w:p>
        </w:tc>
      </w:tr>
      <w:tr w:rsidR="00EA3CDE" w:rsidRPr="00B64995" w14:paraId="7ACAA79A" w14:textId="77777777" w:rsidTr="006A3906">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320" w:type="dxa"/>
            <w:shd w:val="clear" w:color="auto" w:fill="B6C8E8"/>
          </w:tcPr>
          <w:p w14:paraId="228135A1"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rPr>
            </w:pPr>
            <w:r w:rsidRPr="00B64995">
              <w:t>CCV – Coordination Committee for Vocabulary</w:t>
            </w:r>
          </w:p>
        </w:tc>
        <w:tc>
          <w:tcPr>
            <w:cnfStyle w:val="000100000010" w:firstRow="0" w:lastRow="0" w:firstColumn="0" w:lastColumn="1" w:oddVBand="0" w:evenVBand="0" w:oddHBand="0" w:evenHBand="0" w:firstRowFirstColumn="0" w:firstRowLastColumn="0" w:lastRowFirstColumn="0" w:lastRowLastColumn="1"/>
            <w:tcW w:w="4801" w:type="dxa"/>
            <w:shd w:val="clear" w:color="auto" w:fill="B6C8E8"/>
          </w:tcPr>
          <w:p w14:paraId="51F3387B" w14:textId="77777777" w:rsidR="00EA3CDE" w:rsidRPr="00B64995" w:rsidRDefault="00EA3CDE" w:rsidP="006A390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val="0"/>
                <w:bCs w:val="0"/>
                <w:lang w:eastAsia="ja-JP"/>
              </w:rPr>
            </w:pPr>
            <w:r w:rsidRPr="00B64995">
              <w:rPr>
                <w:lang w:eastAsia="ja-JP"/>
              </w:rPr>
              <w:t>V.2130-0</w:t>
            </w:r>
          </w:p>
        </w:tc>
      </w:tr>
    </w:tbl>
    <w:p w14:paraId="19ED6C06" w14:textId="77777777" w:rsidR="00E417F0" w:rsidRPr="00B64995" w:rsidRDefault="00E417F0" w:rsidP="00614D53">
      <w:pPr>
        <w:textAlignment w:val="baseline"/>
        <w:rPr>
          <w:rFonts w:eastAsia="Times New Roman"/>
          <w:lang w:eastAsia="en-GB"/>
        </w:rPr>
      </w:pPr>
    </w:p>
    <w:p w14:paraId="2B5726B0" w14:textId="77777777" w:rsidR="00754F7F" w:rsidRPr="00B64995" w:rsidRDefault="00754F7F" w:rsidP="00614D53">
      <w:pPr>
        <w:textAlignment w:val="baseline"/>
        <w:rPr>
          <w:rFonts w:eastAsia="Times New Roman"/>
          <w:lang w:eastAsia="en-GB"/>
        </w:rPr>
      </w:pPr>
    </w:p>
    <w:p w14:paraId="7CF85525" w14:textId="77777777" w:rsidR="0049723A" w:rsidRPr="00B64995" w:rsidRDefault="00026FC6" w:rsidP="00026FC6">
      <w:pPr>
        <w:pStyle w:val="Heading2"/>
        <w:rPr>
          <w:lang w:eastAsia="en-GB"/>
        </w:rPr>
      </w:pPr>
      <w:bookmarkStart w:id="42" w:name="_Toc37860458"/>
      <w:bookmarkStart w:id="43" w:name="_Toc37861219"/>
      <w:bookmarkStart w:id="44" w:name="_Toc37943338"/>
      <w:bookmarkStart w:id="45" w:name="_Toc68811408"/>
      <w:bookmarkStart w:id="46" w:name="Section_1_4"/>
      <w:r w:rsidRPr="00B64995">
        <w:rPr>
          <w:lang w:eastAsia="en-GB"/>
        </w:rPr>
        <w:t>1.4</w:t>
      </w:r>
      <w:r w:rsidRPr="00B64995">
        <w:rPr>
          <w:lang w:eastAsia="en-GB"/>
        </w:rPr>
        <w:tab/>
      </w:r>
      <w:r w:rsidR="00E417F0" w:rsidRPr="00B64995">
        <w:rPr>
          <w:lang w:eastAsia="en-GB"/>
        </w:rPr>
        <w:t>Emerging technologies</w:t>
      </w:r>
      <w:bookmarkEnd w:id="42"/>
      <w:bookmarkEnd w:id="43"/>
      <w:bookmarkEnd w:id="44"/>
      <w:bookmarkEnd w:id="45"/>
      <w:bookmarkEnd w:id="46"/>
    </w:p>
    <w:p w14:paraId="7E003194" w14:textId="096B8262" w:rsidR="0049723A" w:rsidRPr="00B87922" w:rsidRDefault="35192DC2" w:rsidP="00B36DE2">
      <w:pPr>
        <w:pStyle w:val="paragraph"/>
        <w:spacing w:before="120" w:beforeAutospacing="0" w:after="0" w:afterAutospacing="0"/>
        <w:jc w:val="both"/>
        <w:textAlignment w:val="baseline"/>
        <w:rPr>
          <w:rStyle w:val="normaltextrun"/>
          <w:rFonts w:ascii="Calibri" w:eastAsiaTheme="majorEastAsia" w:hAnsi="Calibri" w:cs="Calibri"/>
          <w:sz w:val="22"/>
          <w:szCs w:val="22"/>
        </w:rPr>
      </w:pPr>
      <w:r w:rsidRPr="00B64995">
        <w:rPr>
          <w:rStyle w:val="normaltextrun"/>
          <w:rFonts w:ascii="Calibri" w:eastAsiaTheme="majorEastAsia" w:hAnsi="Calibri" w:cs="Calibri"/>
          <w:sz w:val="22"/>
          <w:szCs w:val="22"/>
        </w:rPr>
        <w:t>ITU</w:t>
      </w:r>
      <w:r w:rsidR="69C054E5" w:rsidRPr="00B64995">
        <w:rPr>
          <w:rStyle w:val="normaltextrun"/>
          <w:rFonts w:ascii="Calibri" w:eastAsiaTheme="majorEastAsia" w:hAnsi="Calibri" w:cs="Calibri"/>
          <w:sz w:val="22"/>
          <w:szCs w:val="22"/>
        </w:rPr>
        <w:t xml:space="preserve"> monitor</w:t>
      </w:r>
      <w:r w:rsidR="14E741A0" w:rsidRPr="00B64995">
        <w:rPr>
          <w:rStyle w:val="normaltextrun"/>
          <w:rFonts w:ascii="Calibri" w:eastAsiaTheme="majorEastAsia" w:hAnsi="Calibri" w:cs="Calibri"/>
          <w:sz w:val="22"/>
          <w:szCs w:val="22"/>
        </w:rPr>
        <w:t>s</w:t>
      </w:r>
      <w:r w:rsidR="69C054E5" w:rsidRPr="00B64995">
        <w:rPr>
          <w:rStyle w:val="normaltextrun"/>
          <w:rFonts w:ascii="Calibri" w:eastAsiaTheme="majorEastAsia" w:hAnsi="Calibri" w:cs="Calibri"/>
          <w:sz w:val="22"/>
          <w:szCs w:val="22"/>
        </w:rPr>
        <w:t xml:space="preserve"> the progress of </w:t>
      </w:r>
      <w:r w:rsidRPr="00B64995">
        <w:rPr>
          <w:rStyle w:val="normaltextrun"/>
          <w:rFonts w:ascii="Calibri" w:eastAsiaTheme="majorEastAsia" w:hAnsi="Calibri" w:cs="Calibri"/>
          <w:sz w:val="22"/>
          <w:szCs w:val="22"/>
        </w:rPr>
        <w:t xml:space="preserve">new/emerging technologies such as </w:t>
      </w:r>
      <w:r w:rsidR="00061D17" w:rsidRPr="00B64995">
        <w:rPr>
          <w:rStyle w:val="normaltextrun"/>
          <w:rFonts w:ascii="Calibri" w:eastAsiaTheme="majorEastAsia" w:hAnsi="Calibri" w:cs="Calibri"/>
          <w:sz w:val="22"/>
          <w:szCs w:val="22"/>
        </w:rPr>
        <w:t>a</w:t>
      </w:r>
      <w:r w:rsidRPr="00B64995">
        <w:rPr>
          <w:rStyle w:val="normaltextrun"/>
          <w:rFonts w:ascii="Calibri" w:eastAsiaTheme="majorEastAsia" w:hAnsi="Calibri" w:cs="Calibri"/>
          <w:sz w:val="22"/>
          <w:szCs w:val="22"/>
        </w:rPr>
        <w:t xml:space="preserve">rtificial </w:t>
      </w:r>
      <w:r w:rsidR="00061D17" w:rsidRPr="00B64995">
        <w:rPr>
          <w:rStyle w:val="normaltextrun"/>
          <w:rFonts w:ascii="Calibri" w:eastAsiaTheme="majorEastAsia" w:hAnsi="Calibri" w:cs="Calibri"/>
          <w:sz w:val="22"/>
          <w:szCs w:val="22"/>
        </w:rPr>
        <w:t>i</w:t>
      </w:r>
      <w:r w:rsidRPr="00B64995">
        <w:rPr>
          <w:rStyle w:val="normaltextrun"/>
          <w:rFonts w:ascii="Calibri" w:eastAsiaTheme="majorEastAsia" w:hAnsi="Calibri" w:cs="Calibri"/>
          <w:sz w:val="22"/>
          <w:szCs w:val="22"/>
        </w:rPr>
        <w:t xml:space="preserve">ntelligence (AI), </w:t>
      </w:r>
      <w:r w:rsidR="00614D53" w:rsidRPr="00B64995">
        <w:rPr>
          <w:rStyle w:val="normaltextrun"/>
          <w:rFonts w:ascii="Calibri" w:eastAsiaTheme="majorEastAsia" w:hAnsi="Calibri" w:cs="Calibri"/>
          <w:sz w:val="22"/>
          <w:szCs w:val="22"/>
        </w:rPr>
        <w:t>Internet</w:t>
      </w:r>
      <w:r w:rsidRPr="00B64995">
        <w:rPr>
          <w:rStyle w:val="normaltextrun"/>
          <w:rFonts w:ascii="Calibri" w:eastAsiaTheme="majorEastAsia" w:hAnsi="Calibri" w:cs="Calibri"/>
          <w:sz w:val="22"/>
          <w:szCs w:val="22"/>
        </w:rPr>
        <w:t xml:space="preserve"> of Things (IoT), and </w:t>
      </w:r>
      <w:r w:rsidR="00061D17" w:rsidRPr="00B64995">
        <w:rPr>
          <w:rStyle w:val="normaltextrun"/>
          <w:rFonts w:ascii="Calibri" w:eastAsiaTheme="majorEastAsia" w:hAnsi="Calibri" w:cs="Calibri"/>
          <w:sz w:val="22"/>
          <w:szCs w:val="22"/>
        </w:rPr>
        <w:t>q</w:t>
      </w:r>
      <w:r w:rsidRPr="00B64995">
        <w:rPr>
          <w:rStyle w:val="normaltextrun"/>
          <w:rFonts w:ascii="Calibri" w:eastAsiaTheme="majorEastAsia" w:hAnsi="Calibri" w:cs="Calibri"/>
          <w:sz w:val="22"/>
          <w:szCs w:val="22"/>
        </w:rPr>
        <w:t xml:space="preserve">uantum </w:t>
      </w:r>
      <w:r w:rsidR="00061D17" w:rsidRPr="00B64995">
        <w:rPr>
          <w:rStyle w:val="normaltextrun"/>
          <w:rFonts w:ascii="Calibri" w:eastAsiaTheme="majorEastAsia" w:hAnsi="Calibri" w:cs="Calibri"/>
          <w:sz w:val="22"/>
          <w:szCs w:val="22"/>
        </w:rPr>
        <w:t>i</w:t>
      </w:r>
      <w:r w:rsidRPr="00B64995">
        <w:rPr>
          <w:rStyle w:val="normaltextrun"/>
          <w:rFonts w:ascii="Calibri" w:eastAsiaTheme="majorEastAsia" w:hAnsi="Calibri" w:cs="Calibri"/>
          <w:sz w:val="22"/>
          <w:szCs w:val="22"/>
        </w:rPr>
        <w:t xml:space="preserve">nformation </w:t>
      </w:r>
      <w:r w:rsidR="00061D17" w:rsidRPr="00B64995">
        <w:rPr>
          <w:rStyle w:val="normaltextrun"/>
          <w:rFonts w:ascii="Calibri" w:eastAsiaTheme="majorEastAsia" w:hAnsi="Calibri" w:cs="Calibri"/>
          <w:sz w:val="22"/>
          <w:szCs w:val="22"/>
        </w:rPr>
        <w:t>t</w:t>
      </w:r>
      <w:r w:rsidRPr="00B64995">
        <w:rPr>
          <w:rStyle w:val="normaltextrun"/>
          <w:rFonts w:ascii="Calibri" w:eastAsiaTheme="majorEastAsia" w:hAnsi="Calibri" w:cs="Calibri"/>
          <w:sz w:val="22"/>
          <w:szCs w:val="22"/>
        </w:rPr>
        <w:t>echnologies (QIT)</w:t>
      </w:r>
      <w:r w:rsidR="008323F8" w:rsidRPr="00B64995">
        <w:rPr>
          <w:rStyle w:val="normaltextrun"/>
          <w:rFonts w:ascii="Calibri" w:eastAsiaTheme="majorEastAsia" w:hAnsi="Calibri" w:cs="Calibri"/>
          <w:sz w:val="22"/>
          <w:szCs w:val="22"/>
        </w:rPr>
        <w:t>.</w:t>
      </w:r>
    </w:p>
    <w:p w14:paraId="6490D5E2" w14:textId="0A7678AD" w:rsidR="000B788D" w:rsidRPr="00B64995" w:rsidRDefault="000B788D" w:rsidP="003812EF">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4DB3DB76" w14:textId="46F27B9E" w:rsidR="005505C6" w:rsidRPr="00B64995" w:rsidRDefault="005505C6" w:rsidP="00A83DAA">
      <w:pPr>
        <w:pStyle w:val="Heading5"/>
      </w:pPr>
      <w:r w:rsidRPr="00B64995">
        <w:t xml:space="preserve">Artificial </w:t>
      </w:r>
      <w:r w:rsidR="00B94A75" w:rsidRPr="00B64995">
        <w:t>i</w:t>
      </w:r>
      <w:r w:rsidRPr="00B64995">
        <w:t>ntelligence</w:t>
      </w:r>
    </w:p>
    <w:p w14:paraId="02668192" w14:textId="4C9488CC" w:rsidR="577429E1" w:rsidRPr="00B87922" w:rsidRDefault="03BA84F0" w:rsidP="0012722A">
      <w:pPr>
        <w:pStyle w:val="paragraph"/>
        <w:spacing w:before="0" w:beforeAutospacing="0" w:after="0" w:afterAutospacing="0"/>
        <w:jc w:val="both"/>
        <w:rPr>
          <w:rStyle w:val="normaltextrun"/>
          <w:rFonts w:ascii="Calibri" w:eastAsiaTheme="majorEastAsia" w:hAnsi="Calibri" w:cs="Calibri"/>
          <w:sz w:val="22"/>
          <w:szCs w:val="22"/>
        </w:rPr>
      </w:pPr>
      <w:r w:rsidRPr="00B64995">
        <w:rPr>
          <w:rStyle w:val="normaltextrun"/>
          <w:rFonts w:ascii="Calibri" w:eastAsiaTheme="majorEastAsia" w:hAnsi="Calibri" w:cs="Calibri"/>
          <w:sz w:val="22"/>
          <w:szCs w:val="22"/>
        </w:rPr>
        <w:t xml:space="preserve">In recent years, AI has been advancing at an exponential pace. Artificially intelligent machines </w:t>
      </w:r>
      <w:proofErr w:type="gramStart"/>
      <w:r w:rsidRPr="00B64995">
        <w:rPr>
          <w:rStyle w:val="normaltextrun"/>
          <w:rFonts w:ascii="Calibri" w:eastAsiaTheme="majorEastAsia" w:hAnsi="Calibri" w:cs="Calibri"/>
          <w:sz w:val="22"/>
          <w:szCs w:val="22"/>
        </w:rPr>
        <w:t>are able to</w:t>
      </w:r>
      <w:proofErr w:type="gramEnd"/>
      <w:r w:rsidRPr="00B64995">
        <w:rPr>
          <w:rStyle w:val="normaltextrun"/>
          <w:rFonts w:ascii="Calibri" w:eastAsiaTheme="majorEastAsia" w:hAnsi="Calibri" w:cs="Calibri"/>
          <w:sz w:val="22"/>
          <w:szCs w:val="22"/>
        </w:rPr>
        <w:t xml:space="preserve"> sift through and interpret massive amounts of data from various sources to carry out a wide range of tasks. For example, AI's ability to </w:t>
      </w:r>
      <w:r w:rsidR="00A04944" w:rsidRPr="00B64995">
        <w:rPr>
          <w:rStyle w:val="normaltextrun"/>
          <w:rFonts w:ascii="Calibri" w:eastAsiaTheme="majorEastAsia" w:hAnsi="Calibri" w:cs="Calibri"/>
          <w:sz w:val="22"/>
          <w:szCs w:val="22"/>
        </w:rPr>
        <w:t>analyse</w:t>
      </w:r>
      <w:r w:rsidRPr="00B64995">
        <w:rPr>
          <w:rStyle w:val="normaltextrun"/>
          <w:rFonts w:ascii="Calibri" w:eastAsiaTheme="majorEastAsia" w:hAnsi="Calibri" w:cs="Calibri"/>
          <w:sz w:val="22"/>
          <w:szCs w:val="22"/>
        </w:rPr>
        <w:t xml:space="preserve"> high-resolution images from satellites, drones or medical scans can improve responses to humanitarian emergencies, increase agricultural productivity, and help doctors identify skin cancer </w:t>
      </w:r>
      <w:r w:rsidR="00E062B1" w:rsidRPr="00B64995">
        <w:rPr>
          <w:rStyle w:val="normaltextrun"/>
          <w:rFonts w:ascii="Calibri" w:eastAsiaTheme="majorEastAsia" w:hAnsi="Calibri" w:cs="Calibri"/>
          <w:sz w:val="22"/>
          <w:szCs w:val="22"/>
        </w:rPr>
        <w:t xml:space="preserve">and </w:t>
      </w:r>
      <w:r w:rsidRPr="00B64995">
        <w:rPr>
          <w:rStyle w:val="normaltextrun"/>
          <w:rFonts w:ascii="Calibri" w:eastAsiaTheme="majorEastAsia" w:hAnsi="Calibri" w:cs="Calibri"/>
          <w:sz w:val="22"/>
          <w:szCs w:val="22"/>
        </w:rPr>
        <w:t xml:space="preserve">other illnesses. The transformative power of AI, however, also comes with challenges, ranging from issues of transparency, </w:t>
      </w:r>
      <w:proofErr w:type="gramStart"/>
      <w:r w:rsidRPr="00B64995">
        <w:rPr>
          <w:rStyle w:val="normaltextrun"/>
          <w:rFonts w:ascii="Calibri" w:eastAsiaTheme="majorEastAsia" w:hAnsi="Calibri" w:cs="Calibri"/>
          <w:sz w:val="22"/>
          <w:szCs w:val="22"/>
        </w:rPr>
        <w:t>trust</w:t>
      </w:r>
      <w:proofErr w:type="gramEnd"/>
      <w:r w:rsidRPr="00B64995">
        <w:rPr>
          <w:rStyle w:val="normaltextrun"/>
          <w:rFonts w:ascii="Calibri" w:eastAsiaTheme="majorEastAsia" w:hAnsi="Calibri" w:cs="Calibri"/>
          <w:sz w:val="22"/>
          <w:szCs w:val="22"/>
        </w:rPr>
        <w:t xml:space="preserve"> and security, to concerns about displacing jobs and exacerbating inequalities.</w:t>
      </w:r>
    </w:p>
    <w:p w14:paraId="3C7FF840" w14:textId="5F7D4512" w:rsidR="0049723A" w:rsidRPr="00B64995" w:rsidRDefault="3D108BC4" w:rsidP="5503EDA3">
      <w:pPr>
        <w:pStyle w:val="paragraph"/>
        <w:spacing w:before="0" w:beforeAutospacing="0" w:after="0" w:afterAutospacing="0"/>
        <w:rPr>
          <w:rFonts w:ascii="Calibri" w:eastAsiaTheme="majorEastAsia" w:hAnsi="Calibri" w:cs="Calibri"/>
          <w:sz w:val="22"/>
          <w:szCs w:val="22"/>
        </w:rPr>
      </w:pPr>
      <w:r w:rsidRPr="00B64995">
        <w:rPr>
          <w:rStyle w:val="normaltextrun"/>
          <w:rFonts w:ascii="Calibri" w:eastAsiaTheme="majorEastAsia" w:hAnsi="Calibri" w:cs="Calibri"/>
          <w:sz w:val="22"/>
          <w:szCs w:val="22"/>
        </w:rPr>
        <w:t>T</w:t>
      </w:r>
      <w:r w:rsidR="35192DC2" w:rsidRPr="00B64995">
        <w:rPr>
          <w:rStyle w:val="normaltextrun"/>
          <w:rFonts w:ascii="Calibri" w:eastAsiaTheme="majorEastAsia" w:hAnsi="Calibri" w:cs="Calibri"/>
          <w:sz w:val="22"/>
          <w:szCs w:val="22"/>
        </w:rPr>
        <w:t xml:space="preserve">his section lists some of the ITU groups and activities working </w:t>
      </w:r>
      <w:proofErr w:type="gramStart"/>
      <w:r w:rsidR="35192DC2" w:rsidRPr="00B64995">
        <w:rPr>
          <w:rStyle w:val="normaltextrun"/>
          <w:rFonts w:ascii="Calibri" w:eastAsiaTheme="majorEastAsia" w:hAnsi="Calibri" w:cs="Calibri"/>
          <w:sz w:val="22"/>
          <w:szCs w:val="22"/>
        </w:rPr>
        <w:t>in the area of</w:t>
      </w:r>
      <w:proofErr w:type="gramEnd"/>
      <w:r w:rsidR="35192DC2" w:rsidRPr="00B64995">
        <w:rPr>
          <w:rStyle w:val="normaltextrun"/>
          <w:rFonts w:ascii="Calibri" w:eastAsiaTheme="majorEastAsia" w:hAnsi="Calibri" w:cs="Calibri"/>
          <w:sz w:val="22"/>
          <w:szCs w:val="22"/>
        </w:rPr>
        <w:t> </w:t>
      </w:r>
      <w:r w:rsidR="006B3CDF" w:rsidRPr="00B64995">
        <w:rPr>
          <w:rStyle w:val="normaltextrun"/>
          <w:rFonts w:ascii="Calibri" w:eastAsiaTheme="majorEastAsia" w:hAnsi="Calibri" w:cs="Calibri"/>
          <w:sz w:val="22"/>
          <w:szCs w:val="22"/>
        </w:rPr>
        <w:t>AI</w:t>
      </w:r>
      <w:r w:rsidR="35192DC2" w:rsidRPr="00B64995">
        <w:rPr>
          <w:rStyle w:val="normaltextrun"/>
          <w:rFonts w:ascii="Calibri" w:eastAsiaTheme="majorEastAsia" w:hAnsi="Calibri" w:cs="Calibri"/>
          <w:sz w:val="22"/>
          <w:szCs w:val="22"/>
        </w:rPr>
        <w:t xml:space="preserve">. More details are available on the recently published intersectoral website on ITU’s activities in AI - </w:t>
      </w:r>
      <w:hyperlink r:id="rId250" w:history="1">
        <w:r w:rsidR="35192DC2" w:rsidRPr="00B64995">
          <w:rPr>
            <w:rStyle w:val="Hyperlink"/>
            <w:rFonts w:ascii="Calibri" w:eastAsiaTheme="majorEastAsia" w:hAnsi="Calibri" w:cs="Calibri"/>
            <w:sz w:val="22"/>
            <w:szCs w:val="22"/>
          </w:rPr>
          <w:t xml:space="preserve">available </w:t>
        </w:r>
        <w:r w:rsidRPr="00B64995">
          <w:rPr>
            <w:rStyle w:val="Hyperlink"/>
            <w:rFonts w:ascii="Calibri" w:eastAsiaTheme="majorEastAsia" w:hAnsi="Calibri" w:cs="Calibri"/>
            <w:sz w:val="22"/>
            <w:szCs w:val="22"/>
          </w:rPr>
          <w:t>here</w:t>
        </w:r>
      </w:hyperlink>
      <w:r w:rsidR="4EAC0660" w:rsidRPr="00A060FE">
        <w:rPr>
          <w:rFonts w:ascii="Calibri" w:eastAsiaTheme="majorEastAsia" w:hAnsi="Calibri" w:cs="Calibri"/>
          <w:sz w:val="22"/>
          <w:szCs w:val="22"/>
        </w:rPr>
        <w:t>.</w:t>
      </w:r>
    </w:p>
    <w:p w14:paraId="4D17554C" w14:textId="1FC3FAF9" w:rsidR="005505C6" w:rsidRPr="00B64995" w:rsidRDefault="005505C6" w:rsidP="00614D53">
      <w:pPr>
        <w:pStyle w:val="paragraph"/>
        <w:spacing w:before="0" w:beforeAutospacing="0" w:after="0" w:afterAutospacing="0"/>
        <w:textAlignment w:val="baseline"/>
        <w:rPr>
          <w:rFonts w:ascii="Calibri" w:hAnsi="Calibri" w:cs="Calibri"/>
          <w:sz w:val="22"/>
          <w:szCs w:val="22"/>
        </w:rPr>
      </w:pPr>
    </w:p>
    <w:p w14:paraId="7682BF34" w14:textId="08A364E8" w:rsidR="005505C6" w:rsidRPr="00B64995" w:rsidRDefault="35192DC2" w:rsidP="5503EDA3">
      <w:pPr>
        <w:pStyle w:val="paragraph"/>
        <w:spacing w:before="0" w:beforeAutospacing="0" w:after="0" w:afterAutospacing="0"/>
        <w:jc w:val="both"/>
        <w:textAlignment w:val="baseline"/>
        <w:rPr>
          <w:rStyle w:val="normaltextrun"/>
          <w:rFonts w:ascii="Calibri" w:eastAsiaTheme="majorEastAsia" w:hAnsi="Calibri" w:cs="Calibri"/>
          <w:sz w:val="22"/>
          <w:szCs w:val="22"/>
        </w:rPr>
      </w:pPr>
      <w:r w:rsidRPr="00B64995">
        <w:rPr>
          <w:rStyle w:val="normaltextrun"/>
          <w:rFonts w:ascii="Calibri" w:eastAsiaTheme="majorEastAsia" w:hAnsi="Calibri" w:cs="Calibri"/>
          <w:sz w:val="22"/>
          <w:szCs w:val="22"/>
          <w:u w:val="single"/>
        </w:rPr>
        <w:t>AI for Good Global Summit:</w:t>
      </w:r>
      <w:r w:rsidR="6504896C" w:rsidRPr="00B64995">
        <w:rPr>
          <w:rFonts w:ascii="Calibri" w:hAnsi="Calibri" w:cs="Calibri"/>
          <w:sz w:val="22"/>
          <w:szCs w:val="22"/>
        </w:rPr>
        <w:t xml:space="preserve"> </w:t>
      </w:r>
      <w:r w:rsidR="6504896C" w:rsidRPr="00B64995">
        <w:rPr>
          <w:rFonts w:ascii="Calibri" w:eastAsiaTheme="majorEastAsia" w:hAnsi="Calibri" w:cs="Calibri"/>
          <w:sz w:val="22"/>
          <w:szCs w:val="22"/>
        </w:rPr>
        <w:t xml:space="preserve">See </w:t>
      </w:r>
      <w:hyperlink w:anchor="Section_1_11" w:history="1">
        <w:r w:rsidR="6504896C" w:rsidRPr="00B64995">
          <w:rPr>
            <w:rStyle w:val="Hyperlink"/>
            <w:rFonts w:ascii="Calibri" w:eastAsiaTheme="majorEastAsia" w:hAnsi="Calibri" w:cs="Calibri"/>
            <w:sz w:val="22"/>
            <w:szCs w:val="22"/>
          </w:rPr>
          <w:t>section 1.</w:t>
        </w:r>
        <w:r w:rsidR="17A1A16F" w:rsidRPr="00B64995">
          <w:rPr>
            <w:rStyle w:val="Hyperlink"/>
            <w:rFonts w:ascii="Calibri" w:eastAsiaTheme="majorEastAsia" w:hAnsi="Calibri" w:cs="Calibri"/>
            <w:sz w:val="22"/>
            <w:szCs w:val="22"/>
          </w:rPr>
          <w:t>11</w:t>
        </w:r>
      </w:hyperlink>
      <w:r w:rsidR="3AE0AB4B" w:rsidRPr="00A060FE">
        <w:rPr>
          <w:rStyle w:val="normaltextrun"/>
          <w:rFonts w:ascii="Calibri" w:eastAsiaTheme="majorEastAsia" w:hAnsi="Calibri" w:cs="Calibri"/>
          <w:sz w:val="22"/>
          <w:szCs w:val="22"/>
        </w:rPr>
        <w:t>.</w:t>
      </w:r>
    </w:p>
    <w:p w14:paraId="6BD18F9B" w14:textId="6AC82DCE" w:rsidR="005505C6" w:rsidRPr="00B64995" w:rsidRDefault="005505C6" w:rsidP="00614D53">
      <w:pPr>
        <w:pStyle w:val="paragraph"/>
        <w:spacing w:before="0" w:beforeAutospacing="0" w:after="0" w:afterAutospacing="0"/>
        <w:jc w:val="both"/>
        <w:textAlignment w:val="baseline"/>
        <w:rPr>
          <w:rStyle w:val="eop"/>
          <w:rFonts w:ascii="Calibri" w:hAnsi="Calibri" w:cs="Calibri"/>
          <w:sz w:val="22"/>
          <w:szCs w:val="22"/>
        </w:rPr>
      </w:pPr>
    </w:p>
    <w:p w14:paraId="41280776" w14:textId="54A21647" w:rsidR="00347B2E" w:rsidRPr="00B64995" w:rsidRDefault="00347B2E" w:rsidP="00347B2E">
      <w:pPr>
        <w:keepNext/>
        <w:keepLines/>
        <w:jc w:val="both"/>
        <w:rPr>
          <w:rFonts w:asciiTheme="minorHAnsi" w:eastAsiaTheme="majorEastAsia" w:hAnsiTheme="minorHAnsi"/>
          <w:u w:val="single"/>
          <w:lang w:eastAsia="en-GB"/>
        </w:rPr>
      </w:pPr>
      <w:r w:rsidRPr="00B64995">
        <w:rPr>
          <w:rFonts w:asciiTheme="minorHAnsi" w:eastAsiaTheme="majorEastAsia" w:hAnsiTheme="minorHAnsi"/>
          <w:u w:val="single"/>
          <w:lang w:eastAsia="en-GB"/>
        </w:rPr>
        <w:t>AI in standardization:</w:t>
      </w:r>
      <w:r w:rsidR="00B950AA" w:rsidRPr="00B64995">
        <w:rPr>
          <w:rFonts w:asciiTheme="minorHAnsi" w:eastAsiaTheme="majorEastAsia" w:hAnsiTheme="minorHAnsi"/>
          <w:u w:val="single"/>
          <w:lang w:eastAsia="en-GB"/>
        </w:rPr>
        <w:t xml:space="preserve"> see section </w:t>
      </w:r>
      <w:proofErr w:type="gramStart"/>
      <w:r w:rsidR="00B950AA" w:rsidRPr="00B64995">
        <w:rPr>
          <w:rFonts w:asciiTheme="minorHAnsi" w:eastAsiaTheme="majorEastAsia" w:hAnsiTheme="minorHAnsi"/>
          <w:u w:val="single"/>
          <w:lang w:eastAsia="en-GB"/>
        </w:rPr>
        <w:t>1.3</w:t>
      </w:r>
      <w:proofErr w:type="gramEnd"/>
    </w:p>
    <w:p w14:paraId="37B3053F" w14:textId="77777777" w:rsidR="00347B2E" w:rsidRPr="00B64995" w:rsidRDefault="00347B2E" w:rsidP="00347B2E">
      <w:pPr>
        <w:keepNext/>
        <w:keepLines/>
        <w:jc w:val="both"/>
        <w:rPr>
          <w:rFonts w:asciiTheme="minorHAnsi" w:eastAsiaTheme="majorEastAsia" w:hAnsiTheme="minorHAnsi"/>
          <w:u w:val="single"/>
          <w:lang w:eastAsia="en-GB"/>
        </w:rPr>
      </w:pPr>
    </w:p>
    <w:p w14:paraId="6C0D2B31" w14:textId="4761C04D" w:rsidR="005505C6" w:rsidRPr="00B64995" w:rsidRDefault="1B748C4C" w:rsidP="00614D53">
      <w:pPr>
        <w:pStyle w:val="paragraph"/>
        <w:spacing w:before="0" w:beforeAutospacing="0" w:after="0" w:afterAutospacing="0"/>
        <w:jc w:val="both"/>
        <w:textAlignment w:val="baseline"/>
        <w:rPr>
          <w:rFonts w:ascii="Calibri" w:hAnsi="Calibri" w:cs="Calibri"/>
          <w:sz w:val="22"/>
          <w:szCs w:val="22"/>
          <w:highlight w:val="cyan"/>
        </w:rPr>
      </w:pPr>
      <w:r w:rsidRPr="00B64995">
        <w:rPr>
          <w:rStyle w:val="normaltextrun"/>
          <w:rFonts w:ascii="Calibri" w:eastAsiaTheme="majorEastAsia" w:hAnsi="Calibri" w:cs="Calibri"/>
          <w:sz w:val="22"/>
          <w:szCs w:val="22"/>
          <w:u w:val="single"/>
        </w:rPr>
        <w:t xml:space="preserve">AI in </w:t>
      </w:r>
      <w:r w:rsidR="00EE321D" w:rsidRPr="00B64995">
        <w:rPr>
          <w:rStyle w:val="normaltextrun"/>
          <w:rFonts w:ascii="Calibri" w:eastAsiaTheme="majorEastAsia" w:hAnsi="Calibri" w:cs="Calibri"/>
          <w:sz w:val="22"/>
          <w:szCs w:val="22"/>
          <w:u w:val="single"/>
        </w:rPr>
        <w:t>radiocommunications</w:t>
      </w:r>
      <w:r w:rsidR="005505C6" w:rsidRPr="00B64995">
        <w:rPr>
          <w:rStyle w:val="normaltextrun"/>
          <w:rFonts w:ascii="Calibri" w:eastAsiaTheme="majorEastAsia" w:hAnsi="Calibri" w:cs="Calibri"/>
          <w:sz w:val="22"/>
          <w:szCs w:val="22"/>
        </w:rPr>
        <w:t>:</w:t>
      </w:r>
      <w:r w:rsidR="005505C6" w:rsidRPr="00B64995">
        <w:rPr>
          <w:rStyle w:val="eop"/>
          <w:rFonts w:ascii="Calibri" w:hAnsi="Calibri" w:cs="Calibri"/>
          <w:sz w:val="22"/>
          <w:szCs w:val="22"/>
        </w:rPr>
        <w:t> </w:t>
      </w:r>
      <w:r w:rsidR="00B950AA" w:rsidRPr="00B64995">
        <w:rPr>
          <w:rFonts w:asciiTheme="minorHAnsi" w:eastAsiaTheme="majorEastAsia" w:hAnsiTheme="minorHAnsi"/>
          <w:u w:val="single"/>
        </w:rPr>
        <w:t xml:space="preserve">see section </w:t>
      </w:r>
      <w:proofErr w:type="gramStart"/>
      <w:r w:rsidR="00B950AA" w:rsidRPr="00B64995">
        <w:rPr>
          <w:rFonts w:asciiTheme="minorHAnsi" w:eastAsiaTheme="majorEastAsia" w:hAnsiTheme="minorHAnsi"/>
          <w:u w:val="single"/>
        </w:rPr>
        <w:t>1.3</w:t>
      </w:r>
      <w:proofErr w:type="gramEnd"/>
    </w:p>
    <w:p w14:paraId="0D508CF1" w14:textId="0160DEB3" w:rsidR="4C4F9DB5" w:rsidRPr="00B64995" w:rsidRDefault="003B2AFD" w:rsidP="00614D53">
      <w:pPr>
        <w:pStyle w:val="paragraph"/>
        <w:spacing w:before="0" w:beforeAutospacing="0" w:after="0" w:afterAutospacing="0"/>
        <w:jc w:val="both"/>
        <w:rPr>
          <w:rStyle w:val="eop"/>
          <w:rFonts w:ascii="Calibri" w:hAnsi="Calibri" w:cs="Calibri"/>
          <w:sz w:val="22"/>
          <w:szCs w:val="22"/>
        </w:rPr>
      </w:pPr>
      <w:r w:rsidRPr="00B64995">
        <w:rPr>
          <w:rStyle w:val="eop"/>
          <w:rFonts w:ascii="Calibri" w:hAnsi="Calibri" w:cs="Calibri"/>
          <w:sz w:val="22"/>
          <w:szCs w:val="22"/>
        </w:rPr>
        <w:t>T</w:t>
      </w:r>
      <w:r w:rsidR="4C4F9DB5" w:rsidRPr="00B64995">
        <w:rPr>
          <w:rStyle w:val="eop"/>
          <w:rFonts w:ascii="Calibri" w:hAnsi="Calibri" w:cs="Calibri"/>
          <w:sz w:val="22"/>
          <w:szCs w:val="22"/>
        </w:rPr>
        <w:t>he main questions currently under study in ITU-R study groups</w:t>
      </w:r>
      <w:r w:rsidR="7D0C61E1" w:rsidRPr="00B64995">
        <w:rPr>
          <w:rStyle w:val="eop"/>
          <w:rFonts w:ascii="Calibri" w:hAnsi="Calibri" w:cs="Calibri"/>
          <w:sz w:val="22"/>
          <w:szCs w:val="22"/>
        </w:rPr>
        <w:t>, as well as reports under elaboration</w:t>
      </w:r>
      <w:r w:rsidR="4C4F9DB5" w:rsidRPr="00B64995">
        <w:rPr>
          <w:rStyle w:val="eop"/>
          <w:rFonts w:ascii="Calibri" w:hAnsi="Calibri" w:cs="Calibri"/>
          <w:sz w:val="22"/>
          <w:szCs w:val="22"/>
        </w:rPr>
        <w:t xml:space="preserve"> on issues related with the use of AI in radiocommunications</w:t>
      </w:r>
      <w:r w:rsidRPr="00B64995">
        <w:rPr>
          <w:rStyle w:val="eop"/>
          <w:rFonts w:ascii="Calibri" w:hAnsi="Calibri" w:cs="Calibri"/>
          <w:sz w:val="22"/>
          <w:szCs w:val="22"/>
        </w:rPr>
        <w:t xml:space="preserve"> are</w:t>
      </w:r>
      <w:r w:rsidR="4C4F9DB5" w:rsidRPr="00B64995">
        <w:rPr>
          <w:rStyle w:val="eop"/>
          <w:rFonts w:ascii="Calibri" w:hAnsi="Calibri" w:cs="Calibri"/>
          <w:sz w:val="22"/>
          <w:szCs w:val="22"/>
        </w:rPr>
        <w:t>:</w:t>
      </w:r>
    </w:p>
    <w:p w14:paraId="6CE66ED1" w14:textId="54166CFE" w:rsidR="0049723A" w:rsidRPr="00B64995" w:rsidRDefault="005505C6" w:rsidP="00614D53">
      <w:pPr>
        <w:pStyle w:val="paragraph"/>
        <w:numPr>
          <w:ilvl w:val="0"/>
          <w:numId w:val="3"/>
        </w:numPr>
        <w:spacing w:before="0" w:beforeAutospacing="0" w:after="0" w:afterAutospacing="0"/>
        <w:jc w:val="both"/>
        <w:textAlignment w:val="baseline"/>
        <w:rPr>
          <w:rStyle w:val="eop"/>
          <w:rFonts w:ascii="Calibri" w:hAnsi="Calibri" w:cs="Calibri"/>
          <w:sz w:val="22"/>
          <w:szCs w:val="22"/>
        </w:rPr>
      </w:pPr>
      <w:r w:rsidRPr="00B64995">
        <w:rPr>
          <w:rStyle w:val="normaltextrun"/>
          <w:rFonts w:ascii="Calibri" w:eastAsiaTheme="majorEastAsia" w:hAnsi="Calibri" w:cs="Calibri"/>
          <w:sz w:val="22"/>
          <w:szCs w:val="22"/>
        </w:rPr>
        <w:t>The</w:t>
      </w:r>
      <w:r w:rsidR="0074433B">
        <w:rPr>
          <w:rStyle w:val="normaltextrun"/>
          <w:rFonts w:ascii="Calibri" w:eastAsiaTheme="majorEastAsia" w:hAnsi="Calibri" w:cs="Calibri"/>
          <w:sz w:val="22"/>
          <w:szCs w:val="22"/>
        </w:rPr>
        <w:t xml:space="preserve"> </w:t>
      </w:r>
      <w:r w:rsidRPr="00B64995">
        <w:rPr>
          <w:rStyle w:val="normaltextrun"/>
          <w:rFonts w:ascii="Calibri" w:eastAsiaTheme="majorEastAsia" w:hAnsi="Calibri" w:cs="Calibri"/>
          <w:sz w:val="22"/>
          <w:szCs w:val="22"/>
        </w:rPr>
        <w:t xml:space="preserve">scope of ITU-R Study Group 1 </w:t>
      </w:r>
      <w:r w:rsidR="006D38B9" w:rsidRPr="00B64995">
        <w:rPr>
          <w:rStyle w:val="normaltextrun"/>
          <w:rFonts w:ascii="Calibri" w:eastAsiaTheme="majorEastAsia" w:hAnsi="Calibri" w:cs="Calibri"/>
          <w:sz w:val="22"/>
          <w:szCs w:val="22"/>
        </w:rPr>
        <w:t xml:space="preserve">(SG 1) </w:t>
      </w:r>
      <w:r w:rsidRPr="00B64995">
        <w:rPr>
          <w:rStyle w:val="normaltextrun"/>
          <w:rFonts w:ascii="Calibri" w:eastAsiaTheme="majorEastAsia" w:hAnsi="Calibri" w:cs="Calibri"/>
          <w:sz w:val="22"/>
          <w:szCs w:val="22"/>
        </w:rPr>
        <w:t xml:space="preserve">covers all aspects of Spectrum Management, including Spectrum Monitoring. With respect to artificial intelligence </w:t>
      </w:r>
      <w:r w:rsidR="00061D17" w:rsidRPr="00B64995">
        <w:rPr>
          <w:rStyle w:val="normaltextrun"/>
          <w:rFonts w:ascii="Calibri" w:eastAsiaTheme="majorEastAsia" w:hAnsi="Calibri" w:cs="Calibri"/>
          <w:sz w:val="22"/>
          <w:szCs w:val="22"/>
        </w:rPr>
        <w:t xml:space="preserve">(AI) </w:t>
      </w:r>
      <w:r w:rsidRPr="00B64995">
        <w:rPr>
          <w:rStyle w:val="normaltextrun"/>
          <w:rFonts w:ascii="Calibri" w:eastAsiaTheme="majorEastAsia" w:hAnsi="Calibri" w:cs="Calibri"/>
          <w:sz w:val="22"/>
          <w:szCs w:val="22"/>
        </w:rPr>
        <w:t>techniques such as machine learning</w:t>
      </w:r>
      <w:r w:rsidR="00061D17" w:rsidRPr="00B64995">
        <w:rPr>
          <w:rStyle w:val="normaltextrun"/>
          <w:rFonts w:ascii="Calibri" w:eastAsiaTheme="majorEastAsia" w:hAnsi="Calibri" w:cs="Calibri"/>
          <w:sz w:val="22"/>
          <w:szCs w:val="22"/>
        </w:rPr>
        <w:t xml:space="preserve"> (ML)</w:t>
      </w:r>
      <w:r w:rsidRPr="00B64995">
        <w:rPr>
          <w:rStyle w:val="normaltextrun"/>
          <w:rFonts w:ascii="Calibri" w:eastAsiaTheme="majorEastAsia" w:hAnsi="Calibri" w:cs="Calibri"/>
          <w:sz w:val="22"/>
          <w:szCs w:val="22"/>
        </w:rPr>
        <w:t>, Question ITU-R 241/1 “Methodologies for assessing or predicting spectrum availability” was approved in 2019 and is under study</w:t>
      </w:r>
      <w:r w:rsidR="00095C1A" w:rsidRPr="00B64995">
        <w:rPr>
          <w:rStyle w:val="normaltextrun"/>
          <w:rFonts w:ascii="Calibri" w:eastAsiaTheme="majorEastAsia" w:hAnsi="Calibri" w:cs="Calibri"/>
          <w:sz w:val="22"/>
          <w:szCs w:val="22"/>
        </w:rPr>
        <w:t>.</w:t>
      </w:r>
    </w:p>
    <w:p w14:paraId="3E3B59BB" w14:textId="52539E22" w:rsidR="00C02906" w:rsidRPr="00B64995" w:rsidRDefault="005505C6" w:rsidP="00614D53">
      <w:pPr>
        <w:pStyle w:val="paragraph"/>
        <w:numPr>
          <w:ilvl w:val="0"/>
          <w:numId w:val="3"/>
        </w:numPr>
        <w:spacing w:before="0" w:beforeAutospacing="0" w:after="0" w:afterAutospacing="0"/>
        <w:jc w:val="both"/>
        <w:textAlignment w:val="baseline"/>
        <w:rPr>
          <w:rStyle w:val="normaltextrun"/>
          <w:rFonts w:ascii="Calibri" w:eastAsiaTheme="majorEastAsia" w:hAnsi="Calibri" w:cs="Calibri"/>
          <w:sz w:val="22"/>
          <w:szCs w:val="22"/>
        </w:rPr>
      </w:pPr>
      <w:r w:rsidRPr="00B64995">
        <w:rPr>
          <w:rStyle w:val="normaltextrun"/>
          <w:rFonts w:ascii="Calibri" w:eastAsiaTheme="majorEastAsia" w:hAnsi="Calibri" w:cs="Calibri"/>
          <w:sz w:val="22"/>
          <w:szCs w:val="22"/>
        </w:rPr>
        <w:lastRenderedPageBreak/>
        <w:t xml:space="preserve">The scope of ITU-R Study Group 6 </w:t>
      </w:r>
      <w:r w:rsidR="008F2631" w:rsidRPr="00B64995">
        <w:rPr>
          <w:rStyle w:val="normaltextrun"/>
          <w:rFonts w:ascii="Calibri" w:eastAsiaTheme="majorEastAsia" w:hAnsi="Calibri" w:cs="Calibri"/>
          <w:sz w:val="22"/>
          <w:szCs w:val="22"/>
        </w:rPr>
        <w:t xml:space="preserve">(SG 6) </w:t>
      </w:r>
      <w:r w:rsidRPr="00B64995">
        <w:rPr>
          <w:rStyle w:val="normaltextrun"/>
          <w:rFonts w:ascii="Calibri" w:eastAsiaTheme="majorEastAsia" w:hAnsi="Calibri" w:cs="Calibri"/>
          <w:sz w:val="22"/>
          <w:szCs w:val="22"/>
        </w:rPr>
        <w:t>covers all the aspects from production to reception for the broadcasting service. SG 6 deliverables and work items related to artificial intelligence and machine learning are as follows</w:t>
      </w:r>
      <w:r w:rsidR="00C02906" w:rsidRPr="00B64995">
        <w:rPr>
          <w:rStyle w:val="normaltextrun"/>
          <w:rFonts w:ascii="Calibri" w:eastAsiaTheme="majorEastAsia" w:hAnsi="Calibri" w:cs="Calibri"/>
          <w:sz w:val="22"/>
          <w:szCs w:val="22"/>
        </w:rPr>
        <w:t>:</w:t>
      </w:r>
    </w:p>
    <w:p w14:paraId="3E3C1724" w14:textId="77777777" w:rsidR="0049723A" w:rsidRPr="00B64995" w:rsidRDefault="005505C6" w:rsidP="00614D53">
      <w:pPr>
        <w:pStyle w:val="paragraph"/>
        <w:numPr>
          <w:ilvl w:val="1"/>
          <w:numId w:val="3"/>
        </w:numPr>
        <w:spacing w:before="0" w:beforeAutospacing="0" w:after="0" w:afterAutospacing="0"/>
        <w:jc w:val="both"/>
        <w:textAlignment w:val="baseline"/>
        <w:rPr>
          <w:rStyle w:val="eop"/>
          <w:rFonts w:ascii="Calibri" w:hAnsi="Calibri" w:cs="Calibri"/>
          <w:sz w:val="22"/>
          <w:szCs w:val="22"/>
        </w:rPr>
      </w:pPr>
      <w:r w:rsidRPr="00B64995">
        <w:rPr>
          <w:rStyle w:val="normaltextrun"/>
          <w:rFonts w:ascii="Calibri" w:eastAsiaTheme="majorEastAsia" w:hAnsi="Calibri" w:cs="Calibri"/>
          <w:sz w:val="22"/>
          <w:szCs w:val="22"/>
        </w:rPr>
        <w:t>Question ITU-R 144/6 “Use of Artificial Intelligence (AI) for broadcasting” focuses on the impact of AI technology and how can it be deployed to increase efficiency in the areas of programme production, quality evaluation, programme assembly and for broadcast emission.</w:t>
      </w:r>
    </w:p>
    <w:p w14:paraId="1AF1AA30" w14:textId="20CA287A" w:rsidR="0049723A" w:rsidRPr="00B64995" w:rsidRDefault="005505C6" w:rsidP="00614D53">
      <w:pPr>
        <w:pStyle w:val="paragraph"/>
        <w:numPr>
          <w:ilvl w:val="1"/>
          <w:numId w:val="3"/>
        </w:numPr>
        <w:spacing w:before="0" w:beforeAutospacing="0" w:after="0" w:afterAutospacing="0"/>
        <w:jc w:val="both"/>
        <w:textAlignment w:val="baseline"/>
        <w:rPr>
          <w:rStyle w:val="eop"/>
          <w:rFonts w:ascii="Calibri" w:hAnsi="Calibri" w:cs="Calibri"/>
          <w:sz w:val="22"/>
          <w:szCs w:val="22"/>
        </w:rPr>
      </w:pPr>
      <w:r w:rsidRPr="00B64995">
        <w:rPr>
          <w:rStyle w:val="normaltextrun"/>
          <w:rFonts w:ascii="Calibri" w:eastAsiaTheme="majorEastAsia" w:hAnsi="Calibri" w:cs="Calibri"/>
          <w:sz w:val="22"/>
          <w:szCs w:val="22"/>
        </w:rPr>
        <w:t>Report ITU-R BT.2447 “Artificial intelligence systems for programme production and exchange”, discusses current applications and efforts under</w:t>
      </w:r>
      <w:r w:rsidR="00202FD7" w:rsidRPr="00B64995">
        <w:rPr>
          <w:rStyle w:val="normaltextrun"/>
          <w:rFonts w:ascii="Calibri" w:eastAsiaTheme="majorEastAsia" w:hAnsi="Calibri" w:cs="Calibri"/>
          <w:sz w:val="22"/>
          <w:szCs w:val="22"/>
        </w:rPr>
        <w:t xml:space="preserve"> </w:t>
      </w:r>
      <w:r w:rsidRPr="00B64995">
        <w:rPr>
          <w:rStyle w:val="normaltextrun"/>
          <w:rFonts w:ascii="Calibri" w:eastAsiaTheme="majorEastAsia" w:hAnsi="Calibri" w:cs="Calibri"/>
          <w:sz w:val="22"/>
          <w:szCs w:val="22"/>
        </w:rPr>
        <w:t>way and evaluated those that are relevant to the near-term broadcast programme and production pathway.</w:t>
      </w:r>
    </w:p>
    <w:p w14:paraId="40ACB066" w14:textId="5C0A8734" w:rsidR="00DB4DE6" w:rsidRPr="00B64995" w:rsidRDefault="00DB4DE6" w:rsidP="00277921">
      <w:pPr>
        <w:pStyle w:val="paragraph"/>
        <w:spacing w:before="0" w:beforeAutospacing="0" w:after="0" w:afterAutospacing="0"/>
        <w:textAlignment w:val="baseline"/>
        <w:rPr>
          <w:rStyle w:val="normaltextrun"/>
          <w:rFonts w:ascii="Calibri" w:eastAsiaTheme="majorEastAsia" w:hAnsi="Calibri" w:cs="Calibri"/>
          <w:sz w:val="22"/>
          <w:szCs w:val="22"/>
        </w:rPr>
      </w:pPr>
    </w:p>
    <w:p w14:paraId="4FBAC20F" w14:textId="77777777" w:rsidR="0049723A" w:rsidRPr="00B64995" w:rsidRDefault="005505C6" w:rsidP="00277921">
      <w:pPr>
        <w:pStyle w:val="paragraph"/>
        <w:spacing w:before="0" w:beforeAutospacing="0" w:after="0" w:afterAutospacing="0"/>
        <w:textAlignment w:val="baseline"/>
        <w:rPr>
          <w:rFonts w:ascii="Calibri" w:hAnsi="Calibri" w:cs="Calibri"/>
          <w:sz w:val="22"/>
          <w:szCs w:val="22"/>
        </w:rPr>
      </w:pPr>
      <w:proofErr w:type="gramStart"/>
      <w:r w:rsidRPr="00B64995">
        <w:rPr>
          <w:rStyle w:val="normaltextrun"/>
          <w:rFonts w:ascii="Calibri" w:eastAsiaTheme="majorEastAsia" w:hAnsi="Calibri" w:cs="Calibri"/>
          <w:sz w:val="22"/>
          <w:szCs w:val="22"/>
        </w:rPr>
        <w:t>A number of</w:t>
      </w:r>
      <w:proofErr w:type="gramEnd"/>
      <w:r w:rsidRPr="00B64995">
        <w:rPr>
          <w:rStyle w:val="normaltextrun"/>
          <w:rFonts w:ascii="Calibri" w:eastAsiaTheme="majorEastAsia" w:hAnsi="Calibri" w:cs="Calibri"/>
          <w:sz w:val="22"/>
          <w:szCs w:val="22"/>
        </w:rPr>
        <w:t> related ITU-R Reports and Recommendations are available</w:t>
      </w:r>
      <w:r w:rsidR="00191EEB" w:rsidRPr="00B64995">
        <w:rPr>
          <w:rStyle w:val="normaltextrun"/>
          <w:rFonts w:ascii="Calibri" w:eastAsiaTheme="majorEastAsia" w:hAnsi="Calibri" w:cs="Calibri"/>
          <w:sz w:val="22"/>
          <w:szCs w:val="22"/>
        </w:rPr>
        <w:t xml:space="preserve"> </w:t>
      </w:r>
      <w:hyperlink r:id="rId251" w:history="1">
        <w:r w:rsidR="00191EEB" w:rsidRPr="00B64995">
          <w:rPr>
            <w:rStyle w:val="Hyperlink"/>
            <w:rFonts w:ascii="Calibri" w:eastAsiaTheme="majorEastAsia" w:hAnsi="Calibri" w:cs="Calibri"/>
            <w:sz w:val="22"/>
            <w:szCs w:val="22"/>
          </w:rPr>
          <w:t>online</w:t>
        </w:r>
      </w:hyperlink>
      <w:r w:rsidR="00DA7AEB" w:rsidRPr="00A060FE">
        <w:rPr>
          <w:rStyle w:val="normaltextrun"/>
          <w:rFonts w:ascii="Calibri" w:eastAsiaTheme="majorEastAsia" w:hAnsi="Calibri" w:cs="Calibri"/>
          <w:sz w:val="22"/>
          <w:szCs w:val="22"/>
        </w:rPr>
        <w:t>.</w:t>
      </w:r>
    </w:p>
    <w:p w14:paraId="28318F9F" w14:textId="5541933F" w:rsidR="00BC06F5" w:rsidRPr="00B64995" w:rsidRDefault="00BC06F5" w:rsidP="00DA7D9A">
      <w:pPr>
        <w:pStyle w:val="paragraph"/>
        <w:spacing w:before="0" w:beforeAutospacing="0" w:after="0" w:afterAutospacing="0"/>
        <w:jc w:val="both"/>
        <w:textAlignment w:val="baseline"/>
        <w:rPr>
          <w:rFonts w:ascii="Calibri" w:hAnsi="Calibri" w:cs="Calibri"/>
          <w:sz w:val="22"/>
          <w:szCs w:val="22"/>
        </w:rPr>
      </w:pPr>
      <w:r w:rsidRPr="00B64995">
        <w:rPr>
          <w:rFonts w:ascii="Calibri" w:hAnsi="Calibri" w:cs="Calibri"/>
          <w:sz w:val="22"/>
          <w:szCs w:val="22"/>
        </w:rPr>
        <w:t>In addition, BR participated in the following events to present its activities in relation to AI:</w:t>
      </w:r>
    </w:p>
    <w:p w14:paraId="105F852E" w14:textId="1154228A" w:rsidR="00BC06F5" w:rsidRPr="00B87922" w:rsidRDefault="00BC06F5" w:rsidP="00DA7D9A">
      <w:pPr>
        <w:pStyle w:val="paragraph"/>
        <w:numPr>
          <w:ilvl w:val="0"/>
          <w:numId w:val="50"/>
        </w:numPr>
        <w:spacing w:before="0" w:beforeAutospacing="0" w:after="0" w:afterAutospacing="0"/>
        <w:jc w:val="both"/>
        <w:textAlignment w:val="baseline"/>
        <w:rPr>
          <w:rFonts w:ascii="Calibri" w:hAnsi="Calibri" w:cs="Calibri"/>
          <w:sz w:val="22"/>
          <w:szCs w:val="22"/>
          <w:lang w:val="es-CO"/>
        </w:rPr>
      </w:pPr>
      <w:r w:rsidRPr="00B87922">
        <w:rPr>
          <w:rFonts w:ascii="Calibri" w:hAnsi="Calibri" w:cs="Calibri"/>
          <w:i/>
          <w:iCs/>
          <w:sz w:val="22"/>
          <w:szCs w:val="22"/>
          <w:lang w:val="es-CO"/>
        </w:rPr>
        <w:t>Foro sobre Inteligencia Artificial: Aplicaciones e Implicaciones</w:t>
      </w:r>
      <w:r w:rsidRPr="00B87922">
        <w:rPr>
          <w:rFonts w:ascii="Calibri" w:hAnsi="Calibri" w:cs="Calibri"/>
          <w:sz w:val="22"/>
          <w:szCs w:val="22"/>
          <w:lang w:val="es-CO"/>
        </w:rPr>
        <w:t>, 8 May 2020;</w:t>
      </w:r>
    </w:p>
    <w:p w14:paraId="14BCC07F" w14:textId="0FAEADDE" w:rsidR="00BC06F5" w:rsidRPr="00B64995" w:rsidRDefault="00BC06F5" w:rsidP="00DA7D9A">
      <w:pPr>
        <w:pStyle w:val="paragraph"/>
        <w:numPr>
          <w:ilvl w:val="0"/>
          <w:numId w:val="50"/>
        </w:numPr>
        <w:spacing w:before="0" w:beforeAutospacing="0" w:after="0" w:afterAutospacing="0"/>
        <w:jc w:val="both"/>
        <w:textAlignment w:val="baseline"/>
        <w:rPr>
          <w:rFonts w:ascii="Calibri" w:eastAsiaTheme="minorEastAsia" w:hAnsi="Calibri" w:cs="Calibri"/>
          <w:sz w:val="22"/>
          <w:szCs w:val="22"/>
        </w:rPr>
      </w:pPr>
      <w:r w:rsidRPr="00B87922">
        <w:rPr>
          <w:rFonts w:ascii="Calibri" w:hAnsi="Calibri" w:cs="Calibri"/>
          <w:sz w:val="22"/>
          <w:szCs w:val="22"/>
          <w:lang w:val="es-CO"/>
        </w:rPr>
        <w:t xml:space="preserve"> </w:t>
      </w:r>
      <w:r w:rsidRPr="00B64995">
        <w:rPr>
          <w:rFonts w:ascii="Calibri" w:hAnsi="Calibri" w:cs="Calibri"/>
          <w:sz w:val="22"/>
          <w:szCs w:val="22"/>
        </w:rPr>
        <w:t>Web Meeting “Inter-Regional Week on Emerging Technologies for Development in the Arab and African regions - ITU Initiatives on Emerging Technologies”, 17 December 2020, Web Meeting</w:t>
      </w:r>
      <w:r w:rsidR="00095C1A" w:rsidRPr="00B64995">
        <w:rPr>
          <w:rFonts w:ascii="Calibri" w:hAnsi="Calibri" w:cs="Calibri"/>
          <w:sz w:val="22"/>
          <w:szCs w:val="22"/>
        </w:rPr>
        <w:t>.</w:t>
      </w:r>
    </w:p>
    <w:p w14:paraId="1B3E5778" w14:textId="77777777" w:rsidR="00C00F39" w:rsidRPr="00B64995" w:rsidRDefault="00C00F39" w:rsidP="00EE296D">
      <w:pPr>
        <w:jc w:val="both"/>
        <w:rPr>
          <w:b/>
        </w:rPr>
      </w:pPr>
    </w:p>
    <w:p w14:paraId="2526812F" w14:textId="63BDC6B2" w:rsidR="00EE296D" w:rsidRPr="00B64995" w:rsidRDefault="00EE296D" w:rsidP="00EE296D">
      <w:pPr>
        <w:jc w:val="both"/>
        <w:rPr>
          <w:b/>
        </w:rPr>
      </w:pPr>
      <w:r w:rsidRPr="00B64995">
        <w:rPr>
          <w:b/>
        </w:rPr>
        <w:t>High-Level Committee on Programmes (HLCP): Interagency Working Group on AI</w:t>
      </w:r>
    </w:p>
    <w:p w14:paraId="5136A703" w14:textId="50AEC699" w:rsidR="00EE296D" w:rsidRPr="00B64995" w:rsidRDefault="0003274E" w:rsidP="00EE296D">
      <w:pPr>
        <w:jc w:val="both"/>
        <w:rPr>
          <w:rFonts w:asciiTheme="minorHAnsi" w:hAnsiTheme="minorHAnsi" w:cstheme="minorBidi"/>
        </w:rPr>
      </w:pPr>
      <w:r w:rsidRPr="00B64995">
        <w:rPr>
          <w:rFonts w:asciiTheme="minorHAnsi" w:hAnsiTheme="minorHAnsi" w:cstheme="minorBidi"/>
        </w:rPr>
        <w:t xml:space="preserve">Following the </w:t>
      </w:r>
      <w:r w:rsidR="005805BE" w:rsidRPr="00B64995">
        <w:rPr>
          <w:rFonts w:asciiTheme="minorHAnsi" w:hAnsiTheme="minorHAnsi" w:cstheme="minorBidi"/>
        </w:rPr>
        <w:t xml:space="preserve">UN </w:t>
      </w:r>
      <w:r w:rsidRPr="00B64995">
        <w:rPr>
          <w:rFonts w:asciiTheme="minorHAnsi" w:hAnsiTheme="minorHAnsi" w:cstheme="minorBidi"/>
        </w:rPr>
        <w:t>C</w:t>
      </w:r>
      <w:r w:rsidR="005805BE" w:rsidRPr="00B64995">
        <w:rPr>
          <w:rFonts w:asciiTheme="minorHAnsi" w:hAnsiTheme="minorHAnsi" w:cstheme="minorBidi"/>
        </w:rPr>
        <w:t xml:space="preserve">hief Executive Board’s </w:t>
      </w:r>
      <w:r w:rsidRPr="00B64995">
        <w:rPr>
          <w:rFonts w:asciiTheme="minorHAnsi" w:hAnsiTheme="minorHAnsi" w:cstheme="minorBidi"/>
        </w:rPr>
        <w:t xml:space="preserve">endorsement of the </w:t>
      </w:r>
      <w:r w:rsidR="005805BE" w:rsidRPr="00B64995">
        <w:rPr>
          <w:rFonts w:asciiTheme="minorHAnsi" w:hAnsiTheme="minorHAnsi" w:cstheme="minorBidi"/>
        </w:rPr>
        <w:t xml:space="preserve">ITU-coordinated </w:t>
      </w:r>
      <w:r w:rsidRPr="00B64995">
        <w:rPr>
          <w:rFonts w:asciiTheme="minorHAnsi" w:hAnsiTheme="minorHAnsi" w:cstheme="minorBidi"/>
        </w:rPr>
        <w:t xml:space="preserve">UN system-wide strategic approach and road map for supporting capacity development on AI and HLCP’s </w:t>
      </w:r>
      <w:r w:rsidR="005805BE" w:rsidRPr="00B64995">
        <w:rPr>
          <w:rFonts w:asciiTheme="minorHAnsi" w:hAnsiTheme="minorHAnsi" w:cstheme="minorBidi"/>
        </w:rPr>
        <w:t xml:space="preserve">UNESCO-coordinated </w:t>
      </w:r>
      <w:r w:rsidRPr="00B64995">
        <w:rPr>
          <w:rFonts w:asciiTheme="minorHAnsi" w:hAnsiTheme="minorHAnsi" w:cstheme="minorBidi"/>
        </w:rPr>
        <w:t>work on UN system actions on the ethics of AI, and taking into consideration the Secretary-General’s Roadmap for Digital Cooperation, it was decided during the 40</w:t>
      </w:r>
      <w:r w:rsidRPr="00B64995">
        <w:rPr>
          <w:rFonts w:asciiTheme="minorHAnsi" w:hAnsiTheme="minorHAnsi" w:cstheme="minorBidi"/>
          <w:vertAlign w:val="superscript"/>
        </w:rPr>
        <w:t>th</w:t>
      </w:r>
      <w:r w:rsidR="004307AA" w:rsidRPr="00B64995">
        <w:rPr>
          <w:rFonts w:asciiTheme="minorHAnsi" w:hAnsiTheme="minorHAnsi" w:cstheme="minorBidi"/>
        </w:rPr>
        <w:t xml:space="preserve"> </w:t>
      </w:r>
      <w:r w:rsidRPr="00B64995">
        <w:rPr>
          <w:rFonts w:asciiTheme="minorHAnsi" w:hAnsiTheme="minorHAnsi" w:cstheme="minorBidi"/>
        </w:rPr>
        <w:t xml:space="preserve">HLCP session </w:t>
      </w:r>
      <w:r w:rsidR="004307AA" w:rsidRPr="00B64995">
        <w:rPr>
          <w:rFonts w:asciiTheme="minorHAnsi" w:hAnsiTheme="minorHAnsi" w:cstheme="minorBidi"/>
        </w:rPr>
        <w:t xml:space="preserve">in October 2020 </w:t>
      </w:r>
      <w:r w:rsidRPr="00B64995">
        <w:rPr>
          <w:rFonts w:asciiTheme="minorHAnsi" w:hAnsiTheme="minorHAnsi" w:cstheme="minorBidi"/>
        </w:rPr>
        <w:t xml:space="preserve">to establish an </w:t>
      </w:r>
      <w:r w:rsidR="004A23F4" w:rsidRPr="00B64995">
        <w:rPr>
          <w:rFonts w:asciiTheme="minorHAnsi" w:hAnsiTheme="minorHAnsi" w:cstheme="minorBidi"/>
        </w:rPr>
        <w:t xml:space="preserve">HLCP </w:t>
      </w:r>
      <w:r w:rsidRPr="00B64995">
        <w:rPr>
          <w:rFonts w:asciiTheme="minorHAnsi" w:hAnsiTheme="minorHAnsi" w:cstheme="minorBidi"/>
        </w:rPr>
        <w:t>interagency working group on AI (IAWG-AI), co-led by UNESCO and ITU</w:t>
      </w:r>
      <w:r w:rsidR="005A1C76" w:rsidRPr="00B64995">
        <w:rPr>
          <w:rFonts w:asciiTheme="minorHAnsi" w:hAnsiTheme="minorHAnsi" w:cstheme="minorBidi"/>
        </w:rPr>
        <w:t xml:space="preserve"> to </w:t>
      </w:r>
      <w:r w:rsidR="004A23F4" w:rsidRPr="00B64995">
        <w:rPr>
          <w:rFonts w:asciiTheme="minorHAnsi" w:hAnsiTheme="minorHAnsi" w:cstheme="minorBidi"/>
        </w:rPr>
        <w:t>focus on policy and programmatic coherence of AI activities within the UN</w:t>
      </w:r>
      <w:r w:rsidR="004307AA" w:rsidRPr="00B64995">
        <w:rPr>
          <w:rFonts w:asciiTheme="minorHAnsi" w:hAnsiTheme="minorHAnsi" w:cstheme="minorBidi"/>
        </w:rPr>
        <w:t>.</w:t>
      </w:r>
      <w:r w:rsidR="0095588D" w:rsidRPr="00B64995">
        <w:rPr>
          <w:rFonts w:asciiTheme="minorHAnsi" w:hAnsiTheme="minorHAnsi" w:cstheme="minorBidi"/>
        </w:rPr>
        <w:t xml:space="preserve"> The group will leverage the stocktaking and gap analysis exercise by ITU </w:t>
      </w:r>
      <w:r w:rsidR="005A1C76" w:rsidRPr="00B64995">
        <w:rPr>
          <w:rFonts w:asciiTheme="minorHAnsi" w:hAnsiTheme="minorHAnsi" w:cstheme="minorBidi"/>
        </w:rPr>
        <w:t>regarding</w:t>
      </w:r>
      <w:r w:rsidR="00C4253B" w:rsidRPr="00B64995">
        <w:rPr>
          <w:rFonts w:asciiTheme="minorHAnsi" w:hAnsiTheme="minorHAnsi" w:cstheme="minorBidi"/>
        </w:rPr>
        <w:t xml:space="preserve"> internal capacities within the UN and other stakeholders in relation to the UN system-wide strategy.</w:t>
      </w:r>
      <w:r w:rsidR="004307AA" w:rsidRPr="00B64995">
        <w:rPr>
          <w:rFonts w:asciiTheme="minorHAnsi" w:hAnsiTheme="minorHAnsi" w:cstheme="minorBidi"/>
        </w:rPr>
        <w:t xml:space="preserve"> </w:t>
      </w:r>
      <w:r w:rsidR="00EE296D" w:rsidRPr="00B64995">
        <w:rPr>
          <w:rFonts w:asciiTheme="minorHAnsi" w:hAnsiTheme="minorHAnsi" w:cstheme="minorBidi"/>
        </w:rPr>
        <w:t>The IAWG-AI is currently in the process of developing and adopting their Terms of Reference.</w:t>
      </w:r>
    </w:p>
    <w:p w14:paraId="38B20E1C" w14:textId="77777777" w:rsidR="00EE296D" w:rsidRPr="00B64995" w:rsidRDefault="00EE296D" w:rsidP="00EE296D">
      <w:pPr>
        <w:jc w:val="both"/>
        <w:rPr>
          <w:rFonts w:asciiTheme="minorHAnsi" w:hAnsiTheme="minorHAnsi" w:cstheme="minorBidi"/>
        </w:rPr>
      </w:pPr>
    </w:p>
    <w:p w14:paraId="7E78A3FD" w14:textId="08653AC0" w:rsidR="0049723A" w:rsidRPr="00B64995" w:rsidRDefault="006E7F66" w:rsidP="00A83DAA">
      <w:pPr>
        <w:pStyle w:val="Heading5"/>
      </w:pPr>
      <w:r w:rsidRPr="00B64995">
        <w:t xml:space="preserve">Internet of </w:t>
      </w:r>
      <w:r w:rsidR="009F73D9" w:rsidRPr="00B64995">
        <w:t>Things</w:t>
      </w:r>
    </w:p>
    <w:p w14:paraId="2E68D702" w14:textId="6B1D5943" w:rsidR="005505C6" w:rsidRPr="00B64995" w:rsidRDefault="000A468D" w:rsidP="00A83DAA">
      <w:pPr>
        <w:pStyle w:val="Heading5"/>
        <w:rPr>
          <w:rFonts w:ascii="Calibri" w:eastAsiaTheme="minorHAnsi" w:hAnsi="Calibri" w:cs="Calibri"/>
          <w:b w:val="0"/>
          <w:color w:val="auto"/>
        </w:rPr>
      </w:pPr>
      <w:r w:rsidRPr="00B64995">
        <w:rPr>
          <w:rFonts w:ascii="Calibri" w:eastAsiaTheme="minorHAnsi" w:hAnsi="Calibri" w:cs="Calibri"/>
          <w:b w:val="0"/>
          <w:color w:val="auto"/>
        </w:rPr>
        <w:t>S</w:t>
      </w:r>
      <w:r w:rsidR="00B950AA" w:rsidRPr="00B64995">
        <w:rPr>
          <w:rFonts w:ascii="Calibri" w:eastAsiaTheme="minorHAnsi" w:hAnsi="Calibri" w:cs="Calibri"/>
          <w:b w:val="0"/>
          <w:color w:val="auto"/>
        </w:rPr>
        <w:t xml:space="preserve">ee section </w:t>
      </w:r>
      <w:proofErr w:type="gramStart"/>
      <w:r w:rsidR="00B950AA" w:rsidRPr="00B64995">
        <w:rPr>
          <w:rFonts w:ascii="Calibri" w:eastAsiaTheme="minorHAnsi" w:hAnsi="Calibri" w:cs="Calibri"/>
          <w:b w:val="0"/>
          <w:color w:val="auto"/>
        </w:rPr>
        <w:t>1.3</w:t>
      </w:r>
      <w:proofErr w:type="gramEnd"/>
      <w:r w:rsidR="00B950AA" w:rsidRPr="00B64995">
        <w:rPr>
          <w:rFonts w:ascii="Calibri" w:eastAsiaTheme="minorHAnsi" w:hAnsi="Calibri" w:cs="Calibri"/>
          <w:b w:val="0"/>
          <w:color w:val="auto"/>
        </w:rPr>
        <w:t xml:space="preserve"> </w:t>
      </w:r>
    </w:p>
    <w:p w14:paraId="5FEB6E2B" w14:textId="56728D39" w:rsidR="00C15DA1" w:rsidRPr="00B64995" w:rsidRDefault="3E2571FA" w:rsidP="009E1697">
      <w:pPr>
        <w:jc w:val="both"/>
        <w:rPr>
          <w:rFonts w:eastAsiaTheme="minorEastAsia"/>
        </w:rPr>
      </w:pPr>
      <w:r w:rsidRPr="00B64995">
        <w:t xml:space="preserve">ITU enables the </w:t>
      </w:r>
      <w:r w:rsidR="155D504A" w:rsidRPr="00B64995">
        <w:t xml:space="preserve">coordinated development of interoperable </w:t>
      </w:r>
      <w:r w:rsidR="1014C7F8" w:rsidRPr="00B64995">
        <w:t>IoT</w:t>
      </w:r>
      <w:r w:rsidR="155D504A" w:rsidRPr="00B64995">
        <w:t xml:space="preserve"> technologies</w:t>
      </w:r>
      <w:r w:rsidR="04E0E297" w:rsidRPr="00B64995">
        <w:t xml:space="preserve">, </w:t>
      </w:r>
      <w:r w:rsidR="009F73D9" w:rsidRPr="00B64995">
        <w:t xml:space="preserve">which </w:t>
      </w:r>
      <w:r w:rsidR="00B578E4" w:rsidRPr="00B64995">
        <w:t>essentially</w:t>
      </w:r>
      <w:r w:rsidR="009F73D9" w:rsidRPr="00B64995">
        <w:t xml:space="preserve"> encompass</w:t>
      </w:r>
      <w:r w:rsidR="00B578E4" w:rsidRPr="00B64995">
        <w:t xml:space="preserve"> </w:t>
      </w:r>
      <w:r w:rsidR="04E0E297" w:rsidRPr="00B64995">
        <w:t xml:space="preserve">millions of connected devices and objects. </w:t>
      </w:r>
      <w:r w:rsidR="00D331C4" w:rsidRPr="00B64995">
        <w:t xml:space="preserve">ITU standards development for ‘IoT and smart cities’ is led by ITU-T </w:t>
      </w:r>
      <w:r w:rsidR="006D38B9" w:rsidRPr="00B64995">
        <w:t>SG 2</w:t>
      </w:r>
      <w:r w:rsidR="00D331C4" w:rsidRPr="00B64995">
        <w:t xml:space="preserve">0 and supported by increasing collaboration with oneM2M. </w:t>
      </w:r>
    </w:p>
    <w:p w14:paraId="025B9F3A" w14:textId="77777777" w:rsidR="00872874" w:rsidRPr="00B64995" w:rsidRDefault="00872874" w:rsidP="00614D53">
      <w:pPr>
        <w:rPr>
          <w:b/>
        </w:rPr>
      </w:pPr>
    </w:p>
    <w:p w14:paraId="7C85C75F" w14:textId="53D9F6C5" w:rsidR="0A1710D3" w:rsidRPr="00B64995" w:rsidRDefault="00872874" w:rsidP="00614D53">
      <w:pPr>
        <w:rPr>
          <w:bCs/>
        </w:rPr>
      </w:pPr>
      <w:r w:rsidRPr="00B64995">
        <w:rPr>
          <w:bCs/>
        </w:rPr>
        <w:t xml:space="preserve">For details, see </w:t>
      </w:r>
      <w:hyperlink w:anchor="Resolution_197" w:history="1">
        <w:r w:rsidRPr="00B64995">
          <w:rPr>
            <w:rStyle w:val="Hyperlink"/>
            <w:bCs/>
          </w:rPr>
          <w:t>Annex 1, Resolution 197</w:t>
        </w:r>
      </w:hyperlink>
      <w:r w:rsidRPr="00A060FE">
        <w:rPr>
          <w:bCs/>
        </w:rPr>
        <w:t>.</w:t>
      </w:r>
    </w:p>
    <w:p w14:paraId="59721989" w14:textId="77777777" w:rsidR="00872874" w:rsidRPr="00B64995" w:rsidRDefault="00872874" w:rsidP="00614D53">
      <w:pPr>
        <w:rPr>
          <w:b/>
        </w:rPr>
      </w:pPr>
    </w:p>
    <w:p w14:paraId="60979A87" w14:textId="4632D9BA" w:rsidR="005505C6" w:rsidRPr="00B64995" w:rsidRDefault="005505C6" w:rsidP="00A83DAA">
      <w:pPr>
        <w:pStyle w:val="Heading5"/>
      </w:pPr>
      <w:r w:rsidRPr="00B64995">
        <w:t xml:space="preserve">Quantum </w:t>
      </w:r>
      <w:r w:rsidR="00B94A75" w:rsidRPr="00B64995">
        <w:t>i</w:t>
      </w:r>
      <w:r w:rsidRPr="00B64995">
        <w:t xml:space="preserve">nformation </w:t>
      </w:r>
      <w:r w:rsidR="00B94A75" w:rsidRPr="00B64995">
        <w:t>t</w:t>
      </w:r>
      <w:r w:rsidRPr="00B64995">
        <w:t>echnology</w:t>
      </w:r>
    </w:p>
    <w:p w14:paraId="27320A34" w14:textId="77777777" w:rsidR="0049723A" w:rsidRPr="00B87922" w:rsidRDefault="428A3E94" w:rsidP="0012722A">
      <w:pPr>
        <w:pStyle w:val="paragraph"/>
        <w:spacing w:before="0" w:beforeAutospacing="0" w:after="0" w:afterAutospacing="0"/>
        <w:jc w:val="both"/>
        <w:rPr>
          <w:rStyle w:val="normaltextrun"/>
          <w:rFonts w:ascii="Calibri" w:eastAsiaTheme="majorEastAsia" w:hAnsi="Calibri" w:cs="Calibri"/>
          <w:sz w:val="22"/>
          <w:szCs w:val="22"/>
        </w:rPr>
      </w:pPr>
      <w:r w:rsidRPr="00B64995">
        <w:rPr>
          <w:rStyle w:val="normaltextrun"/>
          <w:rFonts w:ascii="Calibri" w:eastAsiaTheme="majorEastAsia" w:hAnsi="Calibri" w:cs="Calibri"/>
          <w:sz w:val="22"/>
          <w:szCs w:val="22"/>
        </w:rPr>
        <w:t>QIT is a class of emerging technology that improves information processing capability by harnessing principles of quantum mechanics. It has promoted the booming of the second quantum revolution and will have a profound impact on ICT networks.</w:t>
      </w:r>
    </w:p>
    <w:p w14:paraId="29D56521" w14:textId="4C3F037C" w:rsidR="00316EEE" w:rsidRPr="00B64995" w:rsidRDefault="006E7F66" w:rsidP="00AB1217">
      <w:pPr>
        <w:pStyle w:val="paragraph"/>
        <w:spacing w:after="0"/>
        <w:jc w:val="both"/>
        <w:rPr>
          <w:sz w:val="22"/>
          <w:szCs w:val="22"/>
        </w:rPr>
      </w:pPr>
      <w:r w:rsidRPr="00B64995">
        <w:rPr>
          <w:rStyle w:val="normaltextrun"/>
          <w:rFonts w:ascii="Calibri" w:eastAsiaTheme="majorEastAsia" w:hAnsi="Calibri" w:cs="Calibri"/>
          <w:sz w:val="22"/>
          <w:szCs w:val="22"/>
        </w:rPr>
        <w:t xml:space="preserve">In response to this new emerging technology </w:t>
      </w:r>
      <w:r w:rsidR="428A3E94" w:rsidRPr="00B64995">
        <w:rPr>
          <w:rStyle w:val="normaltextrun"/>
          <w:rFonts w:ascii="Calibri" w:eastAsiaTheme="majorEastAsia" w:hAnsi="Calibri" w:cs="Calibri"/>
          <w:sz w:val="22"/>
          <w:szCs w:val="22"/>
        </w:rPr>
        <w:t xml:space="preserve">ITU </w:t>
      </w:r>
      <w:r w:rsidRPr="00B64995">
        <w:rPr>
          <w:rStyle w:val="normaltextrun"/>
          <w:rFonts w:ascii="Calibri" w:eastAsiaTheme="majorEastAsia" w:hAnsi="Calibri" w:cs="Calibri"/>
          <w:sz w:val="22"/>
          <w:szCs w:val="22"/>
        </w:rPr>
        <w:t xml:space="preserve">established </w:t>
      </w:r>
      <w:r w:rsidRPr="00B64995">
        <w:rPr>
          <w:rStyle w:val="normaltextrun"/>
          <w:rFonts w:ascii="Calibri" w:hAnsi="Calibri" w:cs="Calibri"/>
          <w:sz w:val="22"/>
          <w:szCs w:val="22"/>
        </w:rPr>
        <w:t>t</w:t>
      </w:r>
      <w:r w:rsidR="005505C6" w:rsidRPr="00B64995">
        <w:rPr>
          <w:rStyle w:val="normaltextrun"/>
          <w:rFonts w:ascii="Calibri" w:hAnsi="Calibri" w:cs="Calibri"/>
          <w:sz w:val="22"/>
          <w:szCs w:val="22"/>
        </w:rPr>
        <w:t xml:space="preserve">he </w:t>
      </w:r>
      <w:hyperlink r:id="rId252" w:history="1">
        <w:r w:rsidR="005505C6" w:rsidRPr="00B64995">
          <w:rPr>
            <w:rStyle w:val="Hyperlink"/>
            <w:rFonts w:ascii="Calibri" w:hAnsi="Calibri" w:cs="Calibri"/>
            <w:sz w:val="22"/>
            <w:szCs w:val="22"/>
          </w:rPr>
          <w:t>ITU-T Focus Group on Quantum Information Technology for Networks</w:t>
        </w:r>
      </w:hyperlink>
      <w:r w:rsidR="005505C6" w:rsidRPr="00A060FE">
        <w:rPr>
          <w:rStyle w:val="normaltextrun"/>
          <w:rFonts w:ascii="Calibri" w:hAnsi="Calibri" w:cs="Calibri"/>
          <w:sz w:val="22"/>
          <w:szCs w:val="22"/>
        </w:rPr>
        <w:t xml:space="preserve"> (FG-QIT4N) to provide a collaborative platform for pre-standardization aspects of QIT for networks.</w:t>
      </w:r>
      <w:r w:rsidR="005505C6" w:rsidRPr="00B64995">
        <w:rPr>
          <w:rFonts w:ascii="Calibri" w:hAnsi="Calibri" w:cs="Calibri"/>
          <w:sz w:val="22"/>
          <w:szCs w:val="22"/>
        </w:rPr>
        <w:t xml:space="preserve"> </w:t>
      </w:r>
      <w:r w:rsidR="005505C6" w:rsidRPr="00B64995">
        <w:rPr>
          <w:rStyle w:val="normaltextrun"/>
          <w:rFonts w:ascii="Calibri" w:hAnsi="Calibri" w:cs="Calibri"/>
          <w:sz w:val="22"/>
          <w:szCs w:val="22"/>
        </w:rPr>
        <w:t xml:space="preserve">Its main objectives </w:t>
      </w:r>
      <w:proofErr w:type="gramStart"/>
      <w:r w:rsidR="005505C6" w:rsidRPr="00B64995">
        <w:rPr>
          <w:rStyle w:val="normaltextrun"/>
          <w:rFonts w:ascii="Calibri" w:hAnsi="Calibri" w:cs="Calibri"/>
          <w:sz w:val="22"/>
          <w:szCs w:val="22"/>
        </w:rPr>
        <w:t>are:</w:t>
      </w:r>
      <w:proofErr w:type="gramEnd"/>
      <w:r w:rsidR="005505C6" w:rsidRPr="00B64995">
        <w:rPr>
          <w:rStyle w:val="normaltextrun"/>
          <w:rFonts w:ascii="Calibri" w:hAnsi="Calibri" w:cs="Calibri"/>
          <w:sz w:val="22"/>
          <w:szCs w:val="22"/>
        </w:rPr>
        <w:t xml:space="preserve"> to study the evolution and applications of QIT for networks; to focus on terminology and use cases for QIT for networks; to provide necessary technical background information and collaborative conditions to effectively support QIN-related standardization work in ITU-T </w:t>
      </w:r>
      <w:r w:rsidR="006D38B9" w:rsidRPr="00B64995">
        <w:rPr>
          <w:rStyle w:val="normaltextrun"/>
          <w:rFonts w:ascii="Calibri" w:hAnsi="Calibri" w:cs="Calibri"/>
          <w:sz w:val="22"/>
          <w:szCs w:val="22"/>
        </w:rPr>
        <w:t>s</w:t>
      </w:r>
      <w:r w:rsidR="005505C6" w:rsidRPr="00B64995">
        <w:rPr>
          <w:rStyle w:val="normaltextrun"/>
          <w:rFonts w:ascii="Calibri" w:hAnsi="Calibri" w:cs="Calibri"/>
          <w:sz w:val="22"/>
          <w:szCs w:val="22"/>
        </w:rPr>
        <w:t xml:space="preserve">tudy </w:t>
      </w:r>
      <w:r w:rsidR="006D38B9" w:rsidRPr="00B64995">
        <w:rPr>
          <w:rStyle w:val="normaltextrun"/>
          <w:rFonts w:ascii="Calibri" w:hAnsi="Calibri" w:cs="Calibri"/>
          <w:sz w:val="22"/>
          <w:szCs w:val="22"/>
        </w:rPr>
        <w:t>g</w:t>
      </w:r>
      <w:r w:rsidR="005505C6" w:rsidRPr="00B64995">
        <w:rPr>
          <w:rStyle w:val="normaltextrun"/>
          <w:rFonts w:ascii="Calibri" w:hAnsi="Calibri" w:cs="Calibri"/>
          <w:sz w:val="22"/>
          <w:szCs w:val="22"/>
        </w:rPr>
        <w:t xml:space="preserve">roups; and to provide an open cooperation </w:t>
      </w:r>
      <w:r w:rsidR="005505C6" w:rsidRPr="00B64995">
        <w:rPr>
          <w:rStyle w:val="normaltextrun"/>
          <w:rFonts w:ascii="Calibri" w:hAnsi="Calibri" w:cs="Calibri"/>
          <w:sz w:val="22"/>
          <w:szCs w:val="22"/>
        </w:rPr>
        <w:lastRenderedPageBreak/>
        <w:t>platform with</w:t>
      </w:r>
      <w:r w:rsidR="00951E14" w:rsidRPr="00B64995">
        <w:rPr>
          <w:rStyle w:val="normaltextrun"/>
          <w:rFonts w:ascii="Calibri" w:hAnsi="Calibri" w:cs="Calibri"/>
          <w:sz w:val="22"/>
          <w:szCs w:val="22"/>
        </w:rPr>
        <w:t xml:space="preserve"> ITU-T </w:t>
      </w:r>
      <w:r w:rsidR="006D38B9" w:rsidRPr="00B64995">
        <w:rPr>
          <w:rStyle w:val="normaltextrun"/>
          <w:rFonts w:ascii="Calibri" w:hAnsi="Calibri" w:cs="Calibri"/>
          <w:sz w:val="22"/>
          <w:szCs w:val="22"/>
        </w:rPr>
        <w:t>s</w:t>
      </w:r>
      <w:r w:rsidR="00951E14" w:rsidRPr="00B64995">
        <w:rPr>
          <w:rStyle w:val="normaltextrun"/>
          <w:rFonts w:ascii="Calibri" w:hAnsi="Calibri" w:cs="Calibri"/>
          <w:sz w:val="22"/>
          <w:szCs w:val="22"/>
        </w:rPr>
        <w:t xml:space="preserve">tudy </w:t>
      </w:r>
      <w:r w:rsidR="006D38B9" w:rsidRPr="00B64995">
        <w:rPr>
          <w:rStyle w:val="normaltextrun"/>
          <w:rFonts w:ascii="Calibri" w:hAnsi="Calibri" w:cs="Calibri"/>
          <w:sz w:val="22"/>
          <w:szCs w:val="22"/>
        </w:rPr>
        <w:t>g</w:t>
      </w:r>
      <w:r w:rsidR="00951E14" w:rsidRPr="00B64995">
        <w:rPr>
          <w:rStyle w:val="normaltextrun"/>
          <w:rFonts w:ascii="Calibri" w:hAnsi="Calibri" w:cs="Calibri"/>
          <w:sz w:val="22"/>
          <w:szCs w:val="22"/>
        </w:rPr>
        <w:t xml:space="preserve">roups and other </w:t>
      </w:r>
      <w:r w:rsidR="00585578" w:rsidRPr="00B64995">
        <w:rPr>
          <w:rStyle w:val="normaltextrun"/>
          <w:rFonts w:ascii="Calibri" w:hAnsi="Calibri" w:cs="Calibri"/>
          <w:sz w:val="22"/>
          <w:szCs w:val="22"/>
        </w:rPr>
        <w:t>standards development organizations (</w:t>
      </w:r>
      <w:r w:rsidR="00951E14" w:rsidRPr="00B64995">
        <w:rPr>
          <w:rStyle w:val="normaltextrun"/>
          <w:rFonts w:ascii="Calibri" w:hAnsi="Calibri" w:cs="Calibri"/>
          <w:sz w:val="22"/>
          <w:szCs w:val="22"/>
        </w:rPr>
        <w:t>SDOs</w:t>
      </w:r>
      <w:r w:rsidR="00585578" w:rsidRPr="00B64995">
        <w:rPr>
          <w:rStyle w:val="normaltextrun"/>
          <w:rFonts w:ascii="Calibri" w:hAnsi="Calibri" w:cs="Calibri"/>
          <w:sz w:val="22"/>
          <w:szCs w:val="22"/>
        </w:rPr>
        <w:t>)</w:t>
      </w:r>
      <w:r w:rsidR="00951E14" w:rsidRPr="00B64995">
        <w:rPr>
          <w:rStyle w:val="normaltextrun"/>
          <w:rFonts w:ascii="Calibri" w:hAnsi="Calibri" w:cs="Calibri"/>
          <w:sz w:val="22"/>
          <w:szCs w:val="22"/>
        </w:rPr>
        <w:t>.</w:t>
      </w:r>
      <w:r w:rsidR="00200CD7" w:rsidRPr="00B64995">
        <w:rPr>
          <w:rStyle w:val="normaltextrun"/>
          <w:rFonts w:ascii="Calibri" w:hAnsi="Calibri" w:cs="Calibri"/>
          <w:sz w:val="22"/>
          <w:szCs w:val="22"/>
        </w:rPr>
        <w:t xml:space="preserve"> </w:t>
      </w:r>
      <w:hyperlink w:anchor="Section_1_3" w:history="1">
        <w:r w:rsidR="00221CFD" w:rsidRPr="00B64995">
          <w:rPr>
            <w:rStyle w:val="Hyperlink"/>
            <w:rFonts w:ascii="Calibri" w:hAnsi="Calibri" w:cs="Calibri"/>
            <w:sz w:val="22"/>
            <w:szCs w:val="22"/>
          </w:rPr>
          <w:t>Section 1.3</w:t>
        </w:r>
      </w:hyperlink>
      <w:r w:rsidR="00221CFD" w:rsidRPr="00A060FE">
        <w:rPr>
          <w:rStyle w:val="normaltextrun"/>
          <w:rFonts w:ascii="Calibri" w:hAnsi="Calibri" w:cs="Calibri"/>
          <w:sz w:val="22"/>
          <w:szCs w:val="22"/>
        </w:rPr>
        <w:t xml:space="preserve"> </w:t>
      </w:r>
      <w:r w:rsidRPr="00B64995">
        <w:rPr>
          <w:rStyle w:val="normaltextrun"/>
          <w:rFonts w:ascii="Calibri" w:hAnsi="Calibri" w:cs="Calibri"/>
          <w:sz w:val="22"/>
          <w:szCs w:val="22"/>
        </w:rPr>
        <w:t xml:space="preserve">summarizes some of the first </w:t>
      </w:r>
      <w:r w:rsidR="00221CFD" w:rsidRPr="00B64995">
        <w:rPr>
          <w:rStyle w:val="normaltextrun"/>
          <w:rFonts w:ascii="Calibri" w:hAnsi="Calibri" w:cs="Calibri"/>
          <w:sz w:val="22"/>
          <w:szCs w:val="22"/>
        </w:rPr>
        <w:t xml:space="preserve">ITU </w:t>
      </w:r>
      <w:r w:rsidRPr="00B64995">
        <w:rPr>
          <w:rStyle w:val="normaltextrun"/>
          <w:rFonts w:ascii="Calibri" w:hAnsi="Calibri" w:cs="Calibri"/>
          <w:sz w:val="22"/>
          <w:szCs w:val="22"/>
        </w:rPr>
        <w:t xml:space="preserve">recommendations related to QIT already </w:t>
      </w:r>
      <w:r w:rsidR="00221CFD" w:rsidRPr="00B64995">
        <w:rPr>
          <w:rStyle w:val="normaltextrun"/>
          <w:rFonts w:ascii="Calibri" w:hAnsi="Calibri" w:cs="Calibri"/>
          <w:sz w:val="22"/>
          <w:szCs w:val="22"/>
        </w:rPr>
        <w:t>adopted.</w:t>
      </w:r>
    </w:p>
    <w:p w14:paraId="63DCA3B0" w14:textId="24C0660E" w:rsidR="00316EEE" w:rsidRPr="00B87922" w:rsidRDefault="00316EEE" w:rsidP="00614D53">
      <w:pPr>
        <w:jc w:val="both"/>
        <w:textAlignment w:val="baseline"/>
        <w:rPr>
          <w:rStyle w:val="normaltextrun"/>
        </w:rPr>
      </w:pPr>
      <w:r w:rsidRPr="00B64995">
        <w:t>Details on</w:t>
      </w:r>
      <w:r w:rsidRPr="00B64995">
        <w:rPr>
          <w:b/>
          <w:bCs/>
        </w:rPr>
        <w:t xml:space="preserve"> other </w:t>
      </w:r>
      <w:r w:rsidR="00A40E17" w:rsidRPr="00B64995">
        <w:rPr>
          <w:b/>
          <w:bCs/>
        </w:rPr>
        <w:t xml:space="preserve">specific </w:t>
      </w:r>
      <w:r w:rsidRPr="00B64995">
        <w:rPr>
          <w:b/>
          <w:bCs/>
        </w:rPr>
        <w:t xml:space="preserve">emerging technologies </w:t>
      </w:r>
      <w:r w:rsidRPr="00B64995">
        <w:t>(</w:t>
      </w:r>
      <w:proofErr w:type="gramStart"/>
      <w:r w:rsidRPr="00B64995">
        <w:t>e.g.</w:t>
      </w:r>
      <w:proofErr w:type="gramEnd"/>
      <w:r w:rsidRPr="00B64995">
        <w:t xml:space="preserve"> distributed ledger technology and digital financial services</w:t>
      </w:r>
      <w:r w:rsidR="00671B69" w:rsidRPr="00B64995">
        <w:t xml:space="preserve">) </w:t>
      </w:r>
      <w:r w:rsidRPr="00B64995">
        <w:t xml:space="preserve">can be found in </w:t>
      </w:r>
      <w:hyperlink w:anchor="Section_1_3" w:history="1">
        <w:r w:rsidRPr="00B64995">
          <w:rPr>
            <w:rStyle w:val="Hyperlink"/>
          </w:rPr>
          <w:t>section 1.3</w:t>
        </w:r>
      </w:hyperlink>
      <w:r w:rsidR="00274608" w:rsidRPr="00A060FE">
        <w:t xml:space="preserve"> </w:t>
      </w:r>
      <w:r w:rsidR="00274608" w:rsidRPr="00B64995">
        <w:rPr>
          <w:rStyle w:val="Hyperlink"/>
          <w:color w:val="auto"/>
          <w:u w:val="none"/>
        </w:rPr>
        <w:t xml:space="preserve">and in </w:t>
      </w:r>
      <w:hyperlink w:anchor="Resolution_204" w:history="1">
        <w:r w:rsidR="00274608" w:rsidRPr="00B64995">
          <w:rPr>
            <w:rStyle w:val="Hyperlink"/>
          </w:rPr>
          <w:t>Annex 1, Resolution 204</w:t>
        </w:r>
      </w:hyperlink>
      <w:r w:rsidR="00274608" w:rsidRPr="00A060FE">
        <w:rPr>
          <w:rStyle w:val="Hyperlink"/>
          <w:color w:val="auto"/>
          <w:u w:val="none"/>
        </w:rPr>
        <w:t>.</w:t>
      </w:r>
    </w:p>
    <w:p w14:paraId="12F3A2F7" w14:textId="12E10AEF" w:rsidR="00A661EB" w:rsidRPr="00B64995" w:rsidRDefault="00A661EB" w:rsidP="00614C1F">
      <w:pPr>
        <w:jc w:val="both"/>
        <w:rPr>
          <w:rFonts w:eastAsia="Calibri"/>
        </w:rPr>
      </w:pPr>
    </w:p>
    <w:p w14:paraId="7F083FB3" w14:textId="77777777" w:rsidR="0049723A" w:rsidRPr="00B64995" w:rsidRDefault="00E4488A" w:rsidP="00E4488A">
      <w:pPr>
        <w:pStyle w:val="Heading2"/>
        <w:rPr>
          <w:lang w:eastAsia="en-GB"/>
        </w:rPr>
      </w:pPr>
      <w:bookmarkStart w:id="47" w:name="Section_1_5"/>
      <w:r w:rsidRPr="00B64995">
        <w:rPr>
          <w:lang w:eastAsia="en-GB"/>
        </w:rPr>
        <w:t>1.5</w:t>
      </w:r>
      <w:r w:rsidRPr="00B64995">
        <w:rPr>
          <w:lang w:eastAsia="en-GB"/>
        </w:rPr>
        <w:tab/>
        <w:t>Environment and smart sustainable cities and communities</w:t>
      </w:r>
    </w:p>
    <w:p w14:paraId="7F176D48" w14:textId="3E9F4433" w:rsidR="00E4488A" w:rsidRPr="00B64995" w:rsidRDefault="00E4488A" w:rsidP="00E4488A">
      <w:pPr>
        <w:rPr>
          <w:lang w:eastAsia="en-GB"/>
        </w:rPr>
      </w:pPr>
    </w:p>
    <w:bookmarkEnd w:id="47"/>
    <w:p w14:paraId="0B153DAD" w14:textId="5E6D2254" w:rsidR="577429E1" w:rsidRPr="00B87922" w:rsidRDefault="286F586B" w:rsidP="0012722A">
      <w:pPr>
        <w:pStyle w:val="paragraph"/>
        <w:spacing w:before="120" w:beforeAutospacing="0" w:after="0" w:afterAutospacing="0"/>
        <w:jc w:val="both"/>
        <w:textAlignment w:val="baseline"/>
        <w:rPr>
          <w:rStyle w:val="normaltextrun"/>
          <w:rFonts w:ascii="Calibri" w:eastAsiaTheme="majorEastAsia" w:hAnsi="Calibri" w:cs="Calibri"/>
          <w:sz w:val="22"/>
          <w:szCs w:val="22"/>
        </w:rPr>
      </w:pPr>
      <w:r w:rsidRPr="00B64995">
        <w:rPr>
          <w:rStyle w:val="normaltextrun"/>
          <w:rFonts w:ascii="Calibri" w:eastAsiaTheme="majorEastAsia" w:hAnsi="Calibri" w:cs="Calibri"/>
          <w:sz w:val="22"/>
          <w:szCs w:val="22"/>
        </w:rPr>
        <w:t xml:space="preserve">ICTs provide a growing </w:t>
      </w:r>
      <w:r w:rsidR="00584A7A" w:rsidRPr="00B64995">
        <w:rPr>
          <w:rStyle w:val="normaltextrun"/>
          <w:rFonts w:ascii="Calibri" w:eastAsiaTheme="majorEastAsia" w:hAnsi="Calibri" w:cs="Calibri"/>
          <w:sz w:val="22"/>
          <w:szCs w:val="22"/>
        </w:rPr>
        <w:t xml:space="preserve">number </w:t>
      </w:r>
      <w:r w:rsidRPr="00B64995">
        <w:rPr>
          <w:rStyle w:val="normaltextrun"/>
          <w:rFonts w:ascii="Calibri" w:eastAsiaTheme="majorEastAsia" w:hAnsi="Calibri" w:cs="Calibri"/>
          <w:sz w:val="22"/>
          <w:szCs w:val="22"/>
        </w:rPr>
        <w:t xml:space="preserve">of opportunities for sustainable development and to address challenges related to climate change. ICTs are fundamental for monitoring, </w:t>
      </w:r>
      <w:proofErr w:type="gramStart"/>
      <w:r w:rsidRPr="00B64995">
        <w:rPr>
          <w:rStyle w:val="normaltextrun"/>
          <w:rFonts w:ascii="Calibri" w:eastAsiaTheme="majorEastAsia" w:hAnsi="Calibri" w:cs="Calibri"/>
          <w:sz w:val="22"/>
          <w:szCs w:val="22"/>
        </w:rPr>
        <w:t>mitigating</w:t>
      </w:r>
      <w:proofErr w:type="gramEnd"/>
      <w:r w:rsidRPr="00B64995">
        <w:rPr>
          <w:rStyle w:val="normaltextrun"/>
          <w:rFonts w:ascii="Calibri" w:eastAsiaTheme="majorEastAsia" w:hAnsi="Calibri" w:cs="Calibri"/>
          <w:sz w:val="22"/>
          <w:szCs w:val="22"/>
        </w:rPr>
        <w:t xml:space="preserve"> and adapting to </w:t>
      </w:r>
      <w:r w:rsidR="71CF3CB5" w:rsidRPr="00B64995">
        <w:rPr>
          <w:rStyle w:val="normaltextrun"/>
          <w:rFonts w:ascii="Calibri" w:eastAsiaTheme="majorEastAsia" w:hAnsi="Calibri" w:cs="Calibri"/>
          <w:sz w:val="22"/>
          <w:szCs w:val="22"/>
        </w:rPr>
        <w:t xml:space="preserve">the </w:t>
      </w:r>
      <w:r w:rsidRPr="00B64995">
        <w:rPr>
          <w:rStyle w:val="normaltextrun"/>
          <w:rFonts w:ascii="Calibri" w:eastAsiaTheme="majorEastAsia" w:hAnsi="Calibri" w:cs="Calibri"/>
          <w:sz w:val="22"/>
          <w:szCs w:val="22"/>
        </w:rPr>
        <w:t>effects</w:t>
      </w:r>
      <w:r w:rsidR="71CF3CB5" w:rsidRPr="00B64995">
        <w:rPr>
          <w:rStyle w:val="normaltextrun"/>
          <w:rFonts w:ascii="Calibri" w:eastAsiaTheme="majorEastAsia" w:hAnsi="Calibri" w:cs="Calibri"/>
          <w:sz w:val="22"/>
          <w:szCs w:val="22"/>
        </w:rPr>
        <w:t xml:space="preserve"> of climate change</w:t>
      </w:r>
      <w:r w:rsidRPr="00B64995">
        <w:rPr>
          <w:rStyle w:val="normaltextrun"/>
          <w:rFonts w:ascii="Calibri" w:eastAsiaTheme="majorEastAsia" w:hAnsi="Calibri" w:cs="Calibri"/>
          <w:sz w:val="22"/>
          <w:szCs w:val="22"/>
        </w:rPr>
        <w:t xml:space="preserve">. ICTs also deliver smart applications and transform the way services are delivered - including </w:t>
      </w:r>
      <w:proofErr w:type="gramStart"/>
      <w:r w:rsidRPr="00B64995">
        <w:rPr>
          <w:rStyle w:val="normaltextrun"/>
          <w:rFonts w:ascii="Calibri" w:eastAsiaTheme="majorEastAsia" w:hAnsi="Calibri" w:cs="Calibri"/>
          <w:sz w:val="22"/>
          <w:szCs w:val="22"/>
        </w:rPr>
        <w:t>in the area of</w:t>
      </w:r>
      <w:proofErr w:type="gramEnd"/>
      <w:r w:rsidRPr="00B64995">
        <w:rPr>
          <w:rStyle w:val="normaltextrun"/>
          <w:rFonts w:ascii="Calibri" w:eastAsiaTheme="majorEastAsia" w:hAnsi="Calibri" w:cs="Calibri"/>
          <w:sz w:val="22"/>
          <w:szCs w:val="22"/>
        </w:rPr>
        <w:t xml:space="preserve"> energy, waste, and water management - to reduce the carbon footprint</w:t>
      </w:r>
      <w:r w:rsidR="574D27A7" w:rsidRPr="00B64995">
        <w:rPr>
          <w:rStyle w:val="normaltextrun"/>
          <w:rFonts w:ascii="Calibri" w:eastAsiaTheme="majorEastAsia" w:hAnsi="Calibri" w:cs="Calibri"/>
          <w:sz w:val="22"/>
          <w:szCs w:val="22"/>
        </w:rPr>
        <w:t xml:space="preserve"> of human activities</w:t>
      </w:r>
      <w:r w:rsidRPr="00B64995">
        <w:rPr>
          <w:rStyle w:val="normaltextrun"/>
          <w:rFonts w:ascii="Calibri" w:eastAsiaTheme="majorEastAsia" w:hAnsi="Calibri" w:cs="Calibri"/>
          <w:sz w:val="22"/>
          <w:szCs w:val="22"/>
        </w:rPr>
        <w:t xml:space="preserve">. At the same time, it is important to address the environmental challenges that </w:t>
      </w:r>
      <w:r w:rsidR="00C258A8" w:rsidRPr="00B64995">
        <w:rPr>
          <w:rStyle w:val="normaltextrun"/>
          <w:rFonts w:ascii="Calibri" w:eastAsiaTheme="majorEastAsia" w:hAnsi="Calibri" w:cs="Calibri"/>
          <w:sz w:val="22"/>
          <w:szCs w:val="22"/>
        </w:rPr>
        <w:t xml:space="preserve">the </w:t>
      </w:r>
      <w:r w:rsidRPr="00B64995">
        <w:rPr>
          <w:rStyle w:val="normaltextrun"/>
          <w:rFonts w:ascii="Calibri" w:eastAsiaTheme="majorEastAsia" w:hAnsi="Calibri" w:cs="Calibri"/>
          <w:sz w:val="22"/>
          <w:szCs w:val="22"/>
        </w:rPr>
        <w:t xml:space="preserve">ICT industry presents. A growing information society increases the level of energy consumption and the emission of </w:t>
      </w:r>
      <w:r w:rsidR="30C65802" w:rsidRPr="00B64995">
        <w:rPr>
          <w:rStyle w:val="normaltextrun"/>
          <w:rFonts w:ascii="Calibri" w:eastAsiaTheme="majorEastAsia" w:hAnsi="Calibri" w:cs="Calibri"/>
          <w:sz w:val="22"/>
          <w:szCs w:val="22"/>
        </w:rPr>
        <w:t>greenhouse gases (GHGs)</w:t>
      </w:r>
      <w:r w:rsidRPr="00B64995">
        <w:rPr>
          <w:rStyle w:val="normaltextrun"/>
          <w:rFonts w:ascii="Calibri" w:eastAsiaTheme="majorEastAsia" w:hAnsi="Calibri" w:cs="Calibri"/>
          <w:sz w:val="22"/>
          <w:szCs w:val="22"/>
        </w:rPr>
        <w:t xml:space="preserve"> for the growing spread and use of ICT services, </w:t>
      </w:r>
      <w:proofErr w:type="gramStart"/>
      <w:r w:rsidRPr="00B64995">
        <w:rPr>
          <w:rStyle w:val="normaltextrun"/>
          <w:rFonts w:ascii="Calibri" w:eastAsiaTheme="majorEastAsia" w:hAnsi="Calibri" w:cs="Calibri"/>
          <w:sz w:val="22"/>
          <w:szCs w:val="22"/>
        </w:rPr>
        <w:t>networks</w:t>
      </w:r>
      <w:proofErr w:type="gramEnd"/>
      <w:r w:rsidRPr="00B64995">
        <w:rPr>
          <w:rStyle w:val="normaltextrun"/>
          <w:rFonts w:ascii="Calibri" w:eastAsiaTheme="majorEastAsia" w:hAnsi="Calibri" w:cs="Calibri"/>
          <w:sz w:val="22"/>
          <w:szCs w:val="22"/>
        </w:rPr>
        <w:t xml:space="preserve"> and devices. The </w:t>
      </w:r>
      <w:r w:rsidR="60F880AF" w:rsidRPr="00B64995">
        <w:rPr>
          <w:rStyle w:val="normaltextrun"/>
          <w:rFonts w:ascii="Calibri" w:eastAsiaTheme="majorEastAsia" w:hAnsi="Calibri" w:cs="Calibri"/>
          <w:sz w:val="22"/>
          <w:szCs w:val="22"/>
        </w:rPr>
        <w:t xml:space="preserve">volume </w:t>
      </w:r>
      <w:r w:rsidRPr="00B64995">
        <w:rPr>
          <w:rStyle w:val="normaltextrun"/>
          <w:rFonts w:ascii="Calibri" w:eastAsiaTheme="majorEastAsia" w:hAnsi="Calibri" w:cs="Calibri"/>
          <w:sz w:val="22"/>
          <w:szCs w:val="22"/>
        </w:rPr>
        <w:t>of e-waste is on the rise and it contains hazardous substances that, if treated inadequately, can cause severe environmental and human health impacts.</w:t>
      </w:r>
    </w:p>
    <w:p w14:paraId="65F19317" w14:textId="7FA4BEA8" w:rsidR="00603E82" w:rsidRPr="00B64995" w:rsidRDefault="00603E82" w:rsidP="00614D53">
      <w:pPr>
        <w:pStyle w:val="paragraph"/>
        <w:spacing w:before="0" w:beforeAutospacing="0" w:after="0" w:afterAutospacing="0"/>
        <w:jc w:val="both"/>
        <w:textAlignment w:val="baseline"/>
        <w:rPr>
          <w:rStyle w:val="eop"/>
          <w:rFonts w:ascii="Calibri" w:hAnsi="Calibri" w:cs="Calibri"/>
          <w:sz w:val="22"/>
          <w:szCs w:val="22"/>
        </w:rPr>
      </w:pPr>
    </w:p>
    <w:p w14:paraId="3AD4727B" w14:textId="048F3AE4" w:rsidR="00603E82" w:rsidRPr="00B64995" w:rsidRDefault="4B89D1C0" w:rsidP="00603E82">
      <w:pPr>
        <w:pStyle w:val="paragraph"/>
        <w:spacing w:before="0" w:beforeAutospacing="0" w:after="0" w:afterAutospacing="0"/>
        <w:jc w:val="both"/>
        <w:textAlignment w:val="baseline"/>
        <w:rPr>
          <w:rFonts w:ascii="Calibri" w:hAnsi="Calibri" w:cs="Calibri"/>
          <w:sz w:val="22"/>
          <w:szCs w:val="22"/>
        </w:rPr>
      </w:pPr>
      <w:r w:rsidRPr="00B64995">
        <w:rPr>
          <w:rFonts w:ascii="Calibri" w:hAnsi="Calibri" w:cs="Calibri"/>
          <w:sz w:val="22"/>
          <w:szCs w:val="22"/>
        </w:rPr>
        <w:t xml:space="preserve">This section presents an overview of some of the </w:t>
      </w:r>
      <w:r w:rsidR="00D21250" w:rsidRPr="00B64995">
        <w:rPr>
          <w:rFonts w:ascii="Calibri" w:hAnsi="Calibri" w:cs="Calibri"/>
          <w:sz w:val="22"/>
          <w:szCs w:val="22"/>
        </w:rPr>
        <w:t>activities</w:t>
      </w:r>
      <w:r w:rsidRPr="00B64995">
        <w:rPr>
          <w:rFonts w:ascii="Calibri" w:hAnsi="Calibri" w:cs="Calibri"/>
          <w:sz w:val="22"/>
          <w:szCs w:val="22"/>
        </w:rPr>
        <w:t xml:space="preserve"> conducted by ITU on areas related to environment and smart sustainable cities and </w:t>
      </w:r>
      <w:r w:rsidR="00D21250" w:rsidRPr="00B64995">
        <w:rPr>
          <w:rFonts w:ascii="Calibri" w:hAnsi="Calibri" w:cs="Calibri"/>
          <w:sz w:val="22"/>
          <w:szCs w:val="22"/>
        </w:rPr>
        <w:t>communities</w:t>
      </w:r>
      <w:r w:rsidRPr="00B64995">
        <w:rPr>
          <w:rFonts w:ascii="Calibri" w:hAnsi="Calibri" w:cs="Calibri"/>
          <w:sz w:val="22"/>
          <w:szCs w:val="22"/>
        </w:rPr>
        <w:t xml:space="preserve">. </w:t>
      </w:r>
      <w:r w:rsidR="00603E82" w:rsidRPr="00B64995">
        <w:rPr>
          <w:rFonts w:ascii="Calibri" w:hAnsi="Calibri" w:cs="Calibri"/>
          <w:sz w:val="22"/>
          <w:szCs w:val="22"/>
        </w:rPr>
        <w:t>Further details on activities relating to the environment are</w:t>
      </w:r>
      <w:r w:rsidR="00D21250" w:rsidRPr="00B64995">
        <w:rPr>
          <w:rFonts w:ascii="Calibri" w:hAnsi="Calibri" w:cs="Calibri"/>
          <w:sz w:val="22"/>
          <w:szCs w:val="22"/>
        </w:rPr>
        <w:t xml:space="preserve"> available </w:t>
      </w:r>
      <w:hyperlink r:id="rId253" w:history="1">
        <w:r w:rsidR="00D21250" w:rsidRPr="00B64995">
          <w:rPr>
            <w:rStyle w:val="Hyperlink"/>
            <w:rFonts w:ascii="Calibri" w:hAnsi="Calibri" w:cs="Calibri"/>
            <w:sz w:val="22"/>
            <w:szCs w:val="22"/>
          </w:rPr>
          <w:t>online</w:t>
        </w:r>
      </w:hyperlink>
      <w:r w:rsidR="00603E82" w:rsidRPr="00A060FE">
        <w:rPr>
          <w:rFonts w:ascii="Calibri" w:hAnsi="Calibri" w:cs="Calibri"/>
          <w:sz w:val="22"/>
          <w:szCs w:val="22"/>
        </w:rPr>
        <w:t xml:space="preserve">. </w:t>
      </w:r>
      <w:r w:rsidR="1894C341" w:rsidRPr="00B64995">
        <w:rPr>
          <w:rFonts w:ascii="Calibri" w:hAnsi="Calibri" w:cs="Calibri"/>
          <w:sz w:val="22"/>
          <w:szCs w:val="22"/>
        </w:rPr>
        <w:t xml:space="preserve">See also </w:t>
      </w:r>
      <w:hyperlink r:id="rId254" w:history="1">
        <w:r w:rsidR="1894C341" w:rsidRPr="00B64995">
          <w:rPr>
            <w:rStyle w:val="Hyperlink"/>
            <w:rFonts w:ascii="Calibri" w:hAnsi="Calibri" w:cs="Calibri"/>
            <w:sz w:val="22"/>
            <w:szCs w:val="22"/>
          </w:rPr>
          <w:t>Annex 1, Resolution 197</w:t>
        </w:r>
      </w:hyperlink>
      <w:r w:rsidR="1894C341" w:rsidRPr="00A060FE">
        <w:rPr>
          <w:rFonts w:ascii="Calibri" w:hAnsi="Calibri" w:cs="Calibri"/>
          <w:sz w:val="22"/>
          <w:szCs w:val="22"/>
        </w:rPr>
        <w:t>.</w:t>
      </w:r>
    </w:p>
    <w:p w14:paraId="65F9C3DC" w14:textId="77777777" w:rsidR="00951E14" w:rsidRPr="00B64995" w:rsidRDefault="00951E14" w:rsidP="00614D53">
      <w:pPr>
        <w:pStyle w:val="paragraph"/>
        <w:spacing w:before="0" w:beforeAutospacing="0" w:after="0" w:afterAutospacing="0"/>
        <w:jc w:val="both"/>
        <w:textAlignment w:val="baseline"/>
        <w:rPr>
          <w:rFonts w:ascii="Calibri" w:hAnsi="Calibri" w:cs="Calibri"/>
          <w:sz w:val="22"/>
          <w:szCs w:val="22"/>
        </w:rPr>
      </w:pPr>
    </w:p>
    <w:p w14:paraId="08E1DEFF" w14:textId="77777777" w:rsidR="0049723A" w:rsidRPr="00B64995" w:rsidRDefault="00951E14" w:rsidP="00A83DAA">
      <w:pPr>
        <w:pStyle w:val="Heading5"/>
      </w:pPr>
      <w:r w:rsidRPr="00B64995">
        <w:t>Climate change</w:t>
      </w:r>
    </w:p>
    <w:p w14:paraId="60F66CDE" w14:textId="3CF719D1" w:rsidR="0049723A" w:rsidRPr="00B87922" w:rsidRDefault="00951E14" w:rsidP="00614D53">
      <w:pPr>
        <w:pStyle w:val="paragraph"/>
        <w:spacing w:before="0" w:beforeAutospacing="0" w:after="0" w:afterAutospacing="0"/>
        <w:jc w:val="both"/>
        <w:textAlignment w:val="baseline"/>
        <w:rPr>
          <w:rStyle w:val="eop"/>
          <w:rFonts w:ascii="Calibri" w:hAnsi="Calibri" w:cs="Calibri"/>
          <w:sz w:val="22"/>
          <w:szCs w:val="22"/>
        </w:rPr>
      </w:pPr>
      <w:r w:rsidRPr="00B64995">
        <w:rPr>
          <w:rStyle w:val="normaltextrun"/>
          <w:rFonts w:ascii="Calibri" w:eastAsiaTheme="majorEastAsia" w:hAnsi="Calibri" w:cs="Calibri"/>
          <w:sz w:val="22"/>
          <w:szCs w:val="22"/>
        </w:rPr>
        <w:t>ITU-R SG 7 (Science services) continued its work in the development of recommendations for </w:t>
      </w:r>
      <w:hyperlink r:id="rId255">
        <w:r w:rsidRPr="00B64995">
          <w:rPr>
            <w:rStyle w:val="normaltextrun"/>
            <w:rFonts w:ascii="Calibri" w:eastAsiaTheme="majorEastAsia" w:hAnsi="Calibri" w:cs="Calibri"/>
            <w:color w:val="0000FF"/>
            <w:sz w:val="22"/>
            <w:szCs w:val="22"/>
            <w:u w:val="single"/>
          </w:rPr>
          <w:t>remote sensing systems</w:t>
        </w:r>
      </w:hyperlink>
      <w:r w:rsidRPr="00A060FE">
        <w:rPr>
          <w:rStyle w:val="normaltextrun"/>
          <w:rFonts w:ascii="Calibri" w:eastAsiaTheme="majorEastAsia" w:hAnsi="Calibri" w:cs="Calibri"/>
          <w:sz w:val="22"/>
          <w:szCs w:val="22"/>
        </w:rPr>
        <w:t> and </w:t>
      </w:r>
      <w:hyperlink r:id="rId256">
        <w:r w:rsidRPr="00B64995">
          <w:rPr>
            <w:rStyle w:val="normaltextrun"/>
            <w:rFonts w:ascii="Calibri" w:eastAsiaTheme="majorEastAsia" w:hAnsi="Calibri" w:cs="Calibri"/>
            <w:color w:val="0000FF"/>
            <w:sz w:val="22"/>
            <w:szCs w:val="22"/>
            <w:u w:val="single"/>
          </w:rPr>
          <w:t>space applications</w:t>
        </w:r>
      </w:hyperlink>
      <w:r w:rsidRPr="00A060FE">
        <w:rPr>
          <w:rStyle w:val="normaltextrun"/>
          <w:rFonts w:ascii="Calibri" w:eastAsiaTheme="majorEastAsia" w:hAnsi="Calibri" w:cs="Calibri"/>
          <w:sz w:val="22"/>
          <w:szCs w:val="22"/>
        </w:rPr>
        <w:t>. ITU-T </w:t>
      </w:r>
      <w:r w:rsidR="006D38B9" w:rsidRPr="00B64995">
        <w:rPr>
          <w:rStyle w:val="normaltextrun"/>
          <w:rFonts w:ascii="Calibri" w:eastAsiaTheme="majorEastAsia" w:hAnsi="Calibri" w:cs="Calibri"/>
          <w:sz w:val="22"/>
          <w:szCs w:val="22"/>
        </w:rPr>
        <w:t>SG 5</w:t>
      </w:r>
      <w:r w:rsidRPr="00B64995">
        <w:rPr>
          <w:rStyle w:val="normaltextrun"/>
          <w:rFonts w:ascii="Calibri" w:eastAsiaTheme="majorEastAsia" w:hAnsi="Calibri" w:cs="Calibri"/>
          <w:sz w:val="22"/>
          <w:szCs w:val="22"/>
        </w:rPr>
        <w:t xml:space="preserve"> (</w:t>
      </w:r>
      <w:hyperlink r:id="rId257">
        <w:r w:rsidRPr="00B64995">
          <w:rPr>
            <w:rStyle w:val="normaltextrun"/>
            <w:rFonts w:ascii="Calibri" w:eastAsiaTheme="majorEastAsia" w:hAnsi="Calibri" w:cs="Calibri"/>
            <w:color w:val="0000FF"/>
            <w:sz w:val="22"/>
            <w:szCs w:val="22"/>
            <w:u w:val="single"/>
          </w:rPr>
          <w:t>environment, climate change and circular economy</w:t>
        </w:r>
      </w:hyperlink>
      <w:r w:rsidR="00671B69" w:rsidRPr="00A060FE">
        <w:rPr>
          <w:rStyle w:val="normaltextrun"/>
          <w:rFonts w:ascii="Calibri" w:eastAsiaTheme="majorEastAsia" w:hAnsi="Calibri" w:cs="Calibri"/>
          <w:sz w:val="22"/>
          <w:szCs w:val="22"/>
        </w:rPr>
        <w:t>)</w:t>
      </w:r>
      <w:r w:rsidRPr="00B64995">
        <w:rPr>
          <w:rStyle w:val="normaltextrun"/>
          <w:rFonts w:ascii="Calibri" w:eastAsiaTheme="majorEastAsia" w:hAnsi="Calibri" w:cs="Calibri"/>
          <w:sz w:val="22"/>
          <w:szCs w:val="22"/>
        </w:rPr>
        <w:t xml:space="preserve"> continued to develop </w:t>
      </w:r>
      <w:r w:rsidR="00C258A8" w:rsidRPr="00B64995">
        <w:rPr>
          <w:rStyle w:val="normaltextrun"/>
          <w:rFonts w:ascii="Calibri" w:eastAsiaTheme="majorEastAsia" w:hAnsi="Calibri" w:cs="Calibri"/>
          <w:sz w:val="22"/>
          <w:szCs w:val="22"/>
        </w:rPr>
        <w:t xml:space="preserve">recommendations </w:t>
      </w:r>
      <w:r w:rsidRPr="00B64995">
        <w:rPr>
          <w:rStyle w:val="normaltextrun"/>
          <w:rFonts w:ascii="Calibri" w:eastAsiaTheme="majorEastAsia" w:hAnsi="Calibri" w:cs="Calibri"/>
          <w:sz w:val="22"/>
          <w:szCs w:val="22"/>
        </w:rPr>
        <w:t xml:space="preserve">and leverage global expertise to solve urgent issues related to e-waste, circular </w:t>
      </w:r>
      <w:proofErr w:type="gramStart"/>
      <w:r w:rsidRPr="00B64995">
        <w:rPr>
          <w:rStyle w:val="normaltextrun"/>
          <w:rFonts w:ascii="Calibri" w:eastAsiaTheme="majorEastAsia" w:hAnsi="Calibri" w:cs="Calibri"/>
          <w:sz w:val="22"/>
          <w:szCs w:val="22"/>
        </w:rPr>
        <w:t>economy</w:t>
      </w:r>
      <w:proofErr w:type="gramEnd"/>
      <w:r w:rsidRPr="00B64995">
        <w:rPr>
          <w:rStyle w:val="normaltextrun"/>
          <w:rFonts w:ascii="Calibri" w:eastAsiaTheme="majorEastAsia" w:hAnsi="Calibri" w:cs="Calibri"/>
          <w:sz w:val="22"/>
          <w:szCs w:val="22"/>
        </w:rPr>
        <w:t> and climate change. ITU developed a </w:t>
      </w:r>
      <w:hyperlink r:id="rId258">
        <w:r w:rsidR="003D1895" w:rsidRPr="00B64995">
          <w:rPr>
            <w:rStyle w:val="normaltextrun"/>
            <w:rFonts w:ascii="Calibri" w:eastAsiaTheme="majorEastAsia" w:hAnsi="Calibri" w:cs="Calibri"/>
            <w:color w:val="0000FF"/>
            <w:sz w:val="22"/>
            <w:szCs w:val="22"/>
            <w:u w:val="single"/>
          </w:rPr>
          <w:t xml:space="preserve">new standard (Recommendation ITU-T L.1470) </w:t>
        </w:r>
        <w:r w:rsidR="003940AB" w:rsidRPr="00B64995">
          <w:rPr>
            <w:rStyle w:val="normaltextrun"/>
            <w:rFonts w:ascii="Calibri" w:eastAsiaTheme="majorEastAsia" w:hAnsi="Calibri" w:cs="Calibri"/>
            <w:sz w:val="22"/>
            <w:szCs w:val="22"/>
          </w:rPr>
          <w:t>“Greenhouse gas emissions trajectories for the information and communication technology sector compatible with the UNFCCC Paris Agreement”) and two Supplements</w:t>
        </w:r>
        <w:r w:rsidR="003940AB" w:rsidRPr="00B64995">
          <w:rPr>
            <w:rStyle w:val="normaltextrun"/>
            <w:rFonts w:ascii="Calibri" w:eastAsiaTheme="majorEastAsia" w:hAnsi="Calibri" w:cs="Calibri"/>
            <w:sz w:val="22"/>
            <w:szCs w:val="22"/>
            <w:u w:val="single"/>
          </w:rPr>
          <w:t xml:space="preserve"> </w:t>
        </w:r>
        <w:r w:rsidR="003940AB" w:rsidRPr="00B64995">
          <w:rPr>
            <w:rStyle w:val="normaltextrun"/>
            <w:rFonts w:ascii="Calibri" w:eastAsiaTheme="majorEastAsia" w:hAnsi="Calibri" w:cs="Calibri"/>
            <w:color w:val="0000FF"/>
            <w:sz w:val="22"/>
            <w:szCs w:val="22"/>
            <w:u w:val="single"/>
          </w:rPr>
          <w:t>(</w:t>
        </w:r>
        <w:hyperlink r:id="rId259" w:history="1">
          <w:r w:rsidR="003940AB" w:rsidRPr="00B64995">
            <w:rPr>
              <w:rStyle w:val="Hyperlink"/>
              <w:rFonts w:ascii="Calibri" w:eastAsiaTheme="majorEastAsia" w:hAnsi="Calibri" w:cs="Calibri"/>
              <w:sz w:val="22"/>
              <w:szCs w:val="22"/>
            </w:rPr>
            <w:t>L.Suppl.37</w:t>
          </w:r>
        </w:hyperlink>
        <w:r w:rsidR="003940AB" w:rsidRPr="00B64995">
          <w:rPr>
            <w:rStyle w:val="normaltextrun"/>
            <w:rFonts w:ascii="Calibri" w:eastAsiaTheme="majorEastAsia" w:hAnsi="Calibri" w:cs="Calibri"/>
            <w:color w:val="0000FF"/>
            <w:sz w:val="22"/>
            <w:szCs w:val="22"/>
            <w:u w:val="single"/>
          </w:rPr>
          <w:t xml:space="preserve"> </w:t>
        </w:r>
        <w:r w:rsidR="003940AB" w:rsidRPr="00B64995">
          <w:rPr>
            <w:rStyle w:val="normaltextrun"/>
            <w:rFonts w:ascii="Calibri" w:eastAsiaTheme="majorEastAsia" w:hAnsi="Calibri" w:cs="Calibri"/>
            <w:sz w:val="22"/>
            <w:szCs w:val="22"/>
          </w:rPr>
          <w:t>and</w:t>
        </w:r>
        <w:r w:rsidR="003940AB" w:rsidRPr="00B64995">
          <w:rPr>
            <w:rStyle w:val="normaltextrun"/>
            <w:rFonts w:ascii="Calibri" w:eastAsiaTheme="majorEastAsia" w:hAnsi="Calibri" w:cs="Calibri"/>
            <w:color w:val="0000FF"/>
            <w:sz w:val="22"/>
            <w:szCs w:val="22"/>
            <w:u w:val="single"/>
          </w:rPr>
          <w:t xml:space="preserve"> </w:t>
        </w:r>
        <w:hyperlink r:id="rId260" w:history="1">
          <w:r w:rsidR="003940AB" w:rsidRPr="00B64995">
            <w:rPr>
              <w:rStyle w:val="Hyperlink"/>
              <w:rFonts w:ascii="Calibri" w:eastAsiaTheme="majorEastAsia" w:hAnsi="Calibri" w:cs="Calibri"/>
              <w:sz w:val="22"/>
              <w:szCs w:val="22"/>
            </w:rPr>
            <w:t>L.Suppl.38</w:t>
          </w:r>
        </w:hyperlink>
        <w:r w:rsidR="003940AB" w:rsidRPr="00B64995">
          <w:rPr>
            <w:rStyle w:val="normaltextrun"/>
            <w:rFonts w:ascii="Calibri" w:eastAsiaTheme="majorEastAsia" w:hAnsi="Calibri" w:cs="Calibri"/>
            <w:color w:val="0000FF"/>
            <w:sz w:val="22"/>
            <w:szCs w:val="22"/>
            <w:u w:val="single"/>
          </w:rPr>
          <w:t>)</w:t>
        </w:r>
      </w:hyperlink>
      <w:r w:rsidR="003D1895" w:rsidRPr="00A060FE">
        <w:rPr>
          <w:rStyle w:val="normaltextrun"/>
          <w:rFonts w:ascii="Calibri" w:eastAsiaTheme="majorEastAsia" w:hAnsi="Calibri" w:cs="Calibri"/>
          <w:sz w:val="22"/>
          <w:szCs w:val="22"/>
        </w:rPr>
        <w:t> </w:t>
      </w:r>
      <w:r w:rsidRPr="00B64995">
        <w:rPr>
          <w:rStyle w:val="normaltextrun"/>
          <w:rFonts w:ascii="Calibri" w:eastAsiaTheme="majorEastAsia" w:hAnsi="Calibri" w:cs="Calibri"/>
          <w:sz w:val="22"/>
          <w:szCs w:val="22"/>
        </w:rPr>
        <w:t>setting concrete guidelines for the ICT industry to reduce GHG emissions by 45</w:t>
      </w:r>
      <w:r w:rsidR="00782133">
        <w:rPr>
          <w:rStyle w:val="normaltextrun"/>
          <w:rFonts w:ascii="Calibri" w:eastAsiaTheme="majorEastAsia" w:hAnsi="Calibri" w:cs="Calibri"/>
          <w:sz w:val="22"/>
          <w:szCs w:val="22"/>
        </w:rPr>
        <w:t xml:space="preserve"> per cent</w:t>
      </w:r>
      <w:r w:rsidRPr="00B64995">
        <w:rPr>
          <w:rStyle w:val="normaltextrun"/>
          <w:rFonts w:ascii="Calibri" w:eastAsiaTheme="majorEastAsia" w:hAnsi="Calibri" w:cs="Calibri"/>
          <w:sz w:val="22"/>
          <w:szCs w:val="22"/>
        </w:rPr>
        <w:t xml:space="preserve"> from 2020 to 2030, aligned with science</w:t>
      </w:r>
      <w:r w:rsidR="00EC53C1" w:rsidRPr="00B64995">
        <w:rPr>
          <w:rStyle w:val="normaltextrun"/>
          <w:rFonts w:ascii="Calibri" w:eastAsiaTheme="majorEastAsia" w:hAnsi="Calibri" w:cs="Calibri"/>
          <w:sz w:val="22"/>
          <w:szCs w:val="22"/>
        </w:rPr>
        <w:t>-</w:t>
      </w:r>
      <w:r w:rsidRPr="00B64995">
        <w:rPr>
          <w:rStyle w:val="normaltextrun"/>
          <w:rFonts w:ascii="Calibri" w:eastAsiaTheme="majorEastAsia" w:hAnsi="Calibri" w:cs="Calibri"/>
          <w:sz w:val="22"/>
          <w:szCs w:val="22"/>
        </w:rPr>
        <w:t>based targets necessary to achieve the Paris Agreement.</w:t>
      </w:r>
    </w:p>
    <w:p w14:paraId="1F3B1409" w14:textId="1E3B3895" w:rsidR="00951E14" w:rsidRPr="00B64995" w:rsidRDefault="00951E14" w:rsidP="00614D53">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4804A1A1" w14:textId="77777777" w:rsidR="0049723A" w:rsidRPr="00B64995" w:rsidRDefault="00951E14" w:rsidP="00614D53">
      <w:pPr>
        <w:pStyle w:val="paragraph"/>
        <w:spacing w:before="0" w:beforeAutospacing="0" w:after="0" w:afterAutospacing="0"/>
        <w:jc w:val="both"/>
        <w:textAlignment w:val="baseline"/>
        <w:rPr>
          <w:rStyle w:val="eop"/>
          <w:rFonts w:ascii="Calibri" w:hAnsi="Calibri" w:cs="Calibri"/>
          <w:sz w:val="22"/>
          <w:szCs w:val="22"/>
        </w:rPr>
      </w:pPr>
      <w:r w:rsidRPr="00B64995">
        <w:rPr>
          <w:rStyle w:val="normaltextrun"/>
          <w:rFonts w:ascii="Calibri" w:eastAsiaTheme="majorEastAsia" w:hAnsi="Calibri" w:cs="Calibri"/>
          <w:sz w:val="22"/>
          <w:szCs w:val="22"/>
        </w:rPr>
        <w:t>ITU-D </w:t>
      </w:r>
      <w:hyperlink r:id="rId261" w:tgtFrame="_blank" w:history="1">
        <w:r w:rsidRPr="00B64995">
          <w:rPr>
            <w:rStyle w:val="normaltextrun"/>
            <w:rFonts w:ascii="Calibri" w:eastAsiaTheme="majorEastAsia" w:hAnsi="Calibri" w:cs="Calibri"/>
            <w:color w:val="0000FF"/>
            <w:sz w:val="22"/>
            <w:szCs w:val="22"/>
            <w:u w:val="single"/>
          </w:rPr>
          <w:t>Study Group Question 6/2 </w:t>
        </w:r>
      </w:hyperlink>
      <w:r w:rsidRPr="00A060FE">
        <w:rPr>
          <w:rStyle w:val="normaltextrun"/>
          <w:rFonts w:ascii="Calibri" w:eastAsiaTheme="majorEastAsia" w:hAnsi="Calibri" w:cs="Calibri"/>
          <w:sz w:val="22"/>
          <w:szCs w:val="22"/>
        </w:rPr>
        <w:t>on ICTs and the Environment continued to undertake studies on ICTs and climate change and how ICTs can help to adapt to the effects of climate change.</w:t>
      </w:r>
    </w:p>
    <w:p w14:paraId="2102EA5B" w14:textId="0E32A585" w:rsidR="00EC53C1" w:rsidRPr="00B64995" w:rsidRDefault="00EC53C1" w:rsidP="00614D53">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2A69465D" w14:textId="1F48129A" w:rsidR="0049723A" w:rsidRPr="00B64995" w:rsidRDefault="00DA049A" w:rsidP="00614D53">
      <w:pPr>
        <w:pStyle w:val="paragraph"/>
        <w:spacing w:before="0" w:beforeAutospacing="0" w:after="0" w:afterAutospacing="0"/>
        <w:jc w:val="both"/>
        <w:textAlignment w:val="baseline"/>
        <w:rPr>
          <w:rStyle w:val="eop"/>
          <w:rFonts w:ascii="Calibri" w:hAnsi="Calibri" w:cs="Calibri"/>
          <w:sz w:val="22"/>
          <w:szCs w:val="22"/>
        </w:rPr>
      </w:pPr>
      <w:r w:rsidRPr="00B64995">
        <w:rPr>
          <w:rStyle w:val="normaltextrun"/>
          <w:rFonts w:asciiTheme="minorHAnsi" w:eastAsiaTheme="majorEastAsia" w:hAnsiTheme="minorHAnsi" w:cstheme="minorHAnsi"/>
          <w:sz w:val="22"/>
          <w:szCs w:val="22"/>
        </w:rPr>
        <w:t xml:space="preserve">ITU is actively engaged and contributes to the annual </w:t>
      </w:r>
      <w:r w:rsidR="0079340F" w:rsidRPr="00B64995">
        <w:rPr>
          <w:rStyle w:val="normaltextrun"/>
          <w:rFonts w:asciiTheme="minorHAnsi" w:eastAsiaTheme="majorEastAsia" w:hAnsiTheme="minorHAnsi" w:cstheme="minorHAnsi"/>
          <w:sz w:val="22"/>
          <w:szCs w:val="22"/>
        </w:rPr>
        <w:t>meeting</w:t>
      </w:r>
      <w:r w:rsidR="00C759B9">
        <w:rPr>
          <w:rStyle w:val="normaltextrun"/>
          <w:rFonts w:asciiTheme="minorHAnsi" w:eastAsiaTheme="majorEastAsia" w:hAnsiTheme="minorHAnsi" w:cstheme="minorHAnsi"/>
          <w:sz w:val="22"/>
          <w:szCs w:val="22"/>
        </w:rPr>
        <w:t>s</w:t>
      </w:r>
      <w:r w:rsidR="0079340F" w:rsidRPr="00B64995">
        <w:rPr>
          <w:rStyle w:val="normaltextrun"/>
          <w:rFonts w:asciiTheme="minorHAnsi" w:eastAsiaTheme="majorEastAsia" w:hAnsiTheme="minorHAnsi" w:cstheme="minorHAnsi"/>
          <w:sz w:val="22"/>
          <w:szCs w:val="22"/>
        </w:rPr>
        <w:t xml:space="preserve"> of the </w:t>
      </w:r>
      <w:r w:rsidRPr="00B64995">
        <w:rPr>
          <w:rStyle w:val="normaltextrun"/>
          <w:rFonts w:asciiTheme="minorHAnsi" w:eastAsiaTheme="majorEastAsia" w:hAnsiTheme="minorHAnsi" w:cstheme="minorHAnsi"/>
          <w:sz w:val="22"/>
          <w:szCs w:val="22"/>
        </w:rPr>
        <w:t>Conference of the Parties</w:t>
      </w:r>
      <w:r w:rsidR="0079340F" w:rsidRPr="00B64995">
        <w:rPr>
          <w:rStyle w:val="normaltextrun"/>
          <w:rFonts w:asciiTheme="minorHAnsi" w:eastAsiaTheme="majorEastAsia" w:hAnsiTheme="minorHAnsi" w:cstheme="minorHAnsi"/>
          <w:sz w:val="22"/>
          <w:szCs w:val="22"/>
        </w:rPr>
        <w:t xml:space="preserve"> (COP) to the United Nations Framework Convention on Climate Change (UNFCCC)</w:t>
      </w:r>
      <w:r w:rsidRPr="00B64995">
        <w:rPr>
          <w:rStyle w:val="normaltextrun"/>
          <w:rFonts w:asciiTheme="minorHAnsi" w:eastAsiaTheme="majorEastAsia" w:hAnsiTheme="minorHAnsi" w:cstheme="minorHAnsi"/>
          <w:sz w:val="22"/>
          <w:szCs w:val="22"/>
        </w:rPr>
        <w:t xml:space="preserve">, </w:t>
      </w:r>
      <w:r w:rsidR="0079340F" w:rsidRPr="00B64995">
        <w:rPr>
          <w:rStyle w:val="normaltextrun"/>
          <w:rFonts w:asciiTheme="minorHAnsi" w:eastAsiaTheme="majorEastAsia" w:hAnsiTheme="minorHAnsi" w:cstheme="minorHAnsi"/>
          <w:sz w:val="22"/>
          <w:szCs w:val="22"/>
        </w:rPr>
        <w:t xml:space="preserve">particularly </w:t>
      </w:r>
      <w:r w:rsidRPr="00B64995">
        <w:rPr>
          <w:rStyle w:val="normaltextrun"/>
          <w:rFonts w:asciiTheme="minorHAnsi" w:eastAsiaTheme="majorEastAsia" w:hAnsiTheme="minorHAnsi" w:cstheme="minorHAnsi"/>
          <w:sz w:val="22"/>
          <w:szCs w:val="22"/>
        </w:rPr>
        <w:t xml:space="preserve">in the UN side events and exhibits on synergies between </w:t>
      </w:r>
      <w:r w:rsidR="0079340F" w:rsidRPr="00B64995">
        <w:rPr>
          <w:rStyle w:val="normaltextrun"/>
          <w:rFonts w:asciiTheme="minorHAnsi" w:eastAsiaTheme="majorEastAsia" w:hAnsiTheme="minorHAnsi" w:cstheme="minorHAnsi"/>
          <w:sz w:val="22"/>
          <w:szCs w:val="22"/>
        </w:rPr>
        <w:t>Sustainable Development Goals (</w:t>
      </w:r>
      <w:r w:rsidRPr="00B64995">
        <w:rPr>
          <w:rStyle w:val="normaltextrun"/>
          <w:rFonts w:asciiTheme="minorHAnsi" w:eastAsiaTheme="majorEastAsia" w:hAnsiTheme="minorHAnsi" w:cstheme="minorHAnsi"/>
          <w:sz w:val="22"/>
          <w:szCs w:val="22"/>
        </w:rPr>
        <w:t>SDG</w:t>
      </w:r>
      <w:r w:rsidR="0079340F" w:rsidRPr="00B64995">
        <w:rPr>
          <w:rStyle w:val="normaltextrun"/>
          <w:rFonts w:asciiTheme="minorHAnsi" w:eastAsiaTheme="majorEastAsia" w:hAnsiTheme="minorHAnsi" w:cstheme="minorHAnsi"/>
          <w:sz w:val="22"/>
          <w:szCs w:val="22"/>
        </w:rPr>
        <w:t>s)</w:t>
      </w:r>
      <w:r w:rsidRPr="00B64995">
        <w:rPr>
          <w:rStyle w:val="normaltextrun"/>
          <w:rFonts w:asciiTheme="minorHAnsi" w:eastAsiaTheme="majorEastAsia" w:hAnsiTheme="minorHAnsi" w:cstheme="minorHAnsi"/>
          <w:sz w:val="22"/>
          <w:szCs w:val="22"/>
        </w:rPr>
        <w:t xml:space="preserve"> 11 and 13, as well to the UN system Climate Change Library</w:t>
      </w:r>
      <w:r w:rsidR="00321DCB">
        <w:rPr>
          <w:rStyle w:val="normaltextrun"/>
          <w:rFonts w:asciiTheme="minorHAnsi" w:eastAsiaTheme="majorEastAsia" w:hAnsiTheme="minorHAnsi" w:cstheme="minorHAnsi"/>
          <w:sz w:val="22"/>
          <w:szCs w:val="22"/>
        </w:rPr>
        <w:t xml:space="preserve"> </w:t>
      </w:r>
      <w:r w:rsidRPr="00A060FE">
        <w:rPr>
          <w:rStyle w:val="normaltextrun"/>
          <w:rFonts w:asciiTheme="minorHAnsi" w:eastAsiaTheme="majorEastAsia" w:hAnsiTheme="minorHAnsi" w:cstheme="minorHAnsi"/>
          <w:sz w:val="22"/>
          <w:szCs w:val="22"/>
        </w:rPr>
        <w:t>with updated ITU</w:t>
      </w:r>
      <w:r w:rsidR="0079340F" w:rsidRPr="00B64995">
        <w:rPr>
          <w:rStyle w:val="normaltextrun"/>
          <w:rFonts w:asciiTheme="minorHAnsi" w:eastAsiaTheme="majorEastAsia" w:hAnsiTheme="minorHAnsi" w:cstheme="minorHAnsi"/>
          <w:sz w:val="22"/>
          <w:szCs w:val="22"/>
        </w:rPr>
        <w:t>-</w:t>
      </w:r>
      <w:r w:rsidRPr="00B64995">
        <w:rPr>
          <w:rStyle w:val="normaltextrun"/>
          <w:rFonts w:asciiTheme="minorHAnsi" w:eastAsiaTheme="majorEastAsia" w:hAnsiTheme="minorHAnsi" w:cstheme="minorHAnsi"/>
          <w:sz w:val="22"/>
          <w:szCs w:val="22"/>
        </w:rPr>
        <w:t xml:space="preserve">related publications. The next </w:t>
      </w:r>
      <w:r w:rsidR="0079340F" w:rsidRPr="00B64995">
        <w:rPr>
          <w:rStyle w:val="normaltextrun"/>
          <w:rFonts w:asciiTheme="minorHAnsi" w:eastAsiaTheme="majorEastAsia" w:hAnsiTheme="minorHAnsi" w:cstheme="minorHAnsi"/>
          <w:sz w:val="22"/>
          <w:szCs w:val="22"/>
        </w:rPr>
        <w:t xml:space="preserve">meeting, </w:t>
      </w:r>
      <w:r w:rsidRPr="00B64995">
        <w:rPr>
          <w:rStyle w:val="normaltextrun"/>
          <w:rFonts w:asciiTheme="minorHAnsi" w:eastAsiaTheme="majorEastAsia" w:hAnsiTheme="minorHAnsi" w:cstheme="minorHAnsi"/>
          <w:sz w:val="22"/>
          <w:szCs w:val="22"/>
        </w:rPr>
        <w:t>COP 26</w:t>
      </w:r>
      <w:r w:rsidR="0079340F" w:rsidRPr="00B64995">
        <w:rPr>
          <w:rStyle w:val="normaltextrun"/>
          <w:rFonts w:asciiTheme="minorHAnsi" w:eastAsiaTheme="majorEastAsia" w:hAnsiTheme="minorHAnsi" w:cstheme="minorHAnsi"/>
          <w:sz w:val="22"/>
          <w:szCs w:val="22"/>
        </w:rPr>
        <w:t xml:space="preserve">, </w:t>
      </w:r>
      <w:r w:rsidRPr="00B64995">
        <w:rPr>
          <w:rStyle w:val="normaltextrun"/>
          <w:rFonts w:asciiTheme="minorHAnsi" w:eastAsiaTheme="majorEastAsia" w:hAnsiTheme="minorHAnsi" w:cstheme="minorHAnsi"/>
          <w:sz w:val="22"/>
          <w:szCs w:val="22"/>
        </w:rPr>
        <w:t xml:space="preserve">will be hosted by </w:t>
      </w:r>
      <w:r w:rsidR="0079340F" w:rsidRPr="00B64995">
        <w:rPr>
          <w:rStyle w:val="normaltextrun"/>
          <w:rFonts w:asciiTheme="minorHAnsi" w:eastAsiaTheme="majorEastAsia" w:hAnsiTheme="minorHAnsi" w:cstheme="minorHAnsi"/>
          <w:sz w:val="22"/>
          <w:szCs w:val="22"/>
        </w:rPr>
        <w:t xml:space="preserve">the </w:t>
      </w:r>
      <w:r w:rsidRPr="00B64995">
        <w:rPr>
          <w:rStyle w:val="normaltextrun"/>
          <w:rFonts w:asciiTheme="minorHAnsi" w:eastAsiaTheme="majorEastAsia" w:hAnsiTheme="minorHAnsi" w:cstheme="minorHAnsi"/>
          <w:sz w:val="22"/>
          <w:szCs w:val="22"/>
        </w:rPr>
        <w:t xml:space="preserve">United Kingdom in Glasgow 1-12 November 2021. </w:t>
      </w:r>
      <w:r w:rsidR="0079340F" w:rsidRPr="00B64995">
        <w:rPr>
          <w:rStyle w:val="normaltextrun"/>
          <w:rFonts w:asciiTheme="minorHAnsi" w:eastAsiaTheme="majorEastAsia" w:hAnsiTheme="minorHAnsi" w:cstheme="minorHAnsi"/>
          <w:sz w:val="22"/>
          <w:szCs w:val="22"/>
        </w:rPr>
        <w:t xml:space="preserve">Relevant </w:t>
      </w:r>
      <w:r w:rsidRPr="00B64995">
        <w:rPr>
          <w:rStyle w:val="normaltextrun"/>
          <w:rFonts w:asciiTheme="minorHAnsi" w:eastAsiaTheme="majorEastAsia" w:hAnsiTheme="minorHAnsi" w:cstheme="minorHAnsi"/>
          <w:sz w:val="22"/>
          <w:szCs w:val="22"/>
        </w:rPr>
        <w:t xml:space="preserve">publications </w:t>
      </w:r>
      <w:r w:rsidR="0079340F" w:rsidRPr="00B64995">
        <w:rPr>
          <w:rStyle w:val="normaltextrun"/>
          <w:rFonts w:asciiTheme="minorHAnsi" w:eastAsiaTheme="majorEastAsia" w:hAnsiTheme="minorHAnsi" w:cstheme="minorHAnsi"/>
          <w:sz w:val="22"/>
          <w:szCs w:val="22"/>
        </w:rPr>
        <w:t xml:space="preserve">include </w:t>
      </w:r>
      <w:r w:rsidRPr="00B64995">
        <w:rPr>
          <w:rStyle w:val="eop"/>
          <w:rFonts w:asciiTheme="minorHAnsi" w:hAnsiTheme="minorHAnsi" w:cstheme="minorHAnsi"/>
          <w:sz w:val="22"/>
          <w:szCs w:val="22"/>
        </w:rPr>
        <w:t>“</w:t>
      </w:r>
      <w:hyperlink r:id="rId262" w:history="1">
        <w:r w:rsidRPr="00B64995">
          <w:rPr>
            <w:rStyle w:val="Hyperlink"/>
            <w:rFonts w:asciiTheme="minorHAnsi" w:hAnsiTheme="minorHAnsi" w:cstheme="minorHAnsi"/>
            <w:sz w:val="22"/>
            <w:szCs w:val="22"/>
          </w:rPr>
          <w:t>Turning digital technology innovation into climate action</w:t>
        </w:r>
      </w:hyperlink>
      <w:r w:rsidRPr="00A060FE">
        <w:rPr>
          <w:rStyle w:val="eop"/>
          <w:rFonts w:asciiTheme="minorHAnsi" w:hAnsiTheme="minorHAnsi" w:cstheme="minorHAnsi"/>
          <w:sz w:val="22"/>
          <w:szCs w:val="22"/>
        </w:rPr>
        <w:t>“, launched by ITU in September 2019</w:t>
      </w:r>
      <w:r w:rsidR="0079340F" w:rsidRPr="00B64995">
        <w:rPr>
          <w:rStyle w:val="eop"/>
          <w:rFonts w:asciiTheme="minorHAnsi" w:hAnsiTheme="minorHAnsi" w:cstheme="minorHAnsi"/>
          <w:sz w:val="22"/>
          <w:szCs w:val="22"/>
        </w:rPr>
        <w:t>. This document</w:t>
      </w:r>
      <w:r w:rsidRPr="00B64995">
        <w:rPr>
          <w:rStyle w:val="eop"/>
          <w:rFonts w:asciiTheme="minorHAnsi" w:hAnsiTheme="minorHAnsi" w:cstheme="minorHAnsi"/>
          <w:sz w:val="22"/>
          <w:szCs w:val="22"/>
        </w:rPr>
        <w:t xml:space="preserve"> outlines the potential of digital technologies for monitoring, </w:t>
      </w:r>
      <w:proofErr w:type="gramStart"/>
      <w:r w:rsidRPr="00B64995">
        <w:rPr>
          <w:rStyle w:val="eop"/>
          <w:rFonts w:asciiTheme="minorHAnsi" w:hAnsiTheme="minorHAnsi" w:cstheme="minorHAnsi"/>
          <w:sz w:val="22"/>
          <w:szCs w:val="22"/>
        </w:rPr>
        <w:t>mitigating</w:t>
      </w:r>
      <w:proofErr w:type="gramEnd"/>
      <w:r w:rsidRPr="00B64995">
        <w:rPr>
          <w:rStyle w:val="eop"/>
          <w:rFonts w:asciiTheme="minorHAnsi" w:hAnsiTheme="minorHAnsi" w:cstheme="minorHAnsi"/>
          <w:sz w:val="22"/>
          <w:szCs w:val="22"/>
        </w:rPr>
        <w:t xml:space="preserve"> and adapting to climate change</w:t>
      </w:r>
      <w:r w:rsidR="0079340F" w:rsidRPr="00B64995">
        <w:rPr>
          <w:rStyle w:val="eop"/>
          <w:rFonts w:asciiTheme="minorHAnsi" w:hAnsiTheme="minorHAnsi" w:cstheme="minorHAnsi"/>
          <w:sz w:val="22"/>
          <w:szCs w:val="22"/>
        </w:rPr>
        <w:t>. Another relevant</w:t>
      </w:r>
      <w:r w:rsidRPr="00B64995">
        <w:rPr>
          <w:rStyle w:val="eop"/>
          <w:rFonts w:asciiTheme="minorHAnsi" w:hAnsiTheme="minorHAnsi" w:cstheme="minorHAnsi"/>
          <w:sz w:val="22"/>
          <w:szCs w:val="22"/>
        </w:rPr>
        <w:t xml:space="preserve"> publication</w:t>
      </w:r>
      <w:r w:rsidR="0079340F" w:rsidRPr="00B64995">
        <w:rPr>
          <w:rStyle w:val="eop"/>
          <w:rFonts w:asciiTheme="minorHAnsi" w:hAnsiTheme="minorHAnsi" w:cstheme="minorHAnsi"/>
          <w:sz w:val="22"/>
          <w:szCs w:val="22"/>
        </w:rPr>
        <w:t xml:space="preserve"> is</w:t>
      </w:r>
      <w:r w:rsidRPr="00B64995">
        <w:rPr>
          <w:rStyle w:val="eop"/>
          <w:rFonts w:asciiTheme="minorHAnsi" w:hAnsiTheme="minorHAnsi" w:cstheme="minorHAnsi"/>
          <w:sz w:val="22"/>
          <w:szCs w:val="22"/>
        </w:rPr>
        <w:t xml:space="preserve"> “</w:t>
      </w:r>
      <w:hyperlink r:id="rId263" w:history="1">
        <w:r w:rsidRPr="00B64995">
          <w:rPr>
            <w:rStyle w:val="Hyperlink"/>
            <w:rFonts w:asciiTheme="minorHAnsi" w:hAnsiTheme="minorHAnsi" w:cstheme="minorHAnsi"/>
            <w:sz w:val="22"/>
            <w:szCs w:val="22"/>
          </w:rPr>
          <w:t>Frontier technologies to protect the environment and tackle climate change</w:t>
        </w:r>
      </w:hyperlink>
      <w:r w:rsidRPr="00A060FE">
        <w:rPr>
          <w:rStyle w:val="eop"/>
          <w:rFonts w:asciiTheme="minorHAnsi" w:hAnsiTheme="minorHAnsi" w:cstheme="minorHAnsi"/>
          <w:sz w:val="22"/>
          <w:szCs w:val="22"/>
        </w:rPr>
        <w:t>”, launched in April 2020</w:t>
      </w:r>
      <w:r w:rsidR="0079340F" w:rsidRPr="00B64995">
        <w:rPr>
          <w:rStyle w:val="eop"/>
          <w:rFonts w:asciiTheme="minorHAnsi" w:hAnsiTheme="minorHAnsi" w:cstheme="minorHAnsi"/>
          <w:sz w:val="22"/>
          <w:szCs w:val="22"/>
        </w:rPr>
        <w:t xml:space="preserve"> and produced by </w:t>
      </w:r>
      <w:r w:rsidRPr="00B64995">
        <w:rPr>
          <w:rStyle w:val="eop"/>
          <w:rFonts w:asciiTheme="minorHAnsi" w:hAnsiTheme="minorHAnsi" w:cstheme="minorHAnsi"/>
          <w:sz w:val="22"/>
          <w:szCs w:val="22"/>
        </w:rPr>
        <w:t xml:space="preserve">ITU together with </w:t>
      </w:r>
      <w:r w:rsidR="0079340F" w:rsidRPr="00B64995">
        <w:rPr>
          <w:rStyle w:val="eop"/>
          <w:rFonts w:asciiTheme="minorHAnsi" w:hAnsiTheme="minorHAnsi" w:cstheme="minorHAnsi"/>
          <w:sz w:val="22"/>
          <w:szCs w:val="22"/>
        </w:rPr>
        <w:t>the United Nations Economic Commission for Europe (</w:t>
      </w:r>
      <w:r w:rsidRPr="00B64995">
        <w:rPr>
          <w:rStyle w:val="eop"/>
          <w:rFonts w:asciiTheme="minorHAnsi" w:hAnsiTheme="minorHAnsi" w:cstheme="minorHAnsi"/>
          <w:sz w:val="22"/>
          <w:szCs w:val="22"/>
        </w:rPr>
        <w:t>UNECE</w:t>
      </w:r>
      <w:r w:rsidR="0079340F" w:rsidRPr="00B64995">
        <w:rPr>
          <w:rStyle w:val="eop"/>
          <w:rFonts w:asciiTheme="minorHAnsi" w:hAnsiTheme="minorHAnsi" w:cstheme="minorHAnsi"/>
          <w:sz w:val="22"/>
          <w:szCs w:val="22"/>
        </w:rPr>
        <w:t>)</w:t>
      </w:r>
      <w:r w:rsidRPr="00B64995">
        <w:rPr>
          <w:rStyle w:val="eop"/>
          <w:rFonts w:asciiTheme="minorHAnsi" w:hAnsiTheme="minorHAnsi" w:cstheme="minorHAnsi"/>
          <w:sz w:val="22"/>
          <w:szCs w:val="22"/>
        </w:rPr>
        <w:t xml:space="preserve">, UNESCO, UN Environment, UNFCCC, United Nations Global Compact, </w:t>
      </w:r>
      <w:r w:rsidR="008F2631" w:rsidRPr="00B64995">
        <w:rPr>
          <w:rStyle w:val="eop"/>
          <w:rFonts w:asciiTheme="minorHAnsi" w:hAnsiTheme="minorHAnsi" w:cstheme="minorHAnsi"/>
          <w:sz w:val="22"/>
          <w:szCs w:val="22"/>
        </w:rPr>
        <w:t>the United Nations Industrial Development Organization (</w:t>
      </w:r>
      <w:r w:rsidRPr="00B64995">
        <w:rPr>
          <w:rStyle w:val="eop"/>
          <w:rFonts w:asciiTheme="minorHAnsi" w:hAnsiTheme="minorHAnsi" w:cstheme="minorHAnsi"/>
          <w:sz w:val="22"/>
          <w:szCs w:val="22"/>
        </w:rPr>
        <w:t>UNIDO</w:t>
      </w:r>
      <w:r w:rsidR="008F2631" w:rsidRPr="00B64995">
        <w:rPr>
          <w:rStyle w:val="eop"/>
          <w:rFonts w:asciiTheme="minorHAnsi" w:hAnsiTheme="minorHAnsi" w:cstheme="minorHAnsi"/>
          <w:sz w:val="22"/>
          <w:szCs w:val="22"/>
        </w:rPr>
        <w:t>)</w:t>
      </w:r>
      <w:r w:rsidRPr="00B64995">
        <w:rPr>
          <w:rStyle w:val="eop"/>
          <w:rFonts w:asciiTheme="minorHAnsi" w:hAnsiTheme="minorHAnsi" w:cstheme="minorHAnsi"/>
          <w:sz w:val="22"/>
          <w:szCs w:val="22"/>
        </w:rPr>
        <w:t>, UN-Habitat, and UN-Women</w:t>
      </w:r>
      <w:r w:rsidR="008F2631" w:rsidRPr="00B64995">
        <w:rPr>
          <w:rStyle w:val="eop"/>
          <w:rFonts w:asciiTheme="minorHAnsi" w:hAnsiTheme="minorHAnsi" w:cstheme="minorHAnsi"/>
          <w:sz w:val="22"/>
          <w:szCs w:val="22"/>
        </w:rPr>
        <w:t>. The document</w:t>
      </w:r>
      <w:r w:rsidRPr="00B64995">
        <w:rPr>
          <w:rStyle w:val="eop"/>
          <w:rFonts w:asciiTheme="minorHAnsi" w:hAnsiTheme="minorHAnsi" w:cstheme="minorHAnsi"/>
          <w:sz w:val="22"/>
          <w:szCs w:val="22"/>
        </w:rPr>
        <w:t xml:space="preserve"> highlights the potential of eight key technologies to meet Sustainable Development Goal 13</w:t>
      </w:r>
      <w:r w:rsidR="00EC53C1" w:rsidRPr="00B64995">
        <w:rPr>
          <w:rStyle w:val="eop"/>
          <w:rFonts w:ascii="Calibri" w:hAnsi="Calibri" w:cs="Calibri"/>
          <w:sz w:val="22"/>
          <w:szCs w:val="22"/>
        </w:rPr>
        <w:t>.</w:t>
      </w:r>
    </w:p>
    <w:p w14:paraId="562C75D1" w14:textId="5F49B9C9" w:rsidR="00951E14" w:rsidRPr="00B64995" w:rsidRDefault="00951E14" w:rsidP="00614D53">
      <w:pPr>
        <w:pStyle w:val="paragraph"/>
        <w:spacing w:before="0" w:beforeAutospacing="0" w:after="0" w:afterAutospacing="0"/>
        <w:jc w:val="both"/>
        <w:textAlignment w:val="baseline"/>
        <w:rPr>
          <w:rStyle w:val="normaltextrun"/>
          <w:rFonts w:ascii="Calibri" w:eastAsiaTheme="majorEastAsia" w:hAnsi="Calibri" w:cs="Calibri"/>
          <w:b/>
          <w:sz w:val="22"/>
          <w:szCs w:val="22"/>
        </w:rPr>
      </w:pPr>
    </w:p>
    <w:p w14:paraId="696B25AF" w14:textId="76783EEF" w:rsidR="00951E14" w:rsidRPr="00B64995" w:rsidRDefault="00951E14" w:rsidP="00A83DAA">
      <w:pPr>
        <w:pStyle w:val="Heading5"/>
      </w:pPr>
      <w:r w:rsidRPr="00B64995">
        <w:lastRenderedPageBreak/>
        <w:t>Energy efficiency </w:t>
      </w:r>
      <w:r w:rsidR="00F24B34" w:rsidRPr="00B64995">
        <w:t>and</w:t>
      </w:r>
      <w:r w:rsidRPr="00B64995">
        <w:t> smart sustainable cities</w:t>
      </w:r>
      <w:r w:rsidR="00935DD6" w:rsidRPr="00B64995">
        <w:t xml:space="preserve"> </w:t>
      </w:r>
      <w:r w:rsidR="00F24B34" w:rsidRPr="00B64995">
        <w:t>and communities</w:t>
      </w:r>
    </w:p>
    <w:p w14:paraId="4ADF5CD3" w14:textId="21A12222" w:rsidR="00951E14" w:rsidRPr="00B87922" w:rsidRDefault="00951E14" w:rsidP="00614D53">
      <w:pPr>
        <w:pStyle w:val="paragraph"/>
        <w:spacing w:before="0" w:beforeAutospacing="0" w:after="0" w:afterAutospacing="0"/>
        <w:jc w:val="both"/>
        <w:textAlignment w:val="baseline"/>
        <w:rPr>
          <w:rStyle w:val="normaltextrun"/>
          <w:rFonts w:ascii="Calibri" w:eastAsiaTheme="majorEastAsia" w:hAnsi="Calibri" w:cs="Calibri"/>
          <w:sz w:val="22"/>
          <w:szCs w:val="22"/>
        </w:rPr>
      </w:pPr>
      <w:r w:rsidRPr="00B64995">
        <w:rPr>
          <w:rStyle w:val="normaltextrun"/>
          <w:rFonts w:ascii="Calibri" w:eastAsiaTheme="majorEastAsia" w:hAnsi="Calibri" w:cs="Calibri"/>
          <w:sz w:val="22"/>
          <w:szCs w:val="22"/>
        </w:rPr>
        <w:t>ITU is working to improve the reliability, security and interoperability of ICT infrastructure needed for smart sustainable cities</w:t>
      </w:r>
      <w:r w:rsidR="00F24B34" w:rsidRPr="00B64995">
        <w:rPr>
          <w:rStyle w:val="normaltextrun"/>
          <w:rFonts w:ascii="Calibri" w:eastAsiaTheme="majorEastAsia" w:hAnsi="Calibri" w:cs="Calibri"/>
          <w:sz w:val="22"/>
          <w:szCs w:val="22"/>
        </w:rPr>
        <w:t xml:space="preserve"> and communities</w:t>
      </w:r>
      <w:r w:rsidRPr="00B64995">
        <w:rPr>
          <w:rStyle w:val="normaltextrun"/>
          <w:rFonts w:ascii="Calibri" w:eastAsiaTheme="majorEastAsia" w:hAnsi="Calibri" w:cs="Calibri"/>
          <w:sz w:val="22"/>
          <w:szCs w:val="22"/>
        </w:rPr>
        <w:t>, while at the same time advocating for the use of ICTs to reduce the consumption of energy and enhance services and quality of life for city dwellers.</w:t>
      </w:r>
      <w:r w:rsidR="00681B58" w:rsidRPr="00B64995">
        <w:rPr>
          <w:rStyle w:val="normaltextrun"/>
          <w:rFonts w:ascii="Calibri" w:eastAsiaTheme="majorEastAsia" w:hAnsi="Calibri" w:cs="Calibri"/>
          <w:sz w:val="22"/>
          <w:szCs w:val="22"/>
        </w:rPr>
        <w:t xml:space="preserve"> </w:t>
      </w:r>
      <w:r w:rsidR="00681B58" w:rsidRPr="00B64995">
        <w:rPr>
          <w:rStyle w:val="normaltextrun"/>
          <w:rFonts w:asciiTheme="minorHAnsi" w:eastAsiaTheme="majorEastAsia" w:hAnsiTheme="minorHAnsi" w:cstheme="minorHAnsi"/>
          <w:sz w:val="22"/>
          <w:szCs w:val="22"/>
        </w:rPr>
        <w:t xml:space="preserve">ITU-T </w:t>
      </w:r>
      <w:r w:rsidR="006D38B9" w:rsidRPr="00B64995">
        <w:rPr>
          <w:rStyle w:val="normaltextrun"/>
          <w:rFonts w:asciiTheme="minorHAnsi" w:eastAsiaTheme="majorEastAsia" w:hAnsiTheme="minorHAnsi" w:cstheme="minorHAnsi"/>
          <w:sz w:val="22"/>
          <w:szCs w:val="22"/>
        </w:rPr>
        <w:t>SG 5</w:t>
      </w:r>
      <w:r w:rsidR="00681B58" w:rsidRPr="00B64995">
        <w:rPr>
          <w:rStyle w:val="normaltextrun"/>
          <w:rFonts w:asciiTheme="minorHAnsi" w:eastAsiaTheme="majorEastAsia" w:hAnsiTheme="minorHAnsi" w:cstheme="minorHAnsi"/>
          <w:sz w:val="22"/>
          <w:szCs w:val="22"/>
        </w:rPr>
        <w:t xml:space="preserve"> (</w:t>
      </w:r>
      <w:r w:rsidR="008F2631" w:rsidRPr="00B64995">
        <w:rPr>
          <w:rStyle w:val="normaltextrun"/>
          <w:rFonts w:asciiTheme="minorHAnsi" w:eastAsiaTheme="majorEastAsia" w:hAnsiTheme="minorHAnsi" w:cstheme="minorHAnsi"/>
          <w:sz w:val="22"/>
          <w:szCs w:val="22"/>
        </w:rPr>
        <w:t>Environment, climate change and circular economy</w:t>
      </w:r>
      <w:r w:rsidR="00681B58" w:rsidRPr="00B64995">
        <w:rPr>
          <w:rStyle w:val="normaltextrun"/>
          <w:rFonts w:asciiTheme="minorHAnsi" w:eastAsiaTheme="majorEastAsia" w:hAnsiTheme="minorHAnsi" w:cstheme="minorHAnsi"/>
          <w:sz w:val="22"/>
          <w:szCs w:val="22"/>
        </w:rPr>
        <w:t xml:space="preserve">) has developed </w:t>
      </w:r>
      <w:r w:rsidR="000C3838" w:rsidRPr="00B64995">
        <w:rPr>
          <w:rStyle w:val="normaltextrun"/>
          <w:rFonts w:asciiTheme="minorHAnsi" w:eastAsiaTheme="majorEastAsia" w:hAnsiTheme="minorHAnsi" w:cstheme="minorHAnsi"/>
          <w:sz w:val="22"/>
          <w:szCs w:val="22"/>
        </w:rPr>
        <w:t xml:space="preserve">several </w:t>
      </w:r>
      <w:r w:rsidR="00681B58" w:rsidRPr="00B64995">
        <w:rPr>
          <w:rStyle w:val="normaltextrun"/>
          <w:rFonts w:asciiTheme="minorHAnsi" w:eastAsiaTheme="majorEastAsia" w:hAnsiTheme="minorHAnsi" w:cstheme="minorHAnsi"/>
          <w:sz w:val="22"/>
          <w:szCs w:val="22"/>
        </w:rPr>
        <w:t>standards</w:t>
      </w:r>
      <w:r w:rsidR="006D4934" w:rsidRPr="00B64995">
        <w:rPr>
          <w:rStyle w:val="normaltextrun"/>
          <w:rFonts w:asciiTheme="minorHAnsi" w:eastAsiaTheme="majorEastAsia" w:hAnsiTheme="minorHAnsi" w:cstheme="minorHAnsi"/>
          <w:sz w:val="22"/>
          <w:szCs w:val="22"/>
        </w:rPr>
        <w:t xml:space="preserve"> (see </w:t>
      </w:r>
      <w:r w:rsidR="007F05EB" w:rsidRPr="00B64995">
        <w:rPr>
          <w:rStyle w:val="normaltextrun"/>
          <w:rFonts w:asciiTheme="minorHAnsi" w:eastAsiaTheme="majorEastAsia" w:hAnsiTheme="minorHAnsi" w:cstheme="minorHAnsi"/>
          <w:sz w:val="22"/>
          <w:szCs w:val="22"/>
        </w:rPr>
        <w:t>section</w:t>
      </w:r>
      <w:r w:rsidR="006D4934" w:rsidRPr="00B64995">
        <w:rPr>
          <w:rStyle w:val="normaltextrun"/>
          <w:rFonts w:asciiTheme="minorHAnsi" w:eastAsiaTheme="majorEastAsia" w:hAnsiTheme="minorHAnsi" w:cstheme="minorHAnsi"/>
          <w:sz w:val="22"/>
          <w:szCs w:val="22"/>
        </w:rPr>
        <w:t xml:space="preserve"> 1.3)</w:t>
      </w:r>
      <w:r w:rsidR="008F2631" w:rsidRPr="00B64995">
        <w:rPr>
          <w:rStyle w:val="normaltextrun"/>
          <w:rFonts w:asciiTheme="minorHAnsi" w:eastAsiaTheme="majorEastAsia" w:hAnsiTheme="minorHAnsi" w:cstheme="minorHAnsi"/>
          <w:sz w:val="22"/>
          <w:szCs w:val="22"/>
        </w:rPr>
        <w:t>.</w:t>
      </w:r>
      <w:r w:rsidR="00681B58" w:rsidRPr="00B64995">
        <w:rPr>
          <w:rStyle w:val="normaltextrun"/>
          <w:rFonts w:asciiTheme="minorHAnsi" w:eastAsiaTheme="majorEastAsia" w:hAnsiTheme="minorHAnsi" w:cstheme="minorHAnsi"/>
          <w:sz w:val="22"/>
          <w:szCs w:val="22"/>
        </w:rPr>
        <w:t xml:space="preserve"> </w:t>
      </w:r>
    </w:p>
    <w:p w14:paraId="1A965116" w14:textId="77777777" w:rsidR="00951E14" w:rsidRPr="00B64995" w:rsidRDefault="00951E14" w:rsidP="00614D53">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7793E0E0" w14:textId="74A9D7EC" w:rsidR="007E6CA0" w:rsidRPr="00B87922" w:rsidRDefault="00951E14" w:rsidP="007E6CA0">
      <w:pPr>
        <w:pStyle w:val="Heading5"/>
        <w:ind w:left="0" w:firstLine="0"/>
        <w:jc w:val="both"/>
        <w:rPr>
          <w:rStyle w:val="normaltextrun"/>
          <w:rFonts w:ascii="Calibri" w:hAnsi="Calibri" w:cs="Calibri"/>
        </w:rPr>
      </w:pPr>
      <w:r w:rsidRPr="00B64995">
        <w:rPr>
          <w:rStyle w:val="normaltextrun"/>
          <w:rFonts w:ascii="Calibri" w:hAnsi="Calibri" w:cs="Calibri"/>
          <w:b w:val="0"/>
          <w:color w:val="auto"/>
          <w:lang w:eastAsia="en-GB"/>
        </w:rPr>
        <w:t xml:space="preserve">ITU-T </w:t>
      </w:r>
      <w:r w:rsidR="006D38B9" w:rsidRPr="00B64995">
        <w:rPr>
          <w:rStyle w:val="normaltextrun"/>
          <w:rFonts w:ascii="Calibri" w:hAnsi="Calibri" w:cs="Calibri"/>
          <w:b w:val="0"/>
          <w:color w:val="auto"/>
          <w:lang w:eastAsia="en-GB"/>
        </w:rPr>
        <w:t>SG 2</w:t>
      </w:r>
      <w:r w:rsidRPr="00B64995">
        <w:rPr>
          <w:rStyle w:val="normaltextrun"/>
          <w:rFonts w:ascii="Calibri" w:hAnsi="Calibri" w:cs="Calibri"/>
          <w:b w:val="0"/>
          <w:color w:val="auto"/>
          <w:lang w:eastAsia="en-GB"/>
        </w:rPr>
        <w:t>0 (</w:t>
      </w:r>
      <w:hyperlink r:id="rId264">
        <w:r w:rsidR="00681B58" w:rsidRPr="00B64995">
          <w:rPr>
            <w:rStyle w:val="normaltextrun"/>
            <w:rFonts w:ascii="Calibri" w:hAnsi="Calibri" w:cs="Calibri"/>
            <w:b w:val="0"/>
            <w:color w:val="auto"/>
            <w:lang w:eastAsia="en-GB"/>
          </w:rPr>
          <w:t>IoT and smart cities</w:t>
        </w:r>
      </w:hyperlink>
      <w:r w:rsidRPr="00A060FE">
        <w:rPr>
          <w:rStyle w:val="normaltextrun"/>
          <w:rFonts w:ascii="Calibri" w:hAnsi="Calibri" w:cs="Calibri"/>
          <w:b w:val="0"/>
          <w:color w:val="auto"/>
          <w:lang w:eastAsia="en-GB"/>
        </w:rPr>
        <w:t>) </w:t>
      </w:r>
      <w:r w:rsidR="00681B58" w:rsidRPr="00B64995">
        <w:rPr>
          <w:rStyle w:val="normaltextrun"/>
          <w:rFonts w:ascii="Calibri" w:hAnsi="Calibri" w:cs="Calibri"/>
          <w:b w:val="0"/>
          <w:color w:val="auto"/>
          <w:lang w:eastAsia="en-GB"/>
        </w:rPr>
        <w:t>has</w:t>
      </w:r>
      <w:r w:rsidR="004564A8" w:rsidRPr="00B64995">
        <w:rPr>
          <w:rStyle w:val="normaltextrun"/>
          <w:rFonts w:ascii="Calibri" w:hAnsi="Calibri" w:cs="Calibri"/>
          <w:b w:val="0"/>
          <w:color w:val="auto"/>
          <w:lang w:eastAsia="en-GB"/>
        </w:rPr>
        <w:t xml:space="preserve"> </w:t>
      </w:r>
      <w:r w:rsidRPr="00B64995">
        <w:rPr>
          <w:rStyle w:val="normaltextrun"/>
          <w:rFonts w:ascii="Calibri" w:hAnsi="Calibri" w:cs="Calibri"/>
          <w:b w:val="0"/>
          <w:color w:val="auto"/>
          <w:lang w:eastAsia="en-GB"/>
        </w:rPr>
        <w:t xml:space="preserve">developed a </w:t>
      </w:r>
      <w:r w:rsidR="004264ED" w:rsidRPr="00B64995">
        <w:rPr>
          <w:rStyle w:val="normaltextrun"/>
          <w:rFonts w:ascii="Calibri" w:hAnsi="Calibri" w:cs="Calibri"/>
          <w:b w:val="0"/>
          <w:color w:val="auto"/>
          <w:lang w:eastAsia="en-GB"/>
        </w:rPr>
        <w:t>range of standards</w:t>
      </w:r>
      <w:r w:rsidR="004264ED" w:rsidRPr="00B64995" w:rsidDel="004264ED">
        <w:rPr>
          <w:rStyle w:val="normaltextrun"/>
          <w:rFonts w:ascii="Calibri" w:hAnsi="Calibri" w:cs="Calibri"/>
          <w:b w:val="0"/>
          <w:color w:val="auto"/>
          <w:lang w:eastAsia="en-GB"/>
        </w:rPr>
        <w:t xml:space="preserve"> </w:t>
      </w:r>
      <w:r w:rsidRPr="00B64995">
        <w:rPr>
          <w:rStyle w:val="normaltextrun"/>
          <w:rFonts w:ascii="Calibri" w:hAnsi="Calibri" w:cs="Calibri"/>
          <w:b w:val="0"/>
          <w:color w:val="auto"/>
          <w:lang w:eastAsia="en-GB"/>
        </w:rPr>
        <w:t>address</w:t>
      </w:r>
      <w:r w:rsidR="004264ED" w:rsidRPr="00B64995">
        <w:rPr>
          <w:rStyle w:val="normaltextrun"/>
          <w:rFonts w:ascii="Calibri" w:hAnsi="Calibri" w:cs="Calibri"/>
          <w:b w:val="0"/>
          <w:color w:val="auto"/>
          <w:lang w:eastAsia="en-GB"/>
        </w:rPr>
        <w:t>ing</w:t>
      </w:r>
      <w:r w:rsidRPr="00B64995">
        <w:rPr>
          <w:rStyle w:val="normaltextrun"/>
          <w:rFonts w:ascii="Calibri" w:hAnsi="Calibri" w:cs="Calibri"/>
          <w:b w:val="0"/>
          <w:color w:val="auto"/>
          <w:lang w:eastAsia="en-GB"/>
        </w:rPr>
        <w:t xml:space="preserve"> the requirements of IoT technologies, with a focus on IoT applications and challenges in smart cities and communities</w:t>
      </w:r>
      <w:r w:rsidR="00C2162A" w:rsidRPr="00B64995">
        <w:rPr>
          <w:rStyle w:val="normaltextrun"/>
          <w:rFonts w:ascii="Calibri" w:hAnsi="Calibri" w:cs="Calibri"/>
          <w:b w:val="0"/>
          <w:color w:val="auto"/>
          <w:lang w:eastAsia="en-GB"/>
        </w:rPr>
        <w:t xml:space="preserve"> (see </w:t>
      </w:r>
      <w:hyperlink w:anchor="Section_1_3" w:history="1">
        <w:r w:rsidR="007F05EB" w:rsidRPr="00B64995">
          <w:rPr>
            <w:rStyle w:val="normaltextrun"/>
            <w:rFonts w:ascii="Calibri" w:hAnsi="Calibri" w:cs="Calibri"/>
            <w:b w:val="0"/>
            <w:color w:val="auto"/>
            <w:lang w:eastAsia="en-GB"/>
          </w:rPr>
          <w:t>section</w:t>
        </w:r>
        <w:r w:rsidR="00C2162A" w:rsidRPr="00B64995">
          <w:rPr>
            <w:rStyle w:val="normaltextrun"/>
            <w:rFonts w:ascii="Calibri" w:hAnsi="Calibri" w:cs="Calibri"/>
            <w:b w:val="0"/>
            <w:color w:val="auto"/>
            <w:lang w:eastAsia="en-GB"/>
          </w:rPr>
          <w:t xml:space="preserve"> 1.3</w:t>
        </w:r>
      </w:hyperlink>
      <w:r w:rsidR="00C2162A" w:rsidRPr="00A060FE">
        <w:rPr>
          <w:rStyle w:val="normaltextrun"/>
          <w:rFonts w:ascii="Calibri" w:hAnsi="Calibri" w:cs="Calibri"/>
          <w:b w:val="0"/>
          <w:color w:val="auto"/>
          <w:lang w:eastAsia="en-GB"/>
        </w:rPr>
        <w:t>)</w:t>
      </w:r>
      <w:r w:rsidRPr="00B64995">
        <w:rPr>
          <w:rStyle w:val="normaltextrun"/>
          <w:rFonts w:ascii="Calibri" w:hAnsi="Calibri" w:cs="Calibri"/>
          <w:b w:val="0"/>
          <w:color w:val="auto"/>
          <w:lang w:eastAsia="en-GB"/>
        </w:rPr>
        <w:t>. The </w:t>
      </w:r>
      <w:r w:rsidR="00924F86" w:rsidRPr="00B64995">
        <w:rPr>
          <w:rStyle w:val="normaltextrun"/>
          <w:rFonts w:ascii="Calibri" w:hAnsi="Calibri" w:cs="Calibri"/>
          <w:b w:val="0"/>
          <w:color w:val="auto"/>
          <w:lang w:eastAsia="en-GB"/>
        </w:rPr>
        <w:t>United for Smart Sustainable Cities (</w:t>
      </w:r>
      <w:r w:rsidRPr="00B64995">
        <w:rPr>
          <w:rStyle w:val="normaltextrun"/>
          <w:rFonts w:ascii="Calibri" w:hAnsi="Calibri" w:cs="Calibri"/>
          <w:b w:val="0"/>
          <w:color w:val="auto"/>
          <w:lang w:eastAsia="en-GB"/>
        </w:rPr>
        <w:t>U4SSC</w:t>
      </w:r>
      <w:r w:rsidRPr="00A060FE">
        <w:rPr>
          <w:rStyle w:val="normaltextrun"/>
          <w:rFonts w:ascii="Calibri" w:hAnsi="Calibri" w:cs="Calibri"/>
          <w:b w:val="0"/>
          <w:color w:val="auto"/>
          <w:lang w:eastAsia="en-GB"/>
        </w:rPr>
        <w:t xml:space="preserve">) initiative continued to advocate public policy to encourage the use of </w:t>
      </w:r>
      <w:r w:rsidRPr="00B64995">
        <w:rPr>
          <w:rStyle w:val="normaltextrun"/>
          <w:rFonts w:ascii="Calibri" w:hAnsi="Calibri" w:cs="Calibri"/>
          <w:b w:val="0"/>
          <w:color w:val="auto"/>
          <w:lang w:eastAsia="en-GB"/>
        </w:rPr>
        <w:t>digital technologies toward facilitating and easing the transition to smart sustainable cities </w:t>
      </w:r>
      <w:r w:rsidR="00F24B34" w:rsidRPr="00B64995">
        <w:rPr>
          <w:rStyle w:val="normaltextrun"/>
          <w:rFonts w:ascii="Calibri" w:hAnsi="Calibri" w:cs="Calibri"/>
          <w:b w:val="0"/>
          <w:color w:val="auto"/>
          <w:lang w:eastAsia="en-GB"/>
        </w:rPr>
        <w:t xml:space="preserve">and communities </w:t>
      </w:r>
      <w:r w:rsidRPr="00B64995">
        <w:rPr>
          <w:rStyle w:val="normaltextrun"/>
          <w:rFonts w:ascii="Calibri" w:hAnsi="Calibri" w:cs="Calibri"/>
          <w:b w:val="0"/>
          <w:color w:val="auto"/>
          <w:lang w:eastAsia="en-GB"/>
        </w:rPr>
        <w:t xml:space="preserve">through its </w:t>
      </w:r>
      <w:r w:rsidR="00924F86" w:rsidRPr="00B64995">
        <w:rPr>
          <w:rStyle w:val="normaltextrun"/>
          <w:rFonts w:ascii="Calibri" w:hAnsi="Calibri" w:cs="Calibri"/>
          <w:b w:val="0"/>
          <w:color w:val="auto"/>
          <w:lang w:eastAsia="en-GB"/>
        </w:rPr>
        <w:t xml:space="preserve">nine </w:t>
      </w:r>
      <w:r w:rsidRPr="00B64995">
        <w:rPr>
          <w:rStyle w:val="normaltextrun"/>
          <w:rFonts w:ascii="Calibri" w:hAnsi="Calibri" w:cs="Calibri"/>
          <w:b w:val="0"/>
          <w:color w:val="auto"/>
          <w:lang w:eastAsia="en-GB"/>
        </w:rPr>
        <w:t xml:space="preserve">thematic groups and </w:t>
      </w:r>
      <w:r w:rsidR="00924F86" w:rsidRPr="00B64995">
        <w:rPr>
          <w:rStyle w:val="normaltextrun"/>
          <w:rFonts w:ascii="Calibri" w:hAnsi="Calibri" w:cs="Calibri"/>
          <w:b w:val="0"/>
          <w:color w:val="auto"/>
          <w:lang w:eastAsia="en-GB"/>
        </w:rPr>
        <w:t xml:space="preserve">the </w:t>
      </w:r>
      <w:r w:rsidRPr="00B64995">
        <w:rPr>
          <w:rStyle w:val="normaltextrun"/>
          <w:rFonts w:ascii="Calibri" w:hAnsi="Calibri" w:cs="Calibri"/>
          <w:b w:val="0"/>
          <w:color w:val="auto"/>
          <w:lang w:eastAsia="en-GB"/>
        </w:rPr>
        <w:t>U4SSC implementation programme. The </w:t>
      </w:r>
      <w:hyperlink r:id="rId265">
        <w:r w:rsidRPr="00B64995">
          <w:rPr>
            <w:rStyle w:val="normaltextrun"/>
            <w:rFonts w:ascii="Calibri" w:hAnsi="Calibri" w:cs="Calibri"/>
            <w:b w:val="0"/>
            <w:color w:val="auto"/>
            <w:lang w:eastAsia="en-GB"/>
          </w:rPr>
          <w:t>9th Green Standards week</w:t>
        </w:r>
      </w:hyperlink>
      <w:r w:rsidRPr="00A060FE">
        <w:rPr>
          <w:rStyle w:val="normaltextrun"/>
          <w:rFonts w:ascii="Calibri" w:hAnsi="Calibri" w:cs="Calibri"/>
          <w:b w:val="0"/>
          <w:color w:val="auto"/>
          <w:lang w:eastAsia="en-GB"/>
        </w:rPr>
        <w:t> took place in Valencia, Spain. </w:t>
      </w:r>
      <w:r w:rsidR="00F24B34" w:rsidRPr="00B64995">
        <w:rPr>
          <w:rStyle w:val="normaltextrun"/>
          <w:rFonts w:ascii="Calibri" w:hAnsi="Calibri" w:cs="Calibri"/>
          <w:b w:val="0"/>
          <w:color w:val="auto"/>
          <w:lang w:eastAsia="en-GB"/>
        </w:rPr>
        <w:t xml:space="preserve">The </w:t>
      </w:r>
      <w:hyperlink r:id="rId266">
        <w:r w:rsidRPr="00B64995">
          <w:rPr>
            <w:rStyle w:val="normaltextrun"/>
            <w:rFonts w:ascii="Calibri" w:hAnsi="Calibri" w:cs="Calibri"/>
            <w:b w:val="0"/>
            <w:color w:val="auto"/>
            <w:lang w:eastAsia="en-GB"/>
          </w:rPr>
          <w:t>1st Digital African Week</w:t>
        </w:r>
      </w:hyperlink>
      <w:r w:rsidRPr="00A060FE">
        <w:rPr>
          <w:rStyle w:val="normaltextrun"/>
          <w:rFonts w:ascii="Calibri" w:hAnsi="Calibri" w:cs="Calibri"/>
          <w:b w:val="0"/>
          <w:color w:val="auto"/>
          <w:lang w:eastAsia="en-GB"/>
        </w:rPr>
        <w:t xml:space="preserve"> took place in Abuja, Nigeria. </w:t>
      </w:r>
      <w:r w:rsidR="00DB1C88" w:rsidRPr="00B64995">
        <w:rPr>
          <w:rStyle w:val="normaltextrun"/>
          <w:rFonts w:ascii="Calibri" w:hAnsi="Calibri" w:cs="Calibri"/>
          <w:b w:val="0"/>
          <w:color w:val="auto"/>
          <w:lang w:eastAsia="en-GB"/>
        </w:rPr>
        <w:t xml:space="preserve">An Arab regional initiative on IoT and </w:t>
      </w:r>
      <w:r w:rsidR="0049723A" w:rsidRPr="00B64995">
        <w:rPr>
          <w:rStyle w:val="normaltextrun"/>
          <w:rFonts w:ascii="Calibri" w:hAnsi="Calibri" w:cs="Calibri"/>
          <w:b w:val="0"/>
          <w:color w:val="auto"/>
          <w:lang w:eastAsia="en-GB"/>
        </w:rPr>
        <w:t>s</w:t>
      </w:r>
      <w:r w:rsidR="00DB1C88" w:rsidRPr="00B64995">
        <w:rPr>
          <w:rStyle w:val="normaltextrun"/>
          <w:rFonts w:ascii="Calibri" w:hAnsi="Calibri" w:cs="Calibri"/>
          <w:b w:val="0"/>
          <w:color w:val="auto"/>
          <w:lang w:eastAsia="en-GB"/>
        </w:rPr>
        <w:t xml:space="preserve">mart cities raised awareness on the wide-scale deployment of IoT to establish </w:t>
      </w:r>
      <w:hyperlink r:id="rId267" w:history="1">
        <w:r w:rsidR="00DB1C88" w:rsidRPr="00B64995">
          <w:rPr>
            <w:rStyle w:val="normaltextrun"/>
            <w:rFonts w:ascii="Calibri" w:hAnsi="Calibri" w:cs="Calibri"/>
            <w:b w:val="0"/>
            <w:color w:val="auto"/>
            <w:lang w:eastAsia="en-GB"/>
          </w:rPr>
          <w:t>smart cities and societies in the Arab States region</w:t>
        </w:r>
      </w:hyperlink>
      <w:r w:rsidR="00DB1C88" w:rsidRPr="00A060FE">
        <w:rPr>
          <w:rStyle w:val="normaltextrun"/>
          <w:rFonts w:ascii="Calibri" w:hAnsi="Calibri" w:cs="Calibri"/>
          <w:b w:val="0"/>
          <w:color w:val="auto"/>
          <w:lang w:eastAsia="en-GB"/>
        </w:rPr>
        <w:t>. The first meeting of the Joint IEC-ISO-ITU Smart Cities Task Force was held 7 October 2020.</w:t>
      </w:r>
    </w:p>
    <w:p w14:paraId="4A8F8B3C" w14:textId="77777777" w:rsidR="0049723A" w:rsidRPr="00B64995" w:rsidRDefault="00951E14" w:rsidP="007E6CA0">
      <w:pPr>
        <w:pStyle w:val="Heading5"/>
        <w:ind w:left="0" w:firstLine="0"/>
      </w:pPr>
      <w:r w:rsidRPr="00B64995">
        <w:t>E-waste</w:t>
      </w:r>
    </w:p>
    <w:p w14:paraId="64A15612" w14:textId="32CD6D2D" w:rsidR="0049723A" w:rsidRPr="00B64995" w:rsidRDefault="00957AC3" w:rsidP="00DB1C88">
      <w:pPr>
        <w:jc w:val="both"/>
        <w:rPr>
          <w:rFonts w:eastAsia="Calibri"/>
        </w:rPr>
      </w:pPr>
      <w:r w:rsidRPr="00B64995">
        <w:rPr>
          <w:rFonts w:eastAsia="Calibri"/>
        </w:rPr>
        <w:t xml:space="preserve">ITU has a broad portfolio of e-waste activities, tackling this issue at the global, </w:t>
      </w:r>
      <w:proofErr w:type="gramStart"/>
      <w:r w:rsidRPr="00B64995">
        <w:rPr>
          <w:rFonts w:eastAsia="Calibri"/>
        </w:rPr>
        <w:t>regional</w:t>
      </w:r>
      <w:proofErr w:type="gramEnd"/>
      <w:r w:rsidRPr="00B64995">
        <w:rPr>
          <w:rFonts w:eastAsia="Calibri"/>
        </w:rPr>
        <w:t xml:space="preserve"> and national level. ITU covers </w:t>
      </w:r>
      <w:proofErr w:type="gramStart"/>
      <w:r w:rsidRPr="00B64995">
        <w:rPr>
          <w:rFonts w:eastAsia="Calibri"/>
        </w:rPr>
        <w:t>a number of</w:t>
      </w:r>
      <w:proofErr w:type="gramEnd"/>
      <w:r w:rsidRPr="00B64995">
        <w:rPr>
          <w:rFonts w:eastAsia="Calibri"/>
        </w:rPr>
        <w:t xml:space="preserve"> priority areas relating to a circular economy for electronics and e-waste, from data collection and improvement to policy and technological development, standards and partnership building. ITU hosts the secretariat of the </w:t>
      </w:r>
      <w:hyperlink r:id="rId268" w:history="1">
        <w:r w:rsidRPr="00B64995">
          <w:rPr>
            <w:rFonts w:eastAsia="Calibri"/>
            <w:color w:val="0563C1"/>
            <w:u w:val="single"/>
          </w:rPr>
          <w:t>UN E-waste Coalition</w:t>
        </w:r>
      </w:hyperlink>
      <w:r w:rsidRPr="00A060FE">
        <w:rPr>
          <w:rFonts w:eastAsia="Calibri"/>
        </w:rPr>
        <w:t xml:space="preserve"> and is a founding partner </w:t>
      </w:r>
      <w:r w:rsidRPr="00B64995">
        <w:rPr>
          <w:rFonts w:eastAsia="Calibri"/>
        </w:rPr>
        <w:t xml:space="preserve">of the Circular Electronics Partnership and the </w:t>
      </w:r>
      <w:hyperlink r:id="rId269" w:history="1">
        <w:r w:rsidR="00C267BE" w:rsidRPr="00B64995">
          <w:rPr>
            <w:rStyle w:val="Hyperlink"/>
            <w:rFonts w:eastAsia="Calibri"/>
          </w:rPr>
          <w:t>Global E-waste Statistics Partnership</w:t>
        </w:r>
      </w:hyperlink>
      <w:r w:rsidRPr="00A060FE">
        <w:rPr>
          <w:rFonts w:eastAsia="Calibri"/>
        </w:rPr>
        <w:t xml:space="preserve"> (GESP).</w:t>
      </w:r>
    </w:p>
    <w:p w14:paraId="1DA6542E" w14:textId="77777777" w:rsidR="00951E14" w:rsidRPr="00B87922" w:rsidRDefault="00951E14" w:rsidP="00614D53">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67289325" w14:textId="7A1AA47D" w:rsidR="0049723A" w:rsidRPr="00B87922" w:rsidRDefault="286F586B" w:rsidP="00DB1C88">
      <w:pPr>
        <w:jc w:val="both"/>
        <w:rPr>
          <w:rStyle w:val="normaltextrun"/>
          <w:rFonts w:eastAsiaTheme="majorEastAsia"/>
          <w:color w:val="000000" w:themeColor="text1"/>
        </w:rPr>
      </w:pPr>
      <w:r w:rsidRPr="00B64995">
        <w:rPr>
          <w:rStyle w:val="normaltextrun"/>
          <w:rFonts w:eastAsiaTheme="majorEastAsia"/>
        </w:rPr>
        <w:t xml:space="preserve">During </w:t>
      </w:r>
      <w:r w:rsidR="00A91F8B" w:rsidRPr="00B64995">
        <w:rPr>
          <w:rStyle w:val="normaltextrun"/>
          <w:rFonts w:eastAsiaTheme="majorEastAsia"/>
        </w:rPr>
        <w:t>2019 and 2020</w:t>
      </w:r>
      <w:r w:rsidRPr="00B64995">
        <w:rPr>
          <w:rStyle w:val="normaltextrun"/>
          <w:rFonts w:eastAsiaTheme="majorEastAsia"/>
        </w:rPr>
        <w:t xml:space="preserve">, ITU’s work continued towards meeting the </w:t>
      </w:r>
      <w:r w:rsidR="305C7899" w:rsidRPr="00B64995">
        <w:rPr>
          <w:rStyle w:val="normaltextrun"/>
          <w:rFonts w:eastAsiaTheme="majorEastAsia"/>
        </w:rPr>
        <w:t xml:space="preserve">e-waste </w:t>
      </w:r>
      <w:r w:rsidRPr="00B64995">
        <w:rPr>
          <w:rStyle w:val="normaltextrun"/>
          <w:rFonts w:eastAsiaTheme="majorEastAsia"/>
        </w:rPr>
        <w:t xml:space="preserve">targets established by </w:t>
      </w:r>
      <w:r w:rsidR="75E552A4" w:rsidRPr="00B64995">
        <w:rPr>
          <w:rStyle w:val="normaltextrun"/>
          <w:rFonts w:eastAsiaTheme="majorEastAsia"/>
        </w:rPr>
        <w:t xml:space="preserve">the </w:t>
      </w:r>
      <w:hyperlink r:id="rId270">
        <w:r w:rsidRPr="00B64995">
          <w:rPr>
            <w:rStyle w:val="Hyperlink"/>
          </w:rPr>
          <w:t>Connect 2030</w:t>
        </w:r>
      </w:hyperlink>
      <w:r w:rsidRPr="00A060FE">
        <w:rPr>
          <w:rStyle w:val="normaltextrun"/>
          <w:rFonts w:eastAsiaTheme="majorEastAsia"/>
        </w:rPr>
        <w:t xml:space="preserve"> </w:t>
      </w:r>
      <w:r w:rsidR="61F491C8" w:rsidRPr="00B64995">
        <w:rPr>
          <w:rStyle w:val="normaltextrun"/>
          <w:rFonts w:eastAsiaTheme="majorEastAsia"/>
        </w:rPr>
        <w:t>agenda</w:t>
      </w:r>
      <w:r w:rsidRPr="00B64995">
        <w:rPr>
          <w:rStyle w:val="normaltextrun"/>
          <w:rFonts w:eastAsiaTheme="majorEastAsia"/>
        </w:rPr>
        <w:t xml:space="preserve">. </w:t>
      </w:r>
      <w:r w:rsidR="0049723A" w:rsidRPr="00B64995">
        <w:rPr>
          <w:rStyle w:val="normaltextrun"/>
          <w:rFonts w:eastAsiaTheme="majorEastAsia"/>
        </w:rPr>
        <w:t>I</w:t>
      </w:r>
      <w:r w:rsidRPr="00B64995">
        <w:rPr>
          <w:rStyle w:val="normaltextrun"/>
          <w:rFonts w:eastAsiaTheme="majorEastAsia"/>
        </w:rPr>
        <w:t xml:space="preserve">nternational </w:t>
      </w:r>
      <w:r w:rsidR="0049723A" w:rsidRPr="00B64995">
        <w:rPr>
          <w:rStyle w:val="normaltextrun"/>
          <w:rFonts w:eastAsiaTheme="majorEastAsia"/>
        </w:rPr>
        <w:t>E</w:t>
      </w:r>
      <w:r w:rsidRPr="00B64995">
        <w:rPr>
          <w:rStyle w:val="normaltextrun"/>
          <w:rFonts w:eastAsiaTheme="majorEastAsia"/>
        </w:rPr>
        <w:t xml:space="preserve">-waste </w:t>
      </w:r>
      <w:r w:rsidR="0049723A" w:rsidRPr="00B64995">
        <w:rPr>
          <w:rStyle w:val="normaltextrun"/>
          <w:rFonts w:eastAsiaTheme="majorEastAsia"/>
        </w:rPr>
        <w:t>D</w:t>
      </w:r>
      <w:r w:rsidRPr="00B64995">
        <w:rPr>
          <w:rStyle w:val="normaltextrun"/>
          <w:rFonts w:eastAsiaTheme="majorEastAsia"/>
        </w:rPr>
        <w:t>ay took place in October 2019. Further new entities signed up to join the</w:t>
      </w:r>
      <w:r w:rsidR="00C6254E" w:rsidRPr="00B64995">
        <w:rPr>
          <w:rStyle w:val="normaltextrun"/>
          <w:rFonts w:eastAsiaTheme="majorEastAsia"/>
        </w:rPr>
        <w:t xml:space="preserve"> </w:t>
      </w:r>
      <w:hyperlink r:id="rId271">
        <w:r w:rsidR="0049723A" w:rsidRPr="00B64995">
          <w:rPr>
            <w:rStyle w:val="normaltextrun"/>
            <w:rFonts w:eastAsiaTheme="majorEastAsia"/>
            <w:color w:val="0000FF"/>
            <w:u w:val="single"/>
          </w:rPr>
          <w:t>UN E-waste Coalition</w:t>
        </w:r>
      </w:hyperlink>
      <w:r w:rsidRPr="00A060FE">
        <w:rPr>
          <w:rStyle w:val="normaltextrun"/>
          <w:rFonts w:eastAsiaTheme="majorEastAsia"/>
        </w:rPr>
        <w:t>, paving the way for grea</w:t>
      </w:r>
      <w:r w:rsidRPr="00B64995">
        <w:rPr>
          <w:rStyle w:val="normaltextrun"/>
          <w:rFonts w:eastAsiaTheme="majorEastAsia"/>
        </w:rPr>
        <w:t xml:space="preserve">ter </w:t>
      </w:r>
      <w:r w:rsidR="0049723A" w:rsidRPr="00B64995">
        <w:rPr>
          <w:rStyle w:val="normaltextrun"/>
          <w:rFonts w:eastAsiaTheme="majorEastAsia"/>
        </w:rPr>
        <w:t xml:space="preserve">collaboration on </w:t>
      </w:r>
      <w:r w:rsidRPr="00B64995">
        <w:rPr>
          <w:rStyle w:val="normaltextrun"/>
          <w:rFonts w:eastAsiaTheme="majorEastAsia"/>
        </w:rPr>
        <w:t>e-waste management. ITU and other partners worked together on a project in Latin America</w:t>
      </w:r>
      <w:r w:rsidR="0049723A" w:rsidRPr="00B64995">
        <w:rPr>
          <w:rStyle w:val="normaltextrun"/>
          <w:rFonts w:eastAsiaTheme="majorEastAsia"/>
        </w:rPr>
        <w:t xml:space="preserve"> funded by the Global Environment Facility (GEF)</w:t>
      </w:r>
      <w:r w:rsidRPr="00B64995">
        <w:rPr>
          <w:rStyle w:val="normaltextrun"/>
          <w:rFonts w:eastAsiaTheme="majorEastAsia"/>
        </w:rPr>
        <w:t>.</w:t>
      </w:r>
      <w:r w:rsidR="00F508DE" w:rsidRPr="00B64995">
        <w:rPr>
          <w:rStyle w:val="normaltextrun"/>
          <w:rFonts w:eastAsiaTheme="majorEastAsia"/>
        </w:rPr>
        <w:t xml:space="preserve"> </w:t>
      </w:r>
      <w:r w:rsidR="00EE6CE2" w:rsidRPr="00B64995">
        <w:rPr>
          <w:rStyle w:val="normaltextrun"/>
          <w:rFonts w:asciiTheme="minorHAnsi" w:eastAsiaTheme="majorEastAsia" w:hAnsiTheme="minorHAnsi" w:cstheme="minorHAnsi"/>
        </w:rPr>
        <w:t xml:space="preserve">As part of </w:t>
      </w:r>
      <w:r w:rsidR="0049723A" w:rsidRPr="00B64995">
        <w:rPr>
          <w:rStyle w:val="normaltextrun"/>
          <w:rFonts w:asciiTheme="minorHAnsi" w:eastAsiaTheme="majorEastAsia" w:hAnsiTheme="minorHAnsi" w:cstheme="minorHAnsi"/>
        </w:rPr>
        <w:t xml:space="preserve">that </w:t>
      </w:r>
      <w:r w:rsidR="00EE6CE2" w:rsidRPr="00B64995">
        <w:rPr>
          <w:rStyle w:val="normaltextrun"/>
          <w:rFonts w:asciiTheme="minorHAnsi" w:eastAsiaTheme="majorEastAsia" w:hAnsiTheme="minorHAnsi" w:cstheme="minorHAnsi"/>
        </w:rPr>
        <w:t>project</w:t>
      </w:r>
      <w:r w:rsidR="0049723A" w:rsidRPr="00B64995">
        <w:rPr>
          <w:rStyle w:val="normaltextrun"/>
          <w:rFonts w:asciiTheme="minorHAnsi" w:eastAsiaTheme="majorEastAsia" w:hAnsiTheme="minorHAnsi" w:cstheme="minorHAnsi"/>
        </w:rPr>
        <w:t>,</w:t>
      </w:r>
      <w:r w:rsidR="00EE6CE2" w:rsidRPr="00B64995">
        <w:rPr>
          <w:rStyle w:val="normaltextrun"/>
          <w:rFonts w:asciiTheme="minorHAnsi" w:eastAsiaTheme="majorEastAsia" w:hAnsiTheme="minorHAnsi" w:cstheme="minorHAnsi"/>
        </w:rPr>
        <w:t xml:space="preserve"> ITU-T is working with Costa Rica and Argentina in the implementation of the ITU standards providing a guideline for achieving the e-waste targets of the Connect 2030 Agenda (</w:t>
      </w:r>
      <w:hyperlink r:id="rId272" w:history="1">
        <w:r w:rsidR="00EE6CE2" w:rsidRPr="00B64995">
          <w:rPr>
            <w:rStyle w:val="Hyperlink"/>
            <w:rFonts w:asciiTheme="minorHAnsi" w:eastAsiaTheme="majorEastAsia" w:hAnsiTheme="minorHAnsi" w:cstheme="minorHAnsi"/>
          </w:rPr>
          <w:t>L.1031</w:t>
        </w:r>
      </w:hyperlink>
      <w:r w:rsidR="00EE6CE2" w:rsidRPr="00A060FE">
        <w:rPr>
          <w:rStyle w:val="normaltextrun"/>
          <w:rFonts w:asciiTheme="minorHAnsi" w:eastAsiaTheme="majorEastAsia" w:hAnsiTheme="minorHAnsi" w:cstheme="minorHAnsi"/>
        </w:rPr>
        <w:t>) and guidelines and certification schemes for e-waste recyclers (</w:t>
      </w:r>
      <w:hyperlink r:id="rId273" w:history="1">
        <w:r w:rsidR="00EE6CE2" w:rsidRPr="00B64995">
          <w:rPr>
            <w:rStyle w:val="Hyperlink"/>
            <w:rFonts w:asciiTheme="minorHAnsi" w:eastAsiaTheme="majorEastAsia" w:hAnsiTheme="minorHAnsi" w:cstheme="minorHAnsi"/>
          </w:rPr>
          <w:t>L.1032</w:t>
        </w:r>
      </w:hyperlink>
      <w:r w:rsidR="00EE6CE2" w:rsidRPr="00A060FE">
        <w:rPr>
          <w:rStyle w:val="normaltextrun"/>
          <w:rFonts w:asciiTheme="minorHAnsi" w:eastAsiaTheme="majorEastAsia" w:hAnsiTheme="minorHAnsi" w:cstheme="minorHAnsi"/>
        </w:rPr>
        <w:t xml:space="preserve">). </w:t>
      </w:r>
      <w:r w:rsidR="00EE6CE2" w:rsidRPr="00B64995">
        <w:rPr>
          <w:rStyle w:val="normaltextrun"/>
          <w:rFonts w:asciiTheme="minorHAnsi" w:eastAsiaTheme="majorEastAsia" w:hAnsiTheme="minorHAnsi" w:cstheme="minorHAnsi"/>
          <w:color w:val="000000" w:themeColor="text1"/>
        </w:rPr>
        <w:t xml:space="preserve">The </w:t>
      </w:r>
      <w:hyperlink r:id="rId274">
        <w:r w:rsidR="00EE6CE2" w:rsidRPr="00B64995">
          <w:rPr>
            <w:rStyle w:val="normaltextrun"/>
            <w:rFonts w:asciiTheme="minorHAnsi" w:eastAsiaTheme="majorEastAsia" w:hAnsiTheme="minorHAnsi" w:cstheme="minorHAnsi"/>
            <w:color w:val="0000FF"/>
            <w:u w:val="single"/>
          </w:rPr>
          <w:t xml:space="preserve">e-waste monitor in </w:t>
        </w:r>
        <w:r w:rsidR="0049723A" w:rsidRPr="00B64995">
          <w:rPr>
            <w:rStyle w:val="normaltextrun"/>
            <w:rFonts w:asciiTheme="minorHAnsi" w:eastAsiaTheme="majorEastAsia" w:hAnsiTheme="minorHAnsi" w:cstheme="minorHAnsi"/>
            <w:color w:val="0000FF"/>
            <w:u w:val="single"/>
          </w:rPr>
          <w:t xml:space="preserve">the </w:t>
        </w:r>
        <w:r w:rsidR="00EE6CE2" w:rsidRPr="00B64995">
          <w:rPr>
            <w:rStyle w:val="normaltextrun"/>
            <w:rFonts w:asciiTheme="minorHAnsi" w:eastAsiaTheme="majorEastAsia" w:hAnsiTheme="minorHAnsi" w:cstheme="minorHAnsi"/>
            <w:color w:val="0000FF"/>
            <w:u w:val="single"/>
          </w:rPr>
          <w:t>Arab region</w:t>
        </w:r>
      </w:hyperlink>
      <w:r w:rsidR="00EE6CE2" w:rsidRPr="00A060FE">
        <w:rPr>
          <w:rStyle w:val="normaltextrun"/>
          <w:rFonts w:asciiTheme="minorHAnsi" w:eastAsiaTheme="majorEastAsia" w:hAnsiTheme="minorHAnsi" w:cstheme="minorHAnsi"/>
          <w:color w:val="000000" w:themeColor="text1"/>
        </w:rPr>
        <w:t xml:space="preserve"> generated </w:t>
      </w:r>
      <w:r w:rsidR="0049723A" w:rsidRPr="00B64995">
        <w:rPr>
          <w:rStyle w:val="normaltextrun"/>
          <w:rFonts w:asciiTheme="minorHAnsi" w:eastAsiaTheme="majorEastAsia" w:hAnsiTheme="minorHAnsi" w:cstheme="minorHAnsi"/>
          <w:color w:val="000000" w:themeColor="text1"/>
        </w:rPr>
        <w:t xml:space="preserve">an </w:t>
      </w:r>
      <w:r w:rsidR="00EE6CE2" w:rsidRPr="00B64995">
        <w:rPr>
          <w:rStyle w:val="normaltextrun"/>
          <w:rFonts w:asciiTheme="minorHAnsi" w:eastAsiaTheme="majorEastAsia" w:hAnsiTheme="minorHAnsi" w:cstheme="minorHAnsi"/>
          <w:color w:val="000000" w:themeColor="text1"/>
        </w:rPr>
        <w:t xml:space="preserve">e-waste data set for the 22 Arab States and enhanced skills </w:t>
      </w:r>
      <w:r w:rsidR="00EE6CE2" w:rsidRPr="00B64995">
        <w:rPr>
          <w:rStyle w:val="normaltextrun"/>
          <w:rFonts w:asciiTheme="minorHAnsi" w:eastAsiaTheme="majorEastAsia" w:hAnsiTheme="minorHAnsi" w:cstheme="minorHAnsi"/>
        </w:rPr>
        <w:t xml:space="preserve">on </w:t>
      </w:r>
      <w:r w:rsidR="00EE6CE2" w:rsidRPr="00B64995">
        <w:rPr>
          <w:rStyle w:val="normaltextrun"/>
          <w:rFonts w:asciiTheme="minorHAnsi" w:eastAsiaTheme="majorEastAsia" w:hAnsiTheme="minorHAnsi" w:cstheme="minorHAnsi"/>
          <w:color w:val="000000" w:themeColor="text1"/>
        </w:rPr>
        <w:t xml:space="preserve">e-waste collection and statistics methods and tools. The </w:t>
      </w:r>
      <w:hyperlink r:id="rId275">
        <w:r w:rsidR="00EE6CE2" w:rsidRPr="00B64995">
          <w:rPr>
            <w:rStyle w:val="normaltextrun"/>
            <w:rFonts w:asciiTheme="minorHAnsi" w:eastAsiaTheme="majorEastAsia" w:hAnsiTheme="minorHAnsi" w:cstheme="minorHAnsi"/>
            <w:color w:val="0000FF"/>
            <w:u w:val="single"/>
          </w:rPr>
          <w:t>Massive Open Online Course (MOOC) on e-waste management</w:t>
        </w:r>
      </w:hyperlink>
      <w:r w:rsidR="00EE6CE2" w:rsidRPr="00A060FE">
        <w:rPr>
          <w:rStyle w:val="normaltextrun"/>
          <w:rFonts w:asciiTheme="minorHAnsi" w:eastAsiaTheme="majorEastAsia" w:hAnsiTheme="minorHAnsi" w:cstheme="minorHAnsi"/>
          <w:color w:val="000000" w:themeColor="text1"/>
        </w:rPr>
        <w:t xml:space="preserve"> developed together with </w:t>
      </w:r>
      <w:r w:rsidR="0049723A" w:rsidRPr="00B64995">
        <w:rPr>
          <w:rStyle w:val="normaltextrun"/>
          <w:rFonts w:asciiTheme="minorHAnsi" w:eastAsiaTheme="majorEastAsia" w:hAnsiTheme="minorHAnsi" w:cstheme="minorHAnsi"/>
          <w:color w:val="000000" w:themeColor="text1"/>
        </w:rPr>
        <w:t xml:space="preserve">the secretariat of the </w:t>
      </w:r>
      <w:r w:rsidR="00EE6CE2" w:rsidRPr="00B64995">
        <w:rPr>
          <w:rStyle w:val="normaltextrun"/>
          <w:rFonts w:asciiTheme="minorHAnsi" w:eastAsiaTheme="majorEastAsia" w:hAnsiTheme="minorHAnsi" w:cstheme="minorHAnsi"/>
          <w:color w:val="000000" w:themeColor="text1"/>
        </w:rPr>
        <w:t>Basel Convention, WHO and other partners was launched in February 2019. As part of the e-waste MOOC, two webinars</w:t>
      </w:r>
      <w:r w:rsidR="0049723A" w:rsidRPr="00B64995">
        <w:rPr>
          <w:rStyle w:val="normaltextrun"/>
          <w:rFonts w:asciiTheme="minorHAnsi" w:eastAsiaTheme="majorEastAsia" w:hAnsiTheme="minorHAnsi" w:cstheme="minorHAnsi"/>
          <w:color w:val="000000" w:themeColor="text1"/>
        </w:rPr>
        <w:t xml:space="preserve"> were hosted in April 2020</w:t>
      </w:r>
      <w:r w:rsidR="00EE6CE2" w:rsidRPr="00B64995">
        <w:rPr>
          <w:rStyle w:val="normaltextrun"/>
          <w:rFonts w:asciiTheme="minorHAnsi" w:eastAsiaTheme="majorEastAsia" w:hAnsiTheme="minorHAnsi" w:cstheme="minorHAnsi"/>
          <w:color w:val="000000" w:themeColor="text1"/>
        </w:rPr>
        <w:t>: “Explore a circular vision for the ICT sector” and “Using international standards to tackle the e-waste challenge”</w:t>
      </w:r>
      <w:r w:rsidRPr="00B64995">
        <w:rPr>
          <w:rStyle w:val="normaltextrun"/>
          <w:rFonts w:eastAsiaTheme="majorEastAsia"/>
          <w:color w:val="000000" w:themeColor="text1"/>
        </w:rPr>
        <w:t>.</w:t>
      </w:r>
    </w:p>
    <w:p w14:paraId="29E76820" w14:textId="49B6069D" w:rsidR="00F508DE" w:rsidRPr="00B64995" w:rsidRDefault="00F508DE" w:rsidP="00DB1C88">
      <w:pPr>
        <w:jc w:val="both"/>
        <w:rPr>
          <w:rStyle w:val="normaltextrun"/>
          <w:rFonts w:eastAsiaTheme="majorEastAsia"/>
          <w:color w:val="000000" w:themeColor="text1"/>
        </w:rPr>
      </w:pPr>
    </w:p>
    <w:p w14:paraId="31046E1C" w14:textId="6B255754" w:rsidR="00837F1F" w:rsidRPr="00B64995" w:rsidRDefault="001C3914" w:rsidP="00614D53">
      <w:pPr>
        <w:pStyle w:val="paragraph"/>
        <w:spacing w:before="0" w:beforeAutospacing="0" w:after="0" w:afterAutospacing="0"/>
        <w:jc w:val="both"/>
        <w:textAlignment w:val="baseline"/>
        <w:rPr>
          <w:rFonts w:ascii="Calibri" w:hAnsi="Calibri" w:cs="Calibri"/>
          <w:sz w:val="22"/>
          <w:szCs w:val="22"/>
        </w:rPr>
      </w:pPr>
      <w:r w:rsidRPr="00B64995">
        <w:rPr>
          <w:rFonts w:asciiTheme="minorHAnsi" w:hAnsiTheme="minorHAnsi" w:cstheme="minorHAnsi"/>
        </w:rPr>
        <w:t xml:space="preserve">Additionally, ITU-T </w:t>
      </w:r>
      <w:r w:rsidR="006D38B9" w:rsidRPr="00B64995">
        <w:rPr>
          <w:rFonts w:asciiTheme="minorHAnsi" w:hAnsiTheme="minorHAnsi" w:cstheme="minorHAnsi"/>
        </w:rPr>
        <w:t>SG 5</w:t>
      </w:r>
      <w:r w:rsidRPr="00B64995">
        <w:rPr>
          <w:rFonts w:asciiTheme="minorHAnsi" w:hAnsiTheme="minorHAnsi" w:cstheme="minorHAnsi"/>
        </w:rPr>
        <w:t xml:space="preserve"> is helping countries and the ICT sector to achieve a circular economy. </w:t>
      </w:r>
      <w:r w:rsidR="007F265E" w:rsidRPr="00B64995">
        <w:rPr>
          <w:rFonts w:asciiTheme="minorHAnsi" w:hAnsiTheme="minorHAnsi" w:cstheme="minorHAnsi"/>
        </w:rPr>
        <w:t xml:space="preserve">See </w:t>
      </w:r>
      <w:bookmarkStart w:id="48" w:name="Section_1_3"/>
      <w:r w:rsidR="007F265E" w:rsidRPr="00B64995">
        <w:rPr>
          <w:rFonts w:asciiTheme="minorHAnsi" w:hAnsiTheme="minorHAnsi" w:cstheme="minorHAnsi"/>
        </w:rPr>
        <w:t>section 1.3</w:t>
      </w:r>
      <w:bookmarkEnd w:id="48"/>
      <w:r w:rsidR="007F265E" w:rsidRPr="00B64995">
        <w:rPr>
          <w:rFonts w:asciiTheme="minorHAnsi" w:hAnsiTheme="minorHAnsi" w:cstheme="minorHAnsi"/>
        </w:rPr>
        <w:t>.</w:t>
      </w:r>
    </w:p>
    <w:p w14:paraId="6FBD079A" w14:textId="20C6DFA9" w:rsidR="0049723A" w:rsidRPr="00B64995" w:rsidRDefault="0049723A" w:rsidP="00614D53">
      <w:pPr>
        <w:pStyle w:val="paragraph"/>
        <w:spacing w:before="0" w:beforeAutospacing="0" w:after="0" w:afterAutospacing="0"/>
        <w:jc w:val="both"/>
        <w:textAlignment w:val="baseline"/>
        <w:rPr>
          <w:rStyle w:val="eop"/>
          <w:rFonts w:ascii="Calibri" w:hAnsi="Calibri" w:cs="Calibri"/>
          <w:sz w:val="22"/>
          <w:szCs w:val="22"/>
        </w:rPr>
      </w:pPr>
      <w:r w:rsidRPr="00B64995">
        <w:rPr>
          <w:rStyle w:val="normaltextrun"/>
          <w:rFonts w:ascii="Calibri" w:eastAsiaTheme="majorEastAsia" w:hAnsi="Calibri" w:cs="Calibri"/>
          <w:color w:val="000000"/>
          <w:sz w:val="22"/>
          <w:szCs w:val="22"/>
        </w:rPr>
        <w:t>A</w:t>
      </w:r>
      <w:r w:rsidRPr="00B64995">
        <w:t xml:space="preserve"> </w:t>
      </w:r>
      <w:hyperlink r:id="rId276" w:tgtFrame="_blank" w:history="1">
        <w:r w:rsidR="002B17B1" w:rsidRPr="00B64995">
          <w:rPr>
            <w:rStyle w:val="normaltextrun"/>
            <w:rFonts w:ascii="Calibri" w:eastAsiaTheme="majorEastAsia" w:hAnsi="Calibri" w:cs="Calibri"/>
            <w:color w:val="0000FF"/>
            <w:sz w:val="22"/>
            <w:szCs w:val="22"/>
            <w:u w:val="single"/>
          </w:rPr>
          <w:t>policy awareness workshop on e-waste</w:t>
        </w:r>
      </w:hyperlink>
      <w:r w:rsidR="00951E14" w:rsidRPr="00A060FE">
        <w:rPr>
          <w:rStyle w:val="normaltextrun"/>
          <w:rFonts w:ascii="Calibri" w:eastAsiaTheme="majorEastAsia" w:hAnsi="Calibri" w:cs="Calibri"/>
          <w:color w:val="000000"/>
          <w:sz w:val="22"/>
          <w:szCs w:val="22"/>
        </w:rPr>
        <w:t> </w:t>
      </w:r>
      <w:r w:rsidRPr="00B64995">
        <w:rPr>
          <w:rStyle w:val="normaltextrun"/>
          <w:rFonts w:ascii="Calibri" w:eastAsiaTheme="majorEastAsia" w:hAnsi="Calibri" w:cs="Calibri"/>
          <w:color w:val="000000"/>
          <w:sz w:val="22"/>
          <w:szCs w:val="22"/>
        </w:rPr>
        <w:t xml:space="preserve">held </w:t>
      </w:r>
      <w:r w:rsidR="00951E14" w:rsidRPr="00B64995">
        <w:rPr>
          <w:rStyle w:val="normaltextrun"/>
          <w:rFonts w:ascii="Calibri" w:eastAsiaTheme="majorEastAsia" w:hAnsi="Calibri" w:cs="Calibri"/>
          <w:color w:val="000000"/>
          <w:sz w:val="22"/>
          <w:szCs w:val="22"/>
        </w:rPr>
        <w:t>in Hyderabad</w:t>
      </w:r>
      <w:r w:rsidR="00603E82" w:rsidRPr="00B64995">
        <w:rPr>
          <w:rStyle w:val="normaltextrun"/>
          <w:rFonts w:ascii="Calibri" w:eastAsiaTheme="majorEastAsia" w:hAnsi="Calibri" w:cs="Calibri"/>
          <w:color w:val="000000"/>
          <w:sz w:val="22"/>
          <w:szCs w:val="22"/>
        </w:rPr>
        <w:t xml:space="preserve">, </w:t>
      </w:r>
      <w:r w:rsidR="00951E14" w:rsidRPr="00B64995">
        <w:rPr>
          <w:rStyle w:val="normaltextrun"/>
          <w:rFonts w:ascii="Calibri" w:eastAsiaTheme="majorEastAsia" w:hAnsi="Calibri" w:cs="Calibri"/>
          <w:color w:val="000000"/>
          <w:sz w:val="22"/>
          <w:szCs w:val="22"/>
        </w:rPr>
        <w:t>India </w:t>
      </w:r>
      <w:r w:rsidRPr="00B64995" w:rsidDel="0049723A">
        <w:rPr>
          <w:rStyle w:val="normaltextrun"/>
          <w:rFonts w:ascii="Calibri" w:eastAsiaTheme="majorEastAsia" w:hAnsi="Calibri" w:cs="Calibri"/>
          <w:color w:val="000000"/>
          <w:sz w:val="22"/>
          <w:szCs w:val="22"/>
        </w:rPr>
        <w:t xml:space="preserve"> </w:t>
      </w:r>
      <w:r w:rsidR="00951E14" w:rsidRPr="00B64995">
        <w:rPr>
          <w:rStyle w:val="normaltextrun"/>
          <w:rFonts w:ascii="Calibri" w:eastAsiaTheme="majorEastAsia" w:hAnsi="Calibri" w:cs="Calibri"/>
          <w:color w:val="000000"/>
          <w:sz w:val="22"/>
          <w:szCs w:val="22"/>
        </w:rPr>
        <w:t>27-29 November 2019 helped create inter-ministerial and departmental linkages for programmatic collaboration on e-waste</w:t>
      </w:r>
      <w:r w:rsidRPr="00B64995">
        <w:rPr>
          <w:rStyle w:val="normaltextrun"/>
          <w:rFonts w:ascii="Calibri" w:eastAsiaTheme="majorEastAsia" w:hAnsi="Calibri" w:cs="Calibri"/>
          <w:color w:val="000000"/>
          <w:sz w:val="22"/>
          <w:szCs w:val="22"/>
        </w:rPr>
        <w:t>,</w:t>
      </w:r>
      <w:r w:rsidR="00951E14" w:rsidRPr="00B64995">
        <w:rPr>
          <w:rStyle w:val="normaltextrun"/>
          <w:rFonts w:ascii="Calibri" w:eastAsiaTheme="majorEastAsia" w:hAnsi="Calibri" w:cs="Calibri"/>
          <w:color w:val="000000"/>
          <w:sz w:val="22"/>
          <w:szCs w:val="22"/>
        </w:rPr>
        <w:t> including roles and responsibilities and the identification of funding gaps and budget sources. ​</w:t>
      </w:r>
    </w:p>
    <w:p w14:paraId="042EE7A1" w14:textId="0834E189" w:rsidR="001C3914" w:rsidRPr="00B87922" w:rsidRDefault="001C3914" w:rsidP="001C3914">
      <w:pPr>
        <w:jc w:val="both"/>
        <w:rPr>
          <w:rStyle w:val="normaltextrun"/>
          <w:rFonts w:eastAsiaTheme="majorEastAsia"/>
          <w:color w:val="000000" w:themeColor="text1"/>
        </w:rPr>
      </w:pPr>
    </w:p>
    <w:p w14:paraId="69ED426D" w14:textId="1972BA0D" w:rsidR="001C3914" w:rsidRPr="00B64995" w:rsidRDefault="001C3914" w:rsidP="001C3914">
      <w:pPr>
        <w:jc w:val="both"/>
        <w:rPr>
          <w:rFonts w:eastAsia="Calibri"/>
        </w:rPr>
      </w:pPr>
      <w:r w:rsidRPr="00B64995">
        <w:rPr>
          <w:rStyle w:val="normaltextrun"/>
          <w:rFonts w:eastAsiaTheme="majorEastAsia"/>
          <w:color w:val="000000" w:themeColor="text1"/>
        </w:rPr>
        <w:t xml:space="preserve">In 2020, </w:t>
      </w:r>
      <w:r w:rsidRPr="00B64995">
        <w:rPr>
          <w:rFonts w:eastAsia="Calibri"/>
        </w:rPr>
        <w:t xml:space="preserve">ITU has published </w:t>
      </w:r>
      <w:hyperlink r:id="rId277" w:history="1">
        <w:r w:rsidRPr="00B64995">
          <w:rPr>
            <w:rFonts w:eastAsia="Calibri"/>
            <w:color w:val="0563C1"/>
            <w:u w:val="single"/>
          </w:rPr>
          <w:t>The Global E-waste Monitor 2020</w:t>
        </w:r>
      </w:hyperlink>
      <w:r w:rsidRPr="00A060FE">
        <w:rPr>
          <w:rFonts w:eastAsia="Calibri"/>
        </w:rPr>
        <w:t>, which made the headlines of many major news outlets</w:t>
      </w:r>
      <w:r w:rsidR="0049723A" w:rsidRPr="00B64995">
        <w:rPr>
          <w:rFonts w:eastAsia="Calibri"/>
        </w:rPr>
        <w:t xml:space="preserve">. A </w:t>
      </w:r>
      <w:r w:rsidRPr="00B64995">
        <w:rPr>
          <w:rFonts w:eastAsia="Calibri"/>
        </w:rPr>
        <w:t xml:space="preserve">thought paper on </w:t>
      </w:r>
      <w:hyperlink r:id="rId278" w:history="1">
        <w:r w:rsidRPr="00B64995">
          <w:rPr>
            <w:rFonts w:eastAsia="Calibri"/>
            <w:color w:val="0563C1"/>
            <w:u w:val="single"/>
          </w:rPr>
          <w:t>Internet Waste</w:t>
        </w:r>
      </w:hyperlink>
      <w:r w:rsidRPr="00A060FE">
        <w:rPr>
          <w:rFonts w:eastAsia="Calibri"/>
        </w:rPr>
        <w:t xml:space="preserve"> </w:t>
      </w:r>
      <w:r w:rsidR="0049723A" w:rsidRPr="00B64995">
        <w:rPr>
          <w:rFonts w:eastAsia="Calibri"/>
        </w:rPr>
        <w:t xml:space="preserve">was also released </w:t>
      </w:r>
      <w:r w:rsidRPr="00B64995">
        <w:rPr>
          <w:rFonts w:eastAsia="Calibri"/>
        </w:rPr>
        <w:t>as part of its joint organi</w:t>
      </w:r>
      <w:r w:rsidR="0049723A" w:rsidRPr="00B64995">
        <w:rPr>
          <w:rFonts w:eastAsia="Calibri"/>
        </w:rPr>
        <w:t>z</w:t>
      </w:r>
      <w:r w:rsidRPr="00B64995">
        <w:rPr>
          <w:rFonts w:eastAsia="Calibri"/>
        </w:rPr>
        <w:t xml:space="preserve">ation of </w:t>
      </w:r>
      <w:hyperlink r:id="rId279" w:history="1">
        <w:r w:rsidRPr="00B64995">
          <w:rPr>
            <w:rFonts w:eastAsia="Calibri"/>
            <w:color w:val="0563C1"/>
            <w:u w:val="single"/>
          </w:rPr>
          <w:t>International E-waste Day 2020</w:t>
        </w:r>
      </w:hyperlink>
      <w:r w:rsidRPr="00A060FE">
        <w:rPr>
          <w:rFonts w:eastAsia="Calibri"/>
        </w:rPr>
        <w:t xml:space="preserve">. Under </w:t>
      </w:r>
      <w:r w:rsidRPr="00B64995">
        <w:rPr>
          <w:rFonts w:eastAsia="Calibri"/>
        </w:rPr>
        <w:t>GESP, ITU and partners have delivered several capacity</w:t>
      </w:r>
      <w:r w:rsidR="0049723A" w:rsidRPr="00B64995">
        <w:rPr>
          <w:rFonts w:eastAsia="Calibri"/>
        </w:rPr>
        <w:t>-</w:t>
      </w:r>
      <w:r w:rsidRPr="00B64995">
        <w:rPr>
          <w:rFonts w:eastAsia="Calibri"/>
        </w:rPr>
        <w:t>building activities to improve e-waste statistics in the CIS region, the Arab States</w:t>
      </w:r>
      <w:r w:rsidR="0049723A" w:rsidRPr="00B64995">
        <w:rPr>
          <w:rFonts w:eastAsia="Calibri"/>
        </w:rPr>
        <w:t>,</w:t>
      </w:r>
      <w:r w:rsidRPr="00B64995">
        <w:rPr>
          <w:rFonts w:eastAsia="Calibri"/>
        </w:rPr>
        <w:t xml:space="preserve"> East </w:t>
      </w:r>
      <w:proofErr w:type="gramStart"/>
      <w:r w:rsidRPr="00B64995">
        <w:rPr>
          <w:rFonts w:eastAsia="Calibri"/>
        </w:rPr>
        <w:t>Africa</w:t>
      </w:r>
      <w:proofErr w:type="gramEnd"/>
      <w:r w:rsidRPr="00B64995">
        <w:rPr>
          <w:rFonts w:eastAsia="Calibri"/>
        </w:rPr>
        <w:t xml:space="preserve"> and Latin America. National </w:t>
      </w:r>
      <w:r w:rsidR="0049723A" w:rsidRPr="00B64995">
        <w:rPr>
          <w:rFonts w:eastAsia="Calibri"/>
        </w:rPr>
        <w:t>e</w:t>
      </w:r>
      <w:r w:rsidRPr="00B64995">
        <w:rPr>
          <w:rFonts w:eastAsia="Calibri"/>
        </w:rPr>
        <w:t xml:space="preserve">-waste </w:t>
      </w:r>
      <w:r w:rsidR="0049723A" w:rsidRPr="00B64995">
        <w:rPr>
          <w:rFonts w:eastAsia="Calibri"/>
        </w:rPr>
        <w:t>m</w:t>
      </w:r>
      <w:r w:rsidRPr="00B64995">
        <w:rPr>
          <w:rFonts w:eastAsia="Calibri"/>
        </w:rPr>
        <w:t xml:space="preserve">onitors are being prepared in Malawi, Namibia and Botswana and a </w:t>
      </w:r>
      <w:r w:rsidR="0049723A" w:rsidRPr="00B64995">
        <w:rPr>
          <w:rFonts w:eastAsia="Calibri"/>
        </w:rPr>
        <w:t>r</w:t>
      </w:r>
      <w:r w:rsidRPr="00B64995">
        <w:rPr>
          <w:rFonts w:eastAsia="Calibri"/>
        </w:rPr>
        <w:t xml:space="preserve">egional </w:t>
      </w:r>
      <w:r w:rsidR="0049723A" w:rsidRPr="00B64995">
        <w:rPr>
          <w:rFonts w:eastAsia="Calibri"/>
        </w:rPr>
        <w:t>e</w:t>
      </w:r>
      <w:r w:rsidRPr="00B64995">
        <w:rPr>
          <w:rFonts w:eastAsia="Calibri"/>
        </w:rPr>
        <w:t xml:space="preserve">-waste </w:t>
      </w:r>
      <w:r w:rsidR="0049723A" w:rsidRPr="00B64995">
        <w:rPr>
          <w:rFonts w:eastAsia="Calibri"/>
        </w:rPr>
        <w:t>m</w:t>
      </w:r>
      <w:r w:rsidRPr="00B64995">
        <w:rPr>
          <w:rFonts w:eastAsia="Calibri"/>
        </w:rPr>
        <w:t xml:space="preserve">onitor in the Arab States and in Latin America, </w:t>
      </w:r>
      <w:r w:rsidR="0049723A" w:rsidRPr="00B64995">
        <w:rPr>
          <w:rFonts w:eastAsia="Calibri"/>
        </w:rPr>
        <w:t xml:space="preserve">also </w:t>
      </w:r>
      <w:r w:rsidRPr="00B64995">
        <w:rPr>
          <w:rFonts w:eastAsia="Calibri"/>
        </w:rPr>
        <w:t>under the GESP.</w:t>
      </w:r>
    </w:p>
    <w:p w14:paraId="7839F4B5" w14:textId="77777777" w:rsidR="005A0E7A" w:rsidRPr="00B64995" w:rsidRDefault="005A0E7A" w:rsidP="005A0E7A">
      <w:pPr>
        <w:rPr>
          <w:rFonts w:eastAsia="Calibri"/>
          <w:highlight w:val="yellow"/>
        </w:rPr>
      </w:pPr>
    </w:p>
    <w:p w14:paraId="2DEF33AB" w14:textId="03C413E8" w:rsidR="0049723A" w:rsidRPr="00B64995" w:rsidRDefault="005A0E7A" w:rsidP="00DB1C88">
      <w:pPr>
        <w:jc w:val="both"/>
        <w:rPr>
          <w:rFonts w:eastAsia="Calibri"/>
        </w:rPr>
      </w:pPr>
      <w:r w:rsidRPr="00B64995">
        <w:rPr>
          <w:rFonts w:eastAsia="Calibri"/>
        </w:rPr>
        <w:t xml:space="preserve">A project with the World Economic Forum was signed in 2020, which will see a report prepared in the form of a </w:t>
      </w:r>
      <w:r w:rsidR="0049723A" w:rsidRPr="00B64995">
        <w:rPr>
          <w:rFonts w:eastAsia="Calibri"/>
        </w:rPr>
        <w:t>t</w:t>
      </w:r>
      <w:r w:rsidRPr="00B64995">
        <w:rPr>
          <w:rFonts w:eastAsia="Calibri"/>
        </w:rPr>
        <w:t>oolkit for fair and economically viable approaches to extended producer responsibility for e-waste management, with a focus on the Africa region. From the policy perspective, consultations</w:t>
      </w:r>
      <w:r w:rsidR="0049723A" w:rsidRPr="00B64995">
        <w:rPr>
          <w:rFonts w:eastAsia="Calibri"/>
        </w:rPr>
        <w:t xml:space="preserve"> took place</w:t>
      </w:r>
      <w:r w:rsidRPr="00B64995">
        <w:rPr>
          <w:rFonts w:eastAsia="Calibri"/>
        </w:rPr>
        <w:t xml:space="preserve"> on the development of a national e-waste management policy in Malawi and in Namibia. An e-learning course on an introduction to e-waste management has also been prepared, to support the policy development cycle. </w:t>
      </w:r>
      <w:r w:rsidRPr="00B64995">
        <w:rPr>
          <w:rFonts w:eastAsia="Calibri"/>
          <w:lang w:eastAsia="zh-CN"/>
        </w:rPr>
        <w:t xml:space="preserve">Also, a </w:t>
      </w:r>
      <w:hyperlink r:id="rId280" w:history="1">
        <w:r w:rsidRPr="00B64995">
          <w:rPr>
            <w:rFonts w:eastAsia="Calibri"/>
            <w:color w:val="0563C1"/>
            <w:u w:val="single"/>
            <w:lang w:eastAsia="zh-CN"/>
          </w:rPr>
          <w:t>regional event was held online jointly by ITU, UNU and UNEP</w:t>
        </w:r>
      </w:hyperlink>
      <w:r w:rsidRPr="00A060FE">
        <w:rPr>
          <w:rFonts w:eastAsia="Calibri"/>
          <w:lang w:eastAsia="zh-CN"/>
        </w:rPr>
        <w:t xml:space="preserve">, in December 2020. The workshop focused on </w:t>
      </w:r>
      <w:r w:rsidR="0049723A" w:rsidRPr="00B64995">
        <w:rPr>
          <w:rFonts w:eastAsia="Calibri"/>
          <w:lang w:eastAsia="zh-CN"/>
        </w:rPr>
        <w:t>waste electrical and electronic equipment (</w:t>
      </w:r>
      <w:r w:rsidRPr="00B64995">
        <w:rPr>
          <w:rFonts w:eastAsia="Calibri"/>
          <w:lang w:eastAsia="zh-CN"/>
        </w:rPr>
        <w:t>WEEE</w:t>
      </w:r>
      <w:r w:rsidR="0049723A" w:rsidRPr="00B64995">
        <w:rPr>
          <w:rFonts w:eastAsia="Calibri"/>
          <w:lang w:eastAsia="zh-CN"/>
        </w:rPr>
        <w:t>)</w:t>
      </w:r>
      <w:r w:rsidRPr="00B64995">
        <w:rPr>
          <w:rFonts w:eastAsia="Calibri"/>
          <w:lang w:eastAsia="zh-CN"/>
        </w:rPr>
        <w:t xml:space="preserve"> and a move towards regional harmonization of national WEEE policies, </w:t>
      </w:r>
      <w:proofErr w:type="gramStart"/>
      <w:r w:rsidRPr="00B64995">
        <w:rPr>
          <w:rFonts w:eastAsia="Calibri"/>
          <w:lang w:eastAsia="zh-CN"/>
        </w:rPr>
        <w:t>regulation</w:t>
      </w:r>
      <w:proofErr w:type="gramEnd"/>
      <w:r w:rsidRPr="00B64995">
        <w:rPr>
          <w:rFonts w:eastAsia="Calibri"/>
          <w:lang w:eastAsia="zh-CN"/>
        </w:rPr>
        <w:t xml:space="preserve"> </w:t>
      </w:r>
      <w:r w:rsidRPr="00B64995">
        <w:rPr>
          <w:rFonts w:eastAsia="Calibri"/>
        </w:rPr>
        <w:t>and standards in the Arab States.</w:t>
      </w:r>
    </w:p>
    <w:p w14:paraId="22884476" w14:textId="5ADB6644" w:rsidR="005A0E7A" w:rsidRPr="00B87922" w:rsidRDefault="005A0E7A" w:rsidP="00614D53">
      <w:pPr>
        <w:pStyle w:val="paragraph"/>
        <w:spacing w:before="0" w:beforeAutospacing="0" w:after="0" w:afterAutospacing="0"/>
        <w:jc w:val="both"/>
        <w:textAlignment w:val="baseline"/>
        <w:rPr>
          <w:rStyle w:val="eop"/>
          <w:rFonts w:ascii="Calibri" w:hAnsi="Calibri" w:cs="Calibri"/>
          <w:sz w:val="22"/>
          <w:szCs w:val="22"/>
        </w:rPr>
      </w:pPr>
    </w:p>
    <w:p w14:paraId="3098CC2E" w14:textId="143C67C0" w:rsidR="00837F1F" w:rsidRPr="00B64995" w:rsidRDefault="00837F1F" w:rsidP="00A83DAA">
      <w:pPr>
        <w:pStyle w:val="Heading5"/>
      </w:pPr>
      <w:r w:rsidRPr="00B64995">
        <w:t xml:space="preserve">Emergency </w:t>
      </w:r>
      <w:r w:rsidR="0049723A" w:rsidRPr="00B64995">
        <w:t>t</w:t>
      </w:r>
      <w:r w:rsidRPr="00B64995">
        <w:t>elecommunications</w:t>
      </w:r>
    </w:p>
    <w:p w14:paraId="77241C9C" w14:textId="77777777" w:rsidR="00B10D27" w:rsidRPr="00B64995" w:rsidRDefault="00B10D27" w:rsidP="00614D53">
      <w:pPr>
        <w:jc w:val="both"/>
      </w:pPr>
    </w:p>
    <w:p w14:paraId="0A10DCA1" w14:textId="0805AD7E" w:rsidR="00442022" w:rsidRPr="00B64995" w:rsidRDefault="00E007C1" w:rsidP="00614D53">
      <w:pPr>
        <w:jc w:val="both"/>
      </w:pPr>
      <w:r w:rsidRPr="00B64995">
        <w:t>In 2019, ITU launched t</w:t>
      </w:r>
      <w:r w:rsidR="00442022" w:rsidRPr="00B64995">
        <w:t xml:space="preserve">he report </w:t>
      </w:r>
      <w:r w:rsidR="000F0C1E" w:rsidRPr="00B64995">
        <w:t>“</w:t>
      </w:r>
      <w:hyperlink r:id="rId281" w:history="1">
        <w:r w:rsidR="00442022" w:rsidRPr="00B64995">
          <w:rPr>
            <w:rStyle w:val="Hyperlink"/>
          </w:rPr>
          <w:t>Disruptive technologies and their use in disaster risk reduction and management</w:t>
        </w:r>
      </w:hyperlink>
      <w:r w:rsidR="0049723A" w:rsidRPr="00B64995">
        <w:t xml:space="preserve">”, which </w:t>
      </w:r>
      <w:r w:rsidR="00442022" w:rsidRPr="00B64995">
        <w:t xml:space="preserve">discusses the use and opportunities of ICTs and disruptive technologies for disaster risk reduction and management. The document finds that technological advancement and innovation are creating new opportunities for enhancing disaster resiliency and risk reduction. Developments in disruptive technologies – such as </w:t>
      </w:r>
      <w:r w:rsidR="00603E82" w:rsidRPr="00B64995">
        <w:t xml:space="preserve">AI, IoT </w:t>
      </w:r>
      <w:r w:rsidR="00442022" w:rsidRPr="00B64995">
        <w:t xml:space="preserve">and </w:t>
      </w:r>
      <w:r w:rsidR="0049723A" w:rsidRPr="00B64995">
        <w:t>b</w:t>
      </w:r>
      <w:r w:rsidR="00442022" w:rsidRPr="00B64995">
        <w:t xml:space="preserve">ig </w:t>
      </w:r>
      <w:r w:rsidR="0049723A" w:rsidRPr="00B64995">
        <w:t>d</w:t>
      </w:r>
      <w:r w:rsidR="00442022" w:rsidRPr="00B64995">
        <w:t>ata – and innovations in such areas as robotics and drone technology are transforming many fields, including disaster risk reduction and management.</w:t>
      </w:r>
    </w:p>
    <w:p w14:paraId="7A807480" w14:textId="77777777" w:rsidR="00E007C1" w:rsidRPr="00B64995" w:rsidRDefault="00E007C1" w:rsidP="00614D53">
      <w:pPr>
        <w:jc w:val="both"/>
      </w:pPr>
    </w:p>
    <w:p w14:paraId="4E5C476E" w14:textId="64D49ACC" w:rsidR="00E007C1" w:rsidRPr="00B64995" w:rsidRDefault="00E007C1" w:rsidP="00614D53">
      <w:pPr>
        <w:jc w:val="both"/>
        <w:rPr>
          <w:rStyle w:val="normaltextrun"/>
        </w:rPr>
      </w:pPr>
      <w:r w:rsidRPr="00B64995">
        <w:rPr>
          <w:rStyle w:val="normaltextrun"/>
        </w:rPr>
        <w:t xml:space="preserve">ITU </w:t>
      </w:r>
      <w:r w:rsidR="0076745A" w:rsidRPr="00B64995">
        <w:rPr>
          <w:rStyle w:val="normaltextrun"/>
        </w:rPr>
        <w:t xml:space="preserve">also </w:t>
      </w:r>
      <w:r w:rsidRPr="00B64995">
        <w:rPr>
          <w:rStyle w:val="normaltextrun"/>
        </w:rPr>
        <w:t xml:space="preserve">assisted Mozambique, Solomon Islands, Fiji, </w:t>
      </w:r>
      <w:proofErr w:type="gramStart"/>
      <w:r w:rsidRPr="00B64995">
        <w:rPr>
          <w:rStyle w:val="normaltextrun"/>
        </w:rPr>
        <w:t>Zimbabwe</w:t>
      </w:r>
      <w:proofErr w:type="gramEnd"/>
      <w:r w:rsidRPr="00B64995">
        <w:rPr>
          <w:rStyle w:val="normaltextrun"/>
        </w:rPr>
        <w:t xml:space="preserve"> and Bahamas, deploying satellite phones and network equipment in disaster</w:t>
      </w:r>
      <w:r w:rsidR="0049723A" w:rsidRPr="00B64995">
        <w:rPr>
          <w:rStyle w:val="normaltextrun"/>
        </w:rPr>
        <w:t>-struck</w:t>
      </w:r>
      <w:r w:rsidRPr="00B64995">
        <w:rPr>
          <w:rStyle w:val="normaltextrun"/>
        </w:rPr>
        <w:t xml:space="preserve"> countries.</w:t>
      </w:r>
    </w:p>
    <w:p w14:paraId="4D2C3BB6" w14:textId="77777777" w:rsidR="00FE1468" w:rsidRPr="00B64995" w:rsidRDefault="00FE1468" w:rsidP="00FE1468">
      <w:pPr>
        <w:jc w:val="both"/>
        <w:rPr>
          <w:rFonts w:eastAsia="Calibri"/>
        </w:rPr>
      </w:pPr>
    </w:p>
    <w:p w14:paraId="342E9A39" w14:textId="083B0461" w:rsidR="00734A7D" w:rsidRPr="00B64995" w:rsidRDefault="0084180A" w:rsidP="001C3914">
      <w:pPr>
        <w:jc w:val="both"/>
        <w:rPr>
          <w:rFonts w:eastAsia="Calibri"/>
        </w:rPr>
      </w:pPr>
      <w:r w:rsidRPr="00B64995">
        <w:rPr>
          <w:rFonts w:eastAsia="Calibri"/>
        </w:rPr>
        <w:t>In 2020, t</w:t>
      </w:r>
      <w:r w:rsidR="00734A7D" w:rsidRPr="00B64995">
        <w:rPr>
          <w:rFonts w:eastAsia="Calibri"/>
        </w:rPr>
        <w:t>o help countries better manage disaster response activities at a time when the frequency</w:t>
      </w:r>
      <w:r w:rsidR="004E7869" w:rsidRPr="00B64995">
        <w:rPr>
          <w:rFonts w:eastAsia="Calibri"/>
        </w:rPr>
        <w:t xml:space="preserve"> and</w:t>
      </w:r>
      <w:r w:rsidR="00734A7D" w:rsidRPr="00B64995">
        <w:rPr>
          <w:rFonts w:eastAsia="Calibri"/>
        </w:rPr>
        <w:t xml:space="preserve"> intensity of disasters is on the rise worldwide</w:t>
      </w:r>
      <w:r w:rsidR="004E7869" w:rsidRPr="00B64995">
        <w:rPr>
          <w:rFonts w:eastAsia="Calibri"/>
        </w:rPr>
        <w:t>, as is their human and economic impact</w:t>
      </w:r>
      <w:r w:rsidR="00734A7D" w:rsidRPr="00B64995">
        <w:rPr>
          <w:rFonts w:eastAsia="Calibri"/>
        </w:rPr>
        <w:t>, ITU launched new guidelines for the development and implementation of</w:t>
      </w:r>
      <w:hyperlink r:id="rId282" w:history="1">
        <w:r w:rsidR="00734A7D" w:rsidRPr="00B64995">
          <w:rPr>
            <w:rFonts w:eastAsia="Calibri"/>
            <w:color w:val="0563C1"/>
            <w:u w:val="single"/>
          </w:rPr>
          <w:t xml:space="preserve"> national emergency telecommunication plans </w:t>
        </w:r>
        <w:r w:rsidR="004E7869" w:rsidRPr="00B64995">
          <w:rPr>
            <w:rFonts w:eastAsia="Calibri"/>
            <w:color w:val="0563C1"/>
            <w:u w:val="single"/>
          </w:rPr>
          <w:t>(</w:t>
        </w:r>
        <w:r w:rsidR="00734A7D" w:rsidRPr="00B64995">
          <w:rPr>
            <w:rFonts w:eastAsia="Calibri"/>
            <w:color w:val="0563C1"/>
            <w:u w:val="single"/>
          </w:rPr>
          <w:t>NETPs</w:t>
        </w:r>
      </w:hyperlink>
      <w:r w:rsidR="004E7869" w:rsidRPr="00A060FE">
        <w:rPr>
          <w:rFonts w:eastAsia="Calibri"/>
        </w:rPr>
        <w:t>)</w:t>
      </w:r>
      <w:r w:rsidR="00734A7D" w:rsidRPr="00B64995">
        <w:rPr>
          <w:rFonts w:eastAsia="Calibri"/>
        </w:rPr>
        <w:t xml:space="preserve">, as well as for the development of </w:t>
      </w:r>
      <w:hyperlink r:id="rId283" w:history="1">
        <w:r w:rsidR="004E7869" w:rsidRPr="00B64995">
          <w:rPr>
            <w:rFonts w:eastAsia="Calibri"/>
            <w:color w:val="0563C1"/>
            <w:u w:val="single"/>
          </w:rPr>
          <w:t>table-top simulation exercises</w:t>
        </w:r>
      </w:hyperlink>
      <w:r w:rsidR="00734A7D" w:rsidRPr="00A060FE">
        <w:rPr>
          <w:rFonts w:eastAsia="Calibri"/>
        </w:rPr>
        <w:t xml:space="preserve">. Based on these guidelines and to bolster preparedness, reduce vulnerability of countries and increase knowledge on the topic of emergency telecommunications, ITU launched three </w:t>
      </w:r>
      <w:hyperlink r:id="rId284" w:history="1">
        <w:r w:rsidR="00734A7D" w:rsidRPr="00B64995">
          <w:rPr>
            <w:rFonts w:eastAsia="Calibri"/>
            <w:color w:val="0563C1"/>
            <w:u w:val="single"/>
          </w:rPr>
          <w:t>new online training courses</w:t>
        </w:r>
      </w:hyperlink>
      <w:r w:rsidR="00734A7D" w:rsidRPr="00A060FE">
        <w:rPr>
          <w:rFonts w:eastAsia="Calibri"/>
        </w:rPr>
        <w:t xml:space="preserve">. These courses also include one on the Tampere Convention, </w:t>
      </w:r>
      <w:r w:rsidR="00734A7D" w:rsidRPr="00B64995">
        <w:rPr>
          <w:rFonts w:eastAsia="Calibri"/>
        </w:rPr>
        <w:t xml:space="preserve">to raise awareness </w:t>
      </w:r>
      <w:r w:rsidR="004E7869" w:rsidRPr="00B64995">
        <w:rPr>
          <w:rFonts w:eastAsia="Calibri"/>
        </w:rPr>
        <w:t xml:space="preserve">of the </w:t>
      </w:r>
      <w:r w:rsidR="00734A7D" w:rsidRPr="00B64995">
        <w:rPr>
          <w:rFonts w:eastAsia="Calibri"/>
        </w:rPr>
        <w:t xml:space="preserve">importance </w:t>
      </w:r>
      <w:r w:rsidR="004E7869" w:rsidRPr="00B64995">
        <w:rPr>
          <w:rFonts w:eastAsia="Calibri"/>
        </w:rPr>
        <w:t xml:space="preserve">of the Convention </w:t>
      </w:r>
      <w:r w:rsidR="00734A7D" w:rsidRPr="00B64995">
        <w:rPr>
          <w:rFonts w:eastAsia="Calibri"/>
        </w:rPr>
        <w:t>and to highlight its benefits</w:t>
      </w:r>
      <w:r w:rsidR="00E31378" w:rsidRPr="00B64995">
        <w:rPr>
          <w:rFonts w:eastAsia="Calibri"/>
        </w:rPr>
        <w:t xml:space="preserve"> (</w:t>
      </w:r>
      <w:r w:rsidR="00734A7D" w:rsidRPr="00B64995">
        <w:rPr>
          <w:rFonts w:eastAsia="Calibri"/>
        </w:rPr>
        <w:t xml:space="preserve">courses </w:t>
      </w:r>
      <w:r w:rsidR="00E31378" w:rsidRPr="00B64995">
        <w:rPr>
          <w:rFonts w:eastAsia="Calibri"/>
        </w:rPr>
        <w:t>a</w:t>
      </w:r>
      <w:r w:rsidR="00734A7D" w:rsidRPr="00B64995">
        <w:rPr>
          <w:rFonts w:eastAsia="Calibri"/>
        </w:rPr>
        <w:t>vailable in the ITU Academy Platform</w:t>
      </w:r>
      <w:r w:rsidR="00E31378" w:rsidRPr="00B64995">
        <w:rPr>
          <w:rFonts w:eastAsia="Calibri"/>
        </w:rPr>
        <w:t>)</w:t>
      </w:r>
      <w:r w:rsidR="00734A7D" w:rsidRPr="00B64995">
        <w:rPr>
          <w:rFonts w:eastAsia="Calibri"/>
        </w:rPr>
        <w:t>.</w:t>
      </w:r>
    </w:p>
    <w:p w14:paraId="6F7FB7B7" w14:textId="77777777" w:rsidR="0049723A" w:rsidRPr="00B64995" w:rsidRDefault="0049723A" w:rsidP="001C3914">
      <w:pPr>
        <w:jc w:val="both"/>
        <w:rPr>
          <w:rFonts w:eastAsia="Calibri"/>
        </w:rPr>
      </w:pPr>
    </w:p>
    <w:p w14:paraId="021105DE" w14:textId="4BA4E9ED" w:rsidR="0049723A" w:rsidRPr="00B64995" w:rsidRDefault="00734A7D" w:rsidP="00734A7D">
      <w:pPr>
        <w:spacing w:after="160" w:line="252" w:lineRule="auto"/>
        <w:jc w:val="both"/>
        <w:rPr>
          <w:rFonts w:eastAsia="Calibri"/>
        </w:rPr>
      </w:pPr>
      <w:r w:rsidRPr="00B64995">
        <w:rPr>
          <w:rFonts w:eastAsia="Calibri"/>
        </w:rPr>
        <w:t>To respond to the increasing demand for support in delivering emergency telecommunication equipment and services when disasters strike, ITU established an internal emergency telecommunication </w:t>
      </w:r>
      <w:hyperlink r:id="rId285" w:tgtFrame="_blank" w:history="1">
        <w:r w:rsidRPr="00B64995">
          <w:rPr>
            <w:rFonts w:eastAsia="Calibri"/>
            <w:color w:val="0563C1"/>
            <w:u w:val="single"/>
          </w:rPr>
          <w:t>roster</w:t>
        </w:r>
      </w:hyperlink>
      <w:r w:rsidRPr="00A060FE">
        <w:rPr>
          <w:rFonts w:eastAsia="Calibri"/>
        </w:rPr>
        <w:t>. Suitable ITU staff </w:t>
      </w:r>
      <w:r w:rsidR="004E7869" w:rsidRPr="00B64995">
        <w:rPr>
          <w:rFonts w:eastAsia="Calibri"/>
        </w:rPr>
        <w:t xml:space="preserve">have </w:t>
      </w:r>
      <w:r w:rsidRPr="00B64995">
        <w:rPr>
          <w:rFonts w:eastAsia="Calibri"/>
        </w:rPr>
        <w:t xml:space="preserve">been selected and are being trained on the deployment process and use of the current (and future) ITU telecommunication equipment. This team is also being trained to support the </w:t>
      </w:r>
      <w:r w:rsidR="004E7869" w:rsidRPr="00B64995">
        <w:rPr>
          <w:rFonts w:eastAsia="Calibri"/>
        </w:rPr>
        <w:t xml:space="preserve">work of the </w:t>
      </w:r>
      <w:r w:rsidRPr="00B64995">
        <w:rPr>
          <w:rFonts w:eastAsia="Calibri"/>
        </w:rPr>
        <w:t xml:space="preserve">Emergency Telecommunications Cluster on the ground, by liaising with national authorities and stakeholders on importation and licensing requirements </w:t>
      </w:r>
      <w:r w:rsidR="004E7869" w:rsidRPr="00B64995">
        <w:rPr>
          <w:rFonts w:eastAsia="Calibri"/>
        </w:rPr>
        <w:t xml:space="preserve">for </w:t>
      </w:r>
      <w:r w:rsidRPr="00B64995">
        <w:rPr>
          <w:rFonts w:eastAsia="Calibri"/>
        </w:rPr>
        <w:t>telecommunication equipment.</w:t>
      </w:r>
    </w:p>
    <w:p w14:paraId="24979AA0" w14:textId="7BAEF59A" w:rsidR="00734A7D" w:rsidRPr="00B64995" w:rsidRDefault="00734A7D" w:rsidP="001C3914">
      <w:pPr>
        <w:jc w:val="both"/>
        <w:rPr>
          <w:rFonts w:eastAsia="Calibri"/>
        </w:rPr>
      </w:pPr>
    </w:p>
    <w:p w14:paraId="6C1969DC" w14:textId="576E2970" w:rsidR="00FF61CA" w:rsidRPr="00B64995" w:rsidRDefault="00734A7D" w:rsidP="00614D53">
      <w:pPr>
        <w:jc w:val="both"/>
        <w:rPr>
          <w:rStyle w:val="normaltextrun"/>
          <w:rFonts w:eastAsia="Calibri"/>
        </w:rPr>
      </w:pPr>
      <w:r w:rsidRPr="00B64995">
        <w:rPr>
          <w:rFonts w:eastAsia="Calibri"/>
        </w:rPr>
        <w:t>As part of its response efforts, in 2020 ITU</w:t>
      </w:r>
      <w:r w:rsidR="004672F1" w:rsidRPr="00B64995">
        <w:rPr>
          <w:rFonts w:eastAsia="Calibri"/>
        </w:rPr>
        <w:t xml:space="preserve"> also</w:t>
      </w:r>
      <w:r w:rsidRPr="00B64995">
        <w:rPr>
          <w:rFonts w:eastAsia="Calibri"/>
        </w:rPr>
        <w:t xml:space="preserve"> supported the </w:t>
      </w:r>
      <w:r w:rsidR="00271C5D" w:rsidRPr="00B64995">
        <w:rPr>
          <w:rFonts w:eastAsia="Calibri"/>
        </w:rPr>
        <w:t>g</w:t>
      </w:r>
      <w:r w:rsidRPr="00B64995">
        <w:rPr>
          <w:rFonts w:eastAsia="Calibri"/>
        </w:rPr>
        <w:t xml:space="preserve">overnment of Vanuatu by providing broadband connectivity after the devastation caused by </w:t>
      </w:r>
      <w:r w:rsidR="004E7869" w:rsidRPr="00B64995">
        <w:rPr>
          <w:rFonts w:eastAsia="Calibri"/>
        </w:rPr>
        <w:t xml:space="preserve">the </w:t>
      </w:r>
      <w:r w:rsidRPr="00B64995">
        <w:rPr>
          <w:rFonts w:eastAsia="Calibri"/>
        </w:rPr>
        <w:t xml:space="preserve">category 5 </w:t>
      </w:r>
      <w:r w:rsidR="004E7869" w:rsidRPr="00B64995">
        <w:rPr>
          <w:rFonts w:eastAsia="Calibri"/>
        </w:rPr>
        <w:t>h</w:t>
      </w:r>
      <w:r w:rsidRPr="00B64995">
        <w:rPr>
          <w:rFonts w:eastAsia="Calibri"/>
        </w:rPr>
        <w:t xml:space="preserve">urricane Harold. </w:t>
      </w:r>
      <w:r w:rsidR="004E7869" w:rsidRPr="00B64995">
        <w:rPr>
          <w:rFonts w:eastAsia="Calibri"/>
        </w:rPr>
        <w:t>T</w:t>
      </w:r>
      <w:r w:rsidRPr="00B64995">
        <w:rPr>
          <w:rFonts w:eastAsia="Calibri"/>
        </w:rPr>
        <w:t xml:space="preserve">ogether with the Emergency Telecommunications Cluster, </w:t>
      </w:r>
      <w:r w:rsidR="004E7869" w:rsidRPr="00B64995">
        <w:rPr>
          <w:rFonts w:eastAsia="Calibri"/>
        </w:rPr>
        <w:t xml:space="preserve">ITU </w:t>
      </w:r>
      <w:r w:rsidRPr="00B64995">
        <w:rPr>
          <w:rFonts w:eastAsia="Calibri"/>
        </w:rPr>
        <w:t xml:space="preserve">has continued working on the development of the </w:t>
      </w:r>
      <w:hyperlink r:id="rId286" w:history="1">
        <w:r w:rsidRPr="00B64995">
          <w:rPr>
            <w:rFonts w:eastAsia="Calibri"/>
            <w:color w:val="0563C1"/>
            <w:u w:val="single"/>
          </w:rPr>
          <w:t>Disaster Connectivity Map</w:t>
        </w:r>
      </w:hyperlink>
      <w:r w:rsidRPr="00A060FE">
        <w:rPr>
          <w:rFonts w:eastAsia="Calibri"/>
        </w:rPr>
        <w:t>.</w:t>
      </w:r>
    </w:p>
    <w:p w14:paraId="3041E394" w14:textId="70B262CF" w:rsidR="0012722A" w:rsidRPr="00B87922" w:rsidRDefault="0012722A" w:rsidP="00614D53">
      <w:pPr>
        <w:pStyle w:val="paragraph"/>
        <w:spacing w:before="0" w:beforeAutospacing="0" w:after="0" w:afterAutospacing="0"/>
        <w:jc w:val="both"/>
        <w:textAlignment w:val="baseline"/>
        <w:rPr>
          <w:rStyle w:val="eop"/>
          <w:rFonts w:ascii="Calibri" w:hAnsi="Calibri" w:cs="Calibri"/>
          <w:sz w:val="22"/>
          <w:szCs w:val="22"/>
        </w:rPr>
      </w:pPr>
    </w:p>
    <w:p w14:paraId="361C05F2" w14:textId="3838995C" w:rsidR="0049723A" w:rsidRPr="00B64995" w:rsidRDefault="00026FC6" w:rsidP="00026FC6">
      <w:pPr>
        <w:pStyle w:val="Heading2"/>
        <w:rPr>
          <w:lang w:eastAsia="en-GB"/>
        </w:rPr>
      </w:pPr>
      <w:bookmarkStart w:id="49" w:name="_Toc37943340"/>
      <w:bookmarkStart w:id="50" w:name="_Toc37943341"/>
      <w:bookmarkStart w:id="51" w:name="_Toc37943342"/>
      <w:bookmarkStart w:id="52" w:name="_Toc37943343"/>
      <w:bookmarkStart w:id="53" w:name="_Toc37860460"/>
      <w:bookmarkStart w:id="54" w:name="_Toc37861221"/>
      <w:bookmarkStart w:id="55" w:name="_Toc37943344"/>
      <w:bookmarkStart w:id="56" w:name="_Toc68811410"/>
      <w:bookmarkStart w:id="57" w:name="Section_3_1_2"/>
      <w:bookmarkStart w:id="58" w:name="Section_1_6"/>
      <w:bookmarkEnd w:id="49"/>
      <w:bookmarkEnd w:id="50"/>
      <w:bookmarkEnd w:id="51"/>
      <w:bookmarkEnd w:id="52"/>
      <w:r w:rsidRPr="00B64995">
        <w:rPr>
          <w:lang w:eastAsia="en-GB"/>
        </w:rPr>
        <w:lastRenderedPageBreak/>
        <w:t>1.6</w:t>
      </w:r>
      <w:r w:rsidRPr="00B64995">
        <w:rPr>
          <w:lang w:eastAsia="en-GB"/>
        </w:rPr>
        <w:tab/>
      </w:r>
      <w:r w:rsidR="00951E14" w:rsidRPr="00B64995">
        <w:rPr>
          <w:lang w:eastAsia="en-GB"/>
        </w:rPr>
        <w:t xml:space="preserve">Cybersecurity: building confidence </w:t>
      </w:r>
      <w:r w:rsidR="004E7869" w:rsidRPr="00B64995">
        <w:rPr>
          <w:lang w:eastAsia="en-GB"/>
        </w:rPr>
        <w:t xml:space="preserve">and </w:t>
      </w:r>
      <w:r w:rsidR="00951E14" w:rsidRPr="00B64995">
        <w:rPr>
          <w:lang w:eastAsia="en-GB"/>
        </w:rPr>
        <w:t xml:space="preserve">security in </w:t>
      </w:r>
      <w:proofErr w:type="gramStart"/>
      <w:r w:rsidR="00951E14" w:rsidRPr="00B64995">
        <w:rPr>
          <w:lang w:eastAsia="en-GB"/>
        </w:rPr>
        <w:t>ICTs</w:t>
      </w:r>
      <w:bookmarkEnd w:id="53"/>
      <w:bookmarkEnd w:id="54"/>
      <w:bookmarkEnd w:id="55"/>
      <w:bookmarkEnd w:id="56"/>
      <w:proofErr w:type="gramEnd"/>
    </w:p>
    <w:bookmarkEnd w:id="57"/>
    <w:bookmarkEnd w:id="58"/>
    <w:p w14:paraId="093C8AB0" w14:textId="7FA102F7" w:rsidR="0049723A" w:rsidRPr="00B64995" w:rsidRDefault="00951E14" w:rsidP="0012722A">
      <w:pPr>
        <w:spacing w:before="120"/>
        <w:jc w:val="both"/>
      </w:pPr>
      <w:r w:rsidRPr="00B64995">
        <w:t>The main objective</w:t>
      </w:r>
      <w:r w:rsidR="00392866" w:rsidRPr="00B64995">
        <w:t>s</w:t>
      </w:r>
      <w:r w:rsidRPr="00B64995">
        <w:t xml:space="preserve"> related to </w:t>
      </w:r>
      <w:r w:rsidR="00ED7527" w:rsidRPr="00B64995">
        <w:t xml:space="preserve">ITU’s activities </w:t>
      </w:r>
      <w:proofErr w:type="gramStart"/>
      <w:r w:rsidR="00ED7527" w:rsidRPr="00B64995">
        <w:t>in the area of</w:t>
      </w:r>
      <w:proofErr w:type="gramEnd"/>
      <w:r w:rsidR="00ED7527" w:rsidRPr="00B64995">
        <w:t xml:space="preserve"> </w:t>
      </w:r>
      <w:r w:rsidR="00392866" w:rsidRPr="00B64995">
        <w:t>c</w:t>
      </w:r>
      <w:r w:rsidR="76FD3B2F" w:rsidRPr="00B64995">
        <w:t>y</w:t>
      </w:r>
      <w:r w:rsidRPr="00B64995">
        <w:t xml:space="preserve">bersecurity is to deliver products and services to help ITU </w:t>
      </w:r>
      <w:r w:rsidR="00A72706" w:rsidRPr="00B64995">
        <w:t xml:space="preserve">membership </w:t>
      </w:r>
      <w:r w:rsidRPr="00B64995">
        <w:t xml:space="preserve">build confidence and security in the use of telecommunications/ICTs, as well as to contribute to the implementation of national and global initiatives. These activities are built on </w:t>
      </w:r>
      <w:hyperlink r:id="rId287">
        <w:r w:rsidRPr="00B64995">
          <w:rPr>
            <w:rStyle w:val="Hyperlink"/>
          </w:rPr>
          <w:t>Resolution 130</w:t>
        </w:r>
      </w:hyperlink>
      <w:r w:rsidRPr="00A060FE">
        <w:rPr>
          <w:color w:val="444444"/>
        </w:rPr>
        <w:t xml:space="preserve"> </w:t>
      </w:r>
      <w:bookmarkStart w:id="59" w:name="_Hlk37242821"/>
      <w:r w:rsidRPr="00B64995">
        <w:t>(Rev. Dubai</w:t>
      </w:r>
      <w:r w:rsidR="536E9454" w:rsidRPr="00B64995">
        <w:t>,</w:t>
      </w:r>
      <w:r w:rsidRPr="00B64995">
        <w:t xml:space="preserve"> 2018), </w:t>
      </w:r>
      <w:bookmarkEnd w:id="59"/>
      <w:r w:rsidRPr="00166BCE">
        <w:fldChar w:fldCharType="begin"/>
      </w:r>
      <w:r w:rsidRPr="00B64995">
        <w:instrText xml:space="preserve"> HYPERLINK "https://www.itu.int/en/ITU-D/Cybersecurity/Documents/174revBusan.pdf" </w:instrText>
      </w:r>
      <w:r w:rsidRPr="00166BCE">
        <w:fldChar w:fldCharType="separate"/>
      </w:r>
      <w:r w:rsidRPr="00B64995">
        <w:rPr>
          <w:rStyle w:val="Hyperlink"/>
        </w:rPr>
        <w:t>Resolution 174</w:t>
      </w:r>
      <w:r w:rsidRPr="00166BCE">
        <w:fldChar w:fldCharType="end"/>
      </w:r>
      <w:r w:rsidRPr="00A060FE">
        <w:t xml:space="preserve"> (</w:t>
      </w:r>
      <w:r w:rsidR="21CBCCA5" w:rsidRPr="00B64995">
        <w:t xml:space="preserve">Rev. </w:t>
      </w:r>
      <w:r w:rsidRPr="00B64995">
        <w:t>Busan</w:t>
      </w:r>
      <w:r w:rsidR="7E5E713C" w:rsidRPr="00B64995">
        <w:t>,</w:t>
      </w:r>
      <w:r w:rsidRPr="00B64995">
        <w:t xml:space="preserve"> 2014) and </w:t>
      </w:r>
      <w:hyperlink r:id="rId288">
        <w:r w:rsidRPr="00B64995">
          <w:rPr>
            <w:rStyle w:val="Hyperlink"/>
          </w:rPr>
          <w:t>Resolution 179</w:t>
        </w:r>
      </w:hyperlink>
      <w:r w:rsidRPr="00A060FE">
        <w:t xml:space="preserve"> (Rev. Dubai</w:t>
      </w:r>
      <w:r w:rsidR="2B520D6A" w:rsidRPr="00B64995">
        <w:t>,</w:t>
      </w:r>
      <w:r w:rsidRPr="00B64995">
        <w:t xml:space="preserve"> 2018), and related resolutions from the WTDC and the WTSA, as well as from ITU’s role as sole facilitator for WSIS Action Line C5. </w:t>
      </w:r>
      <w:r w:rsidR="43CB1249" w:rsidRPr="00B64995">
        <w:t>T</w:t>
      </w:r>
      <w:r w:rsidR="286F586B" w:rsidRPr="00B64995">
        <w:t xml:space="preserve">he </w:t>
      </w:r>
      <w:hyperlink r:id="rId289">
        <w:r w:rsidR="00ED7527" w:rsidRPr="00B64995">
          <w:rPr>
            <w:rStyle w:val="Hyperlink"/>
          </w:rPr>
          <w:t>ITU C</w:t>
        </w:r>
        <w:r w:rsidR="286F586B" w:rsidRPr="00B64995">
          <w:rPr>
            <w:rStyle w:val="Hyperlink"/>
          </w:rPr>
          <w:t>ybersecurity Programme</w:t>
        </w:r>
      </w:hyperlink>
      <w:r w:rsidR="286F586B" w:rsidRPr="00A060FE">
        <w:t xml:space="preserve"> and its priorities, shows the complementary nature and facilitates the implementation of </w:t>
      </w:r>
      <w:r w:rsidR="282182BB" w:rsidRPr="00B64995">
        <w:t>ITU-R, ITU-</w:t>
      </w:r>
      <w:proofErr w:type="gramStart"/>
      <w:r w:rsidR="282182BB" w:rsidRPr="00B64995">
        <w:t>T</w:t>
      </w:r>
      <w:proofErr w:type="gramEnd"/>
      <w:r w:rsidR="282182BB" w:rsidRPr="00B64995">
        <w:t xml:space="preserve"> and ITU-D</w:t>
      </w:r>
      <w:r w:rsidR="286F586B" w:rsidRPr="00B64995">
        <w:t xml:space="preserve"> activities in this domain.</w:t>
      </w:r>
    </w:p>
    <w:p w14:paraId="7493DD61" w14:textId="3C4A4B6E" w:rsidR="00442022" w:rsidRPr="00B64995" w:rsidRDefault="00442022" w:rsidP="00614D53">
      <w:pPr>
        <w:jc w:val="both"/>
      </w:pPr>
    </w:p>
    <w:p w14:paraId="77001C71" w14:textId="5EFBBD2F" w:rsidR="0E189A3C" w:rsidRPr="00B64995" w:rsidRDefault="0E189A3C" w:rsidP="5503EDA3">
      <w:pPr>
        <w:jc w:val="both"/>
        <w:rPr>
          <w:u w:val="single"/>
        </w:rPr>
      </w:pPr>
      <w:r w:rsidRPr="00B64995">
        <w:rPr>
          <w:u w:val="single"/>
        </w:rPr>
        <w:t xml:space="preserve">Legal </w:t>
      </w:r>
      <w:r w:rsidR="00A76215" w:rsidRPr="00B64995">
        <w:rPr>
          <w:u w:val="single"/>
        </w:rPr>
        <w:t>m</w:t>
      </w:r>
      <w:r w:rsidRPr="00B64995">
        <w:rPr>
          <w:u w:val="single"/>
        </w:rPr>
        <w:t>easures</w:t>
      </w:r>
    </w:p>
    <w:p w14:paraId="5E1FF80A" w14:textId="207CD04F" w:rsidR="00951E14" w:rsidRPr="00B64995" w:rsidRDefault="20F2FB8E" w:rsidP="00614D53">
      <w:pPr>
        <w:jc w:val="both"/>
      </w:pPr>
      <w:r w:rsidRPr="00B64995">
        <w:t>L</w:t>
      </w:r>
      <w:r w:rsidR="286F586B" w:rsidRPr="00B64995">
        <w:t xml:space="preserve">egal measures </w:t>
      </w:r>
      <w:r w:rsidR="1F432423" w:rsidRPr="00B64995">
        <w:t xml:space="preserve">are </w:t>
      </w:r>
      <w:r w:rsidR="286F586B" w:rsidRPr="00B64995">
        <w:t xml:space="preserve">needed to assure an appropriate cybersecurity legislation and harmonization of the legal and policy framework. </w:t>
      </w:r>
      <w:r w:rsidR="4319BEB7" w:rsidRPr="00B64995">
        <w:t xml:space="preserve">During </w:t>
      </w:r>
      <w:r w:rsidR="0127BB6B" w:rsidRPr="00B64995">
        <w:t>this period</w:t>
      </w:r>
      <w:r w:rsidR="286F586B" w:rsidRPr="00B64995">
        <w:t xml:space="preserve">, ITU-D </w:t>
      </w:r>
      <w:r w:rsidR="11ABE19C" w:rsidRPr="00B64995">
        <w:t xml:space="preserve">has continued to </w:t>
      </w:r>
      <w:r w:rsidR="286F586B" w:rsidRPr="00B64995">
        <w:t xml:space="preserve">assist Member States in understanding the legal aspects of cybersecurity, through the </w:t>
      </w:r>
      <w:hyperlink r:id="rId290">
        <w:r w:rsidR="286F586B" w:rsidRPr="00B64995">
          <w:rPr>
            <w:rStyle w:val="Hyperlink"/>
          </w:rPr>
          <w:t>Guide to Develop a National Cybersecurity Strategy (NCS)</w:t>
        </w:r>
      </w:hyperlink>
      <w:r w:rsidR="286F586B" w:rsidRPr="00A060FE">
        <w:t xml:space="preserve"> and the </w:t>
      </w:r>
      <w:hyperlink r:id="rId291">
        <w:r w:rsidR="286F586B" w:rsidRPr="00B64995">
          <w:rPr>
            <w:rStyle w:val="Hyperlink"/>
          </w:rPr>
          <w:t>Cybercrime Legislation Resources</w:t>
        </w:r>
      </w:hyperlink>
      <w:r w:rsidR="286F586B" w:rsidRPr="00A060FE">
        <w:t xml:space="preserve">, where ITU collaborates closely with partners such as </w:t>
      </w:r>
      <w:r w:rsidR="00ED7527" w:rsidRPr="00B64995">
        <w:t>United Nations Office on Drugs and Crime (UNODC)</w:t>
      </w:r>
      <w:r w:rsidR="286F586B" w:rsidRPr="00B64995">
        <w:t xml:space="preserve"> and other experts.</w:t>
      </w:r>
    </w:p>
    <w:p w14:paraId="6FF11734" w14:textId="77777777" w:rsidR="00EC53C1" w:rsidRPr="00B64995" w:rsidRDefault="00EC53C1" w:rsidP="00614D53">
      <w:pPr>
        <w:jc w:val="both"/>
      </w:pPr>
    </w:p>
    <w:p w14:paraId="5A569700" w14:textId="5649DD7D" w:rsidR="7850D8A1" w:rsidRPr="00B64995" w:rsidRDefault="7850D8A1" w:rsidP="5503EDA3">
      <w:pPr>
        <w:jc w:val="both"/>
        <w:rPr>
          <w:u w:val="single"/>
        </w:rPr>
      </w:pPr>
      <w:r w:rsidRPr="00B64995">
        <w:rPr>
          <w:u w:val="single"/>
        </w:rPr>
        <w:t xml:space="preserve">Technical and </w:t>
      </w:r>
      <w:r w:rsidR="00A76215" w:rsidRPr="00B64995">
        <w:rPr>
          <w:u w:val="single"/>
        </w:rPr>
        <w:t>p</w:t>
      </w:r>
      <w:r w:rsidRPr="00B64995">
        <w:rPr>
          <w:u w:val="single"/>
        </w:rPr>
        <w:t xml:space="preserve">rocedural </w:t>
      </w:r>
      <w:r w:rsidR="00A76215" w:rsidRPr="00B64995">
        <w:rPr>
          <w:u w:val="single"/>
        </w:rPr>
        <w:t>m</w:t>
      </w:r>
      <w:r w:rsidRPr="00B64995">
        <w:rPr>
          <w:u w:val="single"/>
        </w:rPr>
        <w:t>easures</w:t>
      </w:r>
    </w:p>
    <w:p w14:paraId="43FC71FD" w14:textId="01F06148" w:rsidR="0049723A" w:rsidRPr="00B64995" w:rsidRDefault="233A9A2E" w:rsidP="00614D53">
      <w:pPr>
        <w:jc w:val="both"/>
      </w:pPr>
      <w:r w:rsidRPr="00B64995">
        <w:t>R</w:t>
      </w:r>
      <w:r w:rsidR="00951E14" w:rsidRPr="00B64995">
        <w:t>egarding the s</w:t>
      </w:r>
      <w:r w:rsidR="2A986919" w:rsidRPr="00B64995">
        <w:t>tandardization process</w:t>
      </w:r>
      <w:r w:rsidR="00951E14" w:rsidRPr="00B64995">
        <w:t xml:space="preserve">, </w:t>
      </w:r>
      <w:r w:rsidR="2AC05549" w:rsidRPr="00B64995">
        <w:t xml:space="preserve">ITU-T </w:t>
      </w:r>
      <w:r w:rsidR="006D38B9" w:rsidRPr="00B64995">
        <w:t>SG 17</w:t>
      </w:r>
      <w:r w:rsidR="34811322" w:rsidRPr="00B64995">
        <w:t xml:space="preserve"> (</w:t>
      </w:r>
      <w:hyperlink r:id="rId292">
        <w:r w:rsidR="34811322" w:rsidRPr="00B64995">
          <w:rPr>
            <w:rStyle w:val="Hyperlink"/>
          </w:rPr>
          <w:t>Security</w:t>
        </w:r>
      </w:hyperlink>
      <w:r w:rsidR="00951E14" w:rsidRPr="00A060FE">
        <w:t>) is the lead study group on building confidence and security in the use of ICTs</w:t>
      </w:r>
      <w:r w:rsidR="0B85F990" w:rsidRPr="00B64995">
        <w:t xml:space="preserve">. ITU-T </w:t>
      </w:r>
      <w:r w:rsidR="006D38B9" w:rsidRPr="00B64995">
        <w:t>SG 17</w:t>
      </w:r>
      <w:r w:rsidR="00951E14" w:rsidRPr="00B64995">
        <w:t xml:space="preserve"> continues to facilitate more secure network infrastructure, services and applications</w:t>
      </w:r>
      <w:r w:rsidR="20587AC6" w:rsidRPr="00B64995">
        <w:t>, and</w:t>
      </w:r>
      <w:r w:rsidR="00951E14" w:rsidRPr="00B64995">
        <w:t xml:space="preserve"> coordinates security-related work across all ITU-T Study Groups. </w:t>
      </w:r>
      <w:r w:rsidR="006D38B9" w:rsidRPr="00B64995">
        <w:t>SG 17</w:t>
      </w:r>
      <w:r w:rsidR="286F586B" w:rsidRPr="00B64995">
        <w:t xml:space="preserve"> </w:t>
      </w:r>
      <w:r w:rsidR="597A5B5D" w:rsidRPr="00B64995">
        <w:t xml:space="preserve">has </w:t>
      </w:r>
      <w:r w:rsidR="286F586B" w:rsidRPr="00B64995">
        <w:t xml:space="preserve">established 25 new </w:t>
      </w:r>
      <w:hyperlink r:id="rId293">
        <w:r w:rsidR="286F586B" w:rsidRPr="00B64995">
          <w:rPr>
            <w:rStyle w:val="Hyperlink"/>
          </w:rPr>
          <w:t>work items</w:t>
        </w:r>
      </w:hyperlink>
      <w:r w:rsidR="286F586B" w:rsidRPr="00A060FE">
        <w:t xml:space="preserve"> </w:t>
      </w:r>
      <w:r w:rsidR="009C3F3E" w:rsidRPr="00B64995">
        <w:t xml:space="preserve">in 2019 and </w:t>
      </w:r>
      <w:r w:rsidR="00FC6072" w:rsidRPr="00B64995">
        <w:t xml:space="preserve">15 </w:t>
      </w:r>
      <w:r w:rsidR="00FF6AA9" w:rsidRPr="00B64995">
        <w:t xml:space="preserve">new </w:t>
      </w:r>
      <w:r w:rsidR="007127EC" w:rsidRPr="00B64995">
        <w:t xml:space="preserve">work items in 2020, </w:t>
      </w:r>
      <w:r w:rsidR="00392866" w:rsidRPr="00B64995">
        <w:t xml:space="preserve">and issued </w:t>
      </w:r>
      <w:r w:rsidR="286F586B" w:rsidRPr="00B64995">
        <w:t>more than 30 new or revised ITU-T Recommendations</w:t>
      </w:r>
      <w:r w:rsidR="007127EC" w:rsidRPr="00B64995">
        <w:t xml:space="preserve"> in 2019 and </w:t>
      </w:r>
      <w:r w:rsidR="00567C41" w:rsidRPr="00B64995">
        <w:t>more than 40 in 2020</w:t>
      </w:r>
      <w:r w:rsidR="286F586B" w:rsidRPr="00B64995">
        <w:t xml:space="preserve">, </w:t>
      </w:r>
      <w:r w:rsidR="125ECA22" w:rsidRPr="00B64995">
        <w:t xml:space="preserve">under the </w:t>
      </w:r>
      <w:hyperlink r:id="rId294">
        <w:r w:rsidR="125ECA22" w:rsidRPr="00B64995">
          <w:rPr>
            <w:rStyle w:val="Hyperlink"/>
          </w:rPr>
          <w:t>X Series</w:t>
        </w:r>
      </w:hyperlink>
      <w:r w:rsidR="286F586B" w:rsidRPr="00A060FE">
        <w:t>.</w:t>
      </w:r>
      <w:r w:rsidR="00E6775B" w:rsidRPr="00B64995">
        <w:t xml:space="preserve"> </w:t>
      </w:r>
      <w:r w:rsidR="006D38B9" w:rsidRPr="00B64995">
        <w:t>SG 17</w:t>
      </w:r>
      <w:r w:rsidR="00951E14" w:rsidRPr="00B64995">
        <w:t xml:space="preserve"> was also the first study group to </w:t>
      </w:r>
      <w:r w:rsidR="00392866" w:rsidRPr="00B64995">
        <w:t xml:space="preserve">hold </w:t>
      </w:r>
      <w:r w:rsidR="00951E14" w:rsidRPr="00B64995">
        <w:t>a fully virtual meeting on 17-26 March 2020.</w:t>
      </w:r>
    </w:p>
    <w:p w14:paraId="42F55D60" w14:textId="5C550061" w:rsidR="00EC53C1" w:rsidRPr="00B64995" w:rsidRDefault="00EC53C1" w:rsidP="00614D53">
      <w:pPr>
        <w:jc w:val="both"/>
      </w:pPr>
    </w:p>
    <w:p w14:paraId="0337988A" w14:textId="7DD0BFB9" w:rsidR="00951E14" w:rsidRPr="00B64995" w:rsidRDefault="00951E14" w:rsidP="00614D53">
      <w:pPr>
        <w:jc w:val="both"/>
      </w:pPr>
      <w:r w:rsidRPr="00B64995">
        <w:t>Other ITU-T Study Groups</w:t>
      </w:r>
      <w:r w:rsidR="006C4C59" w:rsidRPr="00B64995">
        <w:t xml:space="preserve">, such as ITU-T </w:t>
      </w:r>
      <w:r w:rsidR="006D38B9" w:rsidRPr="00B64995">
        <w:t>SG 9</w:t>
      </w:r>
      <w:r w:rsidR="006C4C59" w:rsidRPr="00B64995">
        <w:t xml:space="preserve"> (</w:t>
      </w:r>
      <w:hyperlink r:id="rId295">
        <w:r w:rsidR="006C4C59" w:rsidRPr="00B64995">
          <w:rPr>
            <w:rStyle w:val="Hyperlink"/>
          </w:rPr>
          <w:t>Broadband cable and TV</w:t>
        </w:r>
      </w:hyperlink>
      <w:r w:rsidR="006C4C59" w:rsidRPr="00A060FE">
        <w:t xml:space="preserve">) and ITU-T </w:t>
      </w:r>
      <w:r w:rsidR="006D38B9" w:rsidRPr="00B64995">
        <w:t>SG 13</w:t>
      </w:r>
      <w:r w:rsidR="006C4C59" w:rsidRPr="00B64995">
        <w:t xml:space="preserve"> (</w:t>
      </w:r>
      <w:hyperlink r:id="rId296">
        <w:r w:rsidR="006C4C59" w:rsidRPr="00B64995">
          <w:rPr>
            <w:rStyle w:val="Hyperlink"/>
            <w:rFonts w:eastAsia="Calibri"/>
          </w:rPr>
          <w:t>Future networks, with focus on IMT-2020, cloud computing and trusted network infrastructures</w:t>
        </w:r>
      </w:hyperlink>
      <w:r w:rsidR="006C4C59" w:rsidRPr="00A060FE">
        <w:t>,</w:t>
      </w:r>
      <w:r w:rsidR="002B5C5A" w:rsidRPr="00B64995">
        <w:t xml:space="preserve"> </w:t>
      </w:r>
      <w:r w:rsidRPr="00B64995">
        <w:t>contribute</w:t>
      </w:r>
      <w:r w:rsidR="33B89DB7" w:rsidRPr="00B64995">
        <w:t>d</w:t>
      </w:r>
      <w:r w:rsidRPr="00B64995">
        <w:t xml:space="preserve"> </w:t>
      </w:r>
      <w:r w:rsidR="006C4C59" w:rsidRPr="00B64995">
        <w:t xml:space="preserve">during this period </w:t>
      </w:r>
      <w:r w:rsidRPr="00B64995">
        <w:t xml:space="preserve">to achieving ITU mandate on cybersecurity. </w:t>
      </w:r>
      <w:r w:rsidR="0057219B" w:rsidRPr="00B64995">
        <w:t xml:space="preserve">See further details in </w:t>
      </w:r>
      <w:hyperlink w:anchor="Section_1_3" w:history="1">
        <w:r w:rsidR="007F05EB" w:rsidRPr="00B64995">
          <w:rPr>
            <w:rStyle w:val="Hyperlink"/>
          </w:rPr>
          <w:t>section</w:t>
        </w:r>
        <w:r w:rsidR="0057219B" w:rsidRPr="00B64995">
          <w:rPr>
            <w:rStyle w:val="Hyperlink"/>
          </w:rPr>
          <w:t xml:space="preserve"> 1.3</w:t>
        </w:r>
      </w:hyperlink>
      <w:r w:rsidR="007D6FFE" w:rsidRPr="00A060FE">
        <w:t>.</w:t>
      </w:r>
    </w:p>
    <w:p w14:paraId="181F07DB" w14:textId="77777777" w:rsidR="00EC53C1" w:rsidRPr="00B64995" w:rsidRDefault="00EC53C1" w:rsidP="00614D53">
      <w:pPr>
        <w:jc w:val="both"/>
      </w:pPr>
    </w:p>
    <w:p w14:paraId="539AE0DE" w14:textId="4C5821BB" w:rsidR="00951E14" w:rsidRPr="00B64995" w:rsidRDefault="42B8D1A8" w:rsidP="00614D53">
      <w:pPr>
        <w:jc w:val="both"/>
      </w:pPr>
      <w:proofErr w:type="gramStart"/>
      <w:r w:rsidRPr="00B64995">
        <w:t>Also</w:t>
      </w:r>
      <w:proofErr w:type="gramEnd"/>
      <w:r w:rsidRPr="00B64995">
        <w:t xml:space="preserve"> </w:t>
      </w:r>
      <w:r w:rsidR="00951E14" w:rsidRPr="00B64995">
        <w:t>ITU-R work</w:t>
      </w:r>
      <w:r w:rsidR="0908361B" w:rsidRPr="00B64995">
        <w:t>ed</w:t>
      </w:r>
      <w:r w:rsidR="00951E14" w:rsidRPr="00B64995">
        <w:t xml:space="preserve"> in establishing clear security principles for IMT (3G, 4G and 5G) networks. See </w:t>
      </w:r>
      <w:hyperlink r:id="rId297">
        <w:r w:rsidR="00951E14" w:rsidRPr="00B64995">
          <w:rPr>
            <w:rStyle w:val="Hyperlink"/>
          </w:rPr>
          <w:t>ITU-R Recommendations</w:t>
        </w:r>
      </w:hyperlink>
      <w:r w:rsidR="0057219B" w:rsidRPr="00A060FE">
        <w:t xml:space="preserve"> and </w:t>
      </w:r>
      <w:hyperlink w:anchor="Section_1_3" w:history="1">
        <w:r w:rsidR="007F05EB" w:rsidRPr="00B64995">
          <w:rPr>
            <w:rStyle w:val="Hyperlink"/>
          </w:rPr>
          <w:t>section</w:t>
        </w:r>
        <w:r w:rsidR="0057219B" w:rsidRPr="00B64995">
          <w:rPr>
            <w:rStyle w:val="Hyperlink"/>
          </w:rPr>
          <w:t xml:space="preserve"> 1.3</w:t>
        </w:r>
      </w:hyperlink>
      <w:r w:rsidR="0057219B" w:rsidRPr="00A060FE">
        <w:t>.</w:t>
      </w:r>
    </w:p>
    <w:p w14:paraId="50C57972" w14:textId="77777777" w:rsidR="00EC53C1" w:rsidRPr="00B64995" w:rsidRDefault="00EC53C1" w:rsidP="00614D53">
      <w:pPr>
        <w:jc w:val="both"/>
      </w:pPr>
    </w:p>
    <w:p w14:paraId="7465CD1C" w14:textId="6C12E7B6" w:rsidR="6C0C55FC" w:rsidRPr="00B64995" w:rsidRDefault="6C0C55FC" w:rsidP="5503EDA3">
      <w:pPr>
        <w:jc w:val="both"/>
        <w:rPr>
          <w:u w:val="single"/>
        </w:rPr>
      </w:pPr>
      <w:r w:rsidRPr="00B64995">
        <w:rPr>
          <w:u w:val="single"/>
        </w:rPr>
        <w:t xml:space="preserve">Organizational </w:t>
      </w:r>
      <w:r w:rsidR="00392866" w:rsidRPr="00B64995">
        <w:rPr>
          <w:u w:val="single"/>
        </w:rPr>
        <w:t>s</w:t>
      </w:r>
      <w:r w:rsidRPr="00B64995">
        <w:rPr>
          <w:u w:val="single"/>
        </w:rPr>
        <w:t>tructures</w:t>
      </w:r>
    </w:p>
    <w:p w14:paraId="26E22134" w14:textId="78FC20AA" w:rsidR="00951E14" w:rsidRPr="00B64995" w:rsidRDefault="286F586B" w:rsidP="00614D53">
      <w:pPr>
        <w:jc w:val="both"/>
      </w:pPr>
      <w:r w:rsidRPr="00B64995">
        <w:t xml:space="preserve">ITU-D </w:t>
      </w:r>
      <w:r w:rsidR="5099F16D" w:rsidRPr="00B64995">
        <w:t>works</w:t>
      </w:r>
      <w:r w:rsidRPr="00B64995">
        <w:t xml:space="preserve"> on technical assessments to evaluate the preparedness </w:t>
      </w:r>
      <w:r w:rsidR="41A0A02F" w:rsidRPr="00B64995">
        <w:t>of</w:t>
      </w:r>
      <w:r w:rsidRPr="00B64995">
        <w:t xml:space="preserve"> and to equip ITU Member States with fully functioning/operational </w:t>
      </w:r>
      <w:hyperlink r:id="rId298">
        <w:r w:rsidRPr="00B64995">
          <w:rPr>
            <w:rStyle w:val="Hyperlink"/>
          </w:rPr>
          <w:t>National Computer Incident Response Teams (CIRTs)</w:t>
        </w:r>
      </w:hyperlink>
      <w:r w:rsidRPr="00A060FE">
        <w:t xml:space="preserve">. Direct engagement in 14 such activities </w:t>
      </w:r>
      <w:r w:rsidR="00704852" w:rsidRPr="00B64995">
        <w:t xml:space="preserve">has </w:t>
      </w:r>
      <w:r w:rsidRPr="00B64995">
        <w:t>been completed</w:t>
      </w:r>
      <w:r w:rsidR="00704852" w:rsidRPr="00B64995">
        <w:t xml:space="preserve"> in </w:t>
      </w:r>
      <w:proofErr w:type="gramStart"/>
      <w:r w:rsidR="00704852" w:rsidRPr="00B64995">
        <w:t>a number of</w:t>
      </w:r>
      <w:proofErr w:type="gramEnd"/>
      <w:r w:rsidR="00704852" w:rsidRPr="00B64995">
        <w:t xml:space="preserve"> countries</w:t>
      </w:r>
      <w:r w:rsidRPr="00B64995">
        <w:t>, including Kiribati</w:t>
      </w:r>
      <w:r w:rsidR="0057219B" w:rsidRPr="00B64995">
        <w:t xml:space="preserve">, </w:t>
      </w:r>
      <w:r w:rsidRPr="00B64995">
        <w:t>Solomon Islands</w:t>
      </w:r>
      <w:r w:rsidR="0057219B" w:rsidRPr="00B64995">
        <w:t xml:space="preserve">, </w:t>
      </w:r>
      <w:r w:rsidRPr="00B64995">
        <w:t>Papua New Guinea</w:t>
      </w:r>
      <w:r w:rsidR="04CA6BCB" w:rsidRPr="00B64995">
        <w:t xml:space="preserve">, </w:t>
      </w:r>
      <w:r w:rsidRPr="00B64995">
        <w:t>Vanuatu and the State of Palestine</w:t>
      </w:r>
      <w:r w:rsidR="000E73F4" w:rsidRPr="00B64995">
        <w:t>, and 6 projects are currently ongoing</w:t>
      </w:r>
      <w:r w:rsidRPr="00B64995">
        <w:t xml:space="preserve">. </w:t>
      </w:r>
      <w:r w:rsidR="00DE15C0" w:rsidRPr="00B64995">
        <w:t xml:space="preserve">ITU has also partnered with the Global Cyber Security Capacity Centre at the Oxford Martin School, and jointly performed </w:t>
      </w:r>
      <w:r w:rsidR="00704852" w:rsidRPr="00B64995">
        <w:t>c</w:t>
      </w:r>
      <w:r w:rsidR="00DE15C0" w:rsidRPr="00B64995">
        <w:t xml:space="preserve">ybersecurity </w:t>
      </w:r>
      <w:r w:rsidR="00704852" w:rsidRPr="00B64995">
        <w:t>c</w:t>
      </w:r>
      <w:r w:rsidR="00DE15C0" w:rsidRPr="00B64995">
        <w:t xml:space="preserve">apacity </w:t>
      </w:r>
      <w:r w:rsidR="00704852" w:rsidRPr="00B64995">
        <w:t>r</w:t>
      </w:r>
      <w:r w:rsidR="00DE15C0" w:rsidRPr="00B64995">
        <w:t xml:space="preserve">eviews in Thailand, Sierra Leone, and Madagascar. Following a project funded by the Australian Government (DOCA), in 2019 ITU </w:t>
      </w:r>
      <w:r w:rsidR="00704852" w:rsidRPr="00B64995">
        <w:t xml:space="preserve">performed </w:t>
      </w:r>
      <w:r w:rsidR="00DE15C0" w:rsidRPr="00B64995">
        <w:t>CIRT assessments in Samoa</w:t>
      </w:r>
      <w:r w:rsidR="00704852" w:rsidRPr="00B64995">
        <w:t>,</w:t>
      </w:r>
      <w:r w:rsidR="00DE15C0" w:rsidRPr="00B64995">
        <w:t xml:space="preserve"> Tonga, Vanuatu and Papua New Guinea, which were followed by </w:t>
      </w:r>
      <w:r w:rsidR="00704852" w:rsidRPr="00B64995">
        <w:t>c</w:t>
      </w:r>
      <w:r w:rsidR="00DE15C0" w:rsidRPr="00B64995">
        <w:t xml:space="preserve">ybersecurity </w:t>
      </w:r>
      <w:r w:rsidR="00704852" w:rsidRPr="00B64995">
        <w:t>c</w:t>
      </w:r>
      <w:r w:rsidR="00DE15C0" w:rsidRPr="00B64995">
        <w:t xml:space="preserve">apacity </w:t>
      </w:r>
      <w:r w:rsidR="00704852" w:rsidRPr="00B64995">
        <w:t>r</w:t>
      </w:r>
      <w:r w:rsidR="00DE15C0" w:rsidRPr="00B64995">
        <w:t>eviews.</w:t>
      </w:r>
    </w:p>
    <w:p w14:paraId="63C89829" w14:textId="77777777" w:rsidR="00EC53C1" w:rsidRPr="00B64995" w:rsidRDefault="00EC53C1" w:rsidP="00614D53">
      <w:pPr>
        <w:jc w:val="both"/>
      </w:pPr>
    </w:p>
    <w:p w14:paraId="622F5D87" w14:textId="7B7E00B5" w:rsidR="3086E135" w:rsidRPr="00B64995" w:rsidRDefault="3086E135" w:rsidP="5503EDA3">
      <w:pPr>
        <w:jc w:val="both"/>
        <w:rPr>
          <w:u w:val="single"/>
        </w:rPr>
      </w:pPr>
      <w:r w:rsidRPr="00B64995">
        <w:rPr>
          <w:u w:val="single"/>
        </w:rPr>
        <w:t xml:space="preserve">Capacity </w:t>
      </w:r>
      <w:r w:rsidR="00392866" w:rsidRPr="00B64995">
        <w:rPr>
          <w:u w:val="single"/>
        </w:rPr>
        <w:t>b</w:t>
      </w:r>
      <w:r w:rsidRPr="00B64995">
        <w:rPr>
          <w:u w:val="single"/>
        </w:rPr>
        <w:t>uilding</w:t>
      </w:r>
    </w:p>
    <w:p w14:paraId="2D018A0E" w14:textId="2BEE0FC6" w:rsidR="00951E14" w:rsidRPr="00B64995" w:rsidRDefault="3086E135" w:rsidP="5503EDA3">
      <w:pPr>
        <w:jc w:val="both"/>
      </w:pPr>
      <w:r w:rsidRPr="00B64995">
        <w:t xml:space="preserve">ITU works to </w:t>
      </w:r>
      <w:r w:rsidR="286F586B" w:rsidRPr="00B64995">
        <w:t>enhance national cybersecurity and reduce the knowledge gap</w:t>
      </w:r>
      <w:r w:rsidR="49BBDE99" w:rsidRPr="00B64995">
        <w:t xml:space="preserve">. Some activities during this period </w:t>
      </w:r>
      <w:r w:rsidR="00402204" w:rsidRPr="00B64995">
        <w:t>included</w:t>
      </w:r>
      <w:r w:rsidR="49BBDE99" w:rsidRPr="00B64995">
        <w:t>:</w:t>
      </w:r>
    </w:p>
    <w:p w14:paraId="20C5A875" w14:textId="66DFE7AF" w:rsidR="0049723A" w:rsidRPr="00B64995" w:rsidRDefault="00570F0C" w:rsidP="5503EDA3">
      <w:pPr>
        <w:pStyle w:val="ListParagraph"/>
        <w:numPr>
          <w:ilvl w:val="0"/>
          <w:numId w:val="1"/>
        </w:numPr>
        <w:jc w:val="both"/>
        <w:rPr>
          <w:rFonts w:cs="Calibri"/>
          <w:lang w:val="en-GB"/>
        </w:rPr>
      </w:pPr>
      <w:hyperlink r:id="rId299">
        <w:r w:rsidR="00D35D95" w:rsidRPr="00B64995">
          <w:rPr>
            <w:rStyle w:val="Hyperlink"/>
            <w:rFonts w:cs="Calibri"/>
            <w:lang w:val="en-GB"/>
          </w:rPr>
          <w:t>Re</w:t>
        </w:r>
        <w:r w:rsidR="286F586B" w:rsidRPr="00B64995">
          <w:rPr>
            <w:rStyle w:val="Hyperlink"/>
            <w:rFonts w:cs="Calibri"/>
            <w:lang w:val="en-GB"/>
          </w:rPr>
          <w:t>gional cybersecurity forums</w:t>
        </w:r>
      </w:hyperlink>
      <w:r w:rsidR="286F586B" w:rsidRPr="00A060FE">
        <w:rPr>
          <w:rFonts w:cs="Calibri"/>
          <w:lang w:val="en-GB"/>
        </w:rPr>
        <w:t xml:space="preserve"> </w:t>
      </w:r>
      <w:r w:rsidR="00704852" w:rsidRPr="00B64995">
        <w:rPr>
          <w:rFonts w:cs="Calibri"/>
          <w:lang w:val="en-GB"/>
        </w:rPr>
        <w:t xml:space="preserve">were </w:t>
      </w:r>
      <w:r w:rsidR="4222419F" w:rsidRPr="00B64995">
        <w:rPr>
          <w:rFonts w:cs="Calibri"/>
          <w:lang w:val="en-GB"/>
        </w:rPr>
        <w:t xml:space="preserve">organized </w:t>
      </w:r>
      <w:r w:rsidR="286F586B" w:rsidRPr="00B64995">
        <w:rPr>
          <w:rFonts w:cs="Calibri"/>
          <w:lang w:val="en-GB"/>
        </w:rPr>
        <w:t xml:space="preserve">for all ITU regions </w:t>
      </w:r>
      <w:proofErr w:type="gramStart"/>
      <w:r w:rsidR="286F586B" w:rsidRPr="00B64995">
        <w:rPr>
          <w:rFonts w:cs="Calibri"/>
          <w:lang w:val="en-GB"/>
        </w:rPr>
        <w:t>in order to</w:t>
      </w:r>
      <w:proofErr w:type="gramEnd"/>
      <w:r w:rsidR="286F586B" w:rsidRPr="00B64995">
        <w:rPr>
          <w:rFonts w:cs="Calibri"/>
          <w:lang w:val="en-GB"/>
        </w:rPr>
        <w:t xml:space="preserve"> build capacity for different </w:t>
      </w:r>
      <w:r w:rsidR="37487B2D" w:rsidRPr="00B64995">
        <w:rPr>
          <w:rFonts w:cs="Calibri"/>
          <w:lang w:val="en-GB"/>
        </w:rPr>
        <w:t>ITU-D</w:t>
      </w:r>
      <w:r w:rsidR="286F586B" w:rsidRPr="00B64995">
        <w:rPr>
          <w:rFonts w:cs="Calibri"/>
          <w:lang w:val="en-GB"/>
        </w:rPr>
        <w:t xml:space="preserve"> programmes/activities and provide an operational platform for regional and international cooperation</w:t>
      </w:r>
      <w:r w:rsidR="00095C1A" w:rsidRPr="00B64995">
        <w:rPr>
          <w:rFonts w:cs="Calibri"/>
          <w:lang w:val="en-GB"/>
        </w:rPr>
        <w:t>.</w:t>
      </w:r>
    </w:p>
    <w:p w14:paraId="10BFA434" w14:textId="4625DA66" w:rsidR="0049723A" w:rsidRPr="00B64995" w:rsidRDefault="42A8303E" w:rsidP="5503EDA3">
      <w:pPr>
        <w:pStyle w:val="ListParagraph"/>
        <w:numPr>
          <w:ilvl w:val="0"/>
          <w:numId w:val="1"/>
        </w:numPr>
        <w:jc w:val="both"/>
        <w:rPr>
          <w:rFonts w:cs="Calibri"/>
          <w:lang w:val="en-GB"/>
        </w:rPr>
      </w:pPr>
      <w:r w:rsidRPr="00B64995">
        <w:rPr>
          <w:rFonts w:cs="Calibri"/>
          <w:lang w:val="en-GB"/>
        </w:rPr>
        <w:lastRenderedPageBreak/>
        <w:t>W</w:t>
      </w:r>
      <w:r w:rsidR="286F586B" w:rsidRPr="00B64995">
        <w:rPr>
          <w:rFonts w:cs="Calibri"/>
          <w:lang w:val="en-GB"/>
        </w:rPr>
        <w:t>orkshops took place in Indonesia</w:t>
      </w:r>
      <w:r w:rsidR="00704852" w:rsidRPr="00B64995">
        <w:rPr>
          <w:rFonts w:cs="Calibri"/>
          <w:lang w:val="en-GB"/>
        </w:rPr>
        <w:t>,</w:t>
      </w:r>
      <w:r w:rsidR="286F586B" w:rsidRPr="00B64995">
        <w:rPr>
          <w:rFonts w:cs="Calibri"/>
          <w:lang w:val="en-GB"/>
        </w:rPr>
        <w:t xml:space="preserve"> Macedonia </w:t>
      </w:r>
      <w:r w:rsidR="00704852" w:rsidRPr="00B64995">
        <w:rPr>
          <w:rFonts w:cs="Calibri"/>
          <w:lang w:val="en-GB"/>
        </w:rPr>
        <w:t xml:space="preserve">(for </w:t>
      </w:r>
      <w:r w:rsidR="286F586B" w:rsidRPr="00B64995">
        <w:rPr>
          <w:rFonts w:cs="Calibri"/>
          <w:lang w:val="en-GB"/>
        </w:rPr>
        <w:t>Balkan States</w:t>
      </w:r>
      <w:r w:rsidR="00704852" w:rsidRPr="00B64995">
        <w:rPr>
          <w:rFonts w:cs="Calibri"/>
          <w:lang w:val="en-GB"/>
        </w:rPr>
        <w:t>)</w:t>
      </w:r>
      <w:r w:rsidR="286F586B" w:rsidRPr="00B64995">
        <w:rPr>
          <w:rFonts w:cs="Calibri"/>
          <w:lang w:val="en-GB"/>
        </w:rPr>
        <w:t xml:space="preserve"> and Tunisia</w:t>
      </w:r>
      <w:r w:rsidR="00704852" w:rsidRPr="00B64995">
        <w:rPr>
          <w:rFonts w:cs="Calibri"/>
          <w:lang w:val="en-GB"/>
        </w:rPr>
        <w:t xml:space="preserve"> (</w:t>
      </w:r>
      <w:r w:rsidR="286F586B" w:rsidRPr="00B64995">
        <w:rPr>
          <w:rFonts w:cs="Calibri"/>
          <w:lang w:val="en-GB"/>
        </w:rPr>
        <w:t>for countries from the Africa and Arab States regions</w:t>
      </w:r>
      <w:r w:rsidR="00704852" w:rsidRPr="00B64995">
        <w:rPr>
          <w:rFonts w:cs="Calibri"/>
          <w:lang w:val="en-GB"/>
        </w:rPr>
        <w:t>)</w:t>
      </w:r>
      <w:r w:rsidR="286F586B" w:rsidRPr="00B64995">
        <w:rPr>
          <w:rFonts w:cs="Calibri"/>
          <w:lang w:val="en-GB"/>
        </w:rPr>
        <w:t>.</w:t>
      </w:r>
    </w:p>
    <w:p w14:paraId="1D8DAE00" w14:textId="2DAF1461" w:rsidR="00144680" w:rsidRPr="00B64995" w:rsidRDefault="00B82931" w:rsidP="5503EDA3">
      <w:pPr>
        <w:pStyle w:val="ListParagraph"/>
        <w:numPr>
          <w:ilvl w:val="0"/>
          <w:numId w:val="1"/>
        </w:numPr>
        <w:jc w:val="both"/>
        <w:rPr>
          <w:rFonts w:asciiTheme="minorHAnsi" w:eastAsiaTheme="minorEastAsia" w:hAnsiTheme="minorHAnsi" w:cstheme="minorBidi"/>
          <w:lang w:val="en-GB"/>
        </w:rPr>
      </w:pPr>
      <w:r w:rsidRPr="00B64995">
        <w:rPr>
          <w:rFonts w:asciiTheme="minorHAnsi" w:hAnsiTheme="minorHAnsi" w:cstheme="minorHAnsi"/>
          <w:lang w:val="en-GB"/>
        </w:rPr>
        <w:t xml:space="preserve">The ITU Academy organized the following workshops for the Americas </w:t>
      </w:r>
      <w:r w:rsidR="00704852" w:rsidRPr="00B64995">
        <w:rPr>
          <w:rFonts w:asciiTheme="minorHAnsi" w:hAnsiTheme="minorHAnsi" w:cstheme="minorHAnsi"/>
          <w:lang w:val="en-GB"/>
        </w:rPr>
        <w:t>r</w:t>
      </w:r>
      <w:r w:rsidRPr="00B64995">
        <w:rPr>
          <w:rFonts w:asciiTheme="minorHAnsi" w:hAnsiTheme="minorHAnsi" w:cstheme="minorHAnsi"/>
          <w:lang w:val="en-GB"/>
        </w:rPr>
        <w:t xml:space="preserve">egion: </w:t>
      </w:r>
      <w:r w:rsidR="00402204" w:rsidRPr="00B64995">
        <w:rPr>
          <w:rFonts w:asciiTheme="minorHAnsi" w:hAnsiTheme="minorHAnsi" w:cstheme="minorHAnsi"/>
          <w:lang w:val="en-GB"/>
        </w:rPr>
        <w:t>o</w:t>
      </w:r>
      <w:r w:rsidRPr="00B64995">
        <w:rPr>
          <w:rFonts w:asciiTheme="minorHAnsi" w:hAnsiTheme="minorHAnsi" w:cstheme="minorHAnsi"/>
          <w:lang w:val="en-GB"/>
        </w:rPr>
        <w:t xml:space="preserve">nline training on </w:t>
      </w:r>
      <w:r w:rsidR="00704852" w:rsidRPr="00B64995">
        <w:rPr>
          <w:rFonts w:asciiTheme="minorHAnsi" w:hAnsiTheme="minorHAnsi" w:cstheme="minorHAnsi"/>
          <w:lang w:val="en-GB"/>
        </w:rPr>
        <w:t>c</w:t>
      </w:r>
      <w:r w:rsidRPr="00B64995">
        <w:rPr>
          <w:rFonts w:asciiTheme="minorHAnsi" w:hAnsiTheme="minorHAnsi" w:cstheme="minorHAnsi"/>
          <w:lang w:val="en-GB"/>
        </w:rPr>
        <w:t xml:space="preserve">ybersecurity basics (March 2020) and </w:t>
      </w:r>
      <w:r w:rsidR="00402204" w:rsidRPr="00B64995">
        <w:rPr>
          <w:rFonts w:asciiTheme="minorHAnsi" w:hAnsiTheme="minorHAnsi" w:cstheme="minorHAnsi"/>
          <w:lang w:val="en-GB"/>
        </w:rPr>
        <w:t>o</w:t>
      </w:r>
      <w:r w:rsidRPr="00B64995">
        <w:rPr>
          <w:rFonts w:asciiTheme="minorHAnsi" w:hAnsiTheme="minorHAnsi" w:cstheme="minorHAnsi"/>
          <w:lang w:val="en-GB"/>
        </w:rPr>
        <w:t xml:space="preserve">nline training on </w:t>
      </w:r>
      <w:r w:rsidR="00704852" w:rsidRPr="00B64995">
        <w:rPr>
          <w:rFonts w:asciiTheme="minorHAnsi" w:hAnsiTheme="minorHAnsi" w:cstheme="minorHAnsi"/>
          <w:lang w:val="en-GB"/>
        </w:rPr>
        <w:t>d</w:t>
      </w:r>
      <w:r w:rsidRPr="00B64995">
        <w:rPr>
          <w:rFonts w:asciiTheme="minorHAnsi" w:hAnsiTheme="minorHAnsi" w:cstheme="minorHAnsi"/>
          <w:lang w:val="en-GB"/>
        </w:rPr>
        <w:t xml:space="preserve">igital </w:t>
      </w:r>
      <w:r w:rsidR="00704852" w:rsidRPr="00B64995">
        <w:rPr>
          <w:rFonts w:asciiTheme="minorHAnsi" w:hAnsiTheme="minorHAnsi" w:cstheme="minorHAnsi"/>
          <w:lang w:val="en-GB"/>
        </w:rPr>
        <w:t>f</w:t>
      </w:r>
      <w:r w:rsidRPr="00B64995">
        <w:rPr>
          <w:rFonts w:asciiTheme="minorHAnsi" w:hAnsiTheme="minorHAnsi" w:cstheme="minorHAnsi"/>
          <w:lang w:val="en-GB"/>
        </w:rPr>
        <w:t>orensics (October 2020).</w:t>
      </w:r>
    </w:p>
    <w:p w14:paraId="0B168400" w14:textId="38F344D6" w:rsidR="00951E14" w:rsidRPr="00B64995" w:rsidRDefault="121FE0B5" w:rsidP="5503EDA3">
      <w:pPr>
        <w:pStyle w:val="ListParagraph"/>
        <w:numPr>
          <w:ilvl w:val="0"/>
          <w:numId w:val="1"/>
        </w:numPr>
        <w:jc w:val="both"/>
        <w:rPr>
          <w:rFonts w:asciiTheme="minorHAnsi" w:eastAsiaTheme="minorEastAsia" w:hAnsiTheme="minorHAnsi" w:cstheme="minorBidi"/>
          <w:lang w:val="en-GB"/>
        </w:rPr>
      </w:pPr>
      <w:r w:rsidRPr="00B64995">
        <w:rPr>
          <w:rFonts w:cs="Calibri"/>
          <w:lang w:val="en-GB"/>
        </w:rPr>
        <w:t>The ITU Guide to Developing a National Cybersecurity Strategy (NCS) constitutes a good practice that was used and promoted</w:t>
      </w:r>
      <w:r w:rsidR="007F67C4" w:rsidRPr="00B64995">
        <w:rPr>
          <w:rFonts w:cs="Calibri"/>
          <w:lang w:val="en-GB"/>
        </w:rPr>
        <w:t xml:space="preserve">. </w:t>
      </w:r>
      <w:r w:rsidR="007F67C4" w:rsidRPr="00B64995">
        <w:rPr>
          <w:rFonts w:asciiTheme="minorHAnsi" w:hAnsiTheme="minorHAnsi" w:cstheme="minorHAnsi"/>
          <w:lang w:val="en-GB"/>
        </w:rPr>
        <w:t>The process to update the NCS is also under way and several coordination meetings took place in October-November 2020</w:t>
      </w:r>
      <w:r w:rsidR="008B0652" w:rsidRPr="00B64995">
        <w:rPr>
          <w:rFonts w:asciiTheme="minorHAnsi" w:hAnsiTheme="minorHAnsi" w:cstheme="minorHAnsi"/>
          <w:lang w:val="en-GB"/>
        </w:rPr>
        <w:t xml:space="preserve"> for this purpose</w:t>
      </w:r>
      <w:r w:rsidR="00144680" w:rsidRPr="00B64995">
        <w:rPr>
          <w:rFonts w:asciiTheme="minorHAnsi" w:hAnsiTheme="minorHAnsi" w:cstheme="minorHAnsi"/>
          <w:lang w:val="en-GB"/>
        </w:rPr>
        <w:t xml:space="preserve">. </w:t>
      </w:r>
      <w:r w:rsidR="00CB5E80" w:rsidRPr="00B64995">
        <w:rPr>
          <w:rFonts w:asciiTheme="minorHAnsi" w:hAnsiTheme="minorHAnsi" w:cstheme="minorHAnsi"/>
          <w:lang w:val="en-GB"/>
        </w:rPr>
        <w:t>I</w:t>
      </w:r>
      <w:r w:rsidR="00144680" w:rsidRPr="00B64995">
        <w:rPr>
          <w:rFonts w:asciiTheme="minorHAnsi" w:hAnsiTheme="minorHAnsi" w:cstheme="minorHAnsi"/>
          <w:lang w:val="en-GB"/>
        </w:rPr>
        <w:t>TU conducted a</w:t>
      </w:r>
      <w:r w:rsidR="00585578" w:rsidRPr="00B64995">
        <w:rPr>
          <w:rFonts w:asciiTheme="minorHAnsi" w:hAnsiTheme="minorHAnsi" w:cstheme="minorHAnsi"/>
          <w:lang w:val="en-GB"/>
        </w:rPr>
        <w:t xml:space="preserve"> webinar on 19 October 2020 entitled</w:t>
      </w:r>
      <w:r w:rsidR="00144680" w:rsidRPr="00B64995">
        <w:rPr>
          <w:rFonts w:asciiTheme="minorHAnsi" w:hAnsiTheme="minorHAnsi" w:cstheme="minorHAnsi"/>
          <w:lang w:val="en-GB"/>
        </w:rPr>
        <w:t xml:space="preserve"> </w:t>
      </w:r>
      <w:hyperlink r:id="rId300" w:history="1">
        <w:r w:rsidR="00585578" w:rsidRPr="00B64995">
          <w:rPr>
            <w:rStyle w:val="Hyperlink"/>
            <w:rFonts w:asciiTheme="minorHAnsi" w:hAnsiTheme="minorHAnsi" w:cstheme="minorHAnsi"/>
            <w:lang w:val="en-GB"/>
          </w:rPr>
          <w:t>“National Cybersecurity Strategies – Implementation and Monitoring”</w:t>
        </w:r>
      </w:hyperlink>
      <w:r w:rsidR="00585578" w:rsidRPr="00A060FE">
        <w:rPr>
          <w:rFonts w:asciiTheme="minorHAnsi" w:hAnsiTheme="minorHAnsi" w:cstheme="minorHAnsi"/>
          <w:lang w:val="en-GB"/>
        </w:rPr>
        <w:t xml:space="preserve"> </w:t>
      </w:r>
      <w:r w:rsidR="00144680" w:rsidRPr="00B64995">
        <w:rPr>
          <w:rFonts w:asciiTheme="minorHAnsi" w:hAnsiTheme="minorHAnsi" w:cstheme="minorHAnsi"/>
          <w:lang w:val="en-GB"/>
        </w:rPr>
        <w:t xml:space="preserve">to discuss the lifecycle development and implementation of </w:t>
      </w:r>
      <w:r w:rsidR="00CB5E80" w:rsidRPr="00B64995">
        <w:rPr>
          <w:rFonts w:asciiTheme="minorHAnsi" w:hAnsiTheme="minorHAnsi" w:cstheme="minorHAnsi"/>
          <w:lang w:val="en-GB"/>
        </w:rPr>
        <w:t>n</w:t>
      </w:r>
      <w:r w:rsidR="00144680" w:rsidRPr="00B64995">
        <w:rPr>
          <w:rFonts w:asciiTheme="minorHAnsi" w:hAnsiTheme="minorHAnsi" w:cstheme="minorHAnsi"/>
          <w:lang w:val="en-GB"/>
        </w:rPr>
        <w:t xml:space="preserve">ational </w:t>
      </w:r>
      <w:r w:rsidR="00CB5E80" w:rsidRPr="00B64995">
        <w:rPr>
          <w:rFonts w:asciiTheme="minorHAnsi" w:hAnsiTheme="minorHAnsi" w:cstheme="minorHAnsi"/>
          <w:lang w:val="en-GB"/>
        </w:rPr>
        <w:t>c</w:t>
      </w:r>
      <w:r w:rsidR="00144680" w:rsidRPr="00B64995">
        <w:rPr>
          <w:rFonts w:asciiTheme="minorHAnsi" w:hAnsiTheme="minorHAnsi" w:cstheme="minorHAnsi"/>
          <w:lang w:val="en-GB"/>
        </w:rPr>
        <w:t xml:space="preserve">ybersecurity </w:t>
      </w:r>
      <w:r w:rsidR="00CB5E80" w:rsidRPr="00B64995">
        <w:rPr>
          <w:rFonts w:asciiTheme="minorHAnsi" w:hAnsiTheme="minorHAnsi" w:cstheme="minorHAnsi"/>
          <w:lang w:val="en-GB"/>
        </w:rPr>
        <w:t>s</w:t>
      </w:r>
      <w:r w:rsidR="00144680" w:rsidRPr="00B64995">
        <w:rPr>
          <w:rFonts w:asciiTheme="minorHAnsi" w:hAnsiTheme="minorHAnsi" w:cstheme="minorHAnsi"/>
          <w:lang w:val="en-GB"/>
        </w:rPr>
        <w:t>trateg</w:t>
      </w:r>
      <w:r w:rsidR="00585578" w:rsidRPr="00B64995">
        <w:rPr>
          <w:rFonts w:asciiTheme="minorHAnsi" w:hAnsiTheme="minorHAnsi" w:cstheme="minorHAnsi"/>
          <w:lang w:val="en-GB"/>
        </w:rPr>
        <w:t>ies</w:t>
      </w:r>
      <w:r w:rsidR="00144680" w:rsidRPr="00B64995">
        <w:rPr>
          <w:rFonts w:asciiTheme="minorHAnsi" w:hAnsiTheme="minorHAnsi" w:cstheme="minorHAnsi"/>
          <w:lang w:val="en-GB"/>
        </w:rPr>
        <w:t xml:space="preserve">. A </w:t>
      </w:r>
      <w:r w:rsidR="00CB5E80" w:rsidRPr="00B64995">
        <w:rPr>
          <w:rFonts w:asciiTheme="minorHAnsi" w:hAnsiTheme="minorHAnsi" w:cstheme="minorHAnsi"/>
          <w:lang w:val="en-GB"/>
        </w:rPr>
        <w:t xml:space="preserve">special </w:t>
      </w:r>
      <w:r w:rsidR="00144680" w:rsidRPr="00B64995">
        <w:rPr>
          <w:rFonts w:asciiTheme="minorHAnsi" w:hAnsiTheme="minorHAnsi" w:cstheme="minorHAnsi"/>
          <w:lang w:val="en-GB"/>
        </w:rPr>
        <w:t xml:space="preserve">event </w:t>
      </w:r>
      <w:r w:rsidR="00CB5E80" w:rsidRPr="00B64995">
        <w:rPr>
          <w:rFonts w:asciiTheme="minorHAnsi" w:hAnsiTheme="minorHAnsi" w:cstheme="minorHAnsi"/>
          <w:lang w:val="en-GB"/>
        </w:rPr>
        <w:t xml:space="preserve">on the subject </w:t>
      </w:r>
      <w:r w:rsidR="00144680" w:rsidRPr="00B64995">
        <w:rPr>
          <w:rFonts w:asciiTheme="minorHAnsi" w:hAnsiTheme="minorHAnsi" w:cstheme="minorHAnsi"/>
          <w:lang w:val="en-GB"/>
        </w:rPr>
        <w:t xml:space="preserve">“National </w:t>
      </w:r>
      <w:r w:rsidR="00CB5E80" w:rsidRPr="00B64995">
        <w:rPr>
          <w:rFonts w:asciiTheme="minorHAnsi" w:hAnsiTheme="minorHAnsi" w:cstheme="minorHAnsi"/>
          <w:lang w:val="en-GB"/>
        </w:rPr>
        <w:t>c</w:t>
      </w:r>
      <w:r w:rsidR="00144680" w:rsidRPr="00B64995">
        <w:rPr>
          <w:rFonts w:asciiTheme="minorHAnsi" w:hAnsiTheme="minorHAnsi" w:cstheme="minorHAnsi"/>
          <w:lang w:val="en-GB"/>
        </w:rPr>
        <w:t>ybersecurity strategy for Fiji” was held in November-December 2020</w:t>
      </w:r>
      <w:r w:rsidR="00095C1A" w:rsidRPr="00B64995">
        <w:rPr>
          <w:rFonts w:cs="Calibri"/>
          <w:lang w:val="en-GB"/>
        </w:rPr>
        <w:t>.</w:t>
      </w:r>
    </w:p>
    <w:p w14:paraId="2181501B" w14:textId="315A0B00" w:rsidR="00951E14" w:rsidRPr="00B64995" w:rsidRDefault="286F586B" w:rsidP="5503EDA3">
      <w:pPr>
        <w:pStyle w:val="ListParagraph"/>
        <w:numPr>
          <w:ilvl w:val="0"/>
          <w:numId w:val="1"/>
        </w:numPr>
        <w:jc w:val="both"/>
        <w:rPr>
          <w:lang w:val="en-GB"/>
        </w:rPr>
      </w:pPr>
      <w:r w:rsidRPr="00B64995">
        <w:rPr>
          <w:rFonts w:cs="Calibri"/>
          <w:lang w:val="en-GB"/>
        </w:rPr>
        <w:t xml:space="preserve">Capacity development and technical assistance </w:t>
      </w:r>
      <w:r w:rsidR="00585578" w:rsidRPr="00B64995">
        <w:rPr>
          <w:rFonts w:cs="Calibri"/>
          <w:lang w:val="en-GB"/>
        </w:rPr>
        <w:t xml:space="preserve">were </w:t>
      </w:r>
      <w:r w:rsidRPr="00B64995">
        <w:rPr>
          <w:rFonts w:cs="Calibri"/>
          <w:lang w:val="en-GB"/>
        </w:rPr>
        <w:t>provided to Sudan to improve its strategy on critical information infrastructure protection</w:t>
      </w:r>
      <w:r w:rsidR="00095C1A" w:rsidRPr="00B64995">
        <w:rPr>
          <w:rFonts w:cs="Calibri"/>
          <w:lang w:val="en-GB"/>
        </w:rPr>
        <w:t>.</w:t>
      </w:r>
    </w:p>
    <w:p w14:paraId="6ED0DB3A" w14:textId="68B4B253" w:rsidR="00951E14" w:rsidRPr="00B64995" w:rsidRDefault="286F586B" w:rsidP="5503EDA3">
      <w:pPr>
        <w:pStyle w:val="ListParagraph"/>
        <w:numPr>
          <w:ilvl w:val="0"/>
          <w:numId w:val="1"/>
        </w:numPr>
        <w:jc w:val="both"/>
        <w:rPr>
          <w:lang w:val="en-GB"/>
        </w:rPr>
      </w:pPr>
      <w:r w:rsidRPr="00B64995">
        <w:rPr>
          <w:rFonts w:cs="Calibri"/>
          <w:lang w:val="en-GB"/>
        </w:rPr>
        <w:t xml:space="preserve">Regional </w:t>
      </w:r>
      <w:r w:rsidR="00CB5E80" w:rsidRPr="00B64995">
        <w:rPr>
          <w:rFonts w:cs="Calibri"/>
          <w:lang w:val="en-GB"/>
        </w:rPr>
        <w:t>cybersecurity w</w:t>
      </w:r>
      <w:r w:rsidRPr="00B64995">
        <w:rPr>
          <w:rFonts w:cs="Calibri"/>
          <w:lang w:val="en-GB"/>
        </w:rPr>
        <w:t xml:space="preserve">eeks were </w:t>
      </w:r>
      <w:r w:rsidR="00CB5E80" w:rsidRPr="00B64995">
        <w:rPr>
          <w:rFonts w:cs="Calibri"/>
          <w:lang w:val="en-GB"/>
        </w:rPr>
        <w:t xml:space="preserve">held </w:t>
      </w:r>
      <w:r w:rsidR="00333786" w:rsidRPr="00B64995">
        <w:rPr>
          <w:rFonts w:cs="Calibri"/>
          <w:lang w:val="en-GB"/>
        </w:rPr>
        <w:t>i</w:t>
      </w:r>
      <w:r w:rsidRPr="00B64995">
        <w:rPr>
          <w:rFonts w:cs="Calibri"/>
          <w:lang w:val="en-GB"/>
        </w:rPr>
        <w:t>n the Arab States</w:t>
      </w:r>
      <w:r w:rsidR="1D968EC1" w:rsidRPr="00B64995">
        <w:rPr>
          <w:rFonts w:cs="Calibri"/>
          <w:lang w:val="en-GB"/>
        </w:rPr>
        <w:t xml:space="preserve">, </w:t>
      </w:r>
      <w:r w:rsidRPr="00B64995">
        <w:rPr>
          <w:rFonts w:cs="Calibri"/>
          <w:lang w:val="en-GB"/>
        </w:rPr>
        <w:t>organized by the ITU Arab Regional Cyber</w:t>
      </w:r>
      <w:r w:rsidR="00CB5E80" w:rsidRPr="00B64995">
        <w:rPr>
          <w:rFonts w:cs="Calibri"/>
          <w:lang w:val="en-GB"/>
        </w:rPr>
        <w:t>s</w:t>
      </w:r>
      <w:r w:rsidRPr="00B64995">
        <w:rPr>
          <w:rFonts w:cs="Calibri"/>
          <w:lang w:val="en-GB"/>
        </w:rPr>
        <w:t xml:space="preserve">ecurity Centre (ITU-ARCC). The Moldova </w:t>
      </w:r>
      <w:r w:rsidR="00CB5E80" w:rsidRPr="00B64995">
        <w:rPr>
          <w:rFonts w:cs="Calibri"/>
          <w:lang w:val="en-GB"/>
        </w:rPr>
        <w:t>c</w:t>
      </w:r>
      <w:r w:rsidRPr="00B64995">
        <w:rPr>
          <w:rFonts w:cs="Calibri"/>
          <w:lang w:val="en-GB"/>
        </w:rPr>
        <w:t xml:space="preserve">ybersecurity </w:t>
      </w:r>
      <w:r w:rsidR="00CB5E80" w:rsidRPr="00B64995">
        <w:rPr>
          <w:rFonts w:cs="Calibri"/>
          <w:lang w:val="en-GB"/>
        </w:rPr>
        <w:t>w</w:t>
      </w:r>
      <w:r w:rsidRPr="00B64995">
        <w:rPr>
          <w:rFonts w:cs="Calibri"/>
          <w:lang w:val="en-GB"/>
        </w:rPr>
        <w:t>eek was held in Chisinau</w:t>
      </w:r>
      <w:r w:rsidR="00095C1A" w:rsidRPr="00B64995">
        <w:rPr>
          <w:rFonts w:cs="Calibri"/>
          <w:lang w:val="en-GB"/>
        </w:rPr>
        <w:t>.</w:t>
      </w:r>
    </w:p>
    <w:p w14:paraId="461EB74F" w14:textId="772A127C" w:rsidR="0049723A" w:rsidRPr="00B64995" w:rsidRDefault="57065434" w:rsidP="5503EDA3">
      <w:pPr>
        <w:pStyle w:val="ListParagraph"/>
        <w:numPr>
          <w:ilvl w:val="0"/>
          <w:numId w:val="1"/>
        </w:numPr>
        <w:jc w:val="both"/>
        <w:rPr>
          <w:rFonts w:cs="Calibri"/>
          <w:lang w:val="en-GB"/>
        </w:rPr>
      </w:pPr>
      <w:r w:rsidRPr="00B64995">
        <w:rPr>
          <w:rFonts w:cs="Calibri"/>
          <w:lang w:val="en-GB"/>
        </w:rPr>
        <w:t xml:space="preserve">A </w:t>
      </w:r>
      <w:r w:rsidR="00951E14" w:rsidRPr="00B64995">
        <w:rPr>
          <w:rFonts w:cs="Calibri"/>
          <w:lang w:val="en-GB"/>
        </w:rPr>
        <w:t xml:space="preserve">Cyber Shield 2019 </w:t>
      </w:r>
      <w:r w:rsidR="00402204" w:rsidRPr="00B64995">
        <w:rPr>
          <w:rFonts w:cs="Calibri"/>
          <w:lang w:val="en-GB"/>
        </w:rPr>
        <w:t xml:space="preserve">exercise </w:t>
      </w:r>
      <w:r w:rsidR="00951E14" w:rsidRPr="00B64995">
        <w:rPr>
          <w:rFonts w:cs="Calibri"/>
          <w:lang w:val="en-GB"/>
        </w:rPr>
        <w:t xml:space="preserve">was held in Turkey, to increase incident response capabilities and readiness levels, as well as the mutual understanding of cyber risks and associated impacts, and to ensure a continued collaborative effort among international cybersecurity stakeholders especially national CIRTs </w:t>
      </w:r>
      <w:proofErr w:type="gramStart"/>
      <w:r w:rsidR="00951E14" w:rsidRPr="00B64995">
        <w:rPr>
          <w:rFonts w:cs="Calibri"/>
          <w:lang w:val="en-GB"/>
        </w:rPr>
        <w:t>in order to</w:t>
      </w:r>
      <w:proofErr w:type="gramEnd"/>
      <w:r w:rsidR="00951E14" w:rsidRPr="00B64995">
        <w:rPr>
          <w:rFonts w:cs="Calibri"/>
          <w:lang w:val="en-GB"/>
        </w:rPr>
        <w:t xml:space="preserve"> mitigate cyber threats</w:t>
      </w:r>
      <w:r w:rsidR="00585578" w:rsidRPr="00B64995">
        <w:rPr>
          <w:rFonts w:cs="Calibri"/>
          <w:lang w:val="en-GB"/>
        </w:rPr>
        <w:t>.</w:t>
      </w:r>
    </w:p>
    <w:p w14:paraId="2E824B67" w14:textId="315BFEE1" w:rsidR="00951E14" w:rsidRPr="00B64995" w:rsidRDefault="53009652" w:rsidP="5503EDA3">
      <w:pPr>
        <w:pStyle w:val="ListParagraph"/>
        <w:numPr>
          <w:ilvl w:val="0"/>
          <w:numId w:val="1"/>
        </w:numPr>
        <w:jc w:val="both"/>
        <w:rPr>
          <w:lang w:val="en-GB"/>
        </w:rPr>
      </w:pPr>
      <w:r w:rsidRPr="00B64995">
        <w:rPr>
          <w:rFonts w:cs="Calibri"/>
          <w:lang w:val="en-GB"/>
        </w:rPr>
        <w:t xml:space="preserve">A </w:t>
      </w:r>
      <w:r w:rsidR="00951E14" w:rsidRPr="00B64995">
        <w:rPr>
          <w:rFonts w:cs="Calibri"/>
          <w:lang w:val="en-GB"/>
        </w:rPr>
        <w:t xml:space="preserve">training session </w:t>
      </w:r>
      <w:r w:rsidR="00585578" w:rsidRPr="00B64995">
        <w:rPr>
          <w:rFonts w:cs="Calibri"/>
          <w:lang w:val="en-GB"/>
        </w:rPr>
        <w:t xml:space="preserve">was held </w:t>
      </w:r>
      <w:r w:rsidR="00951E14" w:rsidRPr="00B64995">
        <w:rPr>
          <w:rFonts w:cs="Calibri"/>
          <w:lang w:val="en-GB"/>
        </w:rPr>
        <w:t>for Kyrgyzstan on how to set up a cybersecurity operations centr</w:t>
      </w:r>
      <w:r w:rsidR="00095C1A" w:rsidRPr="00B64995">
        <w:rPr>
          <w:rFonts w:cs="Calibri"/>
          <w:lang w:val="en-GB"/>
        </w:rPr>
        <w:t>e.</w:t>
      </w:r>
    </w:p>
    <w:p w14:paraId="39DC9AA8" w14:textId="456A73F7" w:rsidR="00951E14" w:rsidRPr="00B64995" w:rsidRDefault="00570F0C" w:rsidP="5503EDA3">
      <w:pPr>
        <w:pStyle w:val="ListParagraph"/>
        <w:numPr>
          <w:ilvl w:val="0"/>
          <w:numId w:val="1"/>
        </w:numPr>
        <w:jc w:val="both"/>
        <w:rPr>
          <w:lang w:val="en-GB"/>
        </w:rPr>
      </w:pPr>
      <w:hyperlink r:id="rId301">
        <w:proofErr w:type="spellStart"/>
        <w:r w:rsidR="00951E14" w:rsidRPr="00B64995">
          <w:rPr>
            <w:rStyle w:val="Hyperlink"/>
            <w:rFonts w:cs="Calibri"/>
            <w:lang w:val="en-GB"/>
          </w:rPr>
          <w:t>Cyberdrills</w:t>
        </w:r>
        <w:proofErr w:type="spellEnd"/>
      </w:hyperlink>
      <w:r w:rsidR="05A9AFE5" w:rsidRPr="00A060FE">
        <w:rPr>
          <w:rFonts w:cs="Calibri"/>
          <w:lang w:val="en-GB"/>
        </w:rPr>
        <w:t xml:space="preserve"> </w:t>
      </w:r>
      <w:r w:rsidR="00645D71" w:rsidRPr="00B64995">
        <w:rPr>
          <w:rFonts w:cs="Calibri"/>
          <w:lang w:val="en-GB"/>
        </w:rPr>
        <w:t xml:space="preserve">– </w:t>
      </w:r>
      <w:r w:rsidR="00951E14" w:rsidRPr="00B64995">
        <w:rPr>
          <w:rFonts w:cs="Calibri"/>
          <w:lang w:val="en-GB"/>
        </w:rPr>
        <w:t>which had already involved more than 100 countries</w:t>
      </w:r>
      <w:r w:rsidR="00645D71" w:rsidRPr="00B64995">
        <w:rPr>
          <w:rFonts w:cs="Calibri"/>
          <w:lang w:val="en-GB"/>
        </w:rPr>
        <w:t xml:space="preserve"> –</w:t>
      </w:r>
      <w:r w:rsidR="20FE7677" w:rsidRPr="00B64995">
        <w:rPr>
          <w:rFonts w:cs="Calibri"/>
          <w:lang w:val="en-GB"/>
        </w:rPr>
        <w:t xml:space="preserve"> were </w:t>
      </w:r>
      <w:r w:rsidR="00951E14" w:rsidRPr="00B64995">
        <w:rPr>
          <w:rFonts w:cs="Calibri"/>
          <w:lang w:val="en-GB"/>
        </w:rPr>
        <w:t xml:space="preserve">organized in Uganda (Africa </w:t>
      </w:r>
      <w:r w:rsidR="00585578" w:rsidRPr="00B64995">
        <w:rPr>
          <w:rFonts w:cs="Calibri"/>
          <w:lang w:val="en-GB"/>
        </w:rPr>
        <w:t>r</w:t>
      </w:r>
      <w:r w:rsidR="00951E14" w:rsidRPr="00B64995">
        <w:rPr>
          <w:rFonts w:cs="Calibri"/>
          <w:lang w:val="en-GB"/>
        </w:rPr>
        <w:t>egion, Nov</w:t>
      </w:r>
      <w:r w:rsidR="00585578" w:rsidRPr="00B64995">
        <w:rPr>
          <w:rFonts w:cs="Calibri"/>
          <w:lang w:val="en-GB"/>
        </w:rPr>
        <w:t>ember</w:t>
      </w:r>
      <w:r w:rsidR="00951E14" w:rsidRPr="00B64995">
        <w:rPr>
          <w:rFonts w:cs="Calibri"/>
          <w:lang w:val="en-GB"/>
        </w:rPr>
        <w:t xml:space="preserve"> 2019)</w:t>
      </w:r>
      <w:r w:rsidR="00585578" w:rsidRPr="00B64995">
        <w:rPr>
          <w:rFonts w:cs="Calibri"/>
          <w:lang w:val="en-GB"/>
        </w:rPr>
        <w:t>,</w:t>
      </w:r>
      <w:r w:rsidR="00951E14" w:rsidRPr="00B64995">
        <w:rPr>
          <w:rFonts w:cs="Calibri"/>
          <w:lang w:val="en-GB"/>
        </w:rPr>
        <w:t xml:space="preserve"> Oman (Arab </w:t>
      </w:r>
      <w:r w:rsidR="00585578" w:rsidRPr="00B64995">
        <w:rPr>
          <w:rFonts w:cs="Calibri"/>
          <w:lang w:val="en-GB"/>
        </w:rPr>
        <w:t>r</w:t>
      </w:r>
      <w:r w:rsidR="00951E14" w:rsidRPr="00B64995">
        <w:rPr>
          <w:rFonts w:cs="Calibri"/>
          <w:lang w:val="en-GB"/>
        </w:rPr>
        <w:t>egion, Oct</w:t>
      </w:r>
      <w:r w:rsidR="00585578" w:rsidRPr="00B64995">
        <w:rPr>
          <w:rFonts w:cs="Calibri"/>
          <w:lang w:val="en-GB"/>
        </w:rPr>
        <w:t>ober</w:t>
      </w:r>
      <w:r w:rsidR="00951E14" w:rsidRPr="00B64995">
        <w:rPr>
          <w:rFonts w:cs="Calibri"/>
          <w:lang w:val="en-GB"/>
        </w:rPr>
        <w:t xml:space="preserve"> 2019)</w:t>
      </w:r>
      <w:r w:rsidR="00585578" w:rsidRPr="00B64995">
        <w:rPr>
          <w:rFonts w:cs="Calibri"/>
          <w:lang w:val="en-GB"/>
        </w:rPr>
        <w:t xml:space="preserve">, </w:t>
      </w:r>
      <w:r w:rsidR="00951E14" w:rsidRPr="00B64995">
        <w:rPr>
          <w:rFonts w:cs="Calibri"/>
          <w:lang w:val="en-GB"/>
        </w:rPr>
        <w:t xml:space="preserve">Malaysia (Asia </w:t>
      </w:r>
      <w:r w:rsidR="004E7869" w:rsidRPr="00B64995">
        <w:rPr>
          <w:rFonts w:cs="Calibri"/>
          <w:lang w:val="en-GB"/>
        </w:rPr>
        <w:t xml:space="preserve">and </w:t>
      </w:r>
      <w:r w:rsidR="00951E14" w:rsidRPr="00B64995">
        <w:rPr>
          <w:rFonts w:cs="Calibri"/>
          <w:lang w:val="en-GB"/>
        </w:rPr>
        <w:t xml:space="preserve">the Pacific </w:t>
      </w:r>
      <w:r w:rsidR="00585578" w:rsidRPr="00B64995">
        <w:rPr>
          <w:rFonts w:cs="Calibri"/>
          <w:lang w:val="en-GB"/>
        </w:rPr>
        <w:t>r</w:t>
      </w:r>
      <w:r w:rsidR="00951E14" w:rsidRPr="00B64995">
        <w:rPr>
          <w:rFonts w:cs="Calibri"/>
          <w:lang w:val="en-GB"/>
        </w:rPr>
        <w:t>egion, Sep</w:t>
      </w:r>
      <w:r w:rsidR="00585578" w:rsidRPr="00B64995">
        <w:rPr>
          <w:rFonts w:cs="Calibri"/>
          <w:lang w:val="en-GB"/>
        </w:rPr>
        <w:t>tember</w:t>
      </w:r>
      <w:r w:rsidR="00951E14" w:rsidRPr="00B64995">
        <w:rPr>
          <w:rFonts w:cs="Calibri"/>
          <w:lang w:val="en-GB"/>
        </w:rPr>
        <w:t xml:space="preserve"> 2019) </w:t>
      </w:r>
      <w:r w:rsidR="04736B82" w:rsidRPr="00B64995">
        <w:rPr>
          <w:rFonts w:cs="Calibri"/>
          <w:lang w:val="en-GB"/>
        </w:rPr>
        <w:t>and</w:t>
      </w:r>
      <w:r w:rsidR="004C740B" w:rsidRPr="00B64995">
        <w:rPr>
          <w:rFonts w:cs="Calibri"/>
          <w:lang w:val="en-GB"/>
        </w:rPr>
        <w:t xml:space="preserve"> </w:t>
      </w:r>
      <w:r w:rsidR="004C740B" w:rsidRPr="00B64995">
        <w:rPr>
          <w:rFonts w:asciiTheme="minorHAnsi" w:hAnsiTheme="minorHAnsi" w:cstheme="minorHAnsi"/>
          <w:lang w:val="en-GB"/>
        </w:rPr>
        <w:t xml:space="preserve">Romania (Europe </w:t>
      </w:r>
      <w:r w:rsidR="004E7869" w:rsidRPr="00B64995">
        <w:rPr>
          <w:rFonts w:asciiTheme="minorHAnsi" w:hAnsiTheme="minorHAnsi" w:cstheme="minorHAnsi"/>
          <w:lang w:val="en-GB"/>
        </w:rPr>
        <w:t>and</w:t>
      </w:r>
      <w:r w:rsidR="004C740B" w:rsidRPr="00B64995">
        <w:rPr>
          <w:rFonts w:asciiTheme="minorHAnsi" w:hAnsiTheme="minorHAnsi" w:cstheme="minorHAnsi"/>
          <w:lang w:val="en-GB"/>
        </w:rPr>
        <w:t xml:space="preserve"> CIS region, May 2019).</w:t>
      </w:r>
      <w:r w:rsidR="00086879" w:rsidRPr="00B64995">
        <w:rPr>
          <w:rFonts w:asciiTheme="minorHAnsi" w:hAnsiTheme="minorHAnsi" w:cstheme="minorHAnsi"/>
          <w:lang w:val="en-GB"/>
        </w:rPr>
        <w:t xml:space="preserve"> Five </w:t>
      </w:r>
      <w:r w:rsidR="00585578" w:rsidRPr="00B64995">
        <w:rPr>
          <w:rFonts w:asciiTheme="minorHAnsi" w:hAnsiTheme="minorHAnsi" w:cstheme="minorHAnsi"/>
          <w:lang w:val="en-GB"/>
        </w:rPr>
        <w:t xml:space="preserve">additional </w:t>
      </w:r>
      <w:proofErr w:type="spellStart"/>
      <w:r w:rsidR="00585578" w:rsidRPr="00B64995">
        <w:rPr>
          <w:rFonts w:asciiTheme="minorHAnsi" w:hAnsiTheme="minorHAnsi" w:cstheme="minorHAnsi"/>
          <w:lang w:val="en-GB"/>
        </w:rPr>
        <w:t>c</w:t>
      </w:r>
      <w:r w:rsidR="00086879" w:rsidRPr="00B64995">
        <w:rPr>
          <w:rFonts w:asciiTheme="minorHAnsi" w:hAnsiTheme="minorHAnsi" w:cstheme="minorHAnsi"/>
          <w:lang w:val="en-GB"/>
        </w:rPr>
        <w:t>yber</w:t>
      </w:r>
      <w:r w:rsidR="00585578" w:rsidRPr="00B64995">
        <w:rPr>
          <w:rFonts w:asciiTheme="minorHAnsi" w:hAnsiTheme="minorHAnsi" w:cstheme="minorHAnsi"/>
          <w:lang w:val="en-GB"/>
        </w:rPr>
        <w:t>d</w:t>
      </w:r>
      <w:r w:rsidR="00086879" w:rsidRPr="00B64995">
        <w:rPr>
          <w:rFonts w:asciiTheme="minorHAnsi" w:hAnsiTheme="minorHAnsi" w:cstheme="minorHAnsi"/>
          <w:lang w:val="en-GB"/>
        </w:rPr>
        <w:t>rills</w:t>
      </w:r>
      <w:proofErr w:type="spellEnd"/>
      <w:r w:rsidR="00086879" w:rsidRPr="00B64995">
        <w:rPr>
          <w:rFonts w:asciiTheme="minorHAnsi" w:hAnsiTheme="minorHAnsi" w:cstheme="minorHAnsi"/>
          <w:lang w:val="en-GB"/>
        </w:rPr>
        <w:t xml:space="preserve"> were conducted in </w:t>
      </w:r>
      <w:r w:rsidR="00A86AA7" w:rsidRPr="00B64995">
        <w:rPr>
          <w:rFonts w:asciiTheme="minorHAnsi" w:hAnsiTheme="minorHAnsi" w:cstheme="minorHAnsi"/>
          <w:lang w:val="en-GB"/>
        </w:rPr>
        <w:t>2020</w:t>
      </w:r>
      <w:r w:rsidR="00095C1A" w:rsidRPr="00B64995">
        <w:rPr>
          <w:rFonts w:asciiTheme="minorHAnsi" w:hAnsiTheme="minorHAnsi" w:cstheme="minorHAnsi"/>
          <w:lang w:val="en-GB"/>
        </w:rPr>
        <w:t>.</w:t>
      </w:r>
    </w:p>
    <w:p w14:paraId="68B3CEBA" w14:textId="41261F99" w:rsidR="00951E14" w:rsidRPr="00B64995" w:rsidRDefault="286F586B" w:rsidP="5503EDA3">
      <w:pPr>
        <w:pStyle w:val="ListParagraph"/>
        <w:numPr>
          <w:ilvl w:val="0"/>
          <w:numId w:val="1"/>
        </w:numPr>
        <w:jc w:val="both"/>
        <w:rPr>
          <w:rFonts w:asciiTheme="minorHAnsi" w:eastAsiaTheme="minorEastAsia" w:hAnsiTheme="minorHAnsi" w:cstheme="minorBidi"/>
          <w:lang w:val="en-GB"/>
        </w:rPr>
      </w:pPr>
      <w:r w:rsidRPr="00B64995">
        <w:rPr>
          <w:rFonts w:cs="Calibri"/>
          <w:lang w:val="en-GB"/>
        </w:rPr>
        <w:t xml:space="preserve">ITU-T </w:t>
      </w:r>
      <w:r w:rsidR="006D38B9" w:rsidRPr="00B64995">
        <w:rPr>
          <w:rFonts w:cs="Calibri"/>
          <w:lang w:val="en-GB"/>
        </w:rPr>
        <w:t>SG 17</w:t>
      </w:r>
      <w:r w:rsidRPr="00B64995">
        <w:rPr>
          <w:rFonts w:cs="Calibri"/>
          <w:lang w:val="en-GB"/>
        </w:rPr>
        <w:t xml:space="preserve"> organized a one-day </w:t>
      </w:r>
      <w:hyperlink r:id="rId302">
        <w:r w:rsidRPr="00B64995">
          <w:rPr>
            <w:rStyle w:val="Hyperlink"/>
            <w:rFonts w:cs="Calibri"/>
            <w:lang w:val="en-GB"/>
          </w:rPr>
          <w:t>ITU Workshop on Fintech Security</w:t>
        </w:r>
      </w:hyperlink>
      <w:r w:rsidRPr="00A060FE">
        <w:rPr>
          <w:rFonts w:cs="Calibri"/>
          <w:lang w:val="en-GB"/>
        </w:rPr>
        <w:t xml:space="preserve"> (Aug 2019) which resulted </w:t>
      </w:r>
      <w:r w:rsidR="00585578" w:rsidRPr="00B64995">
        <w:rPr>
          <w:rFonts w:cs="Calibri"/>
          <w:lang w:val="en-GB"/>
        </w:rPr>
        <w:t xml:space="preserve">in </w:t>
      </w:r>
      <w:r w:rsidRPr="00B64995">
        <w:rPr>
          <w:rFonts w:cs="Calibri"/>
          <w:lang w:val="en-GB"/>
        </w:rPr>
        <w:t xml:space="preserve">the follow-up of activities in collaboration with </w:t>
      </w:r>
      <w:r w:rsidR="00951B44" w:rsidRPr="00B64995">
        <w:rPr>
          <w:rFonts w:cs="Calibri"/>
          <w:lang w:val="en-GB"/>
        </w:rPr>
        <w:t xml:space="preserve">ITU </w:t>
      </w:r>
      <w:r w:rsidR="00585578" w:rsidRPr="00B64995">
        <w:rPr>
          <w:rFonts w:cs="Calibri"/>
          <w:lang w:val="en-GB"/>
        </w:rPr>
        <w:t xml:space="preserve">focus groups </w:t>
      </w:r>
      <w:r w:rsidR="00951B44" w:rsidRPr="00B64995">
        <w:rPr>
          <w:rFonts w:cs="Calibri"/>
          <w:lang w:val="en-GB"/>
        </w:rPr>
        <w:t xml:space="preserve">(FG-DLT, FG-DFC) and </w:t>
      </w:r>
      <w:r w:rsidRPr="00B64995">
        <w:rPr>
          <w:rFonts w:cs="Calibri"/>
          <w:lang w:val="en-GB"/>
        </w:rPr>
        <w:t xml:space="preserve">other identified </w:t>
      </w:r>
      <w:r w:rsidR="00585578" w:rsidRPr="00B64995">
        <w:rPr>
          <w:rFonts w:cs="Calibri"/>
          <w:lang w:val="en-GB"/>
        </w:rPr>
        <w:t>f</w:t>
      </w:r>
      <w:r w:rsidRPr="00B64995">
        <w:rPr>
          <w:rFonts w:cs="Calibri"/>
          <w:lang w:val="en-GB"/>
        </w:rPr>
        <w:t>intech security-related SDOs, i.e. ISO TC 307</w:t>
      </w:r>
      <w:r w:rsidR="00585578" w:rsidRPr="00B64995">
        <w:rPr>
          <w:rFonts w:cs="Calibri"/>
          <w:lang w:val="en-GB"/>
        </w:rPr>
        <w:t xml:space="preserve"> and</w:t>
      </w:r>
      <w:r w:rsidRPr="00B64995">
        <w:rPr>
          <w:rFonts w:cs="Calibri"/>
          <w:lang w:val="en-GB"/>
        </w:rPr>
        <w:t xml:space="preserve"> W3C on DLT.</w:t>
      </w:r>
      <w:r w:rsidR="002B5C5A" w:rsidRPr="00B64995">
        <w:rPr>
          <w:rFonts w:cs="Calibri"/>
          <w:lang w:val="en-GB"/>
        </w:rPr>
        <w:t xml:space="preserve"> </w:t>
      </w:r>
      <w:r w:rsidR="20A2640B" w:rsidRPr="00B64995">
        <w:rPr>
          <w:rFonts w:cs="Calibri"/>
          <w:lang w:val="en-GB"/>
        </w:rPr>
        <w:t>This event</w:t>
      </w:r>
      <w:r w:rsidR="321DEADC" w:rsidRPr="00B64995">
        <w:rPr>
          <w:rFonts w:cs="Calibri"/>
          <w:lang w:val="en-GB"/>
        </w:rPr>
        <w:t xml:space="preserve"> took place together with</w:t>
      </w:r>
      <w:r w:rsidRPr="00B64995">
        <w:rPr>
          <w:rFonts w:cs="Calibri"/>
          <w:lang w:val="en-GB"/>
        </w:rPr>
        <w:t xml:space="preserve"> a </w:t>
      </w:r>
      <w:hyperlink r:id="rId303">
        <w:r w:rsidRPr="00B64995">
          <w:rPr>
            <w:rStyle w:val="Hyperlink"/>
            <w:rFonts w:cs="Calibri"/>
            <w:lang w:val="en-GB"/>
          </w:rPr>
          <w:t>Mini Workshop on Cybersecurity Challenges in Automated Driving</w:t>
        </w:r>
      </w:hyperlink>
      <w:r w:rsidRPr="00A060FE">
        <w:rPr>
          <w:rFonts w:cs="Calibri"/>
          <w:lang w:val="en-GB"/>
        </w:rPr>
        <w:t xml:space="preserve"> in cooperation with ITU CITS and UNECE WP29</w:t>
      </w:r>
      <w:r w:rsidR="00771FAB" w:rsidRPr="00B64995">
        <w:rPr>
          <w:rFonts w:cs="Calibri"/>
          <w:lang w:val="en-GB"/>
        </w:rPr>
        <w:t>.</w:t>
      </w:r>
    </w:p>
    <w:p w14:paraId="420B4B4E" w14:textId="4654D9E2" w:rsidR="003D2D66" w:rsidRPr="00B64995" w:rsidRDefault="003D2D66" w:rsidP="5503EDA3">
      <w:pPr>
        <w:pStyle w:val="ListParagraph"/>
        <w:numPr>
          <w:ilvl w:val="0"/>
          <w:numId w:val="1"/>
        </w:numPr>
        <w:jc w:val="both"/>
        <w:rPr>
          <w:rFonts w:asciiTheme="minorHAnsi" w:eastAsiaTheme="minorEastAsia" w:hAnsiTheme="minorHAnsi" w:cstheme="minorBidi"/>
          <w:lang w:val="en-GB"/>
        </w:rPr>
      </w:pPr>
      <w:r w:rsidRPr="00B64995">
        <w:rPr>
          <w:rFonts w:asciiTheme="minorHAnsi" w:hAnsiTheme="minorHAnsi" w:cstheme="minorHAnsi"/>
          <w:lang w:val="en-GB"/>
        </w:rPr>
        <w:t xml:space="preserve">To address cybersecurity challenges during the COVID-19 pandemic, </w:t>
      </w:r>
      <w:hyperlink r:id="rId304" w:history="1">
        <w:r w:rsidRPr="00B64995">
          <w:rPr>
            <w:rStyle w:val="Hyperlink"/>
            <w:rFonts w:asciiTheme="minorHAnsi" w:hAnsiTheme="minorHAnsi" w:cstheme="minorHAnsi"/>
            <w:lang w:val="en-GB"/>
          </w:rPr>
          <w:t xml:space="preserve">ITU, together with </w:t>
        </w:r>
        <w:proofErr w:type="spellStart"/>
        <w:r w:rsidRPr="00B64995">
          <w:rPr>
            <w:rStyle w:val="Hyperlink"/>
            <w:rFonts w:asciiTheme="minorHAnsi" w:hAnsiTheme="minorHAnsi" w:cstheme="minorHAnsi"/>
            <w:lang w:val="en-GB"/>
          </w:rPr>
          <w:t>BitSight</w:t>
        </w:r>
        <w:proofErr w:type="spellEnd"/>
        <w:r w:rsidRPr="00B64995">
          <w:rPr>
            <w:rStyle w:val="Hyperlink"/>
            <w:rFonts w:asciiTheme="minorHAnsi" w:hAnsiTheme="minorHAnsi" w:cstheme="minorHAnsi"/>
            <w:lang w:val="en-GB"/>
          </w:rPr>
          <w:t>, provided access</w:t>
        </w:r>
      </w:hyperlink>
      <w:r w:rsidRPr="00A060FE">
        <w:rPr>
          <w:rFonts w:asciiTheme="minorHAnsi" w:hAnsiTheme="minorHAnsi" w:cstheme="minorHAnsi"/>
          <w:lang w:val="en-GB"/>
        </w:rPr>
        <w:t xml:space="preserve"> to the </w:t>
      </w:r>
      <w:proofErr w:type="spellStart"/>
      <w:r w:rsidRPr="00A060FE">
        <w:rPr>
          <w:rFonts w:asciiTheme="minorHAnsi" w:hAnsiTheme="minorHAnsi" w:cstheme="minorHAnsi"/>
          <w:lang w:val="en-GB"/>
        </w:rPr>
        <w:t>BitSight</w:t>
      </w:r>
      <w:proofErr w:type="spellEnd"/>
      <w:r w:rsidRPr="00A060FE">
        <w:rPr>
          <w:rFonts w:asciiTheme="minorHAnsi" w:hAnsiTheme="minorHAnsi" w:cstheme="minorHAnsi"/>
          <w:lang w:val="en-GB"/>
        </w:rPr>
        <w:t xml:space="preserve"> security platform for ITU Member Stat</w:t>
      </w:r>
      <w:r w:rsidRPr="00B64995">
        <w:rPr>
          <w:rFonts w:asciiTheme="minorHAnsi" w:hAnsiTheme="minorHAnsi" w:cstheme="minorHAnsi"/>
          <w:lang w:val="en-GB"/>
        </w:rPr>
        <w:t>es. The platform enables ITU Member States to identify ongoing malicious activities against health services and other COVID-19 responding sectors.</w:t>
      </w:r>
    </w:p>
    <w:p w14:paraId="7B480F64" w14:textId="77777777" w:rsidR="002A25A3" w:rsidRPr="00B64995" w:rsidRDefault="002A25A3" w:rsidP="00614D53">
      <w:pPr>
        <w:jc w:val="both"/>
      </w:pPr>
    </w:p>
    <w:p w14:paraId="6D29A49E" w14:textId="2D126885" w:rsidR="00951E14" w:rsidRPr="00B64995" w:rsidRDefault="00951E14" w:rsidP="00614D53">
      <w:pPr>
        <w:jc w:val="both"/>
      </w:pPr>
      <w:r w:rsidRPr="00B64995">
        <w:t>As a result of th</w:t>
      </w:r>
      <w:r w:rsidR="003D2D66" w:rsidRPr="00B64995">
        <w:t>e</w:t>
      </w:r>
      <w:r w:rsidRPr="00B64995">
        <w:t>s</w:t>
      </w:r>
      <w:r w:rsidR="003D2D66" w:rsidRPr="00B64995">
        <w:t>e</w:t>
      </w:r>
      <w:r w:rsidRPr="00B64995">
        <w:t xml:space="preserve"> efforts, the third </w:t>
      </w:r>
      <w:hyperlink r:id="rId305" w:history="1">
        <w:r w:rsidRPr="00B64995">
          <w:rPr>
            <w:rStyle w:val="Hyperlink"/>
          </w:rPr>
          <w:t>ITU Global Cybersecurity Index</w:t>
        </w:r>
      </w:hyperlink>
      <w:r w:rsidRPr="00A060FE">
        <w:t xml:space="preserve"> (GCI) shows considerable improvement in commitment to cybersecurity worldwide. The fourth version of the Global Cybersecurity Index survey</w:t>
      </w:r>
      <w:r w:rsidR="00392B62" w:rsidRPr="00B64995">
        <w:t xml:space="preserve"> is </w:t>
      </w:r>
      <w:r w:rsidR="00B7425E" w:rsidRPr="00B64995">
        <w:t>in progress</w:t>
      </w:r>
      <w:r w:rsidRPr="00B64995">
        <w:t>, with an improved questionnaire and methodology (</w:t>
      </w:r>
      <w:hyperlink r:id="rId306" w:history="1">
        <w:r w:rsidRPr="00B64995">
          <w:rPr>
            <w:rStyle w:val="Hyperlink"/>
          </w:rPr>
          <w:t>Method for GCI v4</w:t>
        </w:r>
      </w:hyperlink>
      <w:r w:rsidRPr="00A060FE">
        <w:t>)</w:t>
      </w:r>
      <w:r w:rsidRPr="00B64995">
        <w:t xml:space="preserve">. </w:t>
      </w:r>
      <w:r w:rsidR="00A3112F" w:rsidRPr="00B64995">
        <w:rPr>
          <w:rFonts w:asciiTheme="minorHAnsi" w:hAnsiTheme="minorHAnsi" w:cstheme="minorHAnsi"/>
        </w:rPr>
        <w:t>The deadline for country submissions for GCI was 30 September 2020. In addition to experts from academia and the private sector, all Member States were invited to appoint experts to join and contribute to the GCI Weightage Expert Group meeting held on 15 October 2020.</w:t>
      </w:r>
    </w:p>
    <w:p w14:paraId="4BCD80FB" w14:textId="77777777" w:rsidR="002A25A3" w:rsidRPr="00B64995" w:rsidRDefault="002A25A3" w:rsidP="00614D53">
      <w:pPr>
        <w:jc w:val="both"/>
      </w:pPr>
    </w:p>
    <w:p w14:paraId="30370E84" w14:textId="364091CE" w:rsidR="12426A56" w:rsidRPr="00B64995" w:rsidRDefault="12426A56" w:rsidP="5503EDA3">
      <w:pPr>
        <w:jc w:val="both"/>
        <w:rPr>
          <w:u w:val="single"/>
        </w:rPr>
      </w:pPr>
      <w:r w:rsidRPr="00B64995">
        <w:rPr>
          <w:u w:val="single"/>
        </w:rPr>
        <w:t xml:space="preserve">International </w:t>
      </w:r>
      <w:r w:rsidR="0064759D" w:rsidRPr="00B64995">
        <w:rPr>
          <w:u w:val="single"/>
        </w:rPr>
        <w:t>c</w:t>
      </w:r>
      <w:r w:rsidRPr="00B64995">
        <w:rPr>
          <w:u w:val="single"/>
        </w:rPr>
        <w:t>ooperation</w:t>
      </w:r>
    </w:p>
    <w:p w14:paraId="0B8C9FE9" w14:textId="47125B42" w:rsidR="00951E14" w:rsidRPr="00B64995" w:rsidRDefault="00951E14" w:rsidP="00614D53">
      <w:pPr>
        <w:jc w:val="both"/>
      </w:pPr>
      <w:r w:rsidRPr="00B64995">
        <w:t xml:space="preserve">To strengthen collaboration, ITU is developing </w:t>
      </w:r>
      <w:hyperlink r:id="rId307" w:history="1">
        <w:r w:rsidRPr="00B64995">
          <w:rPr>
            <w:rStyle w:val="Hyperlink"/>
          </w:rPr>
          <w:t>partnerships</w:t>
        </w:r>
      </w:hyperlink>
      <w:r w:rsidRPr="00A060FE">
        <w:t xml:space="preserve"> </w:t>
      </w:r>
      <w:r w:rsidR="00A87E26" w:rsidRPr="00B64995">
        <w:t xml:space="preserve">on cybersecurity-related matters </w:t>
      </w:r>
      <w:r w:rsidRPr="00B64995">
        <w:t>with various regional/international organizations and initiatives</w:t>
      </w:r>
      <w:r w:rsidR="00063E40" w:rsidRPr="00B64995">
        <w:t xml:space="preserve">. </w:t>
      </w:r>
      <w:hyperlink w:anchor="Section_1_9" w:history="1">
        <w:r w:rsidR="00063E40" w:rsidRPr="00B64995">
          <w:rPr>
            <w:rStyle w:val="Hyperlink"/>
          </w:rPr>
          <w:t>Section 1.9</w:t>
        </w:r>
      </w:hyperlink>
      <w:r w:rsidR="00063E40" w:rsidRPr="00A060FE">
        <w:t xml:space="preserve"> provides deta</w:t>
      </w:r>
      <w:r w:rsidR="00063E40" w:rsidRPr="00B64995">
        <w:t xml:space="preserve">ils on </w:t>
      </w:r>
      <w:r w:rsidR="00A87E26" w:rsidRPr="00B64995">
        <w:t xml:space="preserve">ITU </w:t>
      </w:r>
      <w:r w:rsidR="00063E40" w:rsidRPr="00B64995">
        <w:t>Strategic partnerships.</w:t>
      </w:r>
    </w:p>
    <w:p w14:paraId="2643C09B" w14:textId="1040B4AE" w:rsidR="004F672F" w:rsidRPr="00B64995" w:rsidRDefault="004F672F" w:rsidP="00614D53">
      <w:pPr>
        <w:jc w:val="both"/>
      </w:pPr>
    </w:p>
    <w:p w14:paraId="795E947A" w14:textId="4FDC9979" w:rsidR="004D76A9" w:rsidRPr="00B64995" w:rsidRDefault="00490EE4" w:rsidP="00614D53">
      <w:pPr>
        <w:jc w:val="both"/>
      </w:pPr>
      <w:r w:rsidRPr="00B64995">
        <w:rPr>
          <w:rFonts w:asciiTheme="minorHAnsi" w:hAnsiTheme="minorHAnsi" w:cstheme="minorHAnsi"/>
        </w:rPr>
        <w:t xml:space="preserve">Following the instructions of the 2019 session of Council, the Secretary-General will submit for the next session of Council (1) a report explaining how the ITU is currently utilizing the </w:t>
      </w:r>
      <w:r w:rsidR="00C0682C" w:rsidRPr="00B64995">
        <w:rPr>
          <w:rFonts w:asciiTheme="minorHAnsi" w:hAnsiTheme="minorHAnsi" w:cstheme="minorHAnsi"/>
        </w:rPr>
        <w:t xml:space="preserve">Global </w:t>
      </w:r>
      <w:r w:rsidR="00C0682C" w:rsidRPr="00B64995">
        <w:rPr>
          <w:rFonts w:asciiTheme="minorHAnsi" w:hAnsiTheme="minorHAnsi" w:cstheme="minorHAnsi"/>
        </w:rPr>
        <w:lastRenderedPageBreak/>
        <w:t>Cybersecurity Agenda (</w:t>
      </w:r>
      <w:r w:rsidRPr="00B64995">
        <w:rPr>
          <w:rFonts w:asciiTheme="minorHAnsi" w:hAnsiTheme="minorHAnsi" w:cstheme="minorHAnsi"/>
        </w:rPr>
        <w:t>GCA</w:t>
      </w:r>
      <w:r w:rsidR="00C0682C" w:rsidRPr="00B64995">
        <w:rPr>
          <w:rFonts w:asciiTheme="minorHAnsi" w:hAnsiTheme="minorHAnsi" w:cstheme="minorHAnsi"/>
        </w:rPr>
        <w:t>)</w:t>
      </w:r>
      <w:r w:rsidRPr="00B64995">
        <w:rPr>
          <w:rFonts w:asciiTheme="minorHAnsi" w:hAnsiTheme="minorHAnsi" w:cstheme="minorHAnsi"/>
        </w:rPr>
        <w:t xml:space="preserve"> framework and (2) with the involvement of Member States, appropriate guidelines developed for utilization of the GCA by ITU for Council's consideration and approval. As per the process set out by Council 2019 for developing the draft </w:t>
      </w:r>
      <w:r w:rsidR="00C0682C" w:rsidRPr="00B64995">
        <w:rPr>
          <w:rFonts w:asciiTheme="minorHAnsi" w:hAnsiTheme="minorHAnsi" w:cstheme="minorHAnsi"/>
        </w:rPr>
        <w:t>g</w:t>
      </w:r>
      <w:r w:rsidRPr="00B64995">
        <w:rPr>
          <w:rFonts w:asciiTheme="minorHAnsi" w:hAnsiTheme="minorHAnsi" w:cstheme="minorHAnsi"/>
        </w:rPr>
        <w:t xml:space="preserve">uidelines, the first virtual open consultation </w:t>
      </w:r>
      <w:r w:rsidR="00C0682C" w:rsidRPr="00B64995">
        <w:rPr>
          <w:rFonts w:asciiTheme="minorHAnsi" w:hAnsiTheme="minorHAnsi" w:cstheme="minorHAnsi"/>
        </w:rPr>
        <w:t xml:space="preserve">was </w:t>
      </w:r>
      <w:r w:rsidRPr="00B64995">
        <w:rPr>
          <w:rFonts w:asciiTheme="minorHAnsi" w:hAnsiTheme="minorHAnsi" w:cstheme="minorHAnsi"/>
        </w:rPr>
        <w:t>held on 23 April 2020 for all WSIS stakeholders to provide comments on the draft Guidelines.</w:t>
      </w:r>
    </w:p>
    <w:p w14:paraId="2E0BCF18" w14:textId="77777777" w:rsidR="00FE1FBE" w:rsidRPr="00B64995" w:rsidRDefault="00FE1FBE" w:rsidP="00614D53">
      <w:pPr>
        <w:jc w:val="both"/>
      </w:pPr>
    </w:p>
    <w:p w14:paraId="2C77464B" w14:textId="291134FF" w:rsidR="00FE1FBE" w:rsidRPr="00B64995" w:rsidRDefault="00951E14" w:rsidP="00614D53">
      <w:pPr>
        <w:jc w:val="both"/>
      </w:pPr>
      <w:r w:rsidRPr="00B64995">
        <w:t xml:space="preserve">As the lead facilitator for WSIS Action Line C5, ITU organized several sessions at the </w:t>
      </w:r>
      <w:hyperlink r:id="rId308" w:history="1">
        <w:r w:rsidRPr="00B64995">
          <w:rPr>
            <w:rStyle w:val="Hyperlink"/>
          </w:rPr>
          <w:t>WSIS Forum 2019</w:t>
        </w:r>
      </w:hyperlink>
      <w:r w:rsidRPr="00A060FE">
        <w:t xml:space="preserve">, including a </w:t>
      </w:r>
      <w:r w:rsidR="00255325" w:rsidRPr="00B64995">
        <w:t>h</w:t>
      </w:r>
      <w:r w:rsidRPr="00B64995">
        <w:t xml:space="preserve">igh-level session on AI and </w:t>
      </w:r>
      <w:r w:rsidR="003C5015" w:rsidRPr="00B64995">
        <w:t>t</w:t>
      </w:r>
      <w:r w:rsidRPr="00B64995">
        <w:t xml:space="preserve">rust, as well as a session on the importance of measurement in cybersecurity. </w:t>
      </w:r>
      <w:r w:rsidR="003F44C6" w:rsidRPr="00B64995">
        <w:t xml:space="preserve">At </w:t>
      </w:r>
      <w:r w:rsidR="003F44C6" w:rsidRPr="00B64995">
        <w:rPr>
          <w:rFonts w:asciiTheme="minorHAnsi" w:hAnsiTheme="minorHAnsi" w:cstheme="minorHAnsi"/>
        </w:rPr>
        <w:t xml:space="preserve">the </w:t>
      </w:r>
      <w:hyperlink r:id="rId309" w:history="1">
        <w:r w:rsidR="003F44C6" w:rsidRPr="00B64995">
          <w:rPr>
            <w:rStyle w:val="Hyperlink"/>
            <w:rFonts w:asciiTheme="minorHAnsi" w:hAnsiTheme="minorHAnsi" w:cstheme="minorHAnsi"/>
          </w:rPr>
          <w:t>WSIS Forum 2020,</w:t>
        </w:r>
      </w:hyperlink>
      <w:r w:rsidR="003F44C6" w:rsidRPr="00A060FE">
        <w:rPr>
          <w:rFonts w:asciiTheme="minorHAnsi" w:hAnsiTheme="minorHAnsi" w:cstheme="minorHAnsi"/>
          <w:spacing w:val="-2"/>
        </w:rPr>
        <w:t xml:space="preserve"> ITU organized</w:t>
      </w:r>
      <w:r w:rsidR="002A5085" w:rsidRPr="00B64995">
        <w:rPr>
          <w:rFonts w:asciiTheme="minorHAnsi" w:hAnsiTheme="minorHAnsi" w:cstheme="minorHAnsi"/>
          <w:spacing w:val="-2"/>
        </w:rPr>
        <w:t xml:space="preserve"> </w:t>
      </w:r>
      <w:r w:rsidR="00997383" w:rsidRPr="00B64995">
        <w:rPr>
          <w:rFonts w:asciiTheme="minorHAnsi" w:hAnsiTheme="minorHAnsi" w:cstheme="minorHAnsi"/>
          <w:spacing w:val="-2"/>
        </w:rPr>
        <w:t xml:space="preserve">a number of </w:t>
      </w:r>
      <w:r w:rsidR="00D75DCA" w:rsidRPr="00B64995">
        <w:rPr>
          <w:rFonts w:asciiTheme="minorHAnsi" w:hAnsiTheme="minorHAnsi" w:cstheme="minorHAnsi"/>
          <w:spacing w:val="-2"/>
        </w:rPr>
        <w:t xml:space="preserve">sessions </w:t>
      </w:r>
      <w:r w:rsidR="003F44C6" w:rsidRPr="00B64995">
        <w:rPr>
          <w:rFonts w:asciiTheme="minorHAnsi" w:hAnsiTheme="minorHAnsi" w:cstheme="minorHAnsi"/>
          <w:spacing w:val="-2"/>
        </w:rPr>
        <w:t xml:space="preserve">including an Action Line C5 facilitator session on “Cybersecurity in the era of Quantum Information Technology (QIT): challenges and considerations for ICT networks” and a </w:t>
      </w:r>
      <w:r w:rsidR="00C0682C" w:rsidRPr="00B64995">
        <w:rPr>
          <w:rFonts w:asciiTheme="minorHAnsi" w:hAnsiTheme="minorHAnsi" w:cstheme="minorHAnsi"/>
          <w:spacing w:val="-2"/>
        </w:rPr>
        <w:t>h</w:t>
      </w:r>
      <w:r w:rsidR="003F44C6" w:rsidRPr="00B64995">
        <w:rPr>
          <w:rFonts w:asciiTheme="minorHAnsi" w:hAnsiTheme="minorHAnsi" w:cstheme="minorHAnsi"/>
          <w:spacing w:val="-2"/>
        </w:rPr>
        <w:t>igh-</w:t>
      </w:r>
      <w:r w:rsidR="00C0682C" w:rsidRPr="00B64995">
        <w:rPr>
          <w:rFonts w:asciiTheme="minorHAnsi" w:hAnsiTheme="minorHAnsi" w:cstheme="minorHAnsi"/>
          <w:spacing w:val="-2"/>
        </w:rPr>
        <w:t>l</w:t>
      </w:r>
      <w:r w:rsidR="003F44C6" w:rsidRPr="00B64995">
        <w:rPr>
          <w:rFonts w:asciiTheme="minorHAnsi" w:hAnsiTheme="minorHAnsi" w:cstheme="minorHAnsi"/>
          <w:spacing w:val="-2"/>
        </w:rPr>
        <w:t>evel dialogue on “Ensuring Trustworthy Healthcare in an AI World”</w:t>
      </w:r>
      <w:r w:rsidR="00C0682C" w:rsidRPr="00B64995">
        <w:t>.</w:t>
      </w:r>
    </w:p>
    <w:p w14:paraId="5C9B65ED" w14:textId="77777777" w:rsidR="00063E40" w:rsidRPr="00B64995" w:rsidRDefault="00063E40" w:rsidP="00614D53">
      <w:pPr>
        <w:jc w:val="both"/>
      </w:pPr>
    </w:p>
    <w:p w14:paraId="7C4F272D" w14:textId="5DCD16BD" w:rsidR="00B36DE2" w:rsidRPr="00B64995" w:rsidRDefault="00B36DE2" w:rsidP="5503EDA3">
      <w:pPr>
        <w:jc w:val="both"/>
        <w:rPr>
          <w:u w:val="single"/>
        </w:rPr>
      </w:pPr>
    </w:p>
    <w:p w14:paraId="0BD799A3" w14:textId="04A54CCF" w:rsidR="4AF4B6C8" w:rsidRPr="00B64995" w:rsidRDefault="4AF4B6C8" w:rsidP="5503EDA3">
      <w:pPr>
        <w:jc w:val="both"/>
        <w:rPr>
          <w:u w:val="single"/>
        </w:rPr>
      </w:pPr>
      <w:r w:rsidRPr="00B64995">
        <w:rPr>
          <w:u w:val="single"/>
        </w:rPr>
        <w:t xml:space="preserve">Child </w:t>
      </w:r>
      <w:r w:rsidR="0064759D" w:rsidRPr="00B64995">
        <w:rPr>
          <w:u w:val="single"/>
        </w:rPr>
        <w:t>o</w:t>
      </w:r>
      <w:r w:rsidRPr="00B64995">
        <w:rPr>
          <w:u w:val="single"/>
        </w:rPr>
        <w:t xml:space="preserve">nline </w:t>
      </w:r>
      <w:r w:rsidR="0064759D" w:rsidRPr="00B64995">
        <w:rPr>
          <w:u w:val="single"/>
        </w:rPr>
        <w:t>p</w:t>
      </w:r>
      <w:r w:rsidRPr="00B64995">
        <w:rPr>
          <w:u w:val="single"/>
        </w:rPr>
        <w:t>rotection (COP)</w:t>
      </w:r>
    </w:p>
    <w:p w14:paraId="0556AB70" w14:textId="77777777" w:rsidR="00035430" w:rsidRPr="00B64995" w:rsidRDefault="00035430" w:rsidP="00614D53">
      <w:pPr>
        <w:jc w:val="both"/>
      </w:pPr>
    </w:p>
    <w:p w14:paraId="3D030E08" w14:textId="54804F5B" w:rsidR="00951E14" w:rsidRPr="00B64995" w:rsidRDefault="00951E14" w:rsidP="00614D53">
      <w:pPr>
        <w:jc w:val="both"/>
      </w:pPr>
      <w:r w:rsidRPr="00B64995">
        <w:t>In 2019, a COP Regional Forum was held in Ghana</w:t>
      </w:r>
      <w:r w:rsidR="7A17215F" w:rsidRPr="00B64995">
        <w:t>.</w:t>
      </w:r>
      <w:r w:rsidRPr="00B64995">
        <w:t xml:space="preserve"> In the Asia-Pacific region, assistance was provided for the development of the ASEAN Regional Framework, build upon the COP Guidelines, and in coordination with other partners, including TELSOM/TELMIN. Other activities took place in Europe, as part of the regional initiative on enhancing trust and confidence in the use of ICTs.</w:t>
      </w:r>
    </w:p>
    <w:p w14:paraId="36132B3F" w14:textId="77777777" w:rsidR="00FE1FBE" w:rsidRPr="00B64995" w:rsidRDefault="00FE1FBE" w:rsidP="00614D53">
      <w:pPr>
        <w:jc w:val="both"/>
      </w:pPr>
    </w:p>
    <w:p w14:paraId="2E783DB4" w14:textId="69187FC0" w:rsidR="0012722A" w:rsidRPr="00B64995" w:rsidRDefault="4C8D7C62" w:rsidP="0012722A">
      <w:pPr>
        <w:jc w:val="both"/>
      </w:pPr>
      <w:r w:rsidRPr="00B64995">
        <w:t>In October 2019, t</w:t>
      </w:r>
      <w:r w:rsidR="286F586B" w:rsidRPr="00B64995">
        <w:t xml:space="preserve">he Broadband Commission for Sustainable Development, </w:t>
      </w:r>
      <w:r w:rsidR="07BEC3FE" w:rsidRPr="00B64995">
        <w:t xml:space="preserve">co-chaired by ITU, </w:t>
      </w:r>
      <w:r w:rsidR="286F586B" w:rsidRPr="00B64995">
        <w:t xml:space="preserve">released </w:t>
      </w:r>
      <w:r w:rsidR="608BB92E" w:rsidRPr="00B64995">
        <w:t>a</w:t>
      </w:r>
      <w:r w:rsidR="286F586B" w:rsidRPr="00B64995">
        <w:t xml:space="preserve"> comprehensive </w:t>
      </w:r>
      <w:hyperlink r:id="rId310">
        <w:r w:rsidR="286F586B" w:rsidRPr="00B64995">
          <w:rPr>
            <w:rStyle w:val="Hyperlink"/>
          </w:rPr>
          <w:t>report</w:t>
        </w:r>
      </w:hyperlink>
      <w:r w:rsidR="286F586B" w:rsidRPr="00A060FE">
        <w:t xml:space="preserve"> </w:t>
      </w:r>
      <w:r w:rsidR="007E7F4B" w:rsidRPr="00B64995">
        <w:t xml:space="preserve">on </w:t>
      </w:r>
      <w:r w:rsidR="13B38096" w:rsidRPr="00B64995">
        <w:t xml:space="preserve">"Child Online Safety: Minimizing the Risk of Violence, Abuse and Exploitation Online" </w:t>
      </w:r>
      <w:r w:rsidR="172074AE" w:rsidRPr="00B64995">
        <w:t xml:space="preserve">issued by the Working Group on Child Online Safety </w:t>
      </w:r>
      <w:r w:rsidR="00A33D51" w:rsidRPr="00B64995">
        <w:t xml:space="preserve">in </w:t>
      </w:r>
      <w:r w:rsidR="286F586B" w:rsidRPr="00B64995">
        <w:t>Oct</w:t>
      </w:r>
      <w:r w:rsidR="00643F13" w:rsidRPr="00B64995">
        <w:t>ober</w:t>
      </w:r>
      <w:r w:rsidR="286F586B" w:rsidRPr="00B64995">
        <w:t xml:space="preserve"> 2019. The COP Guidelines were included as a reference and taken as the basis to implement the recommendations of the report.</w:t>
      </w:r>
    </w:p>
    <w:p w14:paraId="2CC3605D" w14:textId="77777777" w:rsidR="00035430" w:rsidRPr="00B64995" w:rsidRDefault="00035430" w:rsidP="0012722A">
      <w:pPr>
        <w:jc w:val="both"/>
      </w:pPr>
    </w:p>
    <w:p w14:paraId="251808EC" w14:textId="407FAD77" w:rsidR="00DC7D7B" w:rsidRPr="00B64995" w:rsidRDefault="00F73BAA" w:rsidP="00A90DE8">
      <w:pPr>
        <w:spacing w:after="160" w:line="259" w:lineRule="auto"/>
        <w:jc w:val="both"/>
        <w:rPr>
          <w:rFonts w:eastAsia="Calibri" w:cs="Times New Roman"/>
        </w:rPr>
      </w:pPr>
      <w:r w:rsidRPr="00B64995">
        <w:rPr>
          <w:rFonts w:eastAsia="Calibri" w:cs="Times New Roman"/>
        </w:rPr>
        <w:t xml:space="preserve">In June 2020 ITU released several sets of </w:t>
      </w:r>
      <w:r w:rsidR="00DC7D7B" w:rsidRPr="00B64995">
        <w:rPr>
          <w:rFonts w:eastAsia="Calibri" w:cs="Times New Roman"/>
        </w:rPr>
        <w:t>Child Online Protection (COP) Guidelines</w:t>
      </w:r>
      <w:r w:rsidR="007E7F4B" w:rsidRPr="00B64995">
        <w:rPr>
          <w:rFonts w:eastAsia="Calibri" w:cs="Times New Roman"/>
        </w:rPr>
        <w:t xml:space="preserve"> intended</w:t>
      </w:r>
      <w:r w:rsidR="00DC7D7B" w:rsidRPr="00B64995">
        <w:rPr>
          <w:rFonts w:eastAsia="Calibri" w:cs="Times New Roman"/>
        </w:rPr>
        <w:t xml:space="preserve"> for </w:t>
      </w:r>
      <w:proofErr w:type="gramStart"/>
      <w:r w:rsidR="00F2405D" w:rsidRPr="00B64995">
        <w:rPr>
          <w:rFonts w:eastAsia="Calibri" w:cs="Times New Roman"/>
        </w:rPr>
        <w:t>policy-makers</w:t>
      </w:r>
      <w:proofErr w:type="gramEnd"/>
      <w:r w:rsidR="00DC7D7B" w:rsidRPr="00B64995">
        <w:rPr>
          <w:rFonts w:eastAsia="Calibri" w:cs="Times New Roman"/>
        </w:rPr>
        <w:t>, industry, parents and educators and children of different age groups</w:t>
      </w:r>
      <w:r w:rsidRPr="00B64995">
        <w:rPr>
          <w:rFonts w:eastAsia="Calibri" w:cs="Times New Roman"/>
        </w:rPr>
        <w:t xml:space="preserve">. The release was </w:t>
      </w:r>
      <w:r w:rsidR="007E7F4B" w:rsidRPr="00B64995">
        <w:rPr>
          <w:rFonts w:eastAsia="Calibri" w:cs="Times New Roman"/>
        </w:rPr>
        <w:t xml:space="preserve">accompanied by </w:t>
      </w:r>
      <w:r w:rsidR="00E97E19" w:rsidRPr="00B64995">
        <w:rPr>
          <w:rFonts w:eastAsia="Calibri" w:cs="Times New Roman"/>
        </w:rPr>
        <w:t>regional launches</w:t>
      </w:r>
      <w:r w:rsidR="007E7F4B" w:rsidRPr="00B64995">
        <w:rPr>
          <w:rFonts w:eastAsia="Calibri" w:cs="Times New Roman"/>
        </w:rPr>
        <w:t xml:space="preserve">. The Guidelines </w:t>
      </w:r>
      <w:r w:rsidRPr="00B64995">
        <w:rPr>
          <w:rFonts w:eastAsia="Calibri" w:cs="Times New Roman"/>
        </w:rPr>
        <w:t>a</w:t>
      </w:r>
      <w:r w:rsidR="007E7F4B" w:rsidRPr="00B64995">
        <w:rPr>
          <w:rFonts w:eastAsia="Calibri" w:cs="Times New Roman"/>
        </w:rPr>
        <w:t xml:space="preserve">re the outcome of </w:t>
      </w:r>
      <w:r w:rsidR="00DC7D7B" w:rsidRPr="00B64995">
        <w:rPr>
          <w:rFonts w:eastAsia="Calibri" w:cs="Times New Roman"/>
        </w:rPr>
        <w:t xml:space="preserve">a comprehensive revision process </w:t>
      </w:r>
      <w:r w:rsidR="007E7F4B" w:rsidRPr="00B64995">
        <w:rPr>
          <w:rFonts w:eastAsia="Calibri" w:cs="Times New Roman"/>
        </w:rPr>
        <w:t xml:space="preserve">involving </w:t>
      </w:r>
      <w:r w:rsidR="00DC7D7B" w:rsidRPr="00B64995">
        <w:rPr>
          <w:rFonts w:eastAsia="Calibri" w:cs="Times New Roman"/>
        </w:rPr>
        <w:t xml:space="preserve">more </w:t>
      </w:r>
      <w:r w:rsidR="00DC7D7B" w:rsidRPr="00570F0C">
        <w:rPr>
          <w:rFonts w:eastAsia="Calibri" w:cs="Times New Roman"/>
        </w:rPr>
        <w:t xml:space="preserve">than 50 organizations from different sectors </w:t>
      </w:r>
      <w:r w:rsidR="007E7F4B" w:rsidRPr="00570F0C">
        <w:rPr>
          <w:rFonts w:eastAsia="Calibri" w:cs="Times New Roman"/>
        </w:rPr>
        <w:t xml:space="preserve">having </w:t>
      </w:r>
      <w:r w:rsidR="00DC7D7B" w:rsidRPr="00570F0C">
        <w:rPr>
          <w:rFonts w:eastAsia="Calibri" w:cs="Times New Roman"/>
        </w:rPr>
        <w:t>expert</w:t>
      </w:r>
      <w:r w:rsidR="007E7F4B" w:rsidRPr="00570F0C">
        <w:rPr>
          <w:rFonts w:eastAsia="Calibri" w:cs="Times New Roman"/>
        </w:rPr>
        <w:t>ise</w:t>
      </w:r>
      <w:r w:rsidR="00DC7D7B" w:rsidRPr="00570F0C">
        <w:rPr>
          <w:rFonts w:eastAsia="Calibri" w:cs="Times New Roman"/>
        </w:rPr>
        <w:t xml:space="preserve"> in the field of ICTs and </w:t>
      </w:r>
      <w:r w:rsidR="007E7F4B" w:rsidRPr="00570F0C">
        <w:rPr>
          <w:rFonts w:eastAsia="Calibri" w:cs="Times New Roman"/>
        </w:rPr>
        <w:t>c</w:t>
      </w:r>
      <w:r w:rsidR="00DC7D7B" w:rsidRPr="00570F0C">
        <w:rPr>
          <w:rFonts w:eastAsia="Calibri" w:cs="Times New Roman"/>
        </w:rPr>
        <w:t>hild</w:t>
      </w:r>
      <w:r w:rsidR="007E7F4B" w:rsidRPr="00570F0C">
        <w:rPr>
          <w:rFonts w:eastAsia="Calibri" w:cs="Times New Roman"/>
        </w:rPr>
        <w:t>ren’s</w:t>
      </w:r>
      <w:r w:rsidR="00DC7D7B" w:rsidRPr="00570F0C">
        <w:rPr>
          <w:rFonts w:eastAsia="Calibri" w:cs="Times New Roman"/>
        </w:rPr>
        <w:t xml:space="preserve"> </w:t>
      </w:r>
      <w:r w:rsidR="007E7F4B" w:rsidRPr="00570F0C">
        <w:rPr>
          <w:rFonts w:eastAsia="Calibri" w:cs="Times New Roman"/>
        </w:rPr>
        <w:t>r</w:t>
      </w:r>
      <w:r w:rsidR="00DC7D7B" w:rsidRPr="00570F0C">
        <w:rPr>
          <w:rFonts w:eastAsia="Calibri" w:cs="Times New Roman"/>
        </w:rPr>
        <w:t>ights</w:t>
      </w:r>
      <w:r w:rsidR="00581DB3" w:rsidRPr="00570F0C">
        <w:rPr>
          <w:rFonts w:eastAsia="Calibri" w:cs="Times New Roman"/>
        </w:rPr>
        <w:t xml:space="preserve"> </w:t>
      </w:r>
      <w:r w:rsidR="00581DB3" w:rsidRPr="00570F0C">
        <w:rPr>
          <w:rFonts w:eastAsia="Calibri" w:cs="Times New Roman"/>
        </w:rPr>
        <w:t>(</w:t>
      </w:r>
      <w:proofErr w:type="gramStart"/>
      <w:r w:rsidR="00581DB3" w:rsidRPr="00570F0C">
        <w:rPr>
          <w:rFonts w:eastAsia="Calibri" w:cs="Times New Roman"/>
        </w:rPr>
        <w:t>e.g.</w:t>
      </w:r>
      <w:proofErr w:type="gramEnd"/>
      <w:r w:rsidR="00581DB3" w:rsidRPr="00570F0C">
        <w:rPr>
          <w:rFonts w:eastAsia="Calibri" w:cs="Times New Roman"/>
        </w:rPr>
        <w:t xml:space="preserve"> </w:t>
      </w:r>
      <w:r w:rsidR="00581DB3" w:rsidRPr="00570F0C">
        <w:rPr>
          <w:rFonts w:cstheme="minorBidi"/>
        </w:rPr>
        <w:t xml:space="preserve">the </w:t>
      </w:r>
      <w:r w:rsidR="00581DB3" w:rsidRPr="00570F0C">
        <w:t xml:space="preserve">Global Partnership to End Violence Against Children, UNESCO, UNICEF, UNODC, the </w:t>
      </w:r>
      <w:proofErr w:type="spellStart"/>
      <w:r w:rsidR="00581DB3" w:rsidRPr="00570F0C">
        <w:t>WePROTECT</w:t>
      </w:r>
      <w:proofErr w:type="spellEnd"/>
      <w:r w:rsidR="00581DB3" w:rsidRPr="00570F0C">
        <w:t xml:space="preserve"> Global Alliance, WHO, the World Childhood Foundation USA, and the ITU</w:t>
      </w:r>
      <w:r w:rsidR="00581DB3" w:rsidRPr="00570F0C">
        <w:t>)</w:t>
      </w:r>
      <w:r w:rsidR="00DC7D7B" w:rsidRPr="00570F0C">
        <w:rPr>
          <w:rFonts w:eastAsia="Calibri" w:cs="Times New Roman"/>
        </w:rPr>
        <w:t xml:space="preserve">. </w:t>
      </w:r>
      <w:r w:rsidRPr="00570F0C">
        <w:rPr>
          <w:rFonts w:eastAsia="Calibri" w:cs="Times New Roman"/>
        </w:rPr>
        <w:t xml:space="preserve">They </w:t>
      </w:r>
      <w:r w:rsidR="00DC7D7B" w:rsidRPr="00570F0C">
        <w:rPr>
          <w:rFonts w:eastAsia="Calibri" w:cs="Times New Roman"/>
        </w:rPr>
        <w:t>include advice</w:t>
      </w:r>
      <w:r w:rsidR="00DC7D7B" w:rsidRPr="00B64995">
        <w:rPr>
          <w:rFonts w:eastAsia="Calibri" w:cs="Times New Roman"/>
        </w:rPr>
        <w:t xml:space="preserve"> </w:t>
      </w:r>
      <w:r w:rsidR="007E7F4B" w:rsidRPr="00B64995">
        <w:rPr>
          <w:rFonts w:eastAsia="Calibri" w:cs="Times New Roman"/>
        </w:rPr>
        <w:t xml:space="preserve">not only </w:t>
      </w:r>
      <w:r w:rsidR="00DC7D7B" w:rsidRPr="00B64995">
        <w:rPr>
          <w:rFonts w:eastAsia="Calibri" w:cs="Times New Roman"/>
        </w:rPr>
        <w:t xml:space="preserve">on online safety but also on how to empower and engage with children and young people </w:t>
      </w:r>
      <w:r w:rsidR="007E7F4B" w:rsidRPr="00B64995">
        <w:rPr>
          <w:rFonts w:eastAsia="Calibri" w:cs="Times New Roman"/>
        </w:rPr>
        <w:t>in this domain</w:t>
      </w:r>
      <w:r w:rsidR="00DC7D7B" w:rsidRPr="00B64995">
        <w:rPr>
          <w:rFonts w:eastAsia="Calibri" w:cs="Times New Roman"/>
        </w:rPr>
        <w:t>. From 2021 onwards, the COP Guidelines will be implemented at the national level.</w:t>
      </w:r>
    </w:p>
    <w:p w14:paraId="34457F81" w14:textId="3166C66F" w:rsidR="00E34758" w:rsidRPr="00A060FE" w:rsidRDefault="10BB66A4" w:rsidP="22948D6E">
      <w:pPr>
        <w:spacing w:after="120"/>
        <w:jc w:val="both"/>
        <w:rPr>
          <w:rFonts w:cstheme="minorBidi"/>
        </w:rPr>
      </w:pPr>
      <w:r w:rsidRPr="00B64995">
        <w:rPr>
          <w:rFonts w:cstheme="minorBidi"/>
        </w:rPr>
        <w:t xml:space="preserve">During the COVID-19 pandemic, </w:t>
      </w:r>
      <w:r w:rsidR="007E7F4B" w:rsidRPr="00B64995">
        <w:rPr>
          <w:rFonts w:cstheme="minorBidi"/>
        </w:rPr>
        <w:t xml:space="preserve">the need to ensure </w:t>
      </w:r>
      <w:r w:rsidR="00E34758" w:rsidRPr="00B64995">
        <w:rPr>
          <w:rFonts w:cstheme="minorBidi"/>
        </w:rPr>
        <w:t>children’s online safety has become more pressing than ever before. ITU has issued </w:t>
      </w:r>
      <w:hyperlink r:id="rId311" w:history="1">
        <w:r w:rsidR="00E34758" w:rsidRPr="00B64995">
          <w:rPr>
            <w:rStyle w:val="Hyperlink"/>
            <w:rFonts w:cstheme="minorBidi"/>
            <w:i/>
            <w:iCs/>
          </w:rPr>
          <w:t>Guidelines for Parents, Carers, Guardians, and Educators for Child Online Protection</w:t>
        </w:r>
      </w:hyperlink>
      <w:r w:rsidR="00E34758" w:rsidRPr="00A060FE">
        <w:rPr>
          <w:rFonts w:cstheme="minorBidi"/>
        </w:rPr>
        <w:t xml:space="preserve"> to help minimize online risks. Together with a range of partners</w:t>
      </w:r>
      <w:r w:rsidR="00F73BAA" w:rsidRPr="00B64995">
        <w:rPr>
          <w:rFonts w:cstheme="minorBidi"/>
        </w:rPr>
        <w:t xml:space="preserve"> including</w:t>
      </w:r>
      <w:r w:rsidR="00E34758" w:rsidRPr="00B64995">
        <w:rPr>
          <w:rFonts w:cstheme="minorBidi"/>
        </w:rPr>
        <w:t xml:space="preserve"> the </w:t>
      </w:r>
      <w:r w:rsidR="00E34758" w:rsidRPr="00B64995">
        <w:t xml:space="preserve">Global Partnership to End Violence Against Children, UNESCO, UNICEF, UNODC, the </w:t>
      </w:r>
      <w:proofErr w:type="spellStart"/>
      <w:r w:rsidR="00E34758" w:rsidRPr="00B64995">
        <w:t>WePROTECT</w:t>
      </w:r>
      <w:proofErr w:type="spellEnd"/>
      <w:r w:rsidR="00E34758" w:rsidRPr="00B64995">
        <w:t xml:space="preserve"> Global Alliance</w:t>
      </w:r>
      <w:r w:rsidR="00F73BAA" w:rsidRPr="00B64995">
        <w:t>,</w:t>
      </w:r>
      <w:r w:rsidR="00E34758" w:rsidRPr="00B64995">
        <w:t xml:space="preserve"> WHO </w:t>
      </w:r>
      <w:r w:rsidR="00F73BAA" w:rsidRPr="00B64995">
        <w:t xml:space="preserve">and </w:t>
      </w:r>
      <w:r w:rsidR="00E34758" w:rsidRPr="00B64995">
        <w:t xml:space="preserve">the World Childhood Foundation USA, ITU has released a </w:t>
      </w:r>
      <w:hyperlink r:id="rId312" w:history="1">
        <w:r w:rsidR="00E34758" w:rsidRPr="00B64995">
          <w:rPr>
            <w:rStyle w:val="Hyperlink"/>
          </w:rPr>
          <w:t>technical note</w:t>
        </w:r>
      </w:hyperlink>
      <w:r w:rsidR="00E34758" w:rsidRPr="00A060FE">
        <w:t xml:space="preserve"> to help governments, ICT companies, educators and parents protect children </w:t>
      </w:r>
      <w:r w:rsidR="00F73BAA" w:rsidRPr="00B64995">
        <w:t xml:space="preserve">during </w:t>
      </w:r>
      <w:r w:rsidR="00E34758" w:rsidRPr="00B64995">
        <w:t xml:space="preserve">lockdown. ITU has also supported the </w:t>
      </w:r>
      <w:proofErr w:type="spellStart"/>
      <w:r w:rsidR="00F73BAA" w:rsidRPr="00B64995">
        <w:t>eSafety</w:t>
      </w:r>
      <w:proofErr w:type="spellEnd"/>
      <w:r w:rsidR="00F73BAA" w:rsidRPr="00B64995">
        <w:t xml:space="preserve"> Commissioner </w:t>
      </w:r>
      <w:r w:rsidR="00E34758" w:rsidRPr="00B64995">
        <w:t>of Australia to promote the</w:t>
      </w:r>
      <w:r w:rsidR="00A76215" w:rsidRPr="00B64995">
        <w:t xml:space="preserve"> international booklet</w:t>
      </w:r>
      <w:r w:rsidR="00E34758" w:rsidRPr="00B64995">
        <w:t xml:space="preserve"> </w:t>
      </w:r>
      <w:hyperlink r:id="rId313" w:history="1">
        <w:r w:rsidR="00F73BAA" w:rsidRPr="00B64995">
          <w:rPr>
            <w:rStyle w:val="Hyperlink"/>
          </w:rPr>
          <w:t>”</w:t>
        </w:r>
        <w:r w:rsidR="00A76215" w:rsidRPr="00B64995">
          <w:rPr>
            <w:rStyle w:val="Hyperlink"/>
          </w:rPr>
          <w:t>COVID-19 Global Online Safety Advice for Parents and Carers</w:t>
        </w:r>
      </w:hyperlink>
      <w:r w:rsidR="00F73BAA" w:rsidRPr="00A060FE">
        <w:rPr>
          <w:rStyle w:val="Hyperlink"/>
        </w:rPr>
        <w:t>”</w:t>
      </w:r>
      <w:r w:rsidR="00E34758" w:rsidRPr="00B64995">
        <w:t>.</w:t>
      </w:r>
    </w:p>
    <w:p w14:paraId="3D9775EC" w14:textId="77777777" w:rsidR="00517F37" w:rsidRPr="00B64995" w:rsidRDefault="00517F37" w:rsidP="0012722A">
      <w:pPr>
        <w:jc w:val="both"/>
      </w:pPr>
    </w:p>
    <w:p w14:paraId="6E1831B3" w14:textId="3D80CD82" w:rsidR="00E417F0" w:rsidRPr="00B64995" w:rsidRDefault="043858BF" w:rsidP="00392B62">
      <w:pPr>
        <w:jc w:val="both"/>
        <w:textAlignment w:val="baseline"/>
        <w:rPr>
          <w:lang w:eastAsia="en-GB"/>
        </w:rPr>
      </w:pPr>
      <w:r w:rsidRPr="00B64995">
        <w:rPr>
          <w:lang w:eastAsia="en-GB"/>
        </w:rPr>
        <w:t>F</w:t>
      </w:r>
      <w:r w:rsidR="00063E40" w:rsidRPr="00B64995">
        <w:rPr>
          <w:lang w:eastAsia="en-GB"/>
        </w:rPr>
        <w:t>urther</w:t>
      </w:r>
      <w:r w:rsidRPr="00B64995">
        <w:rPr>
          <w:lang w:eastAsia="en-GB"/>
        </w:rPr>
        <w:t xml:space="preserve"> </w:t>
      </w:r>
      <w:r w:rsidR="10B2B4DD" w:rsidRPr="00B64995">
        <w:rPr>
          <w:lang w:eastAsia="en-GB"/>
        </w:rPr>
        <w:t>detail</w:t>
      </w:r>
      <w:r w:rsidR="00063E40" w:rsidRPr="00B64995">
        <w:rPr>
          <w:lang w:eastAsia="en-GB"/>
        </w:rPr>
        <w:t xml:space="preserve">s </w:t>
      </w:r>
      <w:r w:rsidR="5AAA7D90" w:rsidRPr="00B64995">
        <w:rPr>
          <w:lang w:eastAsia="en-GB"/>
        </w:rPr>
        <w:t xml:space="preserve">on ITU’s activities related to </w:t>
      </w:r>
      <w:r w:rsidR="00A76215" w:rsidRPr="00B64995">
        <w:rPr>
          <w:lang w:eastAsia="en-GB"/>
        </w:rPr>
        <w:t>c</w:t>
      </w:r>
      <w:r w:rsidR="5AAA7D90" w:rsidRPr="00B64995">
        <w:rPr>
          <w:lang w:eastAsia="en-GB"/>
        </w:rPr>
        <w:t xml:space="preserve">ybersecurity </w:t>
      </w:r>
      <w:r w:rsidR="00063E40" w:rsidRPr="00B64995">
        <w:rPr>
          <w:lang w:eastAsia="en-GB"/>
        </w:rPr>
        <w:t>are</w:t>
      </w:r>
      <w:r w:rsidR="10B2B4DD" w:rsidRPr="00B64995">
        <w:rPr>
          <w:lang w:eastAsia="en-GB"/>
        </w:rPr>
        <w:t xml:space="preserve"> available in </w:t>
      </w:r>
      <w:r w:rsidRPr="00B64995">
        <w:rPr>
          <w:lang w:eastAsia="en-GB"/>
        </w:rPr>
        <w:t>document</w:t>
      </w:r>
      <w:r w:rsidR="00A76215" w:rsidRPr="00B64995">
        <w:rPr>
          <w:lang w:eastAsia="en-GB"/>
        </w:rPr>
        <w:t>s</w:t>
      </w:r>
      <w:r w:rsidRPr="00B64995">
        <w:rPr>
          <w:lang w:eastAsia="en-GB"/>
        </w:rPr>
        <w:t xml:space="preserve"> </w:t>
      </w:r>
      <w:hyperlink r:id="rId314" w:history="1">
        <w:r w:rsidRPr="00B64995">
          <w:rPr>
            <w:rStyle w:val="Hyperlink"/>
            <w:lang w:eastAsia="en-GB"/>
          </w:rPr>
          <w:t>C20/</w:t>
        </w:r>
        <w:r w:rsidR="00916E75" w:rsidRPr="00B64995">
          <w:rPr>
            <w:rStyle w:val="Hyperlink"/>
            <w:lang w:eastAsia="en-GB"/>
          </w:rPr>
          <w:t>18</w:t>
        </w:r>
      </w:hyperlink>
      <w:r w:rsidR="00E33FE3" w:rsidRPr="00B64995">
        <w:rPr>
          <w:lang w:eastAsia="en-GB"/>
        </w:rPr>
        <w:t xml:space="preserve"> and </w:t>
      </w:r>
      <w:hyperlink r:id="rId315" w:history="1">
        <w:r w:rsidR="00E33FE3" w:rsidRPr="00B64995">
          <w:rPr>
            <w:rStyle w:val="Hyperlink"/>
            <w:lang w:eastAsia="en-GB"/>
          </w:rPr>
          <w:t>C21/</w:t>
        </w:r>
        <w:r w:rsidR="00065E84" w:rsidRPr="00B64995">
          <w:rPr>
            <w:rStyle w:val="Hyperlink"/>
            <w:lang w:eastAsia="en-GB"/>
          </w:rPr>
          <w:t>18</w:t>
        </w:r>
      </w:hyperlink>
      <w:r w:rsidR="00E33FE3" w:rsidRPr="00B64995">
        <w:rPr>
          <w:lang w:eastAsia="en-GB"/>
        </w:rPr>
        <w:t>.</w:t>
      </w:r>
    </w:p>
    <w:p w14:paraId="3A226E83" w14:textId="77777777" w:rsidR="00165F18" w:rsidRPr="00B64995" w:rsidRDefault="00165F18" w:rsidP="00614D53">
      <w:pPr>
        <w:textAlignment w:val="baseline"/>
        <w:rPr>
          <w:lang w:eastAsia="en-GB"/>
        </w:rPr>
      </w:pPr>
    </w:p>
    <w:p w14:paraId="658ED095" w14:textId="1158BAE3" w:rsidR="00951E14" w:rsidRPr="00B64995" w:rsidRDefault="00026FC6" w:rsidP="00026FC6">
      <w:pPr>
        <w:pStyle w:val="Heading2"/>
        <w:rPr>
          <w:lang w:eastAsia="en-GB"/>
        </w:rPr>
      </w:pPr>
      <w:bookmarkStart w:id="60" w:name="_Toc37860461"/>
      <w:bookmarkStart w:id="61" w:name="_Toc37861222"/>
      <w:bookmarkStart w:id="62" w:name="_Toc37943345"/>
      <w:bookmarkStart w:id="63" w:name="_Toc68811411"/>
      <w:bookmarkStart w:id="64" w:name="Section_1_7"/>
      <w:r w:rsidRPr="00B64995">
        <w:rPr>
          <w:lang w:eastAsia="en-GB"/>
        </w:rPr>
        <w:t>1.7</w:t>
      </w:r>
      <w:r w:rsidRPr="00B64995">
        <w:rPr>
          <w:lang w:eastAsia="en-GB"/>
        </w:rPr>
        <w:tab/>
      </w:r>
      <w:r w:rsidR="00951E14" w:rsidRPr="00B64995">
        <w:rPr>
          <w:lang w:eastAsia="en-GB"/>
        </w:rPr>
        <w:t xml:space="preserve">Digital </w:t>
      </w:r>
      <w:r w:rsidR="009C3774" w:rsidRPr="00B64995">
        <w:rPr>
          <w:lang w:eastAsia="en-GB"/>
        </w:rPr>
        <w:t>i</w:t>
      </w:r>
      <w:r w:rsidR="7338E58A" w:rsidRPr="00B64995">
        <w:rPr>
          <w:lang w:eastAsia="en-GB"/>
        </w:rPr>
        <w:t>nclusion</w:t>
      </w:r>
      <w:bookmarkEnd w:id="60"/>
      <w:bookmarkEnd w:id="61"/>
      <w:bookmarkEnd w:id="62"/>
      <w:bookmarkEnd w:id="63"/>
    </w:p>
    <w:bookmarkEnd w:id="64"/>
    <w:p w14:paraId="64BF7FDB" w14:textId="77777777" w:rsidR="00977A31" w:rsidRPr="00B64995" w:rsidRDefault="00977A31" w:rsidP="00977A31">
      <w:pPr>
        <w:jc w:val="both"/>
      </w:pPr>
    </w:p>
    <w:p w14:paraId="3DCD77E5" w14:textId="77777777" w:rsidR="0049723A" w:rsidRPr="00B64995" w:rsidRDefault="00951E14" w:rsidP="00614D53">
      <w:pPr>
        <w:jc w:val="both"/>
      </w:pPr>
      <w:r w:rsidRPr="00B64995">
        <w:t xml:space="preserve">As accelerators and amplifiers of change, ICTs have the potential to </w:t>
      </w:r>
      <w:proofErr w:type="gramStart"/>
      <w:r w:rsidRPr="00B64995">
        <w:t>quickly and radically improve people’s lives</w:t>
      </w:r>
      <w:proofErr w:type="gramEnd"/>
      <w:r w:rsidRPr="00B64995">
        <w:t xml:space="preserve">. They facilitate access to information and knowledge, simplify the delivery of essential </w:t>
      </w:r>
      <w:r w:rsidRPr="00B64995">
        <w:lastRenderedPageBreak/>
        <w:t>services and enable social and economic participation. ICTs, however, are not always equally accessible to everyone. Digital inclusion means ensuring all people have an equal opportunity to become empowered through ICTs and be part of digital society. To achieve this</w:t>
      </w:r>
      <w:r w:rsidR="1DCAE1B5" w:rsidRPr="00B64995">
        <w:t>,</w:t>
      </w:r>
      <w:r w:rsidRPr="00B64995">
        <w:t xml:space="preserve"> ICTs need to be accessible to all, regardless of their gender, age, </w:t>
      </w:r>
      <w:proofErr w:type="gramStart"/>
      <w:r w:rsidRPr="00B64995">
        <w:t>ability</w:t>
      </w:r>
      <w:proofErr w:type="gramEnd"/>
      <w:r w:rsidRPr="00B64995">
        <w:t xml:space="preserve"> and location.</w:t>
      </w:r>
    </w:p>
    <w:p w14:paraId="4D1E7DC3" w14:textId="7C32A413" w:rsidR="00D458E4" w:rsidRPr="00B64995" w:rsidRDefault="00D458E4" w:rsidP="00614D53">
      <w:pPr>
        <w:jc w:val="both"/>
      </w:pPr>
    </w:p>
    <w:p w14:paraId="014C6E51" w14:textId="33096EA6" w:rsidR="00951E14" w:rsidRPr="00B64995" w:rsidRDefault="00951E14" w:rsidP="00614D53">
      <w:pPr>
        <w:jc w:val="both"/>
      </w:pPr>
      <w:r w:rsidRPr="00B64995">
        <w:t xml:space="preserve">ITU has </w:t>
      </w:r>
      <w:r w:rsidR="004F3D68" w:rsidRPr="00B64995">
        <w:t xml:space="preserve">launched </w:t>
      </w:r>
      <w:r w:rsidRPr="00B64995">
        <w:t>several targeted efforts to bridge the digital divide and advance the Connect 2030 Agenda.</w:t>
      </w:r>
      <w:r w:rsidR="00D458E4" w:rsidRPr="00B64995">
        <w:t xml:space="preserve"> See actual measurement of progress towards those targets in </w:t>
      </w:r>
      <w:hyperlink w:anchor="Section_3_1_2" w:history="1">
        <w:r w:rsidR="007F05EB" w:rsidRPr="00B64995">
          <w:rPr>
            <w:rStyle w:val="Hyperlink"/>
          </w:rPr>
          <w:t>section</w:t>
        </w:r>
        <w:r w:rsidR="00D458E4" w:rsidRPr="00B64995">
          <w:rPr>
            <w:rStyle w:val="Hyperlink"/>
          </w:rPr>
          <w:t xml:space="preserve"> 3.1.2</w:t>
        </w:r>
      </w:hyperlink>
      <w:r w:rsidR="00D458E4" w:rsidRPr="00A060FE">
        <w:t xml:space="preserve">, for example target 2.8 on gender equality </w:t>
      </w:r>
      <w:proofErr w:type="gramStart"/>
      <w:r w:rsidR="00D458E4" w:rsidRPr="00A060FE">
        <w:t>on line</w:t>
      </w:r>
      <w:proofErr w:type="gramEnd"/>
      <w:r w:rsidR="00D458E4" w:rsidRPr="00A060FE">
        <w:t xml:space="preserve"> to be achieved by 2023.</w:t>
      </w:r>
    </w:p>
    <w:p w14:paraId="54E11D2A" w14:textId="77777777" w:rsidR="00951E14" w:rsidRPr="00B64995" w:rsidRDefault="00951E14" w:rsidP="00614D53">
      <w:pPr>
        <w:jc w:val="both"/>
        <w:rPr>
          <w:b/>
        </w:rPr>
      </w:pPr>
    </w:p>
    <w:p w14:paraId="3295B428" w14:textId="77777777" w:rsidR="0049723A" w:rsidRPr="00B64995" w:rsidRDefault="00951E14" w:rsidP="00A83DAA">
      <w:pPr>
        <w:pStyle w:val="Heading5"/>
      </w:pPr>
      <w:r w:rsidRPr="00B64995">
        <w:t>Gender</w:t>
      </w:r>
    </w:p>
    <w:p w14:paraId="1810EE05" w14:textId="721EE134" w:rsidR="0049723A" w:rsidRPr="00B64995" w:rsidRDefault="6CAE2B81" w:rsidP="1E3F7038">
      <w:pPr>
        <w:jc w:val="both"/>
      </w:pPr>
      <w:r w:rsidRPr="00B64995">
        <w:t xml:space="preserve">ITU is custodian of three gender-related SDG Indicators: </w:t>
      </w:r>
      <w:r w:rsidR="00F73BAA" w:rsidRPr="00B64995">
        <w:t xml:space="preserve">the </w:t>
      </w:r>
      <w:r w:rsidRPr="00B64995">
        <w:t xml:space="preserve">proportion of individuals who (1) own a mobile phone, (2) use the Internet, and (2) have ICT skills. </w:t>
      </w:r>
      <w:r w:rsidR="00F73BAA" w:rsidRPr="00B64995">
        <w:t>The l</w:t>
      </w:r>
      <w:r w:rsidRPr="00B64995">
        <w:t xml:space="preserve">atest figures as published in </w:t>
      </w:r>
      <w:hyperlink r:id="rId316" w:history="1">
        <w:r w:rsidR="00627668" w:rsidRPr="00B64995">
          <w:rPr>
            <w:rStyle w:val="Hyperlink"/>
          </w:rPr>
          <w:t>ITU’s Measuring digital development: Facts and figures 2020</w:t>
        </w:r>
      </w:hyperlink>
      <w:r w:rsidR="00C711EE" w:rsidRPr="00A060FE">
        <w:t xml:space="preserve"> </w:t>
      </w:r>
      <w:r w:rsidRPr="00B64995">
        <w:t xml:space="preserve">show the digital gender gap is growing, and </w:t>
      </w:r>
      <w:r w:rsidR="00850A56" w:rsidRPr="00B64995">
        <w:t xml:space="preserve">the report </w:t>
      </w:r>
      <w:r w:rsidRPr="00B64995">
        <w:t>calls for more effective action to address cultural, financial and skills-related barriers that impede Internet uptake, especially among women.</w:t>
      </w:r>
    </w:p>
    <w:p w14:paraId="2EF5B629" w14:textId="6B9A4333" w:rsidR="00951E14" w:rsidRPr="00B64995" w:rsidRDefault="00951E14" w:rsidP="1E3F7038">
      <w:pPr>
        <w:jc w:val="both"/>
      </w:pPr>
    </w:p>
    <w:p w14:paraId="7BF8AAEF" w14:textId="7FB6D778" w:rsidR="00951E14" w:rsidRPr="00B64995" w:rsidRDefault="40A9C33B" w:rsidP="002F0C1C">
      <w:pPr>
        <w:jc w:val="both"/>
      </w:pPr>
      <w:r w:rsidRPr="00B64995">
        <w:t xml:space="preserve">ITU’s work in addressing the digital gender divide </w:t>
      </w:r>
      <w:r w:rsidR="44D5E1F1" w:rsidRPr="00B64995">
        <w:t>include</w:t>
      </w:r>
      <w:r w:rsidR="001F6EED" w:rsidRPr="00B64995">
        <w:t>s</w:t>
      </w:r>
      <w:r w:rsidR="00951E14" w:rsidRPr="00B64995">
        <w:t xml:space="preserve"> </w:t>
      </w:r>
      <w:hyperlink r:id="rId317">
        <w:r w:rsidR="00951E14" w:rsidRPr="00B64995">
          <w:rPr>
            <w:rStyle w:val="Hyperlink"/>
          </w:rPr>
          <w:t>International Girls in ICT Day</w:t>
        </w:r>
      </w:hyperlink>
      <w:r w:rsidR="56F115E6" w:rsidRPr="00A060FE">
        <w:t>,</w:t>
      </w:r>
      <w:r w:rsidR="00951E14" w:rsidRPr="00B64995">
        <w:t xml:space="preserve"> an advocacy campaign that started in 2011 to encourage more girls and young women to take up ICT careers and studies. </w:t>
      </w:r>
      <w:r w:rsidR="2B03AAA4" w:rsidRPr="00B64995">
        <w:t>Celebrated annually on the 4</w:t>
      </w:r>
      <w:r w:rsidR="2B03AAA4" w:rsidRPr="00B64995">
        <w:rPr>
          <w:vertAlign w:val="superscript"/>
        </w:rPr>
        <w:t>th</w:t>
      </w:r>
      <w:r w:rsidR="2B03AAA4" w:rsidRPr="00B64995">
        <w:t xml:space="preserve"> Thursday of April, the day is now a </w:t>
      </w:r>
      <w:hyperlink r:id="rId318">
        <w:r w:rsidR="3B6C12B2" w:rsidRPr="00B64995">
          <w:t>UN observance</w:t>
        </w:r>
      </w:hyperlink>
      <w:r w:rsidR="3B6C12B2" w:rsidRPr="00A060FE">
        <w:t>.</w:t>
      </w:r>
      <w:r w:rsidR="2B03AAA4" w:rsidRPr="00B64995">
        <w:t xml:space="preserve"> In 2019</w:t>
      </w:r>
      <w:r w:rsidR="348C339C" w:rsidRPr="00B64995">
        <w:t>,</w:t>
      </w:r>
      <w:r w:rsidR="00951E14" w:rsidRPr="00B64995">
        <w:t xml:space="preserve"> ITU-led </w:t>
      </w:r>
      <w:r w:rsidR="4AA5B8F8" w:rsidRPr="00B64995">
        <w:t xml:space="preserve">activities </w:t>
      </w:r>
      <w:r w:rsidR="00951E14" w:rsidRPr="00B64995">
        <w:t xml:space="preserve">were taken “on the road” to Addis Ababa, Ethiopia </w:t>
      </w:r>
      <w:r w:rsidR="4C33E73A" w:rsidRPr="00B64995">
        <w:t>(</w:t>
      </w:r>
      <w:r w:rsidR="1B6CA652" w:rsidRPr="00B64995">
        <w:t xml:space="preserve">see </w:t>
      </w:r>
      <w:hyperlink r:id="rId319">
        <w:r w:rsidR="3E40D7B6" w:rsidRPr="00B64995">
          <w:rPr>
            <w:rStyle w:val="Hyperlink"/>
          </w:rPr>
          <w:t>highlights video</w:t>
        </w:r>
      </w:hyperlink>
      <w:r w:rsidR="5E13F084" w:rsidRPr="00A060FE">
        <w:t>)</w:t>
      </w:r>
      <w:r w:rsidR="0EEA4B34" w:rsidRPr="00B64995">
        <w:t>.</w:t>
      </w:r>
      <w:r w:rsidR="002B5C5A" w:rsidRPr="00B64995">
        <w:t xml:space="preserve"> </w:t>
      </w:r>
      <w:r w:rsidR="00850A56" w:rsidRPr="00B64995">
        <w:t xml:space="preserve">On 23 April </w:t>
      </w:r>
      <w:r w:rsidR="00E61CB2" w:rsidRPr="00B64995">
        <w:t xml:space="preserve">2020 </w:t>
      </w:r>
      <w:r w:rsidR="00F61FED" w:rsidRPr="00B64995">
        <w:t>ITU hosted an online dialogue</w:t>
      </w:r>
      <w:r w:rsidR="00C80003" w:rsidRPr="00B64995">
        <w:t xml:space="preserve"> </w:t>
      </w:r>
      <w:r w:rsidR="00F61FED" w:rsidRPr="00B64995">
        <w:t xml:space="preserve">on </w:t>
      </w:r>
      <w:r w:rsidR="00850A56" w:rsidRPr="00B64995">
        <w:t>the subject, “</w:t>
      </w:r>
      <w:r w:rsidR="00F61FED" w:rsidRPr="00B64995">
        <w:t>Girls in ICT: Inspiring the Next Generation</w:t>
      </w:r>
      <w:r w:rsidR="00850A56" w:rsidRPr="00B64995">
        <w:t>”</w:t>
      </w:r>
      <w:r w:rsidR="00752387" w:rsidRPr="00B64995">
        <w:t xml:space="preserve">, </w:t>
      </w:r>
      <w:r w:rsidR="00850A56" w:rsidRPr="00B64995">
        <w:t xml:space="preserve">which </w:t>
      </w:r>
      <w:r w:rsidR="00F61FED" w:rsidRPr="00B64995">
        <w:t>highlighted the importance of governments' engagement in empowering women through technology and drew attention to role models and mentors and how they can inspire girls and young women to take up careers in the tech field</w:t>
      </w:r>
      <w:r w:rsidR="005B5CE4" w:rsidRPr="00B64995">
        <w:t xml:space="preserve"> </w:t>
      </w:r>
      <w:r w:rsidR="007E54E7" w:rsidRPr="00B64995">
        <w:t xml:space="preserve">(see </w:t>
      </w:r>
      <w:hyperlink r:id="rId320" w:history="1">
        <w:r w:rsidR="007E54E7" w:rsidRPr="00B64995">
          <w:rPr>
            <w:rStyle w:val="Hyperlink"/>
          </w:rPr>
          <w:t>highlights video</w:t>
        </w:r>
      </w:hyperlink>
      <w:r w:rsidR="007E54E7" w:rsidRPr="00A060FE">
        <w:t>)</w:t>
      </w:r>
      <w:r w:rsidR="00F229AE" w:rsidRPr="00B64995">
        <w:t xml:space="preserve">. </w:t>
      </w:r>
      <w:r w:rsidR="004D7968" w:rsidRPr="00B64995">
        <w:t xml:space="preserve">For the first time, </w:t>
      </w:r>
      <w:r w:rsidR="00854D86" w:rsidRPr="00B64995">
        <w:t xml:space="preserve">Girls in ICT Day </w:t>
      </w:r>
      <w:r w:rsidR="00850A56" w:rsidRPr="00B64995">
        <w:t xml:space="preserve">was </w:t>
      </w:r>
      <w:r w:rsidR="004D7968" w:rsidRPr="00B64995">
        <w:t>a 24</w:t>
      </w:r>
      <w:r w:rsidR="00850A56" w:rsidRPr="00B64995">
        <w:t>-</w:t>
      </w:r>
      <w:r w:rsidR="004D7968" w:rsidRPr="00B64995">
        <w:t>hour virtual tour with events taking place all around the world.</w:t>
      </w:r>
      <w:r w:rsidR="00ED0D70" w:rsidRPr="00B64995">
        <w:t xml:space="preserve"> </w:t>
      </w:r>
      <w:r w:rsidR="00850A56" w:rsidRPr="00B64995">
        <w:t xml:space="preserve">By </w:t>
      </w:r>
      <w:r w:rsidR="00ED0D70" w:rsidRPr="00B64995">
        <w:t>December 2020, over 377</w:t>
      </w:r>
      <w:r w:rsidR="00A060FE">
        <w:t> </w:t>
      </w:r>
      <w:r w:rsidR="00ED0D70" w:rsidRPr="00B64995">
        <w:t xml:space="preserve">000 girls and young women </w:t>
      </w:r>
      <w:r w:rsidR="00850A56" w:rsidRPr="00B64995">
        <w:t xml:space="preserve">had </w:t>
      </w:r>
      <w:r w:rsidR="00ED0D70" w:rsidRPr="00B64995">
        <w:t>part in more than 11</w:t>
      </w:r>
      <w:r w:rsidR="005D4A07">
        <w:t> </w:t>
      </w:r>
      <w:r w:rsidR="00ED0D70" w:rsidRPr="00B64995">
        <w:t>400 celebrations of International Girls in ICT Day in 171 countries worldwide.</w:t>
      </w:r>
    </w:p>
    <w:p w14:paraId="4B85F674" w14:textId="3103538E" w:rsidR="79A23227" w:rsidRPr="00B64995" w:rsidRDefault="79A23227" w:rsidP="00614D53">
      <w:pPr>
        <w:jc w:val="both"/>
      </w:pPr>
    </w:p>
    <w:p w14:paraId="3B601AD7" w14:textId="77777777" w:rsidR="0049723A" w:rsidRPr="00B64995" w:rsidRDefault="00951E14" w:rsidP="00614D53">
      <w:pPr>
        <w:jc w:val="both"/>
      </w:pPr>
      <w:r w:rsidRPr="00B64995">
        <w:t xml:space="preserve">The </w:t>
      </w:r>
      <w:hyperlink r:id="rId321">
        <w:r w:rsidRPr="00B64995">
          <w:rPr>
            <w:rStyle w:val="Hyperlink"/>
          </w:rPr>
          <w:t>African Girls Can Code</w:t>
        </w:r>
      </w:hyperlink>
      <w:r w:rsidRPr="00A060FE">
        <w:t xml:space="preserve"> initiative (AGCCI) trains and empowers girls and young women across Africa to become computer programmers, creators and designers</w:t>
      </w:r>
      <w:r w:rsidR="46996B88" w:rsidRPr="00B64995">
        <w:t>.</w:t>
      </w:r>
      <w:r w:rsidRPr="00B64995">
        <w:t xml:space="preserve"> Stemming from its success, an </w:t>
      </w:r>
      <w:hyperlink r:id="rId322">
        <w:r w:rsidRPr="00B64995">
          <w:rPr>
            <w:rStyle w:val="Hyperlink"/>
          </w:rPr>
          <w:t>Americas Girls Can Code</w:t>
        </w:r>
      </w:hyperlink>
      <w:r w:rsidRPr="00A060FE">
        <w:t xml:space="preserve"> initiative started in 2019 and engaged 300 girls in coding through a series of workshops.</w:t>
      </w:r>
    </w:p>
    <w:bookmarkStart w:id="65" w:name="_Hlk35444268"/>
    <w:p w14:paraId="3224E2EA" w14:textId="24750185" w:rsidR="0049723A" w:rsidRPr="00B64995" w:rsidRDefault="000E4A82" w:rsidP="00614D53">
      <w:pPr>
        <w:keepNext/>
        <w:spacing w:before="240" w:after="120"/>
        <w:jc w:val="both"/>
      </w:pPr>
      <w:r w:rsidRPr="00166BCE">
        <w:fldChar w:fldCharType="begin"/>
      </w:r>
      <w:r w:rsidRPr="00B64995">
        <w:instrText xml:space="preserve"> HYPERLINK "http://equals.org/" \h </w:instrText>
      </w:r>
      <w:r w:rsidRPr="00166BCE">
        <w:fldChar w:fldCharType="separate"/>
      </w:r>
      <w:r w:rsidR="00951E14" w:rsidRPr="00B64995">
        <w:rPr>
          <w:rStyle w:val="Hyperlink"/>
        </w:rPr>
        <w:t>EQUALS: The Global Partnership to Bridge the Gender Digital Divide</w:t>
      </w:r>
      <w:r w:rsidRPr="00166BCE">
        <w:rPr>
          <w:rStyle w:val="Hyperlink"/>
        </w:rPr>
        <w:fldChar w:fldCharType="end"/>
      </w:r>
      <w:r w:rsidR="00951E14" w:rsidRPr="00A060FE">
        <w:t xml:space="preserve"> </w:t>
      </w:r>
      <w:r w:rsidR="28190CD6" w:rsidRPr="00B64995">
        <w:rPr>
          <w:rFonts w:eastAsia="Calibri"/>
        </w:rPr>
        <w:t>also works</w:t>
      </w:r>
      <w:r w:rsidR="0B37EF73" w:rsidRPr="00B64995">
        <w:rPr>
          <w:rFonts w:eastAsia="Calibri"/>
        </w:rPr>
        <w:t xml:space="preserve"> to address the digital gender divide, focusing on access, skills, </w:t>
      </w:r>
      <w:proofErr w:type="gramStart"/>
      <w:r w:rsidR="0B37EF73" w:rsidRPr="00B64995">
        <w:rPr>
          <w:rFonts w:eastAsia="Calibri"/>
        </w:rPr>
        <w:t>leadership</w:t>
      </w:r>
      <w:proofErr w:type="gramEnd"/>
      <w:r w:rsidR="0B37EF73" w:rsidRPr="00B64995">
        <w:rPr>
          <w:rFonts w:eastAsia="Calibri"/>
        </w:rPr>
        <w:t xml:space="preserve"> and research. In 2019 there was a special focus on EQUALS </w:t>
      </w:r>
      <w:r w:rsidR="00850A56" w:rsidRPr="00B64995">
        <w:rPr>
          <w:rFonts w:eastAsia="Calibri"/>
        </w:rPr>
        <w:t>e</w:t>
      </w:r>
      <w:r w:rsidR="0B37EF73" w:rsidRPr="00B64995">
        <w:rPr>
          <w:rFonts w:eastAsia="Calibri"/>
        </w:rPr>
        <w:t>ntrepreneurs at ITU Telecom World in Budapest Hungary.</w:t>
      </w:r>
      <w:r w:rsidR="17B8A526" w:rsidRPr="00B64995">
        <w:t xml:space="preserve"> </w:t>
      </w:r>
      <w:r w:rsidR="0067EA8F" w:rsidRPr="00B64995">
        <w:t xml:space="preserve">Further information on the </w:t>
      </w:r>
      <w:r w:rsidR="0609C47B" w:rsidRPr="00B64995">
        <w:t>partnership in</w:t>
      </w:r>
      <w:r w:rsidR="17B8A526" w:rsidRPr="00B64995">
        <w:t xml:space="preserve"> </w:t>
      </w:r>
      <w:r w:rsidR="17B8A526" w:rsidRPr="00B64995">
        <w:rPr>
          <w:rStyle w:val="Hyperlink"/>
        </w:rPr>
        <w:t>section 1.9</w:t>
      </w:r>
      <w:r w:rsidR="1337D3DB" w:rsidRPr="00B64995">
        <w:t>.</w:t>
      </w:r>
      <w:bookmarkEnd w:id="65"/>
    </w:p>
    <w:p w14:paraId="5B34AFD7" w14:textId="6CF955CD" w:rsidR="00951E14" w:rsidRPr="00B64995" w:rsidRDefault="438FCE36" w:rsidP="00614D53">
      <w:pPr>
        <w:keepNext/>
        <w:spacing w:before="240" w:after="120"/>
        <w:jc w:val="both"/>
        <w:rPr>
          <w:rFonts w:eastAsia="Calibri"/>
        </w:rPr>
      </w:pPr>
      <w:r w:rsidRPr="00B64995">
        <w:rPr>
          <w:rFonts w:eastAsia="Calibri"/>
        </w:rPr>
        <w:t xml:space="preserve">Encouraging and tracking gender-balanced representation and nominations of women for key roles strengthens </w:t>
      </w:r>
      <w:r w:rsidR="00B64995" w:rsidRPr="00B64995">
        <w:rPr>
          <w:rFonts w:eastAsia="Calibri"/>
        </w:rPr>
        <w:t>women’s</w:t>
      </w:r>
      <w:r w:rsidRPr="00B64995">
        <w:rPr>
          <w:rFonts w:eastAsia="Calibri"/>
        </w:rPr>
        <w:t xml:space="preserve">’ participation in ITU meetings and conferences. </w:t>
      </w:r>
      <w:r w:rsidR="00951E14" w:rsidRPr="00B64995">
        <w:t xml:space="preserve">The </w:t>
      </w:r>
      <w:hyperlink r:id="rId323">
        <w:r w:rsidR="00951E14" w:rsidRPr="00B64995">
          <w:rPr>
            <w:rStyle w:val="Hyperlink"/>
          </w:rPr>
          <w:t xml:space="preserve">Network of Women </w:t>
        </w:r>
        <w:r w:rsidR="00C6254E" w:rsidRPr="00B64995">
          <w:rPr>
            <w:rStyle w:val="Hyperlink"/>
          </w:rPr>
          <w:t>(</w:t>
        </w:r>
        <w:proofErr w:type="spellStart"/>
        <w:r w:rsidR="00C6254E" w:rsidRPr="00B64995">
          <w:rPr>
            <w:rStyle w:val="Hyperlink"/>
          </w:rPr>
          <w:t>NoW</w:t>
        </w:r>
        <w:proofErr w:type="spellEnd"/>
        <w:r w:rsidR="00C6254E" w:rsidRPr="00B64995">
          <w:rPr>
            <w:rStyle w:val="Hyperlink"/>
          </w:rPr>
          <w:t xml:space="preserve">) </w:t>
        </w:r>
        <w:r w:rsidR="00951E14" w:rsidRPr="00B64995">
          <w:rPr>
            <w:rStyle w:val="Hyperlink"/>
          </w:rPr>
          <w:t>for WRC-19</w:t>
        </w:r>
      </w:hyperlink>
      <w:r w:rsidR="00951E14" w:rsidRPr="00A060FE">
        <w:t xml:space="preserve"> (#NOW4WRC19) efforts culminated in a </w:t>
      </w:r>
      <w:hyperlink r:id="rId324">
        <w:r w:rsidR="00951E14" w:rsidRPr="00B64995">
          <w:rPr>
            <w:rStyle w:val="Hyperlink"/>
          </w:rPr>
          <w:t>Declaration on Promoting Gender Equality, Equity and Parity in the ITU Radiocommunication Sector</w:t>
        </w:r>
      </w:hyperlink>
      <w:r w:rsidR="00850A56" w:rsidRPr="00B64995">
        <w:t xml:space="preserve">, </w:t>
      </w:r>
      <w:r w:rsidR="00951E14" w:rsidRPr="00B64995">
        <w:t>adopted at WRC-19 in Sharm El-Sheikh</w:t>
      </w:r>
      <w:r w:rsidR="1E740C6F" w:rsidRPr="00B64995">
        <w:rPr>
          <w:rFonts w:eastAsia="Arial Unicode MS"/>
        </w:rPr>
        <w:t>.</w:t>
      </w:r>
      <w:r w:rsidR="00D74D9D" w:rsidRPr="00B64995">
        <w:rPr>
          <w:rFonts w:eastAsia="Arial Unicode MS"/>
        </w:rPr>
        <w:t xml:space="preserve"> </w:t>
      </w:r>
      <w:r w:rsidR="0EEA4B34" w:rsidRPr="00B64995">
        <w:rPr>
          <w:rFonts w:eastAsia="Arial Unicode MS"/>
        </w:rPr>
        <w:t xml:space="preserve">See </w:t>
      </w:r>
      <w:r w:rsidR="0EEA4B34" w:rsidRPr="00B64995">
        <w:rPr>
          <w:rStyle w:val="Hyperlink"/>
          <w:rFonts w:eastAsia="Arial Unicode MS"/>
        </w:rPr>
        <w:t>section 1.1</w:t>
      </w:r>
      <w:r w:rsidR="0EEA4B34" w:rsidRPr="00B64995">
        <w:rPr>
          <w:rFonts w:eastAsia="Arial Unicode MS"/>
        </w:rPr>
        <w:t>.</w:t>
      </w:r>
      <w:r w:rsidR="005016B6" w:rsidRPr="00B64995">
        <w:rPr>
          <w:rFonts w:eastAsia="Arial Unicode MS"/>
        </w:rPr>
        <w:t xml:space="preserve"> </w:t>
      </w:r>
      <w:r w:rsidR="005016B6" w:rsidRPr="00B64995">
        <w:rPr>
          <w:rFonts w:eastAsia="Calibri"/>
        </w:rPr>
        <w:t xml:space="preserve">In November 2020 at the </w:t>
      </w:r>
      <w:r w:rsidR="00850A56" w:rsidRPr="00B64995">
        <w:rPr>
          <w:rFonts w:eastAsia="Calibri"/>
        </w:rPr>
        <w:t>World Radiocommunication Seminar Online 2020</w:t>
      </w:r>
      <w:r w:rsidR="005016B6" w:rsidRPr="00B64995">
        <w:rPr>
          <w:rFonts w:eastAsia="Calibri"/>
        </w:rPr>
        <w:t xml:space="preserve">, ITU-R launched the </w:t>
      </w:r>
      <w:hyperlink r:id="rId325" w:history="1">
        <w:r w:rsidR="005016B6" w:rsidRPr="00B64995">
          <w:rPr>
            <w:rStyle w:val="Hyperlink"/>
            <w:rFonts w:eastAsia="Calibri"/>
          </w:rPr>
          <w:t>Network of Women for WRC-23</w:t>
        </w:r>
      </w:hyperlink>
      <w:r w:rsidR="00850A56" w:rsidRPr="00B64995">
        <w:rPr>
          <w:rFonts w:eastAsia="Calibri"/>
        </w:rPr>
        <w:t xml:space="preserve">, </w:t>
      </w:r>
      <w:r w:rsidR="005016B6" w:rsidRPr="00B64995">
        <w:rPr>
          <w:rFonts w:eastAsia="Calibri"/>
        </w:rPr>
        <w:t>aim</w:t>
      </w:r>
      <w:r w:rsidR="00850A56" w:rsidRPr="00B64995">
        <w:rPr>
          <w:rFonts w:eastAsia="Calibri"/>
        </w:rPr>
        <w:t>ing</w:t>
      </w:r>
      <w:r w:rsidR="005016B6" w:rsidRPr="00B64995">
        <w:rPr>
          <w:rFonts w:eastAsia="Calibri"/>
        </w:rPr>
        <w:t xml:space="preserve"> at promoting gender equality, equity and parity.</w:t>
      </w:r>
    </w:p>
    <w:p w14:paraId="3FBFD5CE" w14:textId="61CB60CE" w:rsidR="002E0F4E" w:rsidRPr="00B64995" w:rsidRDefault="000A2C27" w:rsidP="00614D53">
      <w:pPr>
        <w:keepNext/>
        <w:spacing w:before="240" w:after="120"/>
        <w:jc w:val="both"/>
        <w:rPr>
          <w:rFonts w:eastAsia="Arial Unicode MS"/>
          <w:strike/>
          <w:highlight w:val="yellow"/>
        </w:rPr>
      </w:pPr>
      <w:proofErr w:type="spellStart"/>
      <w:r w:rsidRPr="00B64995">
        <w:rPr>
          <w:rFonts w:eastAsia="Calibri"/>
        </w:rPr>
        <w:t>NoW</w:t>
      </w:r>
      <w:proofErr w:type="spellEnd"/>
      <w:r w:rsidR="00321720" w:rsidRPr="00B64995">
        <w:rPr>
          <w:rFonts w:eastAsia="Calibri"/>
        </w:rPr>
        <w:t xml:space="preserve"> also</w:t>
      </w:r>
      <w:r w:rsidRPr="00B64995">
        <w:rPr>
          <w:rFonts w:eastAsia="Calibri"/>
        </w:rPr>
        <w:t xml:space="preserve"> encourages gender balance in the activities leading up to WTDC-21.</w:t>
      </w:r>
      <w:r w:rsidR="009D541C" w:rsidRPr="00B64995">
        <w:t xml:space="preserve"> </w:t>
      </w:r>
      <w:r w:rsidR="00C36BDB" w:rsidRPr="00B64995">
        <w:t xml:space="preserve">The </w:t>
      </w:r>
      <w:r w:rsidR="009D541C" w:rsidRPr="00B64995">
        <w:t xml:space="preserve">aim </w:t>
      </w:r>
      <w:r w:rsidR="00C36BDB" w:rsidRPr="00B64995">
        <w:t xml:space="preserve">is </w:t>
      </w:r>
      <w:r w:rsidR="009D541C" w:rsidRPr="00B64995">
        <w:t xml:space="preserve">to </w:t>
      </w:r>
      <w:r w:rsidR="009D541C" w:rsidRPr="00B64995">
        <w:rPr>
          <w:rFonts w:eastAsia="Calibri"/>
        </w:rPr>
        <w:t xml:space="preserve">build, in the medium and long term, a community where female delegates </w:t>
      </w:r>
      <w:r w:rsidR="00C36BDB" w:rsidRPr="00B64995">
        <w:rPr>
          <w:rFonts w:eastAsia="Calibri"/>
        </w:rPr>
        <w:t xml:space="preserve">can network and </w:t>
      </w:r>
      <w:r w:rsidR="009D541C" w:rsidRPr="00B64995">
        <w:rPr>
          <w:rFonts w:eastAsia="Calibri"/>
        </w:rPr>
        <w:t>support each other</w:t>
      </w:r>
      <w:r w:rsidR="00FE3F5D" w:rsidRPr="00B64995">
        <w:rPr>
          <w:rFonts w:eastAsia="Calibri"/>
        </w:rPr>
        <w:t>;</w:t>
      </w:r>
      <w:r w:rsidR="009D541C" w:rsidRPr="00B64995">
        <w:rPr>
          <w:rFonts w:eastAsia="Calibri"/>
        </w:rPr>
        <w:t xml:space="preserve"> advocate and share experience and knowledge;</w:t>
      </w:r>
      <w:r w:rsidR="00081CBF" w:rsidRPr="00B64995">
        <w:rPr>
          <w:rFonts w:eastAsia="Calibri"/>
        </w:rPr>
        <w:t xml:space="preserve"> </w:t>
      </w:r>
      <w:r w:rsidR="009D541C" w:rsidRPr="00B64995">
        <w:rPr>
          <w:rFonts w:eastAsia="Calibri"/>
        </w:rPr>
        <w:t>promote the active participation of women;</w:t>
      </w:r>
      <w:r w:rsidR="00081CBF" w:rsidRPr="00B64995">
        <w:rPr>
          <w:rFonts w:eastAsia="Calibri"/>
        </w:rPr>
        <w:t xml:space="preserve"> </w:t>
      </w:r>
      <w:r w:rsidR="009D541C" w:rsidRPr="00B64995">
        <w:rPr>
          <w:rFonts w:eastAsia="Calibri"/>
        </w:rPr>
        <w:t xml:space="preserve">give </w:t>
      </w:r>
      <w:r w:rsidR="00081CBF" w:rsidRPr="00B64995">
        <w:rPr>
          <w:rFonts w:eastAsia="Calibri"/>
        </w:rPr>
        <w:t xml:space="preserve">them </w:t>
      </w:r>
      <w:r w:rsidR="009D541C" w:rsidRPr="00B64995">
        <w:rPr>
          <w:rFonts w:eastAsia="Calibri"/>
        </w:rPr>
        <w:t xml:space="preserve">visibility </w:t>
      </w:r>
      <w:r w:rsidR="00081CBF" w:rsidRPr="00B64995">
        <w:rPr>
          <w:rFonts w:eastAsia="Calibri"/>
        </w:rPr>
        <w:t>and</w:t>
      </w:r>
      <w:r w:rsidR="009D541C" w:rsidRPr="00B64995">
        <w:rPr>
          <w:rFonts w:eastAsia="Calibri"/>
        </w:rPr>
        <w:t xml:space="preserve"> empower them for larger responsibilities in their respective delegations;</w:t>
      </w:r>
      <w:r w:rsidR="00081CBF" w:rsidRPr="00B64995">
        <w:rPr>
          <w:rFonts w:eastAsia="Calibri"/>
        </w:rPr>
        <w:t xml:space="preserve"> and </w:t>
      </w:r>
      <w:r w:rsidR="00081CBF" w:rsidRPr="00B64995">
        <w:rPr>
          <w:rFonts w:eastAsia="Calibri"/>
        </w:rPr>
        <w:lastRenderedPageBreak/>
        <w:t>e</w:t>
      </w:r>
      <w:r w:rsidR="009D541C" w:rsidRPr="00B64995">
        <w:rPr>
          <w:rFonts w:eastAsia="Calibri"/>
        </w:rPr>
        <w:t xml:space="preserve">ncourage experienced female delegates to mentor ICT professionals </w:t>
      </w:r>
      <w:proofErr w:type="gramStart"/>
      <w:r w:rsidR="009D541C" w:rsidRPr="00B64995">
        <w:rPr>
          <w:rFonts w:eastAsia="Calibri"/>
        </w:rPr>
        <w:t>in order to</w:t>
      </w:r>
      <w:proofErr w:type="gramEnd"/>
      <w:r w:rsidR="009D541C" w:rsidRPr="00B64995">
        <w:rPr>
          <w:rFonts w:eastAsia="Calibri"/>
        </w:rPr>
        <w:t xml:space="preserve"> create a stronger base for women in the digital space.</w:t>
      </w:r>
    </w:p>
    <w:p w14:paraId="1387BC3A" w14:textId="77777777" w:rsidR="0049723A" w:rsidRPr="00B64995" w:rsidRDefault="5CBAF087" w:rsidP="00614D53">
      <w:pPr>
        <w:spacing w:before="240"/>
        <w:jc w:val="both"/>
        <w:rPr>
          <w:rFonts w:eastAsia="Calibri"/>
        </w:rPr>
      </w:pPr>
      <w:r w:rsidRPr="00B64995">
        <w:rPr>
          <w:rFonts w:eastAsia="Calibri"/>
        </w:rPr>
        <w:t>ITU’s gender equality and mainstreaming efforts are reported annually to the United Nations system-wide action plan for gender equality and mainstreaming (UN-SWAP) based on 17 performance indicators. In 2018, ITU "met" or "exceeded" requirements for 5 out of 17 UN-SWAP2.0 indicators, with 2019 improvements including gender-responsive performance management.</w:t>
      </w:r>
    </w:p>
    <w:p w14:paraId="32028721" w14:textId="524DAA35" w:rsidR="0049723A" w:rsidRPr="00B64995" w:rsidRDefault="00951E14" w:rsidP="00614D53">
      <w:pPr>
        <w:spacing w:before="240"/>
        <w:jc w:val="both"/>
      </w:pPr>
      <w:r w:rsidRPr="00B64995">
        <w:t xml:space="preserve">Further detail is available in document </w:t>
      </w:r>
      <w:hyperlink r:id="rId326">
        <w:r w:rsidR="009238D8" w:rsidRPr="00B64995">
          <w:rPr>
            <w:rStyle w:val="Hyperlink"/>
          </w:rPr>
          <w:t>C21/06</w:t>
        </w:r>
      </w:hyperlink>
      <w:r w:rsidRPr="00A060FE">
        <w:t xml:space="preserve"> on resolution 70, and </w:t>
      </w:r>
      <w:hyperlink r:id="rId327">
        <w:r w:rsidR="34362ECC" w:rsidRPr="00B64995">
          <w:rPr>
            <w:rStyle w:val="Hyperlink"/>
          </w:rPr>
          <w:t>online</w:t>
        </w:r>
      </w:hyperlink>
      <w:r w:rsidR="00D74D9D" w:rsidRPr="00A060FE">
        <w:t>.</w:t>
      </w:r>
    </w:p>
    <w:p w14:paraId="31126E5D" w14:textId="2A95058C" w:rsidR="00951E14" w:rsidRPr="00B64995" w:rsidRDefault="00951E14" w:rsidP="00614D53">
      <w:pPr>
        <w:jc w:val="both"/>
        <w:rPr>
          <w:b/>
        </w:rPr>
      </w:pPr>
    </w:p>
    <w:p w14:paraId="01F6EF13" w14:textId="77777777" w:rsidR="00951E14" w:rsidRPr="00B64995" w:rsidRDefault="00951E14" w:rsidP="00A83DAA">
      <w:pPr>
        <w:pStyle w:val="Heading5"/>
      </w:pPr>
      <w:r w:rsidRPr="00B64995">
        <w:t>Youth</w:t>
      </w:r>
    </w:p>
    <w:p w14:paraId="75BB82F0" w14:textId="3E74DD89" w:rsidR="00951E14" w:rsidRPr="00B64995" w:rsidRDefault="00951E14" w:rsidP="00614D53">
      <w:pPr>
        <w:jc w:val="both"/>
      </w:pPr>
      <w:r w:rsidRPr="00B64995">
        <w:t xml:space="preserve">ITU’s work on empowering youth through ICTs include the </w:t>
      </w:r>
      <w:hyperlink r:id="rId328">
        <w:r w:rsidRPr="00B64995">
          <w:rPr>
            <w:rStyle w:val="Hyperlink"/>
          </w:rPr>
          <w:t>International Girls in ICT Day</w:t>
        </w:r>
      </w:hyperlink>
      <w:r w:rsidRPr="00A060FE">
        <w:t xml:space="preserve"> a</w:t>
      </w:r>
      <w:r w:rsidRPr="00B64995">
        <w:t xml:space="preserve">s well as the </w:t>
      </w:r>
      <w:hyperlink r:id="rId329">
        <w:r w:rsidRPr="00B64995">
          <w:rPr>
            <w:rStyle w:val="Hyperlink"/>
          </w:rPr>
          <w:t>Digital Skills for Jobs for Campaign</w:t>
        </w:r>
      </w:hyperlink>
      <w:r w:rsidRPr="00A060FE">
        <w:t xml:space="preserve"> and the </w:t>
      </w:r>
      <w:hyperlink r:id="rId330">
        <w:r w:rsidRPr="00B64995">
          <w:rPr>
            <w:rStyle w:val="Hyperlink"/>
          </w:rPr>
          <w:t>ITU Digital Skills Toolkit</w:t>
        </w:r>
      </w:hyperlink>
      <w:r w:rsidRPr="00A060FE">
        <w:t xml:space="preserve">. Consultations with youth on how to enhance their digital skills were held during the </w:t>
      </w:r>
      <w:proofErr w:type="spellStart"/>
      <w:r w:rsidRPr="00A060FE">
        <w:t>AfriLab</w:t>
      </w:r>
      <w:proofErr w:type="spellEnd"/>
      <w:r w:rsidRPr="00A060FE">
        <w:t xml:space="preserve"> gathering in Addis Ababa, Ethiopia, in November 2019, an ITU-IL</w:t>
      </w:r>
      <w:r w:rsidRPr="00B64995">
        <w:t>O event aimed at boosting decent jobs and enhancing digital skills for youth in Africa’s digital economy.</w:t>
      </w:r>
    </w:p>
    <w:p w14:paraId="0423B650" w14:textId="77777777" w:rsidR="00783D50" w:rsidRPr="00B64995" w:rsidRDefault="00783D50" w:rsidP="00614D53">
      <w:pPr>
        <w:jc w:val="both"/>
      </w:pPr>
    </w:p>
    <w:p w14:paraId="4CB15C49" w14:textId="6402081E" w:rsidR="0049723A" w:rsidRPr="00B64995" w:rsidRDefault="00783D50" w:rsidP="00487A3F">
      <w:pPr>
        <w:spacing w:after="160" w:line="259" w:lineRule="auto"/>
        <w:jc w:val="both"/>
        <w:rPr>
          <w:rFonts w:eastAsia="Calibri" w:cs="Times New Roman"/>
        </w:rPr>
      </w:pPr>
      <w:r w:rsidRPr="00B64995">
        <w:rPr>
          <w:rFonts w:eastAsia="Calibri" w:cs="Times New Roman"/>
        </w:rPr>
        <w:t xml:space="preserve">In 2020, ITU’s efforts to ensure meaningful participation of youth in all </w:t>
      </w:r>
      <w:r w:rsidR="00C36BDB" w:rsidRPr="00B64995">
        <w:rPr>
          <w:rFonts w:eastAsia="Calibri" w:cs="Times New Roman"/>
        </w:rPr>
        <w:t xml:space="preserve">its </w:t>
      </w:r>
      <w:r w:rsidRPr="00B64995">
        <w:rPr>
          <w:rFonts w:eastAsia="Calibri" w:cs="Times New Roman"/>
        </w:rPr>
        <w:t>activities crystal</w:t>
      </w:r>
      <w:r w:rsidR="00A26A66" w:rsidRPr="00B64995">
        <w:rPr>
          <w:rFonts w:eastAsia="Calibri" w:cs="Times New Roman"/>
        </w:rPr>
        <w:t>l</w:t>
      </w:r>
      <w:r w:rsidRPr="00B64995">
        <w:rPr>
          <w:rFonts w:eastAsia="Calibri" w:cs="Times New Roman"/>
        </w:rPr>
        <w:t xml:space="preserve">ized with the development of the new </w:t>
      </w:r>
      <w:hyperlink r:id="rId331" w:history="1">
        <w:r w:rsidRPr="00B64995">
          <w:rPr>
            <w:rFonts w:eastAsia="Calibri" w:cs="Times New Roman"/>
            <w:color w:val="0563C1"/>
            <w:u w:val="single"/>
          </w:rPr>
          <w:t>ITU Youth Strategy</w:t>
        </w:r>
      </w:hyperlink>
      <w:r w:rsidRPr="00A060FE">
        <w:rPr>
          <w:rFonts w:eastAsia="Calibri" w:cs="Times New Roman"/>
        </w:rPr>
        <w:t xml:space="preserve">, which aims to focus the work on youth in a strategic, coordinated, and systematic way, to be </w:t>
      </w:r>
      <w:r w:rsidR="00A26A66" w:rsidRPr="00B64995">
        <w:rPr>
          <w:rFonts w:eastAsia="Calibri" w:cs="Times New Roman"/>
        </w:rPr>
        <w:t>fit for purpose</w:t>
      </w:r>
      <w:r w:rsidRPr="00B64995">
        <w:rPr>
          <w:rFonts w:eastAsia="Calibri" w:cs="Times New Roman"/>
        </w:rPr>
        <w:t>, to reduce the youth digital divide and to improve the lives of young people around the world. The activities and efforts proposed of this strategy are grouped around three areas of action</w:t>
      </w:r>
      <w:r w:rsidR="00A26A66" w:rsidRPr="00B64995">
        <w:rPr>
          <w:rFonts w:eastAsia="Calibri" w:cs="Times New Roman"/>
        </w:rPr>
        <w:t>, symbolized in the slogan</w:t>
      </w:r>
      <w:r w:rsidRPr="00B64995">
        <w:rPr>
          <w:rFonts w:eastAsia="Calibri" w:cs="Times New Roman"/>
        </w:rPr>
        <w:t xml:space="preserve">: Empower, Engage and Participate. </w:t>
      </w:r>
      <w:r w:rsidR="00FF7FDA" w:rsidRPr="00B64995">
        <w:rPr>
          <w:rFonts w:eastAsia="Calibri" w:cs="Times New Roman"/>
        </w:rPr>
        <w:t>T</w:t>
      </w:r>
      <w:r w:rsidRPr="00B64995">
        <w:rPr>
          <w:rFonts w:eastAsia="Calibri" w:cs="Times New Roman"/>
        </w:rPr>
        <w:t xml:space="preserve">o advance in the implementation of the strategy, an ITU Youth Task Force was </w:t>
      </w:r>
      <w:proofErr w:type="gramStart"/>
      <w:r w:rsidRPr="00B64995">
        <w:rPr>
          <w:rFonts w:eastAsia="Calibri" w:cs="Times New Roman"/>
        </w:rPr>
        <w:t>created</w:t>
      </w:r>
      <w:proofErr w:type="gramEnd"/>
      <w:r w:rsidRPr="00B64995">
        <w:rPr>
          <w:rFonts w:eastAsia="Calibri" w:cs="Times New Roman"/>
        </w:rPr>
        <w:t xml:space="preserve"> and youth focal points were designated for each </w:t>
      </w:r>
      <w:r w:rsidR="005D4A07">
        <w:rPr>
          <w:rFonts w:eastAsia="Calibri" w:cs="Times New Roman"/>
        </w:rPr>
        <w:t>r</w:t>
      </w:r>
      <w:r w:rsidRPr="00B64995">
        <w:rPr>
          <w:rFonts w:eastAsia="Calibri" w:cs="Times New Roman"/>
        </w:rPr>
        <w:t xml:space="preserve">egional </w:t>
      </w:r>
      <w:r w:rsidR="005D4A07">
        <w:rPr>
          <w:rFonts w:eastAsia="Calibri" w:cs="Times New Roman"/>
        </w:rPr>
        <w:t>o</w:t>
      </w:r>
      <w:r w:rsidRPr="00B64995">
        <w:rPr>
          <w:rFonts w:eastAsia="Calibri" w:cs="Times New Roman"/>
        </w:rPr>
        <w:t>ffice.</w:t>
      </w:r>
    </w:p>
    <w:p w14:paraId="11B0C47D" w14:textId="77777777" w:rsidR="0049723A" w:rsidRPr="00B64995" w:rsidRDefault="00783D50" w:rsidP="00487A3F">
      <w:pPr>
        <w:spacing w:after="160" w:line="259" w:lineRule="auto"/>
        <w:jc w:val="both"/>
        <w:rPr>
          <w:rFonts w:eastAsia="Calibri" w:cs="Times New Roman"/>
        </w:rPr>
      </w:pPr>
      <w:r w:rsidRPr="00B64995">
        <w:rPr>
          <w:rFonts w:eastAsia="Calibri" w:cs="Times New Roman"/>
        </w:rPr>
        <w:t>As a next step</w:t>
      </w:r>
      <w:r w:rsidR="000C7620" w:rsidRPr="00B64995">
        <w:rPr>
          <w:rFonts w:eastAsia="Calibri" w:cs="Times New Roman"/>
        </w:rPr>
        <w:t xml:space="preserve">, </w:t>
      </w:r>
      <w:r w:rsidRPr="00B64995">
        <w:rPr>
          <w:rFonts w:eastAsia="Calibri" w:cs="Times New Roman"/>
        </w:rPr>
        <w:t xml:space="preserve">ITU also launched </w:t>
      </w:r>
      <w:hyperlink r:id="rId332" w:history="1">
        <w:r w:rsidRPr="00B64995">
          <w:rPr>
            <w:rFonts w:eastAsia="Calibri" w:cs="Times New Roman"/>
            <w:color w:val="0563C1"/>
            <w:u w:val="single"/>
          </w:rPr>
          <w:t>Generation Connect</w:t>
        </w:r>
      </w:hyperlink>
      <w:r w:rsidR="00AE3288" w:rsidRPr="00A060FE">
        <w:rPr>
          <w:rFonts w:eastAsia="Calibri" w:cs="Times New Roman"/>
        </w:rPr>
        <w:t>, a</w:t>
      </w:r>
      <w:r w:rsidR="00DD1538" w:rsidRPr="00B64995">
        <w:rPr>
          <w:rFonts w:eastAsia="Calibri" w:cs="Times New Roman"/>
        </w:rPr>
        <w:t xml:space="preserve">n </w:t>
      </w:r>
      <w:r w:rsidRPr="00B64995">
        <w:rPr>
          <w:rFonts w:eastAsia="Calibri" w:cs="Times New Roman"/>
        </w:rPr>
        <w:t>overarching initiative on the journey to WTDC-21</w:t>
      </w:r>
      <w:r w:rsidR="00536900" w:rsidRPr="00B64995">
        <w:rPr>
          <w:rFonts w:eastAsia="Calibri" w:cs="Times New Roman"/>
        </w:rPr>
        <w:t xml:space="preserve">, and its </w:t>
      </w:r>
      <w:r w:rsidRPr="00B64995">
        <w:rPr>
          <w:rFonts w:eastAsia="Calibri" w:cs="Times New Roman"/>
        </w:rPr>
        <w:t>Generation Connect Global Youth Summit.</w:t>
      </w:r>
    </w:p>
    <w:p w14:paraId="30F1F501" w14:textId="2CCF80C7" w:rsidR="00783D50" w:rsidRPr="00B64995" w:rsidRDefault="00783D50" w:rsidP="00487A3F">
      <w:pPr>
        <w:spacing w:after="160" w:line="259" w:lineRule="auto"/>
        <w:jc w:val="both"/>
        <w:rPr>
          <w:rFonts w:eastAsia="Calibri" w:cs="Times New Roman"/>
        </w:rPr>
      </w:pPr>
      <w:r w:rsidRPr="00B64995">
        <w:rPr>
          <w:rFonts w:eastAsia="Calibri" w:cs="Times New Roman"/>
        </w:rPr>
        <w:t xml:space="preserve">In 2020, ITU also commissioned a </w:t>
      </w:r>
      <w:hyperlink r:id="rId333" w:history="1">
        <w:r w:rsidRPr="00B64995">
          <w:rPr>
            <w:rFonts w:eastAsia="Calibri" w:cs="Times New Roman"/>
            <w:color w:val="0563C1"/>
            <w:u w:val="single"/>
          </w:rPr>
          <w:t>Youth Engagement Survey</w:t>
        </w:r>
      </w:hyperlink>
      <w:r w:rsidRPr="00A060FE">
        <w:rPr>
          <w:rFonts w:eastAsia="Calibri" w:cs="Times New Roman"/>
        </w:rPr>
        <w:t xml:space="preserve">, led by the </w:t>
      </w:r>
      <w:r w:rsidRPr="00B64995">
        <w:rPr>
          <w:rFonts w:eastAsia="Calibri" w:cs="Times New Roman"/>
        </w:rPr>
        <w:t>Youth and Media</w:t>
      </w:r>
      <w:r w:rsidR="00A76215" w:rsidRPr="00B64995">
        <w:rPr>
          <w:rFonts w:eastAsia="Calibri" w:cs="Times New Roman"/>
        </w:rPr>
        <w:t xml:space="preserve"> unit </w:t>
      </w:r>
      <w:r w:rsidR="00A26A66" w:rsidRPr="00B64995">
        <w:rPr>
          <w:rFonts w:eastAsia="Calibri" w:cs="Times New Roman"/>
        </w:rPr>
        <w:t xml:space="preserve">of </w:t>
      </w:r>
      <w:r w:rsidR="00A76215" w:rsidRPr="00B64995">
        <w:rPr>
          <w:rFonts w:eastAsia="Calibri" w:cs="Times New Roman"/>
        </w:rPr>
        <w:t>the</w:t>
      </w:r>
      <w:r w:rsidRPr="00B64995">
        <w:rPr>
          <w:rFonts w:eastAsia="Calibri" w:cs="Times New Roman"/>
        </w:rPr>
        <w:t xml:space="preserve"> Berkman Klein </w:t>
      </w:r>
      <w:proofErr w:type="spellStart"/>
      <w:r w:rsidRPr="00B64995">
        <w:rPr>
          <w:rFonts w:eastAsia="Calibri" w:cs="Times New Roman"/>
        </w:rPr>
        <w:t>Center</w:t>
      </w:r>
      <w:proofErr w:type="spellEnd"/>
      <w:r w:rsidRPr="00B64995">
        <w:rPr>
          <w:rFonts w:eastAsia="Calibri" w:cs="Times New Roman"/>
        </w:rPr>
        <w:t xml:space="preserve"> for Internet &amp; Society</w:t>
      </w:r>
      <w:r w:rsidR="00A76215" w:rsidRPr="00B64995">
        <w:rPr>
          <w:rFonts w:eastAsia="Calibri" w:cs="Times New Roman"/>
        </w:rPr>
        <w:t xml:space="preserve"> </w:t>
      </w:r>
      <w:r w:rsidR="00A26A66" w:rsidRPr="00B64995">
        <w:rPr>
          <w:rFonts w:eastAsia="Calibri" w:cs="Times New Roman"/>
        </w:rPr>
        <w:t xml:space="preserve">at </w:t>
      </w:r>
      <w:r w:rsidRPr="00B64995">
        <w:rPr>
          <w:rFonts w:eastAsia="Calibri" w:cs="Times New Roman"/>
        </w:rPr>
        <w:t xml:space="preserve">Harvard University, with the objective of consulting with youth on how the ITU </w:t>
      </w:r>
      <w:r w:rsidR="00A26A66" w:rsidRPr="00B64995">
        <w:rPr>
          <w:rFonts w:eastAsia="Calibri" w:cs="Times New Roman"/>
        </w:rPr>
        <w:t xml:space="preserve">can </w:t>
      </w:r>
      <w:r w:rsidRPr="00B64995">
        <w:rPr>
          <w:rFonts w:eastAsia="Calibri" w:cs="Times New Roman"/>
        </w:rPr>
        <w:t>best engage with them. The survey was distributed across 58 countries from all regions of the world</w:t>
      </w:r>
      <w:r w:rsidR="00A76215" w:rsidRPr="00B64995">
        <w:rPr>
          <w:rFonts w:eastAsia="Calibri" w:cs="Times New Roman"/>
        </w:rPr>
        <w:t>,</w:t>
      </w:r>
      <w:r w:rsidRPr="00B64995">
        <w:rPr>
          <w:rFonts w:eastAsia="Calibri" w:cs="Times New Roman"/>
        </w:rPr>
        <w:t xml:space="preserve"> and more than 1</w:t>
      </w:r>
      <w:r w:rsidR="00A060FE">
        <w:rPr>
          <w:rFonts w:eastAsia="Calibri" w:cs="Times New Roman"/>
        </w:rPr>
        <w:t> </w:t>
      </w:r>
      <w:r w:rsidRPr="00B64995">
        <w:rPr>
          <w:rFonts w:eastAsia="Calibri" w:cs="Times New Roman"/>
        </w:rPr>
        <w:t>000 young people (ages 10</w:t>
      </w:r>
      <w:r w:rsidR="00A26A66" w:rsidRPr="00B64995">
        <w:rPr>
          <w:rFonts w:eastAsia="Calibri" w:cs="Times New Roman"/>
        </w:rPr>
        <w:t>-</w:t>
      </w:r>
      <w:r w:rsidRPr="00B64995">
        <w:rPr>
          <w:rFonts w:eastAsia="Calibri" w:cs="Times New Roman"/>
        </w:rPr>
        <w:t>25) participated. The results of this survey served to inform the development of the ITU Youth Strategy and will further guide its implementation.</w:t>
      </w:r>
    </w:p>
    <w:p w14:paraId="37601CCC" w14:textId="14813EDE" w:rsidR="00783D50" w:rsidRPr="00B64995" w:rsidRDefault="00783D50" w:rsidP="00487A3F">
      <w:pPr>
        <w:spacing w:after="160" w:line="259" w:lineRule="auto"/>
        <w:jc w:val="both"/>
        <w:rPr>
          <w:rFonts w:eastAsia="Calibri" w:cs="Times New Roman"/>
        </w:rPr>
      </w:pPr>
      <w:r w:rsidRPr="00B64995">
        <w:rPr>
          <w:rFonts w:eastAsia="Calibri" w:cs="Times New Roman"/>
        </w:rPr>
        <w:t xml:space="preserve">The </w:t>
      </w:r>
      <w:hyperlink r:id="rId334" w:anchor="new_tab" w:history="1">
        <w:proofErr w:type="spellStart"/>
        <w:r w:rsidRPr="00B64995">
          <w:rPr>
            <w:rFonts w:eastAsia="Calibri" w:cs="Times New Roman"/>
            <w:color w:val="0563C1"/>
            <w:u w:val="single"/>
          </w:rPr>
          <w:t>Futurecasters</w:t>
        </w:r>
        <w:proofErr w:type="spellEnd"/>
        <w:r w:rsidRPr="00B64995">
          <w:rPr>
            <w:rFonts w:eastAsia="Calibri" w:cs="Times New Roman"/>
            <w:color w:val="0563C1"/>
            <w:u w:val="single"/>
          </w:rPr>
          <w:t>: Global Young Visionaries Summit 2020</w:t>
        </w:r>
      </w:hyperlink>
      <w:r w:rsidRPr="00A060FE">
        <w:rPr>
          <w:rFonts w:eastAsia="Calibri" w:cs="Times New Roman"/>
        </w:rPr>
        <w:t xml:space="preserve"> was successfully hosted by </w:t>
      </w:r>
      <w:r w:rsidRPr="00B64995">
        <w:rPr>
          <w:rFonts w:eastAsia="Calibri" w:cs="Times New Roman"/>
        </w:rPr>
        <w:t xml:space="preserve">ITU and the Model UN programme of </w:t>
      </w:r>
      <w:proofErr w:type="spellStart"/>
      <w:r w:rsidRPr="00B64995">
        <w:rPr>
          <w:rFonts w:eastAsia="Calibri" w:cs="Times New Roman"/>
        </w:rPr>
        <w:t>Ferney</w:t>
      </w:r>
      <w:proofErr w:type="spellEnd"/>
      <w:r w:rsidR="00B64995">
        <w:rPr>
          <w:rFonts w:eastAsia="Calibri" w:cs="Times New Roman"/>
        </w:rPr>
        <w:t xml:space="preserve"> </w:t>
      </w:r>
      <w:r w:rsidRPr="00A060FE">
        <w:rPr>
          <w:rFonts w:eastAsia="Calibri" w:cs="Times New Roman"/>
        </w:rPr>
        <w:t xml:space="preserve">Voltaire, France in January 2020. The </w:t>
      </w:r>
      <w:r w:rsidR="00A26A66" w:rsidRPr="00B64995">
        <w:rPr>
          <w:rFonts w:eastAsia="Calibri" w:cs="Times New Roman"/>
        </w:rPr>
        <w:t>three</w:t>
      </w:r>
      <w:r w:rsidRPr="00B64995">
        <w:rPr>
          <w:rFonts w:eastAsia="Calibri" w:cs="Times New Roman"/>
        </w:rPr>
        <w:t xml:space="preserve">-day </w:t>
      </w:r>
      <w:r w:rsidR="00A26A66" w:rsidRPr="00B64995">
        <w:rPr>
          <w:rFonts w:eastAsia="Calibri" w:cs="Times New Roman"/>
        </w:rPr>
        <w:t>s</w:t>
      </w:r>
      <w:r w:rsidRPr="00B64995">
        <w:rPr>
          <w:rFonts w:eastAsia="Calibri" w:cs="Times New Roman"/>
        </w:rPr>
        <w:t>ummit was attended by approximately 700 students from 25 countries, who engaged in discussions on how technologies can be used to advance progress towards the 17 SDGs.</w:t>
      </w:r>
    </w:p>
    <w:p w14:paraId="7D3D8B6F" w14:textId="6D961D7C" w:rsidR="00783D50" w:rsidRPr="00B64995" w:rsidRDefault="00783D50" w:rsidP="00A90DE8">
      <w:pPr>
        <w:spacing w:after="160" w:line="259" w:lineRule="auto"/>
        <w:jc w:val="both"/>
        <w:rPr>
          <w:rFonts w:eastAsia="Calibri" w:cs="Times New Roman"/>
        </w:rPr>
      </w:pPr>
      <w:r w:rsidRPr="00B64995">
        <w:rPr>
          <w:rFonts w:eastAsia="Calibri" w:cs="Times New Roman"/>
        </w:rPr>
        <w:t xml:space="preserve">Other efforts to expand expertise on youth development and engagement of youth in ITU activities </w:t>
      </w:r>
      <w:r w:rsidRPr="006A4798">
        <w:rPr>
          <w:rFonts w:eastAsia="Calibri" w:cs="Times New Roman"/>
          <w:spacing w:val="4"/>
        </w:rPr>
        <w:t xml:space="preserve">were the </w:t>
      </w:r>
      <w:hyperlink r:id="rId335" w:history="1">
        <w:r w:rsidRPr="006A4798">
          <w:rPr>
            <w:rFonts w:eastAsia="Calibri" w:cs="Times New Roman"/>
            <w:color w:val="0563C1"/>
            <w:spacing w:val="4"/>
            <w:u w:val="single"/>
          </w:rPr>
          <w:t>I-</w:t>
        </w:r>
        <w:proofErr w:type="spellStart"/>
        <w:r w:rsidRPr="006A4798">
          <w:rPr>
            <w:rFonts w:eastAsia="Calibri" w:cs="Times New Roman"/>
            <w:color w:val="0563C1"/>
            <w:spacing w:val="4"/>
            <w:u w:val="single"/>
          </w:rPr>
          <w:t>CoDI</w:t>
        </w:r>
        <w:proofErr w:type="spellEnd"/>
        <w:r w:rsidRPr="006A4798">
          <w:rPr>
            <w:rFonts w:eastAsia="Calibri" w:cs="Times New Roman"/>
            <w:color w:val="0563C1"/>
            <w:spacing w:val="4"/>
            <w:u w:val="single"/>
          </w:rPr>
          <w:t xml:space="preserve"> Youth Challenge</w:t>
        </w:r>
      </w:hyperlink>
      <w:r w:rsidRPr="006A4798">
        <w:rPr>
          <w:rFonts w:eastAsia="Calibri" w:cs="Times New Roman"/>
          <w:spacing w:val="4"/>
        </w:rPr>
        <w:t xml:space="preserve"> organized by</w:t>
      </w:r>
      <w:r w:rsidR="00E3477F" w:rsidRPr="006A4798">
        <w:rPr>
          <w:rFonts w:eastAsia="Calibri" w:cs="Times New Roman"/>
          <w:spacing w:val="4"/>
        </w:rPr>
        <w:t xml:space="preserve"> the</w:t>
      </w:r>
      <w:r w:rsidRPr="006A4798">
        <w:rPr>
          <w:rFonts w:eastAsia="Calibri" w:cs="Times New Roman"/>
          <w:spacing w:val="4"/>
        </w:rPr>
        <w:t xml:space="preserve"> </w:t>
      </w:r>
      <w:hyperlink r:id="rId336" w:history="1">
        <w:r w:rsidR="00E3477F" w:rsidRPr="006A4798">
          <w:rPr>
            <w:rFonts w:eastAsia="Calibri" w:cs="Times New Roman"/>
            <w:color w:val="0563C1"/>
            <w:spacing w:val="4"/>
            <w:u w:val="single"/>
          </w:rPr>
          <w:t>ITU International Centre of Digital Innovation</w:t>
        </w:r>
      </w:hyperlink>
      <w:r w:rsidR="00E3477F" w:rsidRPr="00A060FE">
        <w:rPr>
          <w:rFonts w:eastAsia="Calibri" w:cs="Times New Roman"/>
        </w:rPr>
        <w:t xml:space="preserve"> </w:t>
      </w:r>
      <w:r w:rsidR="00E3477F" w:rsidRPr="00B64995">
        <w:rPr>
          <w:rFonts w:eastAsia="Calibri" w:cs="Times New Roman"/>
        </w:rPr>
        <w:t>(I-</w:t>
      </w:r>
      <w:proofErr w:type="spellStart"/>
      <w:r w:rsidR="00E3477F" w:rsidRPr="00B64995">
        <w:rPr>
          <w:rFonts w:eastAsia="Calibri" w:cs="Times New Roman"/>
        </w:rPr>
        <w:t>CoDI</w:t>
      </w:r>
      <w:proofErr w:type="spellEnd"/>
      <w:r w:rsidR="00E3477F" w:rsidRPr="00B64995">
        <w:rPr>
          <w:rFonts w:eastAsia="Calibri" w:cs="Times New Roman"/>
        </w:rPr>
        <w:t>), on “</w:t>
      </w:r>
      <w:r w:rsidRPr="00B64995">
        <w:rPr>
          <w:rFonts w:eastAsia="Calibri" w:cs="Times New Roman"/>
        </w:rPr>
        <w:t>How</w:t>
      </w:r>
      <w:r w:rsidR="00E3477F" w:rsidRPr="00B64995">
        <w:rPr>
          <w:rFonts w:eastAsia="Calibri" w:cs="Times New Roman"/>
        </w:rPr>
        <w:t xml:space="preserve"> </w:t>
      </w:r>
      <w:r w:rsidRPr="00B64995">
        <w:rPr>
          <w:rFonts w:eastAsia="Calibri" w:cs="Times New Roman"/>
        </w:rPr>
        <w:t xml:space="preserve">can ITU communicate effectively with and </w:t>
      </w:r>
      <w:r w:rsidR="00A26A66" w:rsidRPr="00B64995">
        <w:rPr>
          <w:rFonts w:eastAsia="Calibri" w:cs="Times New Roman"/>
        </w:rPr>
        <w:t>f</w:t>
      </w:r>
      <w:r w:rsidRPr="00B64995">
        <w:rPr>
          <w:rFonts w:eastAsia="Calibri" w:cs="Times New Roman"/>
        </w:rPr>
        <w:t xml:space="preserve">or </w:t>
      </w:r>
      <w:r w:rsidR="00A26A66" w:rsidRPr="00B64995">
        <w:rPr>
          <w:rFonts w:eastAsia="Calibri" w:cs="Times New Roman"/>
        </w:rPr>
        <w:t>y</w:t>
      </w:r>
      <w:r w:rsidRPr="00B64995">
        <w:rPr>
          <w:rFonts w:eastAsia="Calibri" w:cs="Times New Roman"/>
        </w:rPr>
        <w:t>outh?</w:t>
      </w:r>
      <w:r w:rsidR="00DB4CE0" w:rsidRPr="00B64995">
        <w:rPr>
          <w:rFonts w:eastAsia="Calibri" w:cs="Times New Roman"/>
        </w:rPr>
        <w:t>”</w:t>
      </w:r>
      <w:r w:rsidRPr="00B64995">
        <w:rPr>
          <w:rFonts w:eastAsia="Calibri" w:cs="Times New Roman"/>
        </w:rPr>
        <w:t>.</w:t>
      </w:r>
    </w:p>
    <w:p w14:paraId="06414871" w14:textId="70C8ADEA" w:rsidR="00951E14" w:rsidRPr="00B64995" w:rsidRDefault="00783D50" w:rsidP="00614D53">
      <w:pPr>
        <w:shd w:val="clear" w:color="auto" w:fill="FFFFFF" w:themeFill="background1"/>
        <w:spacing w:after="150"/>
        <w:jc w:val="both"/>
        <w:rPr>
          <w:lang w:eastAsia="en-GB"/>
        </w:rPr>
      </w:pPr>
      <w:r w:rsidRPr="00B64995">
        <w:rPr>
          <w:rFonts w:eastAsia="Calibri" w:cs="Times New Roman"/>
        </w:rPr>
        <w:t>Other initiatives aimed at engaging and empowering youth to participate in the areas of action and work that ITU leads</w:t>
      </w:r>
      <w:r w:rsidR="00E3477F" w:rsidRPr="00B64995">
        <w:rPr>
          <w:rFonts w:eastAsia="Calibri" w:cs="Times New Roman"/>
        </w:rPr>
        <w:t xml:space="preserve"> include</w:t>
      </w:r>
      <w:r w:rsidR="00C01020" w:rsidRPr="00B64995">
        <w:rPr>
          <w:rFonts w:eastAsia="Calibri" w:cs="Times New Roman"/>
        </w:rPr>
        <w:t xml:space="preserve"> </w:t>
      </w:r>
      <w:r w:rsidRPr="00B64995">
        <w:rPr>
          <w:rFonts w:eastAsia="Calibri" w:cs="Times New Roman"/>
        </w:rPr>
        <w:t xml:space="preserve">a call for applications to the </w:t>
      </w:r>
      <w:hyperlink r:id="rId337" w:history="1">
        <w:r w:rsidRPr="00B64995">
          <w:rPr>
            <w:rFonts w:eastAsia="Calibri" w:cs="Times New Roman"/>
            <w:color w:val="0563C1"/>
            <w:u w:val="single"/>
          </w:rPr>
          <w:t>Generation Connect Visionaries Board</w:t>
        </w:r>
      </w:hyperlink>
      <w:r w:rsidR="00F70641" w:rsidRPr="00B64995">
        <w:rPr>
          <w:rFonts w:eastAsia="Calibri" w:cs="Times New Roman"/>
        </w:rPr>
        <w:t xml:space="preserve"> and the c</w:t>
      </w:r>
      <w:r w:rsidRPr="00B64995">
        <w:rPr>
          <w:rFonts w:eastAsia="Calibri" w:cs="Times New Roman"/>
        </w:rPr>
        <w:t xml:space="preserve">reation of regional youth groups that will serve as communication platforms for young people in their respective regions, to share interests, concerns and perspectives on digital transformation, particularly in the context of the </w:t>
      </w:r>
      <w:r w:rsidR="00E3477F" w:rsidRPr="00B64995">
        <w:rPr>
          <w:rFonts w:eastAsia="Calibri" w:cs="Times New Roman"/>
        </w:rPr>
        <w:t>r</w:t>
      </w:r>
      <w:r w:rsidRPr="00B64995">
        <w:rPr>
          <w:rFonts w:eastAsia="Calibri" w:cs="Times New Roman"/>
        </w:rPr>
        <w:t xml:space="preserve">egional </w:t>
      </w:r>
      <w:r w:rsidR="00E3477F" w:rsidRPr="00B64995">
        <w:rPr>
          <w:rFonts w:eastAsia="Calibri" w:cs="Times New Roman"/>
        </w:rPr>
        <w:t>p</w:t>
      </w:r>
      <w:r w:rsidRPr="00B64995">
        <w:rPr>
          <w:rFonts w:eastAsia="Calibri" w:cs="Times New Roman"/>
        </w:rPr>
        <w:t xml:space="preserve">reparatory </w:t>
      </w:r>
      <w:r w:rsidR="00E3477F" w:rsidRPr="00B64995">
        <w:rPr>
          <w:rFonts w:eastAsia="Calibri" w:cs="Times New Roman"/>
        </w:rPr>
        <w:t>m</w:t>
      </w:r>
      <w:r w:rsidRPr="00B64995">
        <w:rPr>
          <w:rFonts w:eastAsia="Calibri" w:cs="Times New Roman"/>
        </w:rPr>
        <w:t>eetings organized ahead of WTDC-21</w:t>
      </w:r>
      <w:r w:rsidR="00392866" w:rsidRPr="00B64995">
        <w:rPr>
          <w:lang w:eastAsia="en-GB"/>
        </w:rPr>
        <w:t>.</w:t>
      </w:r>
    </w:p>
    <w:p w14:paraId="0F95B2A5" w14:textId="72478E8F" w:rsidR="0049723A" w:rsidRPr="00B64995" w:rsidRDefault="323E86D3" w:rsidP="00614D53">
      <w:pPr>
        <w:jc w:val="both"/>
      </w:pPr>
      <w:r w:rsidRPr="00B64995">
        <w:t>Related to youth, ITU</w:t>
      </w:r>
      <w:r w:rsidR="00951E14" w:rsidRPr="00B64995">
        <w:t xml:space="preserve"> is </w:t>
      </w:r>
      <w:r w:rsidR="00B212B9" w:rsidRPr="00B64995">
        <w:t xml:space="preserve">also </w:t>
      </w:r>
      <w:r w:rsidR="00951E14" w:rsidRPr="00B64995">
        <w:t xml:space="preserve">strengthening </w:t>
      </w:r>
      <w:r w:rsidR="77FBC87E" w:rsidRPr="00B64995">
        <w:t>its</w:t>
      </w:r>
      <w:r w:rsidR="13B2EBE8" w:rsidRPr="00B64995">
        <w:t xml:space="preserve"> </w:t>
      </w:r>
      <w:r w:rsidR="00951E14" w:rsidRPr="00B64995">
        <w:t xml:space="preserve">work with academic institutions. </w:t>
      </w:r>
      <w:r w:rsidR="00C65AC5" w:rsidRPr="00B64995">
        <w:t xml:space="preserve">The membership of the Academia category </w:t>
      </w:r>
      <w:r w:rsidR="00E3477F" w:rsidRPr="00B64995">
        <w:t xml:space="preserve">at </w:t>
      </w:r>
      <w:r w:rsidR="00951E14" w:rsidRPr="00B64995">
        <w:t xml:space="preserve">ITU </w:t>
      </w:r>
      <w:r w:rsidR="00C65AC5" w:rsidRPr="00B64995">
        <w:t xml:space="preserve">counts </w:t>
      </w:r>
      <w:r w:rsidR="00951E14" w:rsidRPr="00B64995">
        <w:t xml:space="preserve">some 160 </w:t>
      </w:r>
      <w:r w:rsidR="00C65AC5" w:rsidRPr="00B64995">
        <w:t>entities</w:t>
      </w:r>
      <w:r w:rsidR="00E3477F" w:rsidRPr="00B64995">
        <w:t>. T</w:t>
      </w:r>
      <w:r w:rsidR="00977A31" w:rsidRPr="00B64995">
        <w:t xml:space="preserve">he </w:t>
      </w:r>
      <w:r w:rsidR="004B20C8" w:rsidRPr="00B64995">
        <w:t xml:space="preserve">scholarly </w:t>
      </w:r>
      <w:hyperlink r:id="rId338" w:history="1">
        <w:r w:rsidR="004B20C8" w:rsidRPr="00B64995">
          <w:rPr>
            <w:rStyle w:val="Hyperlink"/>
          </w:rPr>
          <w:t xml:space="preserve">ITU Journal on Future and </w:t>
        </w:r>
        <w:r w:rsidR="004B20C8" w:rsidRPr="00B64995">
          <w:rPr>
            <w:rStyle w:val="Hyperlink"/>
          </w:rPr>
          <w:lastRenderedPageBreak/>
          <w:t>Evolving Technologies</w:t>
        </w:r>
      </w:hyperlink>
      <w:r w:rsidR="004B20C8" w:rsidRPr="00A060FE">
        <w:t xml:space="preserve"> (ITU JFET)</w:t>
      </w:r>
      <w:r w:rsidR="00E3477F" w:rsidRPr="00B64995">
        <w:t xml:space="preserve"> and </w:t>
      </w:r>
      <w:r w:rsidR="00977A31" w:rsidRPr="00B64995">
        <w:rPr>
          <w:rFonts w:eastAsia="Calibri"/>
        </w:rPr>
        <w:t xml:space="preserve">the </w:t>
      </w:r>
      <w:hyperlink r:id="rId339" w:history="1">
        <w:r w:rsidR="00977A31" w:rsidRPr="00B64995">
          <w:rPr>
            <w:rStyle w:val="Hyperlink"/>
            <w:rFonts w:eastAsia="Calibri"/>
          </w:rPr>
          <w:t xml:space="preserve">ITU </w:t>
        </w:r>
        <w:r w:rsidR="351AB069" w:rsidRPr="00B64995">
          <w:rPr>
            <w:rStyle w:val="Hyperlink"/>
            <w:rFonts w:eastAsia="Calibri"/>
          </w:rPr>
          <w:t xml:space="preserve">Kaleidoscope </w:t>
        </w:r>
        <w:r w:rsidR="00977A31" w:rsidRPr="00B64995">
          <w:rPr>
            <w:rStyle w:val="Hyperlink"/>
            <w:rFonts w:eastAsia="Calibri"/>
          </w:rPr>
          <w:t>Academic Conferences</w:t>
        </w:r>
      </w:hyperlink>
      <w:r w:rsidR="00977A31" w:rsidRPr="00A060FE">
        <w:rPr>
          <w:rFonts w:eastAsia="Calibri"/>
        </w:rPr>
        <w:t xml:space="preserve"> </w:t>
      </w:r>
      <w:r w:rsidR="00C65AC5" w:rsidRPr="00B64995">
        <w:rPr>
          <w:rFonts w:eastAsia="Calibri"/>
        </w:rPr>
        <w:t xml:space="preserve">foster dialogue with academia on </w:t>
      </w:r>
      <w:r w:rsidR="351AB069" w:rsidRPr="00B64995">
        <w:rPr>
          <w:rFonts w:eastAsia="Calibri"/>
        </w:rPr>
        <w:t>ICT standardization.</w:t>
      </w:r>
      <w:r w:rsidR="00951E14" w:rsidRPr="00B64995">
        <w:t xml:space="preserve"> Young authors </w:t>
      </w:r>
      <w:r w:rsidR="00E3477F" w:rsidRPr="00B64995">
        <w:t>(</w:t>
      </w:r>
      <w:r w:rsidR="00951E14" w:rsidRPr="00B64995">
        <w:t>up to 30</w:t>
      </w:r>
      <w:r w:rsidR="00E3477F" w:rsidRPr="00B64995">
        <w:t xml:space="preserve"> years)</w:t>
      </w:r>
      <w:r w:rsidR="00951E14" w:rsidRPr="00B64995">
        <w:t xml:space="preserve"> </w:t>
      </w:r>
      <w:r w:rsidR="00E3477F" w:rsidRPr="00B64995">
        <w:t xml:space="preserve">whose papers are </w:t>
      </w:r>
      <w:r w:rsidR="00951E14" w:rsidRPr="00B64995">
        <w:t xml:space="preserve">accepted </w:t>
      </w:r>
      <w:r w:rsidR="00E3477F" w:rsidRPr="00B64995">
        <w:t xml:space="preserve">for a </w:t>
      </w:r>
      <w:r w:rsidR="00430324" w:rsidRPr="00B64995">
        <w:t xml:space="preserve">Kaleidoscope </w:t>
      </w:r>
      <w:r w:rsidR="00E3477F" w:rsidRPr="00B64995">
        <w:t xml:space="preserve">presentation </w:t>
      </w:r>
      <w:r w:rsidR="00951E14" w:rsidRPr="00B64995">
        <w:t>receive Young Author Recognition certificates</w:t>
      </w:r>
      <w:r w:rsidR="00E3477F" w:rsidRPr="00B64995">
        <w:t>.</w:t>
      </w:r>
      <w:r w:rsidR="4DBAA0F0" w:rsidRPr="00B64995">
        <w:t xml:space="preserve"> </w:t>
      </w:r>
      <w:r w:rsidR="00242445" w:rsidRPr="00B64995">
        <w:t xml:space="preserve">See </w:t>
      </w:r>
      <w:hyperlink w:anchor="Section_1_11" w:history="1">
        <w:r w:rsidR="007F05EB" w:rsidRPr="00B64995">
          <w:rPr>
            <w:rStyle w:val="Hyperlink"/>
          </w:rPr>
          <w:t>section</w:t>
        </w:r>
        <w:r w:rsidR="00242445" w:rsidRPr="00B64995">
          <w:rPr>
            <w:rStyle w:val="Hyperlink"/>
          </w:rPr>
          <w:t xml:space="preserve"> 1.11</w:t>
        </w:r>
      </w:hyperlink>
      <w:r w:rsidR="00242445" w:rsidRPr="00A060FE">
        <w:t xml:space="preserve"> for more details.</w:t>
      </w:r>
    </w:p>
    <w:p w14:paraId="5D145BF5" w14:textId="492445C7" w:rsidR="63BB03C6" w:rsidRPr="00B64995" w:rsidRDefault="63BB03C6" w:rsidP="00614D53">
      <w:pPr>
        <w:jc w:val="both"/>
      </w:pPr>
    </w:p>
    <w:p w14:paraId="4E18AD6A" w14:textId="3E3507AC" w:rsidR="00794CDE" w:rsidRPr="00B64995" w:rsidRDefault="00570F0C" w:rsidP="00614D53">
      <w:pPr>
        <w:jc w:val="both"/>
      </w:pPr>
      <w:hyperlink w:anchor="Section_1_9" w:history="1">
        <w:r w:rsidR="00794CDE" w:rsidRPr="00B64995">
          <w:rPr>
            <w:rStyle w:val="Hyperlink"/>
          </w:rPr>
          <w:t>Section 1.</w:t>
        </w:r>
        <w:r w:rsidR="003D55F9" w:rsidRPr="00B64995">
          <w:rPr>
            <w:rStyle w:val="Hyperlink"/>
          </w:rPr>
          <w:t>9</w:t>
        </w:r>
      </w:hyperlink>
      <w:r w:rsidR="00794CDE" w:rsidRPr="00A060FE">
        <w:t xml:space="preserve"> gives details on </w:t>
      </w:r>
      <w:r w:rsidR="00E3477F" w:rsidRPr="00B64995">
        <w:rPr>
          <w:rFonts w:eastAsiaTheme="minorEastAsia"/>
        </w:rPr>
        <w:t>Giga</w:t>
      </w:r>
      <w:r w:rsidR="00794CDE" w:rsidRPr="00B64995">
        <w:rPr>
          <w:rFonts w:eastAsiaTheme="minorEastAsia"/>
        </w:rPr>
        <w:t xml:space="preserve">, a joint UNICEF and ITU global initiative to connect every school to the </w:t>
      </w:r>
      <w:r w:rsidR="00614D53" w:rsidRPr="00B64995">
        <w:rPr>
          <w:rFonts w:eastAsiaTheme="minorEastAsia"/>
        </w:rPr>
        <w:t>Internet</w:t>
      </w:r>
      <w:r w:rsidR="00794CDE" w:rsidRPr="00B64995">
        <w:rPr>
          <w:rFonts w:eastAsiaTheme="minorEastAsia"/>
        </w:rPr>
        <w:t xml:space="preserve"> and every young person to information, </w:t>
      </w:r>
      <w:proofErr w:type="gramStart"/>
      <w:r w:rsidR="00794CDE" w:rsidRPr="00B64995">
        <w:rPr>
          <w:rFonts w:eastAsiaTheme="minorEastAsia"/>
        </w:rPr>
        <w:t>opportunity</w:t>
      </w:r>
      <w:proofErr w:type="gramEnd"/>
      <w:r w:rsidR="00794CDE" w:rsidRPr="00B64995">
        <w:rPr>
          <w:rFonts w:eastAsiaTheme="minorEastAsia"/>
        </w:rPr>
        <w:t xml:space="preserve"> and choice.</w:t>
      </w:r>
    </w:p>
    <w:p w14:paraId="4343B680" w14:textId="77777777" w:rsidR="00794CDE" w:rsidRPr="00B64995" w:rsidRDefault="00794CDE" w:rsidP="00614D53">
      <w:pPr>
        <w:jc w:val="both"/>
      </w:pPr>
    </w:p>
    <w:p w14:paraId="5DF97DAA" w14:textId="77777777" w:rsidR="0049723A" w:rsidRPr="00B64995" w:rsidRDefault="00951E14" w:rsidP="00614D53">
      <w:pPr>
        <w:jc w:val="both"/>
      </w:pPr>
      <w:r w:rsidRPr="00B64995">
        <w:t xml:space="preserve">ITU’s Focus Group on Machine Learning for Future Networks including 5G (FG ML5G) ran a pilot project to engage university students in FG ML5G’s work and expose students to standardization work. ITU experts mentored </w:t>
      </w:r>
      <w:r w:rsidR="76F0C1B7" w:rsidRPr="00B64995">
        <w:t xml:space="preserve">students and those with </w:t>
      </w:r>
      <w:r w:rsidRPr="00B64995">
        <w:t>completed projects submitted their contributions to FG ML5G.</w:t>
      </w:r>
    </w:p>
    <w:p w14:paraId="5D7E7298" w14:textId="4D26A0F4" w:rsidR="63BB03C6" w:rsidRPr="00B64995" w:rsidRDefault="63BB03C6" w:rsidP="00614D53">
      <w:pPr>
        <w:jc w:val="both"/>
      </w:pPr>
    </w:p>
    <w:p w14:paraId="6735FE04" w14:textId="3613C634" w:rsidR="0049723A" w:rsidRPr="00B64995" w:rsidRDefault="001D54AB" w:rsidP="004B0A06">
      <w:pPr>
        <w:jc w:val="both"/>
        <w:rPr>
          <w:rFonts w:eastAsia="Calibri"/>
        </w:rPr>
      </w:pPr>
      <w:r w:rsidRPr="00B64995">
        <w:rPr>
          <w:rFonts w:eastAsia="Calibri"/>
        </w:rPr>
        <w:t>ITU was among the members of the United Nations Inter-Agency Network on Youth Development who issued a joint</w:t>
      </w:r>
      <w:r w:rsidR="004B0A06" w:rsidRPr="00B64995">
        <w:rPr>
          <w:rFonts w:eastAsia="Calibri"/>
        </w:rPr>
        <w:t xml:space="preserve"> </w:t>
      </w:r>
      <w:hyperlink r:id="rId340" w:history="1">
        <w:r w:rsidR="004B0A06" w:rsidRPr="00B64995">
          <w:rPr>
            <w:rStyle w:val="Hyperlink"/>
            <w:rFonts w:eastAsia="Calibri"/>
          </w:rPr>
          <w:t>statement</w:t>
        </w:r>
      </w:hyperlink>
      <w:r w:rsidR="004B0A06" w:rsidRPr="00A060FE">
        <w:rPr>
          <w:rFonts w:eastAsia="Calibri"/>
        </w:rPr>
        <w:t xml:space="preserve"> </w:t>
      </w:r>
      <w:r w:rsidR="004B0A06" w:rsidRPr="00B64995">
        <w:rPr>
          <w:rFonts w:eastAsia="Calibri"/>
        </w:rPr>
        <w:t xml:space="preserve">with respect to COVID-19 and </w:t>
      </w:r>
      <w:r w:rsidRPr="00B64995">
        <w:rPr>
          <w:rFonts w:eastAsia="Calibri"/>
        </w:rPr>
        <w:t>y</w:t>
      </w:r>
      <w:r w:rsidR="004B0A06" w:rsidRPr="00B64995">
        <w:rPr>
          <w:rFonts w:eastAsia="Calibri"/>
        </w:rPr>
        <w:t xml:space="preserve">outh. </w:t>
      </w:r>
      <w:r w:rsidRPr="00B64995">
        <w:rPr>
          <w:rFonts w:eastAsia="Calibri"/>
        </w:rPr>
        <w:t xml:space="preserve">The statement </w:t>
      </w:r>
      <w:r w:rsidR="004B0A06" w:rsidRPr="00B64995">
        <w:rPr>
          <w:rFonts w:eastAsia="Calibri"/>
        </w:rPr>
        <w:t xml:space="preserve">calls </w:t>
      </w:r>
      <w:r w:rsidRPr="00B64995">
        <w:rPr>
          <w:rFonts w:eastAsia="Calibri"/>
        </w:rPr>
        <w:t xml:space="preserve">on </w:t>
      </w:r>
      <w:proofErr w:type="gramStart"/>
      <w:r w:rsidR="004B0A06" w:rsidRPr="00B64995">
        <w:rPr>
          <w:rFonts w:eastAsia="Calibri"/>
        </w:rPr>
        <w:t xml:space="preserve">agencies </w:t>
      </w:r>
      <w:r w:rsidRPr="00B64995">
        <w:rPr>
          <w:rFonts w:eastAsia="Calibri"/>
        </w:rPr>
        <w:t xml:space="preserve"> in</w:t>
      </w:r>
      <w:proofErr w:type="gramEnd"/>
      <w:r w:rsidRPr="00B64995">
        <w:rPr>
          <w:rFonts w:eastAsia="Calibri"/>
        </w:rPr>
        <w:t xml:space="preserve"> their efforts to mitigate and address the impact of the pandemic </w:t>
      </w:r>
      <w:r w:rsidR="004B0A06" w:rsidRPr="00B64995">
        <w:rPr>
          <w:rFonts w:eastAsia="Calibri"/>
        </w:rPr>
        <w:t xml:space="preserve">to </w:t>
      </w:r>
      <w:r w:rsidRPr="00B64995">
        <w:rPr>
          <w:rFonts w:eastAsia="Calibri"/>
        </w:rPr>
        <w:t xml:space="preserve">include </w:t>
      </w:r>
      <w:r w:rsidR="004B0A06" w:rsidRPr="00B64995">
        <w:rPr>
          <w:rFonts w:eastAsia="Calibri"/>
        </w:rPr>
        <w:t>provisions that are responsive to the needs of young people</w:t>
      </w:r>
      <w:r w:rsidRPr="00B64995">
        <w:rPr>
          <w:rFonts w:eastAsia="Calibri"/>
        </w:rPr>
        <w:t xml:space="preserve"> and</w:t>
      </w:r>
      <w:r w:rsidR="004B0A06" w:rsidRPr="00B64995">
        <w:rPr>
          <w:rFonts w:eastAsia="Calibri"/>
        </w:rPr>
        <w:t xml:space="preserve"> uphold their rights</w:t>
      </w:r>
      <w:r w:rsidRPr="00B64995">
        <w:rPr>
          <w:rFonts w:eastAsia="Calibri"/>
        </w:rPr>
        <w:t xml:space="preserve">, or to include </w:t>
      </w:r>
      <w:r w:rsidR="004B0A06" w:rsidRPr="00B64995">
        <w:rPr>
          <w:rFonts w:eastAsia="Calibri"/>
        </w:rPr>
        <w:t>youth-specific provisions when needed.</w:t>
      </w:r>
    </w:p>
    <w:p w14:paraId="123FB253" w14:textId="53A47554" w:rsidR="004B0A06" w:rsidRPr="00B64995" w:rsidRDefault="004B0A06" w:rsidP="00614D53">
      <w:pPr>
        <w:jc w:val="both"/>
      </w:pPr>
    </w:p>
    <w:p w14:paraId="0FDEE7F3" w14:textId="31BCF319" w:rsidR="00951E14" w:rsidRPr="00B64995" w:rsidRDefault="00951E14" w:rsidP="00614D53">
      <w:pPr>
        <w:jc w:val="both"/>
      </w:pPr>
      <w:r w:rsidRPr="00B64995">
        <w:t xml:space="preserve">Further detail is available </w:t>
      </w:r>
      <w:hyperlink r:id="rId341" w:history="1">
        <w:r w:rsidR="000E2B2C" w:rsidRPr="00B64995">
          <w:rPr>
            <w:rStyle w:val="Hyperlink"/>
          </w:rPr>
          <w:t>online</w:t>
        </w:r>
      </w:hyperlink>
      <w:r w:rsidRPr="00A060FE">
        <w:t>.</w:t>
      </w:r>
    </w:p>
    <w:p w14:paraId="288BAACE" w14:textId="77777777" w:rsidR="00165F18" w:rsidRPr="00B64995" w:rsidRDefault="00165F18" w:rsidP="00614D53">
      <w:pPr>
        <w:jc w:val="both"/>
        <w:rPr>
          <w:b/>
        </w:rPr>
      </w:pPr>
    </w:p>
    <w:p w14:paraId="688B9C94" w14:textId="30F455C8" w:rsidR="00951E14" w:rsidRPr="00B64995" w:rsidRDefault="00951E14" w:rsidP="00A83DAA">
      <w:pPr>
        <w:pStyle w:val="Heading5"/>
      </w:pPr>
      <w:r w:rsidRPr="00B64995">
        <w:t>Accessibility</w:t>
      </w:r>
    </w:p>
    <w:p w14:paraId="5888245A" w14:textId="2BE04ADF" w:rsidR="0049723A" w:rsidRPr="00B64995" w:rsidRDefault="11F98633" w:rsidP="00614D53">
      <w:pPr>
        <w:jc w:val="both"/>
      </w:pPr>
      <w:r w:rsidRPr="00B64995">
        <w:rPr>
          <w:rFonts w:eastAsia="Calibri"/>
        </w:rPr>
        <w:t>I</w:t>
      </w:r>
      <w:r w:rsidRPr="00B64995">
        <w:t>TU has advanced in the implementation of Resolution 175 (Rev. Dubai</w:t>
      </w:r>
      <w:r w:rsidR="00B245C1" w:rsidRPr="00B64995">
        <w:t>, 2018</w:t>
      </w:r>
      <w:r w:rsidRPr="00B64995">
        <w:t xml:space="preserve">) focusing </w:t>
      </w:r>
      <w:r w:rsidR="001D54AB" w:rsidRPr="00B64995">
        <w:t>o</w:t>
      </w:r>
      <w:r w:rsidRPr="00B64995">
        <w:t xml:space="preserve">n two areas of work: (a) </w:t>
      </w:r>
      <w:r w:rsidR="001D54AB" w:rsidRPr="00B64995">
        <w:t>p</w:t>
      </w:r>
      <w:r w:rsidRPr="00B64995">
        <w:t>romoting ICT accessibility for persons with disabilities</w:t>
      </w:r>
      <w:r w:rsidR="001D54AB" w:rsidRPr="00B64995">
        <w:t>,</w:t>
      </w:r>
      <w:r w:rsidRPr="00B64995">
        <w:t xml:space="preserve"> and (b) making ITU a more accessible organization for persons with disabilities.</w:t>
      </w:r>
    </w:p>
    <w:p w14:paraId="40341C01" w14:textId="5E2BFCA5" w:rsidR="228A94C2" w:rsidRPr="00B64995" w:rsidRDefault="228A94C2" w:rsidP="00614D53">
      <w:pPr>
        <w:jc w:val="both"/>
      </w:pPr>
    </w:p>
    <w:p w14:paraId="5D98CA3A" w14:textId="58C464B9" w:rsidR="0049723A" w:rsidRPr="00B64995" w:rsidRDefault="11F98633" w:rsidP="00614D53">
      <w:pPr>
        <w:jc w:val="both"/>
      </w:pPr>
      <w:r w:rsidRPr="00B64995">
        <w:t>In the first area, ITU has continued conducting technical work in ITU-R, ITU-</w:t>
      </w:r>
      <w:proofErr w:type="gramStart"/>
      <w:r w:rsidRPr="00B64995">
        <w:t>T</w:t>
      </w:r>
      <w:proofErr w:type="gramEnd"/>
      <w:r w:rsidRPr="00B64995">
        <w:t xml:space="preserve"> and ITU-D study groups, all of which contain relevant questions advancing the use of telecommunications and ICTs for persons with disabilities. This work has been conducted with the </w:t>
      </w:r>
      <w:r w:rsidR="348C59E7" w:rsidRPr="00B64995">
        <w:t xml:space="preserve">participation of persons with disabilities. </w:t>
      </w:r>
      <w:r w:rsidRPr="00B64995">
        <w:t>In addition to this work, ITU</w:t>
      </w:r>
      <w:r w:rsidR="00ECBC27" w:rsidRPr="00B64995">
        <w:t xml:space="preserve"> </w:t>
      </w:r>
      <w:r w:rsidRPr="00B64995">
        <w:t>has continued to develop toolkits and resources to support ITU Member States to advance in the establishment of enabling environments ensuring accessible telecommunication</w:t>
      </w:r>
      <w:r w:rsidR="001D54AB" w:rsidRPr="00B64995">
        <w:t>s</w:t>
      </w:r>
      <w:r w:rsidRPr="00B64995">
        <w:t>/ICT for persons with disabilities, in line with the Connect 2030 agenda.</w:t>
      </w:r>
    </w:p>
    <w:p w14:paraId="21E1BFC9" w14:textId="44B13706" w:rsidR="228A94C2" w:rsidRPr="00B64995" w:rsidRDefault="228A94C2" w:rsidP="00614D53">
      <w:pPr>
        <w:jc w:val="both"/>
      </w:pPr>
    </w:p>
    <w:p w14:paraId="19EEC8B0" w14:textId="77777777" w:rsidR="0049723A" w:rsidRPr="00B64995" w:rsidRDefault="11F98633" w:rsidP="00614D53">
      <w:pPr>
        <w:jc w:val="both"/>
      </w:pPr>
      <w:r w:rsidRPr="00B64995">
        <w:t xml:space="preserve">ITU-D has also advanced the implementation of regional initiatives linked to ICT accessibility in the </w:t>
      </w:r>
      <w:r w:rsidR="00DA1AB2" w:rsidRPr="00B64995">
        <w:t xml:space="preserve">Arab </w:t>
      </w:r>
      <w:r w:rsidRPr="00B64995">
        <w:t xml:space="preserve">ARB, </w:t>
      </w:r>
      <w:proofErr w:type="gramStart"/>
      <w:r w:rsidRPr="00B64995">
        <w:t>EUR</w:t>
      </w:r>
      <w:proofErr w:type="gramEnd"/>
      <w:r w:rsidRPr="00B64995">
        <w:t xml:space="preserve"> and CIS regions, each with a range of projects, trainings and events, as well as support to ITU administrations in almost every region, including the organization of the series of Accessible Americas events, continued in 2019, and the second edition of the Accessible Europe series of event</w:t>
      </w:r>
      <w:r w:rsidR="3F823C11" w:rsidRPr="00B64995">
        <w:t>s</w:t>
      </w:r>
      <w:r w:rsidRPr="00B64995">
        <w:t>.</w:t>
      </w:r>
    </w:p>
    <w:p w14:paraId="7ACDC4B7" w14:textId="7AE763DB" w:rsidR="228A94C2" w:rsidRPr="00B64995" w:rsidRDefault="228A94C2" w:rsidP="00614D53">
      <w:pPr>
        <w:jc w:val="both"/>
      </w:pPr>
    </w:p>
    <w:p w14:paraId="20EA33AD" w14:textId="77777777" w:rsidR="0049723A" w:rsidRPr="00B64995" w:rsidRDefault="2A0770FF" w:rsidP="00614D53">
      <w:pPr>
        <w:jc w:val="both"/>
      </w:pPr>
      <w:r w:rsidRPr="00B64995">
        <w:t>With</w:t>
      </w:r>
      <w:r w:rsidR="671EEDD2" w:rsidRPr="00B64995">
        <w:t>i</w:t>
      </w:r>
      <w:r w:rsidRPr="00B64995">
        <w:t xml:space="preserve">n </w:t>
      </w:r>
      <w:r w:rsidR="11F98633" w:rsidRPr="00B64995">
        <w:t>the second area</w:t>
      </w:r>
      <w:r w:rsidR="68D96010" w:rsidRPr="00B64995">
        <w:t>,</w:t>
      </w:r>
      <w:r w:rsidR="11F98633" w:rsidRPr="00B64995">
        <w:t xml:space="preserve"> ITU has continued to advance in the implementation of its ITU Accessibility Policy, endorsed by ITU Council 2013. </w:t>
      </w:r>
      <w:r w:rsidR="214E21B5" w:rsidRPr="00B64995">
        <w:t xml:space="preserve">During 2019 </w:t>
      </w:r>
      <w:r w:rsidR="11F98633" w:rsidRPr="00B64995">
        <w:t xml:space="preserve">ITU has continued to provide captioning in a broad selection of ITU events and major conferences, sign language interpretation in </w:t>
      </w:r>
      <w:r w:rsidR="1EFAD9F8" w:rsidRPr="00B64995">
        <w:t xml:space="preserve">selected </w:t>
      </w:r>
      <w:r w:rsidR="11F98633" w:rsidRPr="00B64995">
        <w:t xml:space="preserve">ITU-T accessibility meetings </w:t>
      </w:r>
      <w:r w:rsidR="78B883DF" w:rsidRPr="00B64995">
        <w:t xml:space="preserve">and </w:t>
      </w:r>
      <w:r w:rsidR="11F98633" w:rsidRPr="00B64995">
        <w:t xml:space="preserve">making </w:t>
      </w:r>
      <w:r w:rsidR="31FD9F82" w:rsidRPr="00B64995">
        <w:t xml:space="preserve">ITU </w:t>
      </w:r>
      <w:r w:rsidR="11F98633" w:rsidRPr="00B64995">
        <w:t>websites accessible</w:t>
      </w:r>
      <w:r w:rsidR="4E8ABD55" w:rsidRPr="00B64995">
        <w:t xml:space="preserve">. </w:t>
      </w:r>
      <w:r w:rsidR="11F98633" w:rsidRPr="00B64995">
        <w:t xml:space="preserve">ITU has </w:t>
      </w:r>
      <w:r w:rsidR="3A3E6E31" w:rsidRPr="00B64995">
        <w:t xml:space="preserve">also </w:t>
      </w:r>
      <w:r w:rsidR="11F98633" w:rsidRPr="00B64995">
        <w:t>modified its internal production system to generate accessible publications in the six official languages.</w:t>
      </w:r>
    </w:p>
    <w:p w14:paraId="47229A7E" w14:textId="5AA90323" w:rsidR="228A94C2" w:rsidRPr="00B64995" w:rsidRDefault="228A94C2" w:rsidP="00614D53">
      <w:pPr>
        <w:jc w:val="both"/>
      </w:pPr>
    </w:p>
    <w:p w14:paraId="2DF588EC" w14:textId="18A8911D" w:rsidR="0049723A" w:rsidRPr="00B64995" w:rsidRDefault="11F98633" w:rsidP="00614D53">
      <w:pPr>
        <w:jc w:val="both"/>
      </w:pPr>
      <w:r w:rsidRPr="00B64995">
        <w:t xml:space="preserve">An important development that took place in 2019 was the adoption of the new UN Disability Inclusion Strategy (UN DIS), which incorporated significant inputs from ITU. </w:t>
      </w:r>
      <w:r w:rsidR="00491843" w:rsidRPr="00B64995">
        <w:t xml:space="preserve">In </w:t>
      </w:r>
      <w:r w:rsidRPr="00B64995">
        <w:t>2020 ITU</w:t>
      </w:r>
      <w:r w:rsidR="00491843" w:rsidRPr="00B64995">
        <w:t xml:space="preserve"> prepar</w:t>
      </w:r>
      <w:r w:rsidR="005B51F6" w:rsidRPr="00B64995">
        <w:t>ed</w:t>
      </w:r>
      <w:r w:rsidR="00491843" w:rsidRPr="00B64995">
        <w:t xml:space="preserve"> its</w:t>
      </w:r>
      <w:r w:rsidRPr="00B64995">
        <w:t xml:space="preserve"> report on the implementation of this </w:t>
      </w:r>
      <w:r w:rsidRPr="00570F0C">
        <w:t>strategy and review</w:t>
      </w:r>
      <w:r w:rsidR="006A4798" w:rsidRPr="00570F0C">
        <w:t>ed</w:t>
      </w:r>
      <w:r w:rsidRPr="00570F0C">
        <w:t xml:space="preserve"> accordingly</w:t>
      </w:r>
      <w:r w:rsidRPr="00A060FE">
        <w:t xml:space="preserve"> its Accessibility Policy to adjust to the new framework provided at UN system level.</w:t>
      </w:r>
    </w:p>
    <w:p w14:paraId="3FDF1E53" w14:textId="7F565486" w:rsidR="00CB04BA" w:rsidRPr="00B64995" w:rsidRDefault="00CB04BA" w:rsidP="00614D53">
      <w:pPr>
        <w:jc w:val="both"/>
      </w:pPr>
    </w:p>
    <w:p w14:paraId="0599DA54" w14:textId="3A2C8CC9" w:rsidR="00CB04BA" w:rsidRPr="00B64995" w:rsidRDefault="00E73B5A" w:rsidP="00614D53">
      <w:pPr>
        <w:jc w:val="both"/>
        <w:rPr>
          <w:rFonts w:cstheme="minorHAnsi"/>
        </w:rPr>
      </w:pPr>
      <w:r w:rsidRPr="00B64995">
        <w:rPr>
          <w:rFonts w:cstheme="minorHAnsi"/>
        </w:rPr>
        <w:t>In March 2020, ITU issued</w:t>
      </w:r>
      <w:r w:rsidRPr="00B64995">
        <w:rPr>
          <w:rFonts w:cstheme="minorHAnsi"/>
          <w:b/>
          <w:bCs/>
        </w:rPr>
        <w:t xml:space="preserve"> </w:t>
      </w:r>
      <w:hyperlink r:id="rId342" w:history="1">
        <w:r w:rsidR="00530ACF" w:rsidRPr="00B64995">
          <w:rPr>
            <w:rStyle w:val="Hyperlink"/>
            <w:rFonts w:cstheme="minorHAnsi"/>
            <w:b/>
            <w:bCs/>
          </w:rPr>
          <w:t>COVID</w:t>
        </w:r>
        <w:r w:rsidRPr="00B64995">
          <w:rPr>
            <w:rStyle w:val="Hyperlink"/>
            <w:rFonts w:cstheme="minorHAnsi"/>
            <w:b/>
            <w:bCs/>
          </w:rPr>
          <w:t xml:space="preserve"> Guidelines on how to develop inclusive digital information products and services</w:t>
        </w:r>
      </w:hyperlink>
      <w:r w:rsidRPr="00A060FE">
        <w:rPr>
          <w:rFonts w:cstheme="minorHAnsi"/>
          <w:b/>
          <w:bCs/>
        </w:rPr>
        <w:t xml:space="preserve"> </w:t>
      </w:r>
      <w:r w:rsidRPr="00B64995">
        <w:rPr>
          <w:rFonts w:cstheme="minorHAnsi"/>
        </w:rPr>
        <w:t>through different digital platforms, in all 6 UN official languages</w:t>
      </w:r>
      <w:r w:rsidR="00D61F99" w:rsidRPr="00B64995">
        <w:rPr>
          <w:rFonts w:cstheme="minorHAnsi"/>
        </w:rPr>
        <w:t xml:space="preserve">. These guidelines contain </w:t>
      </w:r>
      <w:r w:rsidR="00D61F99" w:rsidRPr="00B64995">
        <w:rPr>
          <w:rFonts w:cstheme="minorHAnsi"/>
        </w:rPr>
        <w:lastRenderedPageBreak/>
        <w:t xml:space="preserve">key messages and concrete actions to support policy makers and communicators </w:t>
      </w:r>
      <w:r w:rsidR="00153E5E" w:rsidRPr="00B64995">
        <w:rPr>
          <w:rFonts w:cstheme="minorHAnsi"/>
        </w:rPr>
        <w:t xml:space="preserve">in </w:t>
      </w:r>
      <w:r w:rsidR="00D61F99" w:rsidRPr="00B64995">
        <w:rPr>
          <w:rFonts w:cstheme="minorHAnsi"/>
        </w:rPr>
        <w:t>ensur</w:t>
      </w:r>
      <w:r w:rsidR="00153E5E" w:rsidRPr="00B64995">
        <w:rPr>
          <w:rFonts w:cstheme="minorHAnsi"/>
        </w:rPr>
        <w:t>ing</w:t>
      </w:r>
      <w:r w:rsidR="00D61F99" w:rsidRPr="00B64995">
        <w:rPr>
          <w:rFonts w:cstheme="minorHAnsi"/>
        </w:rPr>
        <w:t xml:space="preserve"> that the messages and vital digital information delivered are accessible to all people</w:t>
      </w:r>
      <w:r w:rsidR="00153E5E" w:rsidRPr="00B64995">
        <w:rPr>
          <w:rFonts w:cstheme="minorHAnsi"/>
        </w:rPr>
        <w:t>,</w:t>
      </w:r>
      <w:r w:rsidR="00D61F99" w:rsidRPr="00B64995">
        <w:rPr>
          <w:rFonts w:cstheme="minorHAnsi"/>
        </w:rPr>
        <w:t xml:space="preserve"> including </w:t>
      </w:r>
      <w:r w:rsidR="00153E5E" w:rsidRPr="00B64995">
        <w:rPr>
          <w:rFonts w:cstheme="minorHAnsi"/>
        </w:rPr>
        <w:t>p</w:t>
      </w:r>
      <w:r w:rsidR="00D61F99" w:rsidRPr="00B64995">
        <w:rPr>
          <w:rFonts w:cstheme="minorHAnsi"/>
        </w:rPr>
        <w:t xml:space="preserve">ersons with </w:t>
      </w:r>
      <w:r w:rsidR="00153E5E" w:rsidRPr="00B64995">
        <w:rPr>
          <w:rFonts w:cstheme="minorHAnsi"/>
        </w:rPr>
        <w:t>d</w:t>
      </w:r>
      <w:r w:rsidR="00D61F99" w:rsidRPr="00B64995">
        <w:rPr>
          <w:rFonts w:cstheme="minorHAnsi"/>
        </w:rPr>
        <w:t xml:space="preserve">isabilities, during this challenging </w:t>
      </w:r>
      <w:r w:rsidR="00153E5E" w:rsidRPr="00B64995">
        <w:rPr>
          <w:rFonts w:cstheme="minorHAnsi"/>
        </w:rPr>
        <w:t xml:space="preserve">global </w:t>
      </w:r>
      <w:r w:rsidR="00D61F99" w:rsidRPr="00B64995">
        <w:rPr>
          <w:rFonts w:cstheme="minorHAnsi"/>
        </w:rPr>
        <w:t>crisis.</w:t>
      </w:r>
    </w:p>
    <w:p w14:paraId="1535D1C1" w14:textId="591B247F" w:rsidR="00E73B5A" w:rsidRPr="00B64995" w:rsidRDefault="00E73B5A" w:rsidP="00614D53">
      <w:pPr>
        <w:jc w:val="both"/>
        <w:rPr>
          <w:rFonts w:cstheme="minorHAnsi"/>
        </w:rPr>
      </w:pPr>
    </w:p>
    <w:p w14:paraId="0153FD53" w14:textId="20B325C1" w:rsidR="00E73B5A" w:rsidRPr="00B64995" w:rsidRDefault="006A22F3" w:rsidP="00614D53">
      <w:pPr>
        <w:jc w:val="both"/>
      </w:pPr>
      <w:r w:rsidRPr="00B64995">
        <w:rPr>
          <w:rFonts w:cstheme="minorHAnsi"/>
        </w:rPr>
        <w:t xml:space="preserve">In the framework of the </w:t>
      </w:r>
      <w:r w:rsidRPr="00B64995">
        <w:rPr>
          <w:rFonts w:cstheme="minorHAnsi"/>
          <w:b/>
          <w:bCs/>
        </w:rPr>
        <w:t>UN joint COVID-19 response and recovery emergency working group on health workstream,</w:t>
      </w:r>
      <w:r w:rsidRPr="00B64995">
        <w:rPr>
          <w:rFonts w:cstheme="minorHAnsi"/>
        </w:rPr>
        <w:t xml:space="preserve"> the ITU Guidelines were also globally disseminated and translated into 22 other languages. </w:t>
      </w:r>
    </w:p>
    <w:p w14:paraId="18B53B2A" w14:textId="1B16C8E0" w:rsidR="228A94C2" w:rsidRPr="00B64995" w:rsidRDefault="228A94C2" w:rsidP="00614D53">
      <w:pPr>
        <w:jc w:val="both"/>
      </w:pPr>
    </w:p>
    <w:p w14:paraId="1D383461" w14:textId="689A17D2" w:rsidR="00487A3F" w:rsidRPr="00B64995" w:rsidRDefault="00487A3F" w:rsidP="00491843">
      <w:pPr>
        <w:spacing w:after="160" w:line="259" w:lineRule="auto"/>
        <w:jc w:val="both"/>
        <w:rPr>
          <w:rFonts w:asciiTheme="minorHAnsi" w:eastAsiaTheme="minorEastAsia" w:hAnsiTheme="minorHAnsi" w:cstheme="minorHAnsi"/>
          <w:lang w:eastAsia="zh-CN"/>
        </w:rPr>
      </w:pPr>
      <w:r w:rsidRPr="00B64995">
        <w:rPr>
          <w:rFonts w:asciiTheme="minorHAnsi" w:eastAsiaTheme="minorEastAsia" w:hAnsiTheme="minorHAnsi" w:cstheme="minorHAnsi"/>
          <w:lang w:eastAsia="zh-CN"/>
        </w:rPr>
        <w:t xml:space="preserve">During the </w:t>
      </w:r>
      <w:r w:rsidR="005B51F6" w:rsidRPr="00B64995">
        <w:rPr>
          <w:rFonts w:asciiTheme="minorHAnsi" w:eastAsiaTheme="minorEastAsia" w:hAnsiTheme="minorHAnsi" w:cstheme="minorHAnsi"/>
          <w:lang w:eastAsia="zh-CN"/>
        </w:rPr>
        <w:t>COVID</w:t>
      </w:r>
      <w:r w:rsidRPr="00B64995">
        <w:rPr>
          <w:rFonts w:asciiTheme="minorHAnsi" w:eastAsiaTheme="minorEastAsia" w:hAnsiTheme="minorHAnsi" w:cstheme="minorHAnsi"/>
          <w:lang w:eastAsia="zh-CN"/>
        </w:rPr>
        <w:t>-19 pandemic, the lack of an interoperable video remote interpretation (VRI) system for deaf and hard of hearing persons excludes them from important information and social services (</w:t>
      </w:r>
      <w:proofErr w:type="gramStart"/>
      <w:r w:rsidRPr="00B64995">
        <w:rPr>
          <w:rFonts w:asciiTheme="minorHAnsi" w:eastAsiaTheme="minorEastAsia" w:hAnsiTheme="minorHAnsi" w:cstheme="minorHAnsi"/>
          <w:lang w:eastAsia="zh-CN"/>
        </w:rPr>
        <w:t>e.g.</w:t>
      </w:r>
      <w:proofErr w:type="gramEnd"/>
      <w:r w:rsidRPr="00B64995">
        <w:rPr>
          <w:rFonts w:asciiTheme="minorHAnsi" w:eastAsiaTheme="minorEastAsia" w:hAnsiTheme="minorHAnsi" w:cstheme="minorHAnsi"/>
          <w:lang w:eastAsia="zh-CN"/>
        </w:rPr>
        <w:t xml:space="preserve"> medical consultation). ITU </w:t>
      </w:r>
      <w:r w:rsidR="00D4382A" w:rsidRPr="00B64995">
        <w:rPr>
          <w:rFonts w:asciiTheme="minorHAnsi" w:eastAsiaTheme="minorEastAsia" w:hAnsiTheme="minorHAnsi" w:cstheme="minorHAnsi"/>
          <w:lang w:eastAsia="zh-CN"/>
        </w:rPr>
        <w:t xml:space="preserve">has therefore produced a technical paper entitled </w:t>
      </w:r>
      <w:r w:rsidR="00D4382A" w:rsidRPr="00B87922">
        <w:rPr>
          <w:rFonts w:ascii="Segoe UI" w:hAnsi="Segoe UI" w:cs="Segoe UI"/>
          <w:color w:val="333333"/>
          <w:sz w:val="21"/>
          <w:szCs w:val="21"/>
        </w:rPr>
        <w:t>"</w:t>
      </w:r>
      <w:hyperlink r:id="rId343" w:history="1">
        <w:r w:rsidR="00D4382A" w:rsidRPr="00B64995">
          <w:rPr>
            <w:rFonts w:asciiTheme="minorHAnsi" w:eastAsiaTheme="minorEastAsia" w:hAnsiTheme="minorHAnsi" w:cstheme="minorHAnsi"/>
            <w:color w:val="0000FF"/>
            <w:u w:val="single"/>
            <w:lang w:eastAsia="zh-CN"/>
          </w:rPr>
          <w:t>Guideline on web-based remote sign language interpretation or video remote interpretation</w:t>
        </w:r>
      </w:hyperlink>
      <w:r w:rsidR="00D4382A" w:rsidRPr="00B87922">
        <w:rPr>
          <w:rFonts w:ascii="Segoe UI" w:hAnsi="Segoe UI" w:cs="Segoe UI"/>
          <w:color w:val="333333"/>
          <w:sz w:val="21"/>
          <w:szCs w:val="21"/>
        </w:rPr>
        <w:t>"</w:t>
      </w:r>
      <w:r w:rsidRPr="00A060FE">
        <w:rPr>
          <w:rFonts w:asciiTheme="minorHAnsi" w:eastAsiaTheme="minorEastAsia" w:hAnsiTheme="minorHAnsi" w:cstheme="minorHAnsi"/>
          <w:lang w:eastAsia="zh-CN"/>
        </w:rPr>
        <w:t xml:space="preserve"> which describes a </w:t>
      </w:r>
      <w:r w:rsidR="00D4382A" w:rsidRPr="00A060FE">
        <w:rPr>
          <w:rFonts w:asciiTheme="minorHAnsi" w:eastAsiaTheme="minorEastAsia" w:hAnsiTheme="minorHAnsi" w:cstheme="minorHAnsi"/>
          <w:lang w:eastAsia="zh-CN"/>
        </w:rPr>
        <w:t xml:space="preserve">web-based VRI </w:t>
      </w:r>
      <w:r w:rsidR="00D4382A" w:rsidRPr="00B64995">
        <w:rPr>
          <w:rFonts w:asciiTheme="minorHAnsi" w:eastAsiaTheme="minorEastAsia" w:hAnsiTheme="minorHAnsi" w:cstheme="minorHAnsi"/>
          <w:lang w:eastAsia="zh-CN"/>
        </w:rPr>
        <w:t xml:space="preserve">based on </w:t>
      </w:r>
      <w:r w:rsidRPr="00B64995">
        <w:rPr>
          <w:rFonts w:asciiTheme="minorHAnsi" w:eastAsiaTheme="minorEastAsia" w:hAnsiTheme="minorHAnsi" w:cstheme="minorHAnsi"/>
          <w:lang w:eastAsia="zh-CN"/>
        </w:rPr>
        <w:t>real</w:t>
      </w:r>
      <w:r w:rsidR="00D4382A" w:rsidRPr="00B64995">
        <w:rPr>
          <w:rFonts w:asciiTheme="minorHAnsi" w:eastAsiaTheme="minorEastAsia" w:hAnsiTheme="minorHAnsi" w:cstheme="minorHAnsi"/>
          <w:lang w:eastAsia="zh-CN"/>
        </w:rPr>
        <w:t>-</w:t>
      </w:r>
      <w:r w:rsidRPr="00B64995">
        <w:rPr>
          <w:rFonts w:asciiTheme="minorHAnsi" w:eastAsiaTheme="minorEastAsia" w:hAnsiTheme="minorHAnsi" w:cstheme="minorHAnsi"/>
          <w:lang w:eastAsia="zh-CN"/>
        </w:rPr>
        <w:t>time communication (RTC)</w:t>
      </w:r>
      <w:r w:rsidR="00D4382A" w:rsidRPr="00B64995">
        <w:rPr>
          <w:rFonts w:asciiTheme="minorHAnsi" w:eastAsiaTheme="minorEastAsia" w:hAnsiTheme="minorHAnsi" w:cstheme="minorHAnsi"/>
          <w:lang w:eastAsia="zh-CN"/>
        </w:rPr>
        <w:t>. The paper also describes</w:t>
      </w:r>
      <w:r w:rsidRPr="00B64995">
        <w:rPr>
          <w:rFonts w:asciiTheme="minorHAnsi" w:eastAsiaTheme="minorEastAsia" w:hAnsiTheme="minorHAnsi" w:cstheme="minorHAnsi"/>
          <w:lang w:eastAsia="zh-CN"/>
        </w:rPr>
        <w:t xml:space="preserve"> how </w:t>
      </w:r>
      <w:r w:rsidR="0030584F" w:rsidRPr="00B64995">
        <w:rPr>
          <w:rFonts w:asciiTheme="minorHAnsi" w:eastAsiaTheme="minorEastAsia" w:hAnsiTheme="minorHAnsi" w:cstheme="minorHAnsi"/>
          <w:lang w:eastAsia="zh-CN"/>
        </w:rPr>
        <w:t xml:space="preserve">VRI </w:t>
      </w:r>
      <w:r w:rsidRPr="00B64995">
        <w:rPr>
          <w:rFonts w:asciiTheme="minorHAnsi" w:eastAsiaTheme="minorEastAsia" w:hAnsiTheme="minorHAnsi" w:cstheme="minorHAnsi"/>
          <w:lang w:eastAsia="zh-CN"/>
        </w:rPr>
        <w:t>can be used</w:t>
      </w:r>
      <w:r w:rsidR="00D4382A" w:rsidRPr="00B64995">
        <w:rPr>
          <w:rFonts w:asciiTheme="minorHAnsi" w:eastAsiaTheme="minorEastAsia" w:hAnsiTheme="minorHAnsi" w:cstheme="minorHAnsi"/>
          <w:lang w:eastAsia="zh-CN"/>
        </w:rPr>
        <w:t xml:space="preserve"> and </w:t>
      </w:r>
      <w:r w:rsidR="0030584F" w:rsidRPr="00B64995">
        <w:rPr>
          <w:rFonts w:asciiTheme="minorHAnsi" w:eastAsiaTheme="minorEastAsia" w:hAnsiTheme="minorHAnsi" w:cstheme="minorHAnsi"/>
          <w:lang w:eastAsia="zh-CN"/>
        </w:rPr>
        <w:t xml:space="preserve">how to harmonize the </w:t>
      </w:r>
      <w:r w:rsidRPr="00B64995">
        <w:rPr>
          <w:rFonts w:asciiTheme="minorHAnsi" w:eastAsiaTheme="minorEastAsia" w:hAnsiTheme="minorHAnsi" w:cstheme="minorHAnsi"/>
          <w:lang w:eastAsia="zh-CN"/>
        </w:rPr>
        <w:t xml:space="preserve">ways </w:t>
      </w:r>
      <w:r w:rsidR="0030584F" w:rsidRPr="00B64995">
        <w:rPr>
          <w:rFonts w:asciiTheme="minorHAnsi" w:eastAsiaTheme="minorEastAsia" w:hAnsiTheme="minorHAnsi" w:cstheme="minorHAnsi"/>
          <w:lang w:eastAsia="zh-CN"/>
        </w:rPr>
        <w:t xml:space="preserve">in which </w:t>
      </w:r>
      <w:r w:rsidRPr="00B64995">
        <w:rPr>
          <w:rFonts w:asciiTheme="minorHAnsi" w:eastAsiaTheme="minorEastAsia" w:hAnsiTheme="minorHAnsi" w:cstheme="minorHAnsi"/>
          <w:lang w:eastAsia="zh-CN"/>
        </w:rPr>
        <w:t>other remote services, such as online medical treatment and distance education, interact with it.</w:t>
      </w:r>
    </w:p>
    <w:p w14:paraId="365E7C17" w14:textId="60517AFD" w:rsidR="0049723A" w:rsidRPr="00B64995" w:rsidRDefault="00487A3F" w:rsidP="00487A3F">
      <w:pPr>
        <w:spacing w:after="120" w:line="259" w:lineRule="auto"/>
        <w:ind w:right="4"/>
        <w:jc w:val="both"/>
        <w:rPr>
          <w:rFonts w:asciiTheme="minorHAnsi" w:eastAsiaTheme="minorEastAsia" w:hAnsiTheme="minorHAnsi" w:cstheme="minorHAnsi"/>
          <w:lang w:eastAsia="zh-CN"/>
        </w:rPr>
      </w:pPr>
      <w:r w:rsidRPr="00B64995">
        <w:rPr>
          <w:rFonts w:asciiTheme="minorHAnsi" w:eastAsiaTheme="minorEastAsia" w:hAnsiTheme="minorHAnsi" w:cstheme="minorHAnsi"/>
          <w:b/>
          <w:bCs/>
          <w:lang w:eastAsia="zh-CN"/>
        </w:rPr>
        <w:t>ITU also published a</w:t>
      </w:r>
      <w:r w:rsidR="00BF2C23" w:rsidRPr="00B64995">
        <w:rPr>
          <w:rFonts w:asciiTheme="minorHAnsi" w:eastAsiaTheme="minorEastAsia" w:hAnsiTheme="minorHAnsi" w:cstheme="minorHAnsi"/>
          <w:b/>
          <w:bCs/>
          <w:lang w:eastAsia="zh-CN"/>
        </w:rPr>
        <w:t>n update of the</w:t>
      </w:r>
      <w:r w:rsidRPr="00B64995">
        <w:rPr>
          <w:rFonts w:asciiTheme="minorHAnsi" w:eastAsiaTheme="minorEastAsia" w:hAnsiTheme="minorHAnsi" w:cstheme="minorHAnsi"/>
          <w:b/>
          <w:bCs/>
          <w:lang w:eastAsia="zh-CN"/>
        </w:rPr>
        <w:t xml:space="preserve"> </w:t>
      </w:r>
      <w:r w:rsidR="0030584F" w:rsidRPr="00B64995">
        <w:rPr>
          <w:rFonts w:asciiTheme="minorHAnsi" w:eastAsiaTheme="minorEastAsia" w:hAnsiTheme="minorHAnsi" w:cstheme="minorHAnsi"/>
          <w:b/>
          <w:bCs/>
          <w:lang w:eastAsia="zh-CN"/>
        </w:rPr>
        <w:t>r</w:t>
      </w:r>
      <w:r w:rsidRPr="00B64995">
        <w:rPr>
          <w:rFonts w:asciiTheme="minorHAnsi" w:eastAsiaTheme="minorEastAsia" w:hAnsiTheme="minorHAnsi" w:cstheme="minorHAnsi"/>
          <w:b/>
          <w:bCs/>
          <w:lang w:eastAsia="zh-CN"/>
        </w:rPr>
        <w:t xml:space="preserve">eport on </w:t>
      </w:r>
      <w:r w:rsidR="003C7FD5" w:rsidRPr="00B64995">
        <w:rPr>
          <w:rFonts w:asciiTheme="minorHAnsi" w:eastAsiaTheme="minorEastAsia" w:hAnsiTheme="minorHAnsi" w:cstheme="minorHAnsi"/>
          <w:b/>
          <w:bCs/>
          <w:lang w:eastAsia="zh-CN"/>
        </w:rPr>
        <w:t>“</w:t>
      </w:r>
      <w:r w:rsidRPr="00B64995">
        <w:rPr>
          <w:rFonts w:asciiTheme="minorHAnsi" w:eastAsiaTheme="minorEastAsia" w:hAnsiTheme="minorHAnsi" w:cstheme="minorHAnsi"/>
          <w:b/>
          <w:bCs/>
          <w:lang w:eastAsia="zh-CN"/>
        </w:rPr>
        <w:t>Accessibility to broadcasting services for persons with disabilities”</w:t>
      </w:r>
      <w:r w:rsidR="00BF2C23" w:rsidRPr="00B87922">
        <w:rPr>
          <w:rFonts w:asciiTheme="minorHAnsi" w:eastAsiaTheme="minorEastAsia" w:hAnsiTheme="minorHAnsi" w:cstheme="minorHAnsi"/>
          <w:lang w:eastAsia="zh-CN"/>
        </w:rPr>
        <w:t>,</w:t>
      </w:r>
      <w:r w:rsidRPr="00A060FE">
        <w:rPr>
          <w:rFonts w:asciiTheme="minorHAnsi" w:eastAsiaTheme="minorEastAsia" w:hAnsiTheme="minorHAnsi" w:cstheme="minorHAnsi"/>
          <w:lang w:eastAsia="zh-CN"/>
        </w:rPr>
        <w:t xml:space="preserve"> </w:t>
      </w:r>
      <w:r w:rsidR="00BF2C23" w:rsidRPr="00B64995">
        <w:rPr>
          <w:rFonts w:asciiTheme="minorHAnsi" w:eastAsiaTheme="minorEastAsia" w:hAnsiTheme="minorHAnsi" w:cstheme="minorHAnsi"/>
          <w:lang w:eastAsia="zh-CN"/>
        </w:rPr>
        <w:t xml:space="preserve">covering topics such as </w:t>
      </w:r>
      <w:r w:rsidR="00BF2C23" w:rsidRPr="00B87922">
        <w:rPr>
          <w:rFonts w:asciiTheme="minorHAnsi" w:eastAsiaTheme="minorEastAsia" w:hAnsiTheme="minorHAnsi" w:cstheme="minorHAnsi"/>
          <w:lang w:eastAsia="zh-CN"/>
        </w:rPr>
        <w:t>p</w:t>
      </w:r>
      <w:r w:rsidRPr="00B87922">
        <w:rPr>
          <w:rFonts w:asciiTheme="minorHAnsi" w:eastAsiaTheme="minorEastAsia" w:hAnsiTheme="minorHAnsi" w:cstheme="minorHAnsi"/>
          <w:lang w:eastAsia="zh-CN"/>
        </w:rPr>
        <w:t xml:space="preserve">ersonalization using object-based sound technology </w:t>
      </w:r>
      <w:r w:rsidRPr="00B64995">
        <w:rPr>
          <w:rFonts w:asciiTheme="minorHAnsi" w:eastAsiaTheme="minorEastAsia" w:hAnsiTheme="minorHAnsi" w:cstheme="minorHAnsi"/>
          <w:lang w:eastAsia="zh-CN"/>
        </w:rPr>
        <w:t xml:space="preserve">and </w:t>
      </w:r>
      <w:r w:rsidR="00BF2C23" w:rsidRPr="00A060FE">
        <w:rPr>
          <w:rFonts w:asciiTheme="minorHAnsi" w:eastAsiaTheme="minorEastAsia" w:hAnsiTheme="minorHAnsi" w:cstheme="minorHAnsi"/>
          <w:lang w:eastAsia="zh-CN"/>
        </w:rPr>
        <w:t>h</w:t>
      </w:r>
      <w:r w:rsidRPr="00B87922">
        <w:rPr>
          <w:rFonts w:asciiTheme="minorHAnsi" w:eastAsiaTheme="minorEastAsia" w:hAnsiTheme="minorHAnsi" w:cstheme="minorHAnsi"/>
          <w:lang w:eastAsia="zh-CN"/>
        </w:rPr>
        <w:t xml:space="preserve">aptic information presentation technology </w:t>
      </w:r>
      <w:r w:rsidR="00A55A11" w:rsidRPr="00A060FE">
        <w:rPr>
          <w:rFonts w:asciiTheme="minorHAnsi" w:eastAsiaTheme="minorEastAsia" w:hAnsiTheme="minorHAnsi" w:cstheme="minorHAnsi"/>
          <w:lang w:eastAsia="zh-CN"/>
        </w:rPr>
        <w:t xml:space="preserve">to improve accessibility </w:t>
      </w:r>
      <w:r w:rsidRPr="00B87922">
        <w:rPr>
          <w:rFonts w:asciiTheme="minorHAnsi" w:eastAsiaTheme="minorEastAsia" w:hAnsiTheme="minorHAnsi" w:cstheme="minorHAnsi"/>
          <w:lang w:eastAsia="zh-CN"/>
        </w:rPr>
        <w:t>for visually or hearing-impaired persons</w:t>
      </w:r>
      <w:r w:rsidRPr="00B64995">
        <w:rPr>
          <w:rFonts w:asciiTheme="minorHAnsi" w:eastAsiaTheme="minorEastAsia" w:hAnsiTheme="minorHAnsi" w:cstheme="minorHAnsi"/>
          <w:lang w:eastAsia="zh-CN"/>
        </w:rPr>
        <w:t>.</w:t>
      </w:r>
    </w:p>
    <w:p w14:paraId="3A09C332" w14:textId="30E81D2B" w:rsidR="00487A3F" w:rsidRPr="00B64995" w:rsidRDefault="00487A3F" w:rsidP="00491843">
      <w:pPr>
        <w:spacing w:after="160" w:line="259" w:lineRule="auto"/>
        <w:jc w:val="both"/>
        <w:rPr>
          <w:rFonts w:asciiTheme="minorHAnsi" w:eastAsiaTheme="minorEastAsia" w:hAnsiTheme="minorHAnsi" w:cstheme="minorHAnsi"/>
          <w:lang w:eastAsia="zh-CN"/>
        </w:rPr>
      </w:pPr>
      <w:r w:rsidRPr="00B64995">
        <w:rPr>
          <w:rFonts w:asciiTheme="minorHAnsi" w:eastAsiaTheme="minorEastAsia" w:hAnsiTheme="minorHAnsi" w:cstheme="minorHAnsi"/>
          <w:lang w:eastAsia="zh-CN"/>
        </w:rPr>
        <w:t xml:space="preserve">Additionally, a series of </w:t>
      </w:r>
      <w:r w:rsidRPr="00B64995">
        <w:rPr>
          <w:rFonts w:asciiTheme="minorHAnsi" w:eastAsiaTheme="minorEastAsia" w:hAnsiTheme="minorHAnsi" w:cstheme="minorHAnsi"/>
          <w:b/>
          <w:bCs/>
          <w:lang w:eastAsia="zh-CN"/>
        </w:rPr>
        <w:t xml:space="preserve">online, self-paced, certified-based </w:t>
      </w:r>
      <w:hyperlink r:id="rId344" w:tgtFrame="_blank" w:history="1">
        <w:r w:rsidRPr="00B64995">
          <w:rPr>
            <w:rFonts w:asciiTheme="minorHAnsi" w:eastAsiaTheme="minorEastAsia" w:hAnsiTheme="minorHAnsi" w:cstheme="minorHAnsi"/>
            <w:b/>
            <w:bCs/>
            <w:lang w:eastAsia="zh-CN"/>
          </w:rPr>
          <w:t>training</w:t>
        </w:r>
      </w:hyperlink>
      <w:r w:rsidRPr="00A060FE">
        <w:rPr>
          <w:rFonts w:asciiTheme="minorHAnsi" w:eastAsiaTheme="minorEastAsia" w:hAnsiTheme="minorHAnsi" w:cstheme="minorHAnsi"/>
          <w:b/>
          <w:bCs/>
          <w:lang w:eastAsia="zh-CN"/>
        </w:rPr>
        <w:t xml:space="preserve">s in digital accessibility were developed. All </w:t>
      </w:r>
      <w:r w:rsidRPr="00B64995">
        <w:rPr>
          <w:rFonts w:asciiTheme="minorHAnsi" w:eastAsiaTheme="minorEastAsia" w:hAnsiTheme="minorHAnsi" w:cstheme="minorHAnsi"/>
          <w:b/>
          <w:bCs/>
          <w:lang w:eastAsia="zh-CN"/>
        </w:rPr>
        <w:t>trainings are provided through the ITU Academy in several UN languages, free of charge, and are delivered in accessible formats,</w:t>
      </w:r>
      <w:r w:rsidRPr="00B64995">
        <w:rPr>
          <w:rFonts w:asciiTheme="minorHAnsi" w:eastAsiaTheme="minorEastAsia" w:hAnsiTheme="minorHAnsi" w:cstheme="minorHAnsi"/>
          <w:lang w:eastAsia="zh-CN"/>
        </w:rPr>
        <w:t xml:space="preserve"> to ensure that persons with disabilities can also benefit from these trainings. Among the topics addressed are:</w:t>
      </w:r>
    </w:p>
    <w:p w14:paraId="239235D3" w14:textId="5A21CA24" w:rsidR="00487A3F" w:rsidRPr="00B64995" w:rsidRDefault="00487A3F" w:rsidP="00491843">
      <w:pPr>
        <w:jc w:val="both"/>
        <w:textAlignment w:val="baseline"/>
        <w:rPr>
          <w:rFonts w:asciiTheme="minorHAnsi" w:eastAsiaTheme="minorEastAsia" w:hAnsiTheme="minorHAnsi" w:cstheme="minorHAnsi"/>
          <w:lang w:eastAsia="zh-CN"/>
        </w:rPr>
      </w:pPr>
      <w:r w:rsidRPr="00B64995">
        <w:rPr>
          <w:rFonts w:asciiTheme="minorHAnsi" w:eastAsiaTheme="minorEastAsia" w:hAnsiTheme="minorHAnsi" w:cstheme="minorHAnsi"/>
          <w:lang w:eastAsia="zh-CN"/>
        </w:rPr>
        <w:t>“</w:t>
      </w:r>
      <w:hyperlink r:id="rId345" w:history="1">
        <w:r w:rsidRPr="00B64995">
          <w:rPr>
            <w:rFonts w:asciiTheme="minorHAnsi" w:eastAsiaTheme="minorEastAsia" w:hAnsiTheme="minorHAnsi" w:cstheme="minorHAnsi"/>
            <w:b/>
            <w:bCs/>
            <w:color w:val="0000FF"/>
            <w:u w:val="single"/>
            <w:lang w:eastAsia="zh-CN"/>
          </w:rPr>
          <w:t>How to ensure inclusive digital communication during crises and emergency situations</w:t>
        </w:r>
      </w:hyperlink>
      <w:r w:rsidRPr="00A060FE">
        <w:rPr>
          <w:rFonts w:asciiTheme="minorHAnsi" w:eastAsiaTheme="minorEastAsia" w:hAnsiTheme="minorHAnsi" w:cstheme="minorHAnsi"/>
          <w:b/>
          <w:bCs/>
          <w:lang w:eastAsia="zh-CN"/>
        </w:rPr>
        <w:t>”,</w:t>
      </w:r>
      <w:r w:rsidRPr="00B64995">
        <w:rPr>
          <w:rFonts w:asciiTheme="minorHAnsi" w:eastAsiaTheme="minorEastAsia" w:hAnsiTheme="minorHAnsi" w:cstheme="minorHAnsi"/>
          <w:lang w:eastAsia="zh-CN"/>
        </w:rPr>
        <w:t xml:space="preserve"> which provides holistic guidance on digital accessibility and identify the five digital modalities </w:t>
      </w:r>
      <w:r w:rsidRPr="00A060FE">
        <w:rPr>
          <w:rFonts w:asciiTheme="minorHAnsi" w:eastAsiaTheme="minorEastAsia" w:hAnsiTheme="minorHAnsi" w:cstheme="minorHAnsi"/>
          <w:lang w:eastAsia="zh-CN"/>
        </w:rPr>
        <w:t xml:space="preserve">to ensure that everyone can understand information and communicate in time of emergency and crisis. The training is available in English, </w:t>
      </w:r>
      <w:proofErr w:type="gramStart"/>
      <w:r w:rsidRPr="00A060FE">
        <w:rPr>
          <w:rFonts w:asciiTheme="minorHAnsi" w:eastAsiaTheme="minorEastAsia" w:hAnsiTheme="minorHAnsi" w:cstheme="minorHAnsi"/>
          <w:lang w:eastAsia="zh-CN"/>
        </w:rPr>
        <w:t>French</w:t>
      </w:r>
      <w:proofErr w:type="gramEnd"/>
      <w:r w:rsidRPr="00A060FE">
        <w:rPr>
          <w:rFonts w:asciiTheme="minorHAnsi" w:eastAsiaTheme="minorEastAsia" w:hAnsiTheme="minorHAnsi" w:cstheme="minorHAnsi"/>
          <w:lang w:eastAsia="zh-CN"/>
        </w:rPr>
        <w:t xml:space="preserve"> and Spani</w:t>
      </w:r>
      <w:r w:rsidRPr="00B64995">
        <w:rPr>
          <w:rFonts w:asciiTheme="minorHAnsi" w:eastAsiaTheme="minorEastAsia" w:hAnsiTheme="minorHAnsi" w:cstheme="minorHAnsi"/>
          <w:lang w:eastAsia="zh-CN"/>
        </w:rPr>
        <w:t>sh, along with a video tutorial on the topic.</w:t>
      </w:r>
    </w:p>
    <w:p w14:paraId="3B279F44" w14:textId="339753CD" w:rsidR="00487A3F" w:rsidRPr="00B64995" w:rsidRDefault="00487A3F" w:rsidP="00491843">
      <w:pPr>
        <w:jc w:val="both"/>
        <w:textAlignment w:val="baseline"/>
        <w:rPr>
          <w:rFonts w:asciiTheme="minorHAnsi" w:eastAsiaTheme="minorEastAsia" w:hAnsiTheme="minorHAnsi" w:cstheme="minorHAnsi"/>
          <w:lang w:eastAsia="zh-CN"/>
        </w:rPr>
      </w:pPr>
      <w:r w:rsidRPr="00B64995">
        <w:rPr>
          <w:rFonts w:asciiTheme="minorHAnsi" w:eastAsiaTheme="minorEastAsia" w:hAnsiTheme="minorHAnsi" w:cstheme="minorHAnsi"/>
          <w:b/>
          <w:bCs/>
          <w:lang w:eastAsia="zh-CN"/>
        </w:rPr>
        <w:t xml:space="preserve">A new version of </w:t>
      </w:r>
      <w:hyperlink r:id="rId346" w:tgtFrame="_blank" w:history="1">
        <w:r w:rsidRPr="00B64995">
          <w:rPr>
            <w:rFonts w:asciiTheme="minorHAnsi" w:eastAsiaTheme="minorEastAsia" w:hAnsiTheme="minorHAnsi" w:cstheme="minorBidi"/>
            <w:b/>
            <w:bCs/>
            <w:color w:val="0000FF"/>
            <w:u w:val="single"/>
            <w:lang w:eastAsia="zh-CN"/>
          </w:rPr>
          <w:t>“ICT Accessibility – The key to inclusive communication”</w:t>
        </w:r>
        <w:r w:rsidRPr="00B64995">
          <w:rPr>
            <w:rFonts w:asciiTheme="minorHAnsi" w:eastAsiaTheme="minorEastAsia" w:hAnsiTheme="minorHAnsi" w:cstheme="minorHAnsi"/>
            <w:lang w:eastAsia="zh-CN"/>
          </w:rPr>
          <w:t xml:space="preserve"> , which includes the latest developments in accessibility and digital communication during crisis</w:t>
        </w:r>
      </w:hyperlink>
      <w:r w:rsidRPr="00A060FE">
        <w:rPr>
          <w:rFonts w:asciiTheme="minorHAnsi" w:eastAsiaTheme="minorEastAsia" w:hAnsiTheme="minorHAnsi" w:cstheme="minorHAnsi"/>
          <w:lang w:eastAsia="zh-CN"/>
        </w:rPr>
        <w:t xml:space="preserve"> situations, is now available in English, French</w:t>
      </w:r>
      <w:r w:rsidR="00A55A11" w:rsidRPr="00B64995">
        <w:rPr>
          <w:rFonts w:asciiTheme="minorHAnsi" w:eastAsiaTheme="minorEastAsia" w:hAnsiTheme="minorHAnsi" w:cstheme="minorHAnsi"/>
          <w:lang w:eastAsia="zh-CN"/>
        </w:rPr>
        <w:t xml:space="preserve"> and</w:t>
      </w:r>
      <w:r w:rsidRPr="00B64995">
        <w:rPr>
          <w:rFonts w:asciiTheme="minorHAnsi" w:eastAsiaTheme="minorEastAsia" w:hAnsiTheme="minorHAnsi" w:cstheme="minorHAnsi"/>
          <w:lang w:eastAsia="zh-CN"/>
        </w:rPr>
        <w:t xml:space="preserve"> Spanish.</w:t>
      </w:r>
    </w:p>
    <w:p w14:paraId="7A15D5B5" w14:textId="4F76AC6C" w:rsidR="00487A3F" w:rsidRPr="00B64995" w:rsidRDefault="00487A3F" w:rsidP="00491843">
      <w:pPr>
        <w:jc w:val="both"/>
        <w:textAlignment w:val="baseline"/>
        <w:rPr>
          <w:rFonts w:asciiTheme="minorHAnsi" w:eastAsiaTheme="minorEastAsia" w:hAnsiTheme="minorHAnsi" w:cstheme="minorHAnsi"/>
          <w:lang w:eastAsia="zh-CN"/>
        </w:rPr>
      </w:pPr>
      <w:r w:rsidRPr="00B64995">
        <w:rPr>
          <w:rFonts w:asciiTheme="minorHAnsi" w:eastAsiaTheme="minorEastAsia" w:hAnsiTheme="minorHAnsi" w:cstheme="minorHAnsi"/>
          <w:lang w:eastAsia="zh-CN"/>
        </w:rPr>
        <w:t xml:space="preserve">The </w:t>
      </w:r>
      <w:hyperlink r:id="rId347" w:history="1">
        <w:r w:rsidRPr="00B64995">
          <w:rPr>
            <w:rFonts w:asciiTheme="minorHAnsi" w:eastAsiaTheme="minorEastAsia" w:hAnsiTheme="minorHAnsi" w:cstheme="minorHAnsi"/>
            <w:color w:val="0000FF"/>
            <w:u w:val="single"/>
            <w:lang w:eastAsia="zh-CN"/>
          </w:rPr>
          <w:t>“Web Accessibility -The Cornerstone on an inclusive digital society”</w:t>
        </w:r>
      </w:hyperlink>
      <w:r w:rsidRPr="00A060FE">
        <w:rPr>
          <w:rFonts w:asciiTheme="minorHAnsi" w:eastAsiaTheme="minorEastAsia" w:hAnsiTheme="minorHAnsi" w:cstheme="minorHAnsi"/>
          <w:lang w:eastAsia="zh-CN"/>
        </w:rPr>
        <w:t xml:space="preserve"> training was also redesigned to include evolutions of WCAG standards and the European Accessibility laws, which can serve as role model in advancing globally digital accessibility implementation. The training is available in English, </w:t>
      </w:r>
      <w:proofErr w:type="gramStart"/>
      <w:r w:rsidRPr="00A060FE">
        <w:rPr>
          <w:rFonts w:asciiTheme="minorHAnsi" w:eastAsiaTheme="minorEastAsia" w:hAnsiTheme="minorHAnsi" w:cstheme="minorHAnsi"/>
          <w:lang w:eastAsia="zh-CN"/>
        </w:rPr>
        <w:t>French</w:t>
      </w:r>
      <w:proofErr w:type="gramEnd"/>
      <w:r w:rsidRPr="00A060FE">
        <w:rPr>
          <w:rFonts w:asciiTheme="minorHAnsi" w:eastAsiaTheme="minorEastAsia" w:hAnsiTheme="minorHAnsi" w:cstheme="minorHAnsi"/>
          <w:lang w:eastAsia="zh-CN"/>
        </w:rPr>
        <w:t xml:space="preserve"> and Spanish.</w:t>
      </w:r>
    </w:p>
    <w:p w14:paraId="32B47113" w14:textId="77777777" w:rsidR="00487A3F" w:rsidRPr="00B64995" w:rsidRDefault="00487A3F" w:rsidP="00487A3F">
      <w:pPr>
        <w:textAlignment w:val="baseline"/>
        <w:rPr>
          <w:rFonts w:asciiTheme="minorHAnsi" w:eastAsiaTheme="minorEastAsia" w:hAnsiTheme="minorHAnsi" w:cstheme="minorHAnsi"/>
          <w:lang w:eastAsia="zh-CN"/>
        </w:rPr>
      </w:pPr>
    </w:p>
    <w:p w14:paraId="4F62A42B" w14:textId="69EF7749" w:rsidR="00487A3F" w:rsidRPr="00B64995" w:rsidRDefault="00487A3F" w:rsidP="00491843">
      <w:pPr>
        <w:jc w:val="both"/>
        <w:textAlignment w:val="baseline"/>
        <w:rPr>
          <w:rFonts w:asciiTheme="minorHAnsi" w:eastAsiaTheme="minorEastAsia" w:hAnsiTheme="minorHAnsi" w:cstheme="minorHAnsi"/>
          <w:lang w:eastAsia="zh-CN"/>
        </w:rPr>
      </w:pPr>
      <w:r w:rsidRPr="00B64995">
        <w:rPr>
          <w:rFonts w:asciiTheme="minorHAnsi" w:eastAsiaTheme="minorEastAsia" w:hAnsiTheme="minorHAnsi" w:cstheme="minorHAnsi"/>
          <w:lang w:eastAsia="zh-CN"/>
        </w:rPr>
        <w:t xml:space="preserve">ITU also developed </w:t>
      </w:r>
      <w:r w:rsidRPr="00B64995">
        <w:rPr>
          <w:rFonts w:asciiTheme="minorHAnsi" w:eastAsiaTheme="minorEastAsia" w:hAnsiTheme="minorHAnsi" w:cstheme="minorHAnsi"/>
          <w:b/>
          <w:bCs/>
          <w:lang w:eastAsia="zh-CN"/>
        </w:rPr>
        <w:t>an interactive toolkit and self-assessment for ICT accessibility implementation</w:t>
      </w:r>
      <w:r w:rsidRPr="00B64995">
        <w:rPr>
          <w:rFonts w:asciiTheme="minorHAnsi" w:eastAsiaTheme="minorEastAsia" w:hAnsiTheme="minorHAnsi" w:cstheme="minorHAnsi"/>
          <w:lang w:eastAsia="zh-CN"/>
        </w:rPr>
        <w:t xml:space="preserve"> with localized content in English, </w:t>
      </w:r>
      <w:proofErr w:type="gramStart"/>
      <w:r w:rsidRPr="00B64995">
        <w:rPr>
          <w:rFonts w:asciiTheme="minorHAnsi" w:eastAsiaTheme="minorEastAsia" w:hAnsiTheme="minorHAnsi" w:cstheme="minorHAnsi"/>
          <w:lang w:eastAsia="zh-CN"/>
        </w:rPr>
        <w:t>French</w:t>
      </w:r>
      <w:proofErr w:type="gramEnd"/>
      <w:r w:rsidRPr="00B64995">
        <w:rPr>
          <w:rFonts w:asciiTheme="minorHAnsi" w:eastAsiaTheme="minorEastAsia" w:hAnsiTheme="minorHAnsi" w:cstheme="minorHAnsi"/>
          <w:lang w:eastAsia="zh-CN"/>
        </w:rPr>
        <w:t xml:space="preserve"> and Spanish. The ITU toolkit “</w:t>
      </w:r>
      <w:r w:rsidRPr="00B64995">
        <w:rPr>
          <w:rFonts w:asciiTheme="minorHAnsi" w:eastAsiaTheme="minorEastAsia" w:hAnsiTheme="minorHAnsi" w:cstheme="minorHAnsi"/>
          <w:b/>
          <w:bCs/>
          <w:i/>
          <w:iCs/>
          <w:lang w:eastAsia="zh-CN"/>
        </w:rPr>
        <w:t>Towards building inclusive digital communities”</w:t>
      </w:r>
      <w:r w:rsidRPr="00B64995">
        <w:rPr>
          <w:rFonts w:asciiTheme="minorHAnsi" w:eastAsiaTheme="minorEastAsia" w:hAnsiTheme="minorHAnsi" w:cstheme="minorHAnsi"/>
          <w:lang w:eastAsia="zh-CN"/>
        </w:rPr>
        <w:t xml:space="preserve"> assists policy makers and stakeholders </w:t>
      </w:r>
      <w:r w:rsidR="00A55A11" w:rsidRPr="00B64995">
        <w:rPr>
          <w:rFonts w:asciiTheme="minorHAnsi" w:eastAsiaTheme="minorEastAsia" w:hAnsiTheme="minorHAnsi" w:cstheme="minorHAnsi"/>
          <w:lang w:eastAsia="zh-CN"/>
        </w:rPr>
        <w:t xml:space="preserve">in </w:t>
      </w:r>
      <w:r w:rsidRPr="00B64995">
        <w:rPr>
          <w:rFonts w:asciiTheme="minorHAnsi" w:eastAsiaTheme="minorEastAsia" w:hAnsiTheme="minorHAnsi" w:cstheme="minorHAnsi"/>
          <w:lang w:eastAsia="zh-CN"/>
        </w:rPr>
        <w:t>understand</w:t>
      </w:r>
      <w:r w:rsidR="00A55A11" w:rsidRPr="00B64995">
        <w:rPr>
          <w:rFonts w:asciiTheme="minorHAnsi" w:eastAsiaTheme="minorEastAsia" w:hAnsiTheme="minorHAnsi" w:cstheme="minorHAnsi"/>
          <w:lang w:eastAsia="zh-CN"/>
        </w:rPr>
        <w:t>ing</w:t>
      </w:r>
      <w:r w:rsidRPr="00B64995">
        <w:rPr>
          <w:rFonts w:asciiTheme="minorHAnsi" w:eastAsiaTheme="minorEastAsia" w:hAnsiTheme="minorHAnsi" w:cstheme="minorHAnsi"/>
          <w:lang w:eastAsia="zh-CN"/>
        </w:rPr>
        <w:t xml:space="preserve"> and integrat</w:t>
      </w:r>
      <w:r w:rsidR="00A55A11" w:rsidRPr="00B64995">
        <w:rPr>
          <w:rFonts w:asciiTheme="minorHAnsi" w:eastAsiaTheme="minorEastAsia" w:hAnsiTheme="minorHAnsi" w:cstheme="minorHAnsi"/>
          <w:lang w:eastAsia="zh-CN"/>
        </w:rPr>
        <w:t>ing</w:t>
      </w:r>
      <w:r w:rsidRPr="00B64995">
        <w:rPr>
          <w:rFonts w:asciiTheme="minorHAnsi" w:eastAsiaTheme="minorEastAsia" w:hAnsiTheme="minorHAnsi" w:cstheme="minorHAnsi"/>
          <w:lang w:eastAsia="zh-CN"/>
        </w:rPr>
        <w:t xml:space="preserve"> principles of digital accessibility in their decision-making process to ensure inclusiveness. The resource will also facilitate development of self-assessments, provide valuable guidelines</w:t>
      </w:r>
      <w:r w:rsidR="00A55A11" w:rsidRPr="00B64995">
        <w:rPr>
          <w:rFonts w:asciiTheme="minorHAnsi" w:eastAsiaTheme="minorEastAsia" w:hAnsiTheme="minorHAnsi" w:cstheme="minorHAnsi"/>
          <w:lang w:eastAsia="zh-CN"/>
        </w:rPr>
        <w:t xml:space="preserve"> and</w:t>
      </w:r>
      <w:r w:rsidRPr="00B64995">
        <w:rPr>
          <w:rFonts w:asciiTheme="minorHAnsi" w:eastAsiaTheme="minorEastAsia" w:hAnsiTheme="minorHAnsi" w:cstheme="minorHAnsi"/>
          <w:lang w:eastAsia="zh-CN"/>
        </w:rPr>
        <w:t xml:space="preserve"> good practices, and finally will also help to monitor implementation.</w:t>
      </w:r>
    </w:p>
    <w:p w14:paraId="1640DD4A" w14:textId="000362EA" w:rsidR="00487A3F" w:rsidRPr="00B64995" w:rsidRDefault="00487A3F" w:rsidP="00491843">
      <w:pPr>
        <w:jc w:val="both"/>
        <w:textAlignment w:val="baseline"/>
        <w:rPr>
          <w:rFonts w:asciiTheme="minorHAnsi" w:eastAsiaTheme="minorEastAsia" w:hAnsiTheme="minorHAnsi" w:cstheme="minorHAnsi"/>
          <w:lang w:eastAsia="zh-CN"/>
        </w:rPr>
      </w:pPr>
    </w:p>
    <w:p w14:paraId="6A8598D5" w14:textId="22C0158C" w:rsidR="0049723A" w:rsidRPr="00B64995" w:rsidRDefault="00487A3F" w:rsidP="00491843">
      <w:pPr>
        <w:jc w:val="both"/>
        <w:textAlignment w:val="baseline"/>
        <w:rPr>
          <w:rFonts w:asciiTheme="minorHAnsi" w:eastAsiaTheme="minorEastAsia" w:hAnsiTheme="minorHAnsi" w:cstheme="minorHAnsi"/>
          <w:lang w:eastAsia="zh-CN"/>
        </w:rPr>
      </w:pPr>
      <w:r w:rsidRPr="00B64995">
        <w:rPr>
          <w:rFonts w:asciiTheme="minorHAnsi" w:eastAsiaTheme="minorEastAsia" w:hAnsiTheme="minorHAnsi" w:cstheme="minorHAnsi"/>
          <w:lang w:eastAsia="zh-CN"/>
        </w:rPr>
        <w:t xml:space="preserve">Aligned with the commitments made in the framework of the </w:t>
      </w:r>
      <w:r w:rsidR="00A55A11" w:rsidRPr="00B64995">
        <w:rPr>
          <w:rFonts w:asciiTheme="minorHAnsi" w:eastAsiaTheme="minorEastAsia" w:hAnsiTheme="minorHAnsi" w:cstheme="minorHAnsi"/>
          <w:lang w:eastAsia="zh-CN"/>
        </w:rPr>
        <w:t>United Nations Disability Inclusion Strategy (</w:t>
      </w:r>
      <w:r w:rsidRPr="00B64995">
        <w:rPr>
          <w:rFonts w:asciiTheme="minorHAnsi" w:eastAsiaTheme="minorEastAsia" w:hAnsiTheme="minorHAnsi" w:cstheme="minorHAnsi"/>
          <w:lang w:eastAsia="zh-CN"/>
        </w:rPr>
        <w:t>UNDIS</w:t>
      </w:r>
      <w:r w:rsidR="00A55A11" w:rsidRPr="00B64995">
        <w:rPr>
          <w:rFonts w:asciiTheme="minorHAnsi" w:eastAsiaTheme="minorEastAsia" w:hAnsiTheme="minorHAnsi" w:cstheme="minorHAnsi"/>
          <w:lang w:eastAsia="zh-CN"/>
        </w:rPr>
        <w:t>)</w:t>
      </w:r>
      <w:r w:rsidRPr="00B64995">
        <w:rPr>
          <w:rFonts w:asciiTheme="minorHAnsi" w:eastAsiaTheme="minorEastAsia" w:hAnsiTheme="minorHAnsi" w:cstheme="minorHAnsi"/>
          <w:lang w:eastAsia="zh-CN"/>
        </w:rPr>
        <w:t xml:space="preserve"> to achieve sustainable and transformative progress on disability inclusion</w:t>
      </w:r>
      <w:r w:rsidRPr="00B64995">
        <w:rPr>
          <w:rFonts w:asciiTheme="minorHAnsi" w:eastAsiaTheme="minorEastAsia" w:hAnsiTheme="minorHAnsi" w:cstheme="minorHAnsi"/>
          <w:b/>
          <w:bCs/>
          <w:lang w:eastAsia="zh-CN"/>
        </w:rPr>
        <w:t xml:space="preserve">, ITU has </w:t>
      </w:r>
      <w:r w:rsidR="00A55A11" w:rsidRPr="00B64995">
        <w:rPr>
          <w:rFonts w:asciiTheme="minorHAnsi" w:eastAsiaTheme="minorEastAsia" w:hAnsiTheme="minorHAnsi" w:cstheme="minorHAnsi"/>
          <w:b/>
          <w:bCs/>
          <w:lang w:eastAsia="zh-CN"/>
        </w:rPr>
        <w:t xml:space="preserve">also </w:t>
      </w:r>
      <w:r w:rsidRPr="00B64995">
        <w:rPr>
          <w:rFonts w:asciiTheme="minorHAnsi" w:eastAsiaTheme="minorEastAsia" w:hAnsiTheme="minorHAnsi" w:cstheme="minorHAnsi"/>
          <w:b/>
          <w:bCs/>
          <w:lang w:eastAsia="zh-CN"/>
        </w:rPr>
        <w:t>been working with ILO on a project</w:t>
      </w:r>
      <w:r w:rsidRPr="00B64995">
        <w:rPr>
          <w:rFonts w:asciiTheme="minorHAnsi" w:eastAsiaTheme="minorEastAsia" w:hAnsiTheme="minorHAnsi" w:cstheme="minorHAnsi"/>
          <w:lang w:eastAsia="zh-CN"/>
        </w:rPr>
        <w:t xml:space="preserve"> planned to be implemented next year on </w:t>
      </w:r>
      <w:r w:rsidRPr="00B64995">
        <w:rPr>
          <w:rFonts w:asciiTheme="minorHAnsi" w:eastAsiaTheme="minorEastAsia" w:hAnsiTheme="minorHAnsi" w:cstheme="minorHAnsi"/>
          <w:b/>
          <w:bCs/>
          <w:lang w:eastAsia="zh-CN"/>
        </w:rPr>
        <w:t>“</w:t>
      </w:r>
      <w:r w:rsidRPr="00B64995">
        <w:rPr>
          <w:rFonts w:asciiTheme="minorHAnsi" w:eastAsiaTheme="minorEastAsia" w:hAnsiTheme="minorHAnsi" w:cstheme="minorHAnsi"/>
          <w:b/>
          <w:bCs/>
          <w:i/>
          <w:iCs/>
          <w:lang w:eastAsia="zh-CN"/>
        </w:rPr>
        <w:t>Accessibility of Online Job Application and Recruitment Systems”</w:t>
      </w:r>
      <w:r w:rsidRPr="00B64995">
        <w:rPr>
          <w:rFonts w:asciiTheme="minorHAnsi" w:eastAsiaTheme="minorEastAsia" w:hAnsiTheme="minorHAnsi" w:cstheme="minorHAnsi"/>
          <w:lang w:eastAsia="zh-CN"/>
        </w:rPr>
        <w:t xml:space="preserve"> to provide guidance and develop the capacity of governments and UN agencies.</w:t>
      </w:r>
    </w:p>
    <w:p w14:paraId="3CCE1FB2" w14:textId="11AE65D7" w:rsidR="00487A3F" w:rsidRPr="00B64995" w:rsidRDefault="00487A3F" w:rsidP="00487A3F">
      <w:pPr>
        <w:textAlignment w:val="baseline"/>
        <w:rPr>
          <w:rFonts w:asciiTheme="minorHAnsi" w:eastAsiaTheme="minorEastAsia" w:hAnsiTheme="minorHAnsi" w:cstheme="minorHAnsi"/>
          <w:lang w:eastAsia="zh-CN"/>
        </w:rPr>
      </w:pPr>
    </w:p>
    <w:p w14:paraId="54250739" w14:textId="01B02BB8" w:rsidR="00487A3F" w:rsidRPr="00A060FE" w:rsidRDefault="00487A3F" w:rsidP="00487A3F">
      <w:pPr>
        <w:jc w:val="both"/>
        <w:rPr>
          <w:rFonts w:asciiTheme="minorHAnsi" w:eastAsiaTheme="minorEastAsia" w:hAnsiTheme="minorHAnsi" w:cstheme="minorHAnsi"/>
          <w:lang w:eastAsia="zh-CN"/>
        </w:rPr>
      </w:pPr>
      <w:r w:rsidRPr="00B64995">
        <w:rPr>
          <w:rFonts w:asciiTheme="minorHAnsi" w:eastAsiaTheme="minorEastAsia" w:hAnsiTheme="minorHAnsi" w:cstheme="minorHAnsi"/>
          <w:lang w:eastAsia="zh-CN"/>
        </w:rPr>
        <w:lastRenderedPageBreak/>
        <w:t>Finally, in response to the UN Secretary</w:t>
      </w:r>
      <w:r w:rsidR="00056037" w:rsidRPr="00B64995">
        <w:rPr>
          <w:rFonts w:asciiTheme="minorHAnsi" w:eastAsiaTheme="minorEastAsia" w:hAnsiTheme="minorHAnsi" w:cstheme="minorHAnsi"/>
          <w:lang w:eastAsia="zh-CN"/>
        </w:rPr>
        <w:t>-</w:t>
      </w:r>
      <w:r w:rsidRPr="00B64995">
        <w:rPr>
          <w:rFonts w:asciiTheme="minorHAnsi" w:eastAsiaTheme="minorEastAsia" w:hAnsiTheme="minorHAnsi" w:cstheme="minorHAnsi"/>
          <w:lang w:eastAsia="zh-CN"/>
        </w:rPr>
        <w:t xml:space="preserve">General’s Policy Brief on Disability Inclusion, ITU organized and/or actively participated in multiple virtual global and regional thematic webinars, meetings and events </w:t>
      </w:r>
      <w:r w:rsidRPr="00B64995">
        <w:rPr>
          <w:rFonts w:asciiTheme="minorHAnsi" w:eastAsiaTheme="minorEastAsia" w:hAnsiTheme="minorHAnsi" w:cstheme="minorHAnsi"/>
          <w:b/>
          <w:bCs/>
          <w:lang w:eastAsia="zh-CN"/>
        </w:rPr>
        <w:t>raising awareness</w:t>
      </w:r>
      <w:r w:rsidRPr="00B64995">
        <w:rPr>
          <w:rFonts w:asciiTheme="minorHAnsi" w:eastAsiaTheme="minorEastAsia" w:hAnsiTheme="minorHAnsi" w:cstheme="minorHAnsi"/>
          <w:lang w:eastAsia="zh-CN"/>
        </w:rPr>
        <w:t xml:space="preserve"> of the need for inclusive digital communication. These included: within UNDIS, the </w:t>
      </w:r>
      <w:hyperlink r:id="rId348" w:tgtFrame="_blank" w:history="1">
        <w:r w:rsidR="00616541" w:rsidRPr="00B64995">
          <w:rPr>
            <w:rFonts w:asciiTheme="minorHAnsi" w:eastAsiaTheme="minorEastAsia" w:hAnsiTheme="minorHAnsi" w:cstheme="minorHAnsi"/>
            <w:color w:val="0000FF"/>
            <w:u w:val="single"/>
            <w:lang w:eastAsia="zh-CN"/>
          </w:rPr>
          <w:t>WSIS Forum 2020</w:t>
        </w:r>
      </w:hyperlink>
      <w:r w:rsidRPr="00A060FE">
        <w:rPr>
          <w:rFonts w:asciiTheme="minorHAnsi" w:eastAsiaTheme="minorEastAsia" w:hAnsiTheme="minorHAnsi" w:cstheme="minorHAnsi"/>
          <w:lang w:eastAsia="zh-CN"/>
        </w:rPr>
        <w:t xml:space="preserve">, the regional Inclusive Conference in Africa, in ASP with UNITAR, within </w:t>
      </w:r>
      <w:hyperlink r:id="rId349" w:history="1">
        <w:r w:rsidRPr="00B64995">
          <w:rPr>
            <w:rFonts w:asciiTheme="minorHAnsi" w:eastAsiaTheme="minorEastAsia" w:hAnsiTheme="minorHAnsi" w:cstheme="minorHAnsi"/>
            <w:color w:val="0000FF"/>
            <w:u w:val="single"/>
            <w:lang w:eastAsia="zh-CN"/>
          </w:rPr>
          <w:t>Accessible Americas 2020</w:t>
        </w:r>
      </w:hyperlink>
      <w:r w:rsidRPr="00A060FE">
        <w:rPr>
          <w:rFonts w:asciiTheme="minorHAnsi" w:eastAsiaTheme="minorEastAsia" w:hAnsiTheme="minorHAnsi" w:cstheme="minorHAnsi"/>
          <w:lang w:eastAsia="zh-CN"/>
        </w:rPr>
        <w:t xml:space="preserve">, in </w:t>
      </w:r>
      <w:hyperlink r:id="rId350" w:history="1">
        <w:r w:rsidRPr="00B64995">
          <w:rPr>
            <w:rFonts w:asciiTheme="minorHAnsi" w:eastAsiaTheme="minorEastAsia" w:hAnsiTheme="minorHAnsi" w:cstheme="minorHAnsi"/>
            <w:color w:val="0000FF"/>
            <w:u w:val="single"/>
            <w:lang w:eastAsia="zh-CN"/>
          </w:rPr>
          <w:t>Towards Digitally Accessible Europe</w:t>
        </w:r>
      </w:hyperlink>
      <w:r w:rsidR="003E634A">
        <w:rPr>
          <w:rFonts w:asciiTheme="minorHAnsi" w:eastAsiaTheme="minorEastAsia" w:hAnsiTheme="minorHAnsi" w:cstheme="minorHAnsi"/>
          <w:lang w:eastAsia="zh-CN"/>
        </w:rPr>
        <w:t xml:space="preserve">. </w:t>
      </w:r>
      <w:r w:rsidR="003E634A" w:rsidRPr="00570F0C">
        <w:rPr>
          <w:rFonts w:asciiTheme="minorHAnsi" w:eastAsiaTheme="minorEastAsia" w:hAnsiTheme="minorHAnsi" w:cstheme="minorHAnsi"/>
          <w:lang w:eastAsia="zh-CN"/>
        </w:rPr>
        <w:t>They were also</w:t>
      </w:r>
      <w:r w:rsidRPr="00570F0C">
        <w:rPr>
          <w:rFonts w:asciiTheme="minorHAnsi" w:eastAsiaTheme="minorEastAsia" w:hAnsiTheme="minorHAnsi" w:cstheme="minorHAnsi"/>
          <w:lang w:eastAsia="zh-CN"/>
        </w:rPr>
        <w:t xml:space="preserve"> ITU Study Group</w:t>
      </w:r>
      <w:r w:rsidRPr="00A060FE">
        <w:rPr>
          <w:rFonts w:asciiTheme="minorHAnsi" w:eastAsiaTheme="minorEastAsia" w:hAnsiTheme="minorHAnsi" w:cstheme="minorHAnsi"/>
          <w:lang w:eastAsia="zh-CN"/>
        </w:rPr>
        <w:t xml:space="preserve"> meetings on ICT accessibility, to mention only few</w:t>
      </w:r>
      <w:r w:rsidR="00270987" w:rsidRPr="00B64995">
        <w:rPr>
          <w:rFonts w:asciiTheme="minorHAnsi" w:eastAsiaTheme="minorEastAsia" w:hAnsiTheme="minorHAnsi" w:cstheme="minorHAnsi"/>
          <w:lang w:eastAsia="zh-CN"/>
        </w:rPr>
        <w:t>.</w:t>
      </w:r>
    </w:p>
    <w:p w14:paraId="7D59E28E" w14:textId="7C554DDB" w:rsidR="00270987" w:rsidRPr="00B64995" w:rsidRDefault="00270987" w:rsidP="00487A3F">
      <w:pPr>
        <w:jc w:val="both"/>
        <w:rPr>
          <w:rFonts w:asciiTheme="minorHAnsi" w:eastAsiaTheme="minorEastAsia" w:hAnsiTheme="minorHAnsi" w:cstheme="minorHAnsi"/>
          <w:lang w:eastAsia="zh-CN"/>
        </w:rPr>
      </w:pPr>
    </w:p>
    <w:p w14:paraId="631F06E4" w14:textId="52766A82" w:rsidR="0049723A" w:rsidRPr="00B64995" w:rsidRDefault="00270987" w:rsidP="00487A3F">
      <w:pPr>
        <w:jc w:val="both"/>
      </w:pPr>
      <w:r w:rsidRPr="00B64995">
        <w:t xml:space="preserve">Examples of ITU’s work on accessibility-related standards can be found </w:t>
      </w:r>
      <w:r w:rsidR="00616541" w:rsidRPr="00B64995">
        <w:t xml:space="preserve">in </w:t>
      </w:r>
      <w:r w:rsidRPr="00B64995">
        <w:t>section 1.3.</w:t>
      </w:r>
    </w:p>
    <w:p w14:paraId="47F5A115" w14:textId="33050860" w:rsidR="00487A3F" w:rsidRPr="00B64995" w:rsidRDefault="00487A3F" w:rsidP="00614D53">
      <w:pPr>
        <w:jc w:val="both"/>
      </w:pPr>
    </w:p>
    <w:p w14:paraId="60D8143D" w14:textId="77777777" w:rsidR="0049723A" w:rsidRPr="00B64995" w:rsidRDefault="4F0DD22D" w:rsidP="00614D53">
      <w:pPr>
        <w:jc w:val="both"/>
      </w:pPr>
      <w:r w:rsidRPr="00B64995">
        <w:t xml:space="preserve">Further information is available </w:t>
      </w:r>
      <w:hyperlink r:id="rId351">
        <w:r w:rsidR="1D6507E9" w:rsidRPr="00B64995">
          <w:rPr>
            <w:rStyle w:val="Hyperlink"/>
          </w:rPr>
          <w:t>online</w:t>
        </w:r>
      </w:hyperlink>
      <w:r w:rsidR="4A8BD39E" w:rsidRPr="00A060FE">
        <w:t>.</w:t>
      </w:r>
    </w:p>
    <w:p w14:paraId="49406179" w14:textId="50A83A79" w:rsidR="00B36DE2" w:rsidRPr="00B64995" w:rsidRDefault="00B36DE2" w:rsidP="00614D53">
      <w:pPr>
        <w:jc w:val="both"/>
      </w:pPr>
    </w:p>
    <w:p w14:paraId="30A8C26A" w14:textId="23E0EEF8" w:rsidR="382927C9" w:rsidRPr="00B64995" w:rsidRDefault="382927C9" w:rsidP="00A83DAA">
      <w:pPr>
        <w:pStyle w:val="Heading5"/>
      </w:pPr>
      <w:r w:rsidRPr="00B64995">
        <w:t xml:space="preserve">Indigenous </w:t>
      </w:r>
      <w:r w:rsidR="00AA3930">
        <w:t>p</w:t>
      </w:r>
      <w:r w:rsidRPr="00B64995">
        <w:t>eople</w:t>
      </w:r>
    </w:p>
    <w:p w14:paraId="43C63EA1" w14:textId="2BC79AA8" w:rsidR="382927C9" w:rsidRPr="00B64995" w:rsidRDefault="382927C9" w:rsidP="2ABC6160">
      <w:pPr>
        <w:jc w:val="both"/>
      </w:pPr>
      <w:r w:rsidRPr="00B64995">
        <w:t xml:space="preserve">To empower indigenous people and communities through technology, </w:t>
      </w:r>
      <w:hyperlink r:id="rId352">
        <w:r w:rsidRPr="00B64995">
          <w:rPr>
            <w:rStyle w:val="Hyperlink"/>
          </w:rPr>
          <w:t>capacity-building trainings for indigenous communities</w:t>
        </w:r>
      </w:hyperlink>
      <w:r w:rsidRPr="00A060FE">
        <w:t>, tailored to their specific need</w:t>
      </w:r>
      <w:r w:rsidRPr="00B64995">
        <w:t xml:space="preserve">s and topics of interest, were organized. These trainings </w:t>
      </w:r>
      <w:proofErr w:type="gramStart"/>
      <w:r w:rsidRPr="00B64995">
        <w:t>take into account</w:t>
      </w:r>
      <w:proofErr w:type="gramEnd"/>
      <w:r w:rsidRPr="00B64995">
        <w:t xml:space="preserve"> self-sustainability aspects and cultural legacy.</w:t>
      </w:r>
    </w:p>
    <w:p w14:paraId="49E398E2" w14:textId="55F38F52" w:rsidR="00951E14" w:rsidRPr="00B64995" w:rsidRDefault="00951E14" w:rsidP="00B36DE2">
      <w:pPr>
        <w:shd w:val="clear" w:color="auto" w:fill="FFFFFF" w:themeFill="background1"/>
        <w:jc w:val="both"/>
        <w:rPr>
          <w:b/>
          <w:lang w:eastAsia="en-GB"/>
        </w:rPr>
      </w:pPr>
    </w:p>
    <w:p w14:paraId="23D555E3" w14:textId="2222F040" w:rsidR="008954F4" w:rsidRPr="00B64995" w:rsidRDefault="00026FC6" w:rsidP="00026FC6">
      <w:pPr>
        <w:pStyle w:val="Heading2"/>
        <w:rPr>
          <w:lang w:eastAsia="en-GB"/>
        </w:rPr>
      </w:pPr>
      <w:bookmarkStart w:id="66" w:name="_Toc37860462"/>
      <w:bookmarkStart w:id="67" w:name="_Toc37861223"/>
      <w:bookmarkStart w:id="68" w:name="_Toc37943346"/>
      <w:bookmarkStart w:id="69" w:name="_Toc68811412"/>
      <w:bookmarkStart w:id="70" w:name="Section_1_8"/>
      <w:bookmarkStart w:id="71" w:name="_Hlk37860300"/>
      <w:r w:rsidRPr="00B64995">
        <w:rPr>
          <w:lang w:eastAsia="en-GB"/>
        </w:rPr>
        <w:t>1.8</w:t>
      </w:r>
      <w:r w:rsidRPr="00B64995">
        <w:rPr>
          <w:lang w:eastAsia="en-GB"/>
        </w:rPr>
        <w:tab/>
      </w:r>
      <w:r w:rsidR="009F7C95" w:rsidRPr="00B64995">
        <w:rPr>
          <w:lang w:eastAsia="en-GB"/>
        </w:rPr>
        <w:t>C</w:t>
      </w:r>
      <w:r w:rsidR="0012684D" w:rsidRPr="00B64995">
        <w:rPr>
          <w:lang w:eastAsia="en-GB"/>
        </w:rPr>
        <w:t>OVID</w:t>
      </w:r>
      <w:r w:rsidR="009F7C95" w:rsidRPr="00B64995">
        <w:rPr>
          <w:lang w:eastAsia="en-GB"/>
        </w:rPr>
        <w:t>-19 related activities/response</w:t>
      </w:r>
      <w:r w:rsidR="00796368" w:rsidRPr="00B64995">
        <w:rPr>
          <w:lang w:eastAsia="en-GB"/>
        </w:rPr>
        <w:t>s</w:t>
      </w:r>
      <w:bookmarkEnd w:id="66"/>
      <w:bookmarkEnd w:id="67"/>
      <w:bookmarkEnd w:id="68"/>
      <w:bookmarkEnd w:id="69"/>
    </w:p>
    <w:bookmarkEnd w:id="70"/>
    <w:p w14:paraId="52B7573E" w14:textId="6FABBDAD" w:rsidR="009F7C95" w:rsidRPr="00B64995" w:rsidRDefault="009F7C95" w:rsidP="00614D53">
      <w:pPr>
        <w:rPr>
          <w:lang w:eastAsia="en-GB"/>
        </w:rPr>
      </w:pPr>
    </w:p>
    <w:p w14:paraId="17CCFFFB" w14:textId="3491E958" w:rsidR="0049723A" w:rsidRPr="00B64995" w:rsidRDefault="00BB21D9" w:rsidP="00D61F99">
      <w:pPr>
        <w:spacing w:after="120"/>
        <w:jc w:val="both"/>
        <w:rPr>
          <w:rFonts w:cstheme="minorHAnsi"/>
        </w:rPr>
      </w:pPr>
      <w:r w:rsidRPr="00B64995">
        <w:rPr>
          <w:rFonts w:cstheme="minorHAnsi"/>
        </w:rPr>
        <w:t>Coronavirus disease (COVID-19) has plunged the world into an unprecedented crisis, with billions confined to their homes worldwide, now relying on ICT</w:t>
      </w:r>
      <w:r w:rsidR="00664605" w:rsidRPr="00B64995">
        <w:rPr>
          <w:rFonts w:cstheme="minorHAnsi"/>
        </w:rPr>
        <w:t>s</w:t>
      </w:r>
      <w:r w:rsidRPr="00B64995">
        <w:rPr>
          <w:rFonts w:cstheme="minorHAnsi"/>
        </w:rPr>
        <w:t xml:space="preserve"> for continued access to education, healthcare, work and essential goods and services. From teleworking and e-commerce to telemedicine and remote learning, COVID-19 </w:t>
      </w:r>
      <w:r w:rsidRPr="00B64995">
        <w:rPr>
          <w:rFonts w:cstheme="minorHAnsi"/>
          <w:color w:val="000000"/>
          <w:shd w:val="clear" w:color="auto" w:fill="FFFFFF"/>
        </w:rPr>
        <w:t xml:space="preserve">is </w:t>
      </w:r>
      <w:r w:rsidRPr="00B64995">
        <w:rPr>
          <w:rFonts w:cstheme="minorHAnsi"/>
        </w:rPr>
        <w:t>the first pandemic in human history where ICT and social media are being used on a massive scale, driving the global collective response to the disease and digital transformation across the world.</w:t>
      </w:r>
    </w:p>
    <w:p w14:paraId="50B0C455" w14:textId="2678194A" w:rsidR="0049723A" w:rsidRPr="00B64995" w:rsidRDefault="00BB21D9" w:rsidP="31295726">
      <w:pPr>
        <w:spacing w:after="120"/>
        <w:jc w:val="both"/>
        <w:rPr>
          <w:rFonts w:cstheme="minorBidi"/>
        </w:rPr>
      </w:pPr>
      <w:r w:rsidRPr="00B64995">
        <w:rPr>
          <w:rFonts w:cstheme="minorBidi"/>
        </w:rPr>
        <w:t>The COVID-19 crisis we are in today highlights the fundamental importance of ICT to economies and societies everywhere. In response, ITU</w:t>
      </w:r>
      <w:r w:rsidR="6A74254B" w:rsidRPr="00B64995">
        <w:rPr>
          <w:rFonts w:cstheme="minorBidi"/>
        </w:rPr>
        <w:t xml:space="preserve"> </w:t>
      </w:r>
      <w:r w:rsidRPr="00B64995">
        <w:rPr>
          <w:rFonts w:cstheme="minorBidi"/>
        </w:rPr>
        <w:t xml:space="preserve">has called on the </w:t>
      </w:r>
      <w:r w:rsidR="00E306B3" w:rsidRPr="00B64995">
        <w:rPr>
          <w:rFonts w:cstheme="minorBidi"/>
        </w:rPr>
        <w:t xml:space="preserve">global </w:t>
      </w:r>
      <w:r w:rsidRPr="00B64995">
        <w:rPr>
          <w:rFonts w:cstheme="minorBidi"/>
        </w:rPr>
        <w:t>ICT community and others to rise to the challenge and strengthen the multilateral, collective digital response to COVID-19.</w:t>
      </w:r>
    </w:p>
    <w:p w14:paraId="452AEBBF" w14:textId="04354754" w:rsidR="5784072D" w:rsidRPr="00B64995" w:rsidRDefault="5784072D" w:rsidP="00430324">
      <w:pPr>
        <w:jc w:val="both"/>
        <w:rPr>
          <w:rFonts w:eastAsia="Calibri"/>
          <w:color w:val="000000" w:themeColor="text1"/>
        </w:rPr>
      </w:pPr>
      <w:r w:rsidRPr="00B64995">
        <w:rPr>
          <w:rFonts w:eastAsia="Calibri"/>
          <w:color w:val="000000" w:themeColor="text1"/>
        </w:rPr>
        <w:t xml:space="preserve">Throughout 2020 </w:t>
      </w:r>
      <w:r w:rsidR="00E12CC2" w:rsidRPr="00B64995">
        <w:rPr>
          <w:rFonts w:eastAsia="Calibri"/>
          <w:color w:val="000000" w:themeColor="text1"/>
        </w:rPr>
        <w:t>ITU</w:t>
      </w:r>
      <w:r w:rsidRPr="00B64995">
        <w:rPr>
          <w:rFonts w:eastAsia="Calibri"/>
          <w:color w:val="000000" w:themeColor="text1"/>
        </w:rPr>
        <w:t xml:space="preserve"> has helped countries and industries to cope with the challenges posed by the COVID pandemic to connectivity and the increased pressure placed on global networks. We have achieved this through several program</w:t>
      </w:r>
      <w:r w:rsidR="00664605" w:rsidRPr="00B64995">
        <w:rPr>
          <w:rFonts w:eastAsia="Calibri"/>
          <w:color w:val="000000" w:themeColor="text1"/>
        </w:rPr>
        <w:t>me</w:t>
      </w:r>
      <w:r w:rsidRPr="00B64995">
        <w:rPr>
          <w:rFonts w:eastAsia="Calibri"/>
          <w:color w:val="000000" w:themeColor="text1"/>
        </w:rPr>
        <w:t xml:space="preserve">s, initiatives, platforms, </w:t>
      </w:r>
      <w:r w:rsidR="00F930D6" w:rsidRPr="00B64995">
        <w:rPr>
          <w:rFonts w:eastAsia="Calibri"/>
          <w:color w:val="000000" w:themeColor="text1"/>
        </w:rPr>
        <w:t>partnerships,</w:t>
      </w:r>
      <w:r w:rsidRPr="00B64995">
        <w:rPr>
          <w:rFonts w:eastAsia="Calibri"/>
          <w:color w:val="000000" w:themeColor="text1"/>
        </w:rPr>
        <w:t xml:space="preserve"> and collaborations, some of which we want to highlight</w:t>
      </w:r>
      <w:r w:rsidR="001A2C44" w:rsidRPr="00B64995">
        <w:rPr>
          <w:rFonts w:eastAsia="Calibri"/>
          <w:color w:val="000000" w:themeColor="text1"/>
        </w:rPr>
        <w:t xml:space="preserve"> in the </w:t>
      </w:r>
      <w:hyperlink r:id="rId353" w:history="1">
        <w:r w:rsidR="001A2C44" w:rsidRPr="00B64995">
          <w:rPr>
            <w:rStyle w:val="Hyperlink"/>
            <w:rFonts w:eastAsia="Calibri"/>
          </w:rPr>
          <w:t>dedicated website</w:t>
        </w:r>
      </w:hyperlink>
      <w:r w:rsidR="001A2C44" w:rsidRPr="00A060FE">
        <w:rPr>
          <w:rFonts w:eastAsia="Calibri"/>
          <w:color w:val="000000" w:themeColor="text1"/>
        </w:rPr>
        <w:t xml:space="preserve"> as well as</w:t>
      </w:r>
      <w:r w:rsidRPr="00B64995">
        <w:rPr>
          <w:rFonts w:eastAsia="Calibri"/>
          <w:color w:val="000000" w:themeColor="text1"/>
        </w:rPr>
        <w:t xml:space="preserve"> below.</w:t>
      </w:r>
    </w:p>
    <w:p w14:paraId="6836587F" w14:textId="6393B7A0" w:rsidR="5784072D" w:rsidRPr="00B64995" w:rsidRDefault="5784072D" w:rsidP="00430324">
      <w:pPr>
        <w:jc w:val="both"/>
        <w:rPr>
          <w:rFonts w:eastAsia="Calibri"/>
          <w:color w:val="000000" w:themeColor="text1"/>
        </w:rPr>
      </w:pPr>
      <w:r w:rsidRPr="00B64995">
        <w:rPr>
          <w:rFonts w:eastAsia="Calibri"/>
          <w:color w:val="000000" w:themeColor="text1"/>
        </w:rPr>
        <w:t xml:space="preserve">The </w:t>
      </w:r>
      <w:hyperlink r:id="rId354" w:history="1">
        <w:r w:rsidRPr="00B64995">
          <w:rPr>
            <w:rStyle w:val="Hyperlink"/>
            <w:rFonts w:eastAsia="Calibri"/>
            <w:b/>
            <w:bCs/>
          </w:rPr>
          <w:t>Global Network Resiliency Platform</w:t>
        </w:r>
        <w:r w:rsidRPr="00B64995">
          <w:rPr>
            <w:rStyle w:val="Hyperlink"/>
            <w:rFonts w:eastAsia="Calibri"/>
          </w:rPr>
          <w:t xml:space="preserve"> </w:t>
        </w:r>
        <w:r w:rsidR="008D3744" w:rsidRPr="00B64995">
          <w:rPr>
            <w:rStyle w:val="Hyperlink"/>
            <w:rFonts w:eastAsia="Calibri"/>
          </w:rPr>
          <w:t>(</w:t>
        </w:r>
        <w:r w:rsidRPr="00B64995">
          <w:rPr>
            <w:rStyle w:val="Hyperlink"/>
            <w:rFonts w:eastAsia="Calibri"/>
          </w:rPr>
          <w:t>#REG4COVID</w:t>
        </w:r>
        <w:r w:rsidR="008D3744" w:rsidRPr="00B64995">
          <w:rPr>
            <w:rStyle w:val="Hyperlink"/>
            <w:rFonts w:eastAsia="Calibri"/>
          </w:rPr>
          <w:t>)</w:t>
        </w:r>
      </w:hyperlink>
      <w:r w:rsidRPr="00B64995">
        <w:rPr>
          <w:rFonts w:eastAsia="Calibri"/>
          <w:color w:val="000000" w:themeColor="text1"/>
        </w:rPr>
        <w:t xml:space="preserve"> assists national policy-makers, regulators and industry stakeholders in ensuring that networks are kept resilient and telecommunication services are safe and available to all. During the first months of the pandemic</w:t>
      </w:r>
      <w:r w:rsidR="00FE1468" w:rsidRPr="00B64995">
        <w:rPr>
          <w:rFonts w:eastAsia="Calibri"/>
          <w:color w:val="000000" w:themeColor="text1"/>
        </w:rPr>
        <w:t xml:space="preserve"> </w:t>
      </w:r>
      <w:r w:rsidR="0054705B" w:rsidRPr="00B64995">
        <w:rPr>
          <w:rFonts w:eastAsia="Calibri"/>
          <w:color w:val="000000" w:themeColor="text1"/>
        </w:rPr>
        <w:t>(</w:t>
      </w:r>
      <w:r w:rsidR="00FE1468" w:rsidRPr="00B64995">
        <w:rPr>
          <w:rFonts w:eastAsia="Calibri"/>
          <w:color w:val="000000" w:themeColor="text1"/>
        </w:rPr>
        <w:t>April to September 2020</w:t>
      </w:r>
      <w:r w:rsidR="0054705B" w:rsidRPr="00B64995">
        <w:rPr>
          <w:rFonts w:eastAsia="Calibri"/>
          <w:color w:val="000000" w:themeColor="text1"/>
        </w:rPr>
        <w:t>)</w:t>
      </w:r>
      <w:r w:rsidRPr="00B64995">
        <w:rPr>
          <w:rFonts w:eastAsia="Calibri"/>
          <w:color w:val="000000" w:themeColor="text1"/>
        </w:rPr>
        <w:t>, exceptional temporary regulatory measures taken by ICT stakeholders around the world were shared to ensure immediate response to alleviate network congestion</w:t>
      </w:r>
      <w:r w:rsidR="00664605" w:rsidRPr="00B64995">
        <w:rPr>
          <w:rFonts w:eastAsia="Calibri"/>
          <w:color w:val="000000" w:themeColor="text1"/>
        </w:rPr>
        <w:t xml:space="preserve"> and</w:t>
      </w:r>
      <w:r w:rsidRPr="00B64995">
        <w:rPr>
          <w:rFonts w:eastAsia="Calibri"/>
          <w:color w:val="000000" w:themeColor="text1"/>
        </w:rPr>
        <w:t xml:space="preserve"> ensure continuity of vital services and access to online solutions for health, education, financial, </w:t>
      </w:r>
      <w:proofErr w:type="gramStart"/>
      <w:r w:rsidRPr="00B64995">
        <w:rPr>
          <w:rFonts w:eastAsia="Calibri"/>
          <w:color w:val="000000" w:themeColor="text1"/>
        </w:rPr>
        <w:t>governmental</w:t>
      </w:r>
      <w:proofErr w:type="gramEnd"/>
      <w:r w:rsidRPr="00B64995">
        <w:rPr>
          <w:rFonts w:eastAsia="Calibri"/>
          <w:color w:val="000000" w:themeColor="text1"/>
        </w:rPr>
        <w:t xml:space="preserve"> and social business continuity while protecting users’ rights. A call to all ICT stakeholders was launched in November </w:t>
      </w:r>
      <w:r w:rsidR="00FE1468" w:rsidRPr="00B64995">
        <w:rPr>
          <w:rFonts w:eastAsia="Calibri"/>
          <w:color w:val="000000" w:themeColor="text1"/>
        </w:rPr>
        <w:t xml:space="preserve">2020 </w:t>
      </w:r>
      <w:r w:rsidRPr="00B64995">
        <w:rPr>
          <w:rFonts w:eastAsia="Calibri"/>
          <w:color w:val="000000" w:themeColor="text1"/>
        </w:rPr>
        <w:t>to share the impact of immediate measures taken to keep communities connected and identify the new policies put in place for the COVID-19 recovery.</w:t>
      </w:r>
    </w:p>
    <w:p w14:paraId="3C8F00A9" w14:textId="3589E4F0" w:rsidR="0049723A" w:rsidRPr="00B64995" w:rsidRDefault="0049723A" w:rsidP="00430324">
      <w:pPr>
        <w:jc w:val="both"/>
        <w:rPr>
          <w:rFonts w:eastAsia="Calibri"/>
          <w:b/>
          <w:bCs/>
          <w:color w:val="4472C4" w:themeColor="accent1"/>
        </w:rPr>
      </w:pPr>
    </w:p>
    <w:p w14:paraId="718E4DE6" w14:textId="481584FF" w:rsidR="5784072D" w:rsidRPr="00B64995" w:rsidRDefault="00570F0C" w:rsidP="6844BCB7">
      <w:pPr>
        <w:jc w:val="both"/>
        <w:rPr>
          <w:rFonts w:eastAsia="Calibri"/>
          <w:color w:val="000000" w:themeColor="text1"/>
        </w:rPr>
      </w:pPr>
      <w:hyperlink r:id="rId355" w:history="1">
        <w:r w:rsidR="5784072D" w:rsidRPr="00B64995">
          <w:rPr>
            <w:rStyle w:val="Hyperlink"/>
            <w:rFonts w:eastAsia="Calibri"/>
          </w:rPr>
          <w:t>Connect2Recover</w:t>
        </w:r>
      </w:hyperlink>
      <w:r w:rsidR="5784072D" w:rsidRPr="00A060FE">
        <w:rPr>
          <w:rFonts w:eastAsia="Calibri"/>
          <w:color w:val="201F1E"/>
        </w:rPr>
        <w:t>, launched i</w:t>
      </w:r>
      <w:r w:rsidR="5784072D" w:rsidRPr="00B64995">
        <w:rPr>
          <w:rFonts w:eastAsia="Calibri"/>
          <w:color w:val="000000" w:themeColor="text1"/>
        </w:rPr>
        <w:t>n collaboration with the Government of Japan and the Kingdom of Saudi Arabia</w:t>
      </w:r>
      <w:r w:rsidR="1C605215" w:rsidRPr="00B64995">
        <w:rPr>
          <w:rFonts w:eastAsia="Calibri"/>
          <w:color w:val="000000" w:themeColor="text1"/>
        </w:rPr>
        <w:t>,</w:t>
      </w:r>
      <w:r w:rsidR="5784072D" w:rsidRPr="00B64995">
        <w:rPr>
          <w:rFonts w:eastAsia="Calibri"/>
          <w:color w:val="000000" w:themeColor="text1"/>
        </w:rPr>
        <w:t xml:space="preserve"> aim</w:t>
      </w:r>
      <w:r w:rsidR="655FDB7F" w:rsidRPr="00B64995">
        <w:rPr>
          <w:rFonts w:eastAsia="Calibri"/>
          <w:color w:val="000000" w:themeColor="text1"/>
        </w:rPr>
        <w:t>s</w:t>
      </w:r>
      <w:r w:rsidR="5784072D" w:rsidRPr="00B64995">
        <w:rPr>
          <w:rFonts w:eastAsia="Calibri"/>
          <w:color w:val="000000" w:themeColor="text1"/>
        </w:rPr>
        <w:t xml:space="preserve"> t</w:t>
      </w:r>
      <w:r w:rsidR="11181EAC" w:rsidRPr="00B64995">
        <w:rPr>
          <w:rFonts w:eastAsia="Calibri"/>
          <w:color w:val="000000" w:themeColor="text1"/>
        </w:rPr>
        <w:t>o</w:t>
      </w:r>
      <w:r w:rsidR="5784072D" w:rsidRPr="00B64995">
        <w:rPr>
          <w:rFonts w:eastAsia="Calibri"/>
          <w:color w:val="000000" w:themeColor="text1"/>
        </w:rPr>
        <w:t xml:space="preserve"> provid</w:t>
      </w:r>
      <w:r w:rsidR="7998C4D6" w:rsidRPr="00B64995">
        <w:rPr>
          <w:rFonts w:eastAsia="Calibri"/>
          <w:color w:val="000000" w:themeColor="text1"/>
        </w:rPr>
        <w:t>e</w:t>
      </w:r>
      <w:r w:rsidR="5784072D" w:rsidRPr="00B64995">
        <w:rPr>
          <w:rFonts w:eastAsia="Calibri"/>
          <w:color w:val="000000" w:themeColor="text1"/>
        </w:rPr>
        <w:t xml:space="preserve"> country</w:t>
      </w:r>
      <w:r w:rsidR="61AAA552" w:rsidRPr="00B64995">
        <w:rPr>
          <w:rFonts w:eastAsia="Calibri"/>
          <w:color w:val="000000" w:themeColor="text1"/>
        </w:rPr>
        <w:t>-specific</w:t>
      </w:r>
      <w:r w:rsidR="5784072D" w:rsidRPr="00B64995">
        <w:rPr>
          <w:rFonts w:eastAsia="Calibri"/>
          <w:color w:val="000000" w:themeColor="text1"/>
        </w:rPr>
        <w:t xml:space="preserve"> support to reinforce digital infrastructures and ecosystems against COVID-19. The goal is to deliver a means of utilizing digital technologies such as telework, e-commerce, remote </w:t>
      </w:r>
      <w:proofErr w:type="gramStart"/>
      <w:r w:rsidR="5784072D" w:rsidRPr="00B64995">
        <w:rPr>
          <w:rFonts w:eastAsia="Calibri"/>
          <w:color w:val="000000" w:themeColor="text1"/>
        </w:rPr>
        <w:t>learning</w:t>
      </w:r>
      <w:proofErr w:type="gramEnd"/>
      <w:r w:rsidR="5784072D" w:rsidRPr="00B64995">
        <w:rPr>
          <w:rFonts w:eastAsia="Calibri"/>
          <w:color w:val="000000" w:themeColor="text1"/>
        </w:rPr>
        <w:t xml:space="preserve"> and telemedicine to prevent the spread of COVID-19 infections while maintaining socio-economic activities to the maximum extent possible, as well as support the recovery efforts and preparedness for the “new normal”, and potential future pandemics.</w:t>
      </w:r>
    </w:p>
    <w:p w14:paraId="30BB4490" w14:textId="77777777" w:rsidR="0049723A" w:rsidRPr="0074433B" w:rsidRDefault="0049723A" w:rsidP="00430324">
      <w:pPr>
        <w:jc w:val="both"/>
        <w:rPr>
          <w:rFonts w:eastAsia="Calibri"/>
        </w:rPr>
      </w:pPr>
    </w:p>
    <w:p w14:paraId="6D91391F" w14:textId="15D38AFA" w:rsidR="5784072D" w:rsidRPr="00B64995" w:rsidRDefault="00570F0C" w:rsidP="00430324">
      <w:pPr>
        <w:jc w:val="both"/>
        <w:rPr>
          <w:rStyle w:val="Hyperlink"/>
          <w:rFonts w:eastAsia="Calibri"/>
          <w:b/>
          <w:bCs/>
        </w:rPr>
      </w:pPr>
      <w:hyperlink r:id="rId356" w:history="1">
        <w:r w:rsidR="5784072D" w:rsidRPr="00B64995">
          <w:rPr>
            <w:rStyle w:val="Hyperlink"/>
            <w:rFonts w:eastAsia="Calibri"/>
            <w:b/>
            <w:bCs/>
          </w:rPr>
          <w:t>Launch of the Child Online Protection Guidelines</w:t>
        </w:r>
      </w:hyperlink>
      <w:r w:rsidR="00E12CC2" w:rsidRPr="00A060FE">
        <w:t xml:space="preserve">, see </w:t>
      </w:r>
      <w:r w:rsidR="00AA3930">
        <w:t>s</w:t>
      </w:r>
      <w:r w:rsidR="00E12CC2" w:rsidRPr="00B64995">
        <w:t>ection 1.7</w:t>
      </w:r>
      <w:r w:rsidR="00664605" w:rsidRPr="00B64995">
        <w:t>.</w:t>
      </w:r>
    </w:p>
    <w:p w14:paraId="4B0701AA" w14:textId="7C9BF616" w:rsidR="5784072D" w:rsidRPr="0074433B" w:rsidRDefault="5784072D" w:rsidP="00430324">
      <w:pPr>
        <w:jc w:val="both"/>
        <w:rPr>
          <w:rFonts w:eastAsia="Calibri"/>
          <w:b/>
          <w:bCs/>
        </w:rPr>
      </w:pPr>
    </w:p>
    <w:p w14:paraId="4A44A377" w14:textId="0BE82453" w:rsidR="5784072D" w:rsidRPr="00B64995" w:rsidRDefault="5784072D" w:rsidP="00430324">
      <w:pPr>
        <w:jc w:val="both"/>
        <w:rPr>
          <w:rFonts w:eastAsia="Calibri"/>
          <w:b/>
          <w:bCs/>
          <w:color w:val="4472C4" w:themeColor="accent1"/>
        </w:rPr>
      </w:pPr>
      <w:r w:rsidRPr="00B64995">
        <w:rPr>
          <w:rFonts w:eastAsia="Calibri"/>
          <w:b/>
          <w:bCs/>
          <w:color w:val="4472C4" w:themeColor="accent1"/>
        </w:rPr>
        <w:t xml:space="preserve">Guidelines for </w:t>
      </w:r>
      <w:r w:rsidR="007C28FE" w:rsidRPr="00B64995">
        <w:rPr>
          <w:rFonts w:eastAsia="Calibri"/>
          <w:b/>
          <w:bCs/>
          <w:color w:val="4472C4" w:themeColor="accent1"/>
        </w:rPr>
        <w:t>n</w:t>
      </w:r>
      <w:r w:rsidRPr="00B64995">
        <w:rPr>
          <w:rFonts w:eastAsia="Calibri"/>
          <w:b/>
          <w:bCs/>
          <w:color w:val="4472C4" w:themeColor="accent1"/>
        </w:rPr>
        <w:t xml:space="preserve">ational </w:t>
      </w:r>
      <w:r w:rsidR="007C28FE" w:rsidRPr="00B64995">
        <w:rPr>
          <w:rFonts w:eastAsia="Calibri"/>
          <w:b/>
          <w:bCs/>
          <w:color w:val="4472C4" w:themeColor="accent1"/>
        </w:rPr>
        <w:t>e</w:t>
      </w:r>
      <w:r w:rsidRPr="00B64995">
        <w:rPr>
          <w:rFonts w:eastAsia="Calibri"/>
          <w:b/>
          <w:bCs/>
          <w:color w:val="4472C4" w:themeColor="accent1"/>
        </w:rPr>
        <w:t xml:space="preserve">mergency </w:t>
      </w:r>
      <w:r w:rsidR="007C28FE" w:rsidRPr="00B64995">
        <w:rPr>
          <w:rFonts w:eastAsia="Calibri"/>
          <w:b/>
          <w:bCs/>
          <w:color w:val="4472C4" w:themeColor="accent1"/>
        </w:rPr>
        <w:t>t</w:t>
      </w:r>
      <w:r w:rsidRPr="00B64995">
        <w:rPr>
          <w:rFonts w:eastAsia="Calibri"/>
          <w:b/>
          <w:bCs/>
          <w:color w:val="4472C4" w:themeColor="accent1"/>
        </w:rPr>
        <w:t xml:space="preserve">elecommunication </w:t>
      </w:r>
      <w:r w:rsidR="007C28FE" w:rsidRPr="00B64995">
        <w:rPr>
          <w:rFonts w:eastAsia="Calibri"/>
          <w:b/>
          <w:bCs/>
          <w:color w:val="4472C4" w:themeColor="accent1"/>
        </w:rPr>
        <w:t>p</w:t>
      </w:r>
      <w:r w:rsidRPr="00B64995">
        <w:rPr>
          <w:rFonts w:eastAsia="Calibri"/>
          <w:b/>
          <w:bCs/>
          <w:color w:val="4472C4" w:themeColor="accent1"/>
        </w:rPr>
        <w:t>lans</w:t>
      </w:r>
      <w:r w:rsidR="00FE1468" w:rsidRPr="00B64995">
        <w:rPr>
          <w:rFonts w:eastAsia="Calibri"/>
          <w:color w:val="000000" w:themeColor="text1"/>
        </w:rPr>
        <w:t xml:space="preserve">, see </w:t>
      </w:r>
      <w:r w:rsidR="00AA3930">
        <w:rPr>
          <w:rFonts w:eastAsia="Calibri"/>
          <w:color w:val="000000" w:themeColor="text1"/>
        </w:rPr>
        <w:t>s</w:t>
      </w:r>
      <w:r w:rsidR="00FE1468" w:rsidRPr="00B87922">
        <w:rPr>
          <w:rFonts w:eastAsia="Calibri"/>
          <w:color w:val="000000" w:themeColor="text1"/>
        </w:rPr>
        <w:t>ection 1.5</w:t>
      </w:r>
      <w:r w:rsidR="00444E91" w:rsidRPr="00A060FE">
        <w:rPr>
          <w:rFonts w:eastAsia="Calibri"/>
          <w:color w:val="000000" w:themeColor="text1"/>
        </w:rPr>
        <w:t>.</w:t>
      </w:r>
    </w:p>
    <w:p w14:paraId="2096042E" w14:textId="63C6293D" w:rsidR="5784072D" w:rsidRPr="00B64995" w:rsidRDefault="5784072D" w:rsidP="00430324">
      <w:pPr>
        <w:jc w:val="both"/>
        <w:rPr>
          <w:rFonts w:eastAsia="Calibri"/>
        </w:rPr>
      </w:pPr>
    </w:p>
    <w:p w14:paraId="1F595D4D" w14:textId="442905FE" w:rsidR="5784072D" w:rsidRPr="00A060FE" w:rsidRDefault="5784072D" w:rsidP="00430324">
      <w:pPr>
        <w:jc w:val="both"/>
        <w:rPr>
          <w:rStyle w:val="Hyperlink"/>
          <w:rFonts w:eastAsia="Calibri"/>
          <w:b/>
          <w:bCs/>
          <w:color w:val="4472C4" w:themeColor="accent1"/>
          <w:u w:val="none"/>
        </w:rPr>
      </w:pPr>
      <w:r w:rsidRPr="00B64995">
        <w:rPr>
          <w:rFonts w:eastAsia="Calibri"/>
          <w:b/>
          <w:bCs/>
          <w:color w:val="4472C4" w:themeColor="accent1"/>
        </w:rPr>
        <w:t>A Digital Development Joint Action Plan and Call for Action</w:t>
      </w:r>
      <w:r w:rsidR="00441070" w:rsidRPr="00B64995">
        <w:rPr>
          <w:rFonts w:eastAsia="Calibri"/>
          <w:b/>
          <w:bCs/>
          <w:color w:val="4472C4" w:themeColor="accent1"/>
        </w:rPr>
        <w:t xml:space="preserve">; </w:t>
      </w:r>
      <w:r w:rsidRPr="00B64995">
        <w:rPr>
          <w:rFonts w:eastAsia="Calibri"/>
        </w:rPr>
        <w:t xml:space="preserve">Under the on-going collaboration between ITU, the World Bank Group, GSMA and the World Economic Forum, discussions were held on how they can bring together their communities and leverage on each other’s activities to </w:t>
      </w:r>
      <w:proofErr w:type="gramStart"/>
      <w:r w:rsidRPr="00B64995">
        <w:rPr>
          <w:rFonts w:eastAsia="Calibri"/>
        </w:rPr>
        <w:t>individually or jointly support membership</w:t>
      </w:r>
      <w:proofErr w:type="gramEnd"/>
      <w:r w:rsidRPr="00B64995">
        <w:rPr>
          <w:rFonts w:eastAsia="Calibri"/>
        </w:rPr>
        <w:t xml:space="preserve"> in their response to COVID-19. Under the “Speedboat Initiative”, the four institutions issued a </w:t>
      </w:r>
      <w:hyperlink r:id="rId357" w:history="1">
        <w:r w:rsidRPr="00B64995">
          <w:rPr>
            <w:rFonts w:eastAsia="Calibri"/>
            <w:b/>
            <w:bCs/>
            <w:color w:val="0000FF"/>
            <w:u w:val="single"/>
          </w:rPr>
          <w:t>“COVID-19 Crisis Response: Digital Development Joint Action Plan and Call for Action”</w:t>
        </w:r>
        <w:r w:rsidRPr="00B64995">
          <w:rPr>
            <w:rFonts w:eastAsia="Calibri"/>
            <w:color w:val="0000FF"/>
            <w:u w:val="single"/>
          </w:rPr>
          <w:t>.</w:t>
        </w:r>
        <w:r w:rsidRPr="00B64995">
          <w:rPr>
            <w:rStyle w:val="Hyperlink"/>
            <w:rFonts w:eastAsia="Calibri"/>
            <w:b/>
            <w:bCs/>
          </w:rPr>
          <w:t xml:space="preserve"> </w:t>
        </w:r>
      </w:hyperlink>
    </w:p>
    <w:p w14:paraId="314B9153" w14:textId="77777777" w:rsidR="0049723A" w:rsidRPr="00A060FE" w:rsidRDefault="0049723A" w:rsidP="00430324">
      <w:pPr>
        <w:jc w:val="both"/>
        <w:rPr>
          <w:rFonts w:eastAsia="Calibri"/>
          <w:b/>
          <w:bCs/>
        </w:rPr>
      </w:pPr>
    </w:p>
    <w:p w14:paraId="2B3F8825" w14:textId="32FAF71B" w:rsidR="5784072D" w:rsidRPr="00A060FE" w:rsidRDefault="00570F0C" w:rsidP="00430324">
      <w:pPr>
        <w:jc w:val="both"/>
        <w:rPr>
          <w:rStyle w:val="Hyperlink"/>
          <w:rFonts w:eastAsia="Calibri"/>
          <w:b/>
          <w:bCs/>
        </w:rPr>
      </w:pPr>
      <w:hyperlink r:id="rId358" w:history="1">
        <w:r w:rsidR="5784072D" w:rsidRPr="00B64995">
          <w:rPr>
            <w:rStyle w:val="Hyperlink"/>
            <w:rFonts w:eastAsia="Calibri"/>
            <w:b/>
            <w:bCs/>
          </w:rPr>
          <w:t>“Digital Cooperation in the Crisis of COVID-19” webinar series</w:t>
        </w:r>
      </w:hyperlink>
    </w:p>
    <w:p w14:paraId="6FA96DE4" w14:textId="5A762950" w:rsidR="5784072D" w:rsidRPr="00B64995" w:rsidRDefault="5784072D" w:rsidP="00430324">
      <w:pPr>
        <w:jc w:val="both"/>
        <w:rPr>
          <w:rFonts w:eastAsia="Calibri"/>
          <w:color w:val="000000" w:themeColor="text1"/>
        </w:rPr>
      </w:pPr>
      <w:r w:rsidRPr="00B64995">
        <w:rPr>
          <w:rFonts w:eastAsia="Calibri"/>
          <w:color w:val="000000" w:themeColor="text1"/>
        </w:rPr>
        <w:t>This series</w:t>
      </w:r>
      <w:r w:rsidR="01B022F4" w:rsidRPr="00B64995">
        <w:rPr>
          <w:rFonts w:eastAsia="Calibri"/>
          <w:color w:val="000000" w:themeColor="text1"/>
        </w:rPr>
        <w:t xml:space="preserve">, </w:t>
      </w:r>
      <w:r w:rsidRPr="00B64995">
        <w:rPr>
          <w:rFonts w:eastAsia="Calibri"/>
          <w:color w:val="000000" w:themeColor="text1"/>
        </w:rPr>
        <w:t>organized by ITU</w:t>
      </w:r>
      <w:r w:rsidR="58A4A327" w:rsidRPr="00B64995">
        <w:rPr>
          <w:rFonts w:eastAsia="Calibri"/>
          <w:color w:val="000000" w:themeColor="text1"/>
        </w:rPr>
        <w:t xml:space="preserve">, in partnership with relevant UN agencies – including the </w:t>
      </w:r>
      <w:r w:rsidR="00C31CA4" w:rsidRPr="00B64995">
        <w:rPr>
          <w:rFonts w:eastAsia="Calibri"/>
          <w:color w:val="000000" w:themeColor="text1"/>
        </w:rPr>
        <w:t xml:space="preserve">Assistant Secretary-General for Strategic Coordination from the Executive Office of the Secretary-General of the United Nations. The office of the Assistant </w:t>
      </w:r>
      <w:r w:rsidR="58A4A327" w:rsidRPr="00B64995">
        <w:rPr>
          <w:rFonts w:eastAsia="Calibri"/>
          <w:color w:val="000000" w:themeColor="text1"/>
        </w:rPr>
        <w:t>Secretary-General and Special Advisor</w:t>
      </w:r>
      <w:r w:rsidR="00C31CA4" w:rsidRPr="00B64995">
        <w:rPr>
          <w:rFonts w:eastAsia="Calibri"/>
          <w:color w:val="000000" w:themeColor="text1"/>
        </w:rPr>
        <w:t>,</w:t>
      </w:r>
      <w:r w:rsidRPr="00B64995">
        <w:rPr>
          <w:rFonts w:eastAsia="Calibri"/>
          <w:color w:val="000000" w:themeColor="text1"/>
        </w:rPr>
        <w:t xml:space="preserve"> Fabrizio Hochschild</w:t>
      </w:r>
      <w:r w:rsidR="00C31CA4" w:rsidRPr="00B64995">
        <w:rPr>
          <w:rFonts w:eastAsia="Calibri"/>
          <w:color w:val="000000" w:themeColor="text1"/>
        </w:rPr>
        <w:t>-Drummond</w:t>
      </w:r>
      <w:r w:rsidRPr="00B64995">
        <w:rPr>
          <w:rFonts w:eastAsia="Calibri"/>
          <w:color w:val="000000" w:themeColor="text1"/>
        </w:rPr>
        <w:t>, assessed the connectivity situation in different regions, and direct</w:t>
      </w:r>
      <w:r w:rsidR="00C31CA4" w:rsidRPr="00B64995">
        <w:rPr>
          <w:rFonts w:eastAsia="Calibri"/>
          <w:color w:val="000000" w:themeColor="text1"/>
        </w:rPr>
        <w:t>ed</w:t>
      </w:r>
      <w:r w:rsidRPr="00B64995">
        <w:rPr>
          <w:rFonts w:eastAsia="Calibri"/>
          <w:color w:val="000000" w:themeColor="text1"/>
        </w:rPr>
        <w:t xml:space="preserve"> focus to actions required particularly in response to the COVID-19 emergency to enhance stable and affordable access for people who remain unconnected.</w:t>
      </w:r>
      <w:r w:rsidR="006478A1" w:rsidRPr="00B64995">
        <w:rPr>
          <w:rFonts w:eastAsia="Calibri"/>
          <w:color w:val="000000" w:themeColor="text1"/>
        </w:rPr>
        <w:t xml:space="preserve"> Topics discussed included:</w:t>
      </w:r>
    </w:p>
    <w:p w14:paraId="4A06F1D6" w14:textId="73CB2369" w:rsidR="006478A1" w:rsidRPr="00B87922" w:rsidRDefault="5784072D" w:rsidP="006478A1">
      <w:pPr>
        <w:pStyle w:val="ListParagraph"/>
        <w:numPr>
          <w:ilvl w:val="0"/>
          <w:numId w:val="56"/>
        </w:numPr>
        <w:jc w:val="both"/>
        <w:rPr>
          <w:rFonts w:eastAsia="Calibri"/>
          <w:lang w:val="en-GB"/>
        </w:rPr>
      </w:pPr>
      <w:r w:rsidRPr="00B87922">
        <w:rPr>
          <w:rFonts w:eastAsia="Calibri"/>
          <w:lang w:val="en-GB"/>
        </w:rPr>
        <w:t xml:space="preserve">Connectivity – </w:t>
      </w:r>
      <w:r w:rsidR="006478A1" w:rsidRPr="00B87922">
        <w:rPr>
          <w:rFonts w:eastAsia="Calibri"/>
          <w:lang w:val="en-GB"/>
        </w:rPr>
        <w:t>s</w:t>
      </w:r>
      <w:r w:rsidRPr="00B87922">
        <w:rPr>
          <w:rFonts w:eastAsia="Calibri"/>
          <w:lang w:val="en-GB"/>
        </w:rPr>
        <w:t xml:space="preserve">ituation </w:t>
      </w:r>
      <w:r w:rsidR="006478A1" w:rsidRPr="00B87922">
        <w:rPr>
          <w:rFonts w:eastAsia="Calibri"/>
          <w:lang w:val="en-GB"/>
        </w:rPr>
        <w:t>a</w:t>
      </w:r>
      <w:r w:rsidRPr="00B87922">
        <w:rPr>
          <w:rFonts w:eastAsia="Calibri"/>
          <w:lang w:val="en-GB"/>
        </w:rPr>
        <w:t>ssessment</w:t>
      </w:r>
    </w:p>
    <w:p w14:paraId="440F4EBA" w14:textId="6C88E330" w:rsidR="0049723A" w:rsidRPr="00B64995" w:rsidRDefault="5784072D" w:rsidP="006478A1">
      <w:pPr>
        <w:pStyle w:val="ListParagraph"/>
        <w:numPr>
          <w:ilvl w:val="0"/>
          <w:numId w:val="56"/>
        </w:numPr>
        <w:jc w:val="both"/>
        <w:rPr>
          <w:rFonts w:eastAsia="Calibri" w:cs="Calibri"/>
          <w:lang w:val="en-GB"/>
        </w:rPr>
      </w:pPr>
      <w:r w:rsidRPr="00166BCE">
        <w:rPr>
          <w:rFonts w:eastAsia="Calibri"/>
        </w:rPr>
        <w:t xml:space="preserve">Connectivity – </w:t>
      </w:r>
      <w:r w:rsidR="006478A1" w:rsidRPr="00B87922">
        <w:rPr>
          <w:rFonts w:eastAsia="Calibri"/>
        </w:rPr>
        <w:t>b</w:t>
      </w:r>
      <w:r w:rsidRPr="00B87922">
        <w:rPr>
          <w:rFonts w:eastAsia="Calibri"/>
        </w:rPr>
        <w:t xml:space="preserve">est </w:t>
      </w:r>
      <w:r w:rsidR="006478A1" w:rsidRPr="00B87922">
        <w:rPr>
          <w:rFonts w:eastAsia="Calibri"/>
        </w:rPr>
        <w:t>p</w:t>
      </w:r>
      <w:r w:rsidRPr="00B87922">
        <w:rPr>
          <w:rFonts w:eastAsia="Calibri"/>
        </w:rPr>
        <w:t>ractice "COVID-19 Initiatives”</w:t>
      </w:r>
    </w:p>
    <w:p w14:paraId="3DA6FF2F" w14:textId="0FD346F4" w:rsidR="006478A1" w:rsidRPr="00B64995" w:rsidRDefault="006478A1" w:rsidP="006478A1">
      <w:pPr>
        <w:pStyle w:val="ListParagraph"/>
        <w:numPr>
          <w:ilvl w:val="0"/>
          <w:numId w:val="56"/>
        </w:numPr>
        <w:jc w:val="both"/>
        <w:rPr>
          <w:rFonts w:eastAsia="Calibri" w:cs="Calibri"/>
          <w:lang w:val="en-GB"/>
        </w:rPr>
      </w:pPr>
      <w:r w:rsidRPr="00B64995">
        <w:rPr>
          <w:rFonts w:eastAsia="Calibri"/>
          <w:lang w:val="en-GB"/>
        </w:rPr>
        <w:t>The “</w:t>
      </w:r>
      <w:proofErr w:type="spellStart"/>
      <w:r w:rsidRPr="00B64995">
        <w:rPr>
          <w:rFonts w:eastAsia="Calibri"/>
          <w:lang w:val="en-GB"/>
        </w:rPr>
        <w:t>Infodemic</w:t>
      </w:r>
      <w:proofErr w:type="spellEnd"/>
      <w:r w:rsidRPr="00B64995">
        <w:rPr>
          <w:rFonts w:eastAsia="Calibri" w:cs="Calibri"/>
          <w:lang w:val="en-GB"/>
        </w:rPr>
        <w:t xml:space="preserve">” – misinformation and disinformation during COVID-19 </w:t>
      </w:r>
    </w:p>
    <w:p w14:paraId="182BE69D" w14:textId="1947E635" w:rsidR="006478A1" w:rsidRPr="00B64995" w:rsidRDefault="006478A1" w:rsidP="006478A1">
      <w:pPr>
        <w:pStyle w:val="ListParagraph"/>
        <w:numPr>
          <w:ilvl w:val="0"/>
          <w:numId w:val="56"/>
        </w:numPr>
        <w:jc w:val="both"/>
        <w:rPr>
          <w:rFonts w:eastAsia="Calibri" w:cs="Calibri"/>
          <w:lang w:val="en-GB"/>
        </w:rPr>
      </w:pPr>
      <w:r w:rsidRPr="00B64995">
        <w:rPr>
          <w:rFonts w:eastAsia="Calibri"/>
          <w:lang w:val="en-GB"/>
        </w:rPr>
        <w:t xml:space="preserve">Online safety and security during COVID-19 </w:t>
      </w:r>
    </w:p>
    <w:p w14:paraId="70C9AE19" w14:textId="76574156" w:rsidR="006478A1" w:rsidRPr="00B64995" w:rsidRDefault="006478A1" w:rsidP="006478A1">
      <w:pPr>
        <w:pStyle w:val="ListParagraph"/>
        <w:numPr>
          <w:ilvl w:val="0"/>
          <w:numId w:val="56"/>
        </w:numPr>
        <w:jc w:val="both"/>
        <w:rPr>
          <w:rFonts w:eastAsia="Calibri" w:cs="Calibri"/>
          <w:lang w:val="en-GB"/>
        </w:rPr>
      </w:pPr>
      <w:r w:rsidRPr="00B64995">
        <w:rPr>
          <w:rFonts w:eastAsia="Calibri" w:cs="Calibri"/>
          <w:lang w:val="en-GB"/>
        </w:rPr>
        <w:t xml:space="preserve">Public health, digital </w:t>
      </w:r>
      <w:proofErr w:type="gramStart"/>
      <w:r w:rsidRPr="00B64995">
        <w:rPr>
          <w:rFonts w:eastAsia="Calibri" w:cs="Calibri"/>
          <w:lang w:val="en-GB"/>
        </w:rPr>
        <w:t>responses</w:t>
      </w:r>
      <w:proofErr w:type="gramEnd"/>
      <w:r w:rsidRPr="00B64995">
        <w:rPr>
          <w:rFonts w:eastAsia="Calibri" w:cs="Calibri"/>
          <w:lang w:val="en-GB"/>
        </w:rPr>
        <w:t xml:space="preserve"> and human rights. </w:t>
      </w:r>
    </w:p>
    <w:p w14:paraId="336933FA" w14:textId="77777777" w:rsidR="006478A1" w:rsidRPr="00B64995" w:rsidRDefault="006478A1" w:rsidP="00430324">
      <w:pPr>
        <w:jc w:val="both"/>
        <w:rPr>
          <w:rFonts w:eastAsia="Calibri"/>
        </w:rPr>
      </w:pPr>
    </w:p>
    <w:p w14:paraId="1797AECE" w14:textId="54F11BCF" w:rsidR="0049723A" w:rsidRPr="00B64995" w:rsidRDefault="006478A1" w:rsidP="00430324">
      <w:pPr>
        <w:jc w:val="both"/>
        <w:rPr>
          <w:rFonts w:eastAsia="Calibri"/>
          <w:sz w:val="24"/>
          <w:szCs w:val="24"/>
        </w:rPr>
      </w:pPr>
      <w:r w:rsidRPr="00B64995">
        <w:rPr>
          <w:rFonts w:eastAsia="Calibri"/>
        </w:rPr>
        <w:t xml:space="preserve">See </w:t>
      </w:r>
      <w:r w:rsidR="007F05EB" w:rsidRPr="00B64995">
        <w:rPr>
          <w:rFonts w:eastAsia="Calibri"/>
        </w:rPr>
        <w:t>section</w:t>
      </w:r>
      <w:r w:rsidRPr="00B64995">
        <w:rPr>
          <w:rFonts w:eastAsia="Calibri"/>
        </w:rPr>
        <w:t xml:space="preserve"> 1.9 for more details.</w:t>
      </w:r>
    </w:p>
    <w:p w14:paraId="4BEE9771" w14:textId="77777777" w:rsidR="006478A1" w:rsidRPr="00B64995" w:rsidRDefault="006478A1" w:rsidP="00430324">
      <w:pPr>
        <w:jc w:val="both"/>
        <w:rPr>
          <w:rFonts w:eastAsia="Calibri"/>
          <w:sz w:val="24"/>
          <w:szCs w:val="24"/>
        </w:rPr>
      </w:pPr>
    </w:p>
    <w:p w14:paraId="32385DD7" w14:textId="5CC848A9" w:rsidR="5784072D" w:rsidRPr="00B64995" w:rsidRDefault="00570F0C" w:rsidP="00430324">
      <w:pPr>
        <w:jc w:val="both"/>
        <w:rPr>
          <w:rFonts w:eastAsia="Calibri"/>
          <w:b/>
          <w:bCs/>
          <w:color w:val="0000FF"/>
          <w:u w:val="single"/>
        </w:rPr>
      </w:pPr>
      <w:hyperlink r:id="rId359" w:history="1">
        <w:r w:rsidR="5784072D" w:rsidRPr="00B64995">
          <w:rPr>
            <w:rStyle w:val="Hyperlink"/>
            <w:rFonts w:eastAsia="Calibri"/>
            <w:b/>
            <w:bCs/>
          </w:rPr>
          <w:t xml:space="preserve">Study </w:t>
        </w:r>
        <w:r w:rsidR="006478A1" w:rsidRPr="00B64995">
          <w:rPr>
            <w:rStyle w:val="Hyperlink"/>
            <w:rFonts w:eastAsia="Calibri"/>
            <w:b/>
            <w:bCs/>
          </w:rPr>
          <w:t>g</w:t>
        </w:r>
        <w:r w:rsidR="5784072D" w:rsidRPr="00B64995">
          <w:rPr>
            <w:rStyle w:val="Hyperlink"/>
            <w:rFonts w:eastAsia="Calibri"/>
            <w:b/>
            <w:bCs/>
          </w:rPr>
          <w:t xml:space="preserve">roup </w:t>
        </w:r>
        <w:r w:rsidR="006478A1" w:rsidRPr="00B64995">
          <w:rPr>
            <w:rStyle w:val="Hyperlink"/>
            <w:rFonts w:eastAsia="Calibri"/>
            <w:b/>
            <w:bCs/>
          </w:rPr>
          <w:t>w</w:t>
        </w:r>
        <w:r w:rsidR="5784072D" w:rsidRPr="00B64995">
          <w:rPr>
            <w:rStyle w:val="Hyperlink"/>
            <w:rFonts w:eastAsia="Calibri"/>
            <w:b/>
            <w:bCs/>
          </w:rPr>
          <w:t>ebinars to share analysis of global COVID-19 response</w:t>
        </w:r>
      </w:hyperlink>
      <w:r w:rsidR="00E33FE3" w:rsidRPr="00A060FE">
        <w:t xml:space="preserve">, see </w:t>
      </w:r>
      <w:r w:rsidR="00AA3930">
        <w:t>s</w:t>
      </w:r>
      <w:r w:rsidR="00E33FE3" w:rsidRPr="00B64995">
        <w:t>ection</w:t>
      </w:r>
      <w:r w:rsidR="0032050F" w:rsidRPr="00B64995">
        <w:t xml:space="preserve"> 1.10.</w:t>
      </w:r>
      <w:r w:rsidR="00E33FE3" w:rsidRPr="00B64995">
        <w:t xml:space="preserve"> </w:t>
      </w:r>
    </w:p>
    <w:p w14:paraId="34A55810" w14:textId="77777777" w:rsidR="0049723A" w:rsidRPr="00B64995" w:rsidRDefault="0049723A" w:rsidP="00430324">
      <w:pPr>
        <w:jc w:val="both"/>
        <w:rPr>
          <w:rFonts w:eastAsia="Calibri"/>
        </w:rPr>
      </w:pPr>
    </w:p>
    <w:p w14:paraId="006A91E2" w14:textId="77777777" w:rsidR="0049723A" w:rsidRPr="00B64995" w:rsidRDefault="5784072D" w:rsidP="00430324">
      <w:pPr>
        <w:jc w:val="both"/>
        <w:rPr>
          <w:rFonts w:eastAsia="Calibri"/>
          <w:b/>
          <w:bCs/>
          <w:color w:val="4472C4" w:themeColor="accent1"/>
        </w:rPr>
      </w:pPr>
      <w:r w:rsidRPr="00B64995">
        <w:rPr>
          <w:rFonts w:eastAsia="Calibri"/>
          <w:b/>
          <w:bCs/>
          <w:color w:val="4472C4" w:themeColor="accent1"/>
        </w:rPr>
        <w:t xml:space="preserve">Economic Experts Roundtable to discuss “Economic Impact of COVID-19 and Digital </w:t>
      </w:r>
      <w:proofErr w:type="gramStart"/>
      <w:r w:rsidRPr="00B64995">
        <w:rPr>
          <w:rFonts w:eastAsia="Calibri"/>
          <w:b/>
          <w:bCs/>
          <w:color w:val="4472C4" w:themeColor="accent1"/>
        </w:rPr>
        <w:t>Infrastructure”</w:t>
      </w:r>
      <w:proofErr w:type="gramEnd"/>
    </w:p>
    <w:p w14:paraId="7A8DB78C" w14:textId="14A28716" w:rsidR="0049723A" w:rsidRPr="00B64995" w:rsidRDefault="5784072D" w:rsidP="00430324">
      <w:pPr>
        <w:jc w:val="both"/>
        <w:rPr>
          <w:rFonts w:eastAsia="Calibri"/>
          <w:color w:val="000000" w:themeColor="text1"/>
        </w:rPr>
      </w:pPr>
      <w:r w:rsidRPr="00B64995">
        <w:rPr>
          <w:rFonts w:eastAsia="Calibri"/>
          <w:color w:val="000000" w:themeColor="text1"/>
        </w:rPr>
        <w:t>An Economic Experts Roundtable brought together a wide cross</w:t>
      </w:r>
      <w:r w:rsidR="006478A1" w:rsidRPr="00B64995">
        <w:rPr>
          <w:rFonts w:eastAsia="Calibri"/>
          <w:color w:val="000000" w:themeColor="text1"/>
        </w:rPr>
        <w:t>-</w:t>
      </w:r>
      <w:r w:rsidRPr="00B64995">
        <w:rPr>
          <w:rFonts w:eastAsia="Calibri"/>
          <w:color w:val="000000" w:themeColor="text1"/>
        </w:rPr>
        <w:t>section of economic experts to exchange views on the latest research and analysis on the COVID-19 economic impact on the digital infrastructure as a crucial enabler for the changing economy and society, as well as on the contribution of digital infrastructure to social and economic resilience facing the pandemic.</w:t>
      </w:r>
    </w:p>
    <w:p w14:paraId="721553CF" w14:textId="35968F9D" w:rsidR="5784072D" w:rsidRPr="00B64995" w:rsidRDefault="5784072D" w:rsidP="00430324">
      <w:pPr>
        <w:jc w:val="both"/>
        <w:rPr>
          <w:rFonts w:eastAsia="Calibri"/>
          <w:b/>
          <w:bCs/>
          <w:color w:val="4472C4" w:themeColor="accent1"/>
        </w:rPr>
      </w:pPr>
      <w:r w:rsidRPr="00B64995">
        <w:rPr>
          <w:rFonts w:eastAsia="Calibri"/>
          <w:b/>
          <w:bCs/>
          <w:color w:val="4472C4" w:themeColor="accent1"/>
        </w:rPr>
        <w:t>UN Inter</w:t>
      </w:r>
      <w:r w:rsidR="006478A1" w:rsidRPr="00B64995">
        <w:rPr>
          <w:rFonts w:eastAsia="Calibri"/>
          <w:b/>
          <w:bCs/>
          <w:color w:val="4472C4" w:themeColor="accent1"/>
        </w:rPr>
        <w:t>-A</w:t>
      </w:r>
      <w:r w:rsidRPr="00B64995">
        <w:rPr>
          <w:rFonts w:eastAsia="Calibri"/>
          <w:b/>
          <w:bCs/>
          <w:color w:val="4472C4" w:themeColor="accent1"/>
        </w:rPr>
        <w:t>gency Network on Youth Development</w:t>
      </w:r>
      <w:r w:rsidR="00411491" w:rsidRPr="00B64995">
        <w:t xml:space="preserve">, see </w:t>
      </w:r>
      <w:r w:rsidR="007F05EB" w:rsidRPr="00B64995">
        <w:t>section</w:t>
      </w:r>
      <w:r w:rsidR="00411491" w:rsidRPr="00B64995">
        <w:t xml:space="preserve"> </w:t>
      </w:r>
      <w:proofErr w:type="gramStart"/>
      <w:r w:rsidR="00411491" w:rsidRPr="00B64995">
        <w:t>1.7</w:t>
      </w:r>
      <w:proofErr w:type="gramEnd"/>
    </w:p>
    <w:p w14:paraId="08A36976" w14:textId="4DD57690" w:rsidR="5784072D" w:rsidRPr="00B64995" w:rsidRDefault="5784072D" w:rsidP="00430324">
      <w:pPr>
        <w:jc w:val="both"/>
        <w:rPr>
          <w:rFonts w:eastAsia="Calibri"/>
        </w:rPr>
      </w:pPr>
      <w:r w:rsidRPr="00B64995">
        <w:rPr>
          <w:rFonts w:eastAsia="Calibri"/>
          <w:b/>
          <w:bCs/>
          <w:color w:val="4472C4" w:themeColor="accent1"/>
        </w:rPr>
        <w:t xml:space="preserve">Use of ICTs to </w:t>
      </w:r>
      <w:r w:rsidR="006478A1" w:rsidRPr="00B64995">
        <w:rPr>
          <w:rFonts w:eastAsia="Calibri"/>
          <w:b/>
          <w:bCs/>
          <w:color w:val="4472C4" w:themeColor="accent1"/>
        </w:rPr>
        <w:t xml:space="preserve">help </w:t>
      </w:r>
      <w:r w:rsidRPr="00B64995">
        <w:rPr>
          <w:rFonts w:eastAsia="Calibri"/>
          <w:b/>
          <w:bCs/>
          <w:color w:val="4472C4" w:themeColor="accent1"/>
        </w:rPr>
        <w:t>persons with disabilities cope with COVID-19</w:t>
      </w:r>
      <w:r w:rsidR="00411491" w:rsidRPr="00B64995">
        <w:t xml:space="preserve">, see </w:t>
      </w:r>
      <w:r w:rsidR="00AA3930">
        <w:t>s</w:t>
      </w:r>
      <w:r w:rsidR="00411491" w:rsidRPr="00B87922">
        <w:t>ection 1.7</w:t>
      </w:r>
      <w:r w:rsidR="00422E8C" w:rsidRPr="00A060FE">
        <w:t>.</w:t>
      </w:r>
    </w:p>
    <w:p w14:paraId="35DE97BD" w14:textId="77777777" w:rsidR="00411491" w:rsidRPr="00B64995" w:rsidRDefault="00411491" w:rsidP="00430324">
      <w:pPr>
        <w:jc w:val="both"/>
        <w:rPr>
          <w:rFonts w:eastAsia="Calibri"/>
          <w:b/>
          <w:bCs/>
        </w:rPr>
      </w:pPr>
    </w:p>
    <w:p w14:paraId="041DF3B9" w14:textId="4F8C7DC4" w:rsidR="5784072D" w:rsidRPr="00B64995" w:rsidRDefault="5784072D" w:rsidP="00430324">
      <w:pPr>
        <w:jc w:val="both"/>
        <w:rPr>
          <w:rFonts w:eastAsia="Calibri"/>
          <w:b/>
          <w:bCs/>
          <w:color w:val="4472C4" w:themeColor="accent1"/>
        </w:rPr>
      </w:pPr>
      <w:r w:rsidRPr="00B64995">
        <w:rPr>
          <w:rFonts w:eastAsia="Calibri"/>
          <w:b/>
          <w:bCs/>
          <w:color w:val="4472C4" w:themeColor="accent1"/>
        </w:rPr>
        <w:t>Leverag</w:t>
      </w:r>
      <w:r w:rsidR="00AA3930">
        <w:rPr>
          <w:rFonts w:eastAsia="Calibri"/>
          <w:b/>
          <w:bCs/>
          <w:color w:val="4472C4" w:themeColor="accent1"/>
        </w:rPr>
        <w:t>ing</w:t>
      </w:r>
      <w:r w:rsidRPr="00B64995">
        <w:rPr>
          <w:rFonts w:eastAsia="Calibri"/>
          <w:b/>
          <w:bCs/>
          <w:color w:val="4472C4" w:themeColor="accent1"/>
        </w:rPr>
        <w:t xml:space="preserve"> the </w:t>
      </w:r>
      <w:r w:rsidR="006478A1" w:rsidRPr="00B64995">
        <w:rPr>
          <w:rFonts w:eastAsia="Calibri"/>
          <w:b/>
          <w:bCs/>
          <w:color w:val="4472C4" w:themeColor="accent1"/>
        </w:rPr>
        <w:t xml:space="preserve">joint ITU/WHO initiative </w:t>
      </w:r>
      <w:r w:rsidRPr="00B64995">
        <w:rPr>
          <w:rFonts w:eastAsia="Calibri"/>
          <w:b/>
          <w:bCs/>
          <w:color w:val="4472C4" w:themeColor="accent1"/>
        </w:rPr>
        <w:t xml:space="preserve">“Be Healthy, Be Mobile” (BHBM) </w:t>
      </w:r>
    </w:p>
    <w:p w14:paraId="21021FE3" w14:textId="5BC19CB9" w:rsidR="5784072D" w:rsidRPr="00B64995" w:rsidRDefault="5784072D" w:rsidP="00430324">
      <w:pPr>
        <w:jc w:val="both"/>
        <w:rPr>
          <w:rFonts w:eastAsia="Calibri"/>
        </w:rPr>
      </w:pPr>
      <w:r w:rsidRPr="00B64995">
        <w:rPr>
          <w:rFonts w:eastAsia="Calibri"/>
        </w:rPr>
        <w:t xml:space="preserve">As part of the </w:t>
      </w:r>
      <w:hyperlink r:id="rId360" w:history="1">
        <w:r w:rsidRPr="00B64995">
          <w:rPr>
            <w:rStyle w:val="Hyperlink"/>
            <w:rFonts w:eastAsia="Calibri"/>
          </w:rPr>
          <w:t>Be Healthy, Be Mobile</w:t>
        </w:r>
      </w:hyperlink>
      <w:r w:rsidRPr="00A060FE">
        <w:rPr>
          <w:rFonts w:eastAsia="Calibri"/>
        </w:rPr>
        <w:t xml:space="preserve"> initiative, </w:t>
      </w:r>
      <w:r w:rsidRPr="00B64995">
        <w:rPr>
          <w:rFonts w:eastAsia="Calibri"/>
          <w:color w:val="000000" w:themeColor="text1"/>
        </w:rPr>
        <w:t>ITU in collaboration with the World Health Organization and with support from UNICEF worked with telecommunication companies to text people directly on their mobile phones with vital health messaging to help protect them from COVID-19. These text messages reached millions of people that are not able to connect to the Internet for information</w:t>
      </w:r>
      <w:r w:rsidRPr="00B64995">
        <w:rPr>
          <w:rFonts w:eastAsia="Calibri"/>
        </w:rPr>
        <w:t>.</w:t>
      </w:r>
    </w:p>
    <w:p w14:paraId="74A3C93A" w14:textId="77777777" w:rsidR="0049723A" w:rsidRPr="00B64995" w:rsidRDefault="0049723A" w:rsidP="00430324">
      <w:pPr>
        <w:jc w:val="both"/>
        <w:rPr>
          <w:rFonts w:eastAsia="Calibri"/>
          <w:color w:val="2F5597"/>
        </w:rPr>
      </w:pPr>
    </w:p>
    <w:p w14:paraId="5ED17A91" w14:textId="726D09F3" w:rsidR="5784072D" w:rsidRPr="00B64995" w:rsidRDefault="5784072D" w:rsidP="00430324">
      <w:pPr>
        <w:pStyle w:val="ListParagraph"/>
        <w:numPr>
          <w:ilvl w:val="0"/>
          <w:numId w:val="55"/>
        </w:numPr>
        <w:jc w:val="both"/>
        <w:rPr>
          <w:rFonts w:asciiTheme="minorHAnsi" w:eastAsiaTheme="minorEastAsia" w:hAnsiTheme="minorHAnsi" w:cstheme="minorBidi"/>
          <w:color w:val="000000" w:themeColor="text1"/>
          <w:lang w:val="en-GB"/>
        </w:rPr>
      </w:pPr>
      <w:r w:rsidRPr="00B64995">
        <w:rPr>
          <w:rFonts w:eastAsia="Calibri" w:cs="Calibri"/>
          <w:color w:val="000000" w:themeColor="text1"/>
          <w:lang w:val="en-GB"/>
        </w:rPr>
        <w:t xml:space="preserve">In Tunisia, the mHealth platforms developed for </w:t>
      </w:r>
      <w:proofErr w:type="spellStart"/>
      <w:r w:rsidRPr="00B64995">
        <w:rPr>
          <w:rFonts w:eastAsia="Calibri" w:cs="Calibri"/>
          <w:color w:val="000000" w:themeColor="text1"/>
          <w:lang w:val="en-GB"/>
        </w:rPr>
        <w:t>mDiabetes</w:t>
      </w:r>
      <w:proofErr w:type="spellEnd"/>
      <w:r w:rsidRPr="00B64995">
        <w:rPr>
          <w:rFonts w:eastAsia="Calibri" w:cs="Calibri"/>
          <w:color w:val="000000" w:themeColor="text1"/>
          <w:lang w:val="en-GB"/>
        </w:rPr>
        <w:t xml:space="preserve"> and </w:t>
      </w:r>
      <w:proofErr w:type="spellStart"/>
      <w:r w:rsidRPr="00B64995">
        <w:rPr>
          <w:rFonts w:eastAsia="Calibri" w:cs="Calibri"/>
          <w:color w:val="000000" w:themeColor="text1"/>
          <w:lang w:val="en-GB"/>
        </w:rPr>
        <w:t>mTobaccoCessation</w:t>
      </w:r>
      <w:proofErr w:type="spellEnd"/>
      <w:r w:rsidRPr="00B64995">
        <w:rPr>
          <w:rFonts w:eastAsia="Calibri" w:cs="Calibri"/>
          <w:color w:val="000000" w:themeColor="text1"/>
          <w:lang w:val="en-GB"/>
        </w:rPr>
        <w:t xml:space="preserve"> were used to send COVID-19 messages to around 10 million citizens, as well as hundreds of in-bound travellers to help promote compliance with safety and preventive measures.</w:t>
      </w:r>
    </w:p>
    <w:p w14:paraId="40515239" w14:textId="1074BF6C" w:rsidR="5784072D" w:rsidRPr="00B64995" w:rsidRDefault="5784072D" w:rsidP="00430324">
      <w:pPr>
        <w:pStyle w:val="ListParagraph"/>
        <w:numPr>
          <w:ilvl w:val="0"/>
          <w:numId w:val="55"/>
        </w:numPr>
        <w:jc w:val="both"/>
        <w:rPr>
          <w:rFonts w:asciiTheme="minorHAnsi" w:eastAsiaTheme="minorEastAsia" w:hAnsiTheme="minorHAnsi" w:cstheme="minorBidi"/>
          <w:color w:val="000000" w:themeColor="text1"/>
          <w:lang w:val="en-GB"/>
        </w:rPr>
      </w:pPr>
      <w:r w:rsidRPr="00B64995">
        <w:rPr>
          <w:rFonts w:eastAsia="Calibri" w:cs="Calibri"/>
          <w:color w:val="000000" w:themeColor="text1"/>
          <w:lang w:val="en-GB"/>
        </w:rPr>
        <w:t xml:space="preserve">In Senegal, ITU supported the </w:t>
      </w:r>
      <w:r w:rsidR="006478A1" w:rsidRPr="00B64995">
        <w:rPr>
          <w:rFonts w:eastAsia="Calibri" w:cs="Calibri"/>
          <w:color w:val="000000" w:themeColor="text1"/>
          <w:lang w:val="en-GB"/>
        </w:rPr>
        <w:t xml:space="preserve">seventh </w:t>
      </w:r>
      <w:r w:rsidRPr="00B64995">
        <w:rPr>
          <w:rFonts w:eastAsia="Calibri" w:cs="Calibri"/>
          <w:color w:val="000000" w:themeColor="text1"/>
          <w:lang w:val="en-GB"/>
        </w:rPr>
        <w:t xml:space="preserve">consecutive national </w:t>
      </w:r>
      <w:proofErr w:type="spellStart"/>
      <w:r w:rsidRPr="00B64995">
        <w:rPr>
          <w:rFonts w:eastAsia="Calibri" w:cs="Calibri"/>
          <w:color w:val="000000" w:themeColor="text1"/>
          <w:lang w:val="en-GB"/>
        </w:rPr>
        <w:t>mRamadan</w:t>
      </w:r>
      <w:proofErr w:type="spellEnd"/>
      <w:r w:rsidRPr="00B64995">
        <w:rPr>
          <w:rFonts w:eastAsia="Calibri" w:cs="Calibri"/>
          <w:color w:val="000000" w:themeColor="text1"/>
          <w:lang w:val="en-GB"/>
        </w:rPr>
        <w:t xml:space="preserve"> campaign that reached close to 230</w:t>
      </w:r>
      <w:r w:rsidR="00A060FE">
        <w:rPr>
          <w:rFonts w:eastAsia="Calibri" w:cs="Calibri"/>
          <w:color w:val="000000" w:themeColor="text1"/>
          <w:lang w:val="en-GB"/>
        </w:rPr>
        <w:t> </w:t>
      </w:r>
      <w:r w:rsidRPr="00B64995">
        <w:rPr>
          <w:rFonts w:eastAsia="Calibri" w:cs="Calibri"/>
          <w:color w:val="000000" w:themeColor="text1"/>
          <w:lang w:val="en-GB"/>
        </w:rPr>
        <w:t>000 people with diabetes-related advice combined with basic information on COVID-19.</w:t>
      </w:r>
    </w:p>
    <w:p w14:paraId="44A093B1" w14:textId="69E04B7A" w:rsidR="5784072D" w:rsidRPr="00B64995" w:rsidRDefault="5784072D" w:rsidP="00430324">
      <w:pPr>
        <w:pStyle w:val="ListParagraph"/>
        <w:numPr>
          <w:ilvl w:val="0"/>
          <w:numId w:val="55"/>
        </w:numPr>
        <w:jc w:val="both"/>
        <w:rPr>
          <w:rFonts w:asciiTheme="minorHAnsi" w:eastAsiaTheme="minorEastAsia" w:hAnsiTheme="minorHAnsi" w:cstheme="minorBidi"/>
          <w:color w:val="000000" w:themeColor="text1"/>
          <w:lang w:val="en-GB"/>
        </w:rPr>
      </w:pPr>
      <w:r w:rsidRPr="00B64995">
        <w:rPr>
          <w:rFonts w:eastAsia="Calibri" w:cs="Calibri"/>
          <w:color w:val="000000" w:themeColor="text1"/>
          <w:lang w:val="en-GB"/>
        </w:rPr>
        <w:lastRenderedPageBreak/>
        <w:t xml:space="preserve">Similarly, in Sudan, where the first national </w:t>
      </w:r>
      <w:proofErr w:type="spellStart"/>
      <w:r w:rsidRPr="00B64995">
        <w:rPr>
          <w:rFonts w:eastAsia="Calibri" w:cs="Calibri"/>
          <w:color w:val="000000" w:themeColor="text1"/>
          <w:lang w:val="en-GB"/>
        </w:rPr>
        <w:t>mDiabetes</w:t>
      </w:r>
      <w:proofErr w:type="spellEnd"/>
      <w:r w:rsidRPr="00B64995">
        <w:rPr>
          <w:rFonts w:eastAsia="Calibri" w:cs="Calibri"/>
          <w:color w:val="000000" w:themeColor="text1"/>
          <w:lang w:val="en-GB"/>
        </w:rPr>
        <w:t xml:space="preserve"> campaign launched this year, the BHBM solution helped deliver COVID-19-related messages to over 71</w:t>
      </w:r>
      <w:r w:rsidR="00A060FE">
        <w:rPr>
          <w:rFonts w:eastAsia="Calibri" w:cs="Calibri"/>
          <w:color w:val="000000" w:themeColor="text1"/>
          <w:lang w:val="en-GB"/>
        </w:rPr>
        <w:t> </w:t>
      </w:r>
      <w:r w:rsidRPr="00B64995">
        <w:rPr>
          <w:rFonts w:eastAsia="Calibri" w:cs="Calibri"/>
          <w:color w:val="000000" w:themeColor="text1"/>
          <w:lang w:val="en-GB"/>
        </w:rPr>
        <w:t>000 people.</w:t>
      </w:r>
    </w:p>
    <w:p w14:paraId="0B8931CD" w14:textId="465A805A" w:rsidR="5784072D" w:rsidRPr="00B64995" w:rsidRDefault="5784072D" w:rsidP="00430324">
      <w:pPr>
        <w:pStyle w:val="ListParagraph"/>
        <w:numPr>
          <w:ilvl w:val="0"/>
          <w:numId w:val="55"/>
        </w:numPr>
        <w:jc w:val="both"/>
        <w:rPr>
          <w:rFonts w:asciiTheme="minorHAnsi" w:eastAsiaTheme="minorEastAsia" w:hAnsiTheme="minorHAnsi" w:cstheme="minorBidi"/>
          <w:color w:val="000000" w:themeColor="text1"/>
          <w:lang w:val="en-GB"/>
        </w:rPr>
      </w:pPr>
      <w:r w:rsidRPr="00B64995">
        <w:rPr>
          <w:rFonts w:eastAsia="Calibri" w:cs="Calibri"/>
          <w:color w:val="000000" w:themeColor="text1"/>
          <w:lang w:val="en-GB"/>
        </w:rPr>
        <w:t>In Niger, ITU helped to establish an automated hotline to offer basic information about the virus and risk prevention, which is operational and has already received more than 40</w:t>
      </w:r>
      <w:r w:rsidR="00A060FE">
        <w:rPr>
          <w:rFonts w:eastAsia="Calibri" w:cs="Calibri"/>
          <w:color w:val="000000" w:themeColor="text1"/>
          <w:lang w:val="en-GB"/>
        </w:rPr>
        <w:t> </w:t>
      </w:r>
      <w:r w:rsidRPr="00B64995">
        <w:rPr>
          <w:rFonts w:eastAsia="Calibri" w:cs="Calibri"/>
          <w:color w:val="000000" w:themeColor="text1"/>
          <w:lang w:val="en-GB"/>
        </w:rPr>
        <w:t xml:space="preserve">000 calls </w:t>
      </w:r>
      <w:r w:rsidR="006478A1" w:rsidRPr="00B64995">
        <w:rPr>
          <w:rFonts w:eastAsia="Calibri" w:cs="Calibri"/>
          <w:color w:val="000000" w:themeColor="text1"/>
          <w:lang w:val="en-GB"/>
        </w:rPr>
        <w:t xml:space="preserve">from </w:t>
      </w:r>
      <w:r w:rsidRPr="00B64995">
        <w:rPr>
          <w:rFonts w:eastAsia="Calibri" w:cs="Calibri"/>
          <w:color w:val="000000" w:themeColor="text1"/>
          <w:lang w:val="en-GB"/>
        </w:rPr>
        <w:t>people inquiring about COVID in local languages.</w:t>
      </w:r>
    </w:p>
    <w:p w14:paraId="033E7FEB" w14:textId="77777777" w:rsidR="0049723A" w:rsidRPr="00B64995" w:rsidRDefault="0049723A" w:rsidP="00430324">
      <w:pPr>
        <w:jc w:val="both"/>
        <w:rPr>
          <w:rFonts w:eastAsia="Calibri"/>
        </w:rPr>
      </w:pPr>
    </w:p>
    <w:p w14:paraId="1682632E" w14:textId="002982FE" w:rsidR="00BB21D9" w:rsidRPr="00B64995" w:rsidRDefault="00BB21D9" w:rsidP="00441070">
      <w:pPr>
        <w:spacing w:after="120"/>
        <w:jc w:val="both"/>
        <w:rPr>
          <w:rFonts w:cstheme="minorHAnsi"/>
        </w:rPr>
      </w:pPr>
    </w:p>
    <w:p w14:paraId="2323A1C5" w14:textId="77777777" w:rsidR="00BB21D9" w:rsidRPr="00B64995" w:rsidRDefault="00BB21D9" w:rsidP="00A83DAA">
      <w:pPr>
        <w:pStyle w:val="Heading5"/>
      </w:pPr>
      <w:r w:rsidRPr="00B64995">
        <w:t>Igniting global action</w:t>
      </w:r>
    </w:p>
    <w:p w14:paraId="2901D60A" w14:textId="224ED15F" w:rsidR="00BB21D9" w:rsidRPr="00570F0C" w:rsidRDefault="00BB21D9" w:rsidP="003812EF">
      <w:pPr>
        <w:spacing w:after="120"/>
        <w:jc w:val="both"/>
        <w:rPr>
          <w:rFonts w:eastAsia="Times New Roman" w:cstheme="minorHAnsi"/>
          <w:lang w:eastAsia="en-GB"/>
        </w:rPr>
      </w:pPr>
      <w:r w:rsidRPr="00570F0C">
        <w:rPr>
          <w:rFonts w:cstheme="minorHAnsi"/>
        </w:rPr>
        <w:t xml:space="preserve">ITU was instrumental in the adoption of the </w:t>
      </w:r>
      <w:hyperlink r:id="rId361" w:history="1">
        <w:r w:rsidRPr="00570F0C">
          <w:rPr>
            <w:rStyle w:val="Strong"/>
            <w:rFonts w:cstheme="minorHAnsi"/>
          </w:rPr>
          <w:t>Broadband Commission Agenda for Action</w:t>
        </w:r>
      </w:hyperlink>
      <w:r w:rsidR="0032050F" w:rsidRPr="00570F0C">
        <w:rPr>
          <w:rFonts w:cstheme="minorHAnsi"/>
        </w:rPr>
        <w:t xml:space="preserve">, </w:t>
      </w:r>
      <w:r w:rsidRPr="00570F0C">
        <w:rPr>
          <w:rFonts w:cstheme="minorHAnsi"/>
        </w:rPr>
        <w:t>which outlines immediate measures that governments, industry, the international community, and civil society can take to shore</w:t>
      </w:r>
      <w:r w:rsidR="00E4656D" w:rsidRPr="00570F0C">
        <w:rPr>
          <w:rFonts w:cstheme="minorHAnsi"/>
        </w:rPr>
        <w:t xml:space="preserve"> </w:t>
      </w:r>
      <w:r w:rsidRPr="00570F0C">
        <w:rPr>
          <w:rFonts w:cstheme="minorHAnsi"/>
        </w:rPr>
        <w:t xml:space="preserve">up digital networks, strengthen capacity at critical connectivity points like hospitals and transport hubs, and boost digital access and inclusivity. </w:t>
      </w:r>
      <w:r w:rsidRPr="00570F0C">
        <w:rPr>
          <w:rFonts w:eastAsia="Times New Roman" w:cstheme="minorHAnsi"/>
          <w:lang w:eastAsia="en-GB"/>
        </w:rPr>
        <w:t>The Agenda serves as a framework for the Commission’s 50+ Commissioners and their organizations to share their own initiatives, make new commitments, and foster collaboration and partnership to help accelerate the collective response to COVID-19 and lay the groundwork for a better and faster recovery.</w:t>
      </w:r>
    </w:p>
    <w:p w14:paraId="5EAD2A3D" w14:textId="77777777" w:rsidR="00BB21D9" w:rsidRPr="00570F0C" w:rsidRDefault="00BB21D9" w:rsidP="00B36DE2">
      <w:pPr>
        <w:jc w:val="both"/>
        <w:rPr>
          <w:rFonts w:cstheme="minorHAnsi"/>
          <w:b/>
          <w:bCs/>
        </w:rPr>
      </w:pPr>
    </w:p>
    <w:p w14:paraId="343A4146" w14:textId="77777777" w:rsidR="00BB21D9" w:rsidRPr="00570F0C" w:rsidRDefault="00BB21D9" w:rsidP="00A83DAA">
      <w:pPr>
        <w:pStyle w:val="Heading5"/>
      </w:pPr>
      <w:r w:rsidRPr="00570F0C">
        <w:t>Supporting health solutions</w:t>
      </w:r>
    </w:p>
    <w:p w14:paraId="39E6EF79" w14:textId="45BF876D" w:rsidR="00BB21D9" w:rsidRPr="00570F0C" w:rsidRDefault="00BB21D9" w:rsidP="6844BCB7">
      <w:pPr>
        <w:spacing w:after="120"/>
        <w:jc w:val="both"/>
        <w:rPr>
          <w:rFonts w:cstheme="minorBidi"/>
        </w:rPr>
      </w:pPr>
      <w:r w:rsidRPr="00570F0C">
        <w:rPr>
          <w:rFonts w:cstheme="minorBidi"/>
        </w:rPr>
        <w:t xml:space="preserve">The </w:t>
      </w:r>
      <w:hyperlink r:id="rId362" w:history="1">
        <w:r w:rsidRPr="00570F0C">
          <w:rPr>
            <w:rStyle w:val="Hyperlink"/>
            <w:rFonts w:cstheme="minorBidi"/>
          </w:rPr>
          <w:t xml:space="preserve">ITU </w:t>
        </w:r>
        <w:r w:rsidRPr="00570F0C">
          <w:rPr>
            <w:rStyle w:val="Hyperlink"/>
            <w:shd w:val="clear" w:color="auto" w:fill="FFFFFF"/>
          </w:rPr>
          <w:t xml:space="preserve">Smart Villages </w:t>
        </w:r>
        <w:r w:rsidRPr="00570F0C">
          <w:rPr>
            <w:rStyle w:val="Hyperlink"/>
            <w:rFonts w:cstheme="minorBidi"/>
          </w:rPr>
          <w:t>platform</w:t>
        </w:r>
      </w:hyperlink>
      <w:r w:rsidRPr="00570F0C">
        <w:t xml:space="preserve"> </w:t>
      </w:r>
      <w:r w:rsidR="008D2E9D" w:rsidRPr="00570F0C">
        <w:rPr>
          <w:rFonts w:cstheme="minorBidi"/>
        </w:rPr>
        <w:t xml:space="preserve">has been </w:t>
      </w:r>
      <w:r w:rsidRPr="00570F0C">
        <w:rPr>
          <w:rFonts w:cstheme="minorBidi"/>
        </w:rPr>
        <w:t>used to establish interactive voice services on COVID-19 for everyone in Niger.</w:t>
      </w:r>
    </w:p>
    <w:p w14:paraId="6B7DD503" w14:textId="5FBB2F32" w:rsidR="00BB21D9" w:rsidRPr="00B64995" w:rsidRDefault="00C9070E" w:rsidP="00B36DE2">
      <w:pPr>
        <w:jc w:val="both"/>
        <w:rPr>
          <w:rFonts w:cstheme="minorHAnsi"/>
        </w:rPr>
      </w:pPr>
      <w:r w:rsidRPr="00570F0C">
        <w:rPr>
          <w:rFonts w:cstheme="minorHAnsi"/>
        </w:rPr>
        <w:t>The ITU-T Focus Group on AI for health (FG-AI4H), which is managed in partnership with WHO, created the ad hoc group on digital technologies</w:t>
      </w:r>
      <w:r w:rsidRPr="00B64995">
        <w:rPr>
          <w:rFonts w:cstheme="minorHAnsi"/>
        </w:rPr>
        <w:t xml:space="preserve"> for COVID health emergency (AHG-DT4HE) to capitali</w:t>
      </w:r>
      <w:r w:rsidR="005453C4" w:rsidRPr="00B64995">
        <w:rPr>
          <w:rFonts w:cstheme="minorHAnsi"/>
        </w:rPr>
        <w:t>z</w:t>
      </w:r>
      <w:r w:rsidRPr="00B64995">
        <w:rPr>
          <w:rFonts w:cstheme="minorHAnsi"/>
        </w:rPr>
        <w:t>e on</w:t>
      </w:r>
      <w:r w:rsidR="00C404AF" w:rsidRPr="00B64995">
        <w:rPr>
          <w:rFonts w:cstheme="minorHAnsi"/>
        </w:rPr>
        <w:t xml:space="preserve"> </w:t>
      </w:r>
      <w:r w:rsidRPr="00B64995">
        <w:rPr>
          <w:rFonts w:cstheme="minorHAnsi"/>
        </w:rPr>
        <w:t>the expertise and actions from FG-AI4H participants and collect effective ways and cases on AI and other digital technologies to combat COVID-19 covering the entire cycle of an epidemic emergency, encompassing the following: prevention and preparedness, outbreak early detection, surveillance and response, recovery, rehabilitation, mitigation, etc. The outputs are expected to evolve towards a more generalizable mechanism on the health emergency continuum, eventually applicable to other pandemics.</w:t>
      </w:r>
    </w:p>
    <w:p w14:paraId="4A8A23ED" w14:textId="77777777" w:rsidR="00C9070E" w:rsidRPr="00B64995" w:rsidRDefault="00C9070E" w:rsidP="00B36DE2">
      <w:pPr>
        <w:jc w:val="both"/>
        <w:rPr>
          <w:rFonts w:cstheme="minorHAnsi"/>
        </w:rPr>
      </w:pPr>
    </w:p>
    <w:p w14:paraId="2FBDC870" w14:textId="77777777" w:rsidR="0049723A" w:rsidRPr="00B64995" w:rsidRDefault="00BB21D9" w:rsidP="00A83DAA">
      <w:pPr>
        <w:pStyle w:val="Heading5"/>
      </w:pPr>
      <w:r w:rsidRPr="00B64995">
        <w:t>Harnessing artificial intelligence</w:t>
      </w:r>
    </w:p>
    <w:p w14:paraId="5923D4B7" w14:textId="77777777" w:rsidR="0049723A" w:rsidRPr="00B64995" w:rsidRDefault="00BB21D9" w:rsidP="00441070">
      <w:pPr>
        <w:spacing w:after="120"/>
        <w:jc w:val="both"/>
        <w:rPr>
          <w:rFonts w:cstheme="minorHAnsi"/>
        </w:rPr>
      </w:pPr>
      <w:r w:rsidRPr="00B64995">
        <w:rPr>
          <w:rFonts w:cstheme="minorHAnsi"/>
        </w:rPr>
        <w:t xml:space="preserve">ITU is drawing upon expertise from the AI for Good Global Summit </w:t>
      </w:r>
      <w:r w:rsidR="0032050F" w:rsidRPr="00B64995">
        <w:rPr>
          <w:rFonts w:cstheme="minorHAnsi"/>
        </w:rPr>
        <w:t xml:space="preserve">(see sections 1.4 and 1.11) </w:t>
      </w:r>
      <w:r w:rsidRPr="00B64995">
        <w:rPr>
          <w:rFonts w:cstheme="minorHAnsi"/>
        </w:rPr>
        <w:t xml:space="preserve">community and has launched an </w:t>
      </w:r>
      <w:hyperlink r:id="rId363" w:history="1">
        <w:r w:rsidRPr="00B64995">
          <w:rPr>
            <w:rStyle w:val="Hyperlink"/>
            <w:rFonts w:cstheme="minorHAnsi"/>
          </w:rPr>
          <w:t>AI for Good Webinar Series</w:t>
        </w:r>
      </w:hyperlink>
      <w:r w:rsidRPr="00A060FE">
        <w:rPr>
          <w:rFonts w:cstheme="minorHAnsi"/>
        </w:rPr>
        <w:t xml:space="preserve"> delving into promising use cases of artificial intelligence in healthcare and other global challenges. The first few episodes in this series focus o</w:t>
      </w:r>
      <w:r w:rsidRPr="00B64995">
        <w:rPr>
          <w:rFonts w:cstheme="minorHAnsi"/>
        </w:rPr>
        <w:t>n global pandemic response and how AI and ICT can be used to combat COVID-19.</w:t>
      </w:r>
    </w:p>
    <w:p w14:paraId="4D168649" w14:textId="002CFE49" w:rsidR="00BB21D9" w:rsidRPr="00B64995" w:rsidRDefault="00BB21D9" w:rsidP="00A83DAA">
      <w:pPr>
        <w:pStyle w:val="Heading5"/>
      </w:pPr>
      <w:r w:rsidRPr="00B64995">
        <w:t>Exploring responses by smart cities</w:t>
      </w:r>
    </w:p>
    <w:p w14:paraId="1BCE394E" w14:textId="6BB6AEC2" w:rsidR="00BB21D9" w:rsidRPr="00B64995" w:rsidRDefault="00BB21D9" w:rsidP="009479A4">
      <w:pPr>
        <w:spacing w:after="120"/>
        <w:jc w:val="both"/>
        <w:rPr>
          <w:rFonts w:cstheme="minorHAnsi"/>
        </w:rPr>
      </w:pPr>
      <w:r w:rsidRPr="00B64995">
        <w:rPr>
          <w:rFonts w:cstheme="minorHAnsi"/>
        </w:rPr>
        <w:t xml:space="preserve">Cities house over half of the world’s population and risk amplifying the COVID-19 pandemic. The </w:t>
      </w:r>
      <w:hyperlink r:id="rId364" w:history="1">
        <w:r w:rsidRPr="00B64995">
          <w:rPr>
            <w:rStyle w:val="Hyperlink"/>
            <w:rFonts w:cstheme="minorHAnsi"/>
          </w:rPr>
          <w:t>United for Smart Sustainable Cities (U4SSC)</w:t>
        </w:r>
      </w:hyperlink>
      <w:r w:rsidRPr="00A060FE">
        <w:rPr>
          <w:rFonts w:cstheme="minorHAnsi"/>
        </w:rPr>
        <w:t xml:space="preserve"> ─ a UN initiative coordinated by ITU, UNECE and UN-Habitat, and supported by </w:t>
      </w:r>
      <w:r w:rsidRPr="00B64995">
        <w:rPr>
          <w:rFonts w:cstheme="minorHAnsi"/>
        </w:rPr>
        <w:t xml:space="preserve">14 </w:t>
      </w:r>
      <w:r w:rsidR="005453C4" w:rsidRPr="00B64995">
        <w:rPr>
          <w:rFonts w:cstheme="minorHAnsi"/>
        </w:rPr>
        <w:t xml:space="preserve">other </w:t>
      </w:r>
      <w:r w:rsidRPr="00B64995">
        <w:rPr>
          <w:rFonts w:cstheme="minorHAnsi"/>
        </w:rPr>
        <w:t>UN bodies ─ has created a new workstream exploring the solutions and best practices used by cities to address COVID-19.</w:t>
      </w:r>
      <w:r w:rsidR="00C404AF" w:rsidRPr="00B64995">
        <w:rPr>
          <w:rFonts w:cstheme="minorHAnsi"/>
        </w:rPr>
        <w:t xml:space="preserve"> In addition, U4SSC is also currently working on the </w:t>
      </w:r>
      <w:r w:rsidR="005453C4" w:rsidRPr="00B64995">
        <w:rPr>
          <w:rFonts w:cstheme="minorHAnsi"/>
        </w:rPr>
        <w:t>t</w:t>
      </w:r>
      <w:r w:rsidR="00C404AF" w:rsidRPr="00B64995">
        <w:rPr>
          <w:rFonts w:cstheme="minorHAnsi"/>
        </w:rPr>
        <w:t xml:space="preserve">hematic </w:t>
      </w:r>
      <w:r w:rsidR="005453C4" w:rsidRPr="00B64995">
        <w:rPr>
          <w:rFonts w:cstheme="minorHAnsi"/>
        </w:rPr>
        <w:t>g</w:t>
      </w:r>
      <w:r w:rsidR="00C404AF" w:rsidRPr="00B64995">
        <w:rPr>
          <w:rFonts w:cstheme="minorHAnsi"/>
        </w:rPr>
        <w:t xml:space="preserve">roup on </w:t>
      </w:r>
      <w:r w:rsidR="005453C4" w:rsidRPr="00B64995">
        <w:rPr>
          <w:rFonts w:cstheme="minorHAnsi"/>
        </w:rPr>
        <w:t>“</w:t>
      </w:r>
      <w:r w:rsidR="00C404AF" w:rsidRPr="00B64995">
        <w:rPr>
          <w:rFonts w:cstheme="minorHAnsi"/>
        </w:rPr>
        <w:t>Economic recovery in cities and urban resilience building in the time of COVID-19</w:t>
      </w:r>
      <w:r w:rsidR="005453C4" w:rsidRPr="00B64995">
        <w:rPr>
          <w:rFonts w:cstheme="minorHAnsi"/>
        </w:rPr>
        <w:t>”</w:t>
      </w:r>
      <w:r w:rsidR="00C404AF" w:rsidRPr="00B64995">
        <w:rPr>
          <w:rFonts w:cstheme="minorHAnsi"/>
        </w:rPr>
        <w:t xml:space="preserve">, which aims to facilitate an exchange of experiences and information on approaches to support the economic recovery in cities and urban resilience building in the time of COVID-19 and post-COVID-19. In 2020, </w:t>
      </w:r>
      <w:r w:rsidR="005453C4" w:rsidRPr="00B64995">
        <w:rPr>
          <w:rFonts w:cstheme="minorHAnsi"/>
        </w:rPr>
        <w:t xml:space="preserve">ITU launched a </w:t>
      </w:r>
      <w:r w:rsidR="00C404AF" w:rsidRPr="00B64995">
        <w:rPr>
          <w:rFonts w:cstheme="minorHAnsi"/>
        </w:rPr>
        <w:t xml:space="preserve">new Global Portal on Environment and Smart Sustainable Cities, which highlights the latest external resources related to six distinct topics, </w:t>
      </w:r>
      <w:r w:rsidR="005453C4" w:rsidRPr="00B64995">
        <w:rPr>
          <w:rFonts w:cstheme="minorHAnsi"/>
        </w:rPr>
        <w:t xml:space="preserve">including the </w:t>
      </w:r>
      <w:r w:rsidR="00C404AF" w:rsidRPr="00B64995">
        <w:rPr>
          <w:rFonts w:cstheme="minorHAnsi"/>
        </w:rPr>
        <w:t>action</w:t>
      </w:r>
      <w:r w:rsidR="005453C4" w:rsidRPr="00B64995">
        <w:rPr>
          <w:rFonts w:cstheme="minorHAnsi"/>
        </w:rPr>
        <w:t xml:space="preserve"> of cities</w:t>
      </w:r>
      <w:r w:rsidR="00C404AF" w:rsidRPr="00B64995">
        <w:rPr>
          <w:rFonts w:cstheme="minorHAnsi"/>
        </w:rPr>
        <w:t xml:space="preserve"> to tackle </w:t>
      </w:r>
      <w:r w:rsidR="00530ACF" w:rsidRPr="00B64995">
        <w:rPr>
          <w:rFonts w:cstheme="minorHAnsi"/>
        </w:rPr>
        <w:t>COVID</w:t>
      </w:r>
      <w:r w:rsidR="00C404AF" w:rsidRPr="00B64995">
        <w:rPr>
          <w:rFonts w:cstheme="minorHAnsi"/>
        </w:rPr>
        <w:t>-19.</w:t>
      </w:r>
    </w:p>
    <w:p w14:paraId="673A94C2" w14:textId="6E349CC9" w:rsidR="00E34758" w:rsidRPr="00B64995" w:rsidRDefault="00E34758" w:rsidP="005C693B">
      <w:pPr>
        <w:spacing w:after="120"/>
        <w:jc w:val="both"/>
        <w:rPr>
          <w:rFonts w:cstheme="minorHAnsi"/>
        </w:rPr>
      </w:pPr>
    </w:p>
    <w:p w14:paraId="055207E1" w14:textId="77777777" w:rsidR="00BB21D9" w:rsidRPr="00B64995" w:rsidRDefault="00BB21D9" w:rsidP="00A83DAA">
      <w:pPr>
        <w:pStyle w:val="Heading5"/>
      </w:pPr>
      <w:r w:rsidRPr="00B64995">
        <w:lastRenderedPageBreak/>
        <w:t>Enabling learning and education</w:t>
      </w:r>
    </w:p>
    <w:p w14:paraId="56ED308E" w14:textId="17A9BE19" w:rsidR="00BB21D9" w:rsidRPr="00B64995" w:rsidRDefault="00BB21D9" w:rsidP="005C693B">
      <w:pPr>
        <w:spacing w:after="120"/>
        <w:jc w:val="both"/>
        <w:rPr>
          <w:rFonts w:cstheme="minorHAnsi"/>
        </w:rPr>
      </w:pPr>
      <w:r w:rsidRPr="00B64995">
        <w:rPr>
          <w:rFonts w:cstheme="minorHAnsi"/>
        </w:rPr>
        <w:t xml:space="preserve">ITU has joined the </w:t>
      </w:r>
      <w:hyperlink r:id="rId365" w:history="1">
        <w:r w:rsidRPr="00B64995">
          <w:rPr>
            <w:rStyle w:val="Hyperlink"/>
            <w:rFonts w:cstheme="minorHAnsi"/>
          </w:rPr>
          <w:t>COVID-19 Global Education Coalition</w:t>
        </w:r>
      </w:hyperlink>
      <w:r w:rsidRPr="00A060FE">
        <w:rPr>
          <w:rFonts w:cstheme="minorHAnsi"/>
        </w:rPr>
        <w:t xml:space="preserve"> led by UNESCO to ensure that learning continues for the more than 1.5 billion students and youth across the planet affected by school and university closures. And because children must have equal access to</w:t>
      </w:r>
      <w:r w:rsidRPr="00B64995">
        <w:rPr>
          <w:rFonts w:cstheme="minorHAnsi"/>
        </w:rPr>
        <w:t xml:space="preserve"> learning, ITU is offering a free-of-charge </w:t>
      </w:r>
      <w:hyperlink r:id="rId366" w:history="1">
        <w:r w:rsidRPr="00B64995">
          <w:rPr>
            <w:rStyle w:val="Hyperlink"/>
            <w:rFonts w:cstheme="minorHAnsi"/>
          </w:rPr>
          <w:t>programme</w:t>
        </w:r>
      </w:hyperlink>
      <w:r w:rsidRPr="00A060FE">
        <w:rPr>
          <w:rFonts w:cstheme="minorHAnsi"/>
        </w:rPr>
        <w:t xml:space="preserve"> through its Digital Transformation Centres Initiative that provides trainers with tools and skills on ho</w:t>
      </w:r>
      <w:r w:rsidRPr="00B64995">
        <w:rPr>
          <w:rFonts w:cstheme="minorHAnsi"/>
        </w:rPr>
        <w:t>w to conduct remote teaching.</w:t>
      </w:r>
    </w:p>
    <w:p w14:paraId="0A03DF14" w14:textId="77777777" w:rsidR="008E1971" w:rsidRPr="00B64995" w:rsidRDefault="008E1971" w:rsidP="008E1971">
      <w:pPr>
        <w:keepNext/>
        <w:keepLines/>
        <w:spacing w:before="120" w:after="120"/>
        <w:ind w:left="567" w:hanging="567"/>
        <w:outlineLvl w:val="4"/>
        <w:rPr>
          <w:rFonts w:asciiTheme="majorHAnsi" w:eastAsiaTheme="majorEastAsia" w:hAnsiTheme="majorHAnsi" w:cstheme="majorBidi"/>
          <w:b/>
          <w:color w:val="2F5496"/>
        </w:rPr>
      </w:pPr>
      <w:r w:rsidRPr="00B64995">
        <w:rPr>
          <w:rFonts w:asciiTheme="majorHAnsi" w:eastAsiaTheme="majorEastAsia" w:hAnsiTheme="majorHAnsi" w:cstheme="majorBidi"/>
          <w:b/>
          <w:color w:val="2F5496"/>
        </w:rPr>
        <w:t xml:space="preserve">Enabling networks to cope with increased </w:t>
      </w:r>
      <w:proofErr w:type="gramStart"/>
      <w:r w:rsidRPr="00B64995">
        <w:rPr>
          <w:rFonts w:asciiTheme="majorHAnsi" w:eastAsiaTheme="majorEastAsia" w:hAnsiTheme="majorHAnsi" w:cstheme="majorBidi"/>
          <w:b/>
          <w:color w:val="2F5496"/>
        </w:rPr>
        <w:t>demand</w:t>
      </w:r>
      <w:proofErr w:type="gramEnd"/>
    </w:p>
    <w:p w14:paraId="5B8C6F18" w14:textId="4FB31810" w:rsidR="0049723A" w:rsidRPr="00B64995" w:rsidRDefault="008E1971" w:rsidP="005C693B">
      <w:pPr>
        <w:spacing w:after="120"/>
        <w:jc w:val="both"/>
        <w:rPr>
          <w:rFonts w:cstheme="minorHAnsi"/>
        </w:rPr>
      </w:pPr>
      <w:r w:rsidRPr="00B64995">
        <w:rPr>
          <w:rFonts w:cstheme="minorHAnsi"/>
        </w:rPr>
        <w:t xml:space="preserve">The COVID-19 pandemic has </w:t>
      </w:r>
      <w:r w:rsidR="00530ACF" w:rsidRPr="00B64995">
        <w:rPr>
          <w:rFonts w:cstheme="minorHAnsi"/>
        </w:rPr>
        <w:t xml:space="preserve">turned </w:t>
      </w:r>
      <w:r w:rsidRPr="00B64995">
        <w:rPr>
          <w:rFonts w:cstheme="minorHAnsi"/>
        </w:rPr>
        <w:t xml:space="preserve">video conferencing and OTT video services </w:t>
      </w:r>
      <w:r w:rsidR="00530ACF" w:rsidRPr="00B64995">
        <w:rPr>
          <w:rFonts w:cstheme="minorHAnsi"/>
        </w:rPr>
        <w:t xml:space="preserve">into </w:t>
      </w:r>
      <w:r w:rsidRPr="00B64995">
        <w:rPr>
          <w:rFonts w:cstheme="minorHAnsi"/>
        </w:rPr>
        <w:t>the fastest growing sectors in ICTs, enabl</w:t>
      </w:r>
      <w:r w:rsidR="00530ACF" w:rsidRPr="00B64995">
        <w:rPr>
          <w:rFonts w:cstheme="minorHAnsi"/>
        </w:rPr>
        <w:t>ing</w:t>
      </w:r>
      <w:r w:rsidRPr="00B64995">
        <w:rPr>
          <w:rFonts w:cstheme="minorHAnsi"/>
        </w:rPr>
        <w:t xml:space="preserve"> people </w:t>
      </w:r>
      <w:r w:rsidR="00530ACF" w:rsidRPr="00B64995">
        <w:rPr>
          <w:rFonts w:cstheme="minorHAnsi"/>
        </w:rPr>
        <w:t xml:space="preserve">to cope </w:t>
      </w:r>
      <w:r w:rsidRPr="00B64995">
        <w:rPr>
          <w:rFonts w:cstheme="minorHAnsi"/>
        </w:rPr>
        <w:t>with remote working requirements</w:t>
      </w:r>
      <w:r w:rsidR="00530ACF" w:rsidRPr="00B64995">
        <w:rPr>
          <w:rFonts w:cstheme="minorHAnsi"/>
        </w:rPr>
        <w:t>,</w:t>
      </w:r>
      <w:r w:rsidRPr="00B64995">
        <w:rPr>
          <w:rFonts w:cstheme="minorHAnsi"/>
        </w:rPr>
        <w:t xml:space="preserve"> </w:t>
      </w:r>
      <w:proofErr w:type="gramStart"/>
      <w:r w:rsidRPr="00B64995">
        <w:rPr>
          <w:rFonts w:cstheme="minorHAnsi"/>
        </w:rPr>
        <w:t>lockdowns</w:t>
      </w:r>
      <w:proofErr w:type="gramEnd"/>
      <w:r w:rsidRPr="00B64995">
        <w:rPr>
          <w:rFonts w:cstheme="minorHAnsi"/>
        </w:rPr>
        <w:t xml:space="preserve"> and isolation. Video traditionally drives the growth and dominates the volume of network traffic</w:t>
      </w:r>
      <w:r w:rsidR="00530ACF" w:rsidRPr="00B64995">
        <w:rPr>
          <w:rFonts w:cstheme="minorHAnsi"/>
        </w:rPr>
        <w:t>; accordingly,</w:t>
      </w:r>
      <w:r w:rsidRPr="00B64995">
        <w:rPr>
          <w:rFonts w:cstheme="minorHAnsi"/>
        </w:rPr>
        <w:t xml:space="preserve"> efficient, quality media compression is essential to enable sustainability of broadband networks. Coincidentally, the effort to bring a new video coding algorithm completed in August 2020 with the approval of </w:t>
      </w:r>
      <w:hyperlink r:id="rId367" w:history="1">
        <w:r w:rsidRPr="00B64995">
          <w:rPr>
            <w:rFonts w:cstheme="minorHAnsi"/>
            <w:color w:val="0000FF"/>
            <w:u w:val="single"/>
          </w:rPr>
          <w:t>H.266</w:t>
        </w:r>
      </w:hyperlink>
      <w:r w:rsidRPr="00A060FE">
        <w:rPr>
          <w:rFonts w:cstheme="minorHAnsi"/>
        </w:rPr>
        <w:t xml:space="preserve"> Versatile Video Coding, which is the result of </w:t>
      </w:r>
      <w:proofErr w:type="gramStart"/>
      <w:r w:rsidRPr="00A060FE">
        <w:rPr>
          <w:rFonts w:cstheme="minorHAnsi"/>
        </w:rPr>
        <w:t>a joint collaboration</w:t>
      </w:r>
      <w:proofErr w:type="gramEnd"/>
      <w:r w:rsidRPr="00A060FE">
        <w:rPr>
          <w:rFonts w:cstheme="minorHAnsi"/>
        </w:rPr>
        <w:t xml:space="preserve"> between ITU-T </w:t>
      </w:r>
      <w:r w:rsidR="006D38B9" w:rsidRPr="00B64995">
        <w:rPr>
          <w:rFonts w:cstheme="minorHAnsi"/>
        </w:rPr>
        <w:t>SG 16</w:t>
      </w:r>
      <w:r w:rsidRPr="00B64995">
        <w:rPr>
          <w:rFonts w:cstheme="minorHAnsi"/>
        </w:rPr>
        <w:t xml:space="preserve"> and ISO/IEC MPEG</w:t>
      </w:r>
      <w:r w:rsidR="00E34758" w:rsidRPr="00B64995">
        <w:rPr>
          <w:rFonts w:cstheme="minorHAnsi"/>
        </w:rPr>
        <w:t xml:space="preserve"> (see section 1.3)</w:t>
      </w:r>
    </w:p>
    <w:p w14:paraId="4E3844DE" w14:textId="24AEF7CE" w:rsidR="0049723A" w:rsidRPr="00B64995" w:rsidRDefault="00D61F99" w:rsidP="00D61F99">
      <w:pPr>
        <w:spacing w:after="120"/>
        <w:jc w:val="both"/>
        <w:rPr>
          <w:rFonts w:ascii="Calibri Light" w:eastAsia="Calibri Light" w:hAnsi="Calibri Light" w:cs="Calibri Light"/>
          <w:b/>
          <w:bCs/>
          <w:color w:val="2F5496" w:themeColor="accent1" w:themeShade="BF"/>
        </w:rPr>
      </w:pPr>
      <w:r w:rsidRPr="00B64995">
        <w:rPr>
          <w:rFonts w:ascii="Calibri Light" w:eastAsia="Calibri Light" w:hAnsi="Calibri Light" w:cs="Calibri Light"/>
          <w:b/>
          <w:bCs/>
          <w:color w:val="2F5496" w:themeColor="accent1" w:themeShade="BF"/>
        </w:rPr>
        <w:t>WSIS Stocktaking COVID-19 Response – ICT Case Repository</w:t>
      </w:r>
    </w:p>
    <w:p w14:paraId="72D383B6" w14:textId="1CE66834" w:rsidR="00D61F99" w:rsidRPr="00B64995" w:rsidRDefault="00D61F99" w:rsidP="00D61F99">
      <w:pPr>
        <w:spacing w:after="120"/>
        <w:jc w:val="both"/>
        <w:rPr>
          <w:rFonts w:cstheme="minorHAnsi"/>
        </w:rPr>
      </w:pPr>
      <w:r w:rsidRPr="00B64995">
        <w:rPr>
          <w:rFonts w:eastAsia="Calibri"/>
          <w:color w:val="000000" w:themeColor="text1"/>
        </w:rPr>
        <w:t xml:space="preserve">As a part of the WSIS Stocktaking efforts to promote the innovative use of ICTs in making social impact, and </w:t>
      </w:r>
      <w:proofErr w:type="gramStart"/>
      <w:r w:rsidRPr="00B64995">
        <w:rPr>
          <w:rFonts w:eastAsia="Calibri"/>
          <w:color w:val="000000" w:themeColor="text1"/>
        </w:rPr>
        <w:t>in order to</w:t>
      </w:r>
      <w:proofErr w:type="gramEnd"/>
      <w:r w:rsidRPr="00B64995">
        <w:rPr>
          <w:rFonts w:eastAsia="Calibri"/>
          <w:color w:val="000000" w:themeColor="text1"/>
        </w:rPr>
        <w:t xml:space="preserve"> provide useful, deployable and actionable information to all WSIS community and beyond, the ICT Case Repository was launched in April 2020 and is still available for collecting projects and activities on how ICTs are assisting stakeholders in their everyday life, work, and in combating challenges caused by this extraordinary situation.</w:t>
      </w:r>
    </w:p>
    <w:p w14:paraId="77010703" w14:textId="77777777" w:rsidR="002D3E52" w:rsidRPr="00B64995" w:rsidRDefault="002D3E52" w:rsidP="00A83DAA">
      <w:pPr>
        <w:pStyle w:val="Heading5"/>
        <w:rPr>
          <w:lang w:eastAsia="zh-CN"/>
        </w:rPr>
      </w:pPr>
    </w:p>
    <w:p w14:paraId="7051DC8B" w14:textId="01D6C46E" w:rsidR="0049723A" w:rsidRPr="00B64995" w:rsidRDefault="00BB21D9" w:rsidP="0012722A">
      <w:pPr>
        <w:jc w:val="both"/>
        <w:rPr>
          <w:rFonts w:cstheme="minorHAnsi"/>
          <w:b/>
          <w:bCs/>
          <w:i/>
          <w:iCs/>
        </w:rPr>
      </w:pPr>
      <w:r w:rsidRPr="00B64995">
        <w:rPr>
          <w:rFonts w:cstheme="minorHAnsi"/>
        </w:rPr>
        <w:t xml:space="preserve">All COVID-19-related activities </w:t>
      </w:r>
      <w:r w:rsidR="00530ACF" w:rsidRPr="00B64995">
        <w:rPr>
          <w:rFonts w:cstheme="minorHAnsi"/>
        </w:rPr>
        <w:t xml:space="preserve">of ITU </w:t>
      </w:r>
      <w:r w:rsidRPr="00B64995">
        <w:rPr>
          <w:rFonts w:cstheme="minorHAnsi"/>
        </w:rPr>
        <w:t xml:space="preserve">are available </w:t>
      </w:r>
      <w:hyperlink r:id="rId368" w:history="1">
        <w:r w:rsidRPr="00B64995">
          <w:rPr>
            <w:rStyle w:val="Hyperlink"/>
            <w:rFonts w:cstheme="minorHAnsi"/>
          </w:rPr>
          <w:t>here</w:t>
        </w:r>
      </w:hyperlink>
      <w:r w:rsidRPr="00A060FE">
        <w:rPr>
          <w:rFonts w:cstheme="minorHAnsi"/>
          <w:b/>
          <w:bCs/>
          <w:i/>
          <w:iCs/>
        </w:rPr>
        <w:t>.</w:t>
      </w:r>
    </w:p>
    <w:bookmarkEnd w:id="71"/>
    <w:p w14:paraId="60C802BC" w14:textId="61B82434" w:rsidR="79A23227" w:rsidRPr="00B64995" w:rsidRDefault="79A23227" w:rsidP="0012722A"/>
    <w:p w14:paraId="4A424E8E" w14:textId="50E54488" w:rsidR="00E417F0" w:rsidRPr="00B64995" w:rsidRDefault="00026FC6" w:rsidP="00026FC6">
      <w:pPr>
        <w:pStyle w:val="Heading2"/>
        <w:rPr>
          <w:lang w:eastAsia="en-GB"/>
        </w:rPr>
      </w:pPr>
      <w:bookmarkStart w:id="72" w:name="_Toc37860463"/>
      <w:bookmarkStart w:id="73" w:name="_Toc37861224"/>
      <w:bookmarkStart w:id="74" w:name="_Toc37943347"/>
      <w:bookmarkStart w:id="75" w:name="_Toc68811413"/>
      <w:bookmarkStart w:id="76" w:name="Section_1_9"/>
      <w:r w:rsidRPr="00B64995">
        <w:rPr>
          <w:lang w:eastAsia="en-GB"/>
        </w:rPr>
        <w:t>1.9</w:t>
      </w:r>
      <w:r w:rsidRPr="00B64995">
        <w:rPr>
          <w:lang w:eastAsia="en-GB"/>
        </w:rPr>
        <w:tab/>
      </w:r>
      <w:r w:rsidR="00E417F0" w:rsidRPr="00B64995">
        <w:rPr>
          <w:lang w:eastAsia="en-GB"/>
        </w:rPr>
        <w:t xml:space="preserve">Strategic </w:t>
      </w:r>
      <w:r w:rsidR="009C3774" w:rsidRPr="00B64995">
        <w:rPr>
          <w:lang w:eastAsia="en-GB"/>
        </w:rPr>
        <w:t>p</w:t>
      </w:r>
      <w:r w:rsidR="00E417F0" w:rsidRPr="00B64995">
        <w:rPr>
          <w:lang w:eastAsia="en-GB"/>
        </w:rPr>
        <w:t>artnerships </w:t>
      </w:r>
      <w:r w:rsidR="00951E14" w:rsidRPr="00B64995">
        <w:rPr>
          <w:lang w:eastAsia="en-GB"/>
        </w:rPr>
        <w:t>for SDGs</w:t>
      </w:r>
      <w:bookmarkEnd w:id="72"/>
      <w:bookmarkEnd w:id="73"/>
      <w:bookmarkEnd w:id="74"/>
      <w:bookmarkEnd w:id="75"/>
    </w:p>
    <w:bookmarkEnd w:id="76"/>
    <w:p w14:paraId="406AEAFD" w14:textId="1B9F953D" w:rsidR="0049723A" w:rsidRPr="00B64995" w:rsidRDefault="043736A8" w:rsidP="09AD7226">
      <w:pPr>
        <w:spacing w:before="120"/>
        <w:jc w:val="both"/>
        <w:rPr>
          <w:rFonts w:eastAsiaTheme="minorEastAsia"/>
        </w:rPr>
      </w:pPr>
      <w:r w:rsidRPr="00B64995">
        <w:rPr>
          <w:rFonts w:eastAsiaTheme="minorEastAsia"/>
        </w:rPr>
        <w:t xml:space="preserve">Today’s digital era needs strong collaboration based around cooperation, resource-sharing and win-win arrangements that benefit governments, </w:t>
      </w:r>
      <w:proofErr w:type="gramStart"/>
      <w:r w:rsidRPr="00B64995">
        <w:rPr>
          <w:rFonts w:eastAsiaTheme="minorEastAsia"/>
        </w:rPr>
        <w:t>industry</w:t>
      </w:r>
      <w:proofErr w:type="gramEnd"/>
      <w:r w:rsidRPr="00B64995">
        <w:rPr>
          <w:rFonts w:eastAsiaTheme="minorEastAsia"/>
        </w:rPr>
        <w:t xml:space="preserve"> and users. A more holistic ‘whole-of-government’ approach, in which technology is viewed as a basic enabling service that benefits all, is fundamental. ITU has been putting </w:t>
      </w:r>
      <w:r w:rsidR="285833CD" w:rsidRPr="00B64995">
        <w:rPr>
          <w:rFonts w:eastAsiaTheme="minorEastAsia"/>
        </w:rPr>
        <w:t xml:space="preserve">strong </w:t>
      </w:r>
      <w:r w:rsidRPr="00B64995">
        <w:rPr>
          <w:rFonts w:eastAsiaTheme="minorEastAsia"/>
        </w:rPr>
        <w:t xml:space="preserve">emphasis on forging </w:t>
      </w:r>
      <w:r w:rsidR="7552558F" w:rsidRPr="00B64995">
        <w:rPr>
          <w:rFonts w:eastAsiaTheme="minorEastAsia"/>
        </w:rPr>
        <w:t xml:space="preserve">and reinforcing </w:t>
      </w:r>
      <w:r w:rsidR="6A0AEF11" w:rsidRPr="00B64995">
        <w:rPr>
          <w:rFonts w:eastAsiaTheme="minorEastAsia"/>
        </w:rPr>
        <w:t xml:space="preserve">this type of </w:t>
      </w:r>
      <w:r w:rsidRPr="00B64995">
        <w:rPr>
          <w:rFonts w:eastAsiaTheme="minorEastAsia"/>
        </w:rPr>
        <w:t xml:space="preserve">strategic partnerships that </w:t>
      </w:r>
      <w:r w:rsidR="70DC42A2" w:rsidRPr="00B64995">
        <w:rPr>
          <w:rFonts w:eastAsiaTheme="minorEastAsia"/>
        </w:rPr>
        <w:t xml:space="preserve">through </w:t>
      </w:r>
      <w:r w:rsidRPr="00B64995">
        <w:rPr>
          <w:rFonts w:eastAsiaTheme="minorEastAsia"/>
        </w:rPr>
        <w:t xml:space="preserve">collaboration </w:t>
      </w:r>
      <w:r w:rsidR="4D2D5613" w:rsidRPr="00B64995">
        <w:rPr>
          <w:rFonts w:eastAsiaTheme="minorEastAsia"/>
        </w:rPr>
        <w:t xml:space="preserve">ensure </w:t>
      </w:r>
      <w:r w:rsidR="64AF0729" w:rsidRPr="00B64995">
        <w:rPr>
          <w:rFonts w:eastAsiaTheme="minorEastAsia"/>
        </w:rPr>
        <w:t xml:space="preserve">better </w:t>
      </w:r>
      <w:r w:rsidRPr="00B64995">
        <w:rPr>
          <w:rFonts w:eastAsiaTheme="minorEastAsia"/>
        </w:rPr>
        <w:t xml:space="preserve">outcomes, </w:t>
      </w:r>
      <w:r w:rsidR="64AF0729" w:rsidRPr="00B64995">
        <w:rPr>
          <w:rFonts w:eastAsiaTheme="minorEastAsia"/>
        </w:rPr>
        <w:t xml:space="preserve">more </w:t>
      </w:r>
      <w:r w:rsidRPr="00B64995">
        <w:rPr>
          <w:rFonts w:eastAsiaTheme="minorEastAsia"/>
        </w:rPr>
        <w:t xml:space="preserve">tangible </w:t>
      </w:r>
      <w:proofErr w:type="gramStart"/>
      <w:r w:rsidRPr="00B64995">
        <w:rPr>
          <w:rFonts w:eastAsiaTheme="minorEastAsia"/>
        </w:rPr>
        <w:t>results</w:t>
      </w:r>
      <w:proofErr w:type="gramEnd"/>
      <w:r w:rsidRPr="00B64995">
        <w:rPr>
          <w:rFonts w:eastAsiaTheme="minorEastAsia"/>
        </w:rPr>
        <w:t xml:space="preserve"> and </w:t>
      </w:r>
      <w:r w:rsidR="64AF0729" w:rsidRPr="00B64995">
        <w:rPr>
          <w:rFonts w:eastAsiaTheme="minorEastAsia"/>
        </w:rPr>
        <w:t xml:space="preserve">stronger </w:t>
      </w:r>
      <w:r w:rsidRPr="00B64995">
        <w:rPr>
          <w:rFonts w:eastAsiaTheme="minorEastAsia"/>
        </w:rPr>
        <w:t>impact</w:t>
      </w:r>
      <w:r w:rsidR="7FD6A713" w:rsidRPr="00B64995">
        <w:rPr>
          <w:rFonts w:eastAsiaTheme="minorEastAsia"/>
        </w:rPr>
        <w:t>,</w:t>
      </w:r>
      <w:r w:rsidRPr="00B64995">
        <w:rPr>
          <w:rFonts w:eastAsiaTheme="minorEastAsia"/>
        </w:rPr>
        <w:t xml:space="preserve"> with the aim of </w:t>
      </w:r>
      <w:r w:rsidR="7A43CC8B" w:rsidRPr="00B64995">
        <w:rPr>
          <w:rFonts w:eastAsiaTheme="minorEastAsia"/>
        </w:rPr>
        <w:t xml:space="preserve">accelerating the </w:t>
      </w:r>
      <w:r w:rsidR="698F9D35" w:rsidRPr="00B64995">
        <w:rPr>
          <w:rFonts w:eastAsiaTheme="minorEastAsia"/>
        </w:rPr>
        <w:t xml:space="preserve">achievement of the SDGs through the use of </w:t>
      </w:r>
      <w:r w:rsidRPr="00B64995">
        <w:rPr>
          <w:rFonts w:eastAsiaTheme="minorEastAsia"/>
        </w:rPr>
        <w:t>ICT</w:t>
      </w:r>
      <w:r w:rsidR="698F9D35" w:rsidRPr="00B64995">
        <w:rPr>
          <w:rFonts w:eastAsiaTheme="minorEastAsia"/>
        </w:rPr>
        <w:t>s.</w:t>
      </w:r>
    </w:p>
    <w:p w14:paraId="3C4C1C81" w14:textId="542D0273" w:rsidR="00951E14" w:rsidRPr="00B64995" w:rsidRDefault="168A624E" w:rsidP="00614D53">
      <w:pPr>
        <w:spacing w:before="120"/>
        <w:jc w:val="both"/>
        <w:rPr>
          <w:rFonts w:eastAsiaTheme="minorEastAsia"/>
        </w:rPr>
      </w:pPr>
      <w:r w:rsidRPr="00B64995">
        <w:rPr>
          <w:rFonts w:eastAsiaTheme="minorEastAsia"/>
        </w:rPr>
        <w:t xml:space="preserve">This section summarizes some </w:t>
      </w:r>
      <w:r w:rsidR="7511B3E4" w:rsidRPr="00B64995">
        <w:rPr>
          <w:rFonts w:eastAsiaTheme="minorEastAsia"/>
        </w:rPr>
        <w:t xml:space="preserve">of the </w:t>
      </w:r>
      <w:r w:rsidR="00AF30C6" w:rsidRPr="00B64995">
        <w:rPr>
          <w:rFonts w:eastAsiaTheme="minorEastAsia"/>
        </w:rPr>
        <w:t xml:space="preserve">key </w:t>
      </w:r>
      <w:r w:rsidR="7511B3E4" w:rsidRPr="00B64995">
        <w:rPr>
          <w:rFonts w:eastAsiaTheme="minorEastAsia"/>
        </w:rPr>
        <w:t xml:space="preserve">partnerships that continued through </w:t>
      </w:r>
      <w:r w:rsidR="0E0D5444" w:rsidRPr="00B64995">
        <w:rPr>
          <w:rFonts w:eastAsiaTheme="minorEastAsia"/>
        </w:rPr>
        <w:t>2020</w:t>
      </w:r>
      <w:r w:rsidR="7511B3E4" w:rsidRPr="00B64995">
        <w:rPr>
          <w:rFonts w:eastAsiaTheme="minorEastAsia"/>
        </w:rPr>
        <w:t>.</w:t>
      </w:r>
    </w:p>
    <w:p w14:paraId="16287F21" w14:textId="77777777" w:rsidR="00951E14" w:rsidRPr="00B64995" w:rsidRDefault="00951E14" w:rsidP="00614D53">
      <w:pPr>
        <w:jc w:val="both"/>
        <w:rPr>
          <w:rFonts w:eastAsiaTheme="minorEastAsia"/>
          <w:color w:val="000000" w:themeColor="text1"/>
        </w:rPr>
      </w:pPr>
    </w:p>
    <w:p w14:paraId="6F91AF64" w14:textId="36521D67" w:rsidR="00951E14" w:rsidRPr="00B64995" w:rsidRDefault="00951E14" w:rsidP="003812EF">
      <w:pPr>
        <w:pStyle w:val="Heading5"/>
      </w:pPr>
      <w:r w:rsidRPr="00B64995">
        <w:t>Broadband Commission</w:t>
      </w:r>
    </w:p>
    <w:p w14:paraId="0A300D09" w14:textId="7A891466" w:rsidR="0049723A" w:rsidRPr="00B64995" w:rsidRDefault="00951E14" w:rsidP="22948D6E">
      <w:pPr>
        <w:jc w:val="both"/>
        <w:rPr>
          <w:rFonts w:eastAsiaTheme="minorEastAsia"/>
          <w:shd w:val="clear" w:color="auto" w:fill="FFFFFF"/>
        </w:rPr>
      </w:pPr>
      <w:r w:rsidRPr="00B64995">
        <w:rPr>
          <w:rFonts w:eastAsiaTheme="minorEastAsia"/>
          <w:shd w:val="clear" w:color="auto" w:fill="FFFFFF"/>
        </w:rPr>
        <w:t>ITU and UNESCO set up the</w:t>
      </w:r>
      <w:r w:rsidR="00F656FC" w:rsidRPr="00B64995">
        <w:rPr>
          <w:rFonts w:eastAsiaTheme="minorEastAsia"/>
          <w:shd w:val="clear" w:color="auto" w:fill="FFFFFF"/>
        </w:rPr>
        <w:t xml:space="preserve"> </w:t>
      </w:r>
      <w:r w:rsidRPr="00B64995">
        <w:rPr>
          <w:rStyle w:val="Emphasis"/>
          <w:rFonts w:eastAsiaTheme="minorEastAsia"/>
          <w:shd w:val="clear" w:color="auto" w:fill="FFFFFF"/>
        </w:rPr>
        <w:t>Broadband Commission for Digital Development</w:t>
      </w:r>
      <w:r w:rsidR="00F656FC" w:rsidRPr="00B64995">
        <w:rPr>
          <w:rFonts w:eastAsiaTheme="minorEastAsia"/>
          <w:shd w:val="clear" w:color="auto" w:fill="FFFFFF"/>
        </w:rPr>
        <w:t xml:space="preserve"> </w:t>
      </w:r>
      <w:r w:rsidR="2CB4600E" w:rsidRPr="00B64995">
        <w:rPr>
          <w:rFonts w:eastAsiaTheme="minorEastAsia"/>
          <w:shd w:val="clear" w:color="auto" w:fill="FFFFFF"/>
        </w:rPr>
        <w:t xml:space="preserve">in 2010 </w:t>
      </w:r>
      <w:r w:rsidRPr="00B64995">
        <w:rPr>
          <w:rFonts w:eastAsiaTheme="minorEastAsia"/>
          <w:shd w:val="clear" w:color="auto" w:fill="FFFFFF"/>
        </w:rPr>
        <w:t xml:space="preserve">with the aim of boosting the importance of broadband on the international policy </w:t>
      </w:r>
      <w:r w:rsidR="5A4C35F0" w:rsidRPr="00B64995">
        <w:rPr>
          <w:rFonts w:eastAsiaTheme="minorEastAsia"/>
          <w:shd w:val="clear" w:color="auto" w:fill="FFFFFF"/>
        </w:rPr>
        <w:t>agenda and</w:t>
      </w:r>
      <w:r w:rsidRPr="00B64995">
        <w:rPr>
          <w:rFonts w:eastAsiaTheme="minorEastAsia"/>
          <w:shd w:val="clear" w:color="auto" w:fill="FFFFFF"/>
        </w:rPr>
        <w:t xml:space="preserve"> expanding broadband access in every country as </w:t>
      </w:r>
      <w:r w:rsidR="00530ACF" w:rsidRPr="00B64995">
        <w:rPr>
          <w:rFonts w:eastAsiaTheme="minorEastAsia"/>
          <w:shd w:val="clear" w:color="auto" w:fill="FFFFFF"/>
        </w:rPr>
        <w:t xml:space="preserve">the </w:t>
      </w:r>
      <w:r w:rsidRPr="00B64995">
        <w:rPr>
          <w:rFonts w:eastAsiaTheme="minorEastAsia"/>
          <w:shd w:val="clear" w:color="auto" w:fill="FFFFFF"/>
        </w:rPr>
        <w:t xml:space="preserve">key to accelerating progress towards national and international development targets. </w:t>
      </w:r>
      <w:r w:rsidR="34F50612" w:rsidRPr="00B64995">
        <w:rPr>
          <w:rFonts w:eastAsiaTheme="minorEastAsia"/>
        </w:rPr>
        <w:t>R</w:t>
      </w:r>
      <w:r w:rsidR="6EB2722C" w:rsidRPr="00B64995">
        <w:rPr>
          <w:rFonts w:eastAsiaTheme="minorEastAsia"/>
        </w:rPr>
        <w:t>e</w:t>
      </w:r>
      <w:r w:rsidR="008D2E9D" w:rsidRPr="00B64995">
        <w:rPr>
          <w:rFonts w:eastAsiaTheme="minorEastAsia"/>
        </w:rPr>
        <w:t>named</w:t>
      </w:r>
      <w:r w:rsidR="6EB2722C" w:rsidRPr="00B64995">
        <w:rPr>
          <w:rFonts w:eastAsiaTheme="minorEastAsia"/>
        </w:rPr>
        <w:t xml:space="preserve"> in 2015 as the </w:t>
      </w:r>
      <w:hyperlink r:id="rId369" w:history="1">
        <w:r w:rsidR="6EB2722C" w:rsidRPr="00B64995">
          <w:rPr>
            <w:rStyle w:val="Hyperlink"/>
            <w:rFonts w:eastAsiaTheme="minorEastAsia"/>
          </w:rPr>
          <w:t>Broadband Commission for Sustainable Development</w:t>
        </w:r>
      </w:hyperlink>
      <w:r w:rsidR="6EB2722C" w:rsidRPr="00A060FE">
        <w:rPr>
          <w:rFonts w:eastAsiaTheme="minorEastAsia"/>
        </w:rPr>
        <w:t xml:space="preserve">, the Commission </w:t>
      </w:r>
      <w:r w:rsidR="455A9D9A" w:rsidRPr="00B64995">
        <w:rPr>
          <w:rFonts w:eastAsiaTheme="minorEastAsia"/>
          <w:shd w:val="clear" w:color="auto" w:fill="FFFFFF"/>
        </w:rPr>
        <w:t xml:space="preserve">continues </w:t>
      </w:r>
      <w:r w:rsidR="02249C47" w:rsidRPr="00B64995">
        <w:rPr>
          <w:rFonts w:eastAsiaTheme="minorEastAsia"/>
        </w:rPr>
        <w:t>to deliver</w:t>
      </w:r>
      <w:r w:rsidR="3B119414" w:rsidRPr="00B64995">
        <w:rPr>
          <w:rFonts w:eastAsiaTheme="minorEastAsia"/>
        </w:rPr>
        <w:t xml:space="preserve"> strong</w:t>
      </w:r>
      <w:r w:rsidR="6FD33EB7" w:rsidRPr="00B64995">
        <w:rPr>
          <w:rFonts w:eastAsiaTheme="minorEastAsia"/>
        </w:rPr>
        <w:t xml:space="preserve"> </w:t>
      </w:r>
      <w:r w:rsidR="3DADAFB1" w:rsidRPr="00B64995">
        <w:rPr>
          <w:rFonts w:eastAsiaTheme="minorEastAsia"/>
        </w:rPr>
        <w:t xml:space="preserve">high-level </w:t>
      </w:r>
      <w:r w:rsidR="6FD33EB7" w:rsidRPr="00B64995">
        <w:rPr>
          <w:rFonts w:eastAsiaTheme="minorEastAsia"/>
        </w:rPr>
        <w:t>advocacy mess</w:t>
      </w:r>
      <w:r w:rsidR="5CC71F49" w:rsidRPr="00B64995">
        <w:rPr>
          <w:rFonts w:eastAsiaTheme="minorEastAsia"/>
        </w:rPr>
        <w:t>a</w:t>
      </w:r>
      <w:r w:rsidR="6FD33EB7" w:rsidRPr="00B64995">
        <w:rPr>
          <w:rFonts w:eastAsiaTheme="minorEastAsia"/>
        </w:rPr>
        <w:t>ge</w:t>
      </w:r>
      <w:r w:rsidR="1E2D1104" w:rsidRPr="00B64995">
        <w:rPr>
          <w:rFonts w:eastAsiaTheme="minorEastAsia"/>
        </w:rPr>
        <w:t>s to ensure that the benefits of broadband are realized in all countries.</w:t>
      </w:r>
    </w:p>
    <w:p w14:paraId="34B3F2EB" w14:textId="0E69C17A" w:rsidR="00951E14" w:rsidRPr="00B64995" w:rsidRDefault="00951E14" w:rsidP="00614D53">
      <w:pPr>
        <w:jc w:val="both"/>
        <w:rPr>
          <w:shd w:val="clear" w:color="auto" w:fill="FFFFFF"/>
        </w:rPr>
      </w:pPr>
    </w:p>
    <w:p w14:paraId="2A679439" w14:textId="193A6C7A" w:rsidR="00951E14" w:rsidRPr="00B64995" w:rsidRDefault="00951E14" w:rsidP="31295726">
      <w:pPr>
        <w:spacing w:line="257" w:lineRule="auto"/>
        <w:jc w:val="both"/>
        <w:rPr>
          <w:rFonts w:eastAsia="Calibri"/>
        </w:rPr>
      </w:pPr>
      <w:r w:rsidRPr="00B64995">
        <w:rPr>
          <w:rFonts w:eastAsiaTheme="minorEastAsia"/>
        </w:rPr>
        <w:t>In 2019 the Broadband Commission continued this work. One of the most impactful outcomes was the work conducted within the Working Group on Broadband for All, which formed the initiative named “</w:t>
      </w:r>
      <w:hyperlink r:id="rId370" w:history="1">
        <w:r w:rsidRPr="00B64995">
          <w:rPr>
            <w:rFonts w:eastAsiaTheme="minorEastAsia"/>
          </w:rPr>
          <w:t xml:space="preserve">A Digital </w:t>
        </w:r>
        <w:proofErr w:type="spellStart"/>
        <w:r w:rsidRPr="00B64995">
          <w:rPr>
            <w:rFonts w:eastAsiaTheme="minorEastAsia"/>
          </w:rPr>
          <w:t>Moonshot</w:t>
        </w:r>
        <w:proofErr w:type="spellEnd"/>
        <w:r w:rsidRPr="00B64995">
          <w:rPr>
            <w:rFonts w:eastAsiaTheme="minorEastAsia"/>
          </w:rPr>
          <w:t xml:space="preserve"> Infrastructure for Africa</w:t>
        </w:r>
      </w:hyperlink>
      <w:r w:rsidRPr="00A060FE">
        <w:rPr>
          <w:rFonts w:eastAsiaTheme="minorEastAsia"/>
        </w:rPr>
        <w:t xml:space="preserve">”, a </w:t>
      </w:r>
      <w:r w:rsidR="00B042CC" w:rsidRPr="00B64995">
        <w:rPr>
          <w:rFonts w:eastAsiaTheme="minorEastAsia"/>
        </w:rPr>
        <w:t>multistakeholder</w:t>
      </w:r>
      <w:r w:rsidRPr="00B64995">
        <w:rPr>
          <w:rFonts w:eastAsiaTheme="minorEastAsia"/>
        </w:rPr>
        <w:t xml:space="preserve"> consultation group to engage key ICT industry partners, estimate the investment needs, and prepare a roadmap to help countries and development actors coordinate, accelerate and prioritize their efforts to improve digital infrastructure in Africa. The outcome of the group, presented in the 2019 Broadband Commission’s </w:t>
      </w:r>
      <w:r w:rsidRPr="00B64995">
        <w:rPr>
          <w:rFonts w:eastAsiaTheme="minorEastAsia"/>
        </w:rPr>
        <w:lastRenderedPageBreak/>
        <w:t xml:space="preserve">meeting, proposed a roadmap and action plan for universal, </w:t>
      </w:r>
      <w:proofErr w:type="gramStart"/>
      <w:r w:rsidRPr="00B64995">
        <w:rPr>
          <w:rFonts w:eastAsiaTheme="minorEastAsia"/>
        </w:rPr>
        <w:t>affordable</w:t>
      </w:r>
      <w:proofErr w:type="gramEnd"/>
      <w:r w:rsidRPr="00B64995">
        <w:rPr>
          <w:rFonts w:eastAsiaTheme="minorEastAsia"/>
        </w:rPr>
        <w:t xml:space="preserve"> and good quality broadband connectivity in Africa, combining investment needs, sector reforms, and demand stimulation required to advance to a single digital market on the continent. The roadmap included the launch of an action plan for the establishment a global coalition to achieve Africa’s digital transformation so that by 2030 every individual, business, and government in Africa is digitally enabled and ready to thrive in the digital economy. </w:t>
      </w:r>
      <w:r w:rsidR="240DE06C" w:rsidRPr="00B64995">
        <w:rPr>
          <w:rFonts w:eastAsia="Calibri"/>
        </w:rPr>
        <w:t xml:space="preserve">With the publication of the </w:t>
      </w:r>
      <w:hyperlink r:id="rId371" w:history="1">
        <w:r w:rsidR="240DE06C" w:rsidRPr="00B64995">
          <w:rPr>
            <w:rStyle w:val="Hyperlink"/>
            <w:rFonts w:eastAsia="Calibri"/>
          </w:rPr>
          <w:t>Universal Connectivity Manifesto</w:t>
        </w:r>
      </w:hyperlink>
      <w:r w:rsidR="240DE06C" w:rsidRPr="00B64995">
        <w:rPr>
          <w:rFonts w:eastAsia="Calibri"/>
        </w:rPr>
        <w:t xml:space="preserve"> in 2020, the Broadband Commission for Sustainable Development celebrated </w:t>
      </w:r>
      <w:hyperlink r:id="rId372" w:history="1">
        <w:r w:rsidR="240DE06C" w:rsidRPr="00B64995">
          <w:rPr>
            <w:rStyle w:val="Hyperlink"/>
            <w:rFonts w:eastAsia="Calibri"/>
          </w:rPr>
          <w:t xml:space="preserve">10 </w:t>
        </w:r>
        <w:r w:rsidR="00530ACF" w:rsidRPr="00B64995">
          <w:rPr>
            <w:rStyle w:val="Hyperlink"/>
            <w:rFonts w:eastAsia="Calibri"/>
          </w:rPr>
          <w:t>y</w:t>
        </w:r>
        <w:r w:rsidR="240DE06C" w:rsidRPr="00B64995">
          <w:rPr>
            <w:rStyle w:val="Hyperlink"/>
            <w:rFonts w:eastAsia="Calibri"/>
          </w:rPr>
          <w:t>ears</w:t>
        </w:r>
      </w:hyperlink>
      <w:r w:rsidR="240DE06C" w:rsidRPr="00A060FE">
        <w:rPr>
          <w:rFonts w:eastAsia="Calibri"/>
        </w:rPr>
        <w:t xml:space="preserve"> of building global </w:t>
      </w:r>
      <w:r w:rsidR="00B042CC" w:rsidRPr="00B64995">
        <w:rPr>
          <w:rFonts w:eastAsia="Calibri"/>
        </w:rPr>
        <w:t>multistakeholder</w:t>
      </w:r>
      <w:r w:rsidR="240DE06C" w:rsidRPr="00B64995">
        <w:rPr>
          <w:rFonts w:eastAsia="Calibri"/>
        </w:rPr>
        <w:t xml:space="preserve"> partnerships and pushing broadband access to the top of the international policy agenda. The Manifesto calls for digital cooperation and for recognizing digital connectivity as the foundational element of the United Nations 2030 Agenda for Sustainable Development.</w:t>
      </w:r>
    </w:p>
    <w:p w14:paraId="2BC89417" w14:textId="4F68C7E9" w:rsidR="22948D6E" w:rsidRPr="00B64995" w:rsidRDefault="22948D6E" w:rsidP="22948D6E">
      <w:pPr>
        <w:spacing w:line="257" w:lineRule="auto"/>
        <w:jc w:val="both"/>
        <w:rPr>
          <w:rFonts w:eastAsia="Calibri"/>
        </w:rPr>
      </w:pPr>
    </w:p>
    <w:p w14:paraId="429B371B" w14:textId="7745457E" w:rsidR="240DE06C" w:rsidRPr="00B64995" w:rsidRDefault="779C7ADE" w:rsidP="008E1971">
      <w:pPr>
        <w:spacing w:line="257" w:lineRule="auto"/>
        <w:jc w:val="both"/>
        <w:rPr>
          <w:rFonts w:eastAsia="Calibri"/>
        </w:rPr>
      </w:pPr>
      <w:r w:rsidRPr="00B64995">
        <w:rPr>
          <w:rFonts w:eastAsia="Calibri"/>
        </w:rPr>
        <w:t>In September 2020, t</w:t>
      </w:r>
      <w:r w:rsidR="240DE06C" w:rsidRPr="00B64995">
        <w:rPr>
          <w:rFonts w:eastAsia="Calibri"/>
        </w:rPr>
        <w:t xml:space="preserve">he Commission also published the </w:t>
      </w:r>
      <w:hyperlink r:id="rId373" w:history="1">
        <w:r w:rsidR="240DE06C" w:rsidRPr="00B64995">
          <w:rPr>
            <w:rStyle w:val="Hyperlink"/>
            <w:rFonts w:eastAsia="Calibri"/>
          </w:rPr>
          <w:t>Special Edition State of Broadband Report</w:t>
        </w:r>
      </w:hyperlink>
      <w:r w:rsidR="240DE06C" w:rsidRPr="00A060FE">
        <w:rPr>
          <w:rFonts w:eastAsia="Calibri"/>
        </w:rPr>
        <w:t xml:space="preserve"> highlighting stark disparities in access to high-speed connectivit</w:t>
      </w:r>
      <w:r w:rsidR="240DE06C" w:rsidRPr="00B64995">
        <w:rPr>
          <w:rFonts w:eastAsia="Calibri"/>
        </w:rPr>
        <w:t>y that have prevented billions of adults and children from benefiting from remote working, learning and communication</w:t>
      </w:r>
      <w:r w:rsidR="00BD0955" w:rsidRPr="00B64995">
        <w:rPr>
          <w:rFonts w:eastAsia="Calibri"/>
        </w:rPr>
        <w:t>. The report calls</w:t>
      </w:r>
      <w:r w:rsidR="240DE06C" w:rsidRPr="00B64995">
        <w:rPr>
          <w:rFonts w:eastAsia="Calibri"/>
        </w:rPr>
        <w:t xml:space="preserve"> on world leaders and heads of industry to place universal broadband connectivity at the very forefront of global recovery and sustainable development efforts. To date, the Commission's outcomes have included an annual </w:t>
      </w:r>
      <w:r w:rsidR="00BD0955" w:rsidRPr="00B64995">
        <w:rPr>
          <w:rFonts w:eastAsia="Calibri"/>
        </w:rPr>
        <w:t>“</w:t>
      </w:r>
      <w:r w:rsidR="240DE06C" w:rsidRPr="00B64995">
        <w:rPr>
          <w:rFonts w:eastAsia="Calibri"/>
        </w:rPr>
        <w:t>State of Broadband</w:t>
      </w:r>
      <w:r w:rsidR="00BD0955" w:rsidRPr="00B64995">
        <w:rPr>
          <w:rFonts w:eastAsia="Calibri"/>
        </w:rPr>
        <w:t>”</w:t>
      </w:r>
      <w:r w:rsidR="240DE06C" w:rsidRPr="00B64995">
        <w:rPr>
          <w:rFonts w:eastAsia="Calibri"/>
        </w:rPr>
        <w:t xml:space="preserve"> report, working groups on thematic areas from health to education, and two meetings every year. The Commission also leverages its high-profile </w:t>
      </w:r>
      <w:hyperlink r:id="rId374" w:history="1">
        <w:r w:rsidR="240DE06C" w:rsidRPr="00B64995">
          <w:rPr>
            <w:rStyle w:val="Hyperlink"/>
            <w:rFonts w:eastAsia="Calibri"/>
          </w:rPr>
          <w:t>Commissioners</w:t>
        </w:r>
      </w:hyperlink>
      <w:r w:rsidR="240DE06C" w:rsidRPr="00A060FE">
        <w:rPr>
          <w:rFonts w:eastAsia="Calibri"/>
        </w:rPr>
        <w:t xml:space="preserve"> to spread the </w:t>
      </w:r>
      <w:r w:rsidR="240DE06C" w:rsidRPr="00B64995">
        <w:rPr>
          <w:rFonts w:eastAsia="Calibri"/>
        </w:rPr>
        <w:t xml:space="preserve">message of </w:t>
      </w:r>
      <w:r w:rsidR="00BD0955" w:rsidRPr="00B64995">
        <w:rPr>
          <w:rFonts w:eastAsia="Calibri"/>
        </w:rPr>
        <w:t>b</w:t>
      </w:r>
      <w:r w:rsidR="240DE06C" w:rsidRPr="00B64995">
        <w:rPr>
          <w:rFonts w:eastAsia="Calibri"/>
        </w:rPr>
        <w:t xml:space="preserve">roadband for </w:t>
      </w:r>
      <w:r w:rsidR="00BD0955" w:rsidRPr="00B64995">
        <w:rPr>
          <w:rFonts w:eastAsia="Calibri"/>
        </w:rPr>
        <w:t>s</w:t>
      </w:r>
      <w:r w:rsidR="240DE06C" w:rsidRPr="00B64995">
        <w:rPr>
          <w:rFonts w:eastAsia="Calibri"/>
        </w:rPr>
        <w:t xml:space="preserve">ustainable </w:t>
      </w:r>
      <w:r w:rsidR="00BD0955" w:rsidRPr="00B64995">
        <w:rPr>
          <w:rFonts w:eastAsia="Calibri"/>
        </w:rPr>
        <w:t>d</w:t>
      </w:r>
      <w:r w:rsidR="240DE06C" w:rsidRPr="00B64995">
        <w:rPr>
          <w:rFonts w:eastAsia="Calibri"/>
        </w:rPr>
        <w:t xml:space="preserve">evelopment at key events, </w:t>
      </w:r>
      <w:proofErr w:type="gramStart"/>
      <w:r w:rsidR="240DE06C" w:rsidRPr="00B64995">
        <w:rPr>
          <w:rFonts w:eastAsia="Calibri"/>
        </w:rPr>
        <w:t>conferences</w:t>
      </w:r>
      <w:proofErr w:type="gramEnd"/>
      <w:r w:rsidR="240DE06C" w:rsidRPr="00B64995">
        <w:rPr>
          <w:rFonts w:eastAsia="Calibri"/>
        </w:rPr>
        <w:t xml:space="preserve"> and functions.</w:t>
      </w:r>
    </w:p>
    <w:p w14:paraId="1685DC0F" w14:textId="77777777" w:rsidR="00464BDA" w:rsidRPr="00B64995" w:rsidRDefault="00464BDA" w:rsidP="008E1971">
      <w:pPr>
        <w:spacing w:line="257" w:lineRule="auto"/>
        <w:jc w:val="both"/>
        <w:rPr>
          <w:rFonts w:eastAsia="Calibri"/>
        </w:rPr>
      </w:pPr>
    </w:p>
    <w:p w14:paraId="36967CC5" w14:textId="114F22D1" w:rsidR="240DE06C" w:rsidRPr="00B64995" w:rsidRDefault="240DE06C" w:rsidP="008E1971">
      <w:pPr>
        <w:spacing w:line="257" w:lineRule="auto"/>
        <w:jc w:val="both"/>
        <w:rPr>
          <w:rFonts w:eastAsia="Calibri"/>
        </w:rPr>
      </w:pPr>
      <w:r w:rsidRPr="00B64995">
        <w:rPr>
          <w:rFonts w:eastAsia="Calibri"/>
        </w:rPr>
        <w:t xml:space="preserve">The Broadband Commission has issued </w:t>
      </w:r>
      <w:proofErr w:type="gramStart"/>
      <w:r w:rsidRPr="00B64995">
        <w:rPr>
          <w:rFonts w:eastAsia="Calibri"/>
        </w:rPr>
        <w:t>a number of</w:t>
      </w:r>
      <w:proofErr w:type="gramEnd"/>
      <w:r w:rsidRPr="00B64995">
        <w:rPr>
          <w:rFonts w:eastAsia="Calibri"/>
        </w:rPr>
        <w:t xml:space="preserve"> calls to action and high-level manifestos on behalf of the group's members, directed at key </w:t>
      </w:r>
      <w:r w:rsidR="00BD0955" w:rsidRPr="00B64995">
        <w:rPr>
          <w:rFonts w:eastAsia="Calibri"/>
        </w:rPr>
        <w:t>decision-makers</w:t>
      </w:r>
      <w:r w:rsidRPr="00B64995">
        <w:rPr>
          <w:rFonts w:eastAsia="Calibri"/>
        </w:rPr>
        <w:t xml:space="preserve"> at the G20, the United Nations and </w:t>
      </w:r>
      <w:r w:rsidR="00BD0955" w:rsidRPr="00B64995">
        <w:rPr>
          <w:rFonts w:eastAsia="Calibri"/>
        </w:rPr>
        <w:t xml:space="preserve">among the </w:t>
      </w:r>
      <w:r w:rsidRPr="00B64995">
        <w:rPr>
          <w:rFonts w:eastAsia="Calibri"/>
        </w:rPr>
        <w:t xml:space="preserve">delegates at ITU's 2014 Plenipotentiary </w:t>
      </w:r>
      <w:r w:rsidRPr="00570F0C">
        <w:rPr>
          <w:rFonts w:eastAsia="Calibri"/>
        </w:rPr>
        <w:t>Conference (PP-</w:t>
      </w:r>
      <w:r w:rsidR="003E634A" w:rsidRPr="00570F0C">
        <w:rPr>
          <w:rFonts w:eastAsia="Calibri"/>
        </w:rPr>
        <w:t>14</w:t>
      </w:r>
      <w:r w:rsidRPr="00570F0C">
        <w:rPr>
          <w:rFonts w:eastAsia="Calibri"/>
        </w:rPr>
        <w:t>).</w:t>
      </w:r>
    </w:p>
    <w:p w14:paraId="2D66587E" w14:textId="77777777" w:rsidR="00407B2B" w:rsidRPr="00B64995" w:rsidRDefault="00407B2B" w:rsidP="00407B2B">
      <w:pPr>
        <w:jc w:val="both"/>
        <w:rPr>
          <w:lang w:eastAsia="en-GB"/>
        </w:rPr>
      </w:pPr>
    </w:p>
    <w:p w14:paraId="33A48CEA" w14:textId="24BB950E" w:rsidR="33B52906" w:rsidRPr="00B64995" w:rsidRDefault="782F6452" w:rsidP="00614D53">
      <w:pPr>
        <w:jc w:val="both"/>
        <w:rPr>
          <w:rFonts w:eastAsiaTheme="minorEastAsia"/>
        </w:rPr>
      </w:pPr>
      <w:r w:rsidRPr="00B64995">
        <w:rPr>
          <w:rFonts w:eastAsiaTheme="minorEastAsia"/>
        </w:rPr>
        <w:t xml:space="preserve">More information about the work of the Broadband Commission can be found </w:t>
      </w:r>
      <w:hyperlink r:id="rId375" w:history="1">
        <w:r w:rsidRPr="00B64995">
          <w:rPr>
            <w:rStyle w:val="Hyperlink"/>
            <w:rFonts w:eastAsiaTheme="minorEastAsia"/>
          </w:rPr>
          <w:t>here</w:t>
        </w:r>
      </w:hyperlink>
      <w:r w:rsidRPr="00A060FE">
        <w:rPr>
          <w:rFonts w:eastAsiaTheme="minorEastAsia"/>
        </w:rPr>
        <w:t>.</w:t>
      </w:r>
    </w:p>
    <w:p w14:paraId="5524FCFD" w14:textId="77777777" w:rsidR="00B0725E" w:rsidRPr="00B64995" w:rsidRDefault="00B0725E" w:rsidP="00614D53">
      <w:pPr>
        <w:jc w:val="both"/>
      </w:pPr>
    </w:p>
    <w:p w14:paraId="1D6BC061" w14:textId="15F2EB07" w:rsidR="2D12BAD9" w:rsidRPr="00B64995" w:rsidRDefault="2D12BAD9" w:rsidP="003812EF">
      <w:pPr>
        <w:pStyle w:val="Heading5"/>
      </w:pPr>
      <w:r w:rsidRPr="00B64995">
        <w:t>EQUALS</w:t>
      </w:r>
    </w:p>
    <w:p w14:paraId="51FE1D84" w14:textId="77777777" w:rsidR="0049723A" w:rsidRPr="00B64995" w:rsidRDefault="00570F0C" w:rsidP="00614D53">
      <w:pPr>
        <w:pStyle w:val="FootnoteText"/>
        <w:jc w:val="both"/>
        <w:rPr>
          <w:rFonts w:cs="Calibri"/>
          <w:sz w:val="22"/>
          <w:szCs w:val="22"/>
          <w:lang w:val="en-GB"/>
        </w:rPr>
      </w:pPr>
      <w:hyperlink r:id="rId376">
        <w:r w:rsidR="00951E14" w:rsidRPr="00B64995">
          <w:rPr>
            <w:rStyle w:val="Hyperlink"/>
            <w:rFonts w:cs="Calibri"/>
            <w:sz w:val="22"/>
            <w:szCs w:val="22"/>
            <w:lang w:val="en-GB"/>
          </w:rPr>
          <w:t>EQUALS</w:t>
        </w:r>
      </w:hyperlink>
      <w:r w:rsidR="2A40ED9A" w:rsidRPr="00A060FE">
        <w:rPr>
          <w:rFonts w:cs="Calibri"/>
          <w:sz w:val="22"/>
          <w:szCs w:val="22"/>
          <w:lang w:val="en-GB"/>
        </w:rPr>
        <w:t>, the</w:t>
      </w:r>
      <w:r w:rsidR="00951E14" w:rsidRPr="00B64995">
        <w:rPr>
          <w:rFonts w:cs="Calibri"/>
          <w:sz w:val="22"/>
          <w:szCs w:val="22"/>
          <w:lang w:val="en-GB"/>
        </w:rPr>
        <w:t xml:space="preserve"> Global Partnership for Gender Equality in the Digital Age</w:t>
      </w:r>
      <w:r w:rsidR="049F9AF4" w:rsidRPr="00B64995">
        <w:rPr>
          <w:rFonts w:cs="Calibri"/>
          <w:sz w:val="22"/>
          <w:szCs w:val="22"/>
          <w:lang w:val="en-GB"/>
        </w:rPr>
        <w:t>,</w:t>
      </w:r>
      <w:r w:rsidR="043736A8" w:rsidRPr="00B64995">
        <w:rPr>
          <w:rFonts w:cs="Calibri"/>
          <w:sz w:val="22"/>
          <w:szCs w:val="22"/>
          <w:lang w:val="en-GB"/>
        </w:rPr>
        <w:t xml:space="preserve"> </w:t>
      </w:r>
      <w:r w:rsidR="46C7470F" w:rsidRPr="00B64995">
        <w:rPr>
          <w:rFonts w:cs="Calibri"/>
          <w:sz w:val="22"/>
          <w:szCs w:val="22"/>
          <w:lang w:val="en-GB"/>
        </w:rPr>
        <w:t>promotes</w:t>
      </w:r>
      <w:r w:rsidR="00951E14" w:rsidRPr="00B64995">
        <w:rPr>
          <w:rFonts w:cs="Calibri"/>
          <w:sz w:val="22"/>
          <w:szCs w:val="22"/>
          <w:lang w:val="en-GB"/>
        </w:rPr>
        <w:t xml:space="preserve"> that women and girls are given access, equipped with skills, and develop the leadership potential to work and succeed in the ICT sector. The partnership was founded </w:t>
      </w:r>
      <w:r w:rsidR="206A2D02" w:rsidRPr="00B64995">
        <w:rPr>
          <w:rFonts w:cs="Calibri"/>
          <w:sz w:val="22"/>
          <w:szCs w:val="22"/>
          <w:lang w:val="en-GB"/>
        </w:rPr>
        <w:t xml:space="preserve">in 2017 </w:t>
      </w:r>
      <w:r w:rsidR="00951E14" w:rsidRPr="00B64995">
        <w:rPr>
          <w:rFonts w:cs="Calibri"/>
          <w:sz w:val="22"/>
          <w:szCs w:val="22"/>
          <w:lang w:val="en-GB"/>
        </w:rPr>
        <w:t>by ITU, UN Women, GSMA, ITC, and UNU and it is governed by a Steering Committee that provides strategic guidance on the development of the partnership.</w:t>
      </w:r>
    </w:p>
    <w:p w14:paraId="277F6222" w14:textId="51CD7493" w:rsidR="00371DEE" w:rsidRPr="00B64995" w:rsidRDefault="00371DEE" w:rsidP="00614D53">
      <w:pPr>
        <w:pStyle w:val="FootnoteText"/>
        <w:jc w:val="both"/>
        <w:rPr>
          <w:rFonts w:cs="Calibri"/>
          <w:sz w:val="22"/>
          <w:szCs w:val="22"/>
          <w:lang w:val="en-GB"/>
        </w:rPr>
      </w:pPr>
    </w:p>
    <w:p w14:paraId="3F231BDF" w14:textId="77777777" w:rsidR="0049723A" w:rsidRPr="00B64995" w:rsidRDefault="00951E14" w:rsidP="00614D53">
      <w:pPr>
        <w:pStyle w:val="FootnoteText"/>
        <w:jc w:val="both"/>
        <w:rPr>
          <w:rFonts w:cs="Calibri"/>
          <w:sz w:val="22"/>
          <w:szCs w:val="22"/>
          <w:lang w:val="en-GB"/>
        </w:rPr>
      </w:pPr>
      <w:r w:rsidRPr="00B64995">
        <w:rPr>
          <w:rFonts w:cs="Calibri"/>
          <w:sz w:val="22"/>
          <w:szCs w:val="22"/>
          <w:lang w:val="en-GB"/>
        </w:rPr>
        <w:t xml:space="preserve">Today, more than 90 partners from every region of the world have </w:t>
      </w:r>
      <w:r w:rsidR="464D1F50" w:rsidRPr="00B64995">
        <w:rPr>
          <w:rFonts w:cs="Calibri"/>
          <w:sz w:val="22"/>
          <w:szCs w:val="22"/>
          <w:lang w:val="en-GB"/>
        </w:rPr>
        <w:t xml:space="preserve">joined EQUALS in a collective </w:t>
      </w:r>
      <w:r w:rsidRPr="00B64995">
        <w:rPr>
          <w:rFonts w:cs="Calibri"/>
          <w:sz w:val="22"/>
          <w:szCs w:val="22"/>
          <w:lang w:val="en-GB"/>
        </w:rPr>
        <w:t>call to action that sets out a collaborative and coordinated framework for stakeholders to make specific, measurable pledges across four focus area coalitions (Access, Skills, Leadership and Research) that contribute to address the multiple facets of the gender divide in technology.</w:t>
      </w:r>
    </w:p>
    <w:p w14:paraId="4B9A382C" w14:textId="4AEB4782" w:rsidR="33B52906" w:rsidRPr="00B64995" w:rsidRDefault="33B52906" w:rsidP="00614D53">
      <w:pPr>
        <w:pStyle w:val="FootnoteText"/>
        <w:jc w:val="both"/>
        <w:rPr>
          <w:rFonts w:cs="Calibri"/>
          <w:sz w:val="22"/>
          <w:szCs w:val="22"/>
          <w:lang w:val="en-GB"/>
        </w:rPr>
      </w:pPr>
    </w:p>
    <w:p w14:paraId="22C97563" w14:textId="13D6694D" w:rsidR="00951E14" w:rsidRPr="00B64995" w:rsidRDefault="3E65AD1C" w:rsidP="008E1971">
      <w:pPr>
        <w:spacing w:line="257" w:lineRule="auto"/>
        <w:jc w:val="both"/>
        <w:rPr>
          <w:rFonts w:eastAsia="Calibri"/>
          <w:sz w:val="24"/>
          <w:szCs w:val="24"/>
        </w:rPr>
      </w:pPr>
      <w:r w:rsidRPr="00B64995">
        <w:rPr>
          <w:rFonts w:eastAsia="Calibri"/>
          <w:sz w:val="24"/>
          <w:szCs w:val="24"/>
        </w:rPr>
        <w:t xml:space="preserve">Some of the key achievements of the </w:t>
      </w:r>
      <w:hyperlink r:id="rId377" w:history="1">
        <w:r w:rsidRPr="00B64995">
          <w:rPr>
            <w:rStyle w:val="Hyperlink"/>
            <w:rFonts w:eastAsia="Calibri"/>
            <w:sz w:val="24"/>
            <w:szCs w:val="24"/>
          </w:rPr>
          <w:t>EQUALS</w:t>
        </w:r>
      </w:hyperlink>
      <w:r w:rsidRPr="00A060FE">
        <w:rPr>
          <w:rFonts w:eastAsia="Calibri"/>
          <w:sz w:val="24"/>
          <w:szCs w:val="24"/>
        </w:rPr>
        <w:t xml:space="preserve"> partnership </w:t>
      </w:r>
      <w:r w:rsidR="00B16E63" w:rsidRPr="00B64995">
        <w:rPr>
          <w:rFonts w:eastAsia="Calibri"/>
          <w:sz w:val="24"/>
          <w:szCs w:val="24"/>
        </w:rPr>
        <w:t>in</w:t>
      </w:r>
      <w:r w:rsidR="009238D8" w:rsidRPr="00B64995">
        <w:rPr>
          <w:rFonts w:eastAsia="Calibri"/>
          <w:sz w:val="24"/>
          <w:szCs w:val="24"/>
        </w:rPr>
        <w:t xml:space="preserve"> 2029-</w:t>
      </w:r>
      <w:r w:rsidR="00B16E63" w:rsidRPr="00B64995">
        <w:rPr>
          <w:rFonts w:eastAsia="Calibri"/>
          <w:sz w:val="24"/>
          <w:szCs w:val="24"/>
        </w:rPr>
        <w:t>2020</w:t>
      </w:r>
      <w:r w:rsidRPr="00B64995">
        <w:rPr>
          <w:rFonts w:eastAsia="Calibri"/>
          <w:sz w:val="24"/>
          <w:szCs w:val="24"/>
        </w:rPr>
        <w:t xml:space="preserve"> include:</w:t>
      </w:r>
    </w:p>
    <w:p w14:paraId="71AD4D2F" w14:textId="4563FE95" w:rsidR="00951E14" w:rsidRPr="00B64995" w:rsidRDefault="00516C2E" w:rsidP="00491843">
      <w:pPr>
        <w:pStyle w:val="ListParagraph"/>
        <w:numPr>
          <w:ilvl w:val="0"/>
          <w:numId w:val="54"/>
        </w:numPr>
        <w:jc w:val="both"/>
        <w:rPr>
          <w:rFonts w:asciiTheme="minorHAnsi" w:eastAsiaTheme="minorEastAsia" w:hAnsiTheme="minorHAnsi" w:cstheme="minorBidi"/>
          <w:lang w:val="en-GB"/>
        </w:rPr>
      </w:pPr>
      <w:r w:rsidRPr="00B64995">
        <w:rPr>
          <w:lang w:val="en-GB"/>
        </w:rPr>
        <w:t>USD </w:t>
      </w:r>
      <w:r w:rsidR="3E65AD1C" w:rsidRPr="00B64995">
        <w:rPr>
          <w:lang w:val="en-GB"/>
        </w:rPr>
        <w:t>3.5 million mobilized in 2020 for implementation of in-country projects.</w:t>
      </w:r>
    </w:p>
    <w:p w14:paraId="10F5B7BB" w14:textId="22CF0616" w:rsidR="00951E14" w:rsidRPr="00B64995" w:rsidRDefault="3E65AD1C" w:rsidP="00491843">
      <w:pPr>
        <w:pStyle w:val="ListParagraph"/>
        <w:numPr>
          <w:ilvl w:val="0"/>
          <w:numId w:val="54"/>
        </w:numPr>
        <w:jc w:val="both"/>
        <w:rPr>
          <w:rFonts w:asciiTheme="minorHAnsi" w:eastAsiaTheme="minorEastAsia" w:hAnsiTheme="minorHAnsi" w:cstheme="minorBidi"/>
          <w:lang w:val="en-GB"/>
        </w:rPr>
      </w:pPr>
      <w:r w:rsidRPr="00B64995">
        <w:rPr>
          <w:lang w:val="en-GB"/>
        </w:rPr>
        <w:t>Two EQUALS publications contributed by partners:</w:t>
      </w:r>
    </w:p>
    <w:p w14:paraId="168F00E2" w14:textId="4376E442" w:rsidR="00951E14" w:rsidRPr="00B64995" w:rsidRDefault="00516C2E" w:rsidP="00491843">
      <w:pPr>
        <w:pStyle w:val="ListParagraph"/>
        <w:numPr>
          <w:ilvl w:val="1"/>
          <w:numId w:val="54"/>
        </w:numPr>
        <w:jc w:val="both"/>
        <w:rPr>
          <w:rFonts w:asciiTheme="minorHAnsi" w:eastAsiaTheme="minorEastAsia" w:hAnsiTheme="minorHAnsi" w:cstheme="minorBidi"/>
          <w:lang w:val="en-GB"/>
        </w:rPr>
      </w:pPr>
      <w:r w:rsidRPr="00B64995">
        <w:rPr>
          <w:lang w:val="en-GB"/>
        </w:rPr>
        <w:t>“</w:t>
      </w:r>
      <w:r w:rsidR="3E65AD1C" w:rsidRPr="00B64995">
        <w:rPr>
          <w:lang w:val="en-GB"/>
        </w:rPr>
        <w:t>Towards an Equal Future: Reimagining girls' education through STEM</w:t>
      </w:r>
      <w:r w:rsidRPr="00B64995">
        <w:rPr>
          <w:lang w:val="en-GB"/>
        </w:rPr>
        <w:t>”</w:t>
      </w:r>
      <w:r w:rsidR="3E65AD1C" w:rsidRPr="00B64995">
        <w:rPr>
          <w:lang w:val="en-GB"/>
        </w:rPr>
        <w:t xml:space="preserve"> (UNICEF and ITU)</w:t>
      </w:r>
    </w:p>
    <w:p w14:paraId="0C183602" w14:textId="2FEBD853" w:rsidR="00951E14" w:rsidRPr="00B64995" w:rsidRDefault="00516C2E" w:rsidP="00491843">
      <w:pPr>
        <w:pStyle w:val="ListParagraph"/>
        <w:numPr>
          <w:ilvl w:val="1"/>
          <w:numId w:val="54"/>
        </w:numPr>
        <w:jc w:val="both"/>
        <w:rPr>
          <w:rFonts w:asciiTheme="minorHAnsi" w:eastAsiaTheme="minorEastAsia" w:hAnsiTheme="minorHAnsi" w:cstheme="minorBidi"/>
          <w:lang w:val="en-GB"/>
        </w:rPr>
      </w:pPr>
      <w:r w:rsidRPr="00B64995">
        <w:rPr>
          <w:lang w:val="en-GB"/>
        </w:rPr>
        <w:t>“</w:t>
      </w:r>
      <w:r w:rsidR="3E65AD1C" w:rsidRPr="00B64995">
        <w:rPr>
          <w:lang w:val="en-GB"/>
        </w:rPr>
        <w:t>Perceptions of Power: Championing Female Leadership in Tech</w:t>
      </w:r>
      <w:r w:rsidRPr="00B64995">
        <w:rPr>
          <w:lang w:val="en-GB"/>
        </w:rPr>
        <w:t>”</w:t>
      </w:r>
      <w:r w:rsidR="3E65AD1C" w:rsidRPr="00B64995">
        <w:rPr>
          <w:lang w:val="en-GB"/>
        </w:rPr>
        <w:t xml:space="preserve"> (GSMA)</w:t>
      </w:r>
      <w:r w:rsidRPr="00B64995">
        <w:rPr>
          <w:lang w:val="en-GB"/>
        </w:rPr>
        <w:t>.</w:t>
      </w:r>
    </w:p>
    <w:p w14:paraId="230F7542" w14:textId="282A759E" w:rsidR="00951E14" w:rsidRPr="00B64995" w:rsidRDefault="3E65AD1C" w:rsidP="00491843">
      <w:pPr>
        <w:pStyle w:val="ListParagraph"/>
        <w:numPr>
          <w:ilvl w:val="0"/>
          <w:numId w:val="54"/>
        </w:numPr>
        <w:jc w:val="both"/>
        <w:rPr>
          <w:rFonts w:asciiTheme="minorHAnsi" w:eastAsiaTheme="minorEastAsia" w:hAnsiTheme="minorHAnsi" w:cstheme="minorBidi"/>
          <w:lang w:val="en-GB"/>
        </w:rPr>
      </w:pPr>
      <w:r w:rsidRPr="00B64995">
        <w:rPr>
          <w:lang w:val="en-GB"/>
        </w:rPr>
        <w:t>1</w:t>
      </w:r>
      <w:r w:rsidR="005D4A07">
        <w:rPr>
          <w:lang w:val="en-GB"/>
        </w:rPr>
        <w:t> </w:t>
      </w:r>
      <w:r w:rsidRPr="00B64995">
        <w:rPr>
          <w:lang w:val="en-GB"/>
        </w:rPr>
        <w:t>500 organizations mobilized through Access and Leadership coalition webinars and the 2020 EQUALS in Tech Awards.</w:t>
      </w:r>
    </w:p>
    <w:p w14:paraId="1B4A6334" w14:textId="15D08708" w:rsidR="00951E14" w:rsidRPr="00B64995" w:rsidRDefault="3E65AD1C" w:rsidP="00491843">
      <w:pPr>
        <w:pStyle w:val="ListParagraph"/>
        <w:numPr>
          <w:ilvl w:val="0"/>
          <w:numId w:val="54"/>
        </w:numPr>
        <w:jc w:val="both"/>
        <w:rPr>
          <w:rFonts w:asciiTheme="minorHAnsi" w:eastAsiaTheme="minorEastAsia" w:hAnsiTheme="minorHAnsi" w:cstheme="minorBidi"/>
          <w:lang w:val="en-GB"/>
        </w:rPr>
      </w:pPr>
      <w:r w:rsidRPr="00B64995">
        <w:rPr>
          <w:lang w:val="en-GB"/>
        </w:rPr>
        <w:lastRenderedPageBreak/>
        <w:t>More than 90 countries represented in EQUALS partnership activities.</w:t>
      </w:r>
    </w:p>
    <w:p w14:paraId="6640E544" w14:textId="0EDCCC31" w:rsidR="00951E14" w:rsidRPr="00B64995" w:rsidRDefault="3E65AD1C" w:rsidP="00491843">
      <w:pPr>
        <w:pStyle w:val="ListParagraph"/>
        <w:numPr>
          <w:ilvl w:val="0"/>
          <w:numId w:val="54"/>
        </w:numPr>
        <w:jc w:val="both"/>
        <w:rPr>
          <w:rFonts w:asciiTheme="minorHAnsi" w:eastAsiaTheme="minorEastAsia" w:hAnsiTheme="minorHAnsi" w:cstheme="minorBidi"/>
          <w:lang w:val="en-GB"/>
        </w:rPr>
      </w:pPr>
      <w:r w:rsidRPr="00B64995">
        <w:rPr>
          <w:lang w:val="en-GB"/>
        </w:rPr>
        <w:t xml:space="preserve">EQUALS in Tech Awards winners represented </w:t>
      </w:r>
      <w:r w:rsidR="00516C2E" w:rsidRPr="00B64995">
        <w:rPr>
          <w:lang w:val="en-GB"/>
        </w:rPr>
        <w:t xml:space="preserve">five </w:t>
      </w:r>
      <w:r w:rsidRPr="00B64995">
        <w:rPr>
          <w:lang w:val="en-GB"/>
        </w:rPr>
        <w:t xml:space="preserve">regions of the world with </w:t>
      </w:r>
      <w:r w:rsidR="00516C2E" w:rsidRPr="00B64995">
        <w:rPr>
          <w:lang w:val="en-GB"/>
        </w:rPr>
        <w:t xml:space="preserve">recipients </w:t>
      </w:r>
      <w:r w:rsidRPr="00B64995">
        <w:rPr>
          <w:lang w:val="en-GB"/>
        </w:rPr>
        <w:t xml:space="preserve">from Nigeria, Cambodia, Brazil, </w:t>
      </w:r>
      <w:proofErr w:type="gramStart"/>
      <w:r w:rsidRPr="00B64995">
        <w:rPr>
          <w:lang w:val="en-GB"/>
        </w:rPr>
        <w:t>Russia</w:t>
      </w:r>
      <w:proofErr w:type="gramEnd"/>
      <w:r w:rsidRPr="00B64995">
        <w:rPr>
          <w:lang w:val="en-GB"/>
        </w:rPr>
        <w:t xml:space="preserve"> and Saudi Arabia. Winners were chosen from </w:t>
      </w:r>
      <w:r w:rsidR="00516C2E" w:rsidRPr="00B64995">
        <w:rPr>
          <w:lang w:val="en-GB"/>
        </w:rPr>
        <w:t xml:space="preserve">among </w:t>
      </w:r>
      <w:r w:rsidRPr="00B64995">
        <w:rPr>
          <w:lang w:val="en-GB"/>
        </w:rPr>
        <w:t>more than 350 nominees.</w:t>
      </w:r>
    </w:p>
    <w:p w14:paraId="69CA5B4B" w14:textId="479223FB" w:rsidR="00951E14" w:rsidRPr="00B64995" w:rsidRDefault="00516C2E" w:rsidP="00491843">
      <w:pPr>
        <w:pStyle w:val="ListParagraph"/>
        <w:numPr>
          <w:ilvl w:val="0"/>
          <w:numId w:val="54"/>
        </w:numPr>
        <w:jc w:val="both"/>
        <w:rPr>
          <w:rFonts w:asciiTheme="minorHAnsi" w:eastAsiaTheme="minorEastAsia" w:hAnsiTheme="minorHAnsi" w:cstheme="minorBidi"/>
          <w:lang w:val="en-GB"/>
        </w:rPr>
      </w:pPr>
      <w:r w:rsidRPr="00B64995">
        <w:rPr>
          <w:lang w:val="en-GB"/>
        </w:rPr>
        <w:t xml:space="preserve">The </w:t>
      </w:r>
      <w:r w:rsidR="3E65AD1C" w:rsidRPr="00B64995">
        <w:rPr>
          <w:lang w:val="en-GB"/>
        </w:rPr>
        <w:t>EIF-ITU project "Tech as a driver of women's economic opportunity" kicked</w:t>
      </w:r>
      <w:r w:rsidRPr="00B64995">
        <w:rPr>
          <w:lang w:val="en-GB"/>
        </w:rPr>
        <w:t xml:space="preserve"> </w:t>
      </w:r>
      <w:r w:rsidR="3E65AD1C" w:rsidRPr="00B64995">
        <w:rPr>
          <w:lang w:val="en-GB"/>
        </w:rPr>
        <w:t>off with blended workshops with stakeholders and beneficiaries in Burundi and Ethiopia.</w:t>
      </w:r>
    </w:p>
    <w:p w14:paraId="1D7B270A" w14:textId="77777777" w:rsidR="00951E14" w:rsidRPr="00B64995" w:rsidRDefault="00951E14" w:rsidP="00491843">
      <w:pPr>
        <w:jc w:val="both"/>
        <w:rPr>
          <w:rFonts w:eastAsiaTheme="minorEastAsia"/>
          <w:b/>
        </w:rPr>
      </w:pPr>
    </w:p>
    <w:p w14:paraId="221945F8" w14:textId="2B739B6F" w:rsidR="00951E14" w:rsidRPr="00B64995" w:rsidRDefault="00951E14" w:rsidP="00A83DAA">
      <w:pPr>
        <w:pStyle w:val="Heading5"/>
      </w:pPr>
      <w:r w:rsidRPr="00B64995">
        <w:t>G</w:t>
      </w:r>
      <w:r w:rsidR="00E3477F" w:rsidRPr="00B64995">
        <w:t>iga</w:t>
      </w:r>
    </w:p>
    <w:p w14:paraId="01DEB011" w14:textId="0D1EAF12" w:rsidR="00951E14" w:rsidRPr="00B64995" w:rsidRDefault="00951E14" w:rsidP="00B87922">
      <w:pPr>
        <w:ind w:firstLine="567"/>
        <w:jc w:val="both"/>
      </w:pPr>
      <w:r w:rsidRPr="00B64995">
        <w:rPr>
          <w:rFonts w:eastAsiaTheme="minorEastAsia"/>
        </w:rPr>
        <w:t>Launched in 2019, G</w:t>
      </w:r>
      <w:r w:rsidR="00E3477F" w:rsidRPr="00B64995">
        <w:rPr>
          <w:rFonts w:eastAsiaTheme="minorEastAsia"/>
        </w:rPr>
        <w:t>iga</w:t>
      </w:r>
      <w:r w:rsidRPr="00B64995">
        <w:rPr>
          <w:rFonts w:eastAsiaTheme="minorEastAsia"/>
        </w:rPr>
        <w:t xml:space="preserve"> is a joint UNICEF and ITU global initiative to connect every school to the </w:t>
      </w:r>
      <w:r w:rsidR="00614D53" w:rsidRPr="00B64995">
        <w:rPr>
          <w:rFonts w:eastAsiaTheme="minorEastAsia"/>
        </w:rPr>
        <w:t>Internet</w:t>
      </w:r>
      <w:r w:rsidRPr="00B64995">
        <w:rPr>
          <w:rFonts w:eastAsiaTheme="minorEastAsia"/>
        </w:rPr>
        <w:t xml:space="preserve"> and every young person to information, </w:t>
      </w:r>
      <w:proofErr w:type="gramStart"/>
      <w:r w:rsidRPr="00B64995">
        <w:rPr>
          <w:rFonts w:eastAsiaTheme="minorEastAsia"/>
        </w:rPr>
        <w:t>opportunity</w:t>
      </w:r>
      <w:proofErr w:type="gramEnd"/>
      <w:r w:rsidRPr="00B64995">
        <w:rPr>
          <w:rFonts w:eastAsiaTheme="minorEastAsia"/>
        </w:rPr>
        <w:t xml:space="preserve"> and choice. Some 3.6 billion people in the world do not have access to the </w:t>
      </w:r>
      <w:r w:rsidR="00614D53" w:rsidRPr="00B64995">
        <w:rPr>
          <w:rFonts w:eastAsiaTheme="minorEastAsia"/>
        </w:rPr>
        <w:t>Internet</w:t>
      </w:r>
      <w:r w:rsidRPr="00B64995">
        <w:rPr>
          <w:rFonts w:eastAsiaTheme="minorEastAsia"/>
        </w:rPr>
        <w:t xml:space="preserve">. The lack of access to the </w:t>
      </w:r>
      <w:r w:rsidR="00614D53" w:rsidRPr="00B64995">
        <w:rPr>
          <w:rFonts w:eastAsiaTheme="minorEastAsia"/>
        </w:rPr>
        <w:t>Internet</w:t>
      </w:r>
      <w:r w:rsidRPr="00B64995">
        <w:rPr>
          <w:rFonts w:eastAsiaTheme="minorEastAsia"/>
        </w:rPr>
        <w:t xml:space="preserve"> means exclusion, marked by the lack of access to the wealth of information available online, fewer resources to learn and to grow, and limited opportunities for the most vulnerable children and youth to </w:t>
      </w:r>
      <w:r w:rsidR="00F656FC" w:rsidRPr="00B64995">
        <w:rPr>
          <w:rFonts w:eastAsiaTheme="minorEastAsia"/>
        </w:rPr>
        <w:t>fulfil</w:t>
      </w:r>
      <w:r w:rsidRPr="00B64995">
        <w:rPr>
          <w:rFonts w:eastAsiaTheme="minorEastAsia"/>
        </w:rPr>
        <w:t xml:space="preserve"> their potential. Closing the digital divide requires global cooperation, leadership, and innovation in finance and technology.</w:t>
      </w:r>
    </w:p>
    <w:p w14:paraId="043B9895" w14:textId="77777777" w:rsidR="0049723A" w:rsidRPr="00B64995" w:rsidRDefault="0049723A" w:rsidP="00614D53">
      <w:pPr>
        <w:jc w:val="both"/>
        <w:rPr>
          <w:rFonts w:eastAsiaTheme="minorEastAsia"/>
        </w:rPr>
      </w:pPr>
    </w:p>
    <w:p w14:paraId="0DE33688" w14:textId="6EE0565A" w:rsidR="00951E14" w:rsidRPr="00B64995" w:rsidRDefault="00E3477F" w:rsidP="00614D53">
      <w:pPr>
        <w:jc w:val="both"/>
      </w:pPr>
      <w:r w:rsidRPr="00B64995">
        <w:rPr>
          <w:rFonts w:eastAsiaTheme="minorEastAsia"/>
        </w:rPr>
        <w:t xml:space="preserve">Giga </w:t>
      </w:r>
      <w:r w:rsidR="00951E14" w:rsidRPr="00B64995">
        <w:rPr>
          <w:rFonts w:eastAsiaTheme="minorEastAsia"/>
        </w:rPr>
        <w:t xml:space="preserve">will bring the power of meaningful connectivity to </w:t>
      </w:r>
      <w:r w:rsidR="00F77099" w:rsidRPr="00B64995">
        <w:rPr>
          <w:rFonts w:eastAsiaTheme="minorEastAsia"/>
        </w:rPr>
        <w:t>fast-track</w:t>
      </w:r>
      <w:r w:rsidR="00951E14" w:rsidRPr="00B64995">
        <w:rPr>
          <w:rFonts w:eastAsiaTheme="minorEastAsia"/>
        </w:rPr>
        <w:t xml:space="preserve"> young people’s access to educational resources and opportunities. </w:t>
      </w:r>
      <w:r w:rsidRPr="00B64995">
        <w:rPr>
          <w:rFonts w:eastAsiaTheme="minorEastAsia"/>
        </w:rPr>
        <w:t xml:space="preserve">Giga </w:t>
      </w:r>
      <w:r w:rsidR="00951E14" w:rsidRPr="00B64995">
        <w:rPr>
          <w:rFonts w:eastAsiaTheme="minorEastAsia"/>
        </w:rPr>
        <w:t xml:space="preserve">will make sure every child is equipped with the digital public goods they </w:t>
      </w:r>
      <w:proofErr w:type="gramStart"/>
      <w:r w:rsidR="00951E14" w:rsidRPr="00B64995">
        <w:rPr>
          <w:rFonts w:eastAsiaTheme="minorEastAsia"/>
        </w:rPr>
        <w:t>need, and</w:t>
      </w:r>
      <w:proofErr w:type="gramEnd"/>
      <w:r w:rsidR="00951E14" w:rsidRPr="00B64995">
        <w:rPr>
          <w:rFonts w:eastAsiaTheme="minorEastAsia"/>
        </w:rPr>
        <w:t xml:space="preserve"> empowered to shape the future they want.</w:t>
      </w:r>
    </w:p>
    <w:p w14:paraId="2899F168" w14:textId="77777777" w:rsidR="0049723A" w:rsidRPr="00B64995" w:rsidRDefault="0049723A" w:rsidP="00614D53">
      <w:pPr>
        <w:jc w:val="both"/>
        <w:rPr>
          <w:rFonts w:eastAsiaTheme="minorEastAsia"/>
        </w:rPr>
      </w:pPr>
    </w:p>
    <w:p w14:paraId="0561743C" w14:textId="38EC25E8" w:rsidR="00951E14" w:rsidRPr="00B64995" w:rsidRDefault="00951E14" w:rsidP="00614D53">
      <w:pPr>
        <w:jc w:val="both"/>
        <w:rPr>
          <w:rFonts w:eastAsiaTheme="minorEastAsia"/>
        </w:rPr>
      </w:pPr>
      <w:r w:rsidRPr="00B64995">
        <w:rPr>
          <w:rFonts w:eastAsiaTheme="minorEastAsia"/>
        </w:rPr>
        <w:t xml:space="preserve">The initiative is supported by a broad </w:t>
      </w:r>
      <w:r w:rsidR="00B042CC" w:rsidRPr="00B64995">
        <w:rPr>
          <w:rFonts w:eastAsiaTheme="minorEastAsia"/>
        </w:rPr>
        <w:t>multistakeholder</w:t>
      </w:r>
      <w:r w:rsidRPr="00B64995">
        <w:rPr>
          <w:rFonts w:eastAsiaTheme="minorEastAsia"/>
        </w:rPr>
        <w:t xml:space="preserve"> group, consisting of senior industry experts who advise the programme. The initiative has also caught the interest of several large donors who plan to invest in specific </w:t>
      </w:r>
      <w:r w:rsidR="00E3477F" w:rsidRPr="00B64995">
        <w:rPr>
          <w:rFonts w:eastAsiaTheme="minorEastAsia"/>
        </w:rPr>
        <w:t xml:space="preserve">Giga </w:t>
      </w:r>
      <w:r w:rsidRPr="00B64995">
        <w:rPr>
          <w:rFonts w:eastAsiaTheme="minorEastAsia"/>
        </w:rPr>
        <w:t xml:space="preserve">projects and priority regions. Since its launch in September 2019 the initiative has focused on three regions, Central Asia, Eastern </w:t>
      </w:r>
      <w:proofErr w:type="gramStart"/>
      <w:r w:rsidRPr="00B64995">
        <w:rPr>
          <w:rFonts w:eastAsiaTheme="minorEastAsia"/>
        </w:rPr>
        <w:t>Caribbean</w:t>
      </w:r>
      <w:proofErr w:type="gramEnd"/>
      <w:r w:rsidRPr="00B64995">
        <w:rPr>
          <w:rFonts w:eastAsiaTheme="minorEastAsia"/>
        </w:rPr>
        <w:t xml:space="preserve"> and Africa, and has:</w:t>
      </w:r>
    </w:p>
    <w:p w14:paraId="424F243A" w14:textId="56770E4C" w:rsidR="255BDB89" w:rsidRPr="00B64995" w:rsidRDefault="255BDB89" w:rsidP="00614D53">
      <w:pPr>
        <w:pStyle w:val="ListParagraph"/>
        <w:numPr>
          <w:ilvl w:val="0"/>
          <w:numId w:val="10"/>
        </w:numPr>
        <w:jc w:val="both"/>
        <w:rPr>
          <w:rFonts w:cs="Calibri"/>
          <w:lang w:val="en-GB"/>
        </w:rPr>
      </w:pPr>
      <w:r w:rsidRPr="00B64995">
        <w:rPr>
          <w:rFonts w:eastAsiaTheme="minorEastAsia" w:cs="Calibri"/>
          <w:lang w:val="en-GB"/>
        </w:rPr>
        <w:t>m</w:t>
      </w:r>
      <w:r w:rsidR="043736A8" w:rsidRPr="00B64995">
        <w:rPr>
          <w:rFonts w:eastAsiaTheme="minorEastAsia" w:cs="Calibri"/>
          <w:lang w:val="en-GB"/>
        </w:rPr>
        <w:t>apped more than 800</w:t>
      </w:r>
      <w:r w:rsidR="00A060FE">
        <w:rPr>
          <w:rFonts w:eastAsiaTheme="minorEastAsia" w:cs="Calibri"/>
          <w:lang w:val="en-GB"/>
        </w:rPr>
        <w:t> </w:t>
      </w:r>
      <w:r w:rsidR="043736A8" w:rsidRPr="00B64995">
        <w:rPr>
          <w:rFonts w:eastAsiaTheme="minorEastAsia" w:cs="Calibri"/>
          <w:lang w:val="en-GB"/>
        </w:rPr>
        <w:t xml:space="preserve">000 schools in 15 countries, with these maps viewable at </w:t>
      </w:r>
      <w:hyperlink r:id="rId378" w:history="1">
        <w:r w:rsidRPr="00B64995">
          <w:rPr>
            <w:rFonts w:eastAsiaTheme="minorEastAsia" w:cs="Calibri"/>
            <w:lang w:val="en-GB"/>
          </w:rPr>
          <w:t>www.projectconnect.world</w:t>
        </w:r>
      </w:hyperlink>
      <w:r w:rsidRPr="00A060FE">
        <w:rPr>
          <w:rFonts w:eastAsiaTheme="minorEastAsia" w:cs="Calibri"/>
          <w:lang w:val="en-GB"/>
        </w:rPr>
        <w:t>.</w:t>
      </w:r>
      <w:r w:rsidR="37699BE3" w:rsidRPr="00B64995">
        <w:rPr>
          <w:rFonts w:eastAsiaTheme="minorEastAsia" w:cs="Calibri"/>
          <w:lang w:val="en-GB"/>
        </w:rPr>
        <w:t xml:space="preserve"> Mapping is currently under</w:t>
      </w:r>
      <w:r w:rsidR="00202FD7" w:rsidRPr="00B64995">
        <w:rPr>
          <w:rFonts w:eastAsiaTheme="minorEastAsia" w:cs="Calibri"/>
          <w:lang w:val="en-GB"/>
        </w:rPr>
        <w:t xml:space="preserve"> </w:t>
      </w:r>
      <w:r w:rsidR="37699BE3" w:rsidRPr="00B64995">
        <w:rPr>
          <w:rFonts w:eastAsiaTheme="minorEastAsia" w:cs="Calibri"/>
          <w:lang w:val="en-GB"/>
        </w:rPr>
        <w:t xml:space="preserve">way in the Eastern Caribbean region and in </w:t>
      </w:r>
      <w:proofErr w:type="gramStart"/>
      <w:r w:rsidR="37699BE3" w:rsidRPr="00B64995">
        <w:rPr>
          <w:rFonts w:eastAsiaTheme="minorEastAsia" w:cs="Calibri"/>
          <w:lang w:val="en-GB"/>
        </w:rPr>
        <w:t>Kazakhstan</w:t>
      </w:r>
      <w:r w:rsidR="269C594B" w:rsidRPr="00B64995">
        <w:rPr>
          <w:rFonts w:eastAsiaTheme="minorEastAsia" w:cs="Calibri"/>
          <w:lang w:val="en-GB"/>
        </w:rPr>
        <w:t>;</w:t>
      </w:r>
      <w:proofErr w:type="gramEnd"/>
    </w:p>
    <w:p w14:paraId="3EFDEEF4" w14:textId="50964CF9" w:rsidR="00951E14" w:rsidRPr="00B64995" w:rsidRDefault="33AB14B4" w:rsidP="00614D53">
      <w:pPr>
        <w:pStyle w:val="ListParagraph"/>
        <w:numPr>
          <w:ilvl w:val="0"/>
          <w:numId w:val="10"/>
        </w:numPr>
        <w:jc w:val="both"/>
        <w:rPr>
          <w:rFonts w:cs="Calibri"/>
          <w:lang w:val="en-GB"/>
        </w:rPr>
      </w:pPr>
      <w:r w:rsidRPr="00B64995">
        <w:rPr>
          <w:rFonts w:eastAsiaTheme="minorEastAsia" w:cs="Calibri"/>
          <w:lang w:val="en-GB"/>
        </w:rPr>
        <w:t>a</w:t>
      </w:r>
      <w:r w:rsidR="37699BE3" w:rsidRPr="00B64995">
        <w:rPr>
          <w:rFonts w:eastAsiaTheme="minorEastAsia" w:cs="Calibri"/>
          <w:lang w:val="en-GB"/>
        </w:rPr>
        <w:t>dvised</w:t>
      </w:r>
      <w:r w:rsidR="002B5C5A" w:rsidRPr="00B64995">
        <w:rPr>
          <w:rFonts w:eastAsiaTheme="minorEastAsia" w:cs="Calibri"/>
          <w:lang w:val="en-GB"/>
        </w:rPr>
        <w:t xml:space="preserve"> </w:t>
      </w:r>
      <w:r w:rsidR="00951E14" w:rsidRPr="00B64995">
        <w:rPr>
          <w:rFonts w:eastAsiaTheme="minorEastAsia" w:cs="Calibri"/>
          <w:lang w:val="en-GB"/>
        </w:rPr>
        <w:t xml:space="preserve">participating countries on the best possible technical </w:t>
      </w:r>
      <w:r w:rsidRPr="00B64995">
        <w:rPr>
          <w:rFonts w:eastAsiaTheme="minorEastAsia" w:cs="Calibri"/>
          <w:lang w:val="en-GB"/>
        </w:rPr>
        <w:t>solutions</w:t>
      </w:r>
      <w:r w:rsidR="00951E14" w:rsidRPr="00B64995">
        <w:rPr>
          <w:rFonts w:eastAsiaTheme="minorEastAsia" w:cs="Calibri"/>
          <w:lang w:val="en-GB"/>
        </w:rPr>
        <w:t xml:space="preserve"> available to provide schools with required connectivity. In support of this ITU will be publishing in May a Last Mile Connectivity Toolkit which will be used to provide guidelines and identify solutions to support </w:t>
      </w:r>
      <w:r w:rsidR="00E3477F" w:rsidRPr="00B64995">
        <w:rPr>
          <w:rFonts w:eastAsiaTheme="minorEastAsia" w:cs="Calibri"/>
          <w:lang w:val="en-GB"/>
        </w:rPr>
        <w:t xml:space="preserve">Giga </w:t>
      </w:r>
      <w:r w:rsidR="00951E14" w:rsidRPr="00B64995">
        <w:rPr>
          <w:rFonts w:eastAsiaTheme="minorEastAsia" w:cs="Calibri"/>
          <w:lang w:val="en-GB"/>
        </w:rPr>
        <w:t xml:space="preserve">countries achieve affordable school </w:t>
      </w:r>
      <w:proofErr w:type="gramStart"/>
      <w:r w:rsidR="00951E14" w:rsidRPr="00B64995">
        <w:rPr>
          <w:rFonts w:eastAsiaTheme="minorEastAsia" w:cs="Calibri"/>
          <w:lang w:val="en-GB"/>
        </w:rPr>
        <w:t>connectivity</w:t>
      </w:r>
      <w:r w:rsidR="51D8E2C4" w:rsidRPr="00B64995">
        <w:rPr>
          <w:rFonts w:eastAsiaTheme="minorEastAsia" w:cs="Calibri"/>
          <w:lang w:val="en-GB"/>
        </w:rPr>
        <w:t>;</w:t>
      </w:r>
      <w:proofErr w:type="gramEnd"/>
    </w:p>
    <w:p w14:paraId="1D85A314" w14:textId="035C666F" w:rsidR="00951E14" w:rsidRPr="00B64995" w:rsidRDefault="043736A8" w:rsidP="00614D53">
      <w:pPr>
        <w:pStyle w:val="ListParagraph"/>
        <w:numPr>
          <w:ilvl w:val="0"/>
          <w:numId w:val="10"/>
        </w:numPr>
        <w:jc w:val="both"/>
        <w:rPr>
          <w:rFonts w:cs="Calibri"/>
          <w:lang w:val="en-GB"/>
        </w:rPr>
      </w:pPr>
      <w:r w:rsidRPr="00B64995">
        <w:rPr>
          <w:rFonts w:eastAsiaTheme="minorEastAsia" w:cs="Calibri"/>
          <w:lang w:val="en-GB"/>
        </w:rPr>
        <w:t>develop</w:t>
      </w:r>
      <w:r w:rsidR="1C8F6E40" w:rsidRPr="00B64995">
        <w:rPr>
          <w:rFonts w:eastAsiaTheme="minorEastAsia" w:cs="Calibri"/>
          <w:lang w:val="en-GB"/>
        </w:rPr>
        <w:t>ed</w:t>
      </w:r>
      <w:r w:rsidR="00951E14" w:rsidRPr="00B64995">
        <w:rPr>
          <w:rFonts w:eastAsiaTheme="minorEastAsia" w:cs="Calibri"/>
          <w:lang w:val="en-GB"/>
        </w:rPr>
        <w:t xml:space="preserve"> specific models for finance and delivery, aimed at subsidizing market creation costs and incentivizing the private sector to invest in school </w:t>
      </w:r>
      <w:proofErr w:type="gramStart"/>
      <w:r w:rsidR="00951E14" w:rsidRPr="00B64995">
        <w:rPr>
          <w:rFonts w:eastAsiaTheme="minorEastAsia" w:cs="Calibri"/>
          <w:lang w:val="en-GB"/>
        </w:rPr>
        <w:t>connectivity</w:t>
      </w:r>
      <w:r w:rsidR="650F4019" w:rsidRPr="00B64995">
        <w:rPr>
          <w:rFonts w:eastAsiaTheme="minorEastAsia" w:cs="Calibri"/>
          <w:lang w:val="en-GB"/>
        </w:rPr>
        <w:t>;</w:t>
      </w:r>
      <w:proofErr w:type="gramEnd"/>
    </w:p>
    <w:p w14:paraId="70E87583" w14:textId="34252AE2" w:rsidR="00951E14" w:rsidRPr="00B64995" w:rsidRDefault="66465AE1" w:rsidP="00614D53">
      <w:pPr>
        <w:pStyle w:val="ListParagraph"/>
        <w:numPr>
          <w:ilvl w:val="0"/>
          <w:numId w:val="10"/>
        </w:numPr>
        <w:jc w:val="both"/>
        <w:rPr>
          <w:rFonts w:cs="Calibri"/>
          <w:lang w:val="en-GB"/>
        </w:rPr>
      </w:pPr>
      <w:r w:rsidRPr="00B64995">
        <w:rPr>
          <w:rFonts w:eastAsiaTheme="minorEastAsia" w:cs="Calibri"/>
          <w:lang w:val="en-GB"/>
        </w:rPr>
        <w:t>b</w:t>
      </w:r>
      <w:r w:rsidR="043736A8" w:rsidRPr="00B64995">
        <w:rPr>
          <w:rFonts w:eastAsiaTheme="minorEastAsia" w:cs="Calibri"/>
          <w:lang w:val="en-GB"/>
        </w:rPr>
        <w:t>uilt</w:t>
      </w:r>
      <w:r w:rsidR="00951E14" w:rsidRPr="00B64995">
        <w:rPr>
          <w:rFonts w:eastAsiaTheme="minorEastAsia" w:cs="Calibri"/>
          <w:lang w:val="en-GB"/>
        </w:rPr>
        <w:t xml:space="preserve"> on investments by UNICEF’s Venture Fund in </w:t>
      </w:r>
      <w:proofErr w:type="gramStart"/>
      <w:r w:rsidR="00951E14" w:rsidRPr="00B64995">
        <w:rPr>
          <w:rFonts w:eastAsiaTheme="minorEastAsia" w:cs="Calibri"/>
          <w:lang w:val="en-GB"/>
        </w:rPr>
        <w:t>open source</w:t>
      </w:r>
      <w:proofErr w:type="gramEnd"/>
      <w:r w:rsidR="00951E14" w:rsidRPr="00B64995">
        <w:rPr>
          <w:rFonts w:eastAsiaTheme="minorEastAsia" w:cs="Calibri"/>
          <w:lang w:val="en-GB"/>
        </w:rPr>
        <w:t xml:space="preserve"> solutions to identify Digital Public Goods that can be delivered and scaled by governments and local industry to make digital content, information and skills available to children, teachers, and administrators</w:t>
      </w:r>
      <w:r w:rsidR="4B17AE9E" w:rsidRPr="00B64995">
        <w:rPr>
          <w:rFonts w:eastAsiaTheme="minorEastAsia" w:cs="Calibri"/>
          <w:lang w:val="en-GB"/>
        </w:rPr>
        <w:t>;</w:t>
      </w:r>
    </w:p>
    <w:p w14:paraId="033E4210" w14:textId="0C583EE8" w:rsidR="00951E14" w:rsidRPr="00B64995" w:rsidRDefault="4B17AE9E" w:rsidP="00614D53">
      <w:pPr>
        <w:pStyle w:val="ListParagraph"/>
        <w:numPr>
          <w:ilvl w:val="0"/>
          <w:numId w:val="10"/>
        </w:numPr>
        <w:jc w:val="both"/>
        <w:rPr>
          <w:rFonts w:cs="Calibri"/>
          <w:lang w:val="en-GB"/>
        </w:rPr>
      </w:pPr>
      <w:r w:rsidRPr="00B64995">
        <w:rPr>
          <w:rFonts w:eastAsiaTheme="minorEastAsia" w:cs="Calibri"/>
          <w:lang w:val="en-GB"/>
        </w:rPr>
        <w:t>o</w:t>
      </w:r>
      <w:r w:rsidR="043736A8" w:rsidRPr="00B64995">
        <w:rPr>
          <w:rFonts w:eastAsiaTheme="minorEastAsia" w:cs="Calibri"/>
          <w:lang w:val="en-GB"/>
        </w:rPr>
        <w:t>n</w:t>
      </w:r>
      <w:r w:rsidR="00951E14" w:rsidRPr="00B64995">
        <w:rPr>
          <w:rFonts w:eastAsiaTheme="minorEastAsia" w:cs="Calibri"/>
          <w:lang w:val="en-GB"/>
        </w:rPr>
        <w:t xml:space="preserve"> the </w:t>
      </w:r>
      <w:proofErr w:type="gramStart"/>
      <w:r w:rsidR="00951E14" w:rsidRPr="00B64995">
        <w:rPr>
          <w:rFonts w:eastAsiaTheme="minorEastAsia" w:cs="Calibri"/>
          <w:lang w:val="en-GB"/>
        </w:rPr>
        <w:t>31</w:t>
      </w:r>
      <w:r w:rsidR="00951E14" w:rsidRPr="00B64995">
        <w:rPr>
          <w:rFonts w:eastAsiaTheme="minorEastAsia" w:cs="Calibri"/>
          <w:vertAlign w:val="superscript"/>
          <w:lang w:val="en-GB"/>
        </w:rPr>
        <w:t>st</w:t>
      </w:r>
      <w:proofErr w:type="gramEnd"/>
      <w:r w:rsidR="00951E14" w:rsidRPr="00B64995">
        <w:rPr>
          <w:rFonts w:eastAsiaTheme="minorEastAsia" w:cs="Calibri"/>
          <w:lang w:val="en-GB"/>
        </w:rPr>
        <w:t xml:space="preserve"> January 2020 the Vice-Minister of Digital Development of Kazakhstan signed a partnership to support the development of financing models and tools to connect schools and empower young people in the Central Asian region</w:t>
      </w:r>
      <w:r w:rsidR="4B367E1B" w:rsidRPr="00B64995">
        <w:rPr>
          <w:rFonts w:eastAsiaTheme="minorEastAsia" w:cs="Calibri"/>
          <w:lang w:val="en-GB"/>
        </w:rPr>
        <w:t>;</w:t>
      </w:r>
    </w:p>
    <w:p w14:paraId="7BF91424" w14:textId="3113DEF3" w:rsidR="00951E14" w:rsidRPr="00B64995" w:rsidRDefault="59377E2E" w:rsidP="00614D53">
      <w:pPr>
        <w:pStyle w:val="ListParagraph"/>
        <w:numPr>
          <w:ilvl w:val="0"/>
          <w:numId w:val="10"/>
        </w:numPr>
        <w:jc w:val="both"/>
        <w:rPr>
          <w:rFonts w:cs="Calibri"/>
          <w:lang w:val="en-GB"/>
        </w:rPr>
      </w:pPr>
      <w:r w:rsidRPr="00B64995">
        <w:rPr>
          <w:rFonts w:eastAsiaTheme="minorEastAsia" w:cs="Calibri"/>
          <w:lang w:val="en-GB"/>
        </w:rPr>
        <w:t>i</w:t>
      </w:r>
      <w:r w:rsidR="043736A8" w:rsidRPr="00B64995">
        <w:rPr>
          <w:rFonts w:eastAsiaTheme="minorEastAsia" w:cs="Calibri"/>
          <w:lang w:val="en-GB"/>
        </w:rPr>
        <w:t>n</w:t>
      </w:r>
      <w:r w:rsidR="00951E14" w:rsidRPr="00B64995">
        <w:rPr>
          <w:rFonts w:eastAsiaTheme="minorEastAsia" w:cs="Calibri"/>
          <w:lang w:val="en-GB"/>
        </w:rPr>
        <w:t xml:space="preserve"> </w:t>
      </w:r>
      <w:proofErr w:type="gramStart"/>
      <w:r w:rsidR="00951E14" w:rsidRPr="00B64995">
        <w:rPr>
          <w:rFonts w:eastAsiaTheme="minorEastAsia" w:cs="Calibri"/>
          <w:lang w:val="en-GB"/>
        </w:rPr>
        <w:t>March 2020</w:t>
      </w:r>
      <w:proofErr w:type="gramEnd"/>
      <w:r w:rsidR="00951E14" w:rsidRPr="00B64995">
        <w:rPr>
          <w:rFonts w:eastAsiaTheme="minorEastAsia" w:cs="Calibri"/>
          <w:lang w:val="en-GB"/>
        </w:rPr>
        <w:t xml:space="preserve"> the Organization of Eastern Caribbean States (OECS) agreed to be the regional lead and support the implementation of </w:t>
      </w:r>
      <w:r w:rsidR="00E3477F" w:rsidRPr="00B64995">
        <w:rPr>
          <w:rFonts w:eastAsiaTheme="minorEastAsia" w:cs="Calibri"/>
          <w:lang w:val="en-GB"/>
        </w:rPr>
        <w:t xml:space="preserve">Giga </w:t>
      </w:r>
      <w:r w:rsidR="00951E14" w:rsidRPr="00B64995">
        <w:rPr>
          <w:rFonts w:eastAsiaTheme="minorEastAsia" w:cs="Calibri"/>
          <w:lang w:val="en-GB"/>
        </w:rPr>
        <w:t>in the Eastern Caribbean region.</w:t>
      </w:r>
    </w:p>
    <w:p w14:paraId="1C622272" w14:textId="625CD8BB" w:rsidR="0096776A" w:rsidRPr="00B64995" w:rsidRDefault="00951E14" w:rsidP="31295726">
      <w:pPr>
        <w:spacing w:line="257" w:lineRule="auto"/>
        <w:jc w:val="both"/>
        <w:rPr>
          <w:rFonts w:eastAsiaTheme="minorEastAsia"/>
        </w:rPr>
      </w:pPr>
      <w:r w:rsidRPr="00B64995">
        <w:rPr>
          <w:rFonts w:eastAsiaTheme="minorEastAsia"/>
        </w:rPr>
        <w:t xml:space="preserve">By the end of 2020 </w:t>
      </w:r>
      <w:r w:rsidR="00E3477F" w:rsidRPr="00B64995">
        <w:rPr>
          <w:rFonts w:eastAsiaTheme="minorEastAsia"/>
        </w:rPr>
        <w:t xml:space="preserve">Giga </w:t>
      </w:r>
      <w:r w:rsidRPr="00B64995">
        <w:rPr>
          <w:rFonts w:eastAsiaTheme="minorEastAsia"/>
        </w:rPr>
        <w:t>aims to have launched the first school connectivity bid, as well extend technical assistance and programme support to priority country’s school connectivity initiatives.</w:t>
      </w:r>
    </w:p>
    <w:p w14:paraId="73617864" w14:textId="6583B389" w:rsidR="00951E14" w:rsidRPr="00B64995" w:rsidRDefault="447EC2F1" w:rsidP="31295726">
      <w:pPr>
        <w:spacing w:line="257" w:lineRule="auto"/>
        <w:jc w:val="both"/>
        <w:rPr>
          <w:rFonts w:eastAsia="Calibri"/>
        </w:rPr>
      </w:pPr>
      <w:r w:rsidRPr="00B64995">
        <w:rPr>
          <w:rFonts w:eastAsia="Calibri"/>
          <w:sz w:val="24"/>
          <w:szCs w:val="24"/>
        </w:rPr>
        <w:t xml:space="preserve"> In </w:t>
      </w:r>
      <w:r w:rsidRPr="00B64995">
        <w:rPr>
          <w:rFonts w:eastAsia="Calibri"/>
        </w:rPr>
        <w:t xml:space="preserve">2020 Giga was active in </w:t>
      </w:r>
      <w:r w:rsidRPr="00570F0C">
        <w:rPr>
          <w:rFonts w:eastAsia="Calibri"/>
        </w:rPr>
        <w:t>over</w:t>
      </w:r>
      <w:r w:rsidRPr="00570F0C">
        <w:rPr>
          <w:rFonts w:eastAsia="Calibri"/>
          <w:b/>
          <w:bCs/>
          <w:color w:val="000000" w:themeColor="text1"/>
        </w:rPr>
        <w:t xml:space="preserve"> </w:t>
      </w:r>
      <w:r w:rsidR="003E634A" w:rsidRPr="00570F0C">
        <w:rPr>
          <w:rFonts w:eastAsia="Calibri"/>
          <w:b/>
          <w:bCs/>
          <w:color w:val="000000" w:themeColor="text1"/>
        </w:rPr>
        <w:t>15</w:t>
      </w:r>
      <w:r w:rsidR="003E634A" w:rsidRPr="00570F0C">
        <w:rPr>
          <w:rFonts w:eastAsia="Calibri"/>
          <w:b/>
          <w:bCs/>
        </w:rPr>
        <w:t xml:space="preserve"> </w:t>
      </w:r>
      <w:r w:rsidRPr="00570F0C">
        <w:rPr>
          <w:rFonts w:eastAsia="Calibri"/>
          <w:b/>
          <w:bCs/>
        </w:rPr>
        <w:t>countries</w:t>
      </w:r>
      <w:r w:rsidRPr="00570F0C">
        <w:rPr>
          <w:rFonts w:eastAsia="Calibri"/>
        </w:rPr>
        <w:t xml:space="preserve"> (</w:t>
      </w:r>
      <w:r w:rsidRPr="00A060FE">
        <w:rPr>
          <w:rFonts w:eastAsia="Calibri"/>
        </w:rPr>
        <w:t>including OECS</w:t>
      </w:r>
      <w:r w:rsidR="00E34758" w:rsidRPr="00A060FE">
        <w:rPr>
          <w:rStyle w:val="FootnoteReference"/>
          <w:rFonts w:eastAsia="Calibri"/>
        </w:rPr>
        <w:footnoteReference w:id="3"/>
      </w:r>
      <w:r w:rsidRPr="00A060FE">
        <w:rPr>
          <w:rFonts w:eastAsia="Calibri"/>
        </w:rPr>
        <w:t>) in</w:t>
      </w:r>
      <w:r w:rsidRPr="00B64995">
        <w:rPr>
          <w:rFonts w:eastAsia="Calibri"/>
          <w:b/>
          <w:bCs/>
        </w:rPr>
        <w:t xml:space="preserve"> 3 priority regions</w:t>
      </w:r>
      <w:r w:rsidRPr="00B64995">
        <w:rPr>
          <w:rFonts w:eastAsia="Calibri"/>
        </w:rPr>
        <w:t xml:space="preserve"> (</w:t>
      </w:r>
      <w:r w:rsidR="00BF07F8" w:rsidRPr="00B64995">
        <w:rPr>
          <w:rFonts w:eastAsia="Calibri"/>
        </w:rPr>
        <w:t>s</w:t>
      </w:r>
      <w:r w:rsidRPr="00B64995">
        <w:rPr>
          <w:rFonts w:eastAsia="Calibri"/>
        </w:rPr>
        <w:t xml:space="preserve">ub-Saharan Africa, </w:t>
      </w:r>
      <w:r w:rsidR="00BF07F8" w:rsidRPr="00B64995">
        <w:rPr>
          <w:rFonts w:eastAsia="Calibri"/>
        </w:rPr>
        <w:t>e</w:t>
      </w:r>
      <w:r w:rsidRPr="00B64995">
        <w:rPr>
          <w:rFonts w:eastAsia="Calibri"/>
        </w:rPr>
        <w:t xml:space="preserve">astern Caribbean and Central America, and </w:t>
      </w:r>
      <w:r w:rsidR="00BF07F8" w:rsidRPr="00B64995">
        <w:rPr>
          <w:rFonts w:eastAsia="Calibri"/>
        </w:rPr>
        <w:t>c</w:t>
      </w:r>
      <w:r w:rsidRPr="00B64995">
        <w:rPr>
          <w:rFonts w:eastAsia="Calibri"/>
        </w:rPr>
        <w:t xml:space="preserve">entral Asia). Giga has already mapped </w:t>
      </w:r>
      <w:r w:rsidRPr="00B64995">
        <w:rPr>
          <w:rFonts w:eastAsia="Calibri"/>
          <w:b/>
          <w:bCs/>
        </w:rPr>
        <w:t xml:space="preserve">over </w:t>
      </w:r>
      <w:r w:rsidRPr="00B64995">
        <w:rPr>
          <w:rFonts w:eastAsia="Calibri"/>
          <w:b/>
          <w:bCs/>
        </w:rPr>
        <w:lastRenderedPageBreak/>
        <w:t>800</w:t>
      </w:r>
      <w:r w:rsidR="00A060FE">
        <w:rPr>
          <w:rFonts w:eastAsia="Calibri"/>
          <w:b/>
          <w:bCs/>
        </w:rPr>
        <w:t> </w:t>
      </w:r>
      <w:r w:rsidRPr="00B64995">
        <w:rPr>
          <w:rFonts w:eastAsia="Calibri"/>
          <w:b/>
          <w:bCs/>
        </w:rPr>
        <w:t xml:space="preserve">000 </w:t>
      </w:r>
      <w:r w:rsidRPr="00B64995">
        <w:rPr>
          <w:rFonts w:eastAsia="Calibri"/>
        </w:rPr>
        <w:t xml:space="preserve">schools in </w:t>
      </w:r>
      <w:r w:rsidRPr="00B64995">
        <w:rPr>
          <w:rFonts w:eastAsia="Calibri"/>
          <w:b/>
          <w:bCs/>
        </w:rPr>
        <w:t>30 countries</w:t>
      </w:r>
      <w:r w:rsidRPr="00B64995">
        <w:rPr>
          <w:rFonts w:eastAsia="Calibri"/>
        </w:rPr>
        <w:t>, and it has been highlighted in the UN Secretary</w:t>
      </w:r>
      <w:r w:rsidR="00056037" w:rsidRPr="00B64995">
        <w:rPr>
          <w:rFonts w:eastAsia="Calibri"/>
        </w:rPr>
        <w:t>-</w:t>
      </w:r>
      <w:r w:rsidRPr="00B64995">
        <w:rPr>
          <w:rFonts w:eastAsia="Calibri"/>
        </w:rPr>
        <w:t xml:space="preserve">General’s Roadmap for Digital Cooperation Action Plan as a </w:t>
      </w:r>
      <w:proofErr w:type="gramStart"/>
      <w:r w:rsidRPr="00B64995">
        <w:rPr>
          <w:rFonts w:eastAsia="Calibri"/>
          <w:b/>
          <w:bCs/>
        </w:rPr>
        <w:t>Key Way</w:t>
      </w:r>
      <w:proofErr w:type="gramEnd"/>
      <w:r w:rsidRPr="00B64995">
        <w:rPr>
          <w:rFonts w:eastAsia="Calibri"/>
          <w:b/>
          <w:bCs/>
        </w:rPr>
        <w:t xml:space="preserve"> Forward to achieve Universal Connectivity</w:t>
      </w:r>
      <w:r w:rsidRPr="00B64995">
        <w:rPr>
          <w:rFonts w:eastAsia="Calibri"/>
        </w:rPr>
        <w:t>. The Roadmap for Digital Cooperation reinforces the need for ambitious regional infrastructure development initiatives such as Giga, to advance the issue of universal connectivity and deliver on the promise of the United Nations Agenda 2030 to leave no one behind.</w:t>
      </w:r>
    </w:p>
    <w:p w14:paraId="55845041" w14:textId="77777777" w:rsidR="00E34758" w:rsidRPr="00B64995" w:rsidRDefault="00E34758" w:rsidP="31295726">
      <w:pPr>
        <w:spacing w:line="257" w:lineRule="auto"/>
        <w:jc w:val="both"/>
        <w:rPr>
          <w:rFonts w:eastAsia="Calibri"/>
        </w:rPr>
      </w:pPr>
    </w:p>
    <w:p w14:paraId="3E638DD5" w14:textId="088B71C1" w:rsidR="447EC2F1" w:rsidRPr="00B64995" w:rsidRDefault="447EC2F1" w:rsidP="008E1971">
      <w:pPr>
        <w:spacing w:line="257" w:lineRule="auto"/>
        <w:jc w:val="both"/>
        <w:rPr>
          <w:rFonts w:eastAsia="Calibri"/>
        </w:rPr>
      </w:pPr>
      <w:r w:rsidRPr="00B64995">
        <w:rPr>
          <w:rFonts w:eastAsia="Calibri"/>
        </w:rPr>
        <w:t xml:space="preserve">In addition, </w:t>
      </w:r>
      <w:r w:rsidR="00E93475" w:rsidRPr="00B64995">
        <w:rPr>
          <w:rFonts w:eastAsia="Calibri"/>
        </w:rPr>
        <w:t>in 2020</w:t>
      </w:r>
      <w:r w:rsidRPr="00B64995">
        <w:rPr>
          <w:rFonts w:eastAsia="Calibri"/>
        </w:rPr>
        <w:t xml:space="preserve">, the Permanent Mission of Niger invited Giga to join the discussions </w:t>
      </w:r>
      <w:r w:rsidRPr="00570F0C">
        <w:rPr>
          <w:rFonts w:eastAsia="Calibri"/>
        </w:rPr>
        <w:t xml:space="preserve">at the </w:t>
      </w:r>
      <w:proofErr w:type="spellStart"/>
      <w:r w:rsidRPr="00570F0C">
        <w:rPr>
          <w:rFonts w:eastAsia="Calibri"/>
          <w:b/>
          <w:bCs/>
        </w:rPr>
        <w:t>Arria</w:t>
      </w:r>
      <w:proofErr w:type="spellEnd"/>
      <w:r w:rsidRPr="00B64995">
        <w:rPr>
          <w:rFonts w:eastAsia="Calibri"/>
          <w:b/>
          <w:bCs/>
        </w:rPr>
        <w:t xml:space="preserve"> Formula Meeting</w:t>
      </w:r>
      <w:r w:rsidRPr="00B64995">
        <w:rPr>
          <w:rFonts w:eastAsia="Calibri"/>
        </w:rPr>
        <w:t xml:space="preserve"> </w:t>
      </w:r>
      <w:proofErr w:type="gramStart"/>
      <w:r w:rsidRPr="00A060FE">
        <w:rPr>
          <w:rFonts w:eastAsia="Calibri"/>
        </w:rPr>
        <w:t>in order to</w:t>
      </w:r>
      <w:proofErr w:type="gramEnd"/>
      <w:r w:rsidRPr="00A060FE">
        <w:rPr>
          <w:rFonts w:eastAsia="Calibri"/>
        </w:rPr>
        <w:t xml:space="preserve"> share lessons learned and best practices in relation to expanding connectivity to children in conf</w:t>
      </w:r>
      <w:r w:rsidRPr="00B64995">
        <w:rPr>
          <w:rFonts w:eastAsia="Calibri"/>
        </w:rPr>
        <w:t>lict, post-conflict and post-disaster situations. Giga also participated in the discussion on how the Security Council and the UN System can support the implementation of resolutions aimed at expanding access to education to children in conflict and post-conflict situations and affected by other major shocks.</w:t>
      </w:r>
    </w:p>
    <w:p w14:paraId="5E189CE9" w14:textId="77777777" w:rsidR="00E34758" w:rsidRPr="00B64995" w:rsidRDefault="00E34758" w:rsidP="008E1971">
      <w:pPr>
        <w:spacing w:line="257" w:lineRule="auto"/>
        <w:jc w:val="both"/>
        <w:rPr>
          <w:rFonts w:eastAsia="Calibri"/>
        </w:rPr>
      </w:pPr>
    </w:p>
    <w:p w14:paraId="4499CB35" w14:textId="54708FCB" w:rsidR="0049723A" w:rsidRPr="00B64995" w:rsidRDefault="447EC2F1" w:rsidP="008E1971">
      <w:pPr>
        <w:spacing w:line="257" w:lineRule="auto"/>
        <w:jc w:val="both"/>
        <w:rPr>
          <w:rFonts w:eastAsia="Calibri"/>
        </w:rPr>
      </w:pPr>
      <w:r w:rsidRPr="00B64995">
        <w:rPr>
          <w:rFonts w:eastAsia="Calibri"/>
        </w:rPr>
        <w:t xml:space="preserve">Giga is a great example of </w:t>
      </w:r>
      <w:r w:rsidR="00B042CC" w:rsidRPr="00B64995">
        <w:rPr>
          <w:rFonts w:eastAsia="Calibri"/>
        </w:rPr>
        <w:t>multistakeholder</w:t>
      </w:r>
      <w:r w:rsidRPr="00B64995">
        <w:rPr>
          <w:rFonts w:eastAsia="Calibri"/>
        </w:rPr>
        <w:t xml:space="preserve"> collaboration from multiple angles. Working with partners such as Ericsson, Softbank, NIC.br, and Dubai Cares, among others, Giga seeks to leverage not only financial, but also human resources, technical </w:t>
      </w:r>
      <w:proofErr w:type="gramStart"/>
      <w:r w:rsidRPr="00B64995">
        <w:rPr>
          <w:rFonts w:eastAsia="Calibri"/>
        </w:rPr>
        <w:t>knowledge</w:t>
      </w:r>
      <w:proofErr w:type="gramEnd"/>
      <w:r w:rsidRPr="00B64995">
        <w:rPr>
          <w:rFonts w:eastAsia="Calibri"/>
        </w:rPr>
        <w:t xml:space="preserve"> and assets towards the development of strategies, models and technical assistance for mapping, scaling and financing school connectivity, as well as the production, collection and delivery of </w:t>
      </w:r>
      <w:r w:rsidR="00E0255C" w:rsidRPr="00B64995">
        <w:rPr>
          <w:rFonts w:eastAsia="Calibri"/>
        </w:rPr>
        <w:t>high-quality</w:t>
      </w:r>
      <w:r w:rsidRPr="00B64995">
        <w:rPr>
          <w:rFonts w:eastAsia="Calibri"/>
        </w:rPr>
        <w:t xml:space="preserve"> educational content and </w:t>
      </w:r>
      <w:r w:rsidR="00BA622A" w:rsidRPr="00B64995">
        <w:rPr>
          <w:rFonts w:eastAsia="Calibri"/>
        </w:rPr>
        <w:t>d</w:t>
      </w:r>
      <w:r w:rsidRPr="00B64995">
        <w:rPr>
          <w:rFonts w:eastAsia="Calibri"/>
        </w:rPr>
        <w:t xml:space="preserve">igital </w:t>
      </w:r>
      <w:r w:rsidR="00BA622A" w:rsidRPr="00B64995">
        <w:rPr>
          <w:rFonts w:eastAsia="Calibri"/>
        </w:rPr>
        <w:t>p</w:t>
      </w:r>
      <w:r w:rsidRPr="00B64995">
        <w:rPr>
          <w:rFonts w:eastAsia="Calibri"/>
        </w:rPr>
        <w:t xml:space="preserve">ublic </w:t>
      </w:r>
      <w:r w:rsidR="00BA622A" w:rsidRPr="00B64995">
        <w:rPr>
          <w:rFonts w:eastAsia="Calibri"/>
        </w:rPr>
        <w:t>g</w:t>
      </w:r>
      <w:r w:rsidRPr="00B64995">
        <w:rPr>
          <w:rFonts w:eastAsia="Calibri"/>
        </w:rPr>
        <w:t>oods.</w:t>
      </w:r>
    </w:p>
    <w:p w14:paraId="037A71F0" w14:textId="424DFAC2" w:rsidR="00E34758" w:rsidRPr="00B64995" w:rsidRDefault="00E34758" w:rsidP="008E1971">
      <w:pPr>
        <w:spacing w:line="257" w:lineRule="auto"/>
        <w:jc w:val="both"/>
        <w:rPr>
          <w:rFonts w:eastAsia="Calibri"/>
        </w:rPr>
      </w:pPr>
    </w:p>
    <w:p w14:paraId="70A0278A" w14:textId="2BD5F023" w:rsidR="0049723A" w:rsidRPr="00B64995" w:rsidRDefault="447EC2F1" w:rsidP="008E1971">
      <w:pPr>
        <w:spacing w:line="257" w:lineRule="auto"/>
        <w:jc w:val="both"/>
        <w:rPr>
          <w:rFonts w:eastAsia="Calibri"/>
        </w:rPr>
      </w:pPr>
      <w:r w:rsidRPr="00B64995">
        <w:rPr>
          <w:rFonts w:eastAsia="Calibri"/>
        </w:rPr>
        <w:t xml:space="preserve">The work of Giga was also highlighted in the </w:t>
      </w:r>
      <w:r w:rsidR="00BA622A" w:rsidRPr="00B64995">
        <w:rPr>
          <w:rFonts w:eastAsia="Calibri"/>
        </w:rPr>
        <w:t xml:space="preserve">report of the </w:t>
      </w:r>
      <w:r w:rsidRPr="00B64995">
        <w:rPr>
          <w:rFonts w:eastAsia="Calibri"/>
        </w:rPr>
        <w:t>Broadband Commission</w:t>
      </w:r>
      <w:r w:rsidR="00BA622A" w:rsidRPr="00B64995">
        <w:rPr>
          <w:rFonts w:eastAsia="Calibri"/>
        </w:rPr>
        <w:t>’s</w:t>
      </w:r>
      <w:r w:rsidRPr="00B64995">
        <w:rPr>
          <w:rFonts w:eastAsia="Calibri"/>
        </w:rPr>
        <w:t xml:space="preserve"> Working Group on School Connectivity</w:t>
      </w:r>
      <w:r w:rsidR="00BA622A" w:rsidRPr="00B64995">
        <w:rPr>
          <w:rFonts w:eastAsia="Calibri"/>
        </w:rPr>
        <w:t>,</w:t>
      </w:r>
      <w:r w:rsidRPr="00B64995">
        <w:rPr>
          <w:rFonts w:eastAsia="Calibri"/>
        </w:rPr>
        <w:t xml:space="preserve"> </w:t>
      </w:r>
      <w:r w:rsidR="00BA622A" w:rsidRPr="00B64995">
        <w:rPr>
          <w:rFonts w:eastAsia="Calibri"/>
        </w:rPr>
        <w:t>“</w:t>
      </w:r>
      <w:hyperlink r:id="rId379" w:history="1">
        <w:r w:rsidRPr="00B64995">
          <w:rPr>
            <w:rStyle w:val="Hyperlink"/>
            <w:rFonts w:eastAsia="Calibri"/>
            <w:b/>
            <w:bCs/>
          </w:rPr>
          <w:t>The Digital Transformation of Education: Connecting Schools, Empowering Learners</w:t>
        </w:r>
      </w:hyperlink>
      <w:r w:rsidR="00BA622A" w:rsidRPr="00A060FE">
        <w:rPr>
          <w:rFonts w:eastAsia="Calibri"/>
        </w:rPr>
        <w:t xml:space="preserve">" </w:t>
      </w:r>
      <w:r w:rsidR="00BA622A" w:rsidRPr="00B64995">
        <w:rPr>
          <w:rFonts w:eastAsia="Calibri"/>
        </w:rPr>
        <w:t>(2020)</w:t>
      </w:r>
      <w:r w:rsidRPr="00B64995">
        <w:rPr>
          <w:rFonts w:eastAsia="Calibri"/>
        </w:rPr>
        <w:t>, which examined the issues that many governments face when developing and deploying school connectivity initiatives and introduced a methodology and framework for connecting schools to the Internet.</w:t>
      </w:r>
    </w:p>
    <w:p w14:paraId="70588FF8" w14:textId="68571A7D" w:rsidR="31295726" w:rsidRPr="00B64995" w:rsidRDefault="31295726" w:rsidP="31295726">
      <w:pPr>
        <w:spacing w:before="120"/>
        <w:jc w:val="both"/>
        <w:rPr>
          <w:rFonts w:eastAsiaTheme="minorEastAsia"/>
        </w:rPr>
      </w:pPr>
    </w:p>
    <w:p w14:paraId="3585A8DA" w14:textId="4633E026" w:rsidR="00951E14" w:rsidRPr="00B64995" w:rsidRDefault="2BBBC94A" w:rsidP="00A83DAA">
      <w:pPr>
        <w:pStyle w:val="Heading5"/>
      </w:pPr>
      <w:r w:rsidRPr="00B64995">
        <w:t xml:space="preserve">ITU’s participation in </w:t>
      </w:r>
      <w:r w:rsidR="61114C5F" w:rsidRPr="00B64995">
        <w:t xml:space="preserve">the UN Secretary-General's </w:t>
      </w:r>
      <w:r w:rsidR="00BA622A" w:rsidRPr="00B64995">
        <w:t>a</w:t>
      </w:r>
      <w:r w:rsidR="026F8274" w:rsidRPr="00B64995">
        <w:t>ctivities</w:t>
      </w:r>
      <w:r w:rsidR="61114C5F" w:rsidRPr="00B64995">
        <w:t xml:space="preserve"> on </w:t>
      </w:r>
      <w:r w:rsidR="00BA622A" w:rsidRPr="00B64995">
        <w:t>d</w:t>
      </w:r>
      <w:r w:rsidR="61114C5F" w:rsidRPr="00B64995">
        <w:t xml:space="preserve">igital </w:t>
      </w:r>
      <w:r w:rsidR="00BA622A" w:rsidRPr="00B64995">
        <w:t>c</w:t>
      </w:r>
      <w:r w:rsidR="61114C5F" w:rsidRPr="00B64995">
        <w:t>ooperation</w:t>
      </w:r>
    </w:p>
    <w:p w14:paraId="14F5FBE1" w14:textId="3D8063E3" w:rsidR="0049723A" w:rsidRPr="00B64995" w:rsidRDefault="00951E14" w:rsidP="0012722A">
      <w:pPr>
        <w:pStyle w:val="NormalWeb"/>
        <w:shd w:val="clear" w:color="auto" w:fill="FFFFFF" w:themeFill="background1"/>
        <w:spacing w:before="0" w:beforeAutospacing="0" w:after="0" w:afterAutospacing="0"/>
        <w:jc w:val="both"/>
        <w:rPr>
          <w:rFonts w:eastAsiaTheme="minorEastAsia" w:cs="Calibri"/>
          <w:sz w:val="22"/>
          <w:szCs w:val="22"/>
          <w:lang w:val="en-GB"/>
        </w:rPr>
      </w:pPr>
      <w:r w:rsidRPr="00B64995">
        <w:rPr>
          <w:rFonts w:eastAsiaTheme="minorEastAsia" w:cs="Calibri"/>
          <w:sz w:val="22"/>
          <w:szCs w:val="22"/>
          <w:lang w:val="en-GB"/>
        </w:rPr>
        <w:t xml:space="preserve">The High-level Panel on Digital Cooperation was convened </w:t>
      </w:r>
      <w:r w:rsidR="4B74B95B" w:rsidRPr="00B64995">
        <w:rPr>
          <w:rFonts w:eastAsiaTheme="minorEastAsia" w:cs="Calibri"/>
          <w:sz w:val="22"/>
          <w:szCs w:val="22"/>
          <w:lang w:val="en-GB"/>
        </w:rPr>
        <w:t>in 2019</w:t>
      </w:r>
      <w:r w:rsidR="043736A8" w:rsidRPr="00B64995">
        <w:rPr>
          <w:rFonts w:eastAsiaTheme="minorEastAsia" w:cs="Calibri"/>
          <w:sz w:val="22"/>
          <w:szCs w:val="22"/>
          <w:lang w:val="en-GB"/>
        </w:rPr>
        <w:t xml:space="preserve"> </w:t>
      </w:r>
      <w:r w:rsidRPr="00B64995">
        <w:rPr>
          <w:rFonts w:eastAsiaTheme="minorEastAsia" w:cs="Calibri"/>
          <w:sz w:val="22"/>
          <w:szCs w:val="22"/>
          <w:lang w:val="en-GB"/>
        </w:rPr>
        <w:t xml:space="preserve">by the UN Secretary-General to advance global </w:t>
      </w:r>
      <w:r w:rsidR="00B042CC" w:rsidRPr="00B64995">
        <w:rPr>
          <w:rFonts w:eastAsiaTheme="minorEastAsia" w:cs="Calibri"/>
          <w:sz w:val="22"/>
          <w:szCs w:val="22"/>
          <w:lang w:val="en-GB"/>
        </w:rPr>
        <w:t>multistakeholder</w:t>
      </w:r>
      <w:r w:rsidRPr="00B64995">
        <w:rPr>
          <w:rFonts w:eastAsiaTheme="minorEastAsia" w:cs="Calibri"/>
          <w:sz w:val="22"/>
          <w:szCs w:val="22"/>
          <w:lang w:val="en-GB"/>
        </w:rPr>
        <w:t xml:space="preserve"> dialogue on how </w:t>
      </w:r>
      <w:r w:rsidR="62CB19F6" w:rsidRPr="00B64995">
        <w:rPr>
          <w:rFonts w:eastAsiaTheme="minorEastAsia" w:cs="Calibri"/>
          <w:sz w:val="22"/>
          <w:szCs w:val="22"/>
          <w:lang w:val="en-GB"/>
        </w:rPr>
        <w:t xml:space="preserve">the global </w:t>
      </w:r>
      <w:r w:rsidR="00D4181E" w:rsidRPr="00B64995">
        <w:rPr>
          <w:rFonts w:eastAsiaTheme="minorEastAsia" w:cs="Calibri"/>
          <w:sz w:val="22"/>
          <w:szCs w:val="22"/>
          <w:lang w:val="en-GB"/>
        </w:rPr>
        <w:t>community</w:t>
      </w:r>
      <w:r w:rsidR="62CB19F6" w:rsidRPr="00B64995">
        <w:rPr>
          <w:rFonts w:eastAsiaTheme="minorEastAsia" w:cs="Calibri"/>
          <w:sz w:val="22"/>
          <w:szCs w:val="22"/>
          <w:lang w:val="en-GB"/>
        </w:rPr>
        <w:t xml:space="preserve"> </w:t>
      </w:r>
      <w:r w:rsidRPr="00B64995">
        <w:rPr>
          <w:rFonts w:eastAsiaTheme="minorEastAsia" w:cs="Calibri"/>
          <w:sz w:val="22"/>
          <w:szCs w:val="22"/>
          <w:lang w:val="en-GB"/>
        </w:rPr>
        <w:t>can work better together to realize the potential of digital technologies for advancing human well-being while mitigating the risks.</w:t>
      </w:r>
      <w:r w:rsidR="029DB29D" w:rsidRPr="00B64995">
        <w:rPr>
          <w:rFonts w:eastAsiaTheme="minorEastAsia" w:cs="Calibri"/>
          <w:sz w:val="22"/>
          <w:szCs w:val="22"/>
          <w:lang w:val="en-GB"/>
        </w:rPr>
        <w:t xml:space="preserve"> </w:t>
      </w:r>
      <w:r w:rsidRPr="00B64995">
        <w:rPr>
          <w:rFonts w:eastAsiaTheme="minorEastAsia" w:cs="Calibri"/>
          <w:sz w:val="22"/>
          <w:szCs w:val="22"/>
          <w:lang w:val="en-GB"/>
        </w:rPr>
        <w:t>In June 2019, the Panel</w:t>
      </w:r>
      <w:r w:rsidR="002635DB" w:rsidRPr="00B64995">
        <w:rPr>
          <w:rFonts w:eastAsiaTheme="minorEastAsia" w:cs="Calibri"/>
          <w:sz w:val="22"/>
          <w:szCs w:val="22"/>
          <w:lang w:val="en-GB"/>
        </w:rPr>
        <w:t xml:space="preserve"> submitted their report, “</w:t>
      </w:r>
      <w:hyperlink r:id="rId380">
        <w:r w:rsidR="002635DB" w:rsidRPr="00B64995">
          <w:rPr>
            <w:rStyle w:val="Hyperlink"/>
            <w:rFonts w:eastAsiaTheme="minorEastAsia" w:cs="Calibri"/>
            <w:sz w:val="22"/>
            <w:szCs w:val="22"/>
            <w:lang w:val="en-GB"/>
          </w:rPr>
          <w:t>The Age of Digital Interdependence</w:t>
        </w:r>
      </w:hyperlink>
      <w:r w:rsidR="002635DB" w:rsidRPr="00A060FE">
        <w:rPr>
          <w:rFonts w:eastAsiaTheme="minorEastAsia" w:cs="Calibri"/>
          <w:sz w:val="22"/>
          <w:szCs w:val="22"/>
          <w:lang w:val="en-GB"/>
        </w:rPr>
        <w:t>”</w:t>
      </w:r>
      <w:r w:rsidR="000F7523" w:rsidRPr="00B64995">
        <w:rPr>
          <w:rFonts w:eastAsiaTheme="minorEastAsia" w:cs="Calibri"/>
          <w:sz w:val="22"/>
          <w:szCs w:val="22"/>
          <w:lang w:val="en-GB"/>
        </w:rPr>
        <w:t>,</w:t>
      </w:r>
      <w:r w:rsidR="00F656FC" w:rsidRPr="00B64995">
        <w:rPr>
          <w:rFonts w:eastAsiaTheme="minorEastAsia" w:cs="Calibri"/>
          <w:sz w:val="22"/>
          <w:szCs w:val="22"/>
          <w:lang w:val="en-GB"/>
        </w:rPr>
        <w:t xml:space="preserve"> </w:t>
      </w:r>
      <w:r w:rsidRPr="00B64995">
        <w:rPr>
          <w:rFonts w:eastAsiaTheme="minorEastAsia" w:cs="Calibri"/>
          <w:sz w:val="22"/>
          <w:szCs w:val="22"/>
          <w:lang w:val="en-GB"/>
        </w:rPr>
        <w:t>which included a set of recommendations to improve digital cooperation.</w:t>
      </w:r>
    </w:p>
    <w:p w14:paraId="1CE83D95" w14:textId="1635471E" w:rsidR="0012722A" w:rsidRPr="00B64995" w:rsidRDefault="0012722A" w:rsidP="0012722A">
      <w:pPr>
        <w:pStyle w:val="NormalWeb"/>
        <w:shd w:val="clear" w:color="auto" w:fill="FFFFFF" w:themeFill="background1"/>
        <w:spacing w:before="0" w:beforeAutospacing="0" w:after="0" w:afterAutospacing="0"/>
        <w:jc w:val="both"/>
        <w:rPr>
          <w:rFonts w:eastAsiaTheme="minorEastAsia" w:cs="Calibri"/>
          <w:sz w:val="22"/>
          <w:szCs w:val="22"/>
          <w:lang w:val="en-GB"/>
        </w:rPr>
      </w:pPr>
    </w:p>
    <w:p w14:paraId="14419314" w14:textId="7AA9E44A" w:rsidR="00951E14" w:rsidRPr="00B64995" w:rsidRDefault="7D725231">
      <w:pPr>
        <w:jc w:val="both"/>
        <w:rPr>
          <w:rFonts w:eastAsiaTheme="minorEastAsia"/>
          <w:lang w:eastAsia="zh-CN"/>
        </w:rPr>
      </w:pPr>
      <w:r w:rsidRPr="00B64995">
        <w:rPr>
          <w:rFonts w:eastAsiaTheme="minorEastAsia"/>
          <w:lang w:eastAsia="zh-CN"/>
        </w:rPr>
        <w:t>In support of the follow up to the recommendations of this panel, the office of the UN Secretary-General has convened e</w:t>
      </w:r>
      <w:r w:rsidR="043736A8" w:rsidRPr="00B64995">
        <w:rPr>
          <w:rFonts w:eastAsiaTheme="minorEastAsia"/>
          <w:lang w:eastAsia="zh-CN"/>
        </w:rPr>
        <w:t xml:space="preserve">ight virtual Roundtable groups to discuss if and how </w:t>
      </w:r>
      <w:r w:rsidR="795DBD22" w:rsidRPr="00B64995">
        <w:rPr>
          <w:rFonts w:eastAsiaTheme="minorEastAsia"/>
          <w:lang w:eastAsia="zh-CN"/>
        </w:rPr>
        <w:t xml:space="preserve">each of the </w:t>
      </w:r>
      <w:r w:rsidR="043736A8" w:rsidRPr="00B64995">
        <w:rPr>
          <w:rFonts w:eastAsiaTheme="minorEastAsia"/>
          <w:lang w:eastAsia="zh-CN"/>
        </w:rPr>
        <w:t xml:space="preserve">recommendations </w:t>
      </w:r>
      <w:r w:rsidR="6E7502D7" w:rsidRPr="00B64995">
        <w:rPr>
          <w:rFonts w:eastAsiaTheme="minorEastAsia"/>
          <w:lang w:eastAsia="zh-CN"/>
        </w:rPr>
        <w:t xml:space="preserve">presented in the report </w:t>
      </w:r>
      <w:r w:rsidR="043736A8" w:rsidRPr="00B64995">
        <w:rPr>
          <w:rFonts w:eastAsiaTheme="minorEastAsia"/>
          <w:lang w:eastAsia="zh-CN"/>
        </w:rPr>
        <w:t xml:space="preserve">can be advanced. </w:t>
      </w:r>
      <w:r w:rsidR="46B4EBE4" w:rsidRPr="00B64995">
        <w:rPr>
          <w:rFonts w:eastAsiaTheme="minorEastAsia"/>
          <w:lang w:eastAsia="zh-CN"/>
        </w:rPr>
        <w:t xml:space="preserve">The invited </w:t>
      </w:r>
      <w:r w:rsidR="00951E14" w:rsidRPr="00B64995">
        <w:rPr>
          <w:rFonts w:eastAsiaTheme="minorEastAsia"/>
          <w:lang w:eastAsia="zh-CN"/>
        </w:rPr>
        <w:t>“Champions” and “Key Constituents</w:t>
      </w:r>
      <w:r w:rsidR="4B50D93C" w:rsidRPr="00B64995">
        <w:rPr>
          <w:rFonts w:eastAsiaTheme="minorEastAsia"/>
          <w:lang w:eastAsia="zh-CN"/>
        </w:rPr>
        <w:t>”</w:t>
      </w:r>
      <w:r w:rsidR="00951E14" w:rsidRPr="00B64995">
        <w:rPr>
          <w:rFonts w:eastAsiaTheme="minorEastAsia"/>
          <w:lang w:eastAsia="zh-CN"/>
        </w:rPr>
        <w:t xml:space="preserve"> work to coordinate activities so that duplication of efforts </w:t>
      </w:r>
      <w:r w:rsidR="599B422C" w:rsidRPr="00B64995">
        <w:rPr>
          <w:rFonts w:eastAsiaTheme="minorEastAsia"/>
          <w:lang w:eastAsia="zh-CN"/>
        </w:rPr>
        <w:t>is avoided</w:t>
      </w:r>
      <w:r w:rsidR="00951E14" w:rsidRPr="00B64995">
        <w:rPr>
          <w:rFonts w:eastAsiaTheme="minorEastAsia"/>
          <w:lang w:eastAsia="zh-CN"/>
        </w:rPr>
        <w:t xml:space="preserve">, and progress can be amplified. ITU was selected as </w:t>
      </w:r>
      <w:r w:rsidR="00FD309D" w:rsidRPr="00B64995">
        <w:rPr>
          <w:rFonts w:eastAsiaTheme="minorEastAsia"/>
          <w:lang w:eastAsia="zh-CN"/>
        </w:rPr>
        <w:t>“</w:t>
      </w:r>
      <w:r w:rsidR="00951E14" w:rsidRPr="00B64995">
        <w:rPr>
          <w:rFonts w:eastAsiaTheme="minorEastAsia"/>
          <w:lang w:eastAsia="zh-CN"/>
        </w:rPr>
        <w:t>Champion</w:t>
      </w:r>
      <w:r w:rsidR="00FD309D" w:rsidRPr="00B64995">
        <w:rPr>
          <w:rFonts w:eastAsiaTheme="minorEastAsia"/>
          <w:lang w:eastAsia="zh-CN"/>
        </w:rPr>
        <w:t>”</w:t>
      </w:r>
      <w:r w:rsidR="00951E14" w:rsidRPr="00B64995">
        <w:rPr>
          <w:rFonts w:eastAsiaTheme="minorEastAsia"/>
          <w:lang w:eastAsia="zh-CN"/>
        </w:rPr>
        <w:t xml:space="preserve"> for Recommendation 1A </w:t>
      </w:r>
      <w:r w:rsidR="00EB3BDC" w:rsidRPr="00B64995">
        <w:rPr>
          <w:rFonts w:eastAsiaTheme="minorEastAsia"/>
          <w:lang w:eastAsia="zh-CN"/>
        </w:rPr>
        <w:t>(g</w:t>
      </w:r>
      <w:r w:rsidR="00951E14" w:rsidRPr="00B64995">
        <w:rPr>
          <w:rFonts w:eastAsiaTheme="minorEastAsia"/>
          <w:lang w:eastAsia="zh-CN"/>
        </w:rPr>
        <w:t xml:space="preserve">lobal </w:t>
      </w:r>
      <w:r w:rsidR="00EB3BDC" w:rsidRPr="00B64995">
        <w:rPr>
          <w:rFonts w:eastAsiaTheme="minorEastAsia"/>
          <w:lang w:eastAsia="zh-CN"/>
        </w:rPr>
        <w:t>c</w:t>
      </w:r>
      <w:r w:rsidR="00951E14" w:rsidRPr="00B64995">
        <w:rPr>
          <w:rFonts w:eastAsiaTheme="minorEastAsia"/>
          <w:lang w:eastAsia="zh-CN"/>
        </w:rPr>
        <w:t>onnectivity</w:t>
      </w:r>
      <w:r w:rsidR="00EB3BDC" w:rsidRPr="00B64995">
        <w:rPr>
          <w:rFonts w:eastAsiaTheme="minorEastAsia"/>
          <w:lang w:eastAsia="zh-CN"/>
        </w:rPr>
        <w:t>)</w:t>
      </w:r>
      <w:r w:rsidR="00951E14" w:rsidRPr="00B64995">
        <w:rPr>
          <w:rFonts w:eastAsiaTheme="minorEastAsia"/>
          <w:lang w:eastAsia="zh-CN"/>
        </w:rPr>
        <w:t xml:space="preserve"> – together with UNICEF and Uganda - and for Recommendation 2 </w:t>
      </w:r>
      <w:r w:rsidR="00EB3BDC" w:rsidRPr="00B64995">
        <w:rPr>
          <w:rFonts w:eastAsiaTheme="minorEastAsia"/>
          <w:lang w:eastAsia="zh-CN"/>
        </w:rPr>
        <w:t>(d</w:t>
      </w:r>
      <w:r w:rsidR="00951E14" w:rsidRPr="00B64995">
        <w:rPr>
          <w:rFonts w:eastAsiaTheme="minorEastAsia"/>
          <w:lang w:eastAsia="zh-CN"/>
        </w:rPr>
        <w:t xml:space="preserve">igital </w:t>
      </w:r>
      <w:r w:rsidR="00EB3BDC" w:rsidRPr="00B64995">
        <w:rPr>
          <w:rFonts w:eastAsiaTheme="minorEastAsia"/>
          <w:lang w:eastAsia="zh-CN"/>
        </w:rPr>
        <w:t>h</w:t>
      </w:r>
      <w:r w:rsidR="00951E14" w:rsidRPr="00B64995">
        <w:rPr>
          <w:rFonts w:eastAsiaTheme="minorEastAsia"/>
          <w:lang w:eastAsia="zh-CN"/>
        </w:rPr>
        <w:t xml:space="preserve">elp </w:t>
      </w:r>
      <w:r w:rsidR="00EB3BDC" w:rsidRPr="00B64995">
        <w:rPr>
          <w:rFonts w:eastAsiaTheme="minorEastAsia"/>
          <w:lang w:eastAsia="zh-CN"/>
        </w:rPr>
        <w:t>d</w:t>
      </w:r>
      <w:r w:rsidR="00951E14" w:rsidRPr="00B64995">
        <w:rPr>
          <w:rFonts w:eastAsiaTheme="minorEastAsia"/>
          <w:lang w:eastAsia="zh-CN"/>
        </w:rPr>
        <w:t>esks</w:t>
      </w:r>
      <w:r w:rsidR="00EB3BDC" w:rsidRPr="00B64995">
        <w:rPr>
          <w:rFonts w:eastAsiaTheme="minorEastAsia"/>
          <w:lang w:eastAsia="zh-CN"/>
        </w:rPr>
        <w:t>)</w:t>
      </w:r>
      <w:r w:rsidR="00951E14" w:rsidRPr="00B64995">
        <w:rPr>
          <w:rFonts w:eastAsiaTheme="minorEastAsia"/>
          <w:lang w:eastAsia="zh-CN"/>
        </w:rPr>
        <w:t xml:space="preserve"> – together with UNDP - based on experience and engagement with the High-level Panel in 2019</w:t>
      </w:r>
      <w:r w:rsidR="00EB3BDC" w:rsidRPr="00B64995">
        <w:rPr>
          <w:rFonts w:eastAsiaTheme="minorEastAsia"/>
          <w:lang w:eastAsia="zh-CN"/>
        </w:rPr>
        <w:t>. ITU was also the</w:t>
      </w:r>
      <w:r w:rsidR="00951E14" w:rsidRPr="00B64995">
        <w:rPr>
          <w:rFonts w:eastAsiaTheme="minorEastAsia"/>
          <w:lang w:eastAsia="zh-CN"/>
        </w:rPr>
        <w:t xml:space="preserve"> </w:t>
      </w:r>
      <w:r w:rsidR="008A089E" w:rsidRPr="00B64995">
        <w:rPr>
          <w:rFonts w:eastAsiaTheme="minorEastAsia"/>
          <w:lang w:eastAsia="zh-CN"/>
        </w:rPr>
        <w:t>“</w:t>
      </w:r>
      <w:r w:rsidR="00951E14" w:rsidRPr="00B64995">
        <w:rPr>
          <w:rFonts w:eastAsiaTheme="minorEastAsia"/>
          <w:lang w:eastAsia="zh-CN"/>
        </w:rPr>
        <w:t>Key Constituent</w:t>
      </w:r>
      <w:r w:rsidR="008A089E" w:rsidRPr="00B64995">
        <w:rPr>
          <w:rFonts w:eastAsiaTheme="minorEastAsia"/>
          <w:lang w:eastAsia="zh-CN"/>
        </w:rPr>
        <w:t>”</w:t>
      </w:r>
      <w:r w:rsidR="00951E14" w:rsidRPr="00B64995">
        <w:rPr>
          <w:rFonts w:eastAsiaTheme="minorEastAsia"/>
          <w:lang w:eastAsia="zh-CN"/>
        </w:rPr>
        <w:t xml:space="preserve"> for five </w:t>
      </w:r>
      <w:r w:rsidR="00EB3BDC" w:rsidRPr="00B64995">
        <w:rPr>
          <w:rFonts w:eastAsiaTheme="minorEastAsia"/>
          <w:lang w:eastAsia="zh-CN"/>
        </w:rPr>
        <w:t xml:space="preserve">other </w:t>
      </w:r>
      <w:r w:rsidR="00951E14" w:rsidRPr="00B64995">
        <w:rPr>
          <w:rFonts w:eastAsiaTheme="minorEastAsia"/>
          <w:lang w:eastAsia="zh-CN"/>
        </w:rPr>
        <w:t>Roundtables</w:t>
      </w:r>
      <w:r w:rsidR="21EF656A" w:rsidRPr="00B64995">
        <w:rPr>
          <w:rFonts w:eastAsiaTheme="minorEastAsia"/>
          <w:lang w:eastAsia="zh-CN"/>
        </w:rPr>
        <w:t xml:space="preserve">, including Recommendation 1B </w:t>
      </w:r>
      <w:r w:rsidR="00EB3BDC" w:rsidRPr="00B64995">
        <w:rPr>
          <w:rFonts w:eastAsiaTheme="minorEastAsia"/>
          <w:lang w:eastAsia="zh-CN"/>
        </w:rPr>
        <w:t>(d</w:t>
      </w:r>
      <w:r w:rsidR="21EF656A" w:rsidRPr="00B64995">
        <w:rPr>
          <w:rFonts w:eastAsiaTheme="minorEastAsia"/>
          <w:lang w:eastAsia="zh-CN"/>
        </w:rPr>
        <w:t xml:space="preserve">igital </w:t>
      </w:r>
      <w:r w:rsidR="00EB3BDC" w:rsidRPr="00B64995">
        <w:rPr>
          <w:rFonts w:eastAsiaTheme="minorEastAsia"/>
          <w:lang w:eastAsia="zh-CN"/>
        </w:rPr>
        <w:t>p</w:t>
      </w:r>
      <w:r w:rsidR="21EF656A" w:rsidRPr="00B64995">
        <w:rPr>
          <w:rFonts w:eastAsiaTheme="minorEastAsia"/>
          <w:lang w:eastAsia="zh-CN"/>
        </w:rPr>
        <w:t xml:space="preserve">ublic </w:t>
      </w:r>
      <w:r w:rsidR="00EB3BDC" w:rsidRPr="00B64995">
        <w:rPr>
          <w:rFonts w:eastAsiaTheme="minorEastAsia"/>
          <w:lang w:eastAsia="zh-CN"/>
        </w:rPr>
        <w:t>g</w:t>
      </w:r>
      <w:r w:rsidR="21EF656A" w:rsidRPr="00B64995">
        <w:rPr>
          <w:rFonts w:eastAsiaTheme="minorEastAsia"/>
          <w:lang w:eastAsia="zh-CN"/>
        </w:rPr>
        <w:t>oods</w:t>
      </w:r>
      <w:r w:rsidR="00EB3BDC" w:rsidRPr="00B64995">
        <w:rPr>
          <w:rFonts w:eastAsiaTheme="minorEastAsia"/>
          <w:lang w:eastAsia="zh-CN"/>
        </w:rPr>
        <w:t>)</w:t>
      </w:r>
      <w:r w:rsidR="21EF656A" w:rsidRPr="00B64995">
        <w:rPr>
          <w:rFonts w:eastAsiaTheme="minorEastAsia"/>
          <w:lang w:eastAsia="zh-CN"/>
        </w:rPr>
        <w:t>, Recommendation 1C/</w:t>
      </w:r>
      <w:r w:rsidR="538218AC" w:rsidRPr="00B64995">
        <w:rPr>
          <w:rFonts w:eastAsiaTheme="minorEastAsia"/>
          <w:lang w:eastAsia="zh-CN"/>
        </w:rPr>
        <w:t>D</w:t>
      </w:r>
      <w:r w:rsidR="438FED9D" w:rsidRPr="00B64995">
        <w:rPr>
          <w:rFonts w:eastAsiaTheme="minorEastAsia"/>
          <w:lang w:eastAsia="zh-CN"/>
        </w:rPr>
        <w:t xml:space="preserve"> </w:t>
      </w:r>
      <w:r w:rsidR="00EB3BDC" w:rsidRPr="00B64995">
        <w:rPr>
          <w:rFonts w:eastAsiaTheme="minorEastAsia"/>
          <w:lang w:eastAsia="zh-CN"/>
        </w:rPr>
        <w:t>(d</w:t>
      </w:r>
      <w:r w:rsidR="40E74A44" w:rsidRPr="00B64995">
        <w:rPr>
          <w:rFonts w:eastAsiaTheme="minorEastAsia"/>
          <w:lang w:eastAsia="zh-CN"/>
        </w:rPr>
        <w:t xml:space="preserve">igital </w:t>
      </w:r>
      <w:r w:rsidR="00EB3BDC" w:rsidRPr="00B64995">
        <w:rPr>
          <w:rFonts w:eastAsiaTheme="minorEastAsia"/>
          <w:lang w:eastAsia="zh-CN"/>
        </w:rPr>
        <w:t>i</w:t>
      </w:r>
      <w:r w:rsidR="40E74A44" w:rsidRPr="00B64995">
        <w:rPr>
          <w:rFonts w:eastAsiaTheme="minorEastAsia"/>
          <w:lang w:eastAsia="zh-CN"/>
        </w:rPr>
        <w:t>nclusion</w:t>
      </w:r>
      <w:r w:rsidR="00EB3BDC" w:rsidRPr="00B64995">
        <w:rPr>
          <w:rFonts w:eastAsiaTheme="minorEastAsia"/>
          <w:lang w:eastAsia="zh-CN"/>
        </w:rPr>
        <w:t>)</w:t>
      </w:r>
      <w:r w:rsidR="40E74A44" w:rsidRPr="00B64995">
        <w:rPr>
          <w:rFonts w:eastAsiaTheme="minorEastAsia"/>
          <w:lang w:eastAsia="zh-CN"/>
        </w:rPr>
        <w:t xml:space="preserve">, Recommendation 3C </w:t>
      </w:r>
      <w:r w:rsidR="00EB3BDC" w:rsidRPr="00B64995">
        <w:rPr>
          <w:rFonts w:eastAsiaTheme="minorEastAsia"/>
          <w:lang w:eastAsia="zh-CN"/>
        </w:rPr>
        <w:t>(a</w:t>
      </w:r>
      <w:r w:rsidR="40E74A44" w:rsidRPr="00B64995">
        <w:rPr>
          <w:rFonts w:eastAsiaTheme="minorEastAsia"/>
          <w:lang w:eastAsia="zh-CN"/>
        </w:rPr>
        <w:t xml:space="preserve">rtificial </w:t>
      </w:r>
      <w:r w:rsidR="00EB3BDC" w:rsidRPr="00B64995">
        <w:rPr>
          <w:rFonts w:eastAsiaTheme="minorEastAsia"/>
          <w:lang w:eastAsia="zh-CN"/>
        </w:rPr>
        <w:t>i</w:t>
      </w:r>
      <w:r w:rsidR="40E74A44" w:rsidRPr="00B64995">
        <w:rPr>
          <w:rFonts w:eastAsiaTheme="minorEastAsia"/>
          <w:lang w:eastAsia="zh-CN"/>
        </w:rPr>
        <w:t>ntelligence</w:t>
      </w:r>
      <w:r w:rsidR="00EB3BDC" w:rsidRPr="00B64995">
        <w:rPr>
          <w:rFonts w:eastAsiaTheme="minorEastAsia"/>
          <w:lang w:eastAsia="zh-CN"/>
        </w:rPr>
        <w:t>)</w:t>
      </w:r>
      <w:r w:rsidR="40E74A44" w:rsidRPr="00B64995">
        <w:rPr>
          <w:rFonts w:eastAsiaTheme="minorEastAsia"/>
          <w:lang w:eastAsia="zh-CN"/>
        </w:rPr>
        <w:t xml:space="preserve">, Recommendation 4 </w:t>
      </w:r>
      <w:r w:rsidR="00EB3BDC" w:rsidRPr="00B64995">
        <w:rPr>
          <w:rFonts w:eastAsiaTheme="minorEastAsia"/>
          <w:lang w:eastAsia="zh-CN"/>
        </w:rPr>
        <w:t>(d</w:t>
      </w:r>
      <w:r w:rsidR="40E74A44" w:rsidRPr="00B64995">
        <w:rPr>
          <w:rFonts w:eastAsiaTheme="minorEastAsia"/>
          <w:lang w:eastAsia="zh-CN"/>
        </w:rPr>
        <w:t xml:space="preserve">igital </w:t>
      </w:r>
      <w:r w:rsidR="00EB3BDC" w:rsidRPr="00B64995">
        <w:rPr>
          <w:rFonts w:eastAsiaTheme="minorEastAsia"/>
          <w:lang w:eastAsia="zh-CN"/>
        </w:rPr>
        <w:t>t</w:t>
      </w:r>
      <w:r w:rsidR="40E74A44" w:rsidRPr="00B64995">
        <w:rPr>
          <w:rFonts w:eastAsiaTheme="minorEastAsia"/>
          <w:lang w:eastAsia="zh-CN"/>
        </w:rPr>
        <w:t xml:space="preserve">rust and </w:t>
      </w:r>
      <w:r w:rsidR="00EB3BDC" w:rsidRPr="00B64995">
        <w:rPr>
          <w:rFonts w:eastAsiaTheme="minorEastAsia"/>
          <w:lang w:eastAsia="zh-CN"/>
        </w:rPr>
        <w:t>s</w:t>
      </w:r>
      <w:r w:rsidR="40E74A44" w:rsidRPr="00B64995">
        <w:rPr>
          <w:rFonts w:eastAsiaTheme="minorEastAsia"/>
          <w:lang w:eastAsia="zh-CN"/>
        </w:rPr>
        <w:t>ecurity</w:t>
      </w:r>
      <w:r w:rsidR="00EB3BDC" w:rsidRPr="00B64995">
        <w:rPr>
          <w:rFonts w:eastAsiaTheme="minorEastAsia"/>
          <w:lang w:eastAsia="zh-CN"/>
        </w:rPr>
        <w:t>)</w:t>
      </w:r>
      <w:r w:rsidR="40E74A44" w:rsidRPr="00B64995">
        <w:rPr>
          <w:rFonts w:eastAsiaTheme="minorEastAsia"/>
          <w:lang w:eastAsia="zh-CN"/>
        </w:rPr>
        <w:t xml:space="preserve">, and Recommendation 5A/B </w:t>
      </w:r>
      <w:r w:rsidR="00EB3BDC" w:rsidRPr="00B64995">
        <w:rPr>
          <w:rFonts w:eastAsiaTheme="minorEastAsia"/>
          <w:lang w:eastAsia="zh-CN"/>
        </w:rPr>
        <w:t>(d</w:t>
      </w:r>
      <w:r w:rsidR="2440CEA5" w:rsidRPr="00B64995">
        <w:rPr>
          <w:rFonts w:eastAsiaTheme="minorEastAsia"/>
          <w:lang w:eastAsia="zh-CN"/>
        </w:rPr>
        <w:t xml:space="preserve">igital </w:t>
      </w:r>
      <w:r w:rsidR="00EB3BDC" w:rsidRPr="00B64995">
        <w:rPr>
          <w:rFonts w:eastAsiaTheme="minorEastAsia"/>
          <w:lang w:eastAsia="zh-CN"/>
        </w:rPr>
        <w:t>c</w:t>
      </w:r>
      <w:r w:rsidR="2440CEA5" w:rsidRPr="00B64995">
        <w:rPr>
          <w:rFonts w:eastAsiaTheme="minorEastAsia"/>
          <w:lang w:eastAsia="zh-CN"/>
        </w:rPr>
        <w:t xml:space="preserve">ooperation </w:t>
      </w:r>
      <w:r w:rsidR="00EB3BDC" w:rsidRPr="00B64995">
        <w:rPr>
          <w:rFonts w:eastAsiaTheme="minorEastAsia"/>
          <w:lang w:eastAsia="zh-CN"/>
        </w:rPr>
        <w:t>a</w:t>
      </w:r>
      <w:r w:rsidR="2440CEA5" w:rsidRPr="00B64995">
        <w:rPr>
          <w:rFonts w:eastAsiaTheme="minorEastAsia"/>
          <w:lang w:eastAsia="zh-CN"/>
        </w:rPr>
        <w:t>rchitecture</w:t>
      </w:r>
      <w:r w:rsidR="00EB3BDC" w:rsidRPr="00B64995">
        <w:rPr>
          <w:rFonts w:eastAsiaTheme="minorEastAsia"/>
          <w:lang w:eastAsia="zh-CN"/>
        </w:rPr>
        <w:t>)</w:t>
      </w:r>
      <w:r w:rsidR="2440CEA5" w:rsidRPr="00B64995">
        <w:rPr>
          <w:rFonts w:eastAsiaTheme="minorEastAsia"/>
          <w:lang w:eastAsia="zh-CN"/>
        </w:rPr>
        <w:t>.</w:t>
      </w:r>
    </w:p>
    <w:p w14:paraId="555C6F90" w14:textId="77777777" w:rsidR="0012722A" w:rsidRPr="00B64995" w:rsidRDefault="0012722A" w:rsidP="0012722A">
      <w:pPr>
        <w:shd w:val="clear" w:color="auto" w:fill="FFFFFF" w:themeFill="background1"/>
        <w:jc w:val="both"/>
        <w:rPr>
          <w:rFonts w:eastAsiaTheme="minorEastAsia"/>
        </w:rPr>
      </w:pPr>
    </w:p>
    <w:p w14:paraId="0D88F6B2" w14:textId="7BB6938D" w:rsidR="0049723A" w:rsidRPr="00B64995" w:rsidRDefault="2440CEA5" w:rsidP="00464BDA">
      <w:pPr>
        <w:jc w:val="both"/>
        <w:rPr>
          <w:rFonts w:eastAsia="Calibri"/>
        </w:rPr>
      </w:pPr>
      <w:r w:rsidRPr="00B64995">
        <w:rPr>
          <w:rFonts w:eastAsia="Calibri"/>
        </w:rPr>
        <w:t xml:space="preserve">Together with other Roundtable groups, the two Roundtables ITU is co-championing provided inputs to the office of the UN Secretary-General and contributed to the preparation of the UN Secretary-General’s Roadmap for Digital Cooperation (A/74/821), which was launched at the </w:t>
      </w:r>
      <w:r w:rsidR="00E0255C" w:rsidRPr="00B64995">
        <w:rPr>
          <w:rFonts w:eastAsia="Calibri"/>
        </w:rPr>
        <w:t>High-Level</w:t>
      </w:r>
      <w:r w:rsidRPr="00B64995">
        <w:rPr>
          <w:rFonts w:eastAsia="Calibri"/>
        </w:rPr>
        <w:t xml:space="preserve"> thematic Debate on the Impact of Rapid Technological Change on the SDGs and Targets, organized by </w:t>
      </w:r>
      <w:r w:rsidRPr="00B64995">
        <w:rPr>
          <w:rFonts w:eastAsia="Calibri"/>
        </w:rPr>
        <w:lastRenderedPageBreak/>
        <w:t xml:space="preserve">the President of the UN General Assembly, on 10 June 2020. The newly released report lays out the Secretary-General’s vision on how to engage on key digital issues, such as global connectivity, capacity building, digital public goods, digital human rights, trust and security, and </w:t>
      </w:r>
      <w:r w:rsidR="002635DB" w:rsidRPr="00B64995">
        <w:rPr>
          <w:rFonts w:eastAsia="Calibri"/>
        </w:rPr>
        <w:t>a</w:t>
      </w:r>
      <w:r w:rsidRPr="00B64995">
        <w:rPr>
          <w:rFonts w:eastAsia="Calibri"/>
        </w:rPr>
        <w:t xml:space="preserve">rtificial </w:t>
      </w:r>
      <w:r w:rsidR="002635DB" w:rsidRPr="00B64995">
        <w:rPr>
          <w:rFonts w:eastAsia="Calibri"/>
        </w:rPr>
        <w:t>i</w:t>
      </w:r>
      <w:r w:rsidRPr="00B64995">
        <w:rPr>
          <w:rFonts w:eastAsia="Calibri"/>
        </w:rPr>
        <w:t>ntelligence.</w:t>
      </w:r>
    </w:p>
    <w:p w14:paraId="39DBB847" w14:textId="513CBB93" w:rsidR="1CDC2C59" w:rsidRPr="00B64995" w:rsidRDefault="1CDC2C59" w:rsidP="22948D6E">
      <w:pPr>
        <w:jc w:val="both"/>
        <w:rPr>
          <w:rFonts w:eastAsia="Calibri"/>
        </w:rPr>
      </w:pPr>
    </w:p>
    <w:p w14:paraId="0218A5E0" w14:textId="46745FD2" w:rsidR="1CDC2C59" w:rsidRPr="00B64995" w:rsidRDefault="31648EB5" w:rsidP="00464BDA">
      <w:pPr>
        <w:jc w:val="both"/>
        <w:rPr>
          <w:rFonts w:eastAsia="Calibri"/>
        </w:rPr>
      </w:pPr>
      <w:r w:rsidRPr="00B64995">
        <w:rPr>
          <w:rFonts w:eastAsia="Calibri"/>
        </w:rPr>
        <w:t xml:space="preserve">Alongside this, </w:t>
      </w:r>
      <w:r w:rsidR="00D97C70" w:rsidRPr="00B64995">
        <w:rPr>
          <w:rFonts w:eastAsia="Calibri"/>
        </w:rPr>
        <w:t xml:space="preserve">from 15 April to 13 May 2020 </w:t>
      </w:r>
      <w:r w:rsidRPr="00B64995">
        <w:rPr>
          <w:rFonts w:eastAsia="Calibri"/>
        </w:rPr>
        <w:t xml:space="preserve">a series of </w:t>
      </w:r>
      <w:r w:rsidR="00D97C70" w:rsidRPr="00B64995">
        <w:rPr>
          <w:rFonts w:eastAsia="Calibri"/>
        </w:rPr>
        <w:t xml:space="preserve">weekly </w:t>
      </w:r>
      <w:r w:rsidRPr="00B64995">
        <w:rPr>
          <w:rFonts w:eastAsia="Calibri"/>
        </w:rPr>
        <w:t xml:space="preserve">webinars on </w:t>
      </w:r>
      <w:r w:rsidR="00D97C70" w:rsidRPr="00B64995">
        <w:rPr>
          <w:rFonts w:eastAsia="Calibri"/>
        </w:rPr>
        <w:t>d</w:t>
      </w:r>
      <w:r w:rsidRPr="00B64995">
        <w:rPr>
          <w:rFonts w:eastAsia="Calibri"/>
        </w:rPr>
        <w:t xml:space="preserve">igital </w:t>
      </w:r>
      <w:r w:rsidR="00D97C70" w:rsidRPr="00B64995">
        <w:rPr>
          <w:rFonts w:eastAsia="Calibri"/>
        </w:rPr>
        <w:t>c</w:t>
      </w:r>
      <w:r w:rsidRPr="00B64995">
        <w:rPr>
          <w:rFonts w:eastAsia="Calibri"/>
        </w:rPr>
        <w:t xml:space="preserve">ooperation were organized by ITU, in partnership with relevant UN entities, including UNICEF, UNDP, UNESCO, OHCHR, UNODC and WHO. Under the theme of “Digital </w:t>
      </w:r>
      <w:r w:rsidR="00D97C70" w:rsidRPr="00B64995">
        <w:rPr>
          <w:rFonts w:eastAsia="Calibri"/>
        </w:rPr>
        <w:t>c</w:t>
      </w:r>
      <w:r w:rsidRPr="00B64995">
        <w:rPr>
          <w:rFonts w:eastAsia="Calibri"/>
        </w:rPr>
        <w:t xml:space="preserve">ooperation during COVID-19 and beyond”, the webinar series focused on how to secure safe, stable, </w:t>
      </w:r>
      <w:proofErr w:type="gramStart"/>
      <w:r w:rsidRPr="00B64995">
        <w:rPr>
          <w:rFonts w:eastAsia="Calibri"/>
        </w:rPr>
        <w:t>affordable</w:t>
      </w:r>
      <w:proofErr w:type="gramEnd"/>
      <w:r w:rsidRPr="00B64995">
        <w:rPr>
          <w:rFonts w:eastAsia="Calibri"/>
        </w:rPr>
        <w:t xml:space="preserve"> and inclusive connectivity in </w:t>
      </w:r>
      <w:r w:rsidR="00D97C70" w:rsidRPr="00B64995">
        <w:rPr>
          <w:rFonts w:eastAsia="Calibri"/>
        </w:rPr>
        <w:t xml:space="preserve">the </w:t>
      </w:r>
      <w:r w:rsidRPr="00B64995">
        <w:rPr>
          <w:rFonts w:eastAsia="Calibri"/>
        </w:rPr>
        <w:t xml:space="preserve">challenging time of </w:t>
      </w:r>
      <w:r w:rsidR="00D97C70" w:rsidRPr="00B64995">
        <w:rPr>
          <w:rFonts w:eastAsia="Calibri"/>
        </w:rPr>
        <w:t xml:space="preserve">the </w:t>
      </w:r>
      <w:r w:rsidRPr="00B64995">
        <w:rPr>
          <w:rFonts w:eastAsia="Calibri"/>
        </w:rPr>
        <w:t xml:space="preserve">COVID-19 pandemic and helped identify possible solutions and common approaches and strategies from different nations and stakeholders. In addition, ITU co-led the organization of the high-level virtual events elaborating on the Roadmap for Digital Cooperation in June, </w:t>
      </w:r>
      <w:r w:rsidR="00056037" w:rsidRPr="00B64995">
        <w:rPr>
          <w:rFonts w:eastAsia="Calibri"/>
        </w:rPr>
        <w:t xml:space="preserve">a </w:t>
      </w:r>
      <w:r w:rsidR="00D97C70" w:rsidRPr="00B64995">
        <w:rPr>
          <w:rFonts w:eastAsia="Calibri"/>
        </w:rPr>
        <w:t>y</w:t>
      </w:r>
      <w:r w:rsidRPr="00B64995">
        <w:rPr>
          <w:rFonts w:eastAsia="Calibri"/>
        </w:rPr>
        <w:t xml:space="preserve">outh media campaign </w:t>
      </w:r>
      <w:r w:rsidR="00056037" w:rsidRPr="00B64995">
        <w:rPr>
          <w:rFonts w:eastAsia="Calibri"/>
        </w:rPr>
        <w:t>called</w:t>
      </w:r>
      <w:r w:rsidRPr="00B64995">
        <w:rPr>
          <w:rFonts w:eastAsia="Calibri"/>
        </w:rPr>
        <w:t xml:space="preserve"> “Connect, Respect, and Protect” in August, and </w:t>
      </w:r>
      <w:r w:rsidR="00D97C70" w:rsidRPr="00B64995">
        <w:rPr>
          <w:rFonts w:eastAsia="Calibri"/>
        </w:rPr>
        <w:t>a h</w:t>
      </w:r>
      <w:r w:rsidRPr="00B64995">
        <w:rPr>
          <w:rFonts w:eastAsia="Calibri"/>
        </w:rPr>
        <w:t>igh-</w:t>
      </w:r>
      <w:r w:rsidR="00D97C70" w:rsidRPr="00B64995">
        <w:rPr>
          <w:rFonts w:eastAsia="Calibri"/>
        </w:rPr>
        <w:t>l</w:t>
      </w:r>
      <w:r w:rsidRPr="00B64995">
        <w:rPr>
          <w:rFonts w:eastAsia="Calibri"/>
        </w:rPr>
        <w:t xml:space="preserve">evel </w:t>
      </w:r>
      <w:r w:rsidR="00D97C70" w:rsidRPr="00B64995">
        <w:rPr>
          <w:rFonts w:eastAsia="Calibri"/>
        </w:rPr>
        <w:t>m</w:t>
      </w:r>
      <w:r w:rsidRPr="00B64995">
        <w:rPr>
          <w:rFonts w:eastAsia="Calibri"/>
        </w:rPr>
        <w:t xml:space="preserve">eeting on </w:t>
      </w:r>
      <w:r w:rsidR="00D97C70" w:rsidRPr="00B64995">
        <w:rPr>
          <w:rFonts w:eastAsia="Calibri"/>
        </w:rPr>
        <w:t>d</w:t>
      </w:r>
      <w:r w:rsidRPr="00B64995">
        <w:rPr>
          <w:rFonts w:eastAsia="Calibri"/>
        </w:rPr>
        <w:t xml:space="preserve">igital </w:t>
      </w:r>
      <w:r w:rsidR="00D97C70" w:rsidRPr="00B64995">
        <w:rPr>
          <w:rFonts w:eastAsia="Calibri"/>
        </w:rPr>
        <w:t>c</w:t>
      </w:r>
      <w:r w:rsidRPr="00B64995">
        <w:rPr>
          <w:rFonts w:eastAsia="Calibri"/>
        </w:rPr>
        <w:t xml:space="preserve">ooperation </w:t>
      </w:r>
      <w:r w:rsidR="00D97C70" w:rsidRPr="00B64995">
        <w:rPr>
          <w:rFonts w:eastAsia="Calibri"/>
        </w:rPr>
        <w:t xml:space="preserve">attended </w:t>
      </w:r>
      <w:r w:rsidRPr="00B64995">
        <w:rPr>
          <w:rFonts w:eastAsia="Calibri"/>
        </w:rPr>
        <w:t xml:space="preserve">by heads of </w:t>
      </w:r>
      <w:r w:rsidR="00D97C70" w:rsidRPr="00B64995">
        <w:rPr>
          <w:rFonts w:eastAsia="Calibri"/>
        </w:rPr>
        <w:t>S</w:t>
      </w:r>
      <w:r w:rsidRPr="00B64995">
        <w:rPr>
          <w:rFonts w:eastAsia="Calibri"/>
        </w:rPr>
        <w:t xml:space="preserve">tate and political leaders, technology industry CEOs, eminent persons, and civil society leaders, during the UN General Assembly in September 2020. As part of its contribution to the Roundtable on AI, ITU also hosted a consultation on Recommendation 3 </w:t>
      </w:r>
      <w:r w:rsidR="00EB3BDC" w:rsidRPr="00B64995">
        <w:rPr>
          <w:rFonts w:eastAsia="Calibri"/>
        </w:rPr>
        <w:t>(a</w:t>
      </w:r>
      <w:r w:rsidRPr="00B64995">
        <w:rPr>
          <w:rFonts w:eastAsia="Calibri"/>
        </w:rPr>
        <w:t xml:space="preserve">rtificial </w:t>
      </w:r>
      <w:r w:rsidR="00EB3BDC" w:rsidRPr="00B64995">
        <w:rPr>
          <w:rFonts w:eastAsia="Calibri"/>
        </w:rPr>
        <w:t>i</w:t>
      </w:r>
      <w:r w:rsidRPr="00B64995">
        <w:rPr>
          <w:rFonts w:eastAsia="Calibri"/>
        </w:rPr>
        <w:t>ntelligence</w:t>
      </w:r>
      <w:r w:rsidR="00EB3BDC" w:rsidRPr="00B64995">
        <w:rPr>
          <w:rFonts w:eastAsia="Calibri"/>
        </w:rPr>
        <w:t>)</w:t>
      </w:r>
      <w:r w:rsidR="00D97C70" w:rsidRPr="00B64995">
        <w:rPr>
          <w:rFonts w:eastAsia="Calibri"/>
        </w:rPr>
        <w:t xml:space="preserve"> at</w:t>
      </w:r>
      <w:r w:rsidRPr="00B64995">
        <w:rPr>
          <w:rFonts w:eastAsia="Calibri"/>
        </w:rPr>
        <w:t xml:space="preserve"> its </w:t>
      </w:r>
      <w:r w:rsidR="00D97C70" w:rsidRPr="00B64995">
        <w:rPr>
          <w:rFonts w:eastAsia="Calibri"/>
        </w:rPr>
        <w:t>“</w:t>
      </w:r>
      <w:r w:rsidRPr="00B64995">
        <w:rPr>
          <w:rFonts w:eastAsia="Calibri"/>
        </w:rPr>
        <w:t>AI Safety and Ethics for Self-Driving</w:t>
      </w:r>
      <w:r w:rsidR="00D97C70" w:rsidRPr="00B64995">
        <w:rPr>
          <w:rFonts w:eastAsia="Calibri"/>
        </w:rPr>
        <w:t>” meeting</w:t>
      </w:r>
      <w:r w:rsidRPr="00B64995">
        <w:rPr>
          <w:rFonts w:eastAsia="Calibri"/>
        </w:rPr>
        <w:t xml:space="preserve"> in October 2020 to discuss the safe and ethical development of AI on our roads with a diverse set of key stakeholders from the AI for Good community.</w:t>
      </w:r>
    </w:p>
    <w:p w14:paraId="6AF3EA0D" w14:textId="4DBAB36A" w:rsidR="1CDC2C59" w:rsidRPr="00B64995" w:rsidRDefault="1CDC2C59" w:rsidP="22948D6E">
      <w:pPr>
        <w:jc w:val="both"/>
        <w:rPr>
          <w:rFonts w:eastAsia="Calibri"/>
          <w:b/>
          <w:bCs/>
        </w:rPr>
      </w:pPr>
    </w:p>
    <w:p w14:paraId="380FFA13" w14:textId="798CD307" w:rsidR="31648EB5" w:rsidRPr="00B64995" w:rsidRDefault="31648EB5" w:rsidP="00464BDA">
      <w:pPr>
        <w:jc w:val="both"/>
        <w:rPr>
          <w:rFonts w:eastAsia="Calibri"/>
        </w:rPr>
      </w:pPr>
      <w:r w:rsidRPr="00B64995">
        <w:rPr>
          <w:rFonts w:eastAsia="Calibri"/>
        </w:rPr>
        <w:t xml:space="preserve">ITU continues to work closely with the office of the UN Secretary-General, sister UN agencies and key constituents of the Roundtable groups, composed of </w:t>
      </w:r>
      <w:r w:rsidR="00D97C70" w:rsidRPr="00B64995">
        <w:rPr>
          <w:rFonts w:eastAsia="Calibri"/>
        </w:rPr>
        <w:t xml:space="preserve">representatives of </w:t>
      </w:r>
      <w:r w:rsidRPr="00B64995">
        <w:rPr>
          <w:rFonts w:eastAsia="Calibri"/>
        </w:rPr>
        <w:t>governments, private sector and civil society, this year more focusing on the implementation of key actions outlined in the Roadmap for Digital Cooperation.</w:t>
      </w:r>
    </w:p>
    <w:p w14:paraId="3A535118" w14:textId="0EDE050B" w:rsidR="22948D6E" w:rsidRPr="00B64995" w:rsidRDefault="22948D6E" w:rsidP="22948D6E">
      <w:pPr>
        <w:jc w:val="both"/>
        <w:rPr>
          <w:rFonts w:eastAsia="Calibri"/>
          <w:b/>
          <w:bCs/>
        </w:rPr>
      </w:pPr>
    </w:p>
    <w:p w14:paraId="00E36F46" w14:textId="57ACABFF" w:rsidR="00951E14" w:rsidRPr="00B64995" w:rsidRDefault="00951E14" w:rsidP="00A83DAA">
      <w:pPr>
        <w:pStyle w:val="Heading5"/>
      </w:pPr>
      <w:r w:rsidRPr="00B64995">
        <w:t xml:space="preserve">G20 – ITU as </w:t>
      </w:r>
      <w:r w:rsidR="00D97C70" w:rsidRPr="00B64995">
        <w:t>k</w:t>
      </w:r>
      <w:r w:rsidRPr="00B64995">
        <w:t xml:space="preserve">nowledge </w:t>
      </w:r>
      <w:r w:rsidR="00D97C70" w:rsidRPr="00B64995">
        <w:t>p</w:t>
      </w:r>
      <w:r w:rsidRPr="00B64995">
        <w:t>artners</w:t>
      </w:r>
    </w:p>
    <w:p w14:paraId="18E017FF" w14:textId="1C092215" w:rsidR="0049723A" w:rsidRPr="00B64995" w:rsidRDefault="00951E14" w:rsidP="00464BDA">
      <w:pPr>
        <w:shd w:val="clear" w:color="auto" w:fill="FFFFFF" w:themeFill="background1"/>
        <w:jc w:val="both"/>
        <w:rPr>
          <w:rFonts w:eastAsiaTheme="minorEastAsia"/>
        </w:rPr>
      </w:pPr>
      <w:r w:rsidRPr="00B64995">
        <w:rPr>
          <w:rFonts w:eastAsiaTheme="minorEastAsia"/>
        </w:rPr>
        <w:t>G20 leaders recognize the vast potential of ICTs for advancing the work towards the SDGs through promoting digitalization for all.</w:t>
      </w:r>
      <w:r w:rsidR="553CFD77" w:rsidRPr="00B64995">
        <w:rPr>
          <w:rFonts w:eastAsiaTheme="minorEastAsia"/>
        </w:rPr>
        <w:t xml:space="preserve"> </w:t>
      </w:r>
      <w:r w:rsidR="00EB3BDC" w:rsidRPr="00B64995">
        <w:rPr>
          <w:rFonts w:eastAsiaTheme="minorEastAsia"/>
        </w:rPr>
        <w:t xml:space="preserve">In 2020 </w:t>
      </w:r>
      <w:r w:rsidR="4AFAA3BE" w:rsidRPr="00B64995">
        <w:t xml:space="preserve">ITU </w:t>
      </w:r>
      <w:r w:rsidR="00EB3BDC" w:rsidRPr="00B64995">
        <w:t xml:space="preserve">provided </w:t>
      </w:r>
      <w:r w:rsidR="4AFAA3BE" w:rsidRPr="00B64995">
        <w:t>support</w:t>
      </w:r>
      <w:r w:rsidR="00EB3BDC" w:rsidRPr="00B64995">
        <w:t xml:space="preserve"> to</w:t>
      </w:r>
      <w:r w:rsidR="4AFAA3BE" w:rsidRPr="00B64995">
        <w:t xml:space="preserve"> the G20 </w:t>
      </w:r>
      <w:r w:rsidR="00EB3BDC" w:rsidRPr="00B64995">
        <w:t>p</w:t>
      </w:r>
      <w:r w:rsidR="4AFAA3BE" w:rsidRPr="00B64995">
        <w:t>residency</w:t>
      </w:r>
      <w:r w:rsidR="00EB3BDC" w:rsidRPr="00B64995">
        <w:t xml:space="preserve"> at the request of the incumbent, </w:t>
      </w:r>
      <w:r w:rsidR="4AFAA3BE" w:rsidRPr="00B64995">
        <w:t xml:space="preserve">the Kingdom of Saudi Arabia, as a knowledge partner on various tracks, including the G20's Digital Health </w:t>
      </w:r>
      <w:r w:rsidR="00EB3BDC" w:rsidRPr="00B64995">
        <w:t xml:space="preserve">Taskforce </w:t>
      </w:r>
      <w:r w:rsidR="4AFAA3BE" w:rsidRPr="00B64995">
        <w:t xml:space="preserve">and the </w:t>
      </w:r>
      <w:r w:rsidR="00B1410F" w:rsidRPr="00B64995">
        <w:t>“</w:t>
      </w:r>
      <w:r w:rsidR="4AFAA3BE" w:rsidRPr="00B64995">
        <w:t>Security in the Digital Economy</w:t>
      </w:r>
      <w:r w:rsidR="00B1410F" w:rsidRPr="00B64995">
        <w:t>”</w:t>
      </w:r>
      <w:r w:rsidR="4AFAA3BE" w:rsidRPr="00B64995">
        <w:t xml:space="preserve"> </w:t>
      </w:r>
      <w:r w:rsidR="00B1410F" w:rsidRPr="00B64995">
        <w:t>p</w:t>
      </w:r>
      <w:r w:rsidR="4AFAA3BE" w:rsidRPr="00B64995">
        <w:t xml:space="preserve">riority, as part of the multistakeholder effort undertaken by the G20 </w:t>
      </w:r>
      <w:r w:rsidR="000518CC" w:rsidRPr="00B64995">
        <w:t>s</w:t>
      </w:r>
      <w:r w:rsidR="4AFAA3BE" w:rsidRPr="00B64995">
        <w:t>ecretariat in engaging relevant international organizations.</w:t>
      </w:r>
    </w:p>
    <w:p w14:paraId="53DACD14" w14:textId="2FCE5002" w:rsidR="06B49A18" w:rsidRPr="00B64995" w:rsidRDefault="06B49A18" w:rsidP="22948D6E">
      <w:pPr>
        <w:shd w:val="clear" w:color="auto" w:fill="FFFFFF" w:themeFill="background1"/>
        <w:jc w:val="both"/>
        <w:rPr>
          <w:rFonts w:eastAsia="Calibri"/>
        </w:rPr>
      </w:pPr>
    </w:p>
    <w:p w14:paraId="099B6B61" w14:textId="730FB4A9" w:rsidR="00E12CC2" w:rsidRPr="00A060FE" w:rsidRDefault="7EB9612C" w:rsidP="0012722A">
      <w:pPr>
        <w:pStyle w:val="NormalWeb"/>
        <w:shd w:val="clear" w:color="auto" w:fill="FFFFFF" w:themeFill="background1"/>
        <w:spacing w:before="0" w:beforeAutospacing="0" w:after="0" w:afterAutospacing="0"/>
        <w:jc w:val="both"/>
        <w:rPr>
          <w:rFonts w:eastAsiaTheme="minorEastAsia" w:cs="Calibri"/>
          <w:sz w:val="22"/>
          <w:szCs w:val="22"/>
          <w:lang w:val="en-GB"/>
        </w:rPr>
      </w:pPr>
      <w:r w:rsidRPr="00B64995">
        <w:rPr>
          <w:rFonts w:eastAsiaTheme="minorEastAsia" w:cs="Calibri"/>
          <w:sz w:val="22"/>
          <w:szCs w:val="22"/>
          <w:lang w:val="en-GB"/>
        </w:rPr>
        <w:t xml:space="preserve">Along with other international organizations, ITU also supported the G20 to </w:t>
      </w:r>
      <w:r w:rsidR="00951E14" w:rsidRPr="00B64995">
        <w:rPr>
          <w:rFonts w:eastAsiaTheme="minorEastAsia" w:cs="Calibri"/>
          <w:sz w:val="22"/>
          <w:szCs w:val="22"/>
          <w:lang w:val="en-GB"/>
        </w:rPr>
        <w:t>move the agenda on the digital economy forward</w:t>
      </w:r>
      <w:r w:rsidR="3A8753A1" w:rsidRPr="00B64995">
        <w:rPr>
          <w:rFonts w:eastAsiaTheme="minorEastAsia" w:cs="Calibri"/>
          <w:sz w:val="22"/>
          <w:szCs w:val="22"/>
          <w:lang w:val="en-GB"/>
        </w:rPr>
        <w:t xml:space="preserve"> </w:t>
      </w:r>
      <w:r w:rsidR="00951E14" w:rsidRPr="00B64995">
        <w:rPr>
          <w:rFonts w:eastAsiaTheme="minorEastAsia" w:cs="Calibri"/>
          <w:sz w:val="22"/>
          <w:szCs w:val="22"/>
          <w:lang w:val="en-GB"/>
        </w:rPr>
        <w:t>and provide</w:t>
      </w:r>
      <w:r w:rsidR="4E238D6D" w:rsidRPr="00B64995">
        <w:rPr>
          <w:rFonts w:eastAsiaTheme="minorEastAsia" w:cs="Calibri"/>
          <w:sz w:val="22"/>
          <w:szCs w:val="22"/>
          <w:lang w:val="en-GB"/>
        </w:rPr>
        <w:t>d</w:t>
      </w:r>
      <w:r w:rsidR="00951E14" w:rsidRPr="00B64995">
        <w:rPr>
          <w:rFonts w:eastAsiaTheme="minorEastAsia" w:cs="Calibri"/>
          <w:sz w:val="22"/>
          <w:szCs w:val="22"/>
          <w:lang w:val="en-GB"/>
        </w:rPr>
        <w:t xml:space="preserve"> expertise on accelerating ICT growth, </w:t>
      </w:r>
      <w:proofErr w:type="gramStart"/>
      <w:r w:rsidR="00951E14" w:rsidRPr="00B64995">
        <w:rPr>
          <w:rFonts w:eastAsiaTheme="minorEastAsia" w:cs="Calibri"/>
          <w:sz w:val="22"/>
          <w:szCs w:val="22"/>
          <w:lang w:val="en-GB"/>
        </w:rPr>
        <w:t>development</w:t>
      </w:r>
      <w:proofErr w:type="gramEnd"/>
      <w:r w:rsidR="00951E14" w:rsidRPr="00B64995">
        <w:rPr>
          <w:rFonts w:eastAsiaTheme="minorEastAsia" w:cs="Calibri"/>
          <w:sz w:val="22"/>
          <w:szCs w:val="22"/>
          <w:lang w:val="en-GB"/>
        </w:rPr>
        <w:t xml:space="preserve"> and innovation.</w:t>
      </w:r>
      <w:r w:rsidR="00003371" w:rsidRPr="00B64995">
        <w:rPr>
          <w:rFonts w:eastAsiaTheme="minorEastAsia" w:cs="Calibri"/>
          <w:sz w:val="22"/>
          <w:szCs w:val="22"/>
          <w:lang w:val="en-GB"/>
        </w:rPr>
        <w:t xml:space="preserve"> </w:t>
      </w:r>
      <w:r w:rsidR="00F77099" w:rsidRPr="00B64995">
        <w:rPr>
          <w:rFonts w:eastAsiaTheme="minorEastAsia" w:cs="Calibri"/>
          <w:sz w:val="22"/>
          <w:szCs w:val="22"/>
          <w:lang w:val="en-GB"/>
        </w:rPr>
        <w:t>I</w:t>
      </w:r>
      <w:proofErr w:type="spellStart"/>
      <w:r w:rsidR="00F77099" w:rsidRPr="00B87922">
        <w:rPr>
          <w:rFonts w:eastAsiaTheme="minorEastAsia"/>
        </w:rPr>
        <w:t>n</w:t>
      </w:r>
      <w:proofErr w:type="spellEnd"/>
      <w:r w:rsidR="00F77099" w:rsidRPr="00B87922">
        <w:rPr>
          <w:rFonts w:eastAsiaTheme="minorEastAsia"/>
        </w:rPr>
        <w:t xml:space="preserve"> line with this, </w:t>
      </w:r>
      <w:hyperlink r:id="rId381" w:tgtFrame="_blank" w:history="1">
        <w:r w:rsidR="00F77099" w:rsidRPr="00B87922">
          <w:rPr>
            <w:rFonts w:eastAsiaTheme="minorEastAsia"/>
          </w:rPr>
          <w:t>a study on "Connecting Humanity"</w:t>
        </w:r>
      </w:hyperlink>
      <w:r w:rsidR="00F77099" w:rsidRPr="00B87922">
        <w:rPr>
          <w:rFonts w:eastAsiaTheme="minorEastAsia"/>
        </w:rPr>
        <w:t xml:space="preserve"> was developed, with the support of the Kingdom of Saudi Arabia, that estimates the investment needed to achieve universal, affordable broadband connectivity for all </w:t>
      </w:r>
      <w:r w:rsidR="0004676A" w:rsidRPr="00B87922">
        <w:rPr>
          <w:rFonts w:eastAsiaTheme="minorEastAsia"/>
        </w:rPr>
        <w:t xml:space="preserve">of </w:t>
      </w:r>
      <w:r w:rsidR="00F77099" w:rsidRPr="00B87922">
        <w:rPr>
          <w:rFonts w:eastAsiaTheme="minorEastAsia"/>
        </w:rPr>
        <w:t>humanity by the end of this decade. The report was presented at the G20 Digital Economy Task Force meeting in July 2020.</w:t>
      </w:r>
    </w:p>
    <w:p w14:paraId="2B16C3B2" w14:textId="7596085D" w:rsidR="0BB4FF61" w:rsidRPr="00B64995" w:rsidRDefault="0BB4FF61" w:rsidP="0BB4FF61">
      <w:pPr>
        <w:shd w:val="clear" w:color="auto" w:fill="FFFFFF" w:themeFill="background1"/>
        <w:jc w:val="both"/>
        <w:rPr>
          <w:rFonts w:eastAsiaTheme="minorEastAsia"/>
          <w:b/>
          <w:bCs/>
        </w:rPr>
      </w:pPr>
    </w:p>
    <w:p w14:paraId="176A9A36" w14:textId="3B39D8E7" w:rsidR="00951E14" w:rsidRPr="00B64995" w:rsidRDefault="0B4F5625" w:rsidP="00A83DAA">
      <w:pPr>
        <w:pStyle w:val="Heading5"/>
      </w:pPr>
      <w:r w:rsidRPr="00B64995">
        <w:t>ITU, a trusted partner</w:t>
      </w:r>
    </w:p>
    <w:p w14:paraId="629944AD" w14:textId="4802FD60" w:rsidR="00951E14" w:rsidRPr="00B64995" w:rsidRDefault="7F380CD7" w:rsidP="00614D53">
      <w:pPr>
        <w:adjustRightInd w:val="0"/>
        <w:snapToGrid w:val="0"/>
        <w:spacing w:after="120"/>
        <w:jc w:val="both"/>
        <w:rPr>
          <w:rFonts w:eastAsiaTheme="minorEastAsia"/>
        </w:rPr>
      </w:pPr>
      <w:r w:rsidRPr="00B64995">
        <w:rPr>
          <w:rFonts w:eastAsiaTheme="minorEastAsia"/>
        </w:rPr>
        <w:t xml:space="preserve">In addition to the above-mentioned initiatives, ITU has continued to contribute to </w:t>
      </w:r>
      <w:proofErr w:type="gramStart"/>
      <w:r w:rsidRPr="00B64995">
        <w:rPr>
          <w:rFonts w:eastAsiaTheme="minorEastAsia"/>
        </w:rPr>
        <w:t>a large number of</w:t>
      </w:r>
      <w:proofErr w:type="gramEnd"/>
      <w:r w:rsidRPr="00B64995">
        <w:rPr>
          <w:rFonts w:eastAsiaTheme="minorEastAsia"/>
        </w:rPr>
        <w:t xml:space="preserve"> partnerships and to work in close collaboration with relevant </w:t>
      </w:r>
      <w:r w:rsidR="63A205CD" w:rsidRPr="00B64995">
        <w:rPr>
          <w:rFonts w:eastAsiaTheme="minorEastAsia"/>
        </w:rPr>
        <w:t xml:space="preserve">organizations </w:t>
      </w:r>
      <w:r w:rsidRPr="00B64995">
        <w:rPr>
          <w:rFonts w:eastAsiaTheme="minorEastAsia"/>
        </w:rPr>
        <w:t>as part of the daily work on the Union.</w:t>
      </w:r>
      <w:r w:rsidR="2423D952" w:rsidRPr="00B64995">
        <w:rPr>
          <w:rFonts w:eastAsiaTheme="minorEastAsia"/>
        </w:rPr>
        <w:t xml:space="preserve"> This section presents a selection of these partnershi</w:t>
      </w:r>
      <w:r w:rsidR="3F46524D" w:rsidRPr="00B64995">
        <w:rPr>
          <w:rFonts w:eastAsiaTheme="minorEastAsia"/>
        </w:rPr>
        <w:t>p</w:t>
      </w:r>
      <w:r w:rsidR="2423D952" w:rsidRPr="00B64995">
        <w:rPr>
          <w:rFonts w:eastAsiaTheme="minorEastAsia"/>
        </w:rPr>
        <w:t>s.</w:t>
      </w:r>
    </w:p>
    <w:p w14:paraId="0BC928D8" w14:textId="68E0F907" w:rsidR="000469CD" w:rsidRPr="00B64995" w:rsidRDefault="24FEB663" w:rsidP="00B65153">
      <w:pPr>
        <w:pStyle w:val="ListParagraph"/>
        <w:numPr>
          <w:ilvl w:val="0"/>
          <w:numId w:val="29"/>
        </w:numPr>
        <w:adjustRightInd w:val="0"/>
        <w:snapToGrid w:val="0"/>
        <w:spacing w:after="120"/>
        <w:jc w:val="both"/>
        <w:rPr>
          <w:rFonts w:eastAsiaTheme="minorEastAsia" w:cs="Calibri"/>
          <w:lang w:val="en-GB"/>
        </w:rPr>
      </w:pPr>
      <w:r w:rsidRPr="00B64995">
        <w:rPr>
          <w:rFonts w:eastAsiaTheme="minorEastAsia" w:cs="Calibri"/>
          <w:i/>
          <w:iCs/>
          <w:lang w:val="en-GB"/>
        </w:rPr>
        <w:t xml:space="preserve">Radiocommunications. </w:t>
      </w:r>
      <w:r w:rsidR="043736A8" w:rsidRPr="00B64995">
        <w:rPr>
          <w:rFonts w:eastAsiaTheme="minorEastAsia" w:cs="Calibri"/>
          <w:lang w:val="en-GB"/>
        </w:rPr>
        <w:t xml:space="preserve">The ITU’s Bureau of Radiocommunication </w:t>
      </w:r>
      <w:r w:rsidR="3D87E8C2" w:rsidRPr="00B64995">
        <w:rPr>
          <w:rFonts w:eastAsiaTheme="minorEastAsia" w:cs="Calibri"/>
          <w:lang w:val="en-GB"/>
        </w:rPr>
        <w:t xml:space="preserve">(BR) </w:t>
      </w:r>
      <w:r w:rsidR="043736A8" w:rsidRPr="00B64995">
        <w:rPr>
          <w:rFonts w:eastAsiaTheme="minorEastAsia" w:cs="Calibri"/>
          <w:lang w:val="en-GB"/>
        </w:rPr>
        <w:t>continues its close cooperation with relevant international and regional organizations dealing with the use of spectrum, including the Regional Telecommunication Organizations (APT, ASMG, ATU, CEPT, CITEL and RCC); broadcasting organizations (ABU, ASBU, EBU and HFCC); and those focused on the use of specific radiocommunication systems and services (</w:t>
      </w:r>
      <w:proofErr w:type="gramStart"/>
      <w:r w:rsidR="043736A8" w:rsidRPr="00B64995">
        <w:rPr>
          <w:rFonts w:eastAsiaTheme="minorEastAsia" w:cs="Calibri"/>
          <w:i/>
          <w:iCs/>
          <w:lang w:val="en-GB"/>
        </w:rPr>
        <w:t>e.g.</w:t>
      </w:r>
      <w:proofErr w:type="gramEnd"/>
      <w:r w:rsidR="043736A8" w:rsidRPr="00B64995">
        <w:rPr>
          <w:rFonts w:eastAsiaTheme="minorEastAsia" w:cs="Calibri"/>
          <w:lang w:val="en-GB"/>
        </w:rPr>
        <w:t xml:space="preserve"> ITSO, ESOA, GVF, GSMA)</w:t>
      </w:r>
      <w:r w:rsidR="4908064F" w:rsidRPr="00B64995">
        <w:rPr>
          <w:rFonts w:eastAsiaTheme="minorEastAsia" w:cs="Calibri"/>
          <w:lang w:val="en-GB"/>
        </w:rPr>
        <w:t xml:space="preserve">. Examples of joint work with these organizations include the </w:t>
      </w:r>
      <w:r w:rsidR="043736A8" w:rsidRPr="00B64995">
        <w:rPr>
          <w:rFonts w:eastAsiaTheme="minorEastAsia" w:cs="Calibri"/>
          <w:lang w:val="en-GB"/>
        </w:rPr>
        <w:t>organiz</w:t>
      </w:r>
      <w:r w:rsidR="4293C8FB" w:rsidRPr="00B64995">
        <w:rPr>
          <w:rFonts w:eastAsiaTheme="minorEastAsia" w:cs="Calibri"/>
          <w:lang w:val="en-GB"/>
        </w:rPr>
        <w:t>ation</w:t>
      </w:r>
      <w:r w:rsidR="043736A8" w:rsidRPr="00B64995">
        <w:rPr>
          <w:rFonts w:eastAsiaTheme="minorEastAsia" w:cs="Calibri"/>
          <w:lang w:val="en-GB"/>
        </w:rPr>
        <w:t xml:space="preserve">, </w:t>
      </w:r>
      <w:proofErr w:type="gramStart"/>
      <w:r w:rsidR="043736A8" w:rsidRPr="00B64995">
        <w:rPr>
          <w:rFonts w:eastAsiaTheme="minorEastAsia" w:cs="Calibri"/>
          <w:lang w:val="en-GB"/>
        </w:rPr>
        <w:t>promoti</w:t>
      </w:r>
      <w:r w:rsidR="234A738E" w:rsidRPr="00B64995">
        <w:rPr>
          <w:rFonts w:eastAsiaTheme="minorEastAsia" w:cs="Calibri"/>
          <w:lang w:val="en-GB"/>
        </w:rPr>
        <w:t>on</w:t>
      </w:r>
      <w:proofErr w:type="gramEnd"/>
      <w:r w:rsidR="043736A8" w:rsidRPr="00B64995">
        <w:rPr>
          <w:rFonts w:eastAsiaTheme="minorEastAsia" w:cs="Calibri"/>
          <w:lang w:val="en-GB"/>
        </w:rPr>
        <w:t xml:space="preserve"> and participati</w:t>
      </w:r>
      <w:r w:rsidR="0737DF64" w:rsidRPr="00B64995">
        <w:rPr>
          <w:rFonts w:eastAsiaTheme="minorEastAsia" w:cs="Calibri"/>
          <w:lang w:val="en-GB"/>
        </w:rPr>
        <w:t>on</w:t>
      </w:r>
      <w:r w:rsidR="043736A8" w:rsidRPr="00B64995">
        <w:rPr>
          <w:rFonts w:eastAsiaTheme="minorEastAsia" w:cs="Calibri"/>
          <w:lang w:val="en-GB"/>
        </w:rPr>
        <w:t xml:space="preserve"> in events to build capacity on the use of the Radio Regulations, including World </w:t>
      </w:r>
      <w:r w:rsidR="043736A8" w:rsidRPr="00B64995">
        <w:rPr>
          <w:rFonts w:eastAsiaTheme="minorEastAsia" w:cs="Calibri"/>
          <w:lang w:val="en-GB"/>
        </w:rPr>
        <w:lastRenderedPageBreak/>
        <w:t>Radiocommunication Seminars and Regional Radiocommunication Seminars.</w:t>
      </w:r>
      <w:r w:rsidR="03031374" w:rsidRPr="00B64995">
        <w:rPr>
          <w:rFonts w:eastAsiaTheme="minorEastAsia" w:cs="Calibri"/>
          <w:lang w:val="en-GB"/>
        </w:rPr>
        <w:t xml:space="preserve"> </w:t>
      </w:r>
      <w:r w:rsidR="2384D18E" w:rsidRPr="00B64995">
        <w:rPr>
          <w:rFonts w:eastAsiaTheme="minorEastAsia" w:cs="Calibri"/>
          <w:lang w:val="en-GB"/>
        </w:rPr>
        <w:t xml:space="preserve">BR </w:t>
      </w:r>
      <w:r w:rsidR="37FE5607" w:rsidRPr="00B64995">
        <w:rPr>
          <w:rFonts w:eastAsiaTheme="minorEastAsia" w:cs="Calibri"/>
          <w:lang w:val="en-GB"/>
        </w:rPr>
        <w:t xml:space="preserve">has </w:t>
      </w:r>
      <w:r w:rsidR="47152916" w:rsidRPr="00B64995">
        <w:rPr>
          <w:rFonts w:eastAsiaTheme="minorEastAsia" w:cs="Calibri"/>
          <w:lang w:val="en-GB"/>
        </w:rPr>
        <w:t xml:space="preserve">also </w:t>
      </w:r>
      <w:r w:rsidR="37FE5607" w:rsidRPr="00B64995">
        <w:rPr>
          <w:rFonts w:eastAsiaTheme="minorEastAsia" w:cs="Calibri"/>
          <w:lang w:val="en-GB"/>
        </w:rPr>
        <w:t xml:space="preserve">continued to liaise and cooperate </w:t>
      </w:r>
      <w:r w:rsidR="7930EBA1" w:rsidRPr="00B64995">
        <w:rPr>
          <w:rFonts w:eastAsiaTheme="minorEastAsia" w:cs="Calibri"/>
          <w:lang w:val="en-GB"/>
        </w:rPr>
        <w:t xml:space="preserve">with </w:t>
      </w:r>
      <w:r w:rsidR="2FB55450" w:rsidRPr="00B64995">
        <w:rPr>
          <w:rFonts w:eastAsiaTheme="minorEastAsia" w:cs="Calibri"/>
          <w:lang w:val="en-GB"/>
        </w:rPr>
        <w:t>organizations</w:t>
      </w:r>
      <w:r w:rsidR="7930EBA1" w:rsidRPr="00B64995">
        <w:rPr>
          <w:rFonts w:eastAsiaTheme="minorEastAsia" w:cs="Calibri"/>
          <w:lang w:val="en-GB"/>
        </w:rPr>
        <w:t xml:space="preserve"> such as </w:t>
      </w:r>
      <w:r w:rsidR="043736A8" w:rsidRPr="00B64995">
        <w:rPr>
          <w:rFonts w:eastAsiaTheme="minorEastAsia" w:cs="Calibri"/>
          <w:lang w:val="en-GB"/>
        </w:rPr>
        <w:t xml:space="preserve">the UN Committee on the Peaceful Uses of Outer Space (UN-COPUOS), the International Maritime Organization (IMO), the International Maritime Satellite Organization (IMSO), </w:t>
      </w:r>
      <w:r w:rsidR="4EC12E4B" w:rsidRPr="00B64995">
        <w:rPr>
          <w:rFonts w:eastAsiaTheme="minorEastAsia" w:cs="Calibri"/>
          <w:lang w:val="en-GB"/>
        </w:rPr>
        <w:t xml:space="preserve">the </w:t>
      </w:r>
      <w:r w:rsidR="043736A8" w:rsidRPr="00B64995">
        <w:rPr>
          <w:rFonts w:eastAsiaTheme="minorEastAsia" w:cs="Calibri"/>
          <w:lang w:val="en-GB"/>
        </w:rPr>
        <w:t xml:space="preserve">Bureau International des </w:t>
      </w:r>
      <w:proofErr w:type="spellStart"/>
      <w:r w:rsidR="043736A8" w:rsidRPr="00B64995">
        <w:rPr>
          <w:rFonts w:eastAsiaTheme="minorEastAsia" w:cs="Calibri"/>
          <w:lang w:val="en-GB"/>
        </w:rPr>
        <w:t>Poids</w:t>
      </w:r>
      <w:proofErr w:type="spellEnd"/>
      <w:r w:rsidR="043736A8" w:rsidRPr="00B64995">
        <w:rPr>
          <w:rFonts w:eastAsiaTheme="minorEastAsia" w:cs="Calibri"/>
          <w:lang w:val="en-GB"/>
        </w:rPr>
        <w:t xml:space="preserve"> et </w:t>
      </w:r>
      <w:proofErr w:type="spellStart"/>
      <w:r w:rsidR="043736A8" w:rsidRPr="00B64995">
        <w:rPr>
          <w:rFonts w:eastAsiaTheme="minorEastAsia" w:cs="Calibri"/>
          <w:lang w:val="en-GB"/>
        </w:rPr>
        <w:t>Mesures</w:t>
      </w:r>
      <w:proofErr w:type="spellEnd"/>
      <w:r w:rsidR="043736A8" w:rsidRPr="00B64995">
        <w:rPr>
          <w:rFonts w:eastAsiaTheme="minorEastAsia" w:cs="Calibri"/>
          <w:lang w:val="en-GB"/>
        </w:rPr>
        <w:t xml:space="preserve"> (BIPM), the International Telecommunications Satellite Organization (ITSO), COSPAS-SARSAT, the International Committee of the Red Cross (CICR) </w:t>
      </w:r>
      <w:r w:rsidR="62C67302" w:rsidRPr="00B64995">
        <w:rPr>
          <w:rFonts w:eastAsiaTheme="minorEastAsia" w:cs="Calibri"/>
          <w:lang w:val="en-GB"/>
        </w:rPr>
        <w:t xml:space="preserve">or </w:t>
      </w:r>
      <w:r w:rsidR="043736A8" w:rsidRPr="00B64995">
        <w:rPr>
          <w:rFonts w:eastAsiaTheme="minorEastAsia" w:cs="Calibri"/>
          <w:lang w:val="en-GB"/>
        </w:rPr>
        <w:t>the International Civil Aviation Organization (ICAO</w:t>
      </w:r>
      <w:proofErr w:type="gramStart"/>
      <w:r w:rsidR="043736A8" w:rsidRPr="00B64995">
        <w:rPr>
          <w:rFonts w:eastAsiaTheme="minorEastAsia" w:cs="Calibri"/>
          <w:lang w:val="en-GB"/>
        </w:rPr>
        <w:t>)</w:t>
      </w:r>
      <w:r w:rsidR="00535029" w:rsidRPr="00B64995">
        <w:rPr>
          <w:rFonts w:eastAsiaTheme="minorEastAsia" w:cs="Calibri"/>
          <w:lang w:val="en-GB"/>
        </w:rPr>
        <w:t>;</w:t>
      </w:r>
      <w:proofErr w:type="gramEnd"/>
    </w:p>
    <w:p w14:paraId="24621938" w14:textId="3C92A9F6" w:rsidR="00951E14" w:rsidRPr="00B64995" w:rsidRDefault="515CC0D5" w:rsidP="22948D6E">
      <w:pPr>
        <w:pStyle w:val="ListParagraph"/>
        <w:numPr>
          <w:ilvl w:val="0"/>
          <w:numId w:val="29"/>
        </w:numPr>
        <w:adjustRightInd w:val="0"/>
        <w:snapToGrid w:val="0"/>
        <w:spacing w:after="120"/>
        <w:jc w:val="both"/>
        <w:rPr>
          <w:rFonts w:eastAsiaTheme="minorEastAsia" w:cs="Calibri"/>
          <w:lang w:val="en-GB"/>
        </w:rPr>
      </w:pPr>
      <w:r w:rsidRPr="00B64995">
        <w:rPr>
          <w:rFonts w:eastAsiaTheme="minorEastAsia" w:cs="Calibri"/>
          <w:i/>
          <w:iCs/>
          <w:lang w:val="en-GB"/>
        </w:rPr>
        <w:t xml:space="preserve">Cybersecurity. </w:t>
      </w:r>
      <w:r w:rsidR="043736A8" w:rsidRPr="00B64995">
        <w:rPr>
          <w:rFonts w:eastAsiaTheme="minorEastAsia" w:cs="Calibri"/>
          <w:lang w:val="en-GB"/>
        </w:rPr>
        <w:t xml:space="preserve">ITU </w:t>
      </w:r>
      <w:r w:rsidR="752DCC81" w:rsidRPr="00B64995">
        <w:rPr>
          <w:rFonts w:eastAsiaTheme="minorEastAsia" w:cs="Calibri"/>
          <w:lang w:val="en-GB"/>
        </w:rPr>
        <w:t xml:space="preserve">continues to develop </w:t>
      </w:r>
      <w:r w:rsidR="00951E14" w:rsidRPr="00B64995">
        <w:rPr>
          <w:rFonts w:eastAsiaTheme="minorEastAsia" w:cs="Calibri"/>
          <w:lang w:val="en-GB"/>
        </w:rPr>
        <w:t xml:space="preserve">relationships and </w:t>
      </w:r>
      <w:r w:rsidR="3CDA2EBA" w:rsidRPr="00B64995">
        <w:rPr>
          <w:rFonts w:eastAsiaTheme="minorEastAsia" w:cs="Calibri"/>
          <w:lang w:val="en-GB"/>
        </w:rPr>
        <w:t>partnerships</w:t>
      </w:r>
      <w:r w:rsidR="00951E14" w:rsidRPr="00B64995">
        <w:rPr>
          <w:rFonts w:eastAsiaTheme="minorEastAsia" w:cs="Calibri"/>
          <w:lang w:val="en-GB"/>
        </w:rPr>
        <w:t xml:space="preserve"> with various regional/international organizations and initiatives on cybersecurity, including Commonwealth Cybercrime Initiative, ENISA, INTERPOL, ECOWAS, the World Bank, FIRST, and regional CSIRT/CERT associations, such as AP CERT, AFRICA CERT, and OIC </w:t>
      </w:r>
      <w:proofErr w:type="gramStart"/>
      <w:r w:rsidR="00951E14" w:rsidRPr="00B64995">
        <w:rPr>
          <w:rFonts w:eastAsiaTheme="minorEastAsia" w:cs="Calibri"/>
          <w:lang w:val="en-GB"/>
        </w:rPr>
        <w:t>CERT</w:t>
      </w:r>
      <w:r w:rsidR="00535029" w:rsidRPr="00B64995">
        <w:rPr>
          <w:rFonts w:eastAsiaTheme="minorEastAsia" w:cs="Calibri"/>
          <w:lang w:val="en-GB"/>
        </w:rPr>
        <w:t>;</w:t>
      </w:r>
      <w:proofErr w:type="gramEnd"/>
    </w:p>
    <w:p w14:paraId="69D58046" w14:textId="618F11DD" w:rsidR="00106D21" w:rsidRPr="00B64995" w:rsidRDefault="2524808A" w:rsidP="00B65153">
      <w:pPr>
        <w:pStyle w:val="ListParagraph"/>
        <w:numPr>
          <w:ilvl w:val="0"/>
          <w:numId w:val="29"/>
        </w:numPr>
        <w:jc w:val="both"/>
        <w:rPr>
          <w:rFonts w:eastAsiaTheme="minorEastAsia" w:cs="Calibri"/>
          <w:lang w:val="en-GB"/>
        </w:rPr>
      </w:pPr>
      <w:r w:rsidRPr="00B64995">
        <w:rPr>
          <w:rFonts w:eastAsiaTheme="minorEastAsia" w:cs="Calibri"/>
          <w:i/>
          <w:iCs/>
          <w:lang w:val="en-GB"/>
        </w:rPr>
        <w:t xml:space="preserve">E-waste. </w:t>
      </w:r>
      <w:r w:rsidR="043736A8" w:rsidRPr="00B64995">
        <w:rPr>
          <w:rFonts w:eastAsiaTheme="minorEastAsia" w:cs="Calibri"/>
          <w:lang w:val="en-GB"/>
        </w:rPr>
        <w:t xml:space="preserve">ITU has consolidated the </w:t>
      </w:r>
      <w:r w:rsidR="00951E14" w:rsidRPr="00B64995">
        <w:rPr>
          <w:rFonts w:eastAsiaTheme="minorEastAsia" w:cs="Calibri"/>
          <w:lang w:val="en-GB"/>
        </w:rPr>
        <w:t>Global E- waste Statistic Partnership founded in 2017 by ITU, United Nations University (UNU) and International Solid Waste Association (</w:t>
      </w:r>
      <w:r w:rsidR="043736A8" w:rsidRPr="00B64995">
        <w:rPr>
          <w:rFonts w:eastAsiaTheme="minorEastAsia" w:cs="Calibri"/>
          <w:lang w:val="en-GB"/>
        </w:rPr>
        <w:t>ISWA</w:t>
      </w:r>
      <w:proofErr w:type="gramStart"/>
      <w:r w:rsidR="043736A8" w:rsidRPr="00B64995">
        <w:rPr>
          <w:rFonts w:eastAsiaTheme="minorEastAsia" w:cs="Calibri"/>
          <w:lang w:val="en-GB"/>
        </w:rPr>
        <w:t>)</w:t>
      </w:r>
      <w:r w:rsidR="00166BCE">
        <w:rPr>
          <w:rFonts w:eastAsiaTheme="minorEastAsia" w:cs="Calibri"/>
          <w:lang w:val="en-GB"/>
        </w:rPr>
        <w:t>;</w:t>
      </w:r>
      <w:proofErr w:type="gramEnd"/>
    </w:p>
    <w:p w14:paraId="69BA819C" w14:textId="399ABE94" w:rsidR="00CC491D" w:rsidRPr="00B64995" w:rsidRDefault="00CC491D" w:rsidP="00B65153">
      <w:pPr>
        <w:pStyle w:val="ListParagraph"/>
        <w:numPr>
          <w:ilvl w:val="0"/>
          <w:numId w:val="29"/>
        </w:numPr>
        <w:jc w:val="both"/>
        <w:rPr>
          <w:rFonts w:eastAsiaTheme="minorEastAsia" w:cs="Calibri"/>
          <w:lang w:val="en-GB"/>
        </w:rPr>
      </w:pPr>
      <w:r w:rsidRPr="00B64995">
        <w:rPr>
          <w:rFonts w:asciiTheme="minorHAnsi" w:eastAsiaTheme="minorEastAsia" w:hAnsiTheme="minorHAnsi" w:cstheme="minorHAnsi"/>
          <w:i/>
          <w:iCs/>
          <w:lang w:val="en-GB"/>
        </w:rPr>
        <w:t>Smart cities.</w:t>
      </w:r>
      <w:r w:rsidRPr="00B64995">
        <w:rPr>
          <w:rFonts w:asciiTheme="minorHAnsi" w:eastAsiaTheme="minorEastAsia" w:hAnsiTheme="minorHAnsi" w:cstheme="minorHAnsi"/>
          <w:lang w:val="en-GB"/>
        </w:rPr>
        <w:t xml:space="preserve"> ITU established the United for Smart Sustainable Cities (U4SSC) Initiative in 2016, together with UNECE and UN-Habitat. The initiative is now supported by 14 </w:t>
      </w:r>
      <w:r w:rsidR="0004676A" w:rsidRPr="00B64995">
        <w:rPr>
          <w:rFonts w:asciiTheme="minorHAnsi" w:eastAsiaTheme="minorEastAsia" w:hAnsiTheme="minorHAnsi" w:cstheme="minorHAnsi"/>
          <w:lang w:val="en-GB"/>
        </w:rPr>
        <w:t xml:space="preserve">other </w:t>
      </w:r>
      <w:r w:rsidRPr="00B64995">
        <w:rPr>
          <w:rFonts w:asciiTheme="minorHAnsi" w:eastAsiaTheme="minorEastAsia" w:hAnsiTheme="minorHAnsi" w:cstheme="minorHAnsi"/>
          <w:lang w:val="en-GB"/>
        </w:rPr>
        <w:t>UN bodies, namely, CBD, ECLAC, FAO, UNDP, UNECA, UNESCO, UNEP, UNEP-FI, UNFCCC, UNIDO, UNOP, UNU-EGOV, UN-Women and WMO</w:t>
      </w:r>
      <w:r w:rsidR="0004676A" w:rsidRPr="00B64995">
        <w:rPr>
          <w:rFonts w:asciiTheme="minorHAnsi" w:eastAsiaTheme="minorEastAsia" w:hAnsiTheme="minorHAnsi" w:cstheme="minorHAnsi"/>
          <w:lang w:val="en-GB"/>
        </w:rPr>
        <w:t>.</w:t>
      </w:r>
    </w:p>
    <w:p w14:paraId="0112C1B5" w14:textId="77777777" w:rsidR="0049723A" w:rsidRPr="00B64995" w:rsidRDefault="0049723A" w:rsidP="00614D53">
      <w:pPr>
        <w:jc w:val="both"/>
        <w:textAlignment w:val="baseline"/>
        <w:rPr>
          <w:rFonts w:eastAsia="Times New Roman"/>
          <w:lang w:eastAsia="en-GB"/>
        </w:rPr>
      </w:pPr>
    </w:p>
    <w:p w14:paraId="776799E2" w14:textId="77777777" w:rsidR="0049723A" w:rsidRPr="00B64995" w:rsidRDefault="00026FC6" w:rsidP="00026FC6">
      <w:pPr>
        <w:pStyle w:val="Heading2"/>
        <w:rPr>
          <w:lang w:eastAsia="en-GB"/>
        </w:rPr>
      </w:pPr>
      <w:bookmarkStart w:id="77" w:name="_Toc37860464"/>
      <w:bookmarkStart w:id="78" w:name="_Toc37861225"/>
      <w:bookmarkStart w:id="79" w:name="_Toc37943348"/>
      <w:bookmarkStart w:id="80" w:name="_Toc68811414"/>
      <w:bookmarkStart w:id="81" w:name="Section_1_10"/>
      <w:r w:rsidRPr="00B64995">
        <w:rPr>
          <w:lang w:eastAsia="en-GB"/>
        </w:rPr>
        <w:t>1.10</w:t>
      </w:r>
      <w:r w:rsidRPr="00B64995">
        <w:rPr>
          <w:lang w:eastAsia="en-GB"/>
        </w:rPr>
        <w:tab/>
      </w:r>
      <w:r w:rsidR="00E417F0" w:rsidRPr="00B64995">
        <w:rPr>
          <w:lang w:eastAsia="en-GB"/>
        </w:rPr>
        <w:t>Seminars and workshops</w:t>
      </w:r>
      <w:bookmarkEnd w:id="77"/>
      <w:bookmarkEnd w:id="78"/>
      <w:bookmarkEnd w:id="79"/>
      <w:bookmarkEnd w:id="80"/>
    </w:p>
    <w:bookmarkEnd w:id="81"/>
    <w:p w14:paraId="7B76E57C" w14:textId="0250F8DB" w:rsidR="00951E14" w:rsidRPr="00B64995" w:rsidRDefault="00951E14" w:rsidP="00A83DAA">
      <w:pPr>
        <w:pStyle w:val="Heading5"/>
      </w:pPr>
      <w:r w:rsidRPr="00B64995">
        <w:t>ITU-R</w:t>
      </w:r>
    </w:p>
    <w:p w14:paraId="3DB9EEEE" w14:textId="77777777" w:rsidR="00951E14" w:rsidRPr="00B64995" w:rsidRDefault="00951E14" w:rsidP="00614D53">
      <w:pPr>
        <w:jc w:val="both"/>
      </w:pPr>
      <w:r w:rsidRPr="00B64995">
        <w:t>During 2019, five Regional Radiocommunication Seminars were conducted involving experts and participants from around the world; the ITU Regional Radiocommunication Seminar 2019 for Africa (RRS-19-Africa), the ITU Regional Radiocommunication Seminar 2019 for the CIS countries (RRS-19-CIS), the ITU Seminar on Radiocommunication Matters 2019 for Europe (SRME-19), the 3rd ITU Inter-regional Workshop on WRC-19 Preparation and the ITU Satellite Communications Symposium 2019.</w:t>
      </w:r>
    </w:p>
    <w:p w14:paraId="1D645189" w14:textId="2C98C864" w:rsidR="00B26D8D" w:rsidRPr="00B64995" w:rsidRDefault="00B26D8D" w:rsidP="009E21C7">
      <w:pPr>
        <w:autoSpaceDE w:val="0"/>
        <w:autoSpaceDN w:val="0"/>
        <w:adjustRightInd w:val="0"/>
        <w:rPr>
          <w:highlight w:val="lightGray"/>
        </w:rPr>
      </w:pPr>
    </w:p>
    <w:p w14:paraId="0B4156D3" w14:textId="008DF4A8" w:rsidR="00951E14" w:rsidRPr="00B64995" w:rsidRDefault="00951E14" w:rsidP="00614D53">
      <w:pPr>
        <w:jc w:val="both"/>
      </w:pPr>
      <w:r w:rsidRPr="00B64995">
        <w:t>As part of the capacity-building partnership between ITU and ITSO for the delivery of satellite communications related training, five ITU/ITSO Capacity Building Workshops on Satellite Communications were organized in Minsk, Belarus (CIS region, 1-5 April 2019), Asuncion, Paraguay, (Americas region 22-26 April 2019), Maputo, Mozambique, (Africa region in English, 24-28 June 2019), Abidjan, Ivory Coast, (Africa region in French, 8-12 July 2019) and Alger, Algeria, (Arab Countries 13-17 October 2019).</w:t>
      </w:r>
    </w:p>
    <w:p w14:paraId="2C279880" w14:textId="77777777" w:rsidR="000469CD" w:rsidRPr="00B64995" w:rsidRDefault="000469CD" w:rsidP="00614D53">
      <w:pPr>
        <w:jc w:val="both"/>
      </w:pPr>
    </w:p>
    <w:p w14:paraId="3D5A3EF3" w14:textId="60EF900B" w:rsidR="00951E14" w:rsidRPr="00B64995" w:rsidRDefault="00951E14" w:rsidP="00614D53">
      <w:pPr>
        <w:jc w:val="both"/>
      </w:pPr>
      <w:r w:rsidRPr="00B64995">
        <w:t>ITU-R, jointly with ITU-D are participating in the Action from the Policy and Regulatory Initiative for Digital Africa (PRIDA) project "Increasing wireless broadband penetration through improved and harmonized spectrum utilization and regulations".</w:t>
      </w:r>
    </w:p>
    <w:p w14:paraId="02A5F907" w14:textId="77777777" w:rsidR="000469CD" w:rsidRPr="00B64995" w:rsidRDefault="000469CD" w:rsidP="00614D53">
      <w:pPr>
        <w:jc w:val="both"/>
      </w:pPr>
    </w:p>
    <w:p w14:paraId="7A706E50" w14:textId="37062CEA" w:rsidR="00951E14" w:rsidRPr="00B64995" w:rsidRDefault="00951E14" w:rsidP="00614D53">
      <w:pPr>
        <w:jc w:val="both"/>
      </w:pPr>
      <w:r w:rsidRPr="00B64995">
        <w:t>ITU-R, jointly with the African Telecommunication Union (ATU), launched a process for the optimization of the GE84 Plan for African countries. The main purpose of this optimization is to achieve efficient use of the 87.5-108 MHz (FM) band for analogue sound broadcasting and to allocate new frequencies to FM broadcasting to meet the increasing need for additional frequencies in African countries.</w:t>
      </w:r>
      <w:r w:rsidR="007F5039" w:rsidRPr="00B64995">
        <w:t xml:space="preserve"> In 2020, four workshops on GE84 optimi</w:t>
      </w:r>
      <w:r w:rsidR="0004676A" w:rsidRPr="00B64995">
        <w:t>z</w:t>
      </w:r>
      <w:r w:rsidR="007F5039" w:rsidRPr="00B64995">
        <w:t xml:space="preserve">ation for Africa having as </w:t>
      </w:r>
      <w:r w:rsidR="0004676A" w:rsidRPr="00B64995">
        <w:t xml:space="preserve">their </w:t>
      </w:r>
      <w:r w:rsidR="007F5039" w:rsidRPr="00B64995">
        <w:t xml:space="preserve">purpose capacity building and preparation of African countries </w:t>
      </w:r>
      <w:r w:rsidR="0004676A" w:rsidRPr="00B64995">
        <w:t xml:space="preserve">in advance of </w:t>
      </w:r>
      <w:r w:rsidR="007F5039" w:rsidRPr="00B64995">
        <w:t xml:space="preserve">the </w:t>
      </w:r>
      <w:r w:rsidR="0004676A" w:rsidRPr="00B64995">
        <w:t xml:space="preserve">first </w:t>
      </w:r>
      <w:r w:rsidR="007F5039" w:rsidRPr="00B64995">
        <w:t>frequency coordination meeting.</w:t>
      </w:r>
    </w:p>
    <w:p w14:paraId="3319B1F6" w14:textId="7BCCE9D4" w:rsidR="009E21C7" w:rsidRPr="00B64995" w:rsidRDefault="009E21C7" w:rsidP="00614D53">
      <w:pPr>
        <w:jc w:val="both"/>
      </w:pPr>
    </w:p>
    <w:p w14:paraId="71A1621F" w14:textId="28D240DA" w:rsidR="009E21C7" w:rsidRPr="00B64995" w:rsidRDefault="0004676A" w:rsidP="009E21C7">
      <w:pPr>
        <w:autoSpaceDE w:val="0"/>
        <w:autoSpaceDN w:val="0"/>
        <w:adjustRightInd w:val="0"/>
        <w:jc w:val="both"/>
      </w:pPr>
      <w:r w:rsidRPr="00B64995">
        <w:t xml:space="preserve">In the course of </w:t>
      </w:r>
      <w:r w:rsidR="009E21C7" w:rsidRPr="00B64995">
        <w:t xml:space="preserve">2020, one </w:t>
      </w:r>
      <w:r w:rsidRPr="00B64995">
        <w:t>w</w:t>
      </w:r>
      <w:r w:rsidR="009E21C7" w:rsidRPr="00B64995">
        <w:t xml:space="preserve">orld and two </w:t>
      </w:r>
      <w:r w:rsidRPr="00B64995">
        <w:t>r</w:t>
      </w:r>
      <w:r w:rsidR="009E21C7" w:rsidRPr="00B64995">
        <w:t xml:space="preserve">egional </w:t>
      </w:r>
      <w:r w:rsidRPr="00B64995">
        <w:t>r</w:t>
      </w:r>
      <w:r w:rsidR="009E21C7" w:rsidRPr="00B64995">
        <w:t xml:space="preserve">adiocommunication </w:t>
      </w:r>
      <w:r w:rsidRPr="00B64995">
        <w:t>s</w:t>
      </w:r>
      <w:r w:rsidR="009E21C7" w:rsidRPr="00B64995">
        <w:t xml:space="preserve">eminars were held virtually, the </w:t>
      </w:r>
      <w:hyperlink r:id="rId382" w:history="1">
        <w:r w:rsidR="009E21C7" w:rsidRPr="00B64995">
          <w:rPr>
            <w:rStyle w:val="Hyperlink"/>
            <w:rFonts w:asciiTheme="minorHAnsi" w:hAnsiTheme="minorHAnsi" w:cstheme="minorHAnsi"/>
          </w:rPr>
          <w:t>Regional Radiocommunication Seminar 2020 for the Americas Region</w:t>
        </w:r>
      </w:hyperlink>
      <w:r w:rsidR="009E21C7" w:rsidRPr="00A060FE">
        <w:rPr>
          <w:rFonts w:asciiTheme="minorHAnsi" w:hAnsiTheme="minorHAnsi" w:cstheme="minorHAnsi"/>
        </w:rPr>
        <w:t xml:space="preserve"> </w:t>
      </w:r>
      <w:r w:rsidRPr="00B64995">
        <w:rPr>
          <w:rFonts w:asciiTheme="minorHAnsi" w:hAnsiTheme="minorHAnsi" w:cstheme="minorHAnsi"/>
        </w:rPr>
        <w:t xml:space="preserve">in </w:t>
      </w:r>
      <w:r w:rsidR="009E21C7" w:rsidRPr="00B64995">
        <w:t>collaboration with the Caribbean Telecommunications Union (CTU)</w:t>
      </w:r>
      <w:r w:rsidRPr="00B64995">
        <w:t>;</w:t>
      </w:r>
      <w:r w:rsidR="009E21C7" w:rsidRPr="00B64995">
        <w:t xml:space="preserve"> the </w:t>
      </w:r>
      <w:hyperlink r:id="rId383" w:history="1">
        <w:r w:rsidR="009E21C7" w:rsidRPr="00B64995">
          <w:rPr>
            <w:rStyle w:val="Hyperlink"/>
            <w:rFonts w:asciiTheme="minorHAnsi" w:hAnsiTheme="minorHAnsi" w:cstheme="minorHAnsi"/>
          </w:rPr>
          <w:t>Regional Radiocommunication Seminar 2020 for the Asia-Pacific Region</w:t>
        </w:r>
      </w:hyperlink>
      <w:r w:rsidR="009E21C7" w:rsidRPr="00A060FE">
        <w:rPr>
          <w:rFonts w:asciiTheme="minorHAnsi" w:hAnsiTheme="minorHAnsi" w:cstheme="minorHAnsi"/>
        </w:rPr>
        <w:t xml:space="preserve"> (</w:t>
      </w:r>
      <w:r w:rsidR="009E21C7" w:rsidRPr="00B64995">
        <w:t>RRS-20-Asia-Pacific)</w:t>
      </w:r>
      <w:r w:rsidRPr="00B64995">
        <w:t xml:space="preserve">; and the </w:t>
      </w:r>
      <w:r w:rsidR="009E21C7" w:rsidRPr="00B64995">
        <w:t>World Radiocommunication Seminar (WRS-20)</w:t>
      </w:r>
      <w:r w:rsidRPr="00B64995">
        <w:t>.</w:t>
      </w:r>
    </w:p>
    <w:p w14:paraId="573E3114" w14:textId="77777777" w:rsidR="009E21C7" w:rsidRPr="00B64995" w:rsidRDefault="009E21C7" w:rsidP="009E21C7">
      <w:pPr>
        <w:autoSpaceDE w:val="0"/>
        <w:autoSpaceDN w:val="0"/>
        <w:adjustRightInd w:val="0"/>
        <w:jc w:val="both"/>
      </w:pPr>
    </w:p>
    <w:p w14:paraId="07EDA2D0" w14:textId="30F4CD93" w:rsidR="009E21C7" w:rsidRPr="00B64995" w:rsidRDefault="009E21C7" w:rsidP="009E21C7">
      <w:pPr>
        <w:autoSpaceDE w:val="0"/>
        <w:autoSpaceDN w:val="0"/>
        <w:adjustRightInd w:val="0"/>
        <w:jc w:val="both"/>
      </w:pPr>
      <w:r w:rsidRPr="00B64995">
        <w:rPr>
          <w:b/>
          <w:bCs/>
        </w:rPr>
        <w:lastRenderedPageBreak/>
        <w:t xml:space="preserve">World </w:t>
      </w:r>
      <w:r w:rsidR="00C36BDB" w:rsidRPr="00B64995">
        <w:rPr>
          <w:b/>
          <w:bCs/>
        </w:rPr>
        <w:t>r</w:t>
      </w:r>
      <w:r w:rsidRPr="00B64995">
        <w:rPr>
          <w:b/>
          <w:bCs/>
        </w:rPr>
        <w:t xml:space="preserve">adiocommunication </w:t>
      </w:r>
      <w:r w:rsidR="00C36BDB" w:rsidRPr="00B64995">
        <w:rPr>
          <w:b/>
          <w:bCs/>
        </w:rPr>
        <w:t>s</w:t>
      </w:r>
      <w:r w:rsidRPr="00B64995">
        <w:rPr>
          <w:b/>
          <w:bCs/>
        </w:rPr>
        <w:t>eminars (WRS)</w:t>
      </w:r>
      <w:r w:rsidRPr="00B64995">
        <w:t xml:space="preserve"> are held on a biennial basis, </w:t>
      </w:r>
      <w:r w:rsidR="0004676A" w:rsidRPr="00B64995">
        <w:t xml:space="preserve">as a </w:t>
      </w:r>
      <w:r w:rsidRPr="00B64995">
        <w:t xml:space="preserve">complement to the cycle of </w:t>
      </w:r>
      <w:r w:rsidR="00C36BDB" w:rsidRPr="00B64995">
        <w:t>r</w:t>
      </w:r>
      <w:r w:rsidRPr="00B64995">
        <w:t xml:space="preserve">egional </w:t>
      </w:r>
      <w:r w:rsidR="00C36BDB" w:rsidRPr="00B64995">
        <w:t>r</w:t>
      </w:r>
      <w:r w:rsidRPr="00B64995">
        <w:t xml:space="preserve">adiocommunication </w:t>
      </w:r>
      <w:r w:rsidR="0004676A" w:rsidRPr="00B64995">
        <w:t>s</w:t>
      </w:r>
      <w:r w:rsidRPr="00B64995">
        <w:t>eminars (RRS</w:t>
      </w:r>
      <w:r w:rsidR="0004676A" w:rsidRPr="00B64995">
        <w:t>s</w:t>
      </w:r>
      <w:r w:rsidRPr="00B64995">
        <w:t>). WRS</w:t>
      </w:r>
      <w:r w:rsidR="0004676A" w:rsidRPr="00B64995">
        <w:t>s</w:t>
      </w:r>
      <w:r w:rsidRPr="00B64995">
        <w:t xml:space="preserve"> deal with the use of the radio-frequency spectrum and satellite orbits, and</w:t>
      </w:r>
      <w:proofErr w:type="gramStart"/>
      <w:r w:rsidRPr="00B64995">
        <w:t>, in particular, with</w:t>
      </w:r>
      <w:proofErr w:type="gramEnd"/>
      <w:r w:rsidRPr="00B64995">
        <w:t xml:space="preserve"> the application of the provisions of the ITU Radio Regulations.</w:t>
      </w:r>
    </w:p>
    <w:p w14:paraId="428BB12C" w14:textId="77777777" w:rsidR="009E21C7" w:rsidRPr="00B64995" w:rsidRDefault="009E21C7" w:rsidP="009E21C7">
      <w:pPr>
        <w:autoSpaceDE w:val="0"/>
        <w:autoSpaceDN w:val="0"/>
        <w:adjustRightInd w:val="0"/>
        <w:jc w:val="both"/>
      </w:pPr>
    </w:p>
    <w:p w14:paraId="0418B3E3" w14:textId="45022B43" w:rsidR="009E21C7" w:rsidRPr="00B64995" w:rsidRDefault="009E21C7" w:rsidP="009E21C7">
      <w:pPr>
        <w:autoSpaceDE w:val="0"/>
        <w:autoSpaceDN w:val="0"/>
        <w:adjustRightInd w:val="0"/>
        <w:jc w:val="both"/>
      </w:pPr>
      <w:r w:rsidRPr="00B64995">
        <w:t xml:space="preserve">Since WRS-20 was a fully virtual event, participation in the </w:t>
      </w:r>
      <w:r w:rsidR="00803F17" w:rsidRPr="00B64995">
        <w:t>p</w:t>
      </w:r>
      <w:r w:rsidRPr="00B64995">
        <w:t xml:space="preserve">lenary </w:t>
      </w:r>
      <w:r w:rsidR="00803F17" w:rsidRPr="00B64995">
        <w:t>s</w:t>
      </w:r>
      <w:r w:rsidRPr="00B64995">
        <w:t>essions was open to all. The sessions, provided with simultaneous interpretation, covered general radiocommunication</w:t>
      </w:r>
      <w:r w:rsidR="0004676A" w:rsidRPr="00B64995">
        <w:t>-</w:t>
      </w:r>
      <w:r w:rsidRPr="00B64995">
        <w:t xml:space="preserve">related matters, application of ITU Radio Regulations provisions and trends in various radiocommunication services. </w:t>
      </w:r>
      <w:r w:rsidR="0004676A" w:rsidRPr="00B64995">
        <w:t xml:space="preserve">Presentations </w:t>
      </w:r>
      <w:r w:rsidRPr="00B64995">
        <w:t xml:space="preserve">were </w:t>
      </w:r>
      <w:r w:rsidR="0004676A" w:rsidRPr="00B64995">
        <w:t xml:space="preserve">scheduled </w:t>
      </w:r>
      <w:r w:rsidRPr="00B64995">
        <w:t xml:space="preserve">twice each day to accommodate participants located in </w:t>
      </w:r>
      <w:r w:rsidR="0004676A" w:rsidRPr="00B64995">
        <w:t xml:space="preserve">different </w:t>
      </w:r>
      <w:r w:rsidRPr="00B64995">
        <w:t>time zones.</w:t>
      </w:r>
    </w:p>
    <w:p w14:paraId="7F336472" w14:textId="366A24FA" w:rsidR="009E21C7" w:rsidRPr="00B64995" w:rsidRDefault="009E21C7" w:rsidP="003677CF">
      <w:pPr>
        <w:spacing w:before="100" w:beforeAutospacing="1" w:after="100" w:afterAutospacing="1"/>
        <w:jc w:val="both"/>
      </w:pPr>
      <w:r w:rsidRPr="00B64995">
        <w:t xml:space="preserve">Participation in the </w:t>
      </w:r>
      <w:r w:rsidR="0004676A" w:rsidRPr="00B64995">
        <w:t>w</w:t>
      </w:r>
      <w:r w:rsidRPr="00B64995">
        <w:t>orkshops was restricted to ITU Member States and Academia</w:t>
      </w:r>
      <w:r w:rsidR="0004676A" w:rsidRPr="00B64995">
        <w:t>,</w:t>
      </w:r>
      <w:r w:rsidRPr="00B64995">
        <w:t xml:space="preserve"> as well as ITU-R Sector Members and Associates. The seminar’s workshops included space and terrestrial services, </w:t>
      </w:r>
      <w:proofErr w:type="gramStart"/>
      <w:r w:rsidRPr="00B64995">
        <w:t>lectures</w:t>
      </w:r>
      <w:proofErr w:type="gramEnd"/>
      <w:r w:rsidRPr="00B64995">
        <w:t xml:space="preserve"> and practical sessions. They allowed participants to get hands-on experience with ITU notification procedures </w:t>
      </w:r>
      <w:r w:rsidR="0004676A" w:rsidRPr="00B64995">
        <w:t xml:space="preserve">and </w:t>
      </w:r>
      <w:r w:rsidRPr="00B64995">
        <w:t>with the software and electronic publications made available by the Radiocommunication Bureau to the ITU membership.</w:t>
      </w:r>
    </w:p>
    <w:p w14:paraId="2E8AF286" w14:textId="42CC7BB6" w:rsidR="00F76DB2" w:rsidRPr="00B64995" w:rsidRDefault="00F76DB2" w:rsidP="00CC491D">
      <w:pPr>
        <w:shd w:val="clear" w:color="auto" w:fill="FFFFFF"/>
        <w:jc w:val="both"/>
        <w:textAlignment w:val="baseline"/>
        <w:rPr>
          <w:rFonts w:asciiTheme="minorHAnsi" w:hAnsiTheme="minorHAnsi" w:cstheme="minorHAnsi"/>
        </w:rPr>
      </w:pPr>
      <w:r w:rsidRPr="00B64995">
        <w:rPr>
          <w:rFonts w:asciiTheme="minorHAnsi" w:hAnsiTheme="minorHAnsi" w:cstheme="minorHAnsi"/>
        </w:rPr>
        <w:t xml:space="preserve">In addition, three </w:t>
      </w:r>
      <w:hyperlink r:id="rId384" w:history="1">
        <w:r w:rsidR="00803F17" w:rsidRPr="00B64995">
          <w:rPr>
            <w:rStyle w:val="Hyperlink"/>
            <w:rFonts w:asciiTheme="minorHAnsi" w:hAnsiTheme="minorHAnsi" w:cstheme="minorHAnsi"/>
          </w:rPr>
          <w:t>s</w:t>
        </w:r>
        <w:r w:rsidRPr="00B64995">
          <w:rPr>
            <w:rStyle w:val="Hyperlink"/>
            <w:rFonts w:asciiTheme="minorHAnsi" w:hAnsiTheme="minorHAnsi" w:cstheme="minorHAnsi"/>
          </w:rPr>
          <w:t>atellite webinars</w:t>
        </w:r>
      </w:hyperlink>
      <w:r w:rsidRPr="00A060FE">
        <w:rPr>
          <w:rFonts w:asciiTheme="minorHAnsi" w:hAnsiTheme="minorHAnsi" w:cstheme="minorHAnsi"/>
        </w:rPr>
        <w:t xml:space="preserve"> were held in 2020, covering non-geostationary satellite systems for the provision of broadband service; innovations in geostationary satellite systems; as well as the role of </w:t>
      </w:r>
      <w:r w:rsidRPr="00B64995">
        <w:rPr>
          <w:rFonts w:asciiTheme="minorHAnsi" w:hAnsiTheme="minorHAnsi" w:cstheme="minorHAnsi"/>
        </w:rPr>
        <w:t xml:space="preserve">ITU </w:t>
      </w:r>
      <w:r w:rsidR="00803F17" w:rsidRPr="00B64995">
        <w:rPr>
          <w:rFonts w:asciiTheme="minorHAnsi" w:hAnsiTheme="minorHAnsi" w:cstheme="minorHAnsi"/>
        </w:rPr>
        <w:t xml:space="preserve">in </w:t>
      </w:r>
      <w:r w:rsidRPr="00B64995">
        <w:rPr>
          <w:rFonts w:asciiTheme="minorHAnsi" w:hAnsiTheme="minorHAnsi" w:cstheme="minorHAnsi"/>
        </w:rPr>
        <w:t>prevent</w:t>
      </w:r>
      <w:r w:rsidR="00803F17" w:rsidRPr="00B64995">
        <w:rPr>
          <w:rFonts w:asciiTheme="minorHAnsi" w:hAnsiTheme="minorHAnsi" w:cstheme="minorHAnsi"/>
        </w:rPr>
        <w:t>ing</w:t>
      </w:r>
      <w:r w:rsidRPr="00B64995">
        <w:rPr>
          <w:rFonts w:asciiTheme="minorHAnsi" w:hAnsiTheme="minorHAnsi" w:cstheme="minorHAnsi"/>
        </w:rPr>
        <w:t xml:space="preserve"> and mitigat</w:t>
      </w:r>
      <w:r w:rsidR="00803F17" w:rsidRPr="00B64995">
        <w:rPr>
          <w:rFonts w:asciiTheme="minorHAnsi" w:hAnsiTheme="minorHAnsi" w:cstheme="minorHAnsi"/>
        </w:rPr>
        <w:t>ing</w:t>
      </w:r>
      <w:r w:rsidRPr="00B64995">
        <w:rPr>
          <w:rFonts w:asciiTheme="minorHAnsi" w:hAnsiTheme="minorHAnsi" w:cstheme="minorHAnsi"/>
        </w:rPr>
        <w:t xml:space="preserve"> interference.</w:t>
      </w:r>
    </w:p>
    <w:p w14:paraId="5220BBB2" w14:textId="77777777" w:rsidR="00951E14" w:rsidRPr="00B64995" w:rsidRDefault="00951E14" w:rsidP="00614D53">
      <w:pPr>
        <w:shd w:val="clear" w:color="auto" w:fill="FFFFFF"/>
        <w:jc w:val="both"/>
        <w:textAlignment w:val="baseline"/>
        <w:rPr>
          <w:b/>
          <w:bCs/>
        </w:rPr>
      </w:pPr>
    </w:p>
    <w:p w14:paraId="74923A46" w14:textId="3D66ACDD" w:rsidR="00157858" w:rsidRPr="00B64995" w:rsidRDefault="00951E14" w:rsidP="003C7FD5">
      <w:pPr>
        <w:pStyle w:val="Heading5"/>
      </w:pPr>
      <w:r w:rsidRPr="00B64995">
        <w:rPr>
          <w:b w:val="0"/>
        </w:rPr>
        <w:t>ITU-T</w:t>
      </w:r>
    </w:p>
    <w:p w14:paraId="6DB91418" w14:textId="7790CB98" w:rsidR="00157858" w:rsidRPr="00B64995" w:rsidRDefault="00570F0C" w:rsidP="00614D53">
      <w:pPr>
        <w:jc w:val="both"/>
      </w:pPr>
      <w:hyperlink r:id="rId385" w:history="1">
        <w:r w:rsidR="009C12E8" w:rsidRPr="00B64995">
          <w:rPr>
            <w:rStyle w:val="Hyperlink"/>
          </w:rPr>
          <w:t xml:space="preserve">ITU-T workshops, </w:t>
        </w:r>
        <w:proofErr w:type="gramStart"/>
        <w:r w:rsidR="009C12E8" w:rsidRPr="00B64995">
          <w:rPr>
            <w:rStyle w:val="Hyperlink"/>
          </w:rPr>
          <w:t>forums</w:t>
        </w:r>
        <w:proofErr w:type="gramEnd"/>
        <w:r w:rsidR="009C12E8" w:rsidRPr="00B64995">
          <w:rPr>
            <w:rStyle w:val="Hyperlink"/>
          </w:rPr>
          <w:t xml:space="preserve"> and symposia</w:t>
        </w:r>
      </w:hyperlink>
      <w:r w:rsidR="009C12E8" w:rsidRPr="00A060FE">
        <w:t xml:space="preserve"> discuss emerging trends in standardization, increase the visibility of ITU-T work, </w:t>
      </w:r>
      <w:r w:rsidR="009C12E8" w:rsidRPr="00B64995">
        <w:t xml:space="preserve">enhance ITU-T collaboration with other bodies, attract </w:t>
      </w:r>
      <w:r w:rsidR="00803F17" w:rsidRPr="00B64995">
        <w:t xml:space="preserve">potential candidates </w:t>
      </w:r>
      <w:r w:rsidR="009002E1" w:rsidRPr="00B64995">
        <w:t xml:space="preserve">for </w:t>
      </w:r>
      <w:r w:rsidR="009C12E8" w:rsidRPr="00B64995">
        <w:t>ITU-T members</w:t>
      </w:r>
      <w:r w:rsidR="009002E1" w:rsidRPr="00B64995">
        <w:t>hip</w:t>
      </w:r>
      <w:r w:rsidR="009C12E8" w:rsidRPr="00B64995">
        <w:t>, and encourage peer</w:t>
      </w:r>
      <w:r w:rsidR="00803F17" w:rsidRPr="00B64995">
        <w:t xml:space="preserve"> </w:t>
      </w:r>
      <w:r w:rsidR="009C12E8" w:rsidRPr="00B64995">
        <w:t xml:space="preserve">learning relevant to the development and implementation of international standards. With all ITU-T workshops forums and symposia being held virtually, they are welcoming a greater number and diversity of participants. More than 39 workshops, forums and symposia were held </w:t>
      </w:r>
      <w:r w:rsidR="00803F17" w:rsidRPr="00B64995">
        <w:t xml:space="preserve">during the </w:t>
      </w:r>
      <w:r w:rsidR="009C12E8" w:rsidRPr="00B64995">
        <w:t xml:space="preserve">reporting period, all of which were virtual events covering a variety of topics from 5G to </w:t>
      </w:r>
      <w:r w:rsidR="00803F17" w:rsidRPr="00B64995">
        <w:t xml:space="preserve">the </w:t>
      </w:r>
      <w:r w:rsidR="009C12E8" w:rsidRPr="00B64995">
        <w:t>environment, smart cities, intelligent transport systems, artificial intelligence, disaster risk reduction and more.</w:t>
      </w:r>
    </w:p>
    <w:p w14:paraId="6D9C8D39" w14:textId="77777777" w:rsidR="00951E14" w:rsidRPr="00B64995" w:rsidRDefault="00951E14" w:rsidP="00614D53">
      <w:pPr>
        <w:shd w:val="clear" w:color="auto" w:fill="FFFFFF"/>
        <w:jc w:val="both"/>
        <w:textAlignment w:val="baseline"/>
        <w:rPr>
          <w:b/>
          <w:bCs/>
        </w:rPr>
      </w:pPr>
    </w:p>
    <w:p w14:paraId="349C4355" w14:textId="77777777" w:rsidR="00951E14" w:rsidRPr="00B64995" w:rsidRDefault="00951E14" w:rsidP="00A83DAA">
      <w:pPr>
        <w:pStyle w:val="Heading5"/>
      </w:pPr>
      <w:r w:rsidRPr="00B64995">
        <w:t>ITU-D</w:t>
      </w:r>
    </w:p>
    <w:p w14:paraId="048AD3F0" w14:textId="77777777" w:rsidR="0049723A" w:rsidRPr="00B64995" w:rsidRDefault="00951E14" w:rsidP="20E610FA">
      <w:pPr>
        <w:shd w:val="clear" w:color="auto" w:fill="FFFFFF" w:themeFill="background1"/>
        <w:jc w:val="both"/>
        <w:textAlignment w:val="baseline"/>
      </w:pPr>
      <w:r w:rsidRPr="00B64995">
        <w:t>In 2019, over 100 workshops and seminars were conducted on various topics. In capacity development, several regional capacity development workshops were held to assist countries address the knowledge and skills gaps in the ICT sector with a view to empowering people to acquire the necessary digital skills they need to participate and flourish in the digital economy.</w:t>
      </w:r>
    </w:p>
    <w:p w14:paraId="2D35C55D" w14:textId="27AF20D2" w:rsidR="000469CD" w:rsidRPr="00B64995" w:rsidRDefault="000469CD" w:rsidP="20E610FA">
      <w:pPr>
        <w:shd w:val="clear" w:color="auto" w:fill="FFFFFF" w:themeFill="background1"/>
        <w:jc w:val="both"/>
        <w:textAlignment w:val="baseline"/>
      </w:pPr>
    </w:p>
    <w:p w14:paraId="3A9C38EF" w14:textId="77777777" w:rsidR="0049723A" w:rsidRPr="00B64995" w:rsidRDefault="00951E14" w:rsidP="20E610FA">
      <w:pPr>
        <w:shd w:val="clear" w:color="auto" w:fill="FFFFFF" w:themeFill="background1"/>
        <w:jc w:val="both"/>
        <w:textAlignment w:val="baseline"/>
      </w:pPr>
      <w:r w:rsidRPr="00B64995">
        <w:t xml:space="preserve">Together with partners, Regional Cyber drills were conducted in 2019 to assist countries increase their cybersecurity capabilities and build trust and confidence in the use of ICTs. See </w:t>
      </w:r>
      <w:hyperlink r:id="rId386" w:history="1">
        <w:r w:rsidRPr="00B64995">
          <w:t>section 1.6</w:t>
        </w:r>
      </w:hyperlink>
      <w:r w:rsidRPr="00A060FE">
        <w:t>.</w:t>
      </w:r>
    </w:p>
    <w:p w14:paraId="1A391F7B" w14:textId="661E7C87" w:rsidR="000469CD" w:rsidRPr="00B64995" w:rsidRDefault="000469CD" w:rsidP="20E610FA">
      <w:pPr>
        <w:shd w:val="clear" w:color="auto" w:fill="FFFFFF" w:themeFill="background1"/>
        <w:jc w:val="both"/>
        <w:textAlignment w:val="baseline"/>
      </w:pPr>
    </w:p>
    <w:p w14:paraId="7A93D8D7" w14:textId="08B1E7CB" w:rsidR="00951E14" w:rsidRPr="00B64995" w:rsidRDefault="00951E14" w:rsidP="20E610FA">
      <w:pPr>
        <w:shd w:val="clear" w:color="auto" w:fill="FFFFFF" w:themeFill="background1"/>
        <w:jc w:val="both"/>
        <w:textAlignment w:val="baseline"/>
      </w:pPr>
      <w:r w:rsidRPr="00B64995">
        <w:t>The role of emerging technologies such as artificial intelligence and the design of innovative digital solutions to improve the quality of life of persons with disabilities, were among the top takeaways from two major ICT accessibility events in the Americas and Europe regions.</w:t>
      </w:r>
      <w:r w:rsidR="00F11927" w:rsidRPr="00B64995">
        <w:t xml:space="preserve"> </w:t>
      </w:r>
      <w:r w:rsidRPr="00B64995">
        <w:t xml:space="preserve">See </w:t>
      </w:r>
      <w:hyperlink r:id="rId387" w:history="1">
        <w:r w:rsidRPr="00B64995">
          <w:t>section 1.5</w:t>
        </w:r>
      </w:hyperlink>
      <w:r w:rsidRPr="00A060FE">
        <w:t>.</w:t>
      </w:r>
    </w:p>
    <w:p w14:paraId="2C791CD0" w14:textId="77777777" w:rsidR="00F11927" w:rsidRPr="00B64995" w:rsidRDefault="00F11927" w:rsidP="20E610FA">
      <w:pPr>
        <w:shd w:val="clear" w:color="auto" w:fill="FFFFFF" w:themeFill="background1"/>
        <w:jc w:val="both"/>
        <w:textAlignment w:val="baseline"/>
      </w:pPr>
    </w:p>
    <w:p w14:paraId="57F422A7" w14:textId="77777777" w:rsidR="0049723A" w:rsidRPr="00B64995" w:rsidRDefault="00951E14" w:rsidP="20E610FA">
      <w:pPr>
        <w:shd w:val="clear" w:color="auto" w:fill="FFFFFF" w:themeFill="background1"/>
        <w:jc w:val="both"/>
        <w:textAlignment w:val="baseline"/>
      </w:pPr>
      <w:r w:rsidRPr="00B64995">
        <w:t>To help countries develop policies and regulatory frameworks to tackle the issue of e-waste, several country and regional</w:t>
      </w:r>
      <w:r w:rsidR="009A4E3A" w:rsidRPr="00B64995">
        <w:t>-</w:t>
      </w:r>
      <w:r w:rsidRPr="00B64995">
        <w:t xml:space="preserve">focused training sessions were organized on </w:t>
      </w:r>
      <w:r w:rsidR="00BF3AAB" w:rsidRPr="00B64995">
        <w:t xml:space="preserve">e-waste data </w:t>
      </w:r>
      <w:r w:rsidRPr="00B64995">
        <w:t>collection.</w:t>
      </w:r>
    </w:p>
    <w:p w14:paraId="7A610517" w14:textId="49E1011A" w:rsidR="000469CD" w:rsidRPr="00B64995" w:rsidRDefault="000469CD" w:rsidP="20E610FA">
      <w:pPr>
        <w:shd w:val="clear" w:color="auto" w:fill="FFFFFF" w:themeFill="background1"/>
        <w:jc w:val="both"/>
        <w:textAlignment w:val="baseline"/>
      </w:pPr>
    </w:p>
    <w:p w14:paraId="1FF56A2C" w14:textId="4E6D4DD7" w:rsidR="00951E14" w:rsidRPr="00B64995" w:rsidRDefault="00951E14" w:rsidP="20E610FA">
      <w:pPr>
        <w:shd w:val="clear" w:color="auto" w:fill="FFFFFF" w:themeFill="background1"/>
        <w:spacing w:line="257" w:lineRule="auto"/>
        <w:jc w:val="both"/>
        <w:rPr>
          <w:rFonts w:asciiTheme="minorHAnsi" w:eastAsia="Times New Roman" w:hAnsiTheme="minorHAnsi" w:cstheme="minorHAnsi"/>
          <w:color w:val="000000" w:themeColor="text1"/>
        </w:rPr>
      </w:pPr>
      <w:r w:rsidRPr="00B64995">
        <w:t xml:space="preserve">Four regional training sessions on ICT data collection and measurement were held in 2019 with a view to improve ICT data collection so that policy makers and regulators can make better evidence-based </w:t>
      </w:r>
      <w:proofErr w:type="gramStart"/>
      <w:r w:rsidRPr="00B64995">
        <w:t>policy</w:t>
      </w:r>
      <w:r w:rsidR="00F2405D" w:rsidRPr="00B64995">
        <w:t>-</w:t>
      </w:r>
      <w:r w:rsidRPr="00B64995">
        <w:t>making</w:t>
      </w:r>
      <w:proofErr w:type="gramEnd"/>
      <w:r w:rsidRPr="00B64995">
        <w:t xml:space="preserve"> and to identify gaps in access to ICTs</w:t>
      </w:r>
      <w:r w:rsidRPr="00B64995">
        <w:rPr>
          <w:rFonts w:asciiTheme="minorHAnsi" w:hAnsiTheme="minorHAnsi" w:cstheme="minorHAnsi"/>
        </w:rPr>
        <w:t>.</w:t>
      </w:r>
      <w:r w:rsidR="05C32D47" w:rsidRPr="00B64995">
        <w:rPr>
          <w:rFonts w:asciiTheme="minorHAnsi" w:eastAsia="Times New Roman" w:hAnsiTheme="minorHAnsi" w:cstheme="minorHAnsi"/>
          <w:color w:val="000000" w:themeColor="text1"/>
        </w:rPr>
        <w:t xml:space="preserve"> In 2020, workshops and seminars were conducted </w:t>
      </w:r>
      <w:r w:rsidR="05C32D47" w:rsidRPr="00B64995">
        <w:rPr>
          <w:rFonts w:asciiTheme="minorHAnsi" w:eastAsia="Times New Roman" w:hAnsiTheme="minorHAnsi" w:cstheme="minorHAnsi"/>
          <w:color w:val="000000" w:themeColor="text1"/>
        </w:rPr>
        <w:lastRenderedPageBreak/>
        <w:t xml:space="preserve">on various topics. This was a very productive year indeed, and significant progress was achieved across </w:t>
      </w:r>
      <w:proofErr w:type="gramStart"/>
      <w:r w:rsidR="05C32D47" w:rsidRPr="00B64995">
        <w:rPr>
          <w:rFonts w:asciiTheme="minorHAnsi" w:eastAsia="Times New Roman" w:hAnsiTheme="minorHAnsi" w:cstheme="minorHAnsi"/>
          <w:color w:val="000000" w:themeColor="text1"/>
        </w:rPr>
        <w:t>all of</w:t>
      </w:r>
      <w:proofErr w:type="gramEnd"/>
      <w:r w:rsidR="05C32D47" w:rsidRPr="00B64995">
        <w:rPr>
          <w:rFonts w:asciiTheme="minorHAnsi" w:eastAsia="Times New Roman" w:hAnsiTheme="minorHAnsi" w:cstheme="minorHAnsi"/>
          <w:color w:val="000000" w:themeColor="text1"/>
        </w:rPr>
        <w:t xml:space="preserve"> our thematic priorities: innovation, digital inclusion, capacity development, digital services and applications, cybersecurity, emergency telecommunications, environment, network and digital infrastructure, policy and regulations and statistics. Despite global lockdowns, our work continued</w:t>
      </w:r>
      <w:r w:rsidR="00CB08F6" w:rsidRPr="00B64995">
        <w:rPr>
          <w:rFonts w:asciiTheme="minorHAnsi" w:eastAsia="Times New Roman" w:hAnsiTheme="minorHAnsi" w:cstheme="minorHAnsi"/>
          <w:color w:val="000000" w:themeColor="text1"/>
        </w:rPr>
        <w:t>,</w:t>
      </w:r>
      <w:r w:rsidR="05C32D47" w:rsidRPr="00B64995">
        <w:rPr>
          <w:rFonts w:asciiTheme="minorHAnsi" w:eastAsia="Times New Roman" w:hAnsiTheme="minorHAnsi" w:cstheme="minorHAnsi"/>
          <w:color w:val="000000" w:themeColor="text1"/>
        </w:rPr>
        <w:t xml:space="preserve"> leaving a mark in the different countries of the world, with a focus on </w:t>
      </w:r>
      <w:r w:rsidR="00CB08F6" w:rsidRPr="00B64995">
        <w:rPr>
          <w:rFonts w:asciiTheme="minorHAnsi" w:eastAsia="Times New Roman" w:hAnsiTheme="minorHAnsi" w:cstheme="minorHAnsi"/>
          <w:color w:val="000000" w:themeColor="text1"/>
        </w:rPr>
        <w:t>l</w:t>
      </w:r>
      <w:r w:rsidR="05C32D47" w:rsidRPr="00B64995">
        <w:rPr>
          <w:rFonts w:asciiTheme="minorHAnsi" w:eastAsia="Times New Roman" w:hAnsiTheme="minorHAnsi" w:cstheme="minorHAnsi"/>
          <w:color w:val="000000" w:themeColor="text1"/>
        </w:rPr>
        <w:t xml:space="preserve">east </w:t>
      </w:r>
      <w:r w:rsidR="00CB08F6" w:rsidRPr="00B64995">
        <w:rPr>
          <w:rFonts w:asciiTheme="minorHAnsi" w:eastAsia="Times New Roman" w:hAnsiTheme="minorHAnsi" w:cstheme="minorHAnsi"/>
          <w:color w:val="000000" w:themeColor="text1"/>
        </w:rPr>
        <w:t>d</w:t>
      </w:r>
      <w:r w:rsidR="05C32D47" w:rsidRPr="00B64995">
        <w:rPr>
          <w:rFonts w:asciiTheme="minorHAnsi" w:eastAsia="Times New Roman" w:hAnsiTheme="minorHAnsi" w:cstheme="minorHAnsi"/>
          <w:color w:val="000000" w:themeColor="text1"/>
        </w:rPr>
        <w:t xml:space="preserve">eveloped </w:t>
      </w:r>
      <w:r w:rsidR="00CB08F6" w:rsidRPr="00B64995">
        <w:rPr>
          <w:rFonts w:asciiTheme="minorHAnsi" w:eastAsia="Times New Roman" w:hAnsiTheme="minorHAnsi" w:cstheme="minorHAnsi"/>
          <w:color w:val="000000" w:themeColor="text1"/>
        </w:rPr>
        <w:t>c</w:t>
      </w:r>
      <w:r w:rsidR="05C32D47" w:rsidRPr="00B64995">
        <w:rPr>
          <w:rFonts w:asciiTheme="minorHAnsi" w:eastAsia="Times New Roman" w:hAnsiTheme="minorHAnsi" w:cstheme="minorHAnsi"/>
          <w:color w:val="000000" w:themeColor="text1"/>
        </w:rPr>
        <w:t xml:space="preserve">ountries (LDCs), </w:t>
      </w:r>
      <w:r w:rsidR="00CB08F6" w:rsidRPr="00B64995">
        <w:rPr>
          <w:rFonts w:asciiTheme="minorHAnsi" w:eastAsia="Times New Roman" w:hAnsiTheme="minorHAnsi" w:cstheme="minorHAnsi"/>
          <w:color w:val="000000" w:themeColor="text1"/>
        </w:rPr>
        <w:t>s</w:t>
      </w:r>
      <w:r w:rsidR="05C32D47" w:rsidRPr="00B64995">
        <w:rPr>
          <w:rFonts w:asciiTheme="minorHAnsi" w:eastAsia="Times New Roman" w:hAnsiTheme="minorHAnsi" w:cstheme="minorHAnsi"/>
          <w:color w:val="000000" w:themeColor="text1"/>
        </w:rPr>
        <w:t xml:space="preserve">mall </w:t>
      </w:r>
      <w:r w:rsidR="00CB08F6" w:rsidRPr="00B64995">
        <w:rPr>
          <w:rFonts w:asciiTheme="minorHAnsi" w:eastAsia="Times New Roman" w:hAnsiTheme="minorHAnsi" w:cstheme="minorHAnsi"/>
          <w:color w:val="000000" w:themeColor="text1"/>
        </w:rPr>
        <w:t>i</w:t>
      </w:r>
      <w:r w:rsidR="05C32D47" w:rsidRPr="00B64995">
        <w:rPr>
          <w:rFonts w:asciiTheme="minorHAnsi" w:eastAsia="Times New Roman" w:hAnsiTheme="minorHAnsi" w:cstheme="minorHAnsi"/>
          <w:color w:val="000000" w:themeColor="text1"/>
        </w:rPr>
        <w:t xml:space="preserve">sland </w:t>
      </w:r>
      <w:r w:rsidR="00CB08F6" w:rsidRPr="00B64995">
        <w:rPr>
          <w:rFonts w:asciiTheme="minorHAnsi" w:eastAsia="Times New Roman" w:hAnsiTheme="minorHAnsi" w:cstheme="minorHAnsi"/>
          <w:color w:val="000000" w:themeColor="text1"/>
        </w:rPr>
        <w:t>d</w:t>
      </w:r>
      <w:r w:rsidR="05C32D47" w:rsidRPr="00B64995">
        <w:rPr>
          <w:rFonts w:asciiTheme="minorHAnsi" w:eastAsia="Times New Roman" w:hAnsiTheme="minorHAnsi" w:cstheme="minorHAnsi"/>
          <w:color w:val="000000" w:themeColor="text1"/>
        </w:rPr>
        <w:t xml:space="preserve">eveloping States (SIDS) and </w:t>
      </w:r>
      <w:r w:rsidR="00CB08F6" w:rsidRPr="00B64995">
        <w:rPr>
          <w:rFonts w:asciiTheme="minorHAnsi" w:eastAsia="Times New Roman" w:hAnsiTheme="minorHAnsi" w:cstheme="minorHAnsi"/>
          <w:color w:val="000000" w:themeColor="text1"/>
        </w:rPr>
        <w:t>l</w:t>
      </w:r>
      <w:r w:rsidR="05C32D47" w:rsidRPr="00B64995">
        <w:rPr>
          <w:rFonts w:asciiTheme="minorHAnsi" w:eastAsia="Times New Roman" w:hAnsiTheme="minorHAnsi" w:cstheme="minorHAnsi"/>
          <w:color w:val="000000" w:themeColor="text1"/>
        </w:rPr>
        <w:t xml:space="preserve">andlocked </w:t>
      </w:r>
      <w:r w:rsidR="00CB08F6" w:rsidRPr="00B64995">
        <w:rPr>
          <w:rFonts w:asciiTheme="minorHAnsi" w:eastAsia="Times New Roman" w:hAnsiTheme="minorHAnsi" w:cstheme="minorHAnsi"/>
          <w:color w:val="000000" w:themeColor="text1"/>
        </w:rPr>
        <w:t>d</w:t>
      </w:r>
      <w:r w:rsidR="05C32D47" w:rsidRPr="00B64995">
        <w:rPr>
          <w:rFonts w:asciiTheme="minorHAnsi" w:eastAsia="Times New Roman" w:hAnsiTheme="minorHAnsi" w:cstheme="minorHAnsi"/>
          <w:color w:val="000000" w:themeColor="text1"/>
        </w:rPr>
        <w:t xml:space="preserve">eveloping </w:t>
      </w:r>
      <w:r w:rsidR="00CB08F6" w:rsidRPr="00B64995">
        <w:rPr>
          <w:rFonts w:asciiTheme="minorHAnsi" w:eastAsia="Times New Roman" w:hAnsiTheme="minorHAnsi" w:cstheme="minorHAnsi"/>
          <w:color w:val="000000" w:themeColor="text1"/>
        </w:rPr>
        <w:t>c</w:t>
      </w:r>
      <w:r w:rsidR="05C32D47" w:rsidRPr="00B64995">
        <w:rPr>
          <w:rFonts w:asciiTheme="minorHAnsi" w:eastAsia="Times New Roman" w:hAnsiTheme="minorHAnsi" w:cstheme="minorHAnsi"/>
          <w:color w:val="000000" w:themeColor="text1"/>
        </w:rPr>
        <w:t>ountries (LLDCs).</w:t>
      </w:r>
    </w:p>
    <w:p w14:paraId="24B6C566" w14:textId="77777777" w:rsidR="00E34758" w:rsidRPr="00B64995" w:rsidRDefault="00E34758" w:rsidP="20E610FA">
      <w:pPr>
        <w:shd w:val="clear" w:color="auto" w:fill="FFFFFF" w:themeFill="background1"/>
        <w:spacing w:line="257" w:lineRule="auto"/>
        <w:jc w:val="both"/>
        <w:rPr>
          <w:rFonts w:asciiTheme="minorHAnsi" w:eastAsia="Times New Roman" w:hAnsiTheme="minorHAnsi" w:cstheme="minorHAnsi"/>
          <w:color w:val="000000" w:themeColor="text1"/>
        </w:rPr>
      </w:pPr>
    </w:p>
    <w:p w14:paraId="5F0847A9" w14:textId="6375FAF2" w:rsidR="0049723A" w:rsidRPr="00B64995" w:rsidRDefault="05C32D47" w:rsidP="0088194D">
      <w:pPr>
        <w:spacing w:line="257" w:lineRule="auto"/>
        <w:jc w:val="both"/>
        <w:rPr>
          <w:rFonts w:asciiTheme="minorHAnsi" w:eastAsia="Times New Roman" w:hAnsiTheme="minorHAnsi" w:cstheme="minorHAnsi"/>
          <w:color w:val="000000" w:themeColor="text1"/>
        </w:rPr>
      </w:pPr>
      <w:r w:rsidRPr="00B64995">
        <w:rPr>
          <w:rFonts w:asciiTheme="minorHAnsi" w:eastAsia="Times New Roman" w:hAnsiTheme="minorHAnsi" w:cstheme="minorHAnsi"/>
          <w:color w:val="000000" w:themeColor="text1"/>
        </w:rPr>
        <w:t xml:space="preserve">In capacity development, several regional capacity development workshops were held to </w:t>
      </w:r>
      <w:r w:rsidR="00CB08F6" w:rsidRPr="00B64995">
        <w:rPr>
          <w:rFonts w:asciiTheme="minorHAnsi" w:eastAsia="Times New Roman" w:hAnsiTheme="minorHAnsi" w:cstheme="minorHAnsi"/>
          <w:color w:val="000000" w:themeColor="text1"/>
        </w:rPr>
        <w:t xml:space="preserve">help </w:t>
      </w:r>
      <w:r w:rsidRPr="00B64995">
        <w:rPr>
          <w:rFonts w:asciiTheme="minorHAnsi" w:eastAsia="Times New Roman" w:hAnsiTheme="minorHAnsi" w:cstheme="minorHAnsi"/>
          <w:color w:val="000000" w:themeColor="text1"/>
        </w:rPr>
        <w:t>countries address the knowledge and skills gaps in the ICT sector with a view to empowering people to acquire the digital skills they need to participate and flourish in the digital economy.</w:t>
      </w:r>
    </w:p>
    <w:p w14:paraId="5A63238B" w14:textId="188C7244" w:rsidR="00E34758" w:rsidRPr="00B64995" w:rsidRDefault="00E34758" w:rsidP="0088194D">
      <w:pPr>
        <w:spacing w:line="257" w:lineRule="auto"/>
        <w:jc w:val="both"/>
        <w:rPr>
          <w:rFonts w:asciiTheme="minorHAnsi" w:eastAsia="Times New Roman" w:hAnsiTheme="minorHAnsi" w:cstheme="minorHAnsi"/>
          <w:color w:val="000000" w:themeColor="text1"/>
        </w:rPr>
      </w:pPr>
    </w:p>
    <w:p w14:paraId="79A77326" w14:textId="77777777" w:rsidR="0049723A" w:rsidRPr="00B64995" w:rsidRDefault="05C32D47" w:rsidP="0088194D">
      <w:pPr>
        <w:spacing w:line="257" w:lineRule="auto"/>
        <w:jc w:val="both"/>
        <w:rPr>
          <w:rFonts w:asciiTheme="minorHAnsi" w:eastAsia="Times New Roman" w:hAnsiTheme="minorHAnsi" w:cstheme="minorHAnsi"/>
          <w:color w:val="000000" w:themeColor="text1"/>
        </w:rPr>
      </w:pPr>
      <w:r w:rsidRPr="00B64995">
        <w:rPr>
          <w:rFonts w:asciiTheme="minorHAnsi" w:eastAsia="Times New Roman" w:hAnsiTheme="minorHAnsi" w:cstheme="minorHAnsi"/>
          <w:color w:val="000000" w:themeColor="text1"/>
        </w:rPr>
        <w:t>To help countries develop policies and regulatory frameworks to tackle the issue of e-waste, several country and regional-focused training sessions were organized on e-waste data collection.</w:t>
      </w:r>
    </w:p>
    <w:p w14:paraId="3B41ECA4" w14:textId="276570DC" w:rsidR="00E34758" w:rsidRPr="00B64995" w:rsidRDefault="00E34758" w:rsidP="0088194D">
      <w:pPr>
        <w:spacing w:line="257" w:lineRule="auto"/>
        <w:jc w:val="both"/>
        <w:rPr>
          <w:rFonts w:asciiTheme="minorHAnsi" w:eastAsia="Times New Roman" w:hAnsiTheme="minorHAnsi" w:cstheme="minorHAnsi"/>
          <w:color w:val="000000" w:themeColor="text1"/>
        </w:rPr>
      </w:pPr>
    </w:p>
    <w:p w14:paraId="1AED10D6" w14:textId="6CBCA98D" w:rsidR="0049723A" w:rsidRPr="00B64995" w:rsidRDefault="05C32D47" w:rsidP="0088194D">
      <w:pPr>
        <w:spacing w:line="257" w:lineRule="auto"/>
        <w:jc w:val="both"/>
        <w:rPr>
          <w:rFonts w:asciiTheme="minorHAnsi" w:eastAsia="Times New Roman" w:hAnsiTheme="minorHAnsi" w:cstheme="minorHAnsi"/>
          <w:color w:val="000000" w:themeColor="text1"/>
        </w:rPr>
      </w:pPr>
      <w:r w:rsidRPr="00B64995">
        <w:rPr>
          <w:rFonts w:asciiTheme="minorHAnsi" w:eastAsia="Times New Roman" w:hAnsiTheme="minorHAnsi" w:cstheme="minorHAnsi"/>
          <w:color w:val="000000" w:themeColor="text1"/>
        </w:rPr>
        <w:t xml:space="preserve">Member States and other stakeholders benefited from workshops and training </w:t>
      </w:r>
      <w:r w:rsidR="00DF3021" w:rsidRPr="00B64995">
        <w:rPr>
          <w:rFonts w:asciiTheme="minorHAnsi" w:eastAsia="Times New Roman" w:hAnsiTheme="minorHAnsi" w:cstheme="minorHAnsi"/>
          <w:color w:val="000000" w:themeColor="text1"/>
        </w:rPr>
        <w:t xml:space="preserve">sessions </w:t>
      </w:r>
      <w:r w:rsidRPr="00B64995">
        <w:rPr>
          <w:rFonts w:asciiTheme="minorHAnsi" w:eastAsia="Times New Roman" w:hAnsiTheme="minorHAnsi" w:cstheme="minorHAnsi"/>
          <w:color w:val="000000" w:themeColor="text1"/>
        </w:rPr>
        <w:t xml:space="preserve">on emergency telecommunications and the development of </w:t>
      </w:r>
      <w:r w:rsidR="007C28FE" w:rsidRPr="00B64995">
        <w:rPr>
          <w:rFonts w:asciiTheme="minorHAnsi" w:eastAsia="Times New Roman" w:hAnsiTheme="minorHAnsi" w:cstheme="minorHAnsi"/>
          <w:color w:val="000000" w:themeColor="text1"/>
        </w:rPr>
        <w:t>n</w:t>
      </w:r>
      <w:r w:rsidRPr="00B64995">
        <w:rPr>
          <w:rFonts w:asciiTheme="minorHAnsi" w:eastAsia="Times New Roman" w:hAnsiTheme="minorHAnsi" w:cstheme="minorHAnsi"/>
          <w:color w:val="000000" w:themeColor="text1"/>
        </w:rPr>
        <w:t xml:space="preserve">ational </w:t>
      </w:r>
      <w:r w:rsidR="007C28FE" w:rsidRPr="00B64995">
        <w:rPr>
          <w:rFonts w:asciiTheme="minorHAnsi" w:eastAsia="Times New Roman" w:hAnsiTheme="minorHAnsi" w:cstheme="minorHAnsi"/>
          <w:color w:val="000000" w:themeColor="text1"/>
        </w:rPr>
        <w:t>e</w:t>
      </w:r>
      <w:r w:rsidRPr="00B64995">
        <w:rPr>
          <w:rFonts w:asciiTheme="minorHAnsi" w:eastAsia="Times New Roman" w:hAnsiTheme="minorHAnsi" w:cstheme="minorHAnsi"/>
          <w:color w:val="000000" w:themeColor="text1"/>
        </w:rPr>
        <w:t xml:space="preserve">mergency </w:t>
      </w:r>
      <w:r w:rsidR="007C28FE" w:rsidRPr="00B64995">
        <w:rPr>
          <w:rFonts w:asciiTheme="minorHAnsi" w:eastAsia="Times New Roman" w:hAnsiTheme="minorHAnsi" w:cstheme="minorHAnsi"/>
          <w:color w:val="000000" w:themeColor="text1"/>
        </w:rPr>
        <w:t>t</w:t>
      </w:r>
      <w:r w:rsidRPr="00B64995">
        <w:rPr>
          <w:rFonts w:asciiTheme="minorHAnsi" w:eastAsia="Times New Roman" w:hAnsiTheme="minorHAnsi" w:cstheme="minorHAnsi"/>
          <w:color w:val="000000" w:themeColor="text1"/>
        </w:rPr>
        <w:t xml:space="preserve">elecommunication </w:t>
      </w:r>
      <w:r w:rsidR="007C28FE" w:rsidRPr="00B64995">
        <w:rPr>
          <w:rFonts w:asciiTheme="minorHAnsi" w:eastAsia="Times New Roman" w:hAnsiTheme="minorHAnsi" w:cstheme="minorHAnsi"/>
          <w:color w:val="000000" w:themeColor="text1"/>
        </w:rPr>
        <w:t>p</w:t>
      </w:r>
      <w:r w:rsidRPr="00B64995">
        <w:rPr>
          <w:rFonts w:asciiTheme="minorHAnsi" w:eastAsia="Times New Roman" w:hAnsiTheme="minorHAnsi" w:cstheme="minorHAnsi"/>
          <w:color w:val="000000" w:themeColor="text1"/>
        </w:rPr>
        <w:t>lans.</w:t>
      </w:r>
    </w:p>
    <w:p w14:paraId="496F1BBC" w14:textId="286DE4BE" w:rsidR="00E34758" w:rsidRPr="00B64995" w:rsidRDefault="00E34758" w:rsidP="0088194D">
      <w:pPr>
        <w:spacing w:line="257" w:lineRule="auto"/>
        <w:jc w:val="both"/>
        <w:rPr>
          <w:rFonts w:asciiTheme="minorHAnsi" w:eastAsia="Times New Roman" w:hAnsiTheme="minorHAnsi" w:cstheme="minorHAnsi"/>
          <w:color w:val="000000" w:themeColor="text1"/>
        </w:rPr>
      </w:pPr>
    </w:p>
    <w:p w14:paraId="4538E094" w14:textId="7180C67E" w:rsidR="05C32D47" w:rsidRPr="00B64995" w:rsidRDefault="00DA37C0" w:rsidP="0088194D">
      <w:pPr>
        <w:jc w:val="both"/>
        <w:rPr>
          <w:rFonts w:asciiTheme="minorHAnsi" w:eastAsia="Calibri" w:hAnsiTheme="minorHAnsi" w:cstheme="minorHAnsi"/>
        </w:rPr>
      </w:pPr>
      <w:r w:rsidRPr="00B64995">
        <w:rPr>
          <w:rFonts w:asciiTheme="minorHAnsi" w:eastAsia="Calibri" w:hAnsiTheme="minorHAnsi" w:cstheme="minorHAnsi"/>
        </w:rPr>
        <w:t xml:space="preserve">Over a three-month period from </w:t>
      </w:r>
      <w:r w:rsidR="05C32D47" w:rsidRPr="00B64995">
        <w:rPr>
          <w:rFonts w:asciiTheme="minorHAnsi" w:eastAsia="Calibri" w:hAnsiTheme="minorHAnsi" w:cstheme="minorHAnsi"/>
        </w:rPr>
        <w:t xml:space="preserve">September </w:t>
      </w:r>
      <w:r w:rsidRPr="00B64995">
        <w:rPr>
          <w:rFonts w:asciiTheme="minorHAnsi" w:eastAsia="Calibri" w:hAnsiTheme="minorHAnsi" w:cstheme="minorHAnsi"/>
        </w:rPr>
        <w:t xml:space="preserve">to </w:t>
      </w:r>
      <w:r w:rsidR="05C32D47" w:rsidRPr="00B64995">
        <w:rPr>
          <w:rFonts w:asciiTheme="minorHAnsi" w:eastAsia="Calibri" w:hAnsiTheme="minorHAnsi" w:cstheme="minorHAnsi"/>
        </w:rPr>
        <w:t>November</w:t>
      </w:r>
      <w:r w:rsidR="05C32D47" w:rsidRPr="00B64995">
        <w:rPr>
          <w:rFonts w:asciiTheme="minorHAnsi" w:eastAsia="Calibri" w:hAnsiTheme="minorHAnsi" w:cstheme="minorHAnsi"/>
          <w:b/>
          <w:bCs/>
        </w:rPr>
        <w:t xml:space="preserve"> </w:t>
      </w:r>
      <w:r w:rsidR="05C32D47" w:rsidRPr="00B64995">
        <w:rPr>
          <w:rFonts w:asciiTheme="minorHAnsi" w:eastAsia="Calibri" w:hAnsiTheme="minorHAnsi" w:cstheme="minorHAnsi"/>
        </w:rPr>
        <w:t>online cybersecurity simulation events</w:t>
      </w:r>
      <w:r w:rsidRPr="00B64995">
        <w:rPr>
          <w:rFonts w:asciiTheme="minorHAnsi" w:eastAsia="Calibri" w:hAnsiTheme="minorHAnsi" w:cstheme="minorHAnsi"/>
        </w:rPr>
        <w:t xml:space="preserve"> involving 3</w:t>
      </w:r>
      <w:r w:rsidR="00A060FE">
        <w:rPr>
          <w:rFonts w:asciiTheme="minorHAnsi" w:eastAsia="Calibri" w:hAnsiTheme="minorHAnsi" w:cstheme="minorHAnsi"/>
        </w:rPr>
        <w:t> </w:t>
      </w:r>
      <w:r w:rsidRPr="00B64995">
        <w:rPr>
          <w:rFonts w:asciiTheme="minorHAnsi" w:eastAsia="Calibri" w:hAnsiTheme="minorHAnsi" w:cstheme="minorHAnsi"/>
        </w:rPr>
        <w:t xml:space="preserve">000 participants were held as </w:t>
      </w:r>
      <w:r w:rsidR="05C32D47" w:rsidRPr="00B64995">
        <w:rPr>
          <w:rFonts w:asciiTheme="minorHAnsi" w:eastAsia="Calibri" w:hAnsiTheme="minorHAnsi" w:cstheme="minorHAnsi"/>
        </w:rPr>
        <w:t xml:space="preserve">part of the </w:t>
      </w:r>
      <w:hyperlink r:id="rId388" w:history="1">
        <w:r w:rsidR="05C32D47" w:rsidRPr="00B64995">
          <w:rPr>
            <w:rStyle w:val="Hyperlink"/>
            <w:rFonts w:asciiTheme="minorHAnsi" w:eastAsia="Calibri" w:hAnsiTheme="minorHAnsi" w:cstheme="minorHAnsi"/>
          </w:rPr>
          <w:t xml:space="preserve">2020 Global </w:t>
        </w:r>
        <w:proofErr w:type="spellStart"/>
        <w:r w:rsidR="05C32D47" w:rsidRPr="00B64995">
          <w:rPr>
            <w:rStyle w:val="Hyperlink"/>
            <w:rFonts w:asciiTheme="minorHAnsi" w:eastAsia="Calibri" w:hAnsiTheme="minorHAnsi" w:cstheme="minorHAnsi"/>
          </w:rPr>
          <w:t>Cyberdrill</w:t>
        </w:r>
        <w:proofErr w:type="spellEnd"/>
      </w:hyperlink>
      <w:r w:rsidR="05C32D47" w:rsidRPr="00B64995">
        <w:rPr>
          <w:rFonts w:asciiTheme="minorHAnsi" w:eastAsia="Calibri" w:hAnsiTheme="minorHAnsi" w:cstheme="minorHAnsi"/>
        </w:rPr>
        <w:t xml:space="preserve">; it included </w:t>
      </w:r>
      <w:r w:rsidRPr="00B64995">
        <w:rPr>
          <w:rFonts w:asciiTheme="minorHAnsi" w:eastAsia="Calibri" w:hAnsiTheme="minorHAnsi" w:cstheme="minorHAnsi"/>
        </w:rPr>
        <w:t>six</w:t>
      </w:r>
      <w:r w:rsidR="05C32D47" w:rsidRPr="00B64995">
        <w:rPr>
          <w:rFonts w:asciiTheme="minorHAnsi" w:eastAsia="Calibri" w:hAnsiTheme="minorHAnsi" w:cstheme="minorHAnsi"/>
        </w:rPr>
        <w:t xml:space="preserve"> regional dialogues, </w:t>
      </w:r>
      <w:r w:rsidRPr="00B64995">
        <w:rPr>
          <w:rFonts w:asciiTheme="minorHAnsi" w:eastAsia="Calibri" w:hAnsiTheme="minorHAnsi" w:cstheme="minorHAnsi"/>
        </w:rPr>
        <w:t>three</w:t>
      </w:r>
      <w:r w:rsidR="05C32D47" w:rsidRPr="00B64995">
        <w:rPr>
          <w:rFonts w:asciiTheme="minorHAnsi" w:eastAsia="Calibri" w:hAnsiTheme="minorHAnsi" w:cstheme="minorHAnsi"/>
        </w:rPr>
        <w:t xml:space="preserve"> webinar sessions, </w:t>
      </w:r>
      <w:r w:rsidRPr="00B64995">
        <w:rPr>
          <w:rFonts w:asciiTheme="minorHAnsi" w:eastAsia="Calibri" w:hAnsiTheme="minorHAnsi" w:cstheme="minorHAnsi"/>
        </w:rPr>
        <w:t xml:space="preserve">six </w:t>
      </w:r>
      <w:r w:rsidR="05C32D47" w:rsidRPr="00B64995">
        <w:rPr>
          <w:rFonts w:asciiTheme="minorHAnsi" w:eastAsia="Calibri" w:hAnsiTheme="minorHAnsi" w:cstheme="minorHAnsi"/>
        </w:rPr>
        <w:t xml:space="preserve">training sessions and </w:t>
      </w:r>
      <w:r w:rsidRPr="00B64995">
        <w:rPr>
          <w:rFonts w:asciiTheme="minorHAnsi" w:eastAsia="Calibri" w:hAnsiTheme="minorHAnsi" w:cstheme="minorHAnsi"/>
        </w:rPr>
        <w:t xml:space="preserve">six </w:t>
      </w:r>
      <w:r w:rsidR="05C32D47" w:rsidRPr="00B64995">
        <w:rPr>
          <w:rFonts w:asciiTheme="minorHAnsi" w:eastAsia="Calibri" w:hAnsiTheme="minorHAnsi" w:cstheme="minorHAnsi"/>
        </w:rPr>
        <w:t>scenario-based exercises to help build capacity within Member States to manage cyber risks and enhance the communication and incident response capabilities of CIRTs and CSIRTs.</w:t>
      </w:r>
    </w:p>
    <w:p w14:paraId="3DAE8A4E" w14:textId="77777777" w:rsidR="0049723A" w:rsidRPr="00B64995" w:rsidRDefault="0049723A" w:rsidP="0088194D">
      <w:pPr>
        <w:jc w:val="both"/>
        <w:rPr>
          <w:rFonts w:asciiTheme="minorHAnsi" w:eastAsia="Calibri" w:hAnsiTheme="minorHAnsi" w:cstheme="minorHAnsi"/>
        </w:rPr>
      </w:pPr>
    </w:p>
    <w:p w14:paraId="12FB7C59" w14:textId="6B3686B7" w:rsidR="05C32D47" w:rsidRPr="00B64995" w:rsidRDefault="05C32D47" w:rsidP="0088194D">
      <w:pPr>
        <w:jc w:val="both"/>
        <w:rPr>
          <w:rFonts w:asciiTheme="minorHAnsi" w:eastAsia="Calibri" w:hAnsiTheme="minorHAnsi" w:cstheme="minorHAnsi"/>
        </w:rPr>
      </w:pPr>
      <w:r w:rsidRPr="00B64995">
        <w:rPr>
          <w:rFonts w:asciiTheme="minorHAnsi" w:eastAsia="Calibri" w:hAnsiTheme="minorHAnsi" w:cstheme="minorHAnsi"/>
        </w:rPr>
        <w:t xml:space="preserve">PRIDA, </w:t>
      </w:r>
      <w:r w:rsidRPr="00B64995">
        <w:rPr>
          <w:rFonts w:asciiTheme="minorHAnsi" w:eastAsia="Calibri" w:hAnsiTheme="minorHAnsi" w:cstheme="minorHAnsi"/>
          <w:color w:val="000000" w:themeColor="text1"/>
        </w:rPr>
        <w:t>a joint initiative of the African Union, the European Union and ITU</w:t>
      </w:r>
      <w:r w:rsidRPr="00B64995">
        <w:rPr>
          <w:rFonts w:asciiTheme="minorHAnsi" w:eastAsia="Calibri" w:hAnsiTheme="minorHAnsi" w:cstheme="minorHAnsi"/>
        </w:rPr>
        <w:t xml:space="preserve"> run eight capacity building workshops training 573 engineers from </w:t>
      </w:r>
      <w:r w:rsidR="00DA37C0" w:rsidRPr="00B64995">
        <w:rPr>
          <w:rFonts w:asciiTheme="minorHAnsi" w:eastAsia="Calibri" w:hAnsiTheme="minorHAnsi" w:cstheme="minorHAnsi"/>
        </w:rPr>
        <w:t>r</w:t>
      </w:r>
      <w:r w:rsidRPr="00B64995">
        <w:rPr>
          <w:rFonts w:asciiTheme="minorHAnsi" w:eastAsia="Calibri" w:hAnsiTheme="minorHAnsi" w:cstheme="minorHAnsi"/>
        </w:rPr>
        <w:t xml:space="preserve">egulatory </w:t>
      </w:r>
      <w:r w:rsidR="00DA37C0" w:rsidRPr="00B64995">
        <w:rPr>
          <w:rFonts w:asciiTheme="minorHAnsi" w:eastAsia="Calibri" w:hAnsiTheme="minorHAnsi" w:cstheme="minorHAnsi"/>
        </w:rPr>
        <w:t>a</w:t>
      </w:r>
      <w:r w:rsidRPr="00B64995">
        <w:rPr>
          <w:rFonts w:asciiTheme="minorHAnsi" w:eastAsia="Calibri" w:hAnsiTheme="minorHAnsi" w:cstheme="minorHAnsi"/>
        </w:rPr>
        <w:t>uthorities belonging to 48 African countries.</w:t>
      </w:r>
    </w:p>
    <w:p w14:paraId="6F8BB66A" w14:textId="77777777" w:rsidR="0049723A" w:rsidRPr="00B64995" w:rsidRDefault="0049723A" w:rsidP="0032050F">
      <w:pPr>
        <w:jc w:val="both"/>
        <w:rPr>
          <w:rFonts w:asciiTheme="minorHAnsi" w:eastAsia="Calibri" w:hAnsiTheme="minorHAnsi" w:cstheme="minorHAnsi"/>
        </w:rPr>
      </w:pPr>
    </w:p>
    <w:p w14:paraId="3E8C5927" w14:textId="312B5CF0" w:rsidR="0032050F" w:rsidRPr="00B64995" w:rsidRDefault="0032050F" w:rsidP="0032050F">
      <w:pPr>
        <w:spacing w:line="257" w:lineRule="auto"/>
        <w:jc w:val="both"/>
        <w:rPr>
          <w:rFonts w:ascii="Times New Roman" w:eastAsia="Times New Roman" w:hAnsi="Times New Roman" w:cs="Times New Roman"/>
          <w:sz w:val="24"/>
          <w:szCs w:val="24"/>
        </w:rPr>
      </w:pPr>
      <w:r w:rsidRPr="00B64995">
        <w:rPr>
          <w:rFonts w:eastAsia="Calibri"/>
          <w:color w:val="000000" w:themeColor="text1"/>
        </w:rPr>
        <w:t xml:space="preserve">ITU-D Study Groups organized a series of web dialogues to share an analysis of the response to the global COVID-19 pandemic from the perspective of specific ITU-D Study Group questions. The </w:t>
      </w:r>
      <w:hyperlink r:id="rId389" w:history="1">
        <w:r w:rsidRPr="00B64995">
          <w:rPr>
            <w:rStyle w:val="Hyperlink"/>
            <w:rFonts w:eastAsia="Calibri"/>
          </w:rPr>
          <w:t>dialogues</w:t>
        </w:r>
      </w:hyperlink>
      <w:r w:rsidRPr="00A060FE">
        <w:rPr>
          <w:rFonts w:eastAsia="Calibri"/>
          <w:color w:val="000000" w:themeColor="text1"/>
        </w:rPr>
        <w:t xml:space="preserve"> focused on ways to leverage </w:t>
      </w:r>
      <w:r w:rsidRPr="00B64995">
        <w:rPr>
          <w:rFonts w:eastAsia="Calibri"/>
          <w:color w:val="000000" w:themeColor="text1"/>
        </w:rPr>
        <w:t xml:space="preserve">specific ICT aspects </w:t>
      </w:r>
      <w:r w:rsidR="00DA37C0" w:rsidRPr="00B64995">
        <w:rPr>
          <w:rFonts w:eastAsia="Calibri"/>
          <w:color w:val="000000" w:themeColor="text1"/>
        </w:rPr>
        <w:t xml:space="preserve">in </w:t>
      </w:r>
      <w:r w:rsidRPr="00B64995">
        <w:rPr>
          <w:rFonts w:eastAsia="Calibri"/>
          <w:color w:val="000000" w:themeColor="text1"/>
        </w:rPr>
        <w:t>the current COVID-19 crisis to ensure business continuity contributes towards social goals and enable fair innovation opportunities.</w:t>
      </w:r>
    </w:p>
    <w:p w14:paraId="5089F1DB" w14:textId="77777777" w:rsidR="000469CD" w:rsidRPr="00B64995" w:rsidRDefault="000469CD" w:rsidP="00614D53">
      <w:pPr>
        <w:shd w:val="clear" w:color="auto" w:fill="FFFFFF"/>
        <w:jc w:val="both"/>
        <w:textAlignment w:val="baseline"/>
      </w:pPr>
    </w:p>
    <w:p w14:paraId="773FF065" w14:textId="7287F240" w:rsidR="00E417F0" w:rsidRPr="00B64995" w:rsidRDefault="00026FC6" w:rsidP="00026FC6">
      <w:pPr>
        <w:pStyle w:val="Heading2"/>
        <w:rPr>
          <w:lang w:eastAsia="en-GB"/>
        </w:rPr>
      </w:pPr>
      <w:bookmarkStart w:id="82" w:name="_Toc37860465"/>
      <w:bookmarkStart w:id="83" w:name="_Toc37861226"/>
      <w:bookmarkStart w:id="84" w:name="_Toc37943349"/>
      <w:bookmarkStart w:id="85" w:name="Section_1_11"/>
      <w:bookmarkStart w:id="86" w:name="_Toc68811415"/>
      <w:r w:rsidRPr="00B64995">
        <w:rPr>
          <w:lang w:eastAsia="en-GB"/>
        </w:rPr>
        <w:t>1.11</w:t>
      </w:r>
      <w:r w:rsidRPr="00B64995">
        <w:rPr>
          <w:lang w:eastAsia="en-GB"/>
        </w:rPr>
        <w:tab/>
      </w:r>
      <w:r w:rsidR="005B353D" w:rsidRPr="00B64995">
        <w:rPr>
          <w:lang w:eastAsia="en-GB"/>
        </w:rPr>
        <w:t>Key events</w:t>
      </w:r>
      <w:bookmarkEnd w:id="82"/>
      <w:bookmarkEnd w:id="83"/>
      <w:bookmarkEnd w:id="84"/>
      <w:bookmarkEnd w:id="85"/>
      <w:bookmarkEnd w:id="86"/>
    </w:p>
    <w:p w14:paraId="5AE48A43" w14:textId="77777777" w:rsidR="00951E14" w:rsidRPr="00B64995" w:rsidRDefault="00951E14" w:rsidP="00DD1779">
      <w:pPr>
        <w:keepNext/>
        <w:keepLines/>
        <w:jc w:val="both"/>
        <w:textAlignment w:val="baseline"/>
        <w:rPr>
          <w:rFonts w:eastAsia="Times New Roman"/>
          <w:color w:val="548DD4"/>
          <w:lang w:eastAsia="en-GB"/>
        </w:rPr>
      </w:pPr>
    </w:p>
    <w:p w14:paraId="34E8CB2B" w14:textId="77777777" w:rsidR="00B62111" w:rsidRPr="00B64995" w:rsidRDefault="00B62111" w:rsidP="00B62111">
      <w:pPr>
        <w:pStyle w:val="Heading5"/>
        <w:rPr>
          <w:lang w:eastAsia="en-GB"/>
        </w:rPr>
      </w:pPr>
      <w:r w:rsidRPr="00B64995">
        <w:rPr>
          <w:lang w:eastAsia="en-GB"/>
        </w:rPr>
        <w:t>World Telecommunication and Information Society Day (WTISD)</w:t>
      </w:r>
    </w:p>
    <w:p w14:paraId="61C6F960" w14:textId="5D296ECA" w:rsidR="00B62111" w:rsidRPr="00A060FE" w:rsidRDefault="00985EC4" w:rsidP="00985EC4">
      <w:pPr>
        <w:jc w:val="both"/>
        <w:rPr>
          <w:lang w:eastAsia="en-GB"/>
        </w:rPr>
      </w:pPr>
      <w:r w:rsidRPr="00B64995">
        <w:rPr>
          <w:lang w:eastAsia="en-GB"/>
        </w:rPr>
        <w:t>The World Telecommunication and Information Society Day, held annually on 17 May, had its 50</w:t>
      </w:r>
      <w:r w:rsidRPr="00B64995">
        <w:rPr>
          <w:vertAlign w:val="superscript"/>
          <w:lang w:eastAsia="en-GB"/>
        </w:rPr>
        <w:t>th</w:t>
      </w:r>
      <w:r w:rsidRPr="00B64995">
        <w:rPr>
          <w:lang w:eastAsia="en-GB"/>
        </w:rPr>
        <w:t xml:space="preserve"> edition in 2019. The theme approved </w:t>
      </w:r>
      <w:r w:rsidR="00DA37C0" w:rsidRPr="00B64995">
        <w:rPr>
          <w:lang w:eastAsia="en-GB"/>
        </w:rPr>
        <w:t xml:space="preserve">by </w:t>
      </w:r>
      <w:r w:rsidRPr="00B64995">
        <w:rPr>
          <w:lang w:eastAsia="en-GB"/>
        </w:rPr>
        <w:t xml:space="preserve">Member States for 2019 was </w:t>
      </w:r>
      <w:hyperlink r:id="rId390" w:history="1">
        <w:r w:rsidRPr="00B64995">
          <w:rPr>
            <w:rStyle w:val="Hyperlink"/>
            <w:lang w:eastAsia="en-GB"/>
          </w:rPr>
          <w:t>"Bridging the Standardization Gap"</w:t>
        </w:r>
      </w:hyperlink>
      <w:r w:rsidRPr="00A060FE">
        <w:rPr>
          <w:lang w:eastAsia="en-GB"/>
        </w:rPr>
        <w:t xml:space="preserve">, to promote the increased participation of developing countries in ITU’s standardization process with a view to bridging the standardization gap. </w:t>
      </w:r>
      <w:proofErr w:type="gramStart"/>
      <w:r w:rsidRPr="00A060FE">
        <w:rPr>
          <w:lang w:eastAsia="en-GB"/>
        </w:rPr>
        <w:t>Therefore</w:t>
      </w:r>
      <w:proofErr w:type="gramEnd"/>
      <w:r w:rsidRPr="00A060FE">
        <w:rPr>
          <w:lang w:eastAsia="en-GB"/>
        </w:rPr>
        <w:t xml:space="preserve"> the focus was on the opportunities for participation of developing countries in ITU’s standards-mak</w:t>
      </w:r>
      <w:r w:rsidRPr="00B64995">
        <w:rPr>
          <w:lang w:eastAsia="en-GB"/>
        </w:rPr>
        <w:t xml:space="preserve">ing process, by empowering local experts in the standardization process at the national, regional and international levels as well as promoting the implementation of international standards in developing countries.​ Six </w:t>
      </w:r>
      <w:r w:rsidR="00DA37C0" w:rsidRPr="00B64995">
        <w:rPr>
          <w:lang w:eastAsia="en-GB"/>
        </w:rPr>
        <w:t xml:space="preserve">prizes </w:t>
      </w:r>
      <w:r w:rsidRPr="00B64995">
        <w:rPr>
          <w:lang w:eastAsia="en-GB"/>
        </w:rPr>
        <w:t xml:space="preserve">in five categories were awarded for work </w:t>
      </w:r>
      <w:r w:rsidR="00DA37C0" w:rsidRPr="00B64995">
        <w:rPr>
          <w:lang w:eastAsia="en-GB"/>
        </w:rPr>
        <w:t xml:space="preserve">done </w:t>
      </w:r>
      <w:r w:rsidRPr="00B64995">
        <w:rPr>
          <w:lang w:eastAsia="en-GB"/>
        </w:rPr>
        <w:t xml:space="preserve">to bridge the standardization gap. An archive of the celebrations is available </w:t>
      </w:r>
      <w:hyperlink r:id="rId391" w:history="1">
        <w:r w:rsidRPr="00B64995">
          <w:rPr>
            <w:rStyle w:val="Hyperlink"/>
            <w:lang w:eastAsia="en-GB"/>
          </w:rPr>
          <w:t>online</w:t>
        </w:r>
      </w:hyperlink>
      <w:r w:rsidRPr="00A060FE">
        <w:rPr>
          <w:lang w:eastAsia="en-GB"/>
        </w:rPr>
        <w:t xml:space="preserve">. </w:t>
      </w:r>
    </w:p>
    <w:p w14:paraId="2959C007" w14:textId="77777777" w:rsidR="00B62111" w:rsidRPr="00B64995" w:rsidRDefault="00B62111" w:rsidP="00B62111">
      <w:pPr>
        <w:jc w:val="both"/>
        <w:rPr>
          <w:lang w:eastAsia="en-GB"/>
        </w:rPr>
      </w:pPr>
    </w:p>
    <w:p w14:paraId="73289273" w14:textId="48159435" w:rsidR="00B62111" w:rsidRPr="00B64995" w:rsidRDefault="00B62111" w:rsidP="00B62111">
      <w:pPr>
        <w:jc w:val="both"/>
        <w:rPr>
          <w:rFonts w:eastAsia="Calibri"/>
          <w:lang w:eastAsia="en-GB"/>
        </w:rPr>
      </w:pPr>
      <w:r w:rsidRPr="00B64995">
        <w:rPr>
          <w:rFonts w:eastAsia="Calibri"/>
          <w:lang w:eastAsia="en-GB"/>
        </w:rPr>
        <w:t>The theme for WTISD 2020</w:t>
      </w:r>
      <w:r w:rsidR="00DA37C0" w:rsidRPr="00B64995">
        <w:rPr>
          <w:rFonts w:eastAsia="Calibri"/>
          <w:lang w:eastAsia="en-GB"/>
        </w:rPr>
        <w:t xml:space="preserve"> was</w:t>
      </w:r>
      <w:r w:rsidRPr="00B64995">
        <w:rPr>
          <w:rFonts w:eastAsia="Calibri"/>
          <w:lang w:eastAsia="en-GB"/>
        </w:rPr>
        <w:t xml:space="preserve"> “</w:t>
      </w:r>
      <w:hyperlink r:id="rId392" w:history="1">
        <w:r w:rsidRPr="00B64995">
          <w:rPr>
            <w:rStyle w:val="Hyperlink"/>
            <w:rFonts w:eastAsia="Calibri"/>
            <w:lang w:eastAsia="en-GB"/>
          </w:rPr>
          <w:t>Connect 2030: ICTs for the Sustainable Development Goals (SDGs)</w:t>
        </w:r>
      </w:hyperlink>
      <w:r w:rsidRPr="00A060FE">
        <w:rPr>
          <w:rFonts w:eastAsia="Calibri"/>
          <w:lang w:eastAsia="en-GB"/>
        </w:rPr>
        <w:t>”. WTISD</w:t>
      </w:r>
      <w:r w:rsidR="00691767" w:rsidRPr="00B64995">
        <w:rPr>
          <w:rFonts w:eastAsia="Calibri"/>
          <w:lang w:eastAsia="en-GB"/>
        </w:rPr>
        <w:t> </w:t>
      </w:r>
      <w:r w:rsidRPr="00B64995">
        <w:rPr>
          <w:rFonts w:eastAsia="Calibri"/>
          <w:lang w:eastAsia="en-GB"/>
        </w:rPr>
        <w:t>20 reinforced ITU’s commitment to connect everyone, everywhere, while showing how ICTs can contribute to accelerating the achievement of the UN 2030 Agenda for Sustainable Development and promote the Connect 2030 Agenda for Global Telecommunication/ICT Development (Resolution 200</w:t>
      </w:r>
      <w:r w:rsidR="00691767" w:rsidRPr="00B64995">
        <w:rPr>
          <w:rFonts w:eastAsia="Calibri"/>
          <w:lang w:eastAsia="en-GB"/>
        </w:rPr>
        <w:t xml:space="preserve"> (</w:t>
      </w:r>
      <w:r w:rsidRPr="00B64995">
        <w:rPr>
          <w:rFonts w:eastAsia="Calibri"/>
          <w:lang w:eastAsia="en-GB"/>
        </w:rPr>
        <w:t>Rev. Dubai, 2018)</w:t>
      </w:r>
      <w:r w:rsidR="00691767" w:rsidRPr="00B64995">
        <w:rPr>
          <w:rFonts w:eastAsia="Calibri"/>
          <w:lang w:eastAsia="en-GB"/>
        </w:rPr>
        <w:t xml:space="preserve"> of the Plenipotentiary Conference)</w:t>
      </w:r>
      <w:r w:rsidRPr="00B64995">
        <w:rPr>
          <w:rFonts w:eastAsia="Calibri"/>
          <w:lang w:eastAsia="en-GB"/>
        </w:rPr>
        <w:t xml:space="preserve">. WTISD 2020 was an opportunity to affirm </w:t>
      </w:r>
      <w:r w:rsidRPr="00B64995">
        <w:rPr>
          <w:rFonts w:eastAsia="Calibri"/>
          <w:lang w:eastAsia="en-GB"/>
        </w:rPr>
        <w:lastRenderedPageBreak/>
        <w:t>a shared global vision where telecommunications/ICTs enable and accelerate social, economic, and environmentally sustainable growth and development for everyone, everywhere. Due to the COVID-19 pandemic, the event took place in a fully virtual format for the first time, bringing together ITU partners to showcase how ICTs can accelerate the achievement of the SDGs, as well as to share how ICTs are used to respond to the COVID-19 pandemic. By presenting how they use the technology on the ground, different stakeholders showed how they help ensure business continuity during this period, while highlighting the potential of ICTs as enablers of development, as well as the importance of enhancing collaboration and cooperation across countries and sectors.</w:t>
      </w:r>
    </w:p>
    <w:p w14:paraId="1D287A4E" w14:textId="77777777" w:rsidR="00B62111" w:rsidRPr="00B64995" w:rsidRDefault="00B62111" w:rsidP="00A83DAA">
      <w:pPr>
        <w:pStyle w:val="Heading5"/>
        <w:rPr>
          <w:lang w:eastAsia="en-GB"/>
        </w:rPr>
      </w:pPr>
    </w:p>
    <w:p w14:paraId="69989E74" w14:textId="77777777" w:rsidR="0049723A" w:rsidRPr="00B64995" w:rsidRDefault="002A6ED0" w:rsidP="00A83DAA">
      <w:pPr>
        <w:pStyle w:val="Heading5"/>
        <w:rPr>
          <w:lang w:eastAsia="en-GB"/>
        </w:rPr>
      </w:pPr>
      <w:r w:rsidRPr="00B64995">
        <w:rPr>
          <w:lang w:eastAsia="en-GB"/>
        </w:rPr>
        <w:t>WSIS Forum</w:t>
      </w:r>
    </w:p>
    <w:p w14:paraId="497E86BF" w14:textId="7A1DC716" w:rsidR="002A6ED0" w:rsidRPr="00B87922" w:rsidRDefault="002A6ED0" w:rsidP="00464BDA">
      <w:pPr>
        <w:ind w:left="555" w:hanging="555"/>
        <w:jc w:val="both"/>
        <w:rPr>
          <w:rFonts w:ascii="Calibri Light" w:eastAsia="Calibri Light" w:hAnsi="Calibri Light" w:cs="Calibri Light"/>
          <w:bCs/>
          <w:color w:val="2F5496" w:themeColor="accent1" w:themeShade="BF"/>
        </w:rPr>
      </w:pPr>
      <w:r w:rsidRPr="00B64995">
        <w:rPr>
          <w:rFonts w:ascii="Calibri Light" w:eastAsia="Calibri Light" w:hAnsi="Calibri Light" w:cs="Calibri Light"/>
          <w:b/>
          <w:bCs/>
          <w:color w:val="2F5496" w:themeColor="accent1" w:themeShade="BF"/>
        </w:rPr>
        <w:t>2019</w:t>
      </w:r>
    </w:p>
    <w:p w14:paraId="28F8FDB1" w14:textId="72D8FA60" w:rsidR="0049723A" w:rsidRPr="00B64995" w:rsidRDefault="00C66912" w:rsidP="0012722A">
      <w:pPr>
        <w:keepNext/>
        <w:keepLines/>
        <w:jc w:val="both"/>
        <w:rPr>
          <w:lang w:eastAsia="en-GB"/>
        </w:rPr>
      </w:pPr>
      <w:r w:rsidRPr="00A060FE">
        <w:rPr>
          <w:lang w:eastAsia="en-GB"/>
        </w:rPr>
        <w:t xml:space="preserve">Held from 8-12 April 2019 in Geneva (Switzerland) the World Summit on the Information Society (WSIS) Forum 2019 was co-organized by ITU, UNESCO, UNCTAD and UNDP, in close collaboration with all UN agencies. </w:t>
      </w:r>
      <w:r w:rsidR="002A6ED0" w:rsidRPr="00B64995">
        <w:rPr>
          <w:lang w:eastAsia="en-GB"/>
        </w:rPr>
        <w:t>More than 3</w:t>
      </w:r>
      <w:r w:rsidR="00A060FE">
        <w:rPr>
          <w:lang w:eastAsia="en-GB"/>
        </w:rPr>
        <w:t> </w:t>
      </w:r>
      <w:r w:rsidR="002A6ED0" w:rsidRPr="00B64995">
        <w:rPr>
          <w:lang w:eastAsia="en-GB"/>
        </w:rPr>
        <w:t xml:space="preserve">000 </w:t>
      </w:r>
      <w:r w:rsidR="00242445" w:rsidRPr="00B64995">
        <w:rPr>
          <w:lang w:eastAsia="en-GB"/>
        </w:rPr>
        <w:t xml:space="preserve">individuals representing a large variety of </w:t>
      </w:r>
      <w:r w:rsidR="002A6ED0" w:rsidRPr="00B64995">
        <w:rPr>
          <w:lang w:eastAsia="en-GB"/>
        </w:rPr>
        <w:t xml:space="preserve">ICT </w:t>
      </w:r>
      <w:r w:rsidR="006C4651" w:rsidRPr="00B64995">
        <w:rPr>
          <w:lang w:eastAsia="en-GB"/>
        </w:rPr>
        <w:t xml:space="preserve">stakeholders </w:t>
      </w:r>
      <w:r w:rsidR="002A6ED0" w:rsidRPr="00B64995">
        <w:rPr>
          <w:lang w:eastAsia="en-GB"/>
        </w:rPr>
        <w:t>participated to foster partnerships, showcase innovation, exchange best practices</w:t>
      </w:r>
      <w:r w:rsidR="00D63A19" w:rsidRPr="00B64995">
        <w:rPr>
          <w:lang w:eastAsia="en-GB"/>
        </w:rPr>
        <w:t>,</w:t>
      </w:r>
      <w:r w:rsidR="002A6ED0" w:rsidRPr="00B64995">
        <w:rPr>
          <w:lang w:eastAsia="en-GB"/>
        </w:rPr>
        <w:t xml:space="preserve"> and announce new tools and initiatives.</w:t>
      </w:r>
      <w:r w:rsidR="002B5C5A" w:rsidRPr="00B64995">
        <w:rPr>
          <w:lang w:eastAsia="en-GB"/>
        </w:rPr>
        <w:t xml:space="preserve"> </w:t>
      </w:r>
      <w:r w:rsidR="002A6ED0" w:rsidRPr="00B64995">
        <w:rPr>
          <w:lang w:eastAsia="en-GB"/>
        </w:rPr>
        <w:t>It featured over 300 content-rich</w:t>
      </w:r>
      <w:r w:rsidR="005D6454" w:rsidRPr="00B64995">
        <w:rPr>
          <w:lang w:eastAsia="en-GB"/>
        </w:rPr>
        <w:t xml:space="preserve"> sessions</w:t>
      </w:r>
      <w:r w:rsidR="002A6ED0" w:rsidRPr="00B64995">
        <w:rPr>
          <w:lang w:eastAsia="en-GB"/>
        </w:rPr>
        <w:t xml:space="preserve"> from over 150 countries </w:t>
      </w:r>
      <w:r w:rsidR="004712FF" w:rsidRPr="00B64995">
        <w:rPr>
          <w:lang w:eastAsia="en-GB"/>
        </w:rPr>
        <w:t xml:space="preserve">and </w:t>
      </w:r>
      <w:r w:rsidR="002A6ED0" w:rsidRPr="00B64995">
        <w:rPr>
          <w:lang w:eastAsia="en-GB"/>
        </w:rPr>
        <w:t xml:space="preserve">over 500 high-level representatives of the wider WSIS </w:t>
      </w:r>
      <w:r w:rsidR="00691767" w:rsidRPr="00B64995">
        <w:rPr>
          <w:lang w:eastAsia="en-GB"/>
        </w:rPr>
        <w:t>s</w:t>
      </w:r>
      <w:r w:rsidR="002A6ED0" w:rsidRPr="00B64995">
        <w:rPr>
          <w:lang w:eastAsia="en-GB"/>
        </w:rPr>
        <w:t>takeholder community. This year's programm</w:t>
      </w:r>
      <w:r w:rsidR="00A0338D" w:rsidRPr="00B64995">
        <w:rPr>
          <w:lang w:eastAsia="en-GB"/>
        </w:rPr>
        <w:t>e</w:t>
      </w:r>
      <w:r w:rsidR="002A6ED0" w:rsidRPr="00B64995">
        <w:rPr>
          <w:lang w:eastAsia="en-GB"/>
        </w:rPr>
        <w:t xml:space="preserve"> focused on highlighting the linkages between SDG priority areas such as health, hunger, ICT accessibility, education, youth inclusion, employment, gender empowerment, the environment, </w:t>
      </w:r>
      <w:proofErr w:type="gramStart"/>
      <w:r w:rsidR="002A6ED0" w:rsidRPr="00B64995">
        <w:rPr>
          <w:lang w:eastAsia="en-GB"/>
        </w:rPr>
        <w:t>infrastructure</w:t>
      </w:r>
      <w:proofErr w:type="gramEnd"/>
      <w:r w:rsidR="002A6ED0" w:rsidRPr="00B64995">
        <w:rPr>
          <w:lang w:eastAsia="en-GB"/>
        </w:rPr>
        <w:t xml:space="preserve"> and innovation and the WSIS Action Lines. </w:t>
      </w:r>
      <w:r w:rsidR="003A5064" w:rsidRPr="00B64995">
        <w:rPr>
          <w:lang w:eastAsia="en-GB"/>
        </w:rPr>
        <w:t xml:space="preserve">The forum also included the announcement of the </w:t>
      </w:r>
      <w:r w:rsidR="00691767" w:rsidRPr="00B64995">
        <w:rPr>
          <w:lang w:eastAsia="en-GB"/>
        </w:rPr>
        <w:t xml:space="preserve">winners and champions for the </w:t>
      </w:r>
      <w:r w:rsidR="003A5064" w:rsidRPr="00B64995">
        <w:rPr>
          <w:lang w:eastAsia="en-GB"/>
        </w:rPr>
        <w:t>WSIS Prizes 2019.</w:t>
      </w:r>
    </w:p>
    <w:p w14:paraId="1850DF86" w14:textId="4DEA1A1F" w:rsidR="0012722A" w:rsidRPr="00B64995" w:rsidRDefault="0012722A" w:rsidP="0012722A">
      <w:pPr>
        <w:keepNext/>
        <w:keepLines/>
        <w:jc w:val="both"/>
        <w:rPr>
          <w:lang w:eastAsia="en-GB"/>
        </w:rPr>
      </w:pPr>
    </w:p>
    <w:p w14:paraId="3662D0CA" w14:textId="77777777" w:rsidR="0049723A" w:rsidRPr="00B64995" w:rsidRDefault="002A6ED0" w:rsidP="0012722A">
      <w:pPr>
        <w:jc w:val="both"/>
        <w:rPr>
          <w:lang w:eastAsia="en-GB"/>
        </w:rPr>
      </w:pPr>
      <w:r w:rsidRPr="00B64995">
        <w:rPr>
          <w:lang w:eastAsia="en-GB"/>
        </w:rPr>
        <w:t>The concrete outcomes of WSIS Forum 2019</w:t>
      </w:r>
      <w:r w:rsidR="002B5C5A" w:rsidRPr="00B64995">
        <w:rPr>
          <w:lang w:eastAsia="en-GB"/>
        </w:rPr>
        <w:t xml:space="preserve"> </w:t>
      </w:r>
      <w:r w:rsidRPr="00B64995">
        <w:rPr>
          <w:lang w:eastAsia="en-GB"/>
        </w:rPr>
        <w:t xml:space="preserve">include </w:t>
      </w:r>
      <w:r w:rsidRPr="00B64995">
        <w:rPr>
          <w:rFonts w:eastAsia="Times New Roman"/>
          <w:lang w:eastAsia="en-GB"/>
        </w:rPr>
        <w:t>the recognition by the Ministerial Round Table participants of the importance of the WSIS Action Lines as a key UN framework for work on the information and knowledge societies</w:t>
      </w:r>
      <w:r w:rsidR="006B5BBB" w:rsidRPr="00B64995">
        <w:rPr>
          <w:rFonts w:eastAsia="Times New Roman"/>
          <w:lang w:eastAsia="en-GB"/>
        </w:rPr>
        <w:t>,</w:t>
      </w:r>
      <w:r w:rsidRPr="00B64995">
        <w:rPr>
          <w:rFonts w:eastAsia="Times New Roman"/>
          <w:lang w:eastAsia="en-GB"/>
        </w:rPr>
        <w:t xml:space="preserve"> and the UN Group on the Information Society</w:t>
      </w:r>
      <w:r w:rsidR="00FE3DEA" w:rsidRPr="00B64995">
        <w:rPr>
          <w:rFonts w:eastAsia="Times New Roman"/>
          <w:lang w:eastAsia="en-GB"/>
        </w:rPr>
        <w:t>’s</w:t>
      </w:r>
      <w:r w:rsidRPr="00B64995">
        <w:rPr>
          <w:rFonts w:eastAsia="Times New Roman"/>
          <w:lang w:eastAsia="en-GB"/>
        </w:rPr>
        <w:t xml:space="preserve"> (UNGIS) Joint Statement at High-Level Political Forum 2019 reiterating the commitment to the WSIS Action Lines implementation and alignment of the WSIS and SDG processes. </w:t>
      </w:r>
      <w:r w:rsidR="006B5BBB" w:rsidRPr="00B64995">
        <w:rPr>
          <w:lang w:eastAsia="en-GB"/>
        </w:rPr>
        <w:t xml:space="preserve">Highlights and outcomes of the WSIS Forum 2019 are available on the </w:t>
      </w:r>
      <w:hyperlink r:id="rId393">
        <w:r w:rsidR="006B5BBB" w:rsidRPr="00B64995">
          <w:rPr>
            <w:rStyle w:val="Hyperlink"/>
            <w:lang w:eastAsia="en-GB"/>
          </w:rPr>
          <w:t>dedicated website</w:t>
        </w:r>
      </w:hyperlink>
      <w:r w:rsidR="006B5BBB" w:rsidRPr="00A060FE">
        <w:rPr>
          <w:lang w:eastAsia="en-GB"/>
        </w:rPr>
        <w:t>.</w:t>
      </w:r>
    </w:p>
    <w:p w14:paraId="194CCA28" w14:textId="39E8E340" w:rsidR="003C23CD" w:rsidRPr="00B64995" w:rsidRDefault="003C23CD" w:rsidP="0012722A">
      <w:pPr>
        <w:jc w:val="both"/>
        <w:rPr>
          <w:lang w:eastAsia="en-GB"/>
        </w:rPr>
      </w:pPr>
    </w:p>
    <w:p w14:paraId="7B6F66B7" w14:textId="66A05DA6" w:rsidR="0049723A" w:rsidRPr="00B64995" w:rsidRDefault="3F2EEA4D" w:rsidP="00F77099">
      <w:pPr>
        <w:ind w:left="555" w:hanging="555"/>
        <w:jc w:val="both"/>
        <w:rPr>
          <w:rFonts w:ascii="Calibri Light" w:eastAsia="Calibri Light" w:hAnsi="Calibri Light" w:cs="Calibri Light"/>
          <w:b/>
          <w:bCs/>
          <w:color w:val="2F5496" w:themeColor="accent1" w:themeShade="BF"/>
        </w:rPr>
      </w:pPr>
      <w:r w:rsidRPr="00B64995">
        <w:rPr>
          <w:rFonts w:ascii="Calibri Light" w:eastAsia="Calibri Light" w:hAnsi="Calibri Light" w:cs="Calibri Light"/>
          <w:b/>
          <w:bCs/>
          <w:color w:val="2F5496" w:themeColor="accent1" w:themeShade="BF"/>
        </w:rPr>
        <w:t>2020</w:t>
      </w:r>
    </w:p>
    <w:p w14:paraId="3C13CE4E" w14:textId="5F76EBF2" w:rsidR="3F2EEA4D" w:rsidRPr="00B64995" w:rsidRDefault="3F2EEA4D" w:rsidP="00F77099">
      <w:pPr>
        <w:jc w:val="both"/>
        <w:rPr>
          <w:rFonts w:eastAsia="Calibri"/>
          <w:color w:val="0563C1"/>
          <w:u w:val="single"/>
        </w:rPr>
      </w:pPr>
      <w:r w:rsidRPr="00B64995">
        <w:rPr>
          <w:rFonts w:eastAsia="Calibri"/>
          <w:color w:val="000000" w:themeColor="text1"/>
        </w:rPr>
        <w:t xml:space="preserve">WSIS Forum 2020 was convened in a virtual format for twelve weeks (June-September 2020), </w:t>
      </w:r>
      <w:proofErr w:type="gramStart"/>
      <w:r w:rsidRPr="00B64995">
        <w:rPr>
          <w:rFonts w:eastAsia="Calibri"/>
          <w:color w:val="000000" w:themeColor="text1"/>
        </w:rPr>
        <w:t>in light of</w:t>
      </w:r>
      <w:proofErr w:type="gramEnd"/>
      <w:r w:rsidRPr="00B64995">
        <w:rPr>
          <w:rFonts w:eastAsia="Calibri"/>
          <w:color w:val="000000" w:themeColor="text1"/>
        </w:rPr>
        <w:t xml:space="preserve"> the global health crisis and extensive travel restrictions due to</w:t>
      </w:r>
      <w:r w:rsidR="00691767" w:rsidRPr="00B64995">
        <w:rPr>
          <w:rFonts w:eastAsia="Calibri"/>
          <w:color w:val="000000" w:themeColor="text1"/>
        </w:rPr>
        <w:t xml:space="preserve"> the</w:t>
      </w:r>
      <w:r w:rsidRPr="00B64995">
        <w:rPr>
          <w:rFonts w:eastAsia="Calibri"/>
          <w:color w:val="000000" w:themeColor="text1"/>
        </w:rPr>
        <w:t xml:space="preserve"> COVID-19 pandemic. The theme was “</w:t>
      </w:r>
      <w:r w:rsidRPr="00B64995">
        <w:rPr>
          <w:rFonts w:eastAsia="Calibri"/>
          <w:i/>
          <w:iCs/>
          <w:color w:val="000000" w:themeColor="text1"/>
        </w:rPr>
        <w:t>Fostering digital transformation and global partnerships: WSIS Action Lines for achieving the Sustainable Development Goals (SDGs)</w:t>
      </w:r>
      <w:r w:rsidRPr="00B64995">
        <w:rPr>
          <w:rFonts w:eastAsia="Calibri"/>
          <w:color w:val="000000" w:themeColor="text1"/>
        </w:rPr>
        <w:t>”. The Forum garnered a lot of interest and excitement worldwide</w:t>
      </w:r>
      <w:r w:rsidR="00691767" w:rsidRPr="00B64995">
        <w:rPr>
          <w:rFonts w:eastAsia="Calibri"/>
          <w:color w:val="000000" w:themeColor="text1"/>
        </w:rPr>
        <w:t>,</w:t>
      </w:r>
      <w:r w:rsidRPr="00B64995">
        <w:rPr>
          <w:rFonts w:eastAsia="Calibri"/>
          <w:color w:val="000000" w:themeColor="text1"/>
        </w:rPr>
        <w:t xml:space="preserve"> with a cumulative attendance of over 15</w:t>
      </w:r>
      <w:r w:rsidR="00A060FE">
        <w:rPr>
          <w:rFonts w:eastAsia="Calibri"/>
          <w:color w:val="000000" w:themeColor="text1"/>
        </w:rPr>
        <w:t> </w:t>
      </w:r>
      <w:r w:rsidRPr="00B64995">
        <w:rPr>
          <w:rFonts w:eastAsia="Calibri"/>
          <w:color w:val="000000" w:themeColor="text1"/>
        </w:rPr>
        <w:t xml:space="preserve">000 attendees from around 150 countries who took part in about 160 virtual sessions with 850 different speakers. All the outcomes and publications of WSIS Forum 2020 are available at: </w:t>
      </w:r>
      <w:hyperlink r:id="rId394" w:history="1">
        <w:r w:rsidRPr="00B64995">
          <w:rPr>
            <w:rStyle w:val="Hyperlink"/>
            <w:rFonts w:eastAsia="Calibri"/>
          </w:rPr>
          <w:t>http://www.itu.int/go/wsis2020outcomes</w:t>
        </w:r>
      </w:hyperlink>
      <w:r w:rsidRPr="00A060FE">
        <w:rPr>
          <w:rFonts w:eastAsia="Calibri"/>
          <w:color w:val="0563C1"/>
          <w:u w:val="single"/>
        </w:rPr>
        <w:t>.</w:t>
      </w:r>
    </w:p>
    <w:p w14:paraId="023DDDCE" w14:textId="559EE5CF" w:rsidR="551A48F5" w:rsidRPr="00B64995" w:rsidRDefault="551A48F5" w:rsidP="00F77099">
      <w:pPr>
        <w:jc w:val="both"/>
        <w:rPr>
          <w:rFonts w:eastAsia="Calibri"/>
          <w:color w:val="000000" w:themeColor="text1"/>
        </w:rPr>
      </w:pPr>
    </w:p>
    <w:p w14:paraId="647F4186" w14:textId="5B384944" w:rsidR="0049723A" w:rsidRPr="00B64995" w:rsidRDefault="3F2EEA4D" w:rsidP="00F77099">
      <w:pPr>
        <w:jc w:val="both"/>
        <w:rPr>
          <w:rFonts w:ascii="Calibri Light" w:eastAsia="Calibri Light" w:hAnsi="Calibri Light" w:cs="Calibri Light"/>
          <w:b/>
          <w:bCs/>
          <w:color w:val="2F5496" w:themeColor="accent1" w:themeShade="BF"/>
        </w:rPr>
      </w:pPr>
      <w:r w:rsidRPr="00B64995">
        <w:rPr>
          <w:rFonts w:ascii="Calibri Light" w:eastAsia="Calibri Light" w:hAnsi="Calibri Light" w:cs="Calibri Light"/>
          <w:b/>
          <w:bCs/>
          <w:color w:val="2F5496" w:themeColor="accent1" w:themeShade="BF"/>
        </w:rPr>
        <w:t>2021</w:t>
      </w:r>
    </w:p>
    <w:p w14:paraId="1B7D1D2F" w14:textId="56C331BE" w:rsidR="3F2EEA4D" w:rsidRPr="00B64995" w:rsidRDefault="3F2EEA4D" w:rsidP="00F77099">
      <w:pPr>
        <w:jc w:val="both"/>
        <w:rPr>
          <w:rFonts w:eastAsia="Calibri"/>
          <w:color w:val="000000" w:themeColor="text1"/>
        </w:rPr>
      </w:pPr>
      <w:r w:rsidRPr="00B64995">
        <w:rPr>
          <w:rFonts w:eastAsia="Calibri"/>
          <w:color w:val="000000" w:themeColor="text1"/>
        </w:rPr>
        <w:t>WSIS Forum 2021 has started virtually from January onwards with a series of activities, including workshops, live interviews, and others to highlight this year’s Forum theme</w:t>
      </w:r>
      <w:r w:rsidR="00691767" w:rsidRPr="00B64995">
        <w:rPr>
          <w:rFonts w:eastAsia="Calibri"/>
          <w:color w:val="000000" w:themeColor="text1"/>
        </w:rPr>
        <w:t>:</w:t>
      </w:r>
      <w:r w:rsidRPr="00B64995">
        <w:rPr>
          <w:rFonts w:eastAsia="Calibri"/>
          <w:color w:val="000000" w:themeColor="text1"/>
        </w:rPr>
        <w:t xml:space="preserve"> “ICTs for </w:t>
      </w:r>
      <w:r w:rsidR="00691767" w:rsidRPr="00B64995">
        <w:rPr>
          <w:rFonts w:eastAsia="Calibri"/>
          <w:color w:val="000000" w:themeColor="text1"/>
        </w:rPr>
        <w:t>i</w:t>
      </w:r>
      <w:r w:rsidRPr="00B64995">
        <w:rPr>
          <w:rFonts w:eastAsia="Calibri"/>
          <w:color w:val="000000" w:themeColor="text1"/>
        </w:rPr>
        <w:t xml:space="preserve">nclusive, </w:t>
      </w:r>
      <w:r w:rsidR="00691767" w:rsidRPr="00B64995">
        <w:rPr>
          <w:rFonts w:eastAsia="Calibri"/>
          <w:color w:val="000000" w:themeColor="text1"/>
        </w:rPr>
        <w:t>r</w:t>
      </w:r>
      <w:r w:rsidRPr="00B64995">
        <w:rPr>
          <w:rFonts w:eastAsia="Calibri"/>
          <w:color w:val="000000" w:themeColor="text1"/>
        </w:rPr>
        <w:t xml:space="preserve">esilient and </w:t>
      </w:r>
      <w:r w:rsidR="00691767" w:rsidRPr="00B64995">
        <w:rPr>
          <w:rFonts w:eastAsia="Calibri"/>
          <w:color w:val="000000" w:themeColor="text1"/>
        </w:rPr>
        <w:t>s</w:t>
      </w:r>
      <w:r w:rsidRPr="00B64995">
        <w:rPr>
          <w:rFonts w:eastAsia="Calibri"/>
          <w:color w:val="000000" w:themeColor="text1"/>
        </w:rPr>
        <w:t xml:space="preserve">ustainable </w:t>
      </w:r>
      <w:r w:rsidR="00691767" w:rsidRPr="00B64995">
        <w:rPr>
          <w:rFonts w:eastAsia="Calibri"/>
          <w:color w:val="000000" w:themeColor="text1"/>
        </w:rPr>
        <w:t>s</w:t>
      </w:r>
      <w:r w:rsidRPr="00B64995">
        <w:rPr>
          <w:rFonts w:eastAsia="Calibri"/>
          <w:color w:val="000000" w:themeColor="text1"/>
        </w:rPr>
        <w:t xml:space="preserve">ocieties and </w:t>
      </w:r>
      <w:r w:rsidR="00691767" w:rsidRPr="00B64995">
        <w:rPr>
          <w:rFonts w:eastAsia="Calibri"/>
          <w:color w:val="000000" w:themeColor="text1"/>
        </w:rPr>
        <w:t>e</w:t>
      </w:r>
      <w:r w:rsidRPr="00B64995">
        <w:rPr>
          <w:rFonts w:eastAsia="Calibri"/>
          <w:color w:val="000000" w:themeColor="text1"/>
        </w:rPr>
        <w:t xml:space="preserve">conomies (WSIS Action Lines for achieving the Sustainable Development Goals)”. The final week of the WSIS Forum 2021 will be held from 17 to 21 May 2021. For additional information please visit </w:t>
      </w:r>
      <w:hyperlink r:id="rId395" w:history="1">
        <w:r w:rsidRPr="00B64995">
          <w:rPr>
            <w:rStyle w:val="Hyperlink"/>
            <w:rFonts w:eastAsia="Calibri"/>
          </w:rPr>
          <w:t>www.wsis.org/forum</w:t>
        </w:r>
      </w:hyperlink>
      <w:r w:rsidRPr="00A060FE">
        <w:rPr>
          <w:rFonts w:eastAsia="Calibri"/>
          <w:color w:val="000000" w:themeColor="text1"/>
        </w:rPr>
        <w:t>.</w:t>
      </w:r>
    </w:p>
    <w:p w14:paraId="5DDA3BD9" w14:textId="1836EB58" w:rsidR="003E262A" w:rsidRPr="00B64995" w:rsidRDefault="003E262A" w:rsidP="00F77099">
      <w:pPr>
        <w:jc w:val="both"/>
        <w:rPr>
          <w:rFonts w:eastAsia="Calibri"/>
          <w:color w:val="000000" w:themeColor="text1"/>
        </w:rPr>
      </w:pPr>
    </w:p>
    <w:p w14:paraId="32F3D1A0" w14:textId="05A3AC67" w:rsidR="003E262A" w:rsidRPr="00B64995" w:rsidRDefault="003E262A" w:rsidP="003E262A">
      <w:pPr>
        <w:jc w:val="both"/>
        <w:rPr>
          <w:rFonts w:eastAsia="Calibri"/>
          <w:color w:val="000000" w:themeColor="text1"/>
        </w:rPr>
      </w:pPr>
      <w:r w:rsidRPr="00B64995">
        <w:rPr>
          <w:rFonts w:ascii="Calibri Light" w:eastAsia="Calibri Light" w:hAnsi="Calibri Light" w:cs="Calibri Light"/>
          <w:b/>
          <w:bCs/>
          <w:color w:val="2F5496" w:themeColor="accent1" w:themeShade="BF"/>
        </w:rPr>
        <w:t xml:space="preserve">Photo </w:t>
      </w:r>
      <w:r w:rsidR="00691767" w:rsidRPr="00B64995">
        <w:rPr>
          <w:rFonts w:ascii="Calibri Light" w:eastAsia="Calibri Light" w:hAnsi="Calibri Light" w:cs="Calibri Light"/>
          <w:b/>
          <w:bCs/>
          <w:color w:val="2F5496" w:themeColor="accent1" w:themeShade="BF"/>
        </w:rPr>
        <w:t>c</w:t>
      </w:r>
      <w:r w:rsidRPr="00B64995">
        <w:rPr>
          <w:rFonts w:ascii="Calibri Light" w:eastAsia="Calibri Light" w:hAnsi="Calibri Light" w:cs="Calibri Light"/>
          <w:b/>
          <w:bCs/>
          <w:color w:val="2F5496" w:themeColor="accent1" w:themeShade="BF"/>
        </w:rPr>
        <w:t>ontest</w:t>
      </w:r>
    </w:p>
    <w:p w14:paraId="2EDA85E6" w14:textId="03AF34B5" w:rsidR="0049723A" w:rsidRPr="00B64995" w:rsidRDefault="003E262A" w:rsidP="003E262A">
      <w:pPr>
        <w:jc w:val="both"/>
      </w:pPr>
      <w:r w:rsidRPr="00B64995">
        <w:rPr>
          <w:rFonts w:eastAsia="Calibri"/>
          <w:color w:val="000000" w:themeColor="text1"/>
        </w:rPr>
        <w:t xml:space="preserve">Another successful edition of </w:t>
      </w:r>
      <w:hyperlink r:id="rId396" w:history="1">
        <w:r w:rsidRPr="00B64995">
          <w:rPr>
            <w:rStyle w:val="Hyperlink"/>
            <w:rFonts w:eastAsia="Calibri"/>
          </w:rPr>
          <w:t>WSIS Photo Contest 2020</w:t>
        </w:r>
      </w:hyperlink>
      <w:r w:rsidRPr="00A060FE">
        <w:rPr>
          <w:rFonts w:eastAsia="Calibri"/>
          <w:color w:val="000000" w:themeColor="text1"/>
        </w:rPr>
        <w:t xml:space="preserve"> took place. </w:t>
      </w:r>
      <w:r w:rsidR="00374BA6" w:rsidRPr="00B64995">
        <w:rPr>
          <w:rFonts w:eastAsia="Calibri"/>
          <w:color w:val="000000" w:themeColor="text1"/>
        </w:rPr>
        <w:t xml:space="preserve">The </w:t>
      </w:r>
      <w:r w:rsidRPr="00B64995">
        <w:rPr>
          <w:rFonts w:eastAsia="Calibri"/>
          <w:color w:val="000000" w:themeColor="text1"/>
        </w:rPr>
        <w:t xml:space="preserve">WSIS community was invited to picture how ICTs </w:t>
      </w:r>
      <w:r w:rsidR="00691767" w:rsidRPr="00B64995">
        <w:rPr>
          <w:rFonts w:eastAsia="Calibri"/>
          <w:color w:val="000000" w:themeColor="text1"/>
        </w:rPr>
        <w:t xml:space="preserve">are </w:t>
      </w:r>
      <w:r w:rsidRPr="00B64995">
        <w:rPr>
          <w:rFonts w:eastAsia="Calibri"/>
          <w:color w:val="000000" w:themeColor="text1"/>
        </w:rPr>
        <w:t xml:space="preserve">advancing SDGs on the ground, </w:t>
      </w:r>
      <w:r w:rsidR="00691767" w:rsidRPr="00B64995">
        <w:rPr>
          <w:rFonts w:eastAsia="Calibri"/>
          <w:color w:val="000000" w:themeColor="text1"/>
        </w:rPr>
        <w:t xml:space="preserve">thus </w:t>
      </w:r>
      <w:r w:rsidRPr="00B64995">
        <w:rPr>
          <w:rFonts w:eastAsia="Calibri"/>
          <w:color w:val="000000" w:themeColor="text1"/>
        </w:rPr>
        <w:t xml:space="preserve">contributing to WSIS </w:t>
      </w:r>
      <w:r w:rsidR="00691767" w:rsidRPr="00B64995">
        <w:rPr>
          <w:rFonts w:eastAsia="Calibri"/>
          <w:color w:val="000000" w:themeColor="text1"/>
        </w:rPr>
        <w:t>s</w:t>
      </w:r>
      <w:r w:rsidRPr="00B64995">
        <w:rPr>
          <w:rFonts w:eastAsia="Calibri"/>
          <w:color w:val="000000" w:themeColor="text1"/>
        </w:rPr>
        <w:t xml:space="preserve">tocktaking overall. The contest was launched on 22 July 2019 and has collected more than 200 photos. The new call for the WSIS Photo Contest 2021 is open and the submissions are currently being accepted. The deadline </w:t>
      </w:r>
      <w:r w:rsidRPr="00B64995">
        <w:rPr>
          <w:rFonts w:eastAsia="Calibri"/>
          <w:color w:val="000000" w:themeColor="text1"/>
        </w:rPr>
        <w:lastRenderedPageBreak/>
        <w:t>for submission is 8 March 2021. The finalists will be announced soon after, while the winners of the contest will be announced during the final week of the WSIS Forum 2021 (17-21 May).</w:t>
      </w:r>
    </w:p>
    <w:p w14:paraId="0DEF5DF2" w14:textId="0C583449" w:rsidR="003E262A" w:rsidRPr="00B64995" w:rsidRDefault="003E262A" w:rsidP="00F77099">
      <w:pPr>
        <w:jc w:val="both"/>
        <w:rPr>
          <w:rFonts w:eastAsia="Calibri"/>
          <w:color w:val="000000" w:themeColor="text1"/>
        </w:rPr>
      </w:pPr>
    </w:p>
    <w:p w14:paraId="7B3D608C" w14:textId="77777777" w:rsidR="0049723A" w:rsidRPr="00B64995" w:rsidRDefault="003E262A" w:rsidP="003E262A">
      <w:pPr>
        <w:spacing w:after="120"/>
        <w:jc w:val="both"/>
        <w:rPr>
          <w:rFonts w:ascii="Calibri Light" w:eastAsia="Calibri Light" w:hAnsi="Calibri Light" w:cs="Calibri Light"/>
          <w:b/>
          <w:bCs/>
          <w:color w:val="2F5496" w:themeColor="accent1" w:themeShade="BF"/>
        </w:rPr>
      </w:pPr>
      <w:r w:rsidRPr="00B64995">
        <w:rPr>
          <w:rFonts w:ascii="Calibri Light" w:eastAsia="Calibri Light" w:hAnsi="Calibri Light" w:cs="Calibri Light"/>
          <w:b/>
          <w:bCs/>
          <w:color w:val="2F5496" w:themeColor="accent1" w:themeShade="BF"/>
        </w:rPr>
        <w:t>WSIS Prizes 2020 and 2021</w:t>
      </w:r>
    </w:p>
    <w:p w14:paraId="48A9FEDC" w14:textId="7BD7B282" w:rsidR="003E262A" w:rsidRPr="00B64995" w:rsidRDefault="003E262A" w:rsidP="003E262A">
      <w:pPr>
        <w:spacing w:after="120"/>
        <w:jc w:val="both"/>
        <w:rPr>
          <w:rFonts w:eastAsia="Calibri"/>
          <w:color w:val="000000" w:themeColor="text1"/>
        </w:rPr>
      </w:pPr>
      <w:r w:rsidRPr="00B64995">
        <w:rPr>
          <w:rFonts w:eastAsia="Calibri"/>
          <w:color w:val="000000" w:themeColor="text1"/>
        </w:rPr>
        <w:t xml:space="preserve">In 2020, the prestigious </w:t>
      </w:r>
      <w:hyperlink r:id="rId397" w:history="1">
        <w:r w:rsidRPr="00B64995">
          <w:rPr>
            <w:rStyle w:val="Hyperlink"/>
            <w:rFonts w:eastAsia="Calibri"/>
          </w:rPr>
          <w:t>WSIS Prizes</w:t>
        </w:r>
      </w:hyperlink>
      <w:r w:rsidRPr="00A060FE">
        <w:rPr>
          <w:rFonts w:eastAsia="Calibri"/>
          <w:color w:val="000000" w:themeColor="text1"/>
        </w:rPr>
        <w:t xml:space="preserve"> continued to recognize outstanding initiatives from governments, the private sector, civil </w:t>
      </w:r>
      <w:proofErr w:type="gramStart"/>
      <w:r w:rsidRPr="00A060FE">
        <w:rPr>
          <w:rFonts w:eastAsia="Calibri"/>
          <w:color w:val="000000" w:themeColor="text1"/>
        </w:rPr>
        <w:t>society</w:t>
      </w:r>
      <w:proofErr w:type="gramEnd"/>
      <w:r w:rsidRPr="00A060FE">
        <w:rPr>
          <w:rFonts w:eastAsia="Calibri"/>
          <w:color w:val="000000" w:themeColor="text1"/>
        </w:rPr>
        <w:t xml:space="preserve"> and academia that support the implementation of WSIS Action Lines for accelerating the SDGs. </w:t>
      </w:r>
      <w:r w:rsidR="00691767" w:rsidRPr="00B64995">
        <w:rPr>
          <w:rFonts w:eastAsia="Calibri"/>
          <w:color w:val="000000" w:themeColor="text1"/>
        </w:rPr>
        <w:t xml:space="preserve">Eight hundred and six </w:t>
      </w:r>
      <w:r w:rsidRPr="00B64995">
        <w:rPr>
          <w:rFonts w:eastAsia="Calibri"/>
          <w:color w:val="000000" w:themeColor="text1"/>
        </w:rPr>
        <w:t xml:space="preserve">projects were submitted by the WSIS stakeholders around the world, and 90 </w:t>
      </w:r>
      <w:r w:rsidR="00691767" w:rsidRPr="00B64995">
        <w:rPr>
          <w:rFonts w:eastAsia="Calibri"/>
          <w:color w:val="000000" w:themeColor="text1"/>
        </w:rPr>
        <w:t>c</w:t>
      </w:r>
      <w:r w:rsidRPr="00B64995">
        <w:rPr>
          <w:rFonts w:eastAsia="Calibri"/>
          <w:color w:val="000000" w:themeColor="text1"/>
        </w:rPr>
        <w:t xml:space="preserve">hampions were selected based on over two million votes cast by </w:t>
      </w:r>
      <w:r w:rsidR="00691767" w:rsidRPr="00B64995">
        <w:rPr>
          <w:rFonts w:eastAsia="Calibri"/>
          <w:color w:val="000000" w:themeColor="text1"/>
        </w:rPr>
        <w:t xml:space="preserve">the </w:t>
      </w:r>
      <w:r w:rsidRPr="00B64995">
        <w:rPr>
          <w:rFonts w:eastAsia="Calibri"/>
          <w:color w:val="000000" w:themeColor="text1"/>
        </w:rPr>
        <w:t xml:space="preserve">stakeholders. During the final week of WSIS Forum 2020, 18 </w:t>
      </w:r>
      <w:r w:rsidR="00691767" w:rsidRPr="00B64995">
        <w:rPr>
          <w:rFonts w:eastAsia="Calibri"/>
          <w:color w:val="000000" w:themeColor="text1"/>
        </w:rPr>
        <w:t xml:space="preserve">winners of </w:t>
      </w:r>
      <w:r w:rsidRPr="00B64995">
        <w:rPr>
          <w:rFonts w:eastAsia="Calibri"/>
          <w:color w:val="000000" w:themeColor="text1"/>
        </w:rPr>
        <w:t xml:space="preserve">WSIS Prize 2020 were announced and celebrated in the specially designed virtual WSIS Prizes 2020 </w:t>
      </w:r>
      <w:r w:rsidR="00691767" w:rsidRPr="00B64995">
        <w:rPr>
          <w:rFonts w:eastAsia="Calibri"/>
          <w:color w:val="000000" w:themeColor="text1"/>
        </w:rPr>
        <w:t>c</w:t>
      </w:r>
      <w:r w:rsidRPr="00B64995">
        <w:rPr>
          <w:rFonts w:eastAsia="Calibri"/>
          <w:color w:val="000000" w:themeColor="text1"/>
        </w:rPr>
        <w:t xml:space="preserve">eremony. Numerous virtual sessions were </w:t>
      </w:r>
      <w:r w:rsidR="00691767" w:rsidRPr="00B64995">
        <w:rPr>
          <w:rFonts w:eastAsia="Calibri"/>
          <w:color w:val="000000" w:themeColor="text1"/>
        </w:rPr>
        <w:t>organized</w:t>
      </w:r>
      <w:r w:rsidRPr="00B64995">
        <w:rPr>
          <w:rFonts w:eastAsia="Calibri"/>
          <w:color w:val="000000" w:themeColor="text1"/>
        </w:rPr>
        <w:t xml:space="preserve"> for global promotion of their innovative projects, including those during the virtual WSIS </w:t>
      </w:r>
      <w:proofErr w:type="spellStart"/>
      <w:r w:rsidRPr="00B64995">
        <w:rPr>
          <w:rFonts w:eastAsia="Calibri"/>
          <w:color w:val="000000" w:themeColor="text1"/>
        </w:rPr>
        <w:t>TalkX</w:t>
      </w:r>
      <w:proofErr w:type="spellEnd"/>
      <w:r w:rsidRPr="00B64995">
        <w:rPr>
          <w:rFonts w:eastAsia="Calibri"/>
          <w:color w:val="000000" w:themeColor="text1"/>
        </w:rPr>
        <w:t xml:space="preserve"> from April till June, and the series of five virtual sessions during the virtual WSIS Forum 2020, which started on 22 June, with more than 1</w:t>
      </w:r>
      <w:r w:rsidR="00A060FE">
        <w:rPr>
          <w:rFonts w:eastAsia="Calibri"/>
          <w:color w:val="000000" w:themeColor="text1"/>
        </w:rPr>
        <w:t> </w:t>
      </w:r>
      <w:r w:rsidRPr="00B64995">
        <w:rPr>
          <w:rFonts w:eastAsia="Calibri"/>
          <w:color w:val="000000" w:themeColor="text1"/>
        </w:rPr>
        <w:t xml:space="preserve">000 participants. As part of the promotion of awardees, a special virtual exhibition dedicated to the WSIS Prizes 2020 has been inaugurated in June. To explore it in more details, visit the WSIS Forum 2020 online networking platform </w:t>
      </w:r>
      <w:hyperlink r:id="rId398" w:history="1">
        <w:proofErr w:type="spellStart"/>
        <w:r w:rsidRPr="00B64995">
          <w:rPr>
            <w:rStyle w:val="Hyperlink"/>
            <w:rFonts w:eastAsia="Calibri"/>
          </w:rPr>
          <w:t>ImeetyouatWSIS</w:t>
        </w:r>
        <w:proofErr w:type="spellEnd"/>
      </w:hyperlink>
      <w:r w:rsidRPr="00A060FE">
        <w:rPr>
          <w:rFonts w:eastAsia="Calibri"/>
          <w:color w:val="000000" w:themeColor="text1"/>
        </w:rPr>
        <w:t>.</w:t>
      </w:r>
    </w:p>
    <w:p w14:paraId="3CA321F4" w14:textId="5A3C4C2E" w:rsidR="003E262A" w:rsidRPr="00B64995" w:rsidRDefault="003E262A" w:rsidP="003E262A">
      <w:pPr>
        <w:spacing w:after="120"/>
        <w:jc w:val="both"/>
        <w:rPr>
          <w:rFonts w:eastAsia="Calibri"/>
          <w:color w:val="000000" w:themeColor="text1"/>
        </w:rPr>
      </w:pPr>
      <w:r w:rsidRPr="00B64995">
        <w:rPr>
          <w:rFonts w:eastAsia="Calibri"/>
          <w:color w:val="000000" w:themeColor="text1"/>
        </w:rPr>
        <w:t xml:space="preserve">The new call for </w:t>
      </w:r>
      <w:hyperlink r:id="rId399" w:history="1">
        <w:r w:rsidRPr="00B64995">
          <w:rPr>
            <w:rStyle w:val="Hyperlink"/>
            <w:rFonts w:eastAsia="Calibri"/>
          </w:rPr>
          <w:t>WSIS Prizes 2021</w:t>
        </w:r>
      </w:hyperlink>
      <w:r w:rsidRPr="00A060FE">
        <w:rPr>
          <w:rFonts w:eastAsia="Calibri"/>
          <w:color w:val="000000" w:themeColor="text1"/>
        </w:rPr>
        <w:t xml:space="preserve"> was launched on 1 November with the deadline for submission set for 1 February 2021. </w:t>
      </w:r>
      <w:r w:rsidR="005D4A07">
        <w:rPr>
          <w:rFonts w:eastAsia="Calibri"/>
          <w:color w:val="000000" w:themeColor="text1"/>
        </w:rPr>
        <w:t xml:space="preserve">A total of </w:t>
      </w:r>
      <w:r w:rsidRPr="00A060FE">
        <w:rPr>
          <w:rFonts w:eastAsia="Calibri"/>
          <w:color w:val="000000" w:themeColor="text1"/>
        </w:rPr>
        <w:t>1</w:t>
      </w:r>
      <w:r w:rsidR="00A060FE">
        <w:rPr>
          <w:rFonts w:eastAsia="Calibri"/>
          <w:color w:val="000000" w:themeColor="text1"/>
        </w:rPr>
        <w:t> </w:t>
      </w:r>
      <w:r w:rsidRPr="00A060FE">
        <w:rPr>
          <w:rFonts w:eastAsia="Calibri"/>
          <w:color w:val="000000" w:themeColor="text1"/>
        </w:rPr>
        <w:t xml:space="preserve">286 projects </w:t>
      </w:r>
      <w:r w:rsidR="005D4A07">
        <w:rPr>
          <w:rFonts w:eastAsia="Calibri"/>
          <w:color w:val="000000" w:themeColor="text1"/>
        </w:rPr>
        <w:t xml:space="preserve">was </w:t>
      </w:r>
      <w:r w:rsidRPr="00A060FE">
        <w:rPr>
          <w:rFonts w:eastAsia="Calibri"/>
          <w:color w:val="000000" w:themeColor="text1"/>
        </w:rPr>
        <w:t xml:space="preserve">submitted, the highest number in </w:t>
      </w:r>
      <w:r w:rsidR="005D4A07">
        <w:rPr>
          <w:rFonts w:eastAsia="Calibri"/>
          <w:color w:val="000000" w:themeColor="text1"/>
        </w:rPr>
        <w:t xml:space="preserve">the </w:t>
      </w:r>
      <w:r w:rsidRPr="00A060FE">
        <w:rPr>
          <w:rFonts w:eastAsia="Calibri"/>
          <w:color w:val="000000" w:themeColor="text1"/>
        </w:rPr>
        <w:t xml:space="preserve">history of </w:t>
      </w:r>
      <w:r w:rsidR="005D4A07">
        <w:rPr>
          <w:rFonts w:eastAsia="Calibri"/>
          <w:color w:val="000000" w:themeColor="text1"/>
        </w:rPr>
        <w:t xml:space="preserve">the </w:t>
      </w:r>
      <w:r w:rsidRPr="00A060FE">
        <w:rPr>
          <w:rFonts w:eastAsia="Calibri"/>
          <w:color w:val="000000" w:themeColor="text1"/>
        </w:rPr>
        <w:t xml:space="preserve">WSIS Prizes contest </w:t>
      </w:r>
      <w:r w:rsidR="005D4A07">
        <w:rPr>
          <w:rFonts w:eastAsia="Calibri"/>
          <w:color w:val="000000" w:themeColor="text1"/>
        </w:rPr>
        <w:t xml:space="preserve">since it </w:t>
      </w:r>
      <w:r w:rsidRPr="00A060FE">
        <w:rPr>
          <w:rFonts w:eastAsia="Calibri"/>
          <w:color w:val="000000" w:themeColor="text1"/>
        </w:rPr>
        <w:t xml:space="preserve">was launched in 2012. All </w:t>
      </w:r>
      <w:r w:rsidRPr="00B64995">
        <w:rPr>
          <w:rFonts w:eastAsia="Calibri"/>
          <w:color w:val="000000" w:themeColor="text1"/>
        </w:rPr>
        <w:t xml:space="preserve">stakeholders were encouraged to continue sharing best practices and innovative ICT-related initiatives and projects to accelerate </w:t>
      </w:r>
      <w:proofErr w:type="gramStart"/>
      <w:r w:rsidRPr="00B64995">
        <w:rPr>
          <w:rFonts w:eastAsia="Calibri"/>
          <w:color w:val="000000" w:themeColor="text1"/>
        </w:rPr>
        <w:t>SDGs, and</w:t>
      </w:r>
      <w:proofErr w:type="gramEnd"/>
      <w:r w:rsidRPr="00B64995">
        <w:rPr>
          <w:rFonts w:eastAsia="Calibri"/>
          <w:color w:val="000000" w:themeColor="text1"/>
        </w:rPr>
        <w:t xml:space="preserve"> promote the WSIS Prizes contest within their communities and networks. The eighteen </w:t>
      </w:r>
      <w:r w:rsidR="00691767" w:rsidRPr="00B64995">
        <w:rPr>
          <w:rFonts w:eastAsia="Calibri"/>
          <w:color w:val="000000" w:themeColor="text1"/>
        </w:rPr>
        <w:t>winners</w:t>
      </w:r>
      <w:r w:rsidRPr="00B64995">
        <w:rPr>
          <w:rFonts w:eastAsia="Calibri"/>
          <w:color w:val="000000" w:themeColor="text1"/>
        </w:rPr>
        <w:t xml:space="preserve"> and </w:t>
      </w:r>
      <w:r w:rsidR="00691767" w:rsidRPr="00B64995">
        <w:rPr>
          <w:rFonts w:eastAsia="Calibri"/>
          <w:color w:val="000000" w:themeColor="text1"/>
        </w:rPr>
        <w:t>c</w:t>
      </w:r>
      <w:r w:rsidRPr="00B64995">
        <w:rPr>
          <w:rFonts w:eastAsia="Calibri"/>
          <w:color w:val="000000" w:themeColor="text1"/>
        </w:rPr>
        <w:t xml:space="preserve">hampions will be recognized at </w:t>
      </w:r>
      <w:hyperlink r:id="rId400" w:history="1">
        <w:r w:rsidRPr="00B64995">
          <w:rPr>
            <w:rStyle w:val="Hyperlink"/>
            <w:rFonts w:eastAsia="Calibri"/>
          </w:rPr>
          <w:t>WSIS Forum 2021</w:t>
        </w:r>
      </w:hyperlink>
      <w:r w:rsidRPr="00A060FE">
        <w:rPr>
          <w:rFonts w:eastAsia="Calibri"/>
          <w:color w:val="000000" w:themeColor="text1"/>
        </w:rPr>
        <w:t xml:space="preserve">. The winning projects will be included in the </w:t>
      </w:r>
      <w:r w:rsidR="00691767" w:rsidRPr="00B64995">
        <w:rPr>
          <w:rFonts w:eastAsia="Calibri"/>
          <w:color w:val="000000" w:themeColor="text1"/>
        </w:rPr>
        <w:t>publication “</w:t>
      </w:r>
      <w:r w:rsidRPr="00B64995">
        <w:rPr>
          <w:rFonts w:eastAsia="Calibri"/>
          <w:color w:val="000000" w:themeColor="text1"/>
        </w:rPr>
        <w:t>WSIS Stocktaking: Success Stories 2021</w:t>
      </w:r>
      <w:r w:rsidR="00691767" w:rsidRPr="00B64995">
        <w:rPr>
          <w:rFonts w:eastAsia="Calibri"/>
          <w:color w:val="000000" w:themeColor="text1"/>
        </w:rPr>
        <w:t>”</w:t>
      </w:r>
      <w:r w:rsidRPr="00B64995">
        <w:rPr>
          <w:rFonts w:eastAsia="Calibri"/>
          <w:color w:val="000000" w:themeColor="text1"/>
        </w:rPr>
        <w:t>, while all submitted descriptions of projects and activities will be reflected in the WSIS Stocktaking Report 2021.</w:t>
      </w:r>
    </w:p>
    <w:p w14:paraId="2347051C" w14:textId="564379B8" w:rsidR="0049723A" w:rsidRPr="00B64995" w:rsidRDefault="00464BDA" w:rsidP="00464BDA">
      <w:pPr>
        <w:spacing w:after="120"/>
        <w:jc w:val="both"/>
        <w:rPr>
          <w:rFonts w:ascii="Calibri Light" w:eastAsia="Calibri Light" w:hAnsi="Calibri Light" w:cs="Calibri Light"/>
          <w:b/>
          <w:bCs/>
          <w:color w:val="2F5496" w:themeColor="accent1" w:themeShade="BF"/>
        </w:rPr>
      </w:pPr>
      <w:r w:rsidRPr="00B64995">
        <w:rPr>
          <w:rFonts w:ascii="Calibri Light" w:eastAsia="Calibri Light" w:hAnsi="Calibri Light" w:cs="Calibri Light"/>
          <w:b/>
          <w:bCs/>
          <w:color w:val="2F5496" w:themeColor="accent1" w:themeShade="BF"/>
        </w:rPr>
        <w:t>WSIS Stocktaking 2020 – 2021</w:t>
      </w:r>
    </w:p>
    <w:p w14:paraId="36369AF8" w14:textId="1D7F7883" w:rsidR="551A48F5" w:rsidRPr="00B64995" w:rsidRDefault="00464BDA" w:rsidP="00464BDA">
      <w:pPr>
        <w:jc w:val="both"/>
        <w:rPr>
          <w:lang w:eastAsia="en-GB"/>
        </w:rPr>
      </w:pPr>
      <w:r w:rsidRPr="00B64995">
        <w:rPr>
          <w:rFonts w:eastAsia="Calibri"/>
          <w:color w:val="000000" w:themeColor="text1"/>
        </w:rPr>
        <w:t xml:space="preserve">In 2020, WSIS Stocktaking launched </w:t>
      </w:r>
      <w:r w:rsidR="00F2405D" w:rsidRPr="00B64995">
        <w:rPr>
          <w:rFonts w:eastAsia="Calibri"/>
          <w:color w:val="000000" w:themeColor="text1"/>
        </w:rPr>
        <w:t xml:space="preserve">the </w:t>
      </w:r>
      <w:r w:rsidRPr="00B64995">
        <w:rPr>
          <w:rFonts w:eastAsia="Calibri"/>
          <w:color w:val="000000" w:themeColor="text1"/>
        </w:rPr>
        <w:t xml:space="preserve">annual WSIS Stocktaking Global Report. This eleventh edition reflects 776 activities relating to ICTs for development, submitted to the WSIS Stocktaking Platform from 2 July to 29 November 2019. Six </w:t>
      </w:r>
      <w:r w:rsidR="00F2405D" w:rsidRPr="00B64995">
        <w:rPr>
          <w:rFonts w:eastAsia="Calibri"/>
          <w:color w:val="000000" w:themeColor="text1"/>
        </w:rPr>
        <w:t xml:space="preserve">biennial </w:t>
      </w:r>
      <w:r w:rsidRPr="00B64995">
        <w:rPr>
          <w:rFonts w:eastAsia="Calibri"/>
          <w:color w:val="000000" w:themeColor="text1"/>
        </w:rPr>
        <w:t>WSIS Stocktaking Regional Reports were prepared, and the special report on the ICT Case Repository on the Coronavirus (COVID-19) Response was published.</w:t>
      </w:r>
    </w:p>
    <w:p w14:paraId="7EFF827D" w14:textId="2B00E91C" w:rsidR="009A3A4E" w:rsidRPr="00B64995" w:rsidRDefault="00822BC6" w:rsidP="00A83DAA">
      <w:pPr>
        <w:pStyle w:val="Heading5"/>
        <w:rPr>
          <w:lang w:eastAsia="en-GB"/>
        </w:rPr>
      </w:pPr>
      <w:r w:rsidRPr="00B64995">
        <w:rPr>
          <w:lang w:eastAsia="en-GB"/>
        </w:rPr>
        <w:t>ITU Kaleidoscope</w:t>
      </w:r>
    </w:p>
    <w:p w14:paraId="3042649F" w14:textId="3A6F9539" w:rsidR="0049723A" w:rsidRPr="00B64995" w:rsidRDefault="00822BC6" w:rsidP="0012722A">
      <w:pPr>
        <w:jc w:val="both"/>
        <w:rPr>
          <w:lang w:eastAsia="en-GB"/>
        </w:rPr>
      </w:pPr>
      <w:r w:rsidRPr="00B64995">
        <w:rPr>
          <w:lang w:eastAsia="en-GB"/>
        </w:rPr>
        <w:t>Host</w:t>
      </w:r>
      <w:r w:rsidR="00775B58" w:rsidRPr="00B64995">
        <w:rPr>
          <w:lang w:eastAsia="en-GB"/>
        </w:rPr>
        <w:t>ed</w:t>
      </w:r>
      <w:r w:rsidRPr="00B64995">
        <w:rPr>
          <w:lang w:eastAsia="en-GB"/>
        </w:rPr>
        <w:t xml:space="preserve"> by the Georgia Institute of Technology in Atlanta, Georgia in the United States of America</w:t>
      </w:r>
      <w:r w:rsidR="00F2405D" w:rsidRPr="00B64995">
        <w:rPr>
          <w:lang w:eastAsia="en-GB"/>
        </w:rPr>
        <w:t>,</w:t>
      </w:r>
      <w:r w:rsidRPr="00B64995">
        <w:rPr>
          <w:lang w:eastAsia="en-GB"/>
        </w:rPr>
        <w:t xml:space="preserve"> the </w:t>
      </w:r>
      <w:hyperlink r:id="rId401">
        <w:r w:rsidRPr="00B64995">
          <w:rPr>
            <w:rStyle w:val="Hyperlink"/>
            <w:lang w:eastAsia="en-GB"/>
          </w:rPr>
          <w:t>2019 edition of Kaleidoscope</w:t>
        </w:r>
      </w:hyperlink>
      <w:r w:rsidR="00A0338D" w:rsidRPr="00A060FE">
        <w:rPr>
          <w:rStyle w:val="Hyperlink"/>
          <w:lang w:eastAsia="en-GB"/>
        </w:rPr>
        <w:t xml:space="preserve"> </w:t>
      </w:r>
      <w:r w:rsidRPr="00B64995">
        <w:rPr>
          <w:lang w:eastAsia="en-GB"/>
        </w:rPr>
        <w:t xml:space="preserve">met under the theme: </w:t>
      </w:r>
      <w:r w:rsidR="00F2405D" w:rsidRPr="00B64995">
        <w:rPr>
          <w:lang w:eastAsia="en-GB"/>
        </w:rPr>
        <w:t>“</w:t>
      </w:r>
      <w:r w:rsidRPr="00B64995">
        <w:rPr>
          <w:lang w:eastAsia="en-GB"/>
        </w:rPr>
        <w:t>ICT for Health: Networks, standards and innovation</w:t>
      </w:r>
      <w:r w:rsidR="00F2405D" w:rsidRPr="00B64995">
        <w:rPr>
          <w:lang w:eastAsia="en-GB"/>
        </w:rPr>
        <w:t>”</w:t>
      </w:r>
      <w:r w:rsidRPr="00B64995">
        <w:rPr>
          <w:lang w:eastAsia="en-GB"/>
        </w:rPr>
        <w:t>. Nearly 70 delegates from 16 countries participated at the conference and over 30 joined remotely</w:t>
      </w:r>
      <w:r w:rsidR="00F2405D" w:rsidRPr="00B64995">
        <w:rPr>
          <w:lang w:eastAsia="en-GB"/>
        </w:rPr>
        <w:t>. Participants included</w:t>
      </w:r>
      <w:r w:rsidRPr="00B64995">
        <w:rPr>
          <w:lang w:eastAsia="en-GB"/>
        </w:rPr>
        <w:t xml:space="preserve"> specialists in the fields of ICT, digital health and socio-economic development</w:t>
      </w:r>
      <w:r w:rsidR="00F2405D" w:rsidRPr="00B64995">
        <w:rPr>
          <w:lang w:eastAsia="en-GB"/>
        </w:rPr>
        <w:t>:</w:t>
      </w:r>
      <w:r w:rsidRPr="00B64995">
        <w:rPr>
          <w:lang w:eastAsia="en-GB"/>
        </w:rPr>
        <w:t xml:space="preserve"> researchers, academics, students, engineers, computer scientists, </w:t>
      </w:r>
      <w:proofErr w:type="gramStart"/>
      <w:r w:rsidR="00F2405D" w:rsidRPr="00B64995">
        <w:rPr>
          <w:lang w:eastAsia="en-GB"/>
        </w:rPr>
        <w:t>policy-makers</w:t>
      </w:r>
      <w:proofErr w:type="gramEnd"/>
      <w:r w:rsidRPr="00B64995">
        <w:rPr>
          <w:lang w:eastAsia="en-GB"/>
        </w:rPr>
        <w:t>, regulators, innovators, futurists, clinicians and health practitioners.</w:t>
      </w:r>
    </w:p>
    <w:p w14:paraId="3768E5DC" w14:textId="44DB5004" w:rsidR="00D21250" w:rsidRPr="00B64995" w:rsidRDefault="00A46C03" w:rsidP="0012722A">
      <w:pPr>
        <w:jc w:val="both"/>
        <w:rPr>
          <w:lang w:eastAsia="en-GB"/>
        </w:rPr>
      </w:pPr>
      <w:r w:rsidRPr="00B64995">
        <w:rPr>
          <w:lang w:eastAsia="en-GB"/>
        </w:rPr>
        <w:t>S</w:t>
      </w:r>
      <w:r w:rsidR="00822BC6" w:rsidRPr="00B64995">
        <w:rPr>
          <w:lang w:eastAsia="en-GB"/>
        </w:rPr>
        <w:t xml:space="preserve">elected papers </w:t>
      </w:r>
      <w:r w:rsidR="0038670B" w:rsidRPr="00B64995">
        <w:rPr>
          <w:lang w:eastAsia="en-GB"/>
        </w:rPr>
        <w:t>have been</w:t>
      </w:r>
      <w:r w:rsidR="00822BC6" w:rsidRPr="00B64995">
        <w:rPr>
          <w:lang w:eastAsia="en-GB"/>
        </w:rPr>
        <w:t xml:space="preserve"> submitted to ITU </w:t>
      </w:r>
      <w:r w:rsidR="00F2405D" w:rsidRPr="00B64995">
        <w:rPr>
          <w:lang w:eastAsia="en-GB"/>
        </w:rPr>
        <w:t>s</w:t>
      </w:r>
      <w:r w:rsidR="00822BC6" w:rsidRPr="00B64995">
        <w:rPr>
          <w:lang w:eastAsia="en-GB"/>
        </w:rPr>
        <w:t xml:space="preserve">tudy </w:t>
      </w:r>
      <w:r w:rsidR="00F2405D" w:rsidRPr="00B64995">
        <w:rPr>
          <w:lang w:eastAsia="en-GB"/>
        </w:rPr>
        <w:t>g</w:t>
      </w:r>
      <w:r w:rsidR="00822BC6" w:rsidRPr="00B64995">
        <w:rPr>
          <w:lang w:eastAsia="en-GB"/>
        </w:rPr>
        <w:t xml:space="preserve">roups for consideration in their activities. All papers are available via the </w:t>
      </w:r>
      <w:hyperlink r:id="rId402">
        <w:r w:rsidR="00822BC6" w:rsidRPr="00B64995">
          <w:rPr>
            <w:rStyle w:val="Hyperlink"/>
            <w:lang w:eastAsia="en-GB"/>
          </w:rPr>
          <w:t>dedicated website</w:t>
        </w:r>
      </w:hyperlink>
      <w:r w:rsidR="00F2405D" w:rsidRPr="00B64995">
        <w:rPr>
          <w:lang w:eastAsia="en-GB"/>
        </w:rPr>
        <w:t xml:space="preserve">, </w:t>
      </w:r>
      <w:r w:rsidR="00822BC6" w:rsidRPr="00B64995">
        <w:rPr>
          <w:lang w:eastAsia="en-GB"/>
        </w:rPr>
        <w:t>including the three award-winning papers.</w:t>
      </w:r>
    </w:p>
    <w:p w14:paraId="7EB87F7A" w14:textId="2ADDBD9B" w:rsidR="003C23CD" w:rsidRPr="00B64995" w:rsidRDefault="003C23CD" w:rsidP="0012722A">
      <w:pPr>
        <w:jc w:val="both"/>
        <w:rPr>
          <w:lang w:eastAsia="en-GB"/>
        </w:rPr>
      </w:pPr>
    </w:p>
    <w:p w14:paraId="17BFA386" w14:textId="2DE32199" w:rsidR="008931A1" w:rsidRPr="00B64995" w:rsidRDefault="00570F0C" w:rsidP="0012722A">
      <w:pPr>
        <w:jc w:val="both"/>
      </w:pPr>
      <w:hyperlink r:id="rId403" w:history="1">
        <w:r w:rsidR="008931A1" w:rsidRPr="00B64995">
          <w:rPr>
            <w:rStyle w:val="Hyperlink"/>
          </w:rPr>
          <w:t>Kaleidoscope 2020: Industry-driven transformation</w:t>
        </w:r>
      </w:hyperlink>
      <w:r w:rsidR="008931A1" w:rsidRPr="00B64995">
        <w:t xml:space="preserve"> </w:t>
      </w:r>
      <w:r w:rsidR="00F2405D" w:rsidRPr="00B64995">
        <w:t xml:space="preserve">was held </w:t>
      </w:r>
      <w:r w:rsidR="008931A1" w:rsidRPr="00B64995">
        <w:t>7-11 December 2020</w:t>
      </w:r>
      <w:r w:rsidR="00F2405D" w:rsidRPr="00B64995">
        <w:t xml:space="preserve"> and</w:t>
      </w:r>
      <w:r w:rsidR="008931A1" w:rsidRPr="00B64995">
        <w:t xml:space="preserve"> looked at new opportunities for industry introduced by innovation in fields such as artificial intelligence and machine learning, cyber-physical systems, virtual simulation, digital twins, augmented reality, and 5G and future networks. ITU Kaleidoscope is technically co-sponsored by IEEE and the IEEE Communications Society and</w:t>
      </w:r>
      <w:r w:rsidR="003B5BDF" w:rsidRPr="00B64995">
        <w:t>, in 202</w:t>
      </w:r>
      <w:r w:rsidR="00860C59" w:rsidRPr="00B64995">
        <w:t>0</w:t>
      </w:r>
      <w:r w:rsidR="003B5BDF" w:rsidRPr="00B64995">
        <w:t xml:space="preserve">, </w:t>
      </w:r>
      <w:r w:rsidR="008931A1" w:rsidRPr="00B64995">
        <w:t>Kaleidoscope welcomed a new supporter</w:t>
      </w:r>
      <w:r w:rsidR="00F2405D" w:rsidRPr="00B64995">
        <w:t>,</w:t>
      </w:r>
      <w:r w:rsidR="008931A1" w:rsidRPr="00B64995">
        <w:t xml:space="preserve"> the IEEE Technology and Engineering Management Society. Learn more about the </w:t>
      </w:r>
      <w:hyperlink r:id="rId404" w:history="1">
        <w:r w:rsidR="008931A1" w:rsidRPr="00B64995">
          <w:rPr>
            <w:rStyle w:val="Hyperlink"/>
          </w:rPr>
          <w:t>winning and runner-up papers at Kaleidoscope 2020</w:t>
        </w:r>
      </w:hyperlink>
      <w:r w:rsidR="008931A1" w:rsidRPr="00A060FE">
        <w:t>.</w:t>
      </w:r>
    </w:p>
    <w:p w14:paraId="2C1557D7" w14:textId="26477FBC" w:rsidR="002A6ED0" w:rsidRPr="00A060FE" w:rsidRDefault="002A6ED0" w:rsidP="00A83DAA">
      <w:pPr>
        <w:pStyle w:val="Heading5"/>
        <w:rPr>
          <w:lang w:eastAsia="en-GB"/>
        </w:rPr>
      </w:pPr>
      <w:bookmarkStart w:id="87" w:name="AI_for_good"/>
      <w:r w:rsidRPr="00B64995">
        <w:rPr>
          <w:lang w:eastAsia="en-GB"/>
        </w:rPr>
        <w:t>AI for Good</w:t>
      </w:r>
      <w:bookmarkEnd w:id="87"/>
      <w:r w:rsidR="1FF73D56" w:rsidRPr="00B64995">
        <w:rPr>
          <w:lang w:eastAsia="en-GB"/>
        </w:rPr>
        <w:t xml:space="preserve"> </w:t>
      </w:r>
    </w:p>
    <w:p w14:paraId="50A5BD57" w14:textId="7D8CA732" w:rsidR="002A6ED0" w:rsidRPr="00B64995" w:rsidRDefault="002A6ED0" w:rsidP="00614D53">
      <w:pPr>
        <w:jc w:val="both"/>
      </w:pPr>
      <w:r w:rsidRPr="00B64995">
        <w:t xml:space="preserve">The third </w:t>
      </w:r>
      <w:hyperlink r:id="rId405" w:history="1">
        <w:r w:rsidRPr="00B64995">
          <w:rPr>
            <w:rStyle w:val="Hyperlink"/>
          </w:rPr>
          <w:t>AI for Good Global Summit</w:t>
        </w:r>
      </w:hyperlink>
      <w:r w:rsidRPr="00A060FE">
        <w:t xml:space="preserve"> took place from 28-31 May 2019 in partnership with 37 UN sister agencies, </w:t>
      </w:r>
      <w:proofErr w:type="gramStart"/>
      <w:r w:rsidRPr="00A060FE">
        <w:t>XPRIZE</w:t>
      </w:r>
      <w:proofErr w:type="gramEnd"/>
      <w:r w:rsidRPr="00A060FE">
        <w:t xml:space="preserve"> and ACM. The goal of the Summit is to connect AI innovators with problem owners to identify practical applications of AI to accelerate progress towards the </w:t>
      </w:r>
      <w:r w:rsidR="00594BFA" w:rsidRPr="00B64995">
        <w:t>SDGs</w:t>
      </w:r>
      <w:r w:rsidRPr="00B64995">
        <w:t xml:space="preserve">. </w:t>
      </w:r>
      <w:r w:rsidR="0096429C" w:rsidRPr="00B64995">
        <w:t xml:space="preserve">The Summit attracted </w:t>
      </w:r>
      <w:r w:rsidR="00F2405D" w:rsidRPr="00B64995">
        <w:lastRenderedPageBreak/>
        <w:t>over 2</w:t>
      </w:r>
      <w:r w:rsidR="005D4A07">
        <w:t> </w:t>
      </w:r>
      <w:r w:rsidR="00F2405D" w:rsidRPr="00B64995">
        <w:t>300</w:t>
      </w:r>
      <w:r w:rsidR="0096429C" w:rsidRPr="00B64995">
        <w:t xml:space="preserve"> participants, from over 90 countries, of which over 270 delegates were from developing countries and close to 40 per cent women. It also attracted international and multilingual media coverage from outlets such as BBC, </w:t>
      </w:r>
      <w:proofErr w:type="gramStart"/>
      <w:r w:rsidR="0096429C" w:rsidRPr="00B64995">
        <w:t>CNN</w:t>
      </w:r>
      <w:proofErr w:type="gramEnd"/>
      <w:r w:rsidR="0096429C" w:rsidRPr="00B64995">
        <w:t xml:space="preserve"> and Forbes.</w:t>
      </w:r>
    </w:p>
    <w:p w14:paraId="45AE9E0C" w14:textId="77777777" w:rsidR="00427F5C" w:rsidRPr="00B64995" w:rsidRDefault="00427F5C" w:rsidP="00614D53">
      <w:pPr>
        <w:jc w:val="both"/>
      </w:pPr>
    </w:p>
    <w:p w14:paraId="5EBFEF1B" w14:textId="7FAD304F" w:rsidR="00F2405D" w:rsidRPr="00B64995" w:rsidRDefault="00541610" w:rsidP="00614D53">
      <w:pPr>
        <w:jc w:val="both"/>
      </w:pPr>
      <w:r w:rsidRPr="00B64995">
        <w:t>The 2019 Summit was organized into five “Breakthrough Tracks”: AI and Health; AI and Education; AI and Human Dignity and Equality; Scaling AI and AI for Space</w:t>
      </w:r>
      <w:r w:rsidR="00281960" w:rsidRPr="00B64995">
        <w:t xml:space="preserve"> and</w:t>
      </w:r>
      <w:r w:rsidR="002A6ED0" w:rsidRPr="00B64995">
        <w:t xml:space="preserve"> delivered on its action-oriented promise, generating AI for Good projects in</w:t>
      </w:r>
      <w:r w:rsidR="003A54F2" w:rsidRPr="00B64995">
        <w:t xml:space="preserve"> numerous</w:t>
      </w:r>
      <w:r w:rsidR="002A6ED0" w:rsidRPr="00B64995">
        <w:t xml:space="preserve"> fields.</w:t>
      </w:r>
      <w:r w:rsidR="002A6ED0" w:rsidRPr="00B64995" w:rsidDel="00541610">
        <w:t xml:space="preserve"> </w:t>
      </w:r>
      <w:r w:rsidR="002A6ED0" w:rsidRPr="00B64995">
        <w:t xml:space="preserve">There were also sessions on the future of Smart Mobility, AI and agriculture, AI’s role in arts and culture, AI and robotics, and the unintended consequences of AI. In addition, the Summit showcased the latest in AI technologies — </w:t>
      </w:r>
      <w:proofErr w:type="gramStart"/>
      <w:r w:rsidR="002A6ED0" w:rsidRPr="00B64995">
        <w:t>from exoskeletons,</w:t>
      </w:r>
      <w:proofErr w:type="gramEnd"/>
      <w:r w:rsidR="002A6ED0" w:rsidRPr="00B64995">
        <w:t xml:space="preserve"> to autonomous cars, and AI-powered health solutions.</w:t>
      </w:r>
      <w:r w:rsidR="00170C33" w:rsidRPr="00B64995">
        <w:t xml:space="preserve"> </w:t>
      </w:r>
      <w:r w:rsidR="002A6ED0" w:rsidRPr="00B64995">
        <w:t xml:space="preserve">The Summit gave rise to ‘AI Commons’, a framework for collaboration to achieve AI for Good problem solving at scale. This led to </w:t>
      </w:r>
      <w:r w:rsidR="0010069C" w:rsidRPr="00B64995">
        <w:t xml:space="preserve">the </w:t>
      </w:r>
      <w:r w:rsidR="002A6ED0" w:rsidRPr="00B64995">
        <w:t xml:space="preserve">subsequent launch of the Global Initiative on AI and Data Commons in early 2020. </w:t>
      </w:r>
    </w:p>
    <w:p w14:paraId="32122EF4" w14:textId="77777777" w:rsidR="00F2405D" w:rsidRPr="00B64995" w:rsidRDefault="00F2405D" w:rsidP="00614D53">
      <w:pPr>
        <w:jc w:val="both"/>
      </w:pPr>
    </w:p>
    <w:p w14:paraId="5BFDDEEB" w14:textId="0DC0051D" w:rsidR="00ED1613" w:rsidRPr="00B64995" w:rsidRDefault="00ED1613" w:rsidP="00ED1613">
      <w:pPr>
        <w:jc w:val="both"/>
      </w:pPr>
      <w:r w:rsidRPr="00B64995">
        <w:t>In 2020, the AI for Good Global Summit was transformed into an always online, all</w:t>
      </w:r>
      <w:r w:rsidR="00F2405D" w:rsidRPr="00B64995">
        <w:t>-</w:t>
      </w:r>
      <w:r w:rsidRPr="00B64995">
        <w:t xml:space="preserve">year digital platform, with weekly </w:t>
      </w:r>
      <w:r w:rsidR="00F2405D" w:rsidRPr="00B64995">
        <w:t xml:space="preserve">and </w:t>
      </w:r>
      <w:r w:rsidRPr="00B64995">
        <w:t>even daily programming. The Summit offers a “digital bouquet of flowers”, a range of services that is available for use by anyone to demonstrate how AI can help achieve the Sustainable Development Goals. The Summit is co-convened by Switzerland.</w:t>
      </w:r>
    </w:p>
    <w:p w14:paraId="355DBC9B" w14:textId="1A90EF39" w:rsidR="00ED1613" w:rsidRPr="00B64995" w:rsidRDefault="00ED1613" w:rsidP="00ED1613">
      <w:pPr>
        <w:jc w:val="both"/>
      </w:pPr>
    </w:p>
    <w:p w14:paraId="68195AFA" w14:textId="45D0CEA9" w:rsidR="00ED1613" w:rsidRPr="00B64995" w:rsidRDefault="00ED1613" w:rsidP="00ED1613">
      <w:pPr>
        <w:jc w:val="both"/>
      </w:pPr>
      <w:r w:rsidRPr="00B64995">
        <w:t xml:space="preserve">In mid-March 2021, AI for Good launched the AI for Good </w:t>
      </w:r>
      <w:r w:rsidR="00F2405D" w:rsidRPr="00B64995">
        <w:t xml:space="preserve">channel on </w:t>
      </w:r>
      <w:r w:rsidRPr="00B64995">
        <w:t xml:space="preserve">YouTube, the destination to explore ideas, </w:t>
      </w:r>
      <w:proofErr w:type="gramStart"/>
      <w:r w:rsidRPr="00B64995">
        <w:t>insights</w:t>
      </w:r>
      <w:proofErr w:type="gramEnd"/>
      <w:r w:rsidRPr="00B64995">
        <w:t xml:space="preserve"> and active discussions around AI to achieve the SDGs. The AI for Good channel hosts hundreds of videos highlighting AI leaders and innovators throughout the four years of the Summit. With a wealth of interviews, conversation, </w:t>
      </w:r>
      <w:proofErr w:type="gramStart"/>
      <w:r w:rsidRPr="00B64995">
        <w:t>innovations</w:t>
      </w:r>
      <w:proofErr w:type="gramEnd"/>
      <w:r w:rsidRPr="00B64995">
        <w:t xml:space="preserve"> and demos showcasing AI solutions to accelerate the SDGs, the channel is a one-stop shop to catch up on emerging trends in AI for Good. The channel features:</w:t>
      </w:r>
    </w:p>
    <w:p w14:paraId="2FC40C67" w14:textId="77777777" w:rsidR="00ED1613" w:rsidRPr="00B64995" w:rsidRDefault="00ED1613" w:rsidP="00ED1613">
      <w:pPr>
        <w:jc w:val="both"/>
      </w:pPr>
      <w:r w:rsidRPr="00B64995">
        <w:t>-</w:t>
      </w:r>
      <w:r w:rsidRPr="00B64995">
        <w:tab/>
        <w:t xml:space="preserve">AI for Good Keynotes: The stage is given to AI luminaries to share their expertise, </w:t>
      </w:r>
      <w:proofErr w:type="gramStart"/>
      <w:r w:rsidRPr="00B64995">
        <w:t>research</w:t>
      </w:r>
      <w:proofErr w:type="gramEnd"/>
      <w:r w:rsidRPr="00B64995">
        <w:t xml:space="preserve"> and visions on AI for Good.</w:t>
      </w:r>
    </w:p>
    <w:p w14:paraId="0F1C8E42" w14:textId="77777777" w:rsidR="00ED1613" w:rsidRPr="00B64995" w:rsidRDefault="00ED1613" w:rsidP="00ED1613">
      <w:pPr>
        <w:jc w:val="both"/>
      </w:pPr>
      <w:r w:rsidRPr="00B64995">
        <w:t>-</w:t>
      </w:r>
      <w:r w:rsidRPr="00B64995">
        <w:tab/>
        <w:t>AI for Good Webinars: Solution-oriented panel discussions.</w:t>
      </w:r>
    </w:p>
    <w:p w14:paraId="558A2E5A" w14:textId="769505EE" w:rsidR="00ED1613" w:rsidRPr="00B64995" w:rsidRDefault="00ED1613" w:rsidP="00ED1613">
      <w:pPr>
        <w:jc w:val="both"/>
      </w:pPr>
      <w:r w:rsidRPr="00B64995">
        <w:t>-</w:t>
      </w:r>
      <w:r w:rsidRPr="00B64995">
        <w:tab/>
        <w:t>AI for Good Perspectives: Produced news-</w:t>
      </w:r>
      <w:r w:rsidR="00B042CC" w:rsidRPr="00B64995">
        <w:t>programme</w:t>
      </w:r>
      <w:r w:rsidRPr="00B64995">
        <w:t xml:space="preserve"> format, presented by a professional journalist.</w:t>
      </w:r>
    </w:p>
    <w:p w14:paraId="31210B43" w14:textId="4E1161D0" w:rsidR="00ED1613" w:rsidRPr="00B64995" w:rsidRDefault="00ED1613" w:rsidP="00ED1613">
      <w:pPr>
        <w:jc w:val="both"/>
      </w:pPr>
      <w:r w:rsidRPr="00B64995">
        <w:t>-</w:t>
      </w:r>
      <w:r w:rsidRPr="00B64995">
        <w:tab/>
        <w:t xml:space="preserve">AI for Good Innovation Factory: Pitching sessions to identify the best </w:t>
      </w:r>
      <w:r w:rsidR="00F2405D" w:rsidRPr="00B64995">
        <w:t>start-ups</w:t>
      </w:r>
      <w:r w:rsidRPr="00B64995">
        <w:t xml:space="preserve"> that use AI to advance the SDGs. The best solutions are featured at the Grand Pitching Finale.</w:t>
      </w:r>
    </w:p>
    <w:p w14:paraId="5BB9D7A3" w14:textId="77777777" w:rsidR="00ED1613" w:rsidRPr="00B64995" w:rsidRDefault="00ED1613" w:rsidP="00ED1613">
      <w:pPr>
        <w:jc w:val="both"/>
      </w:pPr>
      <w:r w:rsidRPr="00B64995">
        <w:t>-</w:t>
      </w:r>
      <w:r w:rsidRPr="00B64995">
        <w:tab/>
        <w:t>AI for Good Artificial Intelligence: Showcases artists using AI to push the limits of creativity with a positive message on sustainability.</w:t>
      </w:r>
    </w:p>
    <w:p w14:paraId="0392814E" w14:textId="77777777" w:rsidR="00ED1613" w:rsidRPr="00B64995" w:rsidRDefault="00ED1613" w:rsidP="00ED1613">
      <w:pPr>
        <w:jc w:val="both"/>
      </w:pPr>
      <w:r w:rsidRPr="00B64995">
        <w:t>-</w:t>
      </w:r>
      <w:r w:rsidRPr="00B64995">
        <w:tab/>
        <w:t xml:space="preserve">AI for Good </w:t>
      </w:r>
      <w:proofErr w:type="gramStart"/>
      <w:r w:rsidRPr="00B64995">
        <w:t>On</w:t>
      </w:r>
      <w:proofErr w:type="gramEnd"/>
      <w:r w:rsidRPr="00B64995">
        <w:t xml:space="preserve"> the Go: Short-form, high frequency content; informal, straight to social media, live or on-demand.</w:t>
      </w:r>
    </w:p>
    <w:p w14:paraId="26772ED5" w14:textId="77777777" w:rsidR="00ED1613" w:rsidRPr="00B64995" w:rsidRDefault="00ED1613" w:rsidP="00ED1613">
      <w:pPr>
        <w:jc w:val="both"/>
      </w:pPr>
      <w:r w:rsidRPr="00B64995">
        <w:t>-</w:t>
      </w:r>
      <w:r w:rsidRPr="00B64995">
        <w:tab/>
        <w:t>ITU AI/ML in 5G Challenge: The 2020 competition had over 1300 students and professionals from 62 countries participate to solve real-world network problems. The best solutions were presented at the Grand Challenge Finale in December 2020.</w:t>
      </w:r>
    </w:p>
    <w:p w14:paraId="454C5C46" w14:textId="0CA7B77A" w:rsidR="00ED1613" w:rsidRPr="00B64995" w:rsidRDefault="00ED1613" w:rsidP="00ED1613">
      <w:pPr>
        <w:jc w:val="both"/>
      </w:pPr>
      <w:r w:rsidRPr="00B64995">
        <w:t>-</w:t>
      </w:r>
      <w:r w:rsidRPr="00B64995">
        <w:tab/>
        <w:t>AI for Good in 60 seconds</w:t>
      </w:r>
      <w:r w:rsidR="00AD510C" w:rsidRPr="00B64995">
        <w:t>.</w:t>
      </w:r>
    </w:p>
    <w:p w14:paraId="1D7CBA6E" w14:textId="19368316" w:rsidR="00ED1613" w:rsidRPr="00B64995" w:rsidRDefault="00ED1613" w:rsidP="00ED1613">
      <w:pPr>
        <w:jc w:val="both"/>
      </w:pPr>
      <w:r w:rsidRPr="00B64995">
        <w:t>-</w:t>
      </w:r>
      <w:r w:rsidRPr="00B64995">
        <w:tab/>
        <w:t>2019 AI for Good Global Summit</w:t>
      </w:r>
      <w:r w:rsidR="00AD510C" w:rsidRPr="00B64995">
        <w:t>.</w:t>
      </w:r>
    </w:p>
    <w:p w14:paraId="5508CEFF" w14:textId="5B4FAC92" w:rsidR="00ED1613" w:rsidRPr="00B64995" w:rsidRDefault="00ED1613" w:rsidP="00ED1613">
      <w:pPr>
        <w:jc w:val="both"/>
      </w:pPr>
      <w:r w:rsidRPr="00B64995">
        <w:t>-</w:t>
      </w:r>
      <w:r w:rsidRPr="00B64995">
        <w:tab/>
        <w:t>2018 AI for Good Global Summit</w:t>
      </w:r>
      <w:r w:rsidR="00AD510C" w:rsidRPr="00B64995">
        <w:t>.</w:t>
      </w:r>
    </w:p>
    <w:p w14:paraId="4DF9FFF3" w14:textId="1A9C451E" w:rsidR="00ED1613" w:rsidRPr="00B64995" w:rsidRDefault="00ED1613" w:rsidP="00ED1613">
      <w:pPr>
        <w:jc w:val="both"/>
      </w:pPr>
      <w:r w:rsidRPr="00B64995">
        <w:t>-</w:t>
      </w:r>
      <w:r w:rsidRPr="00B64995">
        <w:tab/>
        <w:t>2017 AI for Good Global Summit</w:t>
      </w:r>
      <w:r w:rsidR="00AD510C" w:rsidRPr="00B64995">
        <w:t>.</w:t>
      </w:r>
    </w:p>
    <w:p w14:paraId="0ADCFC06" w14:textId="77777777" w:rsidR="00ED1613" w:rsidRPr="00B64995" w:rsidRDefault="00ED1613" w:rsidP="00ED1613">
      <w:pPr>
        <w:jc w:val="both"/>
      </w:pPr>
    </w:p>
    <w:p w14:paraId="2BEB7632" w14:textId="0BE24733" w:rsidR="00ED1613" w:rsidRPr="00B64995" w:rsidRDefault="00ED1613" w:rsidP="00ED1613">
      <w:pPr>
        <w:jc w:val="both"/>
      </w:pPr>
      <w:r w:rsidRPr="00B64995">
        <w:t>The 2021 edition of AI for Good continues as an all</w:t>
      </w:r>
      <w:r w:rsidR="00AD510C" w:rsidRPr="00B64995">
        <w:t>-</w:t>
      </w:r>
      <w:r w:rsidRPr="00B64995">
        <w:t xml:space="preserve">year, always online programme, with a new batch of activities, </w:t>
      </w:r>
      <w:proofErr w:type="gramStart"/>
      <w:r w:rsidRPr="00B64995">
        <w:t>experiences</w:t>
      </w:r>
      <w:proofErr w:type="gramEnd"/>
      <w:r w:rsidRPr="00B64995">
        <w:t xml:space="preserve"> and benefits for everyone involved. </w:t>
      </w:r>
      <w:bookmarkStart w:id="88" w:name="_Hlk69059585"/>
      <w:r w:rsidRPr="00B64995">
        <w:t xml:space="preserve">Subscribe to our channel and join us online </w:t>
      </w:r>
      <w:bookmarkEnd w:id="88"/>
      <w:r w:rsidRPr="00B64995">
        <w:t>for new updates and exclusive content as they go live on AI for Good YouTube.</w:t>
      </w:r>
    </w:p>
    <w:p w14:paraId="5D5EE206" w14:textId="10ECD230" w:rsidR="0049723A" w:rsidRPr="00B64995" w:rsidRDefault="15B98DC0">
      <w:pPr>
        <w:pStyle w:val="paragraph"/>
        <w:jc w:val="both"/>
        <w:rPr>
          <w:rFonts w:ascii="Calibri" w:eastAsia="Calibri" w:hAnsi="Calibri" w:cs="Calibri"/>
          <w:u w:val="single"/>
        </w:rPr>
      </w:pPr>
      <w:r w:rsidRPr="00B64995">
        <w:rPr>
          <w:rFonts w:ascii="Calibri" w:eastAsia="Calibri" w:hAnsi="Calibri" w:cs="Calibri"/>
          <w:sz w:val="22"/>
          <w:szCs w:val="22"/>
        </w:rPr>
        <w:t xml:space="preserve">Since </w:t>
      </w:r>
      <w:r w:rsidR="082A5A0D" w:rsidRPr="00B64995">
        <w:rPr>
          <w:rFonts w:ascii="Calibri" w:eastAsia="Calibri" w:hAnsi="Calibri" w:cs="Calibri"/>
          <w:sz w:val="22"/>
          <w:szCs w:val="22"/>
        </w:rPr>
        <w:t xml:space="preserve">the second AI for Good Global Summit in </w:t>
      </w:r>
      <w:r w:rsidRPr="00B64995">
        <w:rPr>
          <w:rFonts w:ascii="Calibri" w:eastAsia="Calibri" w:hAnsi="Calibri" w:cs="Calibri"/>
          <w:sz w:val="22"/>
          <w:szCs w:val="22"/>
        </w:rPr>
        <w:t>2018, ITU has issued the “Compendium of UN Activities on Artificial Intelligence”, aiming to introduce activities being carried out by the UN system. A joint</w:t>
      </w:r>
      <w:r w:rsidR="009F3DE8" w:rsidRPr="00B64995">
        <w:rPr>
          <w:rFonts w:ascii="Calibri" w:eastAsia="Calibri" w:hAnsi="Calibri" w:cs="Calibri"/>
          <w:sz w:val="22"/>
          <w:szCs w:val="22"/>
        </w:rPr>
        <w:t xml:space="preserve"> </w:t>
      </w:r>
      <w:r w:rsidRPr="00B64995">
        <w:rPr>
          <w:rFonts w:ascii="Calibri" w:eastAsia="Calibri" w:hAnsi="Calibri" w:cs="Calibri"/>
          <w:sz w:val="22"/>
          <w:szCs w:val="22"/>
        </w:rPr>
        <w:t xml:space="preserve">effort between ITU and 37 UN agencies and bodies, all partners of the 2020 AI for Good Global Summit, </w:t>
      </w:r>
      <w:r w:rsidR="009F3DE8" w:rsidRPr="00B64995">
        <w:rPr>
          <w:rFonts w:ascii="Calibri" w:eastAsia="Calibri" w:hAnsi="Calibri" w:cs="Calibri"/>
          <w:sz w:val="22"/>
          <w:szCs w:val="22"/>
        </w:rPr>
        <w:t xml:space="preserve">resulted in an </w:t>
      </w:r>
      <w:r w:rsidRPr="00B64995">
        <w:rPr>
          <w:rFonts w:ascii="Calibri" w:eastAsia="Calibri" w:hAnsi="Calibri" w:cs="Calibri"/>
          <w:sz w:val="22"/>
          <w:szCs w:val="22"/>
        </w:rPr>
        <w:t xml:space="preserve">updated version of the </w:t>
      </w:r>
      <w:r w:rsidR="009F3DE8" w:rsidRPr="00B64995">
        <w:rPr>
          <w:rFonts w:ascii="Calibri" w:eastAsia="Calibri" w:hAnsi="Calibri" w:cs="Calibri"/>
          <w:sz w:val="22"/>
          <w:szCs w:val="22"/>
        </w:rPr>
        <w:t>c</w:t>
      </w:r>
      <w:r w:rsidRPr="00B64995">
        <w:rPr>
          <w:rFonts w:ascii="Calibri" w:eastAsia="Calibri" w:hAnsi="Calibri" w:cs="Calibri"/>
          <w:sz w:val="22"/>
          <w:szCs w:val="22"/>
        </w:rPr>
        <w:t xml:space="preserve">ompendium at the sixth AI for Good UN Partners Meeting, held </w:t>
      </w:r>
      <w:r w:rsidR="009F3DE8" w:rsidRPr="00B64995">
        <w:rPr>
          <w:rFonts w:ascii="Calibri" w:eastAsia="Calibri" w:hAnsi="Calibri" w:cs="Calibri"/>
          <w:sz w:val="22"/>
          <w:szCs w:val="22"/>
        </w:rPr>
        <w:t xml:space="preserve">virtually </w:t>
      </w:r>
      <w:r w:rsidRPr="00B64995">
        <w:rPr>
          <w:rFonts w:ascii="Calibri" w:eastAsia="Calibri" w:hAnsi="Calibri" w:cs="Calibri"/>
          <w:sz w:val="22"/>
          <w:szCs w:val="22"/>
        </w:rPr>
        <w:t>on 21 September</w:t>
      </w:r>
      <w:r w:rsidR="7F876188" w:rsidRPr="00B64995">
        <w:rPr>
          <w:rFonts w:ascii="Calibri" w:eastAsia="Calibri" w:hAnsi="Calibri" w:cs="Calibri"/>
          <w:sz w:val="22"/>
          <w:szCs w:val="22"/>
        </w:rPr>
        <w:t xml:space="preserve">. The 2020 Compendium </w:t>
      </w:r>
      <w:r w:rsidRPr="00B64995">
        <w:rPr>
          <w:rFonts w:ascii="Calibri" w:eastAsia="Calibri" w:hAnsi="Calibri" w:cs="Calibri"/>
          <w:sz w:val="22"/>
          <w:szCs w:val="22"/>
        </w:rPr>
        <w:t xml:space="preserve">covers around 260 cases and projects run by 36 UN </w:t>
      </w:r>
      <w:r w:rsidRPr="00B64995">
        <w:rPr>
          <w:rFonts w:ascii="Calibri" w:eastAsia="Calibri" w:hAnsi="Calibri" w:cs="Calibri"/>
          <w:sz w:val="22"/>
          <w:szCs w:val="22"/>
        </w:rPr>
        <w:lastRenderedPageBreak/>
        <w:t>agencies and bodies, an increase of almost 75</w:t>
      </w:r>
      <w:r w:rsidR="003C5E1A">
        <w:rPr>
          <w:rFonts w:ascii="Calibri" w:eastAsia="Calibri" w:hAnsi="Calibri" w:cs="Calibri"/>
          <w:sz w:val="22"/>
          <w:szCs w:val="22"/>
        </w:rPr>
        <w:t xml:space="preserve"> per cent</w:t>
      </w:r>
      <w:r w:rsidRPr="00B64995">
        <w:rPr>
          <w:rFonts w:ascii="Calibri" w:eastAsia="Calibri" w:hAnsi="Calibri" w:cs="Calibri"/>
          <w:sz w:val="22"/>
          <w:szCs w:val="22"/>
        </w:rPr>
        <w:t xml:space="preserve"> since the 2019 </w:t>
      </w:r>
      <w:r w:rsidR="009F3DE8" w:rsidRPr="00B64995">
        <w:rPr>
          <w:rFonts w:ascii="Calibri" w:eastAsia="Calibri" w:hAnsi="Calibri" w:cs="Calibri"/>
          <w:sz w:val="22"/>
          <w:szCs w:val="22"/>
        </w:rPr>
        <w:t>c</w:t>
      </w:r>
      <w:r w:rsidRPr="00B64995">
        <w:rPr>
          <w:rFonts w:ascii="Calibri" w:eastAsia="Calibri" w:hAnsi="Calibri" w:cs="Calibri"/>
          <w:sz w:val="22"/>
          <w:szCs w:val="22"/>
        </w:rPr>
        <w:t>ompendium, in areas ranging from smart agriculture and food system</w:t>
      </w:r>
      <w:r w:rsidR="009F3DE8" w:rsidRPr="00B64995">
        <w:rPr>
          <w:rFonts w:ascii="Calibri" w:eastAsia="Calibri" w:hAnsi="Calibri" w:cs="Calibri"/>
          <w:sz w:val="22"/>
          <w:szCs w:val="22"/>
        </w:rPr>
        <w:t>s</w:t>
      </w:r>
      <w:r w:rsidRPr="00B64995">
        <w:rPr>
          <w:rFonts w:ascii="Calibri" w:eastAsia="Calibri" w:hAnsi="Calibri" w:cs="Calibri"/>
          <w:sz w:val="22"/>
          <w:szCs w:val="22"/>
        </w:rPr>
        <w:t xml:space="preserve"> to transportation, financial services, and healthcare, including AI solutions to combat COVID-19.</w:t>
      </w:r>
    </w:p>
    <w:p w14:paraId="6DC81633" w14:textId="00EB4912" w:rsidR="00ED1613" w:rsidRPr="00B64995" w:rsidRDefault="00ED1613" w:rsidP="003C3C35">
      <w:pPr>
        <w:pStyle w:val="Heading5"/>
        <w:jc w:val="both"/>
        <w:rPr>
          <w:lang w:eastAsia="en-GB"/>
        </w:rPr>
      </w:pPr>
      <w:r w:rsidRPr="00B64995">
        <w:rPr>
          <w:lang w:eastAsia="en-GB"/>
        </w:rPr>
        <w:t>ITU AI/Machine Learning in 5G Challenge</w:t>
      </w:r>
    </w:p>
    <w:p w14:paraId="3008885B" w14:textId="68F259DB" w:rsidR="00ED1613" w:rsidRPr="00B64995" w:rsidRDefault="00ED1613" w:rsidP="003C3C35">
      <w:pPr>
        <w:jc w:val="both"/>
      </w:pPr>
      <w:r w:rsidRPr="00B64995">
        <w:t xml:space="preserve">The </w:t>
      </w:r>
      <w:r w:rsidR="009F3DE8" w:rsidRPr="00B64995">
        <w:t xml:space="preserve">ITU AI/Machine Learning in 5G Challenge brought together </w:t>
      </w:r>
      <w:r w:rsidRPr="00B64995">
        <w:t>like</w:t>
      </w:r>
      <w:r w:rsidR="009F3DE8" w:rsidRPr="00B64995">
        <w:t>-</w:t>
      </w:r>
      <w:r w:rsidRPr="00B64995">
        <w:t>minded students and professionals from around the globe to study the practical application of AI/ML in emerging and future networks. The Challenge was a first for ITU, but with many valuable lessons learnt. The Challenge welcomed over 1</w:t>
      </w:r>
      <w:r w:rsidR="005D4A07">
        <w:t> </w:t>
      </w:r>
      <w:r w:rsidRPr="00B64995">
        <w:t>300 competitors from 62 countries forming 911 teams, culminating in the Grand Challenge Finale</w:t>
      </w:r>
      <w:r w:rsidR="009F3DE8" w:rsidRPr="00B64995">
        <w:t xml:space="preserve"> online</w:t>
      </w:r>
      <w:r w:rsidRPr="00B64995">
        <w:t>, 15-17 December, where outstanding teams competed for a share in a prize fund total</w:t>
      </w:r>
      <w:r w:rsidR="00395155" w:rsidRPr="00B64995">
        <w:t>l</w:t>
      </w:r>
      <w:r w:rsidRPr="00B64995">
        <w:t xml:space="preserve">ing </w:t>
      </w:r>
      <w:r w:rsidR="00395155" w:rsidRPr="00B64995">
        <w:t xml:space="preserve">CHF </w:t>
      </w:r>
      <w:r w:rsidRPr="00B64995">
        <w:t>33</w:t>
      </w:r>
      <w:r w:rsidR="00A060FE">
        <w:t> </w:t>
      </w:r>
      <w:r w:rsidRPr="00B64995">
        <w:t>000 and a range of other prizes offering global recognition.</w:t>
      </w:r>
    </w:p>
    <w:p w14:paraId="5263DF34" w14:textId="77777777" w:rsidR="00ED1613" w:rsidRPr="00B64995" w:rsidRDefault="00ED1613" w:rsidP="003C3C35">
      <w:pPr>
        <w:jc w:val="both"/>
      </w:pPr>
    </w:p>
    <w:p w14:paraId="5C76A70E" w14:textId="26250803" w:rsidR="00ED1613" w:rsidRPr="00B64995" w:rsidRDefault="00ED1613" w:rsidP="003C3C35">
      <w:pPr>
        <w:jc w:val="both"/>
      </w:pPr>
      <w:r w:rsidRPr="00B64995">
        <w:t xml:space="preserve">The ITU Challenge enabled competitors to connect with new partners in industry and academia – and new tools and data resources – to solve real-world problems with AI/ML, showcase their talent and develop new experience. </w:t>
      </w:r>
      <w:r w:rsidR="00E0255C" w:rsidRPr="00B64995">
        <w:t>Twenty-three</w:t>
      </w:r>
      <w:r w:rsidR="009F3DE8" w:rsidRPr="00B64995">
        <w:t xml:space="preserve"> </w:t>
      </w:r>
      <w:r w:rsidRPr="00B64995">
        <w:t xml:space="preserve">problem statements were contributed by industry and academia </w:t>
      </w:r>
      <w:r w:rsidR="009F3DE8" w:rsidRPr="00B64995">
        <w:t xml:space="preserve">hosts from </w:t>
      </w:r>
      <w:r w:rsidRPr="00B64995">
        <w:t xml:space="preserve">Brazil, China, India, Ireland, Japan, Spain, Turkey, the </w:t>
      </w:r>
      <w:r w:rsidR="009F3DE8" w:rsidRPr="00B64995">
        <w:t xml:space="preserve">United States </w:t>
      </w:r>
      <w:r w:rsidRPr="00B64995">
        <w:t>and Russia, and the hosts offered resources and expert guidance to support competitors in addressing their challenges.</w:t>
      </w:r>
    </w:p>
    <w:p w14:paraId="4EF3A3C5" w14:textId="77777777" w:rsidR="00ED1613" w:rsidRPr="00B64995" w:rsidRDefault="00ED1613" w:rsidP="003C3C35">
      <w:pPr>
        <w:jc w:val="both"/>
      </w:pPr>
    </w:p>
    <w:p w14:paraId="73DE94AE" w14:textId="5593514C" w:rsidR="00ED1613" w:rsidRPr="00B64995" w:rsidRDefault="00ED1613" w:rsidP="003C3C35">
      <w:pPr>
        <w:jc w:val="both"/>
      </w:pPr>
      <w:r w:rsidRPr="00B64995">
        <w:t xml:space="preserve">We would like to thank the community that gave life to the Challenge, our </w:t>
      </w:r>
      <w:proofErr w:type="gramStart"/>
      <w:r w:rsidRPr="00B64995">
        <w:t>competitors</w:t>
      </w:r>
      <w:proofErr w:type="gramEnd"/>
      <w:r w:rsidRPr="00B64995">
        <w:t xml:space="preserve"> and regional hosts; our promotion partners</w:t>
      </w:r>
      <w:r w:rsidR="009F3DE8" w:rsidRPr="00B64995">
        <w:t>,</w:t>
      </w:r>
      <w:r w:rsidRPr="00B64995">
        <w:t xml:space="preserve"> </w:t>
      </w:r>
      <w:r w:rsidR="009F3DE8" w:rsidRPr="00B64995">
        <w:t xml:space="preserve">the </w:t>
      </w:r>
      <w:r w:rsidRPr="00B64995">
        <w:t xml:space="preserve">Linux Foundation, NGMN and </w:t>
      </w:r>
      <w:proofErr w:type="spellStart"/>
      <w:r w:rsidRPr="00B64995">
        <w:t>SGInnovate</w:t>
      </w:r>
      <w:proofErr w:type="spellEnd"/>
      <w:r w:rsidRPr="00B64995">
        <w:t>; and our Gold sponsor</w:t>
      </w:r>
      <w:r w:rsidR="009F3DE8" w:rsidRPr="00B64995">
        <w:t>,</w:t>
      </w:r>
      <w:r w:rsidRPr="00B64995">
        <w:t xml:space="preserve"> the Telecommunication Regulatory authority of the United Arab Emirates</w:t>
      </w:r>
      <w:r w:rsidR="009F3DE8" w:rsidRPr="00B64995">
        <w:t>,</w:t>
      </w:r>
      <w:r w:rsidRPr="00B64995">
        <w:t xml:space="preserve"> and Bronze sponsors</w:t>
      </w:r>
      <w:r w:rsidR="009F3DE8" w:rsidRPr="00B64995">
        <w:t>,</w:t>
      </w:r>
      <w:r w:rsidRPr="00B64995">
        <w:t xml:space="preserve"> Cisco and ZTE.</w:t>
      </w:r>
    </w:p>
    <w:p w14:paraId="3CFAC86E" w14:textId="77777777" w:rsidR="00ED1613" w:rsidRPr="00B64995" w:rsidRDefault="00ED1613" w:rsidP="003C3C35">
      <w:pPr>
        <w:shd w:val="clear" w:color="auto" w:fill="FFFFFF"/>
        <w:jc w:val="both"/>
        <w:rPr>
          <w:rStyle w:val="normaltextrun"/>
          <w:b/>
          <w:bCs/>
          <w:color w:val="222222"/>
        </w:rPr>
      </w:pPr>
    </w:p>
    <w:p w14:paraId="1A911E08" w14:textId="77777777" w:rsidR="0049723A" w:rsidRPr="00B64995" w:rsidRDefault="00ED1613" w:rsidP="003C3C35">
      <w:pPr>
        <w:shd w:val="clear" w:color="auto" w:fill="FFFFFF"/>
        <w:jc w:val="both"/>
        <w:rPr>
          <w:rStyle w:val="normaltextrun"/>
          <w:b/>
          <w:bCs/>
          <w:color w:val="222222"/>
        </w:rPr>
      </w:pPr>
      <w:r w:rsidRPr="00B64995">
        <w:rPr>
          <w:rStyle w:val="normaltextrun"/>
          <w:b/>
          <w:bCs/>
          <w:color w:val="222222"/>
        </w:rPr>
        <w:t>Mapping solutions to ITU standards</w:t>
      </w:r>
    </w:p>
    <w:p w14:paraId="17E7E934" w14:textId="40466112" w:rsidR="0049723A" w:rsidRPr="00B64995" w:rsidRDefault="00ED1613" w:rsidP="003C3C35">
      <w:pPr>
        <w:jc w:val="both"/>
      </w:pPr>
      <w:r w:rsidRPr="00B64995">
        <w:t xml:space="preserve">New ITU standards for AI/ML provide toolsets that, when integrated, form an end-to-end pipeline for AI/ML integration in networks. The ITU Challenge aimed to demonstrate and validate these ITU standards. In mapping solutions to ITU standards, the ITU Challenge contributes to the growth of the community </w:t>
      </w:r>
      <w:r w:rsidR="009F3DE8" w:rsidRPr="00B64995">
        <w:t xml:space="preserve">that </w:t>
      </w:r>
      <w:proofErr w:type="gramStart"/>
      <w:r w:rsidR="009F3DE8" w:rsidRPr="00B64995">
        <w:t xml:space="preserve">is </w:t>
      </w:r>
      <w:r w:rsidRPr="00B64995">
        <w:t>able to</w:t>
      </w:r>
      <w:proofErr w:type="gramEnd"/>
      <w:r w:rsidRPr="00B64995">
        <w:t xml:space="preserve"> support the iterative evolution of these ITU standards.</w:t>
      </w:r>
    </w:p>
    <w:p w14:paraId="5E640228" w14:textId="0C50EEDA" w:rsidR="00ED1613" w:rsidRPr="00B64995" w:rsidRDefault="00ED1613" w:rsidP="003C3C35">
      <w:pPr>
        <w:jc w:val="both"/>
      </w:pPr>
    </w:p>
    <w:p w14:paraId="0ED0A63A" w14:textId="6DA2841D" w:rsidR="0049723A" w:rsidRPr="00B64995" w:rsidRDefault="00ED1613" w:rsidP="003C3C35">
      <w:pPr>
        <w:jc w:val="both"/>
      </w:pPr>
      <w:r w:rsidRPr="00B64995">
        <w:t xml:space="preserve">The </w:t>
      </w:r>
      <w:hyperlink r:id="rId406" w:history="1">
        <w:r w:rsidR="00A26A66" w:rsidRPr="00B64995">
          <w:rPr>
            <w:rStyle w:val="Hyperlink"/>
          </w:rPr>
          <w:t>ITU-T Y.3172</w:t>
        </w:r>
      </w:hyperlink>
      <w:r w:rsidRPr="00A060FE">
        <w:t xml:space="preserve"> architecture – derived from the study of use cases published in </w:t>
      </w:r>
      <w:hyperlink r:id="rId407" w:history="1">
        <w:r w:rsidR="00A26A66" w:rsidRPr="00B64995">
          <w:rPr>
            <w:rStyle w:val="Hyperlink"/>
          </w:rPr>
          <w:t>ITU-T Y.Supplement55</w:t>
        </w:r>
      </w:hyperlink>
      <w:r w:rsidRPr="00A060FE">
        <w:t xml:space="preserve"> – introduced the basic toolsets in relation with the underlying network: ML Pipeline for model optimization and serving; ML Sandbox to trial models before deployment; and ML Function Orchestrator (MLFO) to control AI/ML integration. </w:t>
      </w:r>
      <w:hyperlink r:id="rId408" w:history="1">
        <w:r w:rsidR="00A26A66" w:rsidRPr="00B64995">
          <w:rPr>
            <w:rStyle w:val="Hyperlink"/>
          </w:rPr>
          <w:t>ITU-T Y.3173</w:t>
        </w:r>
      </w:hyperlink>
      <w:r w:rsidRPr="00A060FE">
        <w:t xml:space="preserve"> (intelligence evaluation), </w:t>
      </w:r>
      <w:hyperlink r:id="rId409" w:history="1">
        <w:r w:rsidR="00A26A66" w:rsidRPr="00B64995">
          <w:rPr>
            <w:rStyle w:val="Hyperlink"/>
          </w:rPr>
          <w:t>ITU-T Y.3174</w:t>
        </w:r>
      </w:hyperlink>
      <w:r w:rsidRPr="00A060FE">
        <w:t xml:space="preserve"> (data handling) and </w:t>
      </w:r>
      <w:hyperlink r:id="rId410" w:history="1">
        <w:r w:rsidR="00A26A66" w:rsidRPr="00B64995">
          <w:rPr>
            <w:rStyle w:val="Hyperlink"/>
          </w:rPr>
          <w:t>ITU-T Y.3176</w:t>
        </w:r>
      </w:hyperlink>
      <w:r w:rsidRPr="00A060FE">
        <w:t xml:space="preserve"> (marketplace integration) all build on the ITU</w:t>
      </w:r>
      <w:r w:rsidR="00A26A66" w:rsidRPr="00B64995">
        <w:t>-T</w:t>
      </w:r>
      <w:r w:rsidRPr="00B64995">
        <w:t xml:space="preserve"> Y.3172 architecture.</w:t>
      </w:r>
    </w:p>
    <w:p w14:paraId="69857912" w14:textId="0EB34AB8" w:rsidR="0049723A" w:rsidRPr="00B64995" w:rsidRDefault="00ED1613" w:rsidP="003C3C35">
      <w:pPr>
        <w:jc w:val="both"/>
      </w:pPr>
      <w:r w:rsidRPr="00B64995">
        <w:t xml:space="preserve">The problem statements of this first ITU Challenge offered a variety of opportunities </w:t>
      </w:r>
      <w:r w:rsidR="009F3DE8" w:rsidRPr="00B64995">
        <w:t xml:space="preserve">to </w:t>
      </w:r>
      <w:r w:rsidRPr="00B64995">
        <w:t>apply ITU</w:t>
      </w:r>
      <w:r w:rsidR="00A26A66" w:rsidRPr="00B64995">
        <w:t>-T</w:t>
      </w:r>
      <w:r w:rsidRPr="00B64995">
        <w:t xml:space="preserve"> Y.317x techniques, and one problem statement demonstrated MLFO capabilities via reference implementations.</w:t>
      </w:r>
    </w:p>
    <w:p w14:paraId="7832F604" w14:textId="135CC886" w:rsidR="00ED1613" w:rsidRPr="00B64995" w:rsidRDefault="00ED1613" w:rsidP="003C3C35">
      <w:pPr>
        <w:jc w:val="both"/>
      </w:pPr>
    </w:p>
    <w:p w14:paraId="64291456" w14:textId="77777777" w:rsidR="0049723A" w:rsidRPr="00B64995" w:rsidRDefault="00ED1613" w:rsidP="003C3C35">
      <w:pPr>
        <w:jc w:val="both"/>
      </w:pPr>
      <w:r w:rsidRPr="00B64995">
        <w:t xml:space="preserve">The 2021 edition of the ITU Challenge aims to provide a reference implementation of an end-to-end ML pipeline as defined by ITU Y.3172. This pipeline could include notebooks for ML coding and integration; tools for data processing and management; and tools for ML model selection, training, </w:t>
      </w:r>
      <w:proofErr w:type="gramStart"/>
      <w:r w:rsidRPr="00B64995">
        <w:t>optimization</w:t>
      </w:r>
      <w:proofErr w:type="gramEnd"/>
      <w:r w:rsidRPr="00B64995">
        <w:t xml:space="preserve"> and verification.</w:t>
      </w:r>
    </w:p>
    <w:p w14:paraId="7AB05955" w14:textId="7ED8F482" w:rsidR="00ED1613" w:rsidRPr="00B64995" w:rsidRDefault="00ED1613" w:rsidP="00ED1613">
      <w:pPr>
        <w:rPr>
          <w:b/>
          <w:bCs/>
        </w:rPr>
      </w:pPr>
    </w:p>
    <w:p w14:paraId="5A5FFA54" w14:textId="77777777" w:rsidR="00ED1613" w:rsidRPr="00B64995" w:rsidRDefault="00ED1613" w:rsidP="00ED1613">
      <w:pPr>
        <w:rPr>
          <w:b/>
          <w:bCs/>
        </w:rPr>
      </w:pPr>
      <w:r w:rsidRPr="00B64995">
        <w:rPr>
          <w:b/>
          <w:bCs/>
        </w:rPr>
        <w:t>A learning experience for all</w:t>
      </w:r>
    </w:p>
    <w:p w14:paraId="149C0719" w14:textId="765BEDD0" w:rsidR="0049723A" w:rsidRPr="00B64995" w:rsidRDefault="00ED1613" w:rsidP="003C3C35">
      <w:pPr>
        <w:jc w:val="both"/>
        <w:rPr>
          <w:rStyle w:val="normaltextrun"/>
          <w:color w:val="222222"/>
        </w:rPr>
      </w:pPr>
      <w:r w:rsidRPr="00B64995">
        <w:t>Data availability is a key challenge to be navigated when bringing together a global community to innovate with AI/ML.</w:t>
      </w:r>
      <w:r w:rsidR="003C3C35" w:rsidRPr="00B64995">
        <w:t xml:space="preserve"> </w:t>
      </w:r>
      <w:r w:rsidR="009F3DE8" w:rsidRPr="00B64995">
        <w:t>Fifteen</w:t>
      </w:r>
      <w:r w:rsidRPr="00B64995">
        <w:t xml:space="preserve"> problem statements were open to all competitors; the rest was limited to participation under conditions set by their hosts. The </w:t>
      </w:r>
      <w:r w:rsidRPr="00B64995">
        <w:rPr>
          <w:rStyle w:val="normaltextrun"/>
          <w:color w:val="222222"/>
        </w:rPr>
        <w:t xml:space="preserve">data sharing guidelines of the ITU Challenge incorporate a wide range of perspectives from industry and academia on access to real network data, synthetic </w:t>
      </w:r>
      <w:proofErr w:type="gramStart"/>
      <w:r w:rsidRPr="00B64995">
        <w:rPr>
          <w:rStyle w:val="normaltextrun"/>
          <w:color w:val="222222"/>
        </w:rPr>
        <w:t>data</w:t>
      </w:r>
      <w:proofErr w:type="gramEnd"/>
      <w:r w:rsidRPr="00B64995">
        <w:rPr>
          <w:rStyle w:val="normaltextrun"/>
          <w:color w:val="222222"/>
        </w:rPr>
        <w:t xml:space="preserve"> and open data. The guidelines describe measures to enable data sharing in view </w:t>
      </w:r>
      <w:r w:rsidR="009F3DE8" w:rsidRPr="00B64995">
        <w:rPr>
          <w:rStyle w:val="normaltextrun"/>
          <w:color w:val="222222"/>
        </w:rPr>
        <w:t xml:space="preserve">of </w:t>
      </w:r>
      <w:r w:rsidRPr="00B64995">
        <w:rPr>
          <w:rStyle w:val="normaltextrun"/>
          <w:color w:val="222222"/>
        </w:rPr>
        <w:t>regulation, business interests and the different characteristics of different datasets.</w:t>
      </w:r>
      <w:r w:rsidR="003C3C35" w:rsidRPr="00B64995">
        <w:rPr>
          <w:rStyle w:val="normaltextrun"/>
        </w:rPr>
        <w:t xml:space="preserve"> </w:t>
      </w:r>
      <w:r w:rsidRPr="00B64995">
        <w:rPr>
          <w:rStyle w:val="normaltextrun"/>
          <w:color w:val="222222"/>
        </w:rPr>
        <w:t xml:space="preserve">ITU engaged competitors in technical roundtables and webinars to provide expert guidance in addressing problem </w:t>
      </w:r>
      <w:r w:rsidRPr="00B64995">
        <w:rPr>
          <w:rStyle w:val="normaltextrun"/>
          <w:color w:val="222222"/>
        </w:rPr>
        <w:lastRenderedPageBreak/>
        <w:t>statements and the value of new ITU standards in support. Close to 30 webinars received over 10</w:t>
      </w:r>
      <w:r w:rsidR="00A060FE">
        <w:rPr>
          <w:rStyle w:val="normaltextrun"/>
          <w:color w:val="222222"/>
        </w:rPr>
        <w:t> </w:t>
      </w:r>
      <w:r w:rsidRPr="00B64995">
        <w:rPr>
          <w:rStyle w:val="normaltextrun"/>
          <w:color w:val="222222"/>
        </w:rPr>
        <w:t>000 views.</w:t>
      </w:r>
    </w:p>
    <w:p w14:paraId="56E97125" w14:textId="015AD4A2" w:rsidR="00ED1613" w:rsidRPr="00B64995" w:rsidRDefault="00ED1613" w:rsidP="003C3C35">
      <w:pPr>
        <w:shd w:val="clear" w:color="auto" w:fill="FFFFFF"/>
        <w:jc w:val="both"/>
        <w:rPr>
          <w:rStyle w:val="normaltextrun"/>
          <w:color w:val="222222"/>
        </w:rPr>
      </w:pPr>
    </w:p>
    <w:p w14:paraId="323C39BB" w14:textId="0D2CFF58" w:rsidR="0049723A" w:rsidRPr="00B64995" w:rsidRDefault="00ED1613" w:rsidP="003C3C35">
      <w:pPr>
        <w:shd w:val="clear" w:color="auto" w:fill="FFFFFF"/>
        <w:jc w:val="both"/>
        <w:rPr>
          <w:rStyle w:val="normaltextrun"/>
          <w:color w:val="222222"/>
        </w:rPr>
      </w:pPr>
      <w:r w:rsidRPr="00B64995">
        <w:rPr>
          <w:rStyle w:val="normaltextrun"/>
          <w:color w:val="222222"/>
        </w:rPr>
        <w:t>The best peer-reviewed papers resulting from the Challenge will feature in a special issue of the ITU Journal</w:t>
      </w:r>
      <w:r w:rsidR="00A26A66" w:rsidRPr="00B64995">
        <w:rPr>
          <w:rStyle w:val="normaltextrun"/>
          <w:color w:val="222222"/>
        </w:rPr>
        <w:t xml:space="preserve"> with the theme</w:t>
      </w:r>
      <w:r w:rsidRPr="00B64995">
        <w:rPr>
          <w:rStyle w:val="normaltextrun"/>
          <w:color w:val="222222"/>
        </w:rPr>
        <w:t xml:space="preserve"> “Future and evolving technologies”.</w:t>
      </w:r>
    </w:p>
    <w:p w14:paraId="131BA792" w14:textId="2EC0B714" w:rsidR="00ED1613" w:rsidRPr="00B64995" w:rsidRDefault="00ED1613" w:rsidP="00ED1613">
      <w:pPr>
        <w:shd w:val="clear" w:color="auto" w:fill="FFFFFF"/>
        <w:rPr>
          <w:rStyle w:val="normaltextrun"/>
          <w:color w:val="222222"/>
        </w:rPr>
      </w:pPr>
    </w:p>
    <w:p w14:paraId="6523B3DA" w14:textId="2861BD81" w:rsidR="0049723A" w:rsidRPr="00B64995" w:rsidRDefault="009F3DE8" w:rsidP="00ED1613">
      <w:pPr>
        <w:shd w:val="clear" w:color="auto" w:fill="FFFFFF"/>
        <w:rPr>
          <w:rStyle w:val="normaltextrun"/>
          <w:color w:val="222222"/>
        </w:rPr>
      </w:pPr>
      <w:r w:rsidRPr="00B64995">
        <w:rPr>
          <w:rStyle w:val="normaltextrun"/>
          <w:color w:val="222222"/>
        </w:rPr>
        <w:t xml:space="preserve">In December 2020 </w:t>
      </w:r>
      <w:r w:rsidR="00ED1613" w:rsidRPr="00B64995">
        <w:rPr>
          <w:rStyle w:val="normaltextrun"/>
          <w:color w:val="222222"/>
        </w:rPr>
        <w:t>ITU NEWS Magazine featured a 91</w:t>
      </w:r>
      <w:r w:rsidRPr="00B64995">
        <w:rPr>
          <w:rStyle w:val="normaltextrun"/>
          <w:color w:val="222222"/>
        </w:rPr>
        <w:t>-</w:t>
      </w:r>
      <w:r w:rsidR="00ED1613" w:rsidRPr="00B64995">
        <w:rPr>
          <w:rStyle w:val="normaltextrun"/>
          <w:color w:val="222222"/>
        </w:rPr>
        <w:t>page dedicated edition of the Challenge.</w:t>
      </w:r>
    </w:p>
    <w:p w14:paraId="1BCF0675" w14:textId="0062B0C2" w:rsidR="00ED1613" w:rsidRPr="00B64995" w:rsidRDefault="00ED1613" w:rsidP="00ED1613">
      <w:pPr>
        <w:rPr>
          <w:b/>
          <w:bCs/>
        </w:rPr>
      </w:pPr>
    </w:p>
    <w:p w14:paraId="2468E394" w14:textId="77777777" w:rsidR="0049723A" w:rsidRPr="00B64995" w:rsidRDefault="00ED1613" w:rsidP="00ED1613">
      <w:pPr>
        <w:rPr>
          <w:b/>
          <w:bCs/>
        </w:rPr>
      </w:pPr>
      <w:r w:rsidRPr="00B64995">
        <w:rPr>
          <w:b/>
          <w:bCs/>
        </w:rPr>
        <w:t>Up the challenge in 2021?</w:t>
      </w:r>
    </w:p>
    <w:p w14:paraId="1E410E32" w14:textId="77777777" w:rsidR="0049723A" w:rsidRPr="00B64995" w:rsidRDefault="00ED1613" w:rsidP="00ED1613">
      <w:r w:rsidRPr="00B64995">
        <w:t>Preparations for the ITU Challenge 2.0 are in motion, driven by a core team of challenge management board members, judges, promotion partners and sponsors.</w:t>
      </w:r>
    </w:p>
    <w:p w14:paraId="6844A384" w14:textId="4FFFAA9C" w:rsidR="0071664D" w:rsidRPr="00B64995" w:rsidRDefault="0071664D" w:rsidP="0012722A">
      <w:pPr>
        <w:jc w:val="both"/>
        <w:rPr>
          <w:b/>
          <w:bCs/>
          <w:lang w:eastAsia="en-GB"/>
        </w:rPr>
      </w:pPr>
    </w:p>
    <w:p w14:paraId="5B227BC7" w14:textId="30054028" w:rsidR="002A6ED0" w:rsidRPr="00B64995" w:rsidRDefault="002A6ED0" w:rsidP="00A83DAA">
      <w:pPr>
        <w:pStyle w:val="Heading5"/>
        <w:rPr>
          <w:lang w:eastAsia="en-GB"/>
        </w:rPr>
      </w:pPr>
      <w:r w:rsidRPr="00B64995">
        <w:rPr>
          <w:lang w:eastAsia="en-GB"/>
        </w:rPr>
        <w:t>Global Symposium for Regulators</w:t>
      </w:r>
      <w:r w:rsidR="00A0338D" w:rsidRPr="00B64995">
        <w:rPr>
          <w:lang w:eastAsia="en-GB"/>
        </w:rPr>
        <w:t xml:space="preserve"> </w:t>
      </w:r>
      <w:r w:rsidRPr="00B64995">
        <w:rPr>
          <w:lang w:eastAsia="en-GB"/>
        </w:rPr>
        <w:t>(GSR-19)</w:t>
      </w:r>
    </w:p>
    <w:p w14:paraId="7152A0DB" w14:textId="1ED2C844" w:rsidR="006E7150" w:rsidRPr="00B64995" w:rsidRDefault="007B05B8" w:rsidP="00481915">
      <w:pPr>
        <w:jc w:val="both"/>
        <w:rPr>
          <w:lang w:eastAsia="en-GB"/>
        </w:rPr>
      </w:pPr>
      <w:r w:rsidRPr="00B64995">
        <w:rPr>
          <w:lang w:eastAsia="en-GB"/>
        </w:rPr>
        <w:t xml:space="preserve">The </w:t>
      </w:r>
      <w:r w:rsidR="006E7150" w:rsidRPr="00B64995">
        <w:rPr>
          <w:lang w:eastAsia="en-GB"/>
        </w:rPr>
        <w:t xml:space="preserve">GSR-19, held in Port Vila, Vanuatu, from 9 to 12 July, attracted over 325 participants including </w:t>
      </w:r>
      <w:r w:rsidR="00271C5D" w:rsidRPr="00B64995">
        <w:rPr>
          <w:lang w:eastAsia="en-GB"/>
        </w:rPr>
        <w:t>g</w:t>
      </w:r>
      <w:r w:rsidR="006E7150" w:rsidRPr="00B64995">
        <w:rPr>
          <w:lang w:eastAsia="en-GB"/>
        </w:rPr>
        <w:t xml:space="preserve">overnment </w:t>
      </w:r>
      <w:r w:rsidR="00481915" w:rsidRPr="00B64995">
        <w:rPr>
          <w:lang w:eastAsia="en-GB"/>
        </w:rPr>
        <w:t>m</w:t>
      </w:r>
      <w:r w:rsidR="006E7150" w:rsidRPr="00B64995">
        <w:rPr>
          <w:lang w:eastAsia="en-GB"/>
        </w:rPr>
        <w:t xml:space="preserve">inisters, </w:t>
      </w:r>
      <w:r w:rsidR="00271C5D" w:rsidRPr="00B64995">
        <w:rPr>
          <w:lang w:eastAsia="en-GB"/>
        </w:rPr>
        <w:t>h</w:t>
      </w:r>
      <w:r w:rsidR="006E7150" w:rsidRPr="00B64995">
        <w:rPr>
          <w:lang w:eastAsia="en-GB"/>
        </w:rPr>
        <w:t xml:space="preserve">eads of </w:t>
      </w:r>
      <w:r w:rsidR="00271C5D" w:rsidRPr="00B64995">
        <w:rPr>
          <w:lang w:eastAsia="en-GB"/>
        </w:rPr>
        <w:t>r</w:t>
      </w:r>
      <w:r w:rsidR="006E7150" w:rsidRPr="00B64995">
        <w:rPr>
          <w:lang w:eastAsia="en-GB"/>
        </w:rPr>
        <w:t xml:space="preserve">egulatory </w:t>
      </w:r>
      <w:r w:rsidR="00481915" w:rsidRPr="00B64995">
        <w:rPr>
          <w:lang w:eastAsia="en-GB"/>
        </w:rPr>
        <w:t>a</w:t>
      </w:r>
      <w:r w:rsidR="006E7150" w:rsidRPr="00B64995">
        <w:rPr>
          <w:lang w:eastAsia="en-GB"/>
        </w:rPr>
        <w:t>uthorities and C-level industry executives from 64 countries.</w:t>
      </w:r>
    </w:p>
    <w:p w14:paraId="21A3E283" w14:textId="27357390" w:rsidR="006E7150" w:rsidRPr="00B64995" w:rsidRDefault="006E7150" w:rsidP="006E7150">
      <w:pPr>
        <w:jc w:val="both"/>
        <w:rPr>
          <w:lang w:eastAsia="en-GB"/>
        </w:rPr>
      </w:pPr>
    </w:p>
    <w:p w14:paraId="489F2916" w14:textId="5892850A" w:rsidR="006E7150" w:rsidRPr="00B64995" w:rsidRDefault="006E7150" w:rsidP="006E7150">
      <w:pPr>
        <w:jc w:val="both"/>
        <w:rPr>
          <w:lang w:eastAsia="en-GB"/>
        </w:rPr>
      </w:pPr>
      <w:r w:rsidRPr="00B64995">
        <w:rPr>
          <w:lang w:eastAsia="en-GB"/>
        </w:rPr>
        <w:t xml:space="preserve">Throughout the four-day GSR programme, participants acknowledged the importance of more actionable, </w:t>
      </w:r>
      <w:proofErr w:type="gramStart"/>
      <w:r w:rsidRPr="00B64995">
        <w:rPr>
          <w:lang w:eastAsia="en-GB"/>
        </w:rPr>
        <w:t>collaborative</w:t>
      </w:r>
      <w:proofErr w:type="gramEnd"/>
      <w:r w:rsidRPr="00B64995">
        <w:rPr>
          <w:lang w:eastAsia="en-GB"/>
        </w:rPr>
        <w:t xml:space="preserve"> and innovative outcome-based approaches to regulation to unlock the full potential of digital technologies and accelerate progress towards the SDGs. Regulators from around the world identified and endorsed a set of regulatory </w:t>
      </w:r>
      <w:r w:rsidR="00FB1D4B" w:rsidRPr="00B64995">
        <w:rPr>
          <w:lang w:eastAsia="en-GB"/>
        </w:rPr>
        <w:t>b</w:t>
      </w:r>
      <w:r w:rsidRPr="00B64995">
        <w:rPr>
          <w:lang w:eastAsia="en-GB"/>
        </w:rPr>
        <w:t xml:space="preserve">est </w:t>
      </w:r>
      <w:r w:rsidR="00FB1D4B" w:rsidRPr="00B64995">
        <w:rPr>
          <w:lang w:eastAsia="en-GB"/>
        </w:rPr>
        <w:t>p</w:t>
      </w:r>
      <w:r w:rsidRPr="00B64995">
        <w:rPr>
          <w:lang w:eastAsia="en-GB"/>
        </w:rPr>
        <w:t xml:space="preserve">ractice </w:t>
      </w:r>
      <w:r w:rsidR="00FB1D4B" w:rsidRPr="00B64995">
        <w:rPr>
          <w:lang w:eastAsia="en-GB"/>
        </w:rPr>
        <w:t>g</w:t>
      </w:r>
      <w:r w:rsidRPr="00B64995">
        <w:rPr>
          <w:lang w:eastAsia="en-GB"/>
        </w:rPr>
        <w:t>uidelines to fast forward digital connectivity for all and allow people across geographies, economic and social status to benefit from the digital transformation and participate in today's digital economy.</w:t>
      </w:r>
    </w:p>
    <w:p w14:paraId="200E6C06" w14:textId="77777777" w:rsidR="006E7150" w:rsidRPr="00B64995" w:rsidRDefault="006E7150" w:rsidP="0012722A">
      <w:pPr>
        <w:jc w:val="both"/>
        <w:rPr>
          <w:lang w:eastAsia="en-GB"/>
        </w:rPr>
      </w:pPr>
    </w:p>
    <w:p w14:paraId="0766F99E" w14:textId="2E6CD22A" w:rsidR="006E7150" w:rsidRPr="00B64995" w:rsidRDefault="006E7150" w:rsidP="006E7150">
      <w:pPr>
        <w:pStyle w:val="Heading5"/>
        <w:rPr>
          <w:lang w:eastAsia="en-GB"/>
        </w:rPr>
      </w:pPr>
      <w:r w:rsidRPr="00B64995">
        <w:rPr>
          <w:lang w:eastAsia="en-GB"/>
        </w:rPr>
        <w:t>Global Symposium for Regulators (GSR-20)</w:t>
      </w:r>
    </w:p>
    <w:p w14:paraId="2F21B5BB" w14:textId="77777777" w:rsidR="0049723A" w:rsidRPr="00B64995" w:rsidRDefault="006E7150" w:rsidP="006E7150">
      <w:pPr>
        <w:jc w:val="both"/>
        <w:rPr>
          <w:lang w:eastAsia="en-GB"/>
        </w:rPr>
      </w:pPr>
      <w:r w:rsidRPr="00B64995">
        <w:rPr>
          <w:lang w:eastAsia="en-GB"/>
        </w:rPr>
        <w:t>GSR celebrated its 20th edition</w:t>
      </w:r>
      <w:r w:rsidR="007B05B8" w:rsidRPr="00B64995">
        <w:rPr>
          <w:lang w:eastAsia="en-GB"/>
        </w:rPr>
        <w:t xml:space="preserve"> </w:t>
      </w:r>
      <w:r w:rsidRPr="00B64995">
        <w:rPr>
          <w:lang w:eastAsia="en-GB"/>
        </w:rPr>
        <w:t>of evolving regulatory frameworks. The anniversary event focused on providing concrete guidance towards achieving meaningful connectivity in the digital transformation.</w:t>
      </w:r>
    </w:p>
    <w:p w14:paraId="4214B060" w14:textId="010B7204" w:rsidR="006E7150" w:rsidRPr="00B64995" w:rsidRDefault="006E7150" w:rsidP="006E7150">
      <w:pPr>
        <w:jc w:val="both"/>
        <w:rPr>
          <w:lang w:eastAsia="en-GB"/>
        </w:rPr>
      </w:pPr>
    </w:p>
    <w:p w14:paraId="197DDEED" w14:textId="02005E8E" w:rsidR="006E7150" w:rsidRPr="00B64995" w:rsidRDefault="006E7150" w:rsidP="006E7150">
      <w:pPr>
        <w:jc w:val="both"/>
        <w:rPr>
          <w:lang w:eastAsia="en-GB"/>
        </w:rPr>
      </w:pPr>
      <w:r w:rsidRPr="00B64995">
        <w:rPr>
          <w:lang w:eastAsia="en-GB"/>
        </w:rPr>
        <w:t xml:space="preserve">In addition to the high-level panels on topical, cutting edge policy and regulatory issues, </w:t>
      </w:r>
      <w:r w:rsidR="00FB1D4B" w:rsidRPr="00B64995">
        <w:rPr>
          <w:lang w:eastAsia="en-GB"/>
        </w:rPr>
        <w:t>GSR</w:t>
      </w:r>
      <w:r w:rsidR="00FB1D4B" w:rsidRPr="00B64995">
        <w:rPr>
          <w:lang w:eastAsia="en-GB"/>
        </w:rPr>
        <w:noBreakHyphen/>
        <w:t>20</w:t>
      </w:r>
      <w:r w:rsidRPr="00B64995">
        <w:rPr>
          <w:lang w:eastAsia="en-GB"/>
        </w:rPr>
        <w:t xml:space="preserve"> featured interactive sessions and trainings,</w:t>
      </w:r>
      <w:r w:rsidR="007B05B8" w:rsidRPr="00B64995">
        <w:rPr>
          <w:lang w:eastAsia="en-GB"/>
        </w:rPr>
        <w:t xml:space="preserve"> </w:t>
      </w:r>
      <w:r w:rsidRPr="00B64995">
        <w:rPr>
          <w:lang w:eastAsia="en-GB"/>
        </w:rPr>
        <w:t xml:space="preserve">brought </w:t>
      </w:r>
      <w:r w:rsidR="00FB1D4B" w:rsidRPr="00B64995">
        <w:rPr>
          <w:lang w:eastAsia="en-GB"/>
        </w:rPr>
        <w:t xml:space="preserve">t6 </w:t>
      </w:r>
      <w:r w:rsidRPr="00B64995">
        <w:rPr>
          <w:lang w:eastAsia="en-GB"/>
        </w:rPr>
        <w:t>together regulators and policy makers</w:t>
      </w:r>
      <w:r w:rsidR="007B05B8" w:rsidRPr="00B64995">
        <w:rPr>
          <w:lang w:eastAsia="en-GB"/>
        </w:rPr>
        <w:t xml:space="preserve"> </w:t>
      </w:r>
      <w:r w:rsidRPr="00B64995">
        <w:rPr>
          <w:lang w:eastAsia="en-GB"/>
        </w:rPr>
        <w:t>from around the world and provided a global</w:t>
      </w:r>
      <w:r w:rsidR="007B05B8" w:rsidRPr="00B64995">
        <w:rPr>
          <w:lang w:eastAsia="en-GB"/>
        </w:rPr>
        <w:t xml:space="preserve"> </w:t>
      </w:r>
      <w:r w:rsidRPr="00B64995">
        <w:rPr>
          <w:lang w:eastAsia="en-GB"/>
        </w:rPr>
        <w:t>platform for discussions.</w:t>
      </w:r>
      <w:r w:rsidR="007B05B8" w:rsidRPr="00B64995">
        <w:rPr>
          <w:lang w:eastAsia="en-GB"/>
        </w:rPr>
        <w:t xml:space="preserve"> </w:t>
      </w:r>
      <w:r w:rsidRPr="00B64995">
        <w:rPr>
          <w:lang w:eastAsia="en-GB"/>
        </w:rPr>
        <w:t xml:space="preserve">GSR-20 provided </w:t>
      </w:r>
      <w:r w:rsidR="00FB1D4B" w:rsidRPr="00B64995">
        <w:rPr>
          <w:lang w:eastAsia="en-GB"/>
        </w:rPr>
        <w:t xml:space="preserve">the </w:t>
      </w:r>
      <w:r w:rsidRPr="00B64995">
        <w:rPr>
          <w:lang w:eastAsia="en-GB"/>
        </w:rPr>
        <w:t xml:space="preserve">ITU </w:t>
      </w:r>
      <w:r w:rsidR="00FB1D4B" w:rsidRPr="00B64995">
        <w:rPr>
          <w:lang w:eastAsia="en-GB"/>
        </w:rPr>
        <w:t>m</w:t>
      </w:r>
      <w:r w:rsidRPr="00B64995">
        <w:rPr>
          <w:lang w:eastAsia="en-GB"/>
        </w:rPr>
        <w:t>embers</w:t>
      </w:r>
      <w:r w:rsidR="00FB1D4B" w:rsidRPr="00B64995">
        <w:rPr>
          <w:lang w:eastAsia="en-GB"/>
        </w:rPr>
        <w:t>hip</w:t>
      </w:r>
      <w:r w:rsidRPr="00B64995">
        <w:rPr>
          <w:lang w:eastAsia="en-GB"/>
        </w:rPr>
        <w:t xml:space="preserve"> with the</w:t>
      </w:r>
      <w:r w:rsidR="007B05B8" w:rsidRPr="00B64995">
        <w:rPr>
          <w:lang w:eastAsia="en-GB"/>
        </w:rPr>
        <w:t xml:space="preserve"> </w:t>
      </w:r>
      <w:r w:rsidRPr="00B64995">
        <w:rPr>
          <w:lang w:eastAsia="en-GB"/>
        </w:rPr>
        <w:t>opportunity to share experiences and</w:t>
      </w:r>
      <w:r w:rsidR="007B05B8" w:rsidRPr="00B64995">
        <w:rPr>
          <w:lang w:eastAsia="en-GB"/>
        </w:rPr>
        <w:t xml:space="preserve"> </w:t>
      </w:r>
      <w:r w:rsidRPr="00B64995">
        <w:rPr>
          <w:lang w:eastAsia="en-GB"/>
        </w:rPr>
        <w:t>knowledge, collaborate and identify evolving</w:t>
      </w:r>
      <w:r w:rsidR="007B05B8" w:rsidRPr="00B64995">
        <w:rPr>
          <w:lang w:eastAsia="en-GB"/>
        </w:rPr>
        <w:t xml:space="preserve"> </w:t>
      </w:r>
      <w:r w:rsidRPr="00B64995">
        <w:rPr>
          <w:lang w:eastAsia="en-GB"/>
        </w:rPr>
        <w:t>regulatory</w:t>
      </w:r>
      <w:r w:rsidR="007B05B8" w:rsidRPr="00B64995">
        <w:rPr>
          <w:lang w:eastAsia="en-GB"/>
        </w:rPr>
        <w:t xml:space="preserve"> </w:t>
      </w:r>
      <w:r w:rsidRPr="00B64995">
        <w:rPr>
          <w:lang w:eastAsia="en-GB"/>
        </w:rPr>
        <w:t>tools and approaches to bring</w:t>
      </w:r>
      <w:r w:rsidR="007B05B8" w:rsidRPr="00B64995">
        <w:rPr>
          <w:lang w:eastAsia="en-GB"/>
        </w:rPr>
        <w:t xml:space="preserve"> </w:t>
      </w:r>
      <w:r w:rsidRPr="00B64995">
        <w:rPr>
          <w:lang w:eastAsia="en-GB"/>
        </w:rPr>
        <w:t xml:space="preserve">affordable, safe, </w:t>
      </w:r>
      <w:proofErr w:type="gramStart"/>
      <w:r w:rsidRPr="00B64995">
        <w:rPr>
          <w:lang w:eastAsia="en-GB"/>
        </w:rPr>
        <w:t>secure</w:t>
      </w:r>
      <w:proofErr w:type="gramEnd"/>
      <w:r w:rsidRPr="00B64995">
        <w:rPr>
          <w:lang w:eastAsia="en-GB"/>
        </w:rPr>
        <w:t xml:space="preserve"> and trusted connectivity</w:t>
      </w:r>
      <w:r w:rsidR="007B05B8" w:rsidRPr="00B64995">
        <w:rPr>
          <w:lang w:eastAsia="en-GB"/>
        </w:rPr>
        <w:t xml:space="preserve"> </w:t>
      </w:r>
      <w:r w:rsidRPr="00B64995">
        <w:rPr>
          <w:lang w:eastAsia="en-GB"/>
        </w:rPr>
        <w:t>and online access and use to people everywhere.</w:t>
      </w:r>
      <w:r w:rsidR="007B05B8" w:rsidRPr="00B64995">
        <w:rPr>
          <w:lang w:eastAsia="en-GB"/>
        </w:rPr>
        <w:t xml:space="preserve"> </w:t>
      </w:r>
      <w:r w:rsidRPr="00B64995">
        <w:rPr>
          <w:lang w:eastAsia="en-GB"/>
        </w:rPr>
        <w:t>GSR-20 attracted 609 participants from 120</w:t>
      </w:r>
      <w:r w:rsidR="007B05B8" w:rsidRPr="00B64995">
        <w:rPr>
          <w:lang w:eastAsia="en-GB"/>
        </w:rPr>
        <w:t xml:space="preserve"> </w:t>
      </w:r>
      <w:r w:rsidRPr="00B64995">
        <w:rPr>
          <w:lang w:eastAsia="en-GB"/>
        </w:rPr>
        <w:t xml:space="preserve">countries in the core sessions. </w:t>
      </w:r>
      <w:r w:rsidRPr="00B64995">
        <w:rPr>
          <w:lang w:eastAsia="en-GB"/>
        </w:rPr>
        <w:cr/>
      </w:r>
    </w:p>
    <w:p w14:paraId="39478285" w14:textId="77777777" w:rsidR="006E7150" w:rsidRPr="00B64995" w:rsidRDefault="006E7150" w:rsidP="0012722A">
      <w:pPr>
        <w:jc w:val="both"/>
        <w:rPr>
          <w:lang w:eastAsia="en-GB"/>
        </w:rPr>
      </w:pPr>
    </w:p>
    <w:p w14:paraId="35257C0D" w14:textId="4167CDFD" w:rsidR="002A6ED0" w:rsidRPr="00B64995" w:rsidRDefault="002A6ED0" w:rsidP="00A83DAA">
      <w:pPr>
        <w:pStyle w:val="Heading5"/>
        <w:rPr>
          <w:lang w:eastAsia="en-GB"/>
        </w:rPr>
      </w:pPr>
      <w:r w:rsidRPr="00B64995">
        <w:rPr>
          <w:lang w:eastAsia="en-GB"/>
        </w:rPr>
        <w:t xml:space="preserve">ITU Telecom </w:t>
      </w:r>
      <w:r w:rsidR="00436EBB" w:rsidRPr="00B64995">
        <w:rPr>
          <w:lang w:eastAsia="en-GB"/>
        </w:rPr>
        <w:t xml:space="preserve">World </w:t>
      </w:r>
      <w:r w:rsidRPr="00B64995">
        <w:rPr>
          <w:lang w:eastAsia="en-GB"/>
        </w:rPr>
        <w:t>2019</w:t>
      </w:r>
      <w:r w:rsidR="2DE6A822" w:rsidRPr="00B64995">
        <w:rPr>
          <w:lang w:eastAsia="en-GB"/>
        </w:rPr>
        <w:t xml:space="preserve"> and 2020</w:t>
      </w:r>
    </w:p>
    <w:p w14:paraId="16C6B4C8" w14:textId="11AC94B6" w:rsidR="002A6ED0" w:rsidRPr="00B64995" w:rsidRDefault="00570F0C" w:rsidP="00614D53">
      <w:pPr>
        <w:jc w:val="both"/>
        <w:rPr>
          <w:lang w:eastAsia="en-GB"/>
        </w:rPr>
      </w:pPr>
      <w:hyperlink r:id="rId411">
        <w:r w:rsidR="002A6ED0" w:rsidRPr="00B64995">
          <w:rPr>
            <w:rStyle w:val="Hyperlink"/>
            <w:lang w:eastAsia="en-GB"/>
          </w:rPr>
          <w:t>ITU Telecom World 2019</w:t>
        </w:r>
      </w:hyperlink>
      <w:r w:rsidR="002A6ED0" w:rsidRPr="00A060FE">
        <w:rPr>
          <w:lang w:eastAsia="en-GB"/>
        </w:rPr>
        <w:t xml:space="preserve"> took place from 9 to 12 September in Budapest, Hungary, bringing together governments, </w:t>
      </w:r>
      <w:proofErr w:type="gramStart"/>
      <w:r w:rsidR="002A6ED0" w:rsidRPr="00A060FE">
        <w:rPr>
          <w:lang w:eastAsia="en-GB"/>
        </w:rPr>
        <w:t>corporates</w:t>
      </w:r>
      <w:proofErr w:type="gramEnd"/>
      <w:r w:rsidR="002A6ED0" w:rsidRPr="00A060FE">
        <w:rPr>
          <w:lang w:eastAsia="en-GB"/>
        </w:rPr>
        <w:t xml:space="preserve"> and tech SMEs to exhibit innovative solutions, network, share k</w:t>
      </w:r>
      <w:r w:rsidR="002A6ED0" w:rsidRPr="00B64995">
        <w:rPr>
          <w:lang w:eastAsia="en-GB"/>
        </w:rPr>
        <w:t>nowledge and debate with experts under the theme “Innovating together; connectivity that matters”. Over 4</w:t>
      </w:r>
      <w:r w:rsidR="00867D82" w:rsidRPr="00B64995">
        <w:rPr>
          <w:lang w:eastAsia="en-GB"/>
        </w:rPr>
        <w:t>’</w:t>
      </w:r>
      <w:r w:rsidR="002A6ED0" w:rsidRPr="00B64995">
        <w:rPr>
          <w:lang w:eastAsia="en-GB"/>
        </w:rPr>
        <w:t xml:space="preserve">000 participants from 135 countries attended the event including Heads of State, Ministers, key industry players from major corporates and tech </w:t>
      </w:r>
      <w:r w:rsidR="009C606A" w:rsidRPr="00B64995">
        <w:rPr>
          <w:lang w:eastAsia="en-GB"/>
        </w:rPr>
        <w:t xml:space="preserve">small- and medium-sized enterprises (SMEs) </w:t>
      </w:r>
      <w:r w:rsidR="00EA1F92" w:rsidRPr="00B64995">
        <w:rPr>
          <w:lang w:eastAsia="en-GB"/>
        </w:rPr>
        <w:t xml:space="preserve">met to </w:t>
      </w:r>
      <w:r w:rsidR="002A6ED0" w:rsidRPr="00B64995">
        <w:rPr>
          <w:lang w:eastAsia="en-GB"/>
        </w:rPr>
        <w:t>accelerat</w:t>
      </w:r>
      <w:r w:rsidR="00EA1F92" w:rsidRPr="00B64995">
        <w:rPr>
          <w:lang w:eastAsia="en-GB"/>
        </w:rPr>
        <w:t>e</w:t>
      </w:r>
      <w:r w:rsidR="002A6ED0" w:rsidRPr="00B64995">
        <w:rPr>
          <w:lang w:eastAsia="en-GB"/>
        </w:rPr>
        <w:t xml:space="preserve"> ICT innovation to improve lives</w:t>
      </w:r>
      <w:r w:rsidR="1A4DBE78" w:rsidRPr="00B64995">
        <w:rPr>
          <w:lang w:eastAsia="en-GB"/>
        </w:rPr>
        <w:t xml:space="preserve"> </w:t>
      </w:r>
      <w:r w:rsidR="002A6ED0" w:rsidRPr="00B64995">
        <w:rPr>
          <w:lang w:eastAsia="en-GB"/>
        </w:rPr>
        <w:t>faster</w:t>
      </w:r>
      <w:r w:rsidR="00EA1F92" w:rsidRPr="00B64995">
        <w:rPr>
          <w:lang w:eastAsia="en-GB"/>
        </w:rPr>
        <w:t>.</w:t>
      </w:r>
    </w:p>
    <w:p w14:paraId="1A81F0B1" w14:textId="77777777" w:rsidR="002A6ED0" w:rsidRPr="00B64995" w:rsidRDefault="002A6ED0" w:rsidP="00614D53">
      <w:pPr>
        <w:jc w:val="both"/>
        <w:rPr>
          <w:lang w:eastAsia="en-GB"/>
        </w:rPr>
      </w:pPr>
    </w:p>
    <w:p w14:paraId="52FE9CE3" w14:textId="3C11C7FB" w:rsidR="00951E14" w:rsidRPr="00B64995" w:rsidRDefault="002A6ED0" w:rsidP="0012722A">
      <w:pPr>
        <w:jc w:val="both"/>
        <w:rPr>
          <w:lang w:eastAsia="en-GB"/>
        </w:rPr>
      </w:pPr>
      <w:r w:rsidRPr="00B64995">
        <w:rPr>
          <w:lang w:eastAsia="en-GB"/>
        </w:rPr>
        <w:t>The event include</w:t>
      </w:r>
      <w:r w:rsidR="581B7ACC" w:rsidRPr="00B64995">
        <w:rPr>
          <w:lang w:eastAsia="en-GB"/>
        </w:rPr>
        <w:t>d</w:t>
      </w:r>
      <w:r w:rsidRPr="00B64995">
        <w:rPr>
          <w:lang w:eastAsia="en-GB"/>
        </w:rPr>
        <w:t xml:space="preserve"> high-level debate, dialogue between business, a raft of innovative SMEs in technology and governments, showcasing, networking and a high-profile Awards Programme and ceremony. The event </w:t>
      </w:r>
      <w:r w:rsidR="7233555C" w:rsidRPr="00B64995">
        <w:rPr>
          <w:lang w:eastAsia="en-GB"/>
        </w:rPr>
        <w:t xml:space="preserve">closed </w:t>
      </w:r>
      <w:r w:rsidRPr="00B64995">
        <w:rPr>
          <w:lang w:eastAsia="en-GB"/>
        </w:rPr>
        <w:t xml:space="preserve">with the ITU Telecom World Awards where a host of life-changing innovations were highlighted. Winning innovations from SMEs and major corporates showcased areas </w:t>
      </w:r>
      <w:r w:rsidRPr="00B64995">
        <w:rPr>
          <w:lang w:eastAsia="en-GB"/>
        </w:rPr>
        <w:lastRenderedPageBreak/>
        <w:t xml:space="preserve">as diverse as online education, 5G airships and drones, green 5G, digital addressing, transforming digital heat from </w:t>
      </w:r>
      <w:proofErr w:type="gramStart"/>
      <w:r w:rsidRPr="00B64995">
        <w:rPr>
          <w:lang w:eastAsia="en-GB"/>
        </w:rPr>
        <w:t>data-centres</w:t>
      </w:r>
      <w:proofErr w:type="gramEnd"/>
      <w:r w:rsidRPr="00B64995">
        <w:rPr>
          <w:lang w:eastAsia="en-GB"/>
        </w:rPr>
        <w:t>, nanosatellites and enabling barrier free emergency calls.</w:t>
      </w:r>
      <w:r w:rsidR="000B6D1B" w:rsidRPr="00B64995">
        <w:rPr>
          <w:lang w:eastAsia="en-GB"/>
        </w:rPr>
        <w:t xml:space="preserve"> </w:t>
      </w:r>
      <w:r w:rsidRPr="00B64995">
        <w:rPr>
          <w:lang w:eastAsia="en-GB"/>
        </w:rPr>
        <w:t>Event highlights</w:t>
      </w:r>
      <w:r w:rsidR="000B3ABD" w:rsidRPr="00B64995">
        <w:rPr>
          <w:lang w:eastAsia="en-GB"/>
        </w:rPr>
        <w:t xml:space="preserve"> can be found in the</w:t>
      </w:r>
      <w:r w:rsidRPr="00B64995">
        <w:rPr>
          <w:lang w:eastAsia="en-GB"/>
        </w:rPr>
        <w:t xml:space="preserve"> </w:t>
      </w:r>
      <w:hyperlink r:id="rId412" w:history="1">
        <w:r w:rsidR="000B3ABD" w:rsidRPr="00B64995">
          <w:rPr>
            <w:rStyle w:val="Hyperlink"/>
            <w:lang w:eastAsia="en-GB"/>
          </w:rPr>
          <w:t>post-event report</w:t>
        </w:r>
      </w:hyperlink>
      <w:r w:rsidR="00594530" w:rsidRPr="00A060FE">
        <w:rPr>
          <w:rStyle w:val="Hyperlink"/>
          <w:lang w:eastAsia="en-GB"/>
        </w:rPr>
        <w:t xml:space="preserve"> </w:t>
      </w:r>
      <w:r w:rsidR="00594530" w:rsidRPr="00B64995">
        <w:rPr>
          <w:lang w:eastAsia="en-GB"/>
        </w:rPr>
        <w:t>as well as</w:t>
      </w:r>
      <w:r w:rsidRPr="00B64995">
        <w:rPr>
          <w:lang w:eastAsia="en-GB"/>
        </w:rPr>
        <w:t xml:space="preserve"> </w:t>
      </w:r>
      <w:hyperlink r:id="rId413" w:history="1">
        <w:r w:rsidR="00285A39" w:rsidRPr="00B64995">
          <w:rPr>
            <w:rStyle w:val="Hyperlink"/>
            <w:lang w:eastAsia="en-GB"/>
          </w:rPr>
          <w:t>online</w:t>
        </w:r>
      </w:hyperlink>
      <w:r w:rsidR="002B6CD6" w:rsidRPr="00A060FE">
        <w:rPr>
          <w:lang w:eastAsia="en-GB"/>
        </w:rPr>
        <w:t>.</w:t>
      </w:r>
    </w:p>
    <w:p w14:paraId="72E278F2" w14:textId="77777777" w:rsidR="0071664D" w:rsidRPr="00B64995" w:rsidRDefault="0071664D" w:rsidP="0012722A">
      <w:pPr>
        <w:jc w:val="both"/>
        <w:rPr>
          <w:lang w:eastAsia="en-GB"/>
        </w:rPr>
      </w:pPr>
    </w:p>
    <w:p w14:paraId="0560E141" w14:textId="5D56B8B1" w:rsidR="0049723A" w:rsidRPr="00B64995" w:rsidRDefault="4F72D64A" w:rsidP="00464BDA">
      <w:pPr>
        <w:jc w:val="both"/>
        <w:rPr>
          <w:rFonts w:eastAsia="Calibri"/>
        </w:rPr>
      </w:pPr>
      <w:r w:rsidRPr="00B64995">
        <w:rPr>
          <w:rFonts w:eastAsia="Calibri"/>
        </w:rPr>
        <w:t xml:space="preserve">ITU Virtual Digital World 2020 took place from 20-22 October. It featured </w:t>
      </w:r>
      <w:r w:rsidR="00FB1D4B" w:rsidRPr="00B64995">
        <w:rPr>
          <w:rFonts w:eastAsia="Calibri"/>
        </w:rPr>
        <w:t>m</w:t>
      </w:r>
      <w:r w:rsidRPr="00B64995">
        <w:rPr>
          <w:rFonts w:eastAsia="Calibri"/>
        </w:rPr>
        <w:t xml:space="preserve">inisterial </w:t>
      </w:r>
      <w:r w:rsidR="00FB1D4B" w:rsidRPr="00B64995">
        <w:rPr>
          <w:rFonts w:eastAsia="Calibri"/>
        </w:rPr>
        <w:t>r</w:t>
      </w:r>
      <w:r w:rsidRPr="00B64995">
        <w:rPr>
          <w:rFonts w:eastAsia="Calibri"/>
        </w:rPr>
        <w:t xml:space="preserve">oundtables focusing on "The role of digital technologies during and after the COVID-19 pandemic" and exploring the importance of digital connectivity in national strategies for economic recovery. Alongside these, </w:t>
      </w:r>
      <w:r w:rsidR="00FB1D4B" w:rsidRPr="00B64995">
        <w:rPr>
          <w:rFonts w:eastAsia="Calibri"/>
        </w:rPr>
        <w:t>f</w:t>
      </w:r>
      <w:r w:rsidRPr="00B64995">
        <w:rPr>
          <w:rFonts w:eastAsia="Calibri"/>
        </w:rPr>
        <w:t xml:space="preserve">orum webinar sessions explored the policies, technologies and trends driving the digital economy, and a virtual </w:t>
      </w:r>
      <w:r w:rsidR="00FB1D4B" w:rsidRPr="00B64995">
        <w:rPr>
          <w:rFonts w:eastAsia="Calibri"/>
        </w:rPr>
        <w:t>e</w:t>
      </w:r>
      <w:r w:rsidRPr="00B64995">
        <w:rPr>
          <w:rFonts w:eastAsia="Calibri"/>
        </w:rPr>
        <w:t xml:space="preserve">xhibition enabled online showcasing. In total, the virtual event comprised </w:t>
      </w:r>
      <w:r w:rsidR="00FB1D4B" w:rsidRPr="00B64995">
        <w:rPr>
          <w:rFonts w:eastAsia="Calibri"/>
        </w:rPr>
        <w:t>three</w:t>
      </w:r>
      <w:r w:rsidRPr="00B64995">
        <w:rPr>
          <w:rFonts w:eastAsia="Calibri"/>
        </w:rPr>
        <w:t xml:space="preserve"> </w:t>
      </w:r>
      <w:r w:rsidR="00FB1D4B" w:rsidRPr="00B64995">
        <w:rPr>
          <w:rFonts w:eastAsia="Calibri"/>
        </w:rPr>
        <w:t>f</w:t>
      </w:r>
      <w:r w:rsidRPr="00B64995">
        <w:rPr>
          <w:rFonts w:eastAsia="Calibri"/>
        </w:rPr>
        <w:t xml:space="preserve">orum sessions and </w:t>
      </w:r>
      <w:r w:rsidR="00FB1D4B" w:rsidRPr="00B64995">
        <w:rPr>
          <w:rFonts w:eastAsia="Calibri"/>
        </w:rPr>
        <w:t>three m</w:t>
      </w:r>
      <w:r w:rsidRPr="00B64995">
        <w:rPr>
          <w:rFonts w:eastAsia="Calibri"/>
        </w:rPr>
        <w:t xml:space="preserve">inisterial </w:t>
      </w:r>
      <w:r w:rsidR="00FB1D4B" w:rsidRPr="00B64995">
        <w:rPr>
          <w:rFonts w:eastAsia="Calibri"/>
        </w:rPr>
        <w:t>r</w:t>
      </w:r>
      <w:r w:rsidRPr="00B64995">
        <w:rPr>
          <w:rFonts w:eastAsia="Calibri"/>
        </w:rPr>
        <w:t xml:space="preserve">oundtables, with 83 speakers including 27 ministers and 13 regulatory authority representatives. In the virtual exhibition were more than 150 exhibitors from </w:t>
      </w:r>
      <w:r w:rsidR="00FB1D4B" w:rsidRPr="00B64995">
        <w:rPr>
          <w:rFonts w:eastAsia="Calibri"/>
        </w:rPr>
        <w:t>Viet Nam</w:t>
      </w:r>
      <w:r w:rsidRPr="00B64995">
        <w:rPr>
          <w:rFonts w:eastAsia="Calibri"/>
        </w:rPr>
        <w:t xml:space="preserve"> and global companies, and 10 national pavilions from around the world.</w:t>
      </w:r>
    </w:p>
    <w:p w14:paraId="6FCE5C0E" w14:textId="77777777" w:rsidR="0049723A" w:rsidRPr="00B64995" w:rsidRDefault="0049723A" w:rsidP="00464BDA">
      <w:pPr>
        <w:jc w:val="both"/>
        <w:rPr>
          <w:rFonts w:eastAsia="Calibri"/>
        </w:rPr>
      </w:pPr>
    </w:p>
    <w:p w14:paraId="717AAFBA" w14:textId="68E49F5C" w:rsidR="00B34A57" w:rsidRPr="00B64995" w:rsidRDefault="4F72D64A" w:rsidP="00210D94">
      <w:pPr>
        <w:keepNext/>
        <w:keepLines/>
        <w:jc w:val="both"/>
        <w:textAlignment w:val="baseline"/>
        <w:rPr>
          <w:rFonts w:eastAsia="Times New Roman"/>
          <w:color w:val="548DD4"/>
          <w:lang w:eastAsia="en-GB"/>
        </w:rPr>
      </w:pPr>
      <w:r w:rsidRPr="00B87922">
        <w:rPr>
          <w:rFonts w:eastAsia="Calibri"/>
        </w:rPr>
        <w:t xml:space="preserve">Following the virtual event, the ITU Digital World 2020 Virtual SME Awards and </w:t>
      </w:r>
      <w:r w:rsidR="00FB1D4B" w:rsidRPr="00B64995">
        <w:rPr>
          <w:rFonts w:eastAsia="Calibri"/>
        </w:rPr>
        <w:t>m</w:t>
      </w:r>
      <w:r w:rsidRPr="00B64995">
        <w:rPr>
          <w:rFonts w:eastAsia="Calibri"/>
        </w:rPr>
        <w:t xml:space="preserve">asterclasses took place online in November and December 2020, offering SMEs worldwide the opportunity to apply with their innovative solutions, and take part in </w:t>
      </w:r>
      <w:r w:rsidR="00FB1D4B" w:rsidRPr="00B64995">
        <w:rPr>
          <w:rFonts w:eastAsia="Calibri"/>
        </w:rPr>
        <w:t xml:space="preserve">the </w:t>
      </w:r>
      <w:r w:rsidRPr="00B64995">
        <w:rPr>
          <w:rFonts w:eastAsia="Calibri"/>
        </w:rPr>
        <w:t xml:space="preserve">programme of SME masterclasses and pitching sessions. </w:t>
      </w:r>
    </w:p>
    <w:p w14:paraId="0DAEDC5B" w14:textId="15CD2A16" w:rsidR="00464BDA" w:rsidRPr="00B64995" w:rsidRDefault="00464BDA" w:rsidP="00464BDA">
      <w:pPr>
        <w:keepNext/>
        <w:keepLines/>
        <w:jc w:val="both"/>
        <w:textAlignment w:val="baseline"/>
        <w:rPr>
          <w:rFonts w:eastAsia="Times New Roman"/>
          <w:color w:val="548DD4"/>
          <w:lang w:eastAsia="en-GB"/>
        </w:rPr>
      </w:pPr>
    </w:p>
    <w:p w14:paraId="5A12F213" w14:textId="77777777" w:rsidR="00464BDA" w:rsidRPr="00B64995" w:rsidRDefault="00464BDA" w:rsidP="00210D94">
      <w:pPr>
        <w:keepNext/>
        <w:keepLines/>
        <w:jc w:val="both"/>
        <w:textAlignment w:val="baseline"/>
        <w:rPr>
          <w:rFonts w:eastAsia="Times New Roman"/>
          <w:color w:val="548DD4"/>
          <w:lang w:eastAsia="en-GB"/>
        </w:rPr>
      </w:pPr>
    </w:p>
    <w:p w14:paraId="64C95C86" w14:textId="77777777" w:rsidR="002F409A" w:rsidRPr="00A060FE" w:rsidRDefault="00570F0C" w:rsidP="22948D6E">
      <w:pPr>
        <w:jc w:val="both"/>
        <w:rPr>
          <w:b/>
          <w:bCs/>
        </w:rPr>
      </w:pPr>
      <w:hyperlink r:id="rId414" w:history="1">
        <w:r w:rsidR="002F409A" w:rsidRPr="00B64995">
          <w:rPr>
            <w:rStyle w:val="Hyperlink"/>
            <w:b/>
            <w:bCs/>
          </w:rPr>
          <w:t>WTPF-21</w:t>
        </w:r>
      </w:hyperlink>
    </w:p>
    <w:p w14:paraId="760CE1F2" w14:textId="15CF009E" w:rsidR="22948D6E" w:rsidRPr="00B64995" w:rsidRDefault="22948D6E" w:rsidP="22948D6E">
      <w:pPr>
        <w:jc w:val="both"/>
        <w:rPr>
          <w:rFonts w:eastAsia="Calibri"/>
          <w:b/>
          <w:bCs/>
        </w:rPr>
      </w:pPr>
    </w:p>
    <w:p w14:paraId="616B27DA" w14:textId="56D4BCFF" w:rsidR="00B62C7D" w:rsidRPr="00B64995" w:rsidRDefault="002F409A" w:rsidP="002F409A">
      <w:pPr>
        <w:jc w:val="both"/>
        <w:rPr>
          <w:rFonts w:eastAsia="Calibri"/>
        </w:rPr>
      </w:pPr>
      <w:r w:rsidRPr="00B64995">
        <w:rPr>
          <w:rFonts w:eastAsia="Calibri"/>
        </w:rPr>
        <w:t>Preparations for WTPF-21 are under</w:t>
      </w:r>
      <w:r w:rsidR="00202FD7" w:rsidRPr="00B64995">
        <w:rPr>
          <w:rFonts w:eastAsia="Calibri"/>
        </w:rPr>
        <w:t xml:space="preserve"> </w:t>
      </w:r>
      <w:r w:rsidRPr="00B64995">
        <w:rPr>
          <w:rFonts w:eastAsia="Calibri"/>
        </w:rPr>
        <w:t>way. By Decision 611 (</w:t>
      </w:r>
      <w:r w:rsidR="00106B84">
        <w:rPr>
          <w:rFonts w:eastAsia="Calibri"/>
        </w:rPr>
        <w:t>C19, last amended C20</w:t>
      </w:r>
      <w:r w:rsidRPr="00B64995">
        <w:rPr>
          <w:rFonts w:eastAsia="Calibri"/>
        </w:rPr>
        <w:t>), the ITU Council decided on the following theme for WTPF-21:</w:t>
      </w:r>
      <w:r w:rsidRPr="00B64995">
        <w:rPr>
          <w:rFonts w:eastAsia="Calibri"/>
          <w:sz w:val="24"/>
          <w:szCs w:val="24"/>
        </w:rPr>
        <w:t xml:space="preserve"> </w:t>
      </w:r>
      <w:r w:rsidRPr="00B64995">
        <w:rPr>
          <w:rFonts w:eastAsia="Calibri"/>
        </w:rPr>
        <w:t>“</w:t>
      </w:r>
      <w:r w:rsidRPr="00B64995">
        <w:rPr>
          <w:rFonts w:eastAsia="Calibri"/>
          <w:i/>
          <w:iCs/>
        </w:rPr>
        <w:t>Policies for mobilizing new and emerging telecommunications/ICTs for sustainable development: The WTPF-21 would discuss how new and emerging digital technologies and trends are enablers of the global transition to the digital economy. Themes for consideration include AI, IoT, 5G, Big Data, OTTs etc. In this regard, the WTPF-21 will focus on opportunities, challenges and policies to foster sustainable development.</w:t>
      </w:r>
      <w:r w:rsidRPr="00B64995">
        <w:rPr>
          <w:rFonts w:eastAsia="Calibri"/>
        </w:rPr>
        <w:t>”</w:t>
      </w:r>
    </w:p>
    <w:p w14:paraId="1E83D112" w14:textId="5DA8387B" w:rsidR="00B62C7D" w:rsidRPr="00B64995" w:rsidRDefault="00B62C7D" w:rsidP="00B62C7D">
      <w:pPr>
        <w:spacing w:after="160"/>
        <w:jc w:val="center"/>
        <w:rPr>
          <w:lang w:eastAsia="en-GB"/>
        </w:rPr>
      </w:pPr>
    </w:p>
    <w:p w14:paraId="48EDC5C8" w14:textId="77777777" w:rsidR="002F409A" w:rsidRPr="00B64995" w:rsidRDefault="002F409A" w:rsidP="00210D94">
      <w:pPr>
        <w:keepNext/>
        <w:keepLines/>
        <w:jc w:val="both"/>
        <w:textAlignment w:val="baseline"/>
        <w:rPr>
          <w:rFonts w:eastAsia="Times New Roman"/>
          <w:color w:val="548DD4"/>
          <w:lang w:eastAsia="en-GB"/>
        </w:rPr>
      </w:pPr>
    </w:p>
    <w:p w14:paraId="3F3C5E11" w14:textId="15071625" w:rsidR="0049723A" w:rsidRPr="00B64995" w:rsidRDefault="00026FC6" w:rsidP="00026FC6">
      <w:pPr>
        <w:pStyle w:val="Heading1"/>
        <w:rPr>
          <w:lang w:eastAsia="en-GB"/>
        </w:rPr>
      </w:pPr>
      <w:bookmarkStart w:id="89" w:name="_Toc37860466"/>
      <w:bookmarkStart w:id="90" w:name="_Toc37861227"/>
      <w:bookmarkStart w:id="91" w:name="_Toc37943350"/>
      <w:bookmarkStart w:id="92" w:name="_Toc68811416"/>
      <w:r w:rsidRPr="00B64995">
        <w:rPr>
          <w:lang w:eastAsia="en-GB"/>
        </w:rPr>
        <w:t>2.</w:t>
      </w:r>
      <w:r w:rsidRPr="00B64995">
        <w:rPr>
          <w:lang w:eastAsia="en-GB"/>
        </w:rPr>
        <w:tab/>
      </w:r>
      <w:r w:rsidR="36D264FA" w:rsidRPr="00B64995">
        <w:rPr>
          <w:lang w:eastAsia="en-GB"/>
        </w:rPr>
        <w:t xml:space="preserve">Other </w:t>
      </w:r>
      <w:r w:rsidR="7F232E40" w:rsidRPr="00B64995">
        <w:rPr>
          <w:lang w:eastAsia="en-GB"/>
        </w:rPr>
        <w:t xml:space="preserve">key </w:t>
      </w:r>
      <w:r w:rsidR="36D264FA" w:rsidRPr="00B64995">
        <w:rPr>
          <w:lang w:eastAsia="en-GB"/>
        </w:rPr>
        <w:t xml:space="preserve">activities by </w:t>
      </w:r>
      <w:r w:rsidR="35C6BE1F" w:rsidRPr="00B64995">
        <w:rPr>
          <w:lang w:eastAsia="en-GB"/>
        </w:rPr>
        <w:t xml:space="preserve">the </w:t>
      </w:r>
      <w:r w:rsidR="000518CC" w:rsidRPr="00B64995">
        <w:rPr>
          <w:lang w:eastAsia="en-GB"/>
        </w:rPr>
        <w:t>s</w:t>
      </w:r>
      <w:r w:rsidR="0AE5824A" w:rsidRPr="00B64995">
        <w:rPr>
          <w:lang w:eastAsia="en-GB"/>
        </w:rPr>
        <w:t xml:space="preserve">ecretariat to support </w:t>
      </w:r>
      <w:r w:rsidR="00210D94" w:rsidRPr="00B64995">
        <w:rPr>
          <w:lang w:eastAsia="en-GB"/>
        </w:rPr>
        <w:t xml:space="preserve">ITU </w:t>
      </w:r>
      <w:r w:rsidR="009002E1" w:rsidRPr="00B64995">
        <w:rPr>
          <w:lang w:eastAsia="en-GB"/>
        </w:rPr>
        <w:t>m</w:t>
      </w:r>
      <w:r w:rsidR="0AE5824A" w:rsidRPr="00B64995">
        <w:rPr>
          <w:lang w:eastAsia="en-GB"/>
        </w:rPr>
        <w:t>embership</w:t>
      </w:r>
      <w:bookmarkEnd w:id="89"/>
      <w:bookmarkEnd w:id="90"/>
      <w:bookmarkEnd w:id="91"/>
      <w:bookmarkEnd w:id="92"/>
    </w:p>
    <w:p w14:paraId="7CD3A254" w14:textId="02BD9CFE" w:rsidR="00C1747D" w:rsidRPr="00B64995" w:rsidRDefault="00C1747D" w:rsidP="00210D94">
      <w:pPr>
        <w:keepNext/>
        <w:keepLines/>
        <w:jc w:val="both"/>
        <w:textAlignment w:val="baseline"/>
        <w:rPr>
          <w:rFonts w:eastAsia="Times New Roman"/>
          <w:lang w:eastAsia="en-GB"/>
        </w:rPr>
      </w:pPr>
    </w:p>
    <w:p w14:paraId="0BCC3BCD" w14:textId="245F6715" w:rsidR="0049723A" w:rsidRPr="00B64995" w:rsidRDefault="296D30E9" w:rsidP="00210D94">
      <w:pPr>
        <w:keepNext/>
        <w:keepLines/>
        <w:jc w:val="both"/>
        <w:textAlignment w:val="baseline"/>
        <w:rPr>
          <w:rFonts w:eastAsia="Times New Roman"/>
          <w:lang w:eastAsia="en-GB"/>
        </w:rPr>
      </w:pPr>
      <w:r w:rsidRPr="00B64995">
        <w:rPr>
          <w:rFonts w:eastAsia="Times New Roman"/>
          <w:lang w:eastAsia="en-GB"/>
        </w:rPr>
        <w:t>T</w:t>
      </w:r>
      <w:r w:rsidR="00210D94" w:rsidRPr="00B64995">
        <w:rPr>
          <w:rFonts w:eastAsia="Times New Roman"/>
          <w:lang w:eastAsia="en-GB"/>
        </w:rPr>
        <w:t xml:space="preserve">he ITU </w:t>
      </w:r>
      <w:r w:rsidR="000518CC" w:rsidRPr="00B64995">
        <w:rPr>
          <w:rFonts w:eastAsia="Times New Roman"/>
          <w:lang w:eastAsia="en-GB"/>
        </w:rPr>
        <w:t>s</w:t>
      </w:r>
      <w:r w:rsidR="00210D94" w:rsidRPr="00B64995">
        <w:rPr>
          <w:rFonts w:eastAsia="Times New Roman"/>
          <w:lang w:eastAsia="en-GB"/>
        </w:rPr>
        <w:t>ecretariat (through its three Bureau</w:t>
      </w:r>
      <w:r w:rsidR="000518CC" w:rsidRPr="00B64995">
        <w:rPr>
          <w:rFonts w:eastAsia="Times New Roman"/>
          <w:lang w:eastAsia="en-GB"/>
        </w:rPr>
        <w:t>x</w:t>
      </w:r>
      <w:r w:rsidR="00210D94" w:rsidRPr="00B64995">
        <w:rPr>
          <w:rFonts w:eastAsia="Times New Roman"/>
          <w:lang w:eastAsia="en-GB"/>
        </w:rPr>
        <w:t xml:space="preserve"> and the General Secretariat) continue</w:t>
      </w:r>
      <w:r w:rsidR="44DE8A3D" w:rsidRPr="00B64995">
        <w:rPr>
          <w:rFonts w:eastAsia="Times New Roman"/>
          <w:lang w:eastAsia="en-GB"/>
        </w:rPr>
        <w:t>s</w:t>
      </w:r>
      <w:r w:rsidR="00210D94" w:rsidRPr="00B64995">
        <w:rPr>
          <w:rFonts w:eastAsia="Times New Roman"/>
          <w:lang w:eastAsia="en-GB"/>
        </w:rPr>
        <w:t xml:space="preserve"> to refine and improve the services that it provides to ITU </w:t>
      </w:r>
      <w:proofErr w:type="gramStart"/>
      <w:r w:rsidR="009002E1" w:rsidRPr="00B64995">
        <w:rPr>
          <w:rFonts w:eastAsia="Times New Roman"/>
          <w:lang w:eastAsia="en-GB"/>
        </w:rPr>
        <w:t>m</w:t>
      </w:r>
      <w:r w:rsidR="00210D94" w:rsidRPr="00B64995">
        <w:rPr>
          <w:rFonts w:eastAsia="Times New Roman"/>
          <w:lang w:eastAsia="en-GB"/>
        </w:rPr>
        <w:t>embership as a whole</w:t>
      </w:r>
      <w:proofErr w:type="gramEnd"/>
      <w:r w:rsidR="00210D94" w:rsidRPr="00B64995">
        <w:rPr>
          <w:rFonts w:eastAsia="Times New Roman"/>
          <w:lang w:eastAsia="en-GB"/>
        </w:rPr>
        <w:t xml:space="preserve">. This </w:t>
      </w:r>
      <w:r w:rsidR="003C3C35" w:rsidRPr="00B64995">
        <w:rPr>
          <w:rFonts w:eastAsia="Times New Roman"/>
          <w:lang w:eastAsia="en-GB"/>
        </w:rPr>
        <w:t xml:space="preserve">chapter </w:t>
      </w:r>
      <w:r w:rsidR="00210D94" w:rsidRPr="00B64995">
        <w:rPr>
          <w:rFonts w:eastAsia="Times New Roman"/>
          <w:lang w:eastAsia="en-GB"/>
        </w:rPr>
        <w:t xml:space="preserve">summarizes some of the new initiatives undertaken in the period covered by this report on </w:t>
      </w:r>
      <w:r w:rsidR="4ED13535" w:rsidRPr="00B64995">
        <w:rPr>
          <w:rFonts w:eastAsia="Times New Roman"/>
          <w:lang w:eastAsia="en-GB"/>
        </w:rPr>
        <w:t xml:space="preserve">four </w:t>
      </w:r>
      <w:r w:rsidR="00210D94" w:rsidRPr="00B64995">
        <w:rPr>
          <w:rFonts w:eastAsia="Times New Roman"/>
          <w:lang w:eastAsia="en-GB"/>
        </w:rPr>
        <w:t xml:space="preserve">key aspects of </w:t>
      </w:r>
      <w:r w:rsidR="00C81184" w:rsidRPr="00B64995">
        <w:rPr>
          <w:rFonts w:eastAsia="Times New Roman"/>
          <w:lang w:eastAsia="en-GB"/>
        </w:rPr>
        <w:t>ITU’s services to its members</w:t>
      </w:r>
      <w:r w:rsidR="009002E1" w:rsidRPr="00B64995">
        <w:rPr>
          <w:rFonts w:eastAsia="Times New Roman"/>
          <w:lang w:eastAsia="en-GB"/>
        </w:rPr>
        <w:t>hip</w:t>
      </w:r>
      <w:r w:rsidR="00C81184" w:rsidRPr="00B64995">
        <w:rPr>
          <w:rFonts w:eastAsia="Times New Roman"/>
          <w:lang w:eastAsia="en-GB"/>
        </w:rPr>
        <w:t>: ensuring the operation of its governing bodies, introducing state of the art collaborative tools</w:t>
      </w:r>
      <w:r w:rsidR="25E15EC8" w:rsidRPr="00B64995">
        <w:rPr>
          <w:rFonts w:eastAsia="Times New Roman"/>
          <w:lang w:eastAsia="en-GB"/>
        </w:rPr>
        <w:t xml:space="preserve">, </w:t>
      </w:r>
      <w:r w:rsidR="00C81184" w:rsidRPr="00B64995">
        <w:rPr>
          <w:rFonts w:eastAsia="Times New Roman"/>
          <w:lang w:eastAsia="en-GB"/>
        </w:rPr>
        <w:t>refining the structure of functional units to adjust better to the challenges and opportunities that arise from an increasingly digital society</w:t>
      </w:r>
      <w:r w:rsidR="54786F65" w:rsidRPr="00B64995">
        <w:rPr>
          <w:rFonts w:eastAsia="Times New Roman"/>
          <w:lang w:eastAsia="en-GB"/>
        </w:rPr>
        <w:t xml:space="preserve"> and strengthen</w:t>
      </w:r>
      <w:r w:rsidR="004C3E29" w:rsidRPr="00B64995">
        <w:rPr>
          <w:rFonts w:eastAsia="Times New Roman"/>
          <w:lang w:eastAsia="en-GB"/>
        </w:rPr>
        <w:t>ing</w:t>
      </w:r>
      <w:r w:rsidR="54786F65" w:rsidRPr="00B64995">
        <w:rPr>
          <w:rFonts w:eastAsia="Times New Roman"/>
          <w:lang w:eastAsia="en-GB"/>
        </w:rPr>
        <w:t xml:space="preserve"> the overall support services to ITU </w:t>
      </w:r>
      <w:r w:rsidR="009002E1" w:rsidRPr="00B64995">
        <w:rPr>
          <w:rFonts w:eastAsia="Times New Roman"/>
          <w:lang w:eastAsia="en-GB"/>
        </w:rPr>
        <w:t>m</w:t>
      </w:r>
      <w:r w:rsidR="54786F65" w:rsidRPr="00B64995">
        <w:rPr>
          <w:rFonts w:eastAsia="Times New Roman"/>
          <w:lang w:eastAsia="en-GB"/>
        </w:rPr>
        <w:t>embership</w:t>
      </w:r>
      <w:r w:rsidR="00C81184" w:rsidRPr="00B64995">
        <w:rPr>
          <w:rFonts w:eastAsia="Times New Roman"/>
          <w:lang w:eastAsia="en-GB"/>
        </w:rPr>
        <w:t>.</w:t>
      </w:r>
    </w:p>
    <w:p w14:paraId="4B0FBE75" w14:textId="5E01F2CB" w:rsidR="003269FF" w:rsidRPr="00B64995" w:rsidRDefault="003269FF" w:rsidP="003269FF">
      <w:pPr>
        <w:pStyle w:val="Heading2"/>
        <w:rPr>
          <w:lang w:eastAsia="en-GB"/>
        </w:rPr>
      </w:pPr>
      <w:bookmarkStart w:id="93" w:name="_Toc68811417"/>
      <w:r w:rsidRPr="00B64995">
        <w:rPr>
          <w:lang w:eastAsia="en-GB"/>
        </w:rPr>
        <w:t>Leading by example</w:t>
      </w:r>
      <w:bookmarkEnd w:id="93"/>
    </w:p>
    <w:p w14:paraId="360A602D" w14:textId="77777777" w:rsidR="003269FF" w:rsidRPr="00B64995" w:rsidRDefault="003269FF" w:rsidP="003269FF">
      <w:pPr>
        <w:pStyle w:val="Heading3"/>
        <w:rPr>
          <w:lang w:eastAsia="en-GB"/>
        </w:rPr>
      </w:pPr>
      <w:bookmarkStart w:id="94" w:name="_Toc68811418"/>
      <w:r w:rsidRPr="00B64995">
        <w:rPr>
          <w:b/>
          <w:color w:val="2F5496"/>
          <w:sz w:val="22"/>
          <w:szCs w:val="22"/>
          <w:lang w:eastAsia="en-GB"/>
        </w:rPr>
        <w:t>Green ITU</w:t>
      </w:r>
      <w:bookmarkEnd w:id="94"/>
    </w:p>
    <w:p w14:paraId="471877BD" w14:textId="05925F63" w:rsidR="003269FF" w:rsidRPr="00B64995" w:rsidRDefault="003269FF" w:rsidP="003269FF">
      <w:pPr>
        <w:spacing w:after="160"/>
        <w:jc w:val="both"/>
        <w:rPr>
          <w:lang w:eastAsia="en-GB"/>
        </w:rPr>
      </w:pPr>
      <w:r w:rsidRPr="00B64995">
        <w:rPr>
          <w:lang w:eastAsia="en-GB"/>
        </w:rPr>
        <w:t>In 2020 ITU maintained its climate neutrality and has taken measures to step up environmental sustainability efforts. As such, the ITU Environmental Sustainability Statement (C20/INF/5-E) outlines a series of guiding principles to strengthen ITU’s environmental performance</w:t>
      </w:r>
      <w:r w:rsidR="005C0B65" w:rsidRPr="00B64995">
        <w:rPr>
          <w:lang w:eastAsia="en-GB"/>
        </w:rPr>
        <w:t>,</w:t>
      </w:r>
      <w:r w:rsidRPr="00B64995">
        <w:rPr>
          <w:lang w:eastAsia="en-GB"/>
        </w:rPr>
        <w:t xml:space="preserve"> and </w:t>
      </w:r>
      <w:r w:rsidR="005C0B65" w:rsidRPr="00B64995">
        <w:rPr>
          <w:lang w:eastAsia="en-GB"/>
        </w:rPr>
        <w:t xml:space="preserve">marks the </w:t>
      </w:r>
      <w:r w:rsidRPr="00B64995">
        <w:rPr>
          <w:lang w:eastAsia="en-GB"/>
        </w:rPr>
        <w:t xml:space="preserve">establishment of an Environmental Management System that will help to systematically reduce greenhouse gas emissions (for more </w:t>
      </w:r>
      <w:r w:rsidRPr="00570F0C">
        <w:rPr>
          <w:lang w:eastAsia="en-GB"/>
        </w:rPr>
        <w:t xml:space="preserve">information, see </w:t>
      </w:r>
      <w:hyperlink r:id="rId415" w:history="1">
        <w:r w:rsidR="003E634A" w:rsidRPr="00570F0C">
          <w:rPr>
            <w:rStyle w:val="Hyperlink"/>
          </w:rPr>
          <w:t>C21/68</w:t>
        </w:r>
      </w:hyperlink>
      <w:r w:rsidR="003E634A" w:rsidRPr="00570F0C">
        <w:rPr>
          <w:lang w:eastAsia="en-GB"/>
        </w:rPr>
        <w:t>).</w:t>
      </w:r>
    </w:p>
    <w:p w14:paraId="10B65BE3" w14:textId="6B2C8D69" w:rsidR="003269FF" w:rsidRPr="00B64995" w:rsidRDefault="003269FF" w:rsidP="003269FF">
      <w:pPr>
        <w:pStyle w:val="Heading3"/>
        <w:rPr>
          <w:b/>
          <w:color w:val="2F5496"/>
          <w:sz w:val="22"/>
          <w:szCs w:val="22"/>
          <w:lang w:eastAsia="en-GB"/>
        </w:rPr>
      </w:pPr>
      <w:bookmarkStart w:id="95" w:name="_Toc68811419"/>
      <w:r w:rsidRPr="00B64995">
        <w:rPr>
          <w:b/>
          <w:color w:val="2F5496"/>
          <w:sz w:val="22"/>
          <w:szCs w:val="22"/>
          <w:lang w:eastAsia="en-GB"/>
        </w:rPr>
        <w:lastRenderedPageBreak/>
        <w:t>Accessible ITU (new building)</w:t>
      </w:r>
      <w:bookmarkEnd w:id="95"/>
    </w:p>
    <w:p w14:paraId="3EEFDF38" w14:textId="786DD2F3" w:rsidR="003269FF" w:rsidRPr="00B64995" w:rsidRDefault="003269FF" w:rsidP="003269FF">
      <w:pPr>
        <w:spacing w:after="160"/>
        <w:jc w:val="both"/>
        <w:rPr>
          <w:lang w:eastAsia="en-GB"/>
        </w:rPr>
      </w:pPr>
      <w:r w:rsidRPr="00B64995">
        <w:rPr>
          <w:lang w:eastAsia="en-GB"/>
        </w:rPr>
        <w:t>Accessibility requirements for ITU</w:t>
      </w:r>
      <w:r w:rsidR="00A26A66" w:rsidRPr="00B64995">
        <w:rPr>
          <w:lang w:eastAsia="en-GB"/>
        </w:rPr>
        <w:t>’s</w:t>
      </w:r>
      <w:r w:rsidRPr="00B64995">
        <w:rPr>
          <w:lang w:eastAsia="en-GB"/>
        </w:rPr>
        <w:t xml:space="preserve"> new building project </w:t>
      </w:r>
      <w:r w:rsidR="005C0B65" w:rsidRPr="00B64995">
        <w:rPr>
          <w:lang w:eastAsia="en-GB"/>
        </w:rPr>
        <w:t>are</w:t>
      </w:r>
      <w:r w:rsidRPr="00B64995">
        <w:rPr>
          <w:lang w:eastAsia="en-GB"/>
        </w:rPr>
        <w:t xml:space="preserve"> based on Swiss standard SIA 500, </w:t>
      </w:r>
      <w:r w:rsidR="005C0B65" w:rsidRPr="00B64995">
        <w:rPr>
          <w:lang w:eastAsia="en-GB"/>
        </w:rPr>
        <w:t xml:space="preserve">a requirement </w:t>
      </w:r>
      <w:proofErr w:type="gramStart"/>
      <w:r w:rsidRPr="00B64995">
        <w:rPr>
          <w:lang w:eastAsia="en-GB"/>
        </w:rPr>
        <w:t>in order to</w:t>
      </w:r>
      <w:proofErr w:type="gramEnd"/>
      <w:r w:rsidRPr="00B64995">
        <w:rPr>
          <w:lang w:eastAsia="en-GB"/>
        </w:rPr>
        <w:t xml:space="preserve"> obtain the host country’s </w:t>
      </w:r>
      <w:r w:rsidR="005C0B65" w:rsidRPr="00B64995">
        <w:rPr>
          <w:lang w:eastAsia="en-GB"/>
        </w:rPr>
        <w:t>authorization</w:t>
      </w:r>
      <w:r w:rsidRPr="00B64995">
        <w:rPr>
          <w:lang w:eastAsia="en-GB"/>
        </w:rPr>
        <w:t xml:space="preserve"> for construction. However, since this standard is relatively limited in its scope, ITU has expanded the programme requirements to encompass a more inclusive accessibility. The series of additional measures will ensure that the new building is accessible to people with a wide range of disabilities and needs.</w:t>
      </w:r>
    </w:p>
    <w:p w14:paraId="13533353" w14:textId="77777777" w:rsidR="003269FF" w:rsidRPr="00B64995" w:rsidRDefault="003269FF" w:rsidP="003269FF">
      <w:pPr>
        <w:pStyle w:val="Heading3"/>
        <w:rPr>
          <w:b/>
          <w:color w:val="2F5496"/>
          <w:sz w:val="22"/>
          <w:szCs w:val="22"/>
          <w:lang w:eastAsia="en-GB"/>
        </w:rPr>
      </w:pPr>
      <w:bookmarkStart w:id="96" w:name="_Toc68811420"/>
      <w:r w:rsidRPr="00B64995">
        <w:rPr>
          <w:b/>
          <w:color w:val="2F5496"/>
          <w:sz w:val="22"/>
          <w:szCs w:val="22"/>
          <w:lang w:eastAsia="en-GB"/>
        </w:rPr>
        <w:t>Gender balanced ITU</w:t>
      </w:r>
      <w:bookmarkEnd w:id="96"/>
    </w:p>
    <w:p w14:paraId="0E9978DD" w14:textId="4ADBA64E" w:rsidR="00210D94" w:rsidRPr="00B64995" w:rsidRDefault="003269FF" w:rsidP="003269FF">
      <w:pPr>
        <w:keepNext/>
        <w:keepLines/>
        <w:jc w:val="both"/>
        <w:textAlignment w:val="baseline"/>
        <w:rPr>
          <w:lang w:eastAsia="en-GB"/>
        </w:rPr>
      </w:pPr>
      <w:r w:rsidRPr="00B64995">
        <w:rPr>
          <w:lang w:eastAsia="en-GB"/>
        </w:rPr>
        <w:t xml:space="preserve">ITU continues striving to ensure that the objectives in Annex 2 to Resolution 48 </w:t>
      </w:r>
      <w:r w:rsidR="005C0B65" w:rsidRPr="00B64995">
        <w:rPr>
          <w:lang w:eastAsia="en-GB"/>
        </w:rPr>
        <w:t xml:space="preserve">(Rev. Dubai, 2018) of the Plenipotentiary Conference is </w:t>
      </w:r>
      <w:r w:rsidRPr="00B64995">
        <w:rPr>
          <w:lang w:eastAsia="en-GB"/>
        </w:rPr>
        <w:t xml:space="preserve">achieved. </w:t>
      </w:r>
      <w:r w:rsidR="005C0B65" w:rsidRPr="00B64995">
        <w:rPr>
          <w:lang w:eastAsia="en-GB"/>
        </w:rPr>
        <w:t xml:space="preserve">The Union has renewed </w:t>
      </w:r>
      <w:r w:rsidRPr="00B64995">
        <w:rPr>
          <w:lang w:eastAsia="en-GB"/>
        </w:rPr>
        <w:t xml:space="preserve">its commitment </w:t>
      </w:r>
      <w:r w:rsidR="005C0B65" w:rsidRPr="00B64995">
        <w:rPr>
          <w:lang w:eastAsia="en-GB"/>
        </w:rPr>
        <w:t xml:space="preserve">by </w:t>
      </w:r>
      <w:r w:rsidRPr="00B64995">
        <w:rPr>
          <w:lang w:eastAsia="en-GB"/>
        </w:rPr>
        <w:t xml:space="preserve">investing in gender representation in the recruitment interview panels. A pool of female panel members has been identified that can be called upon to participate in panels across ITU and has been provided with </w:t>
      </w:r>
      <w:r w:rsidR="005C0B65" w:rsidRPr="00B64995">
        <w:rPr>
          <w:lang w:eastAsia="en-GB"/>
        </w:rPr>
        <w:t>c</w:t>
      </w:r>
      <w:r w:rsidRPr="00B64995">
        <w:rPr>
          <w:lang w:eastAsia="en-GB"/>
        </w:rPr>
        <w:t xml:space="preserve">ompetency </w:t>
      </w:r>
      <w:r w:rsidR="005C0B65" w:rsidRPr="00B64995">
        <w:rPr>
          <w:lang w:eastAsia="en-GB"/>
        </w:rPr>
        <w:t>b</w:t>
      </w:r>
      <w:r w:rsidRPr="00B64995">
        <w:rPr>
          <w:lang w:eastAsia="en-GB"/>
        </w:rPr>
        <w:t xml:space="preserve">ased </w:t>
      </w:r>
      <w:r w:rsidR="005C0B65" w:rsidRPr="00B64995">
        <w:rPr>
          <w:lang w:eastAsia="en-GB"/>
        </w:rPr>
        <w:t>i</w:t>
      </w:r>
      <w:r w:rsidRPr="00B64995">
        <w:rPr>
          <w:lang w:eastAsia="en-GB"/>
        </w:rPr>
        <w:t xml:space="preserve">nterviewing </w:t>
      </w:r>
      <w:r w:rsidR="005C0B65" w:rsidRPr="00B64995">
        <w:rPr>
          <w:lang w:eastAsia="en-GB"/>
        </w:rPr>
        <w:t>t</w:t>
      </w:r>
      <w:r w:rsidRPr="00B64995">
        <w:rPr>
          <w:lang w:eastAsia="en-GB"/>
        </w:rPr>
        <w:t xml:space="preserve">raining. Gender is being also embedded in additional HR policies, including </w:t>
      </w:r>
      <w:r w:rsidR="005C0B65" w:rsidRPr="00B64995">
        <w:rPr>
          <w:lang w:eastAsia="en-GB"/>
        </w:rPr>
        <w:t>r</w:t>
      </w:r>
      <w:r w:rsidRPr="00B64995">
        <w:rPr>
          <w:lang w:eastAsia="en-GB"/>
        </w:rPr>
        <w:t>ecruitment as well as in job descriptions</w:t>
      </w:r>
      <w:r w:rsidR="005C0B65" w:rsidRPr="00B64995">
        <w:rPr>
          <w:lang w:eastAsia="en-GB"/>
        </w:rPr>
        <w:t>,</w:t>
      </w:r>
      <w:r w:rsidRPr="00B64995">
        <w:rPr>
          <w:lang w:eastAsia="en-GB"/>
        </w:rPr>
        <w:t xml:space="preserve"> where </w:t>
      </w:r>
      <w:r w:rsidR="005C0B65" w:rsidRPr="00B64995">
        <w:rPr>
          <w:lang w:eastAsia="en-GB"/>
        </w:rPr>
        <w:t>g</w:t>
      </w:r>
      <w:r w:rsidRPr="00B64995">
        <w:rPr>
          <w:lang w:eastAsia="en-GB"/>
        </w:rPr>
        <w:t xml:space="preserve">ender represents a critical component in </w:t>
      </w:r>
      <w:r w:rsidR="005C0B65" w:rsidRPr="00B64995">
        <w:rPr>
          <w:lang w:eastAsia="en-GB"/>
        </w:rPr>
        <w:t xml:space="preserve">the </w:t>
      </w:r>
      <w:r w:rsidRPr="00B64995">
        <w:rPr>
          <w:lang w:eastAsia="en-GB"/>
        </w:rPr>
        <w:t>long term. A persistent issue comes from the fact that more than 70</w:t>
      </w:r>
      <w:r w:rsidR="003C5E1A">
        <w:rPr>
          <w:lang w:eastAsia="en-GB"/>
        </w:rPr>
        <w:t xml:space="preserve"> per cent</w:t>
      </w:r>
      <w:r w:rsidRPr="00B64995">
        <w:rPr>
          <w:lang w:eastAsia="en-GB"/>
        </w:rPr>
        <w:t xml:space="preserve"> of applicants to Professional and </w:t>
      </w:r>
      <w:r w:rsidR="005C0B65" w:rsidRPr="00B64995">
        <w:rPr>
          <w:lang w:eastAsia="en-GB"/>
        </w:rPr>
        <w:t>h</w:t>
      </w:r>
      <w:r w:rsidRPr="00B64995">
        <w:rPr>
          <w:lang w:eastAsia="en-GB"/>
        </w:rPr>
        <w:t xml:space="preserve">igher categories are men, despite the efforts to reach out to more women. </w:t>
      </w:r>
      <w:r w:rsidR="005C0B65" w:rsidRPr="00B64995">
        <w:rPr>
          <w:lang w:eastAsia="en-GB"/>
        </w:rPr>
        <w:t>The c</w:t>
      </w:r>
      <w:r w:rsidRPr="00B64995">
        <w:rPr>
          <w:lang w:eastAsia="en-GB"/>
        </w:rPr>
        <w:t>hart below reflects the efforts to overcome this issue, having reached gender balance among the selected applicants in 2019.</w:t>
      </w:r>
    </w:p>
    <w:p w14:paraId="6AF15881" w14:textId="77777777" w:rsidR="004039D9" w:rsidRPr="00B64995" w:rsidRDefault="004039D9" w:rsidP="003269FF">
      <w:pPr>
        <w:keepNext/>
        <w:keepLines/>
        <w:jc w:val="both"/>
        <w:textAlignment w:val="baseline"/>
        <w:rPr>
          <w:lang w:eastAsia="en-GB"/>
        </w:rPr>
      </w:pPr>
    </w:p>
    <w:p w14:paraId="3E2AFF26" w14:textId="128B3205" w:rsidR="004039D9" w:rsidRPr="00B64995" w:rsidRDefault="004039D9" w:rsidP="003269FF">
      <w:pPr>
        <w:keepNext/>
        <w:keepLines/>
        <w:jc w:val="both"/>
        <w:textAlignment w:val="baseline"/>
        <w:rPr>
          <w:lang w:eastAsia="en-GB"/>
        </w:rPr>
      </w:pPr>
    </w:p>
    <w:p w14:paraId="010A9BCC" w14:textId="0D1FAD84" w:rsidR="004039D9" w:rsidRPr="00A060FE" w:rsidRDefault="004039D9" w:rsidP="004039D9">
      <w:pPr>
        <w:keepNext/>
        <w:keepLines/>
        <w:jc w:val="center"/>
        <w:textAlignment w:val="baseline"/>
        <w:rPr>
          <w:rFonts w:eastAsia="Times New Roman"/>
          <w:lang w:eastAsia="en-GB"/>
        </w:rPr>
      </w:pPr>
      <w:r w:rsidRPr="00166BCE">
        <w:rPr>
          <w:noProof/>
        </w:rPr>
        <w:drawing>
          <wp:inline distT="0" distB="0" distL="0" distR="0" wp14:anchorId="13504EB3" wp14:editId="0AE7EB88">
            <wp:extent cx="3348841" cy="231317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6">
                      <a:extLst>
                        <a:ext uri="{28A0092B-C50C-407E-A947-70E740481C1C}">
                          <a14:useLocalDpi xmlns:a14="http://schemas.microsoft.com/office/drawing/2010/main" val="0"/>
                        </a:ext>
                      </a:extLst>
                    </a:blip>
                    <a:stretch>
                      <a:fillRect/>
                    </a:stretch>
                  </pic:blipFill>
                  <pic:spPr>
                    <a:xfrm>
                      <a:off x="0" y="0"/>
                      <a:ext cx="3348841" cy="2313174"/>
                    </a:xfrm>
                    <a:prstGeom prst="rect">
                      <a:avLst/>
                    </a:prstGeom>
                  </pic:spPr>
                </pic:pic>
              </a:graphicData>
            </a:graphic>
          </wp:inline>
        </w:drawing>
      </w:r>
    </w:p>
    <w:p w14:paraId="775F320F" w14:textId="77777777" w:rsidR="0049723A" w:rsidRPr="00B64995" w:rsidRDefault="00026FC6" w:rsidP="00026FC6">
      <w:pPr>
        <w:pStyle w:val="Heading2"/>
        <w:rPr>
          <w:lang w:eastAsia="en-GB"/>
        </w:rPr>
      </w:pPr>
      <w:bookmarkStart w:id="97" w:name="_Toc37860467"/>
      <w:bookmarkStart w:id="98" w:name="_Toc37861228"/>
      <w:bookmarkStart w:id="99" w:name="_Toc37943351"/>
      <w:bookmarkStart w:id="100" w:name="_Toc68811421"/>
      <w:bookmarkStart w:id="101" w:name="Section_2_1"/>
      <w:r w:rsidRPr="00B64995">
        <w:rPr>
          <w:lang w:eastAsia="en-GB"/>
        </w:rPr>
        <w:t>2.1</w:t>
      </w:r>
      <w:r w:rsidRPr="00B64995">
        <w:rPr>
          <w:lang w:eastAsia="en-GB"/>
        </w:rPr>
        <w:tab/>
      </w:r>
      <w:r w:rsidR="3CFF9261" w:rsidRPr="00B64995">
        <w:rPr>
          <w:lang w:eastAsia="en-GB"/>
        </w:rPr>
        <w:t>ITU-</w:t>
      </w:r>
      <w:r w:rsidR="00E417F0" w:rsidRPr="00B64995">
        <w:rPr>
          <w:lang w:eastAsia="en-GB"/>
        </w:rPr>
        <w:t>R</w:t>
      </w:r>
      <w:bookmarkEnd w:id="97"/>
      <w:bookmarkEnd w:id="98"/>
      <w:bookmarkEnd w:id="99"/>
      <w:bookmarkEnd w:id="100"/>
    </w:p>
    <w:bookmarkEnd w:id="101"/>
    <w:p w14:paraId="075714BB" w14:textId="0E1C8677" w:rsidR="4B86AAC2" w:rsidRPr="00B64995" w:rsidRDefault="4B86AAC2" w:rsidP="00210D94">
      <w:pPr>
        <w:keepNext/>
        <w:keepLines/>
        <w:jc w:val="both"/>
        <w:rPr>
          <w:rFonts w:eastAsia="Times New Roman"/>
          <w:bCs/>
          <w:lang w:eastAsia="en-GB"/>
        </w:rPr>
      </w:pPr>
    </w:p>
    <w:p w14:paraId="7CBDF473" w14:textId="77777777" w:rsidR="0049723A" w:rsidRPr="00B64995" w:rsidRDefault="30FF294B" w:rsidP="00A83DAA">
      <w:pPr>
        <w:pStyle w:val="Heading5"/>
        <w:rPr>
          <w:lang w:eastAsia="en-GB"/>
        </w:rPr>
      </w:pPr>
      <w:r w:rsidRPr="00B64995">
        <w:rPr>
          <w:lang w:eastAsia="en-GB"/>
        </w:rPr>
        <w:t>Radio Regulations Board (RRB)</w:t>
      </w:r>
    </w:p>
    <w:p w14:paraId="337619AF" w14:textId="1E2F6159" w:rsidR="008D1F6E" w:rsidRPr="00B64995" w:rsidRDefault="008D1F6E" w:rsidP="008D1F6E">
      <w:pPr>
        <w:jc w:val="both"/>
        <w:rPr>
          <w:rFonts w:eastAsia="Calibri"/>
          <w:color w:val="000000" w:themeColor="text1"/>
        </w:rPr>
      </w:pPr>
      <w:r w:rsidRPr="00B64995">
        <w:rPr>
          <w:rFonts w:eastAsia="Calibri"/>
          <w:color w:val="000000" w:themeColor="text1"/>
        </w:rPr>
        <w:t xml:space="preserve">The RRB continued to conduct its work throughout 2019 (three physical meetings) and 2020 (three virtual meetings). During these </w:t>
      </w:r>
      <w:proofErr w:type="gramStart"/>
      <w:r w:rsidRPr="00B64995">
        <w:rPr>
          <w:rFonts w:eastAsia="Calibri"/>
          <w:color w:val="000000" w:themeColor="text1"/>
        </w:rPr>
        <w:t>meetings</w:t>
      </w:r>
      <w:proofErr w:type="gramEnd"/>
      <w:r w:rsidRPr="00B64995">
        <w:rPr>
          <w:rFonts w:eastAsia="Calibri"/>
          <w:color w:val="000000" w:themeColor="text1"/>
        </w:rPr>
        <w:t xml:space="preserve"> the Board reviewed the Rules of Procedures in response to WRC-19 decisions and to reflect cases of general practice by the Bureau. The Board also made decisions on:</w:t>
      </w:r>
    </w:p>
    <w:p w14:paraId="54C43034" w14:textId="1AB65E3A" w:rsidR="008D1F6E" w:rsidRPr="00B64995" w:rsidRDefault="00DE1F4D" w:rsidP="008D1F6E">
      <w:pPr>
        <w:pStyle w:val="ListParagraph"/>
        <w:numPr>
          <w:ilvl w:val="0"/>
          <w:numId w:val="64"/>
        </w:numPr>
        <w:jc w:val="both"/>
        <w:rPr>
          <w:rFonts w:eastAsia="Calibri"/>
          <w:color w:val="000000" w:themeColor="text1"/>
          <w:lang w:val="en-GB"/>
        </w:rPr>
      </w:pPr>
      <w:r w:rsidRPr="00B64995">
        <w:rPr>
          <w:rFonts w:eastAsia="Calibri"/>
          <w:color w:val="000000" w:themeColor="text1"/>
          <w:lang w:val="en-GB"/>
        </w:rPr>
        <w:t xml:space="preserve">Thirteen </w:t>
      </w:r>
      <w:r w:rsidR="008D1F6E" w:rsidRPr="00B64995">
        <w:rPr>
          <w:rFonts w:eastAsia="Calibri"/>
          <w:color w:val="000000" w:themeColor="text1"/>
          <w:lang w:val="en-GB"/>
        </w:rPr>
        <w:t>submissions from administrations requesting the</w:t>
      </w:r>
      <w:r w:rsidR="008D1F6E" w:rsidRPr="00B64995">
        <w:rPr>
          <w:lang w:val="en-GB"/>
        </w:rPr>
        <w:t xml:space="preserve"> e</w:t>
      </w:r>
      <w:r w:rsidR="008D1F6E" w:rsidRPr="00B64995">
        <w:rPr>
          <w:rFonts w:eastAsia="Calibri"/>
          <w:color w:val="000000" w:themeColor="text1"/>
          <w:lang w:val="en-GB"/>
        </w:rPr>
        <w:t xml:space="preserve">xtension of the regulatory deadline to bring into use or bring back into use frequency assignments to satellite </w:t>
      </w:r>
      <w:proofErr w:type="gramStart"/>
      <w:r w:rsidR="008D1F6E" w:rsidRPr="00B64995">
        <w:rPr>
          <w:rFonts w:eastAsia="Calibri"/>
          <w:color w:val="000000" w:themeColor="text1"/>
          <w:lang w:val="en-GB"/>
        </w:rPr>
        <w:t>networks;</w:t>
      </w:r>
      <w:proofErr w:type="gramEnd"/>
    </w:p>
    <w:p w14:paraId="057A2EBC" w14:textId="61498C74" w:rsidR="008D1F6E" w:rsidRPr="00B64995" w:rsidRDefault="008D1F6E" w:rsidP="008D1F6E">
      <w:pPr>
        <w:pStyle w:val="ListParagraph"/>
        <w:numPr>
          <w:ilvl w:val="0"/>
          <w:numId w:val="64"/>
        </w:numPr>
        <w:jc w:val="both"/>
        <w:rPr>
          <w:rFonts w:eastAsia="Calibri"/>
          <w:color w:val="000000" w:themeColor="text1"/>
          <w:lang w:val="en-GB"/>
        </w:rPr>
      </w:pPr>
      <w:r w:rsidRPr="00B64995">
        <w:rPr>
          <w:rFonts w:eastAsia="Calibri"/>
          <w:color w:val="000000" w:themeColor="text1"/>
          <w:lang w:val="en-GB"/>
        </w:rPr>
        <w:t xml:space="preserve">Nine cases to maintain satellite networks in </w:t>
      </w:r>
      <w:r w:rsidR="00DE1F4D" w:rsidRPr="00B64995">
        <w:rPr>
          <w:rFonts w:eastAsia="Calibri"/>
          <w:color w:val="000000" w:themeColor="text1"/>
          <w:lang w:val="en-GB"/>
        </w:rPr>
        <w:t xml:space="preserve">the MIFR </w:t>
      </w:r>
      <w:r w:rsidRPr="00B64995">
        <w:rPr>
          <w:rFonts w:eastAsia="Calibri"/>
          <w:color w:val="000000" w:themeColor="text1"/>
          <w:lang w:val="en-GB"/>
        </w:rPr>
        <w:t>or suppress them</w:t>
      </w:r>
      <w:r w:rsidR="00DE1F4D" w:rsidRPr="00B64995">
        <w:rPr>
          <w:rFonts w:eastAsia="Calibri"/>
          <w:color w:val="000000" w:themeColor="text1"/>
          <w:lang w:val="en-GB"/>
        </w:rPr>
        <w:t>,</w:t>
      </w:r>
      <w:r w:rsidRPr="00B64995">
        <w:rPr>
          <w:rFonts w:eastAsia="Calibri"/>
          <w:color w:val="000000" w:themeColor="text1"/>
          <w:lang w:val="en-GB"/>
        </w:rPr>
        <w:t xml:space="preserve"> based on examinations under RR No. </w:t>
      </w:r>
      <w:r w:rsidRPr="00B87922">
        <w:rPr>
          <w:rFonts w:eastAsia="Calibri"/>
          <w:color w:val="000000" w:themeColor="text1"/>
          <w:lang w:val="en-GB"/>
        </w:rPr>
        <w:t>13.6</w:t>
      </w:r>
      <w:r w:rsidRPr="00A060FE">
        <w:rPr>
          <w:rFonts w:eastAsia="Calibri"/>
          <w:color w:val="000000" w:themeColor="text1"/>
          <w:lang w:val="en-GB"/>
        </w:rPr>
        <w:t xml:space="preserve"> by the </w:t>
      </w:r>
      <w:proofErr w:type="gramStart"/>
      <w:r w:rsidRPr="00A060FE">
        <w:rPr>
          <w:rFonts w:eastAsia="Calibri"/>
          <w:color w:val="000000" w:themeColor="text1"/>
          <w:lang w:val="en-GB"/>
        </w:rPr>
        <w:t>Bureau;</w:t>
      </w:r>
      <w:proofErr w:type="gramEnd"/>
    </w:p>
    <w:p w14:paraId="3B5F8EBB" w14:textId="77777777" w:rsidR="008D1F6E" w:rsidRPr="00B64995" w:rsidRDefault="008D1F6E" w:rsidP="008D1F6E">
      <w:pPr>
        <w:pStyle w:val="ListParagraph"/>
        <w:numPr>
          <w:ilvl w:val="0"/>
          <w:numId w:val="64"/>
        </w:numPr>
        <w:jc w:val="both"/>
        <w:rPr>
          <w:rFonts w:eastAsia="Calibri"/>
          <w:color w:val="000000" w:themeColor="text1"/>
          <w:lang w:val="en-GB"/>
        </w:rPr>
      </w:pPr>
      <w:r w:rsidRPr="00B64995">
        <w:rPr>
          <w:rFonts w:eastAsia="Calibri"/>
          <w:color w:val="000000" w:themeColor="text1"/>
          <w:lang w:val="en-GB"/>
        </w:rPr>
        <w:t>Situations of harmful interference reported to the Board that could not be resolved between the affected administrations.</w:t>
      </w:r>
    </w:p>
    <w:p w14:paraId="65CE3C3A" w14:textId="706851BD" w:rsidR="00B36DE2" w:rsidRPr="00B64995" w:rsidRDefault="00B36DE2" w:rsidP="003C7FD5">
      <w:pPr>
        <w:rPr>
          <w:lang w:eastAsia="en-GB"/>
        </w:rPr>
      </w:pPr>
    </w:p>
    <w:p w14:paraId="121FD38A" w14:textId="497A80C6" w:rsidR="00B34A57" w:rsidRPr="00B64995" w:rsidRDefault="00B34A57" w:rsidP="00614D53">
      <w:pPr>
        <w:jc w:val="both"/>
        <w:textAlignment w:val="baseline"/>
        <w:rPr>
          <w:rFonts w:eastAsia="Times New Roman"/>
          <w:color w:val="548DD4"/>
          <w:lang w:eastAsia="en-GB"/>
        </w:rPr>
      </w:pPr>
    </w:p>
    <w:p w14:paraId="3ED52E23" w14:textId="357AACBC" w:rsidR="00B34A57" w:rsidRPr="00B64995" w:rsidRDefault="00026FC6" w:rsidP="00026FC6">
      <w:pPr>
        <w:pStyle w:val="Heading2"/>
        <w:rPr>
          <w:lang w:eastAsia="en-GB"/>
        </w:rPr>
      </w:pPr>
      <w:bookmarkStart w:id="102" w:name="_Toc37860468"/>
      <w:bookmarkStart w:id="103" w:name="_Toc37861229"/>
      <w:bookmarkStart w:id="104" w:name="_Toc37943352"/>
      <w:bookmarkStart w:id="105" w:name="_Toc68811422"/>
      <w:r w:rsidRPr="00B64995">
        <w:rPr>
          <w:lang w:eastAsia="en-GB"/>
        </w:rPr>
        <w:lastRenderedPageBreak/>
        <w:t>2.2</w:t>
      </w:r>
      <w:r w:rsidRPr="00B64995">
        <w:rPr>
          <w:lang w:eastAsia="en-GB"/>
        </w:rPr>
        <w:tab/>
      </w:r>
      <w:r w:rsidR="36D264FA" w:rsidRPr="00B64995">
        <w:rPr>
          <w:lang w:eastAsia="en-GB"/>
        </w:rPr>
        <w:t>ITU-T</w:t>
      </w:r>
      <w:bookmarkEnd w:id="102"/>
      <w:bookmarkEnd w:id="103"/>
      <w:bookmarkEnd w:id="104"/>
      <w:bookmarkEnd w:id="105"/>
    </w:p>
    <w:p w14:paraId="1FE2DD96" w14:textId="77777777" w:rsidR="00B34A57" w:rsidRPr="00B64995" w:rsidRDefault="00B34A57" w:rsidP="00614D53">
      <w:pPr>
        <w:jc w:val="both"/>
        <w:textAlignment w:val="baseline"/>
        <w:rPr>
          <w:rFonts w:eastAsia="Times New Roman"/>
          <w:lang w:eastAsia="en-GB"/>
        </w:rPr>
      </w:pPr>
    </w:p>
    <w:p w14:paraId="5E0AC8D9" w14:textId="371A152E" w:rsidR="0049723A" w:rsidRPr="00B64995" w:rsidRDefault="003A0651" w:rsidP="00614D53">
      <w:pPr>
        <w:jc w:val="both"/>
      </w:pPr>
      <w:bookmarkStart w:id="106" w:name="_Hlk37076134"/>
      <w:bookmarkStart w:id="107" w:name="_Hlk35960599"/>
      <w:r w:rsidRPr="00B64995">
        <w:t xml:space="preserve">TSB has developed modern tools and </w:t>
      </w:r>
      <w:r w:rsidR="7104C289" w:rsidRPr="00B64995">
        <w:t xml:space="preserve">introduced </w:t>
      </w:r>
      <w:r w:rsidRPr="00B64995">
        <w:t xml:space="preserve">significant improvements to </w:t>
      </w:r>
      <w:r w:rsidR="1A4F197C" w:rsidRPr="00B64995">
        <w:t xml:space="preserve">the </w:t>
      </w:r>
      <w:r w:rsidRPr="00B64995">
        <w:t>working methods</w:t>
      </w:r>
      <w:r w:rsidR="063C807A" w:rsidRPr="00B64995">
        <w:t xml:space="preserve"> of the Bureau</w:t>
      </w:r>
      <w:r w:rsidRPr="00B64995">
        <w:t xml:space="preserve">, contributing to enhancing </w:t>
      </w:r>
      <w:r w:rsidR="334F07D5" w:rsidRPr="00B64995">
        <w:t xml:space="preserve">the </w:t>
      </w:r>
      <w:r w:rsidRPr="00B64995">
        <w:t xml:space="preserve">services provided to </w:t>
      </w:r>
      <w:r w:rsidR="54FC5046" w:rsidRPr="00B64995">
        <w:t xml:space="preserve">its </w:t>
      </w:r>
      <w:r w:rsidRPr="00B64995">
        <w:t xml:space="preserve">membership. Indeed, </w:t>
      </w:r>
      <w:r w:rsidR="73281B3A" w:rsidRPr="00B64995">
        <w:t>2020 has highlighted the value of ITU-T’s electronic working environment</w:t>
      </w:r>
      <w:r w:rsidR="5257A4DA" w:rsidRPr="00B64995">
        <w:t xml:space="preserve">, which </w:t>
      </w:r>
      <w:r w:rsidR="2AE69A09" w:rsidRPr="00B64995">
        <w:t>had received an important upgrade during the year</w:t>
      </w:r>
      <w:r w:rsidR="73281B3A" w:rsidRPr="00B64995">
        <w:t>.</w:t>
      </w:r>
      <w:r w:rsidR="00F11927" w:rsidRPr="00B64995">
        <w:t xml:space="preserve"> </w:t>
      </w:r>
      <w:r w:rsidR="73281B3A" w:rsidRPr="00B64995">
        <w:t>Virtual meetings and electronic working methods have come to form the principal platform for ITU standardization work as part of the global response to COVID-19</w:t>
      </w:r>
      <w:r w:rsidRPr="00B64995">
        <w:t xml:space="preserve"> (see </w:t>
      </w:r>
      <w:r w:rsidR="007F05EB" w:rsidRPr="00B64995">
        <w:t>section</w:t>
      </w:r>
      <w:r w:rsidRPr="00B64995">
        <w:t xml:space="preserve"> 1.8)</w:t>
      </w:r>
      <w:r w:rsidR="73281B3A" w:rsidRPr="00B64995">
        <w:t>.</w:t>
      </w:r>
    </w:p>
    <w:p w14:paraId="5FECF675" w14:textId="677DBEBA" w:rsidR="00210D94" w:rsidRPr="00B64995" w:rsidRDefault="00210D94" w:rsidP="00614D53">
      <w:pPr>
        <w:jc w:val="both"/>
      </w:pPr>
    </w:p>
    <w:p w14:paraId="6B527284" w14:textId="36982FA2" w:rsidR="00B34A57" w:rsidRPr="00B64995" w:rsidRDefault="009002E1" w:rsidP="00614D53">
      <w:pPr>
        <w:jc w:val="both"/>
      </w:pPr>
      <w:r w:rsidRPr="00B64995">
        <w:t xml:space="preserve">The </w:t>
      </w:r>
      <w:r w:rsidR="73281B3A" w:rsidRPr="00B64995">
        <w:t>ITU members</w:t>
      </w:r>
      <w:r w:rsidRPr="00B64995">
        <w:t>hip</w:t>
      </w:r>
      <w:r w:rsidR="73281B3A" w:rsidRPr="00B64995">
        <w:t xml:space="preserve"> engaged in standards development and preparations for the ITU World Telecommun</w:t>
      </w:r>
      <w:r w:rsidR="1E943757" w:rsidRPr="00B64995">
        <w:t>i</w:t>
      </w:r>
      <w:r w:rsidR="73281B3A" w:rsidRPr="00B64995">
        <w:t xml:space="preserve">cation Standardization Assembly (WTSA-20) are making optimal use of the personalized </w:t>
      </w:r>
      <w:hyperlink r:id="rId417">
        <w:proofErr w:type="spellStart"/>
        <w:r w:rsidR="73281B3A" w:rsidRPr="00B64995">
          <w:rPr>
            <w:rStyle w:val="Hyperlink"/>
          </w:rPr>
          <w:t>MyWorkspace</w:t>
        </w:r>
        <w:proofErr w:type="spellEnd"/>
      </w:hyperlink>
      <w:r w:rsidR="73281B3A" w:rsidRPr="00A060FE">
        <w:t xml:space="preserve"> pl</w:t>
      </w:r>
      <w:r w:rsidR="73281B3A" w:rsidRPr="00B64995">
        <w:t xml:space="preserve">atform and </w:t>
      </w:r>
      <w:r w:rsidR="3FBC323A" w:rsidRPr="00B64995">
        <w:t xml:space="preserve">its </w:t>
      </w:r>
      <w:r w:rsidR="73281B3A" w:rsidRPr="00B64995">
        <w:t>associated services and tools</w:t>
      </w:r>
      <w:r w:rsidR="00912F04" w:rsidRPr="00B64995">
        <w:t xml:space="preserve">, such as </w:t>
      </w:r>
      <w:proofErr w:type="spellStart"/>
      <w:r w:rsidR="00912F04" w:rsidRPr="00B64995">
        <w:t>MyMeetings</w:t>
      </w:r>
      <w:proofErr w:type="spellEnd"/>
      <w:r w:rsidR="00912F04" w:rsidRPr="00B64995">
        <w:t>,</w:t>
      </w:r>
      <w:r w:rsidR="5897B379" w:rsidRPr="00B64995">
        <w:t xml:space="preserve"> developed by TSB</w:t>
      </w:r>
      <w:r w:rsidR="73281B3A" w:rsidRPr="00B64995">
        <w:t xml:space="preserve">. </w:t>
      </w:r>
      <w:r w:rsidR="00C65AC5" w:rsidRPr="00B64995">
        <w:t xml:space="preserve">The </w:t>
      </w:r>
      <w:r w:rsidR="73281B3A" w:rsidRPr="00B64995">
        <w:t>ITU members</w:t>
      </w:r>
      <w:r w:rsidR="00C65AC5" w:rsidRPr="00B64995">
        <w:t>hip</w:t>
      </w:r>
      <w:r w:rsidR="73281B3A" w:rsidRPr="00B64995">
        <w:t xml:space="preserve"> and TSB staff are working in close collaboration to </w:t>
      </w:r>
      <w:r w:rsidR="6AF8550C" w:rsidRPr="00B64995">
        <w:t xml:space="preserve">facilitate </w:t>
      </w:r>
      <w:r w:rsidR="73281B3A" w:rsidRPr="00B64995">
        <w:t>the behavioural change necessary to achieve ITU-T’s targets for 2020.</w:t>
      </w:r>
      <w:bookmarkEnd w:id="106"/>
      <w:bookmarkEnd w:id="107"/>
    </w:p>
    <w:p w14:paraId="18D4DA6B" w14:textId="77777777" w:rsidR="00F60753" w:rsidRPr="00B64995" w:rsidRDefault="00F60753" w:rsidP="00614D53">
      <w:pPr>
        <w:jc w:val="both"/>
      </w:pPr>
    </w:p>
    <w:p w14:paraId="70C54F43" w14:textId="00760C15" w:rsidR="00CB2842" w:rsidRPr="00B64995" w:rsidRDefault="00F60753" w:rsidP="00614D53">
      <w:pPr>
        <w:jc w:val="both"/>
      </w:pPr>
      <w:r w:rsidRPr="00B64995">
        <w:t xml:space="preserve">Highlights of the </w:t>
      </w:r>
      <w:r w:rsidR="007D196B" w:rsidRPr="00B64995">
        <w:t xml:space="preserve">main </w:t>
      </w:r>
      <w:r w:rsidRPr="00B64995">
        <w:t>improvements introduced in 2019-2020:</w:t>
      </w:r>
    </w:p>
    <w:p w14:paraId="27CA4908" w14:textId="15BE0362" w:rsidR="00B34A57" w:rsidRPr="00B64995" w:rsidRDefault="00B34A57" w:rsidP="005C693B">
      <w:pPr>
        <w:pStyle w:val="ListParagraph"/>
        <w:numPr>
          <w:ilvl w:val="1"/>
          <w:numId w:val="9"/>
        </w:numPr>
        <w:ind w:left="360"/>
        <w:jc w:val="both"/>
        <w:rPr>
          <w:rFonts w:cs="Calibri"/>
          <w:lang w:val="en-GB"/>
        </w:rPr>
      </w:pPr>
      <w:proofErr w:type="spellStart"/>
      <w:r w:rsidRPr="00B64995">
        <w:rPr>
          <w:rFonts w:cs="Calibri"/>
          <w:b/>
          <w:lang w:val="en-GB"/>
        </w:rPr>
        <w:t>MyWorkspace</w:t>
      </w:r>
      <w:proofErr w:type="spellEnd"/>
      <w:r w:rsidR="008A4C67" w:rsidRPr="00B64995">
        <w:rPr>
          <w:rFonts w:cs="Calibri"/>
          <w:lang w:val="en-GB"/>
        </w:rPr>
        <w:t xml:space="preserve">. </w:t>
      </w:r>
      <w:hyperlink r:id="rId418">
        <w:proofErr w:type="spellStart"/>
        <w:r w:rsidRPr="00B64995">
          <w:rPr>
            <w:rStyle w:val="Hyperlink"/>
            <w:rFonts w:cs="Calibri"/>
            <w:lang w:val="en-GB"/>
          </w:rPr>
          <w:t>MyWorkspace</w:t>
        </w:r>
        <w:proofErr w:type="spellEnd"/>
      </w:hyperlink>
      <w:r w:rsidRPr="00A060FE">
        <w:rPr>
          <w:rFonts w:cs="Calibri"/>
          <w:lang w:val="en-GB"/>
        </w:rPr>
        <w:t xml:space="preserve"> is a set of mobile-friendly tools and services </w:t>
      </w:r>
      <w:r w:rsidR="007D196B" w:rsidRPr="00B64995">
        <w:rPr>
          <w:rFonts w:cs="Calibri"/>
          <w:lang w:val="en-GB"/>
        </w:rPr>
        <w:t xml:space="preserve">introduced in 2017 </w:t>
      </w:r>
      <w:r w:rsidR="007B7CA0" w:rsidRPr="00B64995">
        <w:rPr>
          <w:rFonts w:cs="Calibri"/>
          <w:lang w:val="en-GB"/>
        </w:rPr>
        <w:t xml:space="preserve">in response to WTSA Resolution 32 </w:t>
      </w:r>
      <w:r w:rsidRPr="00B64995">
        <w:rPr>
          <w:rFonts w:cs="Calibri"/>
          <w:lang w:val="en-GB"/>
        </w:rPr>
        <w:t>to facilitate the work of ITU-T experts. Version 3.</w:t>
      </w:r>
      <w:r w:rsidR="00912F04" w:rsidRPr="00B64995">
        <w:rPr>
          <w:rFonts w:cs="Calibri"/>
          <w:lang w:val="en-GB"/>
        </w:rPr>
        <w:t xml:space="preserve">2 </w:t>
      </w:r>
      <w:r w:rsidR="007B7CA0" w:rsidRPr="00B64995">
        <w:rPr>
          <w:rFonts w:cs="Calibri"/>
          <w:lang w:val="en-GB"/>
        </w:rPr>
        <w:t>of the platform</w:t>
      </w:r>
      <w:r w:rsidR="007D196B" w:rsidRPr="00B64995">
        <w:rPr>
          <w:rFonts w:cs="Calibri"/>
          <w:lang w:val="en-GB"/>
        </w:rPr>
        <w:t xml:space="preserve">, released in </w:t>
      </w:r>
      <w:r w:rsidR="000874C3" w:rsidRPr="00B64995">
        <w:rPr>
          <w:rFonts w:cs="Calibri"/>
          <w:lang w:val="en-GB"/>
        </w:rPr>
        <w:t>November 2020</w:t>
      </w:r>
      <w:r w:rsidR="007D196B" w:rsidRPr="00B64995">
        <w:rPr>
          <w:rFonts w:cs="Calibri"/>
          <w:lang w:val="en-GB"/>
        </w:rPr>
        <w:t>,</w:t>
      </w:r>
      <w:r w:rsidRPr="00B64995">
        <w:rPr>
          <w:rFonts w:cs="Calibri"/>
          <w:lang w:val="en-GB"/>
        </w:rPr>
        <w:t xml:space="preserve"> enhances the user interface </w:t>
      </w:r>
      <w:r w:rsidR="0075370A" w:rsidRPr="00B64995">
        <w:rPr>
          <w:rFonts w:cs="Calibri"/>
          <w:lang w:val="en-GB"/>
        </w:rPr>
        <w:t>with a simple and modern design, and improved performance</w:t>
      </w:r>
      <w:r w:rsidRPr="00B64995">
        <w:rPr>
          <w:rFonts w:cs="Calibri"/>
          <w:lang w:val="en-GB"/>
        </w:rPr>
        <w:t xml:space="preserve">. </w:t>
      </w:r>
      <w:proofErr w:type="spellStart"/>
      <w:r w:rsidRPr="00B64995">
        <w:rPr>
          <w:rFonts w:cs="Calibri"/>
          <w:lang w:val="en-GB"/>
        </w:rPr>
        <w:t>MyWorkspace</w:t>
      </w:r>
      <w:proofErr w:type="spellEnd"/>
      <w:r w:rsidRPr="00B64995">
        <w:rPr>
          <w:rFonts w:cs="Calibri"/>
          <w:lang w:val="en-GB"/>
        </w:rPr>
        <w:t xml:space="preserve"> is accessible through a responsive </w:t>
      </w:r>
      <w:r w:rsidR="00761567" w:rsidRPr="00B64995">
        <w:rPr>
          <w:rFonts w:cs="Calibri"/>
          <w:lang w:val="en-GB"/>
        </w:rPr>
        <w:t>web application (PWA)</w:t>
      </w:r>
      <w:r w:rsidR="009E6922" w:rsidRPr="00B64995">
        <w:rPr>
          <w:rFonts w:cs="Calibri"/>
          <w:lang w:val="en-GB"/>
        </w:rPr>
        <w:t xml:space="preserve"> allowing users to use the platform on their various devices with the best possible experience without any additional </w:t>
      </w:r>
      <w:proofErr w:type="gramStart"/>
      <w:r w:rsidR="009E6922" w:rsidRPr="00B64995">
        <w:rPr>
          <w:rFonts w:cs="Calibri"/>
          <w:lang w:val="en-GB"/>
        </w:rPr>
        <w:t>installation</w:t>
      </w:r>
      <w:r w:rsidR="009E6922" w:rsidRPr="00B64995" w:rsidDel="00761567">
        <w:rPr>
          <w:rFonts w:cs="Calibri"/>
          <w:lang w:val="en-GB"/>
        </w:rPr>
        <w:t xml:space="preserve"> </w:t>
      </w:r>
      <w:r w:rsidRPr="00B64995">
        <w:rPr>
          <w:rFonts w:cs="Calibri"/>
          <w:lang w:val="en-GB"/>
        </w:rPr>
        <w:t>.</w:t>
      </w:r>
      <w:proofErr w:type="gramEnd"/>
      <w:r w:rsidRPr="00B64995">
        <w:rPr>
          <w:rFonts w:cs="Calibri"/>
          <w:lang w:val="en-GB"/>
        </w:rPr>
        <w:t xml:space="preserve"> Secure access to </w:t>
      </w:r>
      <w:proofErr w:type="spellStart"/>
      <w:r w:rsidRPr="00B64995">
        <w:rPr>
          <w:rFonts w:cs="Calibri"/>
          <w:lang w:val="en-GB"/>
        </w:rPr>
        <w:t>MyWorkspace</w:t>
      </w:r>
      <w:proofErr w:type="spellEnd"/>
      <w:r w:rsidRPr="00B64995">
        <w:rPr>
          <w:rFonts w:cs="Calibri"/>
          <w:lang w:val="en-GB"/>
        </w:rPr>
        <w:t xml:space="preserve"> is enabled through ITU User Account (TIES) credentials.</w:t>
      </w:r>
      <w:r w:rsidR="36998101" w:rsidRPr="00B64995">
        <w:rPr>
          <w:rFonts w:cs="Calibri"/>
          <w:lang w:val="en-GB"/>
        </w:rPr>
        <w:t xml:space="preserve"> </w:t>
      </w:r>
      <w:r w:rsidRPr="00B64995">
        <w:rPr>
          <w:rFonts w:cs="Calibri"/>
          <w:lang w:val="en-GB"/>
        </w:rPr>
        <w:t>The following services are available from the platform:</w:t>
      </w:r>
    </w:p>
    <w:p w14:paraId="0B8C15DD" w14:textId="6C702CA4" w:rsidR="00ED7A76" w:rsidRPr="00B64995" w:rsidRDefault="00570F0C" w:rsidP="005119ED">
      <w:pPr>
        <w:pStyle w:val="paragraph"/>
        <w:numPr>
          <w:ilvl w:val="0"/>
          <w:numId w:val="12"/>
        </w:numPr>
        <w:spacing w:before="120" w:beforeAutospacing="0" w:after="0" w:afterAutospacing="0"/>
        <w:jc w:val="both"/>
        <w:textAlignment w:val="baseline"/>
        <w:rPr>
          <w:rFonts w:asciiTheme="minorHAnsi" w:hAnsiTheme="minorHAnsi" w:cstheme="minorHAnsi"/>
          <w:sz w:val="22"/>
          <w:szCs w:val="22"/>
        </w:rPr>
      </w:pPr>
      <w:hyperlink r:id="rId419" w:anchor="/MyMeetings" w:tgtFrame="_blank" w:history="1">
        <w:proofErr w:type="spellStart"/>
        <w:r w:rsidR="00ED7A76" w:rsidRPr="00B64995">
          <w:rPr>
            <w:rStyle w:val="normaltextrun"/>
            <w:rFonts w:asciiTheme="minorHAnsi" w:hAnsiTheme="minorHAnsi" w:cstheme="minorHAnsi"/>
            <w:color w:val="0000FF"/>
            <w:sz w:val="22"/>
            <w:szCs w:val="22"/>
            <w:u w:val="single"/>
          </w:rPr>
          <w:t>MyMeetings</w:t>
        </w:r>
        <w:proofErr w:type="spellEnd"/>
      </w:hyperlink>
      <w:r w:rsidR="00ED7A76" w:rsidRPr="00A060FE">
        <w:rPr>
          <w:rStyle w:val="normaltextrun"/>
          <w:rFonts w:asciiTheme="minorHAnsi" w:hAnsiTheme="minorHAnsi" w:cstheme="minorHAnsi"/>
          <w:sz w:val="22"/>
          <w:szCs w:val="22"/>
        </w:rPr>
        <w:t xml:space="preserve">: </w:t>
      </w:r>
      <w:r w:rsidR="00ED7A76" w:rsidRPr="00B64995">
        <w:rPr>
          <w:rStyle w:val="normaltextrun"/>
          <w:rFonts w:asciiTheme="minorHAnsi" w:hAnsiTheme="minorHAnsi" w:cstheme="minorHAnsi"/>
          <w:color w:val="000000"/>
          <w:sz w:val="22"/>
          <w:szCs w:val="22"/>
        </w:rPr>
        <w:t xml:space="preserve">Remote participation service based on an open-source solution customized in-house to support </w:t>
      </w:r>
      <w:r w:rsidR="00DE1F4D" w:rsidRPr="00B64995">
        <w:rPr>
          <w:rStyle w:val="normaltextrun"/>
          <w:rFonts w:asciiTheme="minorHAnsi" w:hAnsiTheme="minorHAnsi" w:cstheme="minorHAnsi"/>
          <w:color w:val="000000"/>
          <w:sz w:val="22"/>
          <w:szCs w:val="22"/>
        </w:rPr>
        <w:t xml:space="preserve">the </w:t>
      </w:r>
      <w:r w:rsidR="00ED7A76" w:rsidRPr="00B64995">
        <w:rPr>
          <w:rStyle w:val="normaltextrun"/>
          <w:rFonts w:asciiTheme="minorHAnsi" w:hAnsiTheme="minorHAnsi" w:cstheme="minorHAnsi"/>
          <w:color w:val="000000"/>
          <w:sz w:val="22"/>
          <w:szCs w:val="22"/>
        </w:rPr>
        <w:t>requirements of both statutory and non-statutory ITU-T meetings.</w:t>
      </w:r>
    </w:p>
    <w:p w14:paraId="182F6D98" w14:textId="205D91ED" w:rsidR="00ED7A76" w:rsidRPr="00B64995" w:rsidRDefault="00570F0C" w:rsidP="005119ED">
      <w:pPr>
        <w:pStyle w:val="paragraph"/>
        <w:numPr>
          <w:ilvl w:val="0"/>
          <w:numId w:val="12"/>
        </w:numPr>
        <w:spacing w:before="120" w:beforeAutospacing="0" w:after="0" w:afterAutospacing="0"/>
        <w:jc w:val="both"/>
        <w:textAlignment w:val="baseline"/>
        <w:rPr>
          <w:rFonts w:asciiTheme="minorHAnsi" w:hAnsiTheme="minorHAnsi" w:cstheme="minorHAnsi"/>
          <w:sz w:val="22"/>
          <w:szCs w:val="22"/>
        </w:rPr>
      </w:pPr>
      <w:hyperlink r:id="rId420" w:anchor="/Myevents" w:tgtFrame="_blank" w:history="1">
        <w:proofErr w:type="spellStart"/>
        <w:r w:rsidR="00ED7A76" w:rsidRPr="00B64995">
          <w:rPr>
            <w:rStyle w:val="normaltextrun"/>
            <w:rFonts w:asciiTheme="minorHAnsi" w:hAnsiTheme="minorHAnsi" w:cstheme="minorHAnsi"/>
            <w:color w:val="0000FF"/>
            <w:sz w:val="22"/>
            <w:szCs w:val="22"/>
            <w:u w:val="single"/>
          </w:rPr>
          <w:t>MyEvents</w:t>
        </w:r>
        <w:proofErr w:type="spellEnd"/>
      </w:hyperlink>
      <w:r w:rsidR="00ED7A76" w:rsidRPr="00A060FE">
        <w:rPr>
          <w:rStyle w:val="normaltextrun"/>
          <w:rFonts w:asciiTheme="minorHAnsi" w:hAnsiTheme="minorHAnsi" w:cstheme="minorHAnsi"/>
          <w:color w:val="000000"/>
          <w:sz w:val="22"/>
          <w:szCs w:val="22"/>
        </w:rPr>
        <w:t xml:space="preserve">: Events management platform, which provides </w:t>
      </w:r>
      <w:r w:rsidR="00DE1F4D" w:rsidRPr="00B64995">
        <w:rPr>
          <w:rStyle w:val="normaltextrun"/>
          <w:rFonts w:asciiTheme="minorHAnsi" w:hAnsiTheme="minorHAnsi" w:cstheme="minorHAnsi"/>
          <w:color w:val="000000"/>
          <w:sz w:val="22"/>
          <w:szCs w:val="22"/>
        </w:rPr>
        <w:t xml:space="preserve">a </w:t>
      </w:r>
      <w:r w:rsidR="00ED7A76" w:rsidRPr="00B64995">
        <w:rPr>
          <w:rStyle w:val="normaltextrun"/>
          <w:rFonts w:asciiTheme="minorHAnsi" w:hAnsiTheme="minorHAnsi" w:cstheme="minorHAnsi"/>
          <w:color w:val="000000"/>
          <w:sz w:val="22"/>
          <w:szCs w:val="22"/>
        </w:rPr>
        <w:t>real time ITU-T events agenda, list</w:t>
      </w:r>
      <w:r w:rsidR="00DE1F4D" w:rsidRPr="00B64995">
        <w:rPr>
          <w:rStyle w:val="normaltextrun"/>
          <w:rFonts w:asciiTheme="minorHAnsi" w:hAnsiTheme="minorHAnsi" w:cstheme="minorHAnsi"/>
          <w:color w:val="000000"/>
          <w:sz w:val="22"/>
          <w:szCs w:val="22"/>
        </w:rPr>
        <w:t>s</w:t>
      </w:r>
      <w:r w:rsidR="00ED7A76" w:rsidRPr="00B64995">
        <w:rPr>
          <w:rStyle w:val="normaltextrun"/>
          <w:rFonts w:asciiTheme="minorHAnsi" w:hAnsiTheme="minorHAnsi" w:cstheme="minorHAnsi"/>
          <w:color w:val="000000"/>
          <w:sz w:val="22"/>
          <w:szCs w:val="22"/>
        </w:rPr>
        <w:t xml:space="preserve"> of registered participants, speakers, and exhibitors, </w:t>
      </w:r>
      <w:r w:rsidR="00DE1F4D" w:rsidRPr="00B64995">
        <w:rPr>
          <w:rStyle w:val="normaltextrun"/>
          <w:rFonts w:asciiTheme="minorHAnsi" w:hAnsiTheme="minorHAnsi" w:cstheme="minorHAnsi"/>
          <w:color w:val="000000"/>
          <w:sz w:val="22"/>
          <w:szCs w:val="22"/>
        </w:rPr>
        <w:t xml:space="preserve">and </w:t>
      </w:r>
      <w:r w:rsidR="00ED7A76" w:rsidRPr="00B64995">
        <w:rPr>
          <w:rStyle w:val="normaltextrun"/>
          <w:rFonts w:asciiTheme="minorHAnsi" w:hAnsiTheme="minorHAnsi" w:cstheme="minorHAnsi"/>
          <w:color w:val="000000"/>
          <w:sz w:val="22"/>
          <w:szCs w:val="22"/>
        </w:rPr>
        <w:t xml:space="preserve">a ‘matchmaking’ function to </w:t>
      </w:r>
      <w:r w:rsidR="00DE1F4D" w:rsidRPr="00B64995">
        <w:rPr>
          <w:rStyle w:val="normaltextrun"/>
          <w:rFonts w:asciiTheme="minorHAnsi" w:hAnsiTheme="minorHAnsi" w:cstheme="minorHAnsi"/>
          <w:color w:val="000000"/>
          <w:sz w:val="22"/>
          <w:szCs w:val="22"/>
        </w:rPr>
        <w:t xml:space="preserve">facilitate </w:t>
      </w:r>
      <w:r w:rsidR="00ED7A76" w:rsidRPr="00B64995">
        <w:rPr>
          <w:rStyle w:val="normaltextrun"/>
          <w:rFonts w:asciiTheme="minorHAnsi" w:hAnsiTheme="minorHAnsi" w:cstheme="minorHAnsi"/>
          <w:color w:val="000000"/>
          <w:sz w:val="22"/>
          <w:szCs w:val="22"/>
        </w:rPr>
        <w:t>networking among participants.</w:t>
      </w:r>
    </w:p>
    <w:p w14:paraId="6E8C1D6F" w14:textId="1848DDE1" w:rsidR="00ED7A76" w:rsidRPr="00B64995" w:rsidRDefault="00570F0C" w:rsidP="005119ED">
      <w:pPr>
        <w:pStyle w:val="paragraph"/>
        <w:numPr>
          <w:ilvl w:val="0"/>
          <w:numId w:val="12"/>
        </w:numPr>
        <w:spacing w:before="120" w:beforeAutospacing="0" w:after="0" w:afterAutospacing="0"/>
        <w:jc w:val="both"/>
        <w:textAlignment w:val="baseline"/>
        <w:rPr>
          <w:rFonts w:asciiTheme="minorHAnsi" w:hAnsiTheme="minorHAnsi" w:cstheme="minorHAnsi"/>
          <w:sz w:val="22"/>
          <w:szCs w:val="22"/>
        </w:rPr>
      </w:pPr>
      <w:hyperlink r:id="rId421" w:anchor="/Translate" w:tgtFrame="_blank" w:history="1">
        <w:r w:rsidR="00ED7A76" w:rsidRPr="00B64995">
          <w:rPr>
            <w:rStyle w:val="normaltextrun"/>
            <w:rFonts w:asciiTheme="minorHAnsi" w:hAnsiTheme="minorHAnsi" w:cstheme="minorHAnsi"/>
            <w:color w:val="0000FF"/>
            <w:sz w:val="22"/>
            <w:szCs w:val="22"/>
            <w:u w:val="single"/>
          </w:rPr>
          <w:t>ITU Translate</w:t>
        </w:r>
      </w:hyperlink>
      <w:r w:rsidR="00ED7A76" w:rsidRPr="00A060FE">
        <w:rPr>
          <w:rStyle w:val="normaltextrun"/>
          <w:rFonts w:asciiTheme="minorHAnsi" w:hAnsiTheme="minorHAnsi" w:cstheme="minorHAnsi"/>
          <w:color w:val="000000"/>
          <w:sz w:val="22"/>
          <w:szCs w:val="22"/>
        </w:rPr>
        <w:t xml:space="preserve">: Machine translation tool based on neural network </w:t>
      </w:r>
      <w:r w:rsidR="00DE1F4D" w:rsidRPr="00B64995">
        <w:rPr>
          <w:rStyle w:val="normaltextrun"/>
          <w:rFonts w:asciiTheme="minorHAnsi" w:hAnsiTheme="minorHAnsi" w:cstheme="minorHAnsi"/>
          <w:color w:val="000000"/>
          <w:sz w:val="22"/>
          <w:szCs w:val="22"/>
        </w:rPr>
        <w:t xml:space="preserve">technology </w:t>
      </w:r>
      <w:r w:rsidR="00ED7A76" w:rsidRPr="00B64995">
        <w:rPr>
          <w:rStyle w:val="normaltextrun"/>
          <w:rFonts w:asciiTheme="minorHAnsi" w:hAnsiTheme="minorHAnsi" w:cstheme="minorHAnsi"/>
          <w:color w:val="000000"/>
          <w:sz w:val="22"/>
          <w:szCs w:val="22"/>
        </w:rPr>
        <w:t xml:space="preserve">trained on </w:t>
      </w:r>
      <w:r w:rsidR="00DE1F4D" w:rsidRPr="00B64995">
        <w:rPr>
          <w:rStyle w:val="normaltextrun"/>
          <w:rFonts w:asciiTheme="minorHAnsi" w:hAnsiTheme="minorHAnsi" w:cstheme="minorHAnsi"/>
          <w:color w:val="000000"/>
          <w:sz w:val="22"/>
          <w:szCs w:val="22"/>
        </w:rPr>
        <w:t xml:space="preserve">official translations of </w:t>
      </w:r>
      <w:r w:rsidR="00ED7A76" w:rsidRPr="00B64995">
        <w:rPr>
          <w:rStyle w:val="normaltextrun"/>
          <w:rFonts w:asciiTheme="minorHAnsi" w:hAnsiTheme="minorHAnsi" w:cstheme="minorHAnsi"/>
          <w:color w:val="000000"/>
          <w:sz w:val="22"/>
          <w:szCs w:val="22"/>
        </w:rPr>
        <w:t xml:space="preserve">ITU documents </w:t>
      </w:r>
      <w:r w:rsidR="00DE1F4D" w:rsidRPr="00B64995">
        <w:rPr>
          <w:rStyle w:val="normaltextrun"/>
          <w:rFonts w:asciiTheme="minorHAnsi" w:hAnsiTheme="minorHAnsi" w:cstheme="minorHAnsi"/>
          <w:color w:val="000000"/>
          <w:sz w:val="22"/>
          <w:szCs w:val="22"/>
        </w:rPr>
        <w:t xml:space="preserve">and </w:t>
      </w:r>
      <w:r w:rsidR="00ED7A76" w:rsidRPr="00B64995">
        <w:rPr>
          <w:rStyle w:val="normaltextrun"/>
          <w:rFonts w:asciiTheme="minorHAnsi" w:hAnsiTheme="minorHAnsi" w:cstheme="minorHAnsi"/>
          <w:color w:val="000000"/>
          <w:sz w:val="22"/>
          <w:szCs w:val="22"/>
        </w:rPr>
        <w:t>supporting the six official languages.</w:t>
      </w:r>
    </w:p>
    <w:p w14:paraId="10521487" w14:textId="77777777" w:rsidR="00ED7A76" w:rsidRPr="00B64995" w:rsidRDefault="00570F0C" w:rsidP="005119ED">
      <w:pPr>
        <w:pStyle w:val="paragraph"/>
        <w:numPr>
          <w:ilvl w:val="0"/>
          <w:numId w:val="12"/>
        </w:numPr>
        <w:spacing w:before="120" w:beforeAutospacing="0" w:after="0" w:afterAutospacing="0"/>
        <w:jc w:val="both"/>
        <w:textAlignment w:val="baseline"/>
        <w:rPr>
          <w:rStyle w:val="normaltextrun"/>
          <w:rFonts w:asciiTheme="minorHAnsi" w:eastAsiaTheme="minorHAnsi" w:hAnsiTheme="minorHAnsi" w:cstheme="minorHAnsi"/>
          <w:sz w:val="22"/>
          <w:szCs w:val="22"/>
        </w:rPr>
      </w:pPr>
      <w:hyperlink r:id="rId422" w:tgtFrame="_blank" w:history="1">
        <w:r w:rsidR="00ED7A76" w:rsidRPr="00B64995">
          <w:rPr>
            <w:rStyle w:val="Hyperlink"/>
            <w:rFonts w:asciiTheme="minorHAnsi" w:hAnsiTheme="minorHAnsi" w:cstheme="minorHAnsi"/>
            <w:sz w:val="22"/>
            <w:szCs w:val="22"/>
          </w:rPr>
          <w:t>ITU-T Cloud</w:t>
        </w:r>
      </w:hyperlink>
      <w:r w:rsidR="00ED7A76" w:rsidRPr="00A060FE">
        <w:rPr>
          <w:rStyle w:val="normaltextrun"/>
          <w:rFonts w:asciiTheme="minorHAnsi" w:hAnsiTheme="minorHAnsi" w:cstheme="minorHAnsi"/>
          <w:color w:val="000000"/>
          <w:sz w:val="22"/>
          <w:szCs w:val="22"/>
        </w:rPr>
        <w:t>: ITU premises storage service allowing users to share and exchange files up to 10 GB per user.</w:t>
      </w:r>
    </w:p>
    <w:p w14:paraId="37EA336B" w14:textId="77777777" w:rsidR="00ED7A76" w:rsidRPr="00B64995" w:rsidRDefault="00570F0C" w:rsidP="005119ED">
      <w:pPr>
        <w:numPr>
          <w:ilvl w:val="0"/>
          <w:numId w:val="12"/>
        </w:numPr>
        <w:overflowPunct w:val="0"/>
        <w:autoSpaceDE w:val="0"/>
        <w:autoSpaceDN w:val="0"/>
        <w:spacing w:before="120" w:line="252" w:lineRule="auto"/>
        <w:jc w:val="both"/>
        <w:textAlignment w:val="baseline"/>
        <w:rPr>
          <w:rFonts w:asciiTheme="minorHAnsi" w:eastAsia="Times New Roman" w:hAnsiTheme="minorHAnsi" w:cstheme="minorHAnsi"/>
        </w:rPr>
      </w:pPr>
      <w:hyperlink r:id="rId423" w:anchor="/Calendar" w:history="1">
        <w:r w:rsidR="00ED7A76" w:rsidRPr="00B64995">
          <w:rPr>
            <w:rStyle w:val="Hyperlink"/>
            <w:rFonts w:asciiTheme="minorHAnsi" w:eastAsia="Times New Roman" w:hAnsiTheme="minorHAnsi" w:cstheme="minorHAnsi"/>
          </w:rPr>
          <w:t>Calendar</w:t>
        </w:r>
      </w:hyperlink>
      <w:r w:rsidR="00ED7A76" w:rsidRPr="00A060FE">
        <w:rPr>
          <w:rFonts w:asciiTheme="minorHAnsi" w:eastAsia="Times New Roman" w:hAnsiTheme="minorHAnsi" w:cstheme="minorHAnsi"/>
        </w:rPr>
        <w:t>: Monthly calendar view of all ITU events with filters on ITU sectors and ITU-T working groups.</w:t>
      </w:r>
    </w:p>
    <w:p w14:paraId="2EC36870" w14:textId="0578C825" w:rsidR="00ED7A76" w:rsidRPr="00B64995" w:rsidRDefault="00570F0C" w:rsidP="005119ED">
      <w:pPr>
        <w:pStyle w:val="paragraph"/>
        <w:numPr>
          <w:ilvl w:val="0"/>
          <w:numId w:val="12"/>
        </w:numPr>
        <w:spacing w:before="120" w:beforeAutospacing="0" w:after="0" w:afterAutospacing="0"/>
        <w:jc w:val="both"/>
        <w:textAlignment w:val="baseline"/>
        <w:rPr>
          <w:rFonts w:asciiTheme="minorHAnsi" w:hAnsiTheme="minorHAnsi" w:cstheme="minorHAnsi"/>
          <w:sz w:val="22"/>
          <w:szCs w:val="22"/>
        </w:rPr>
      </w:pPr>
      <w:hyperlink r:id="rId424" w:anchor="/Documents/MyDocuments" w:history="1">
        <w:r w:rsidR="00ED7A76" w:rsidRPr="00B64995">
          <w:rPr>
            <w:rStyle w:val="Hyperlink"/>
            <w:rFonts w:asciiTheme="minorHAnsi" w:hAnsiTheme="minorHAnsi" w:cstheme="minorHAnsi"/>
            <w:sz w:val="22"/>
            <w:szCs w:val="22"/>
          </w:rPr>
          <w:t>Documents</w:t>
        </w:r>
      </w:hyperlink>
      <w:r w:rsidR="00ED7A76" w:rsidRPr="00A060FE">
        <w:rPr>
          <w:rStyle w:val="normaltextrun"/>
          <w:rFonts w:asciiTheme="minorHAnsi" w:hAnsiTheme="minorHAnsi" w:cstheme="minorHAnsi"/>
          <w:color w:val="000000"/>
          <w:sz w:val="22"/>
          <w:szCs w:val="22"/>
        </w:rPr>
        <w:t xml:space="preserve">: </w:t>
      </w:r>
      <w:r w:rsidR="00ED7A76" w:rsidRPr="00B64995">
        <w:rPr>
          <w:rStyle w:val="normaltextrun"/>
          <w:rFonts w:asciiTheme="minorHAnsi" w:hAnsiTheme="minorHAnsi" w:cstheme="minorHAnsi"/>
          <w:color w:val="000000"/>
          <w:sz w:val="22"/>
          <w:szCs w:val="22"/>
        </w:rPr>
        <w:t xml:space="preserve">Quick access to SG meeting documents with full-text search, extensive filtering and sorting capabilities, and the ability to get machine translation of documents that are not covered by human translation (e.g. </w:t>
      </w:r>
      <w:hyperlink r:id="rId425" w:anchor="/Documents/MyDocuments/meeting=T17-SG02-201218&amp;search=&amp;type=&amp;sources=&amp;questions=" w:history="1">
        <w:r w:rsidR="006D38B9" w:rsidRPr="00B64995">
          <w:rPr>
            <w:rStyle w:val="Hyperlink"/>
            <w:rFonts w:asciiTheme="minorHAnsi" w:hAnsiTheme="minorHAnsi" w:cstheme="minorHAnsi"/>
            <w:sz w:val="22"/>
            <w:szCs w:val="22"/>
          </w:rPr>
          <w:t>SG 2</w:t>
        </w:r>
        <w:r w:rsidR="00ED7A76" w:rsidRPr="00B64995">
          <w:rPr>
            <w:rStyle w:val="Hyperlink"/>
            <w:rFonts w:asciiTheme="minorHAnsi" w:hAnsiTheme="minorHAnsi" w:cstheme="minorHAnsi"/>
            <w:sz w:val="22"/>
            <w:szCs w:val="22"/>
          </w:rPr>
          <w:t xml:space="preserve"> E-Meeting, 18 December 2020</w:t>
        </w:r>
      </w:hyperlink>
      <w:r w:rsidR="00ED7A76" w:rsidRPr="00A060FE">
        <w:rPr>
          <w:rStyle w:val="normaltextrun"/>
          <w:rFonts w:asciiTheme="minorHAnsi" w:hAnsiTheme="minorHAnsi" w:cstheme="minorHAnsi"/>
          <w:color w:val="000000"/>
          <w:sz w:val="22"/>
          <w:szCs w:val="22"/>
        </w:rPr>
        <w:t>).</w:t>
      </w:r>
    </w:p>
    <w:p w14:paraId="198A5EFE" w14:textId="77777777" w:rsidR="00ED7A76" w:rsidRPr="00B64995" w:rsidRDefault="00570F0C" w:rsidP="005119ED">
      <w:pPr>
        <w:pStyle w:val="paragraph"/>
        <w:numPr>
          <w:ilvl w:val="0"/>
          <w:numId w:val="12"/>
        </w:numPr>
        <w:spacing w:before="120" w:beforeAutospacing="0" w:after="0" w:afterAutospacing="0"/>
        <w:jc w:val="both"/>
        <w:textAlignment w:val="baseline"/>
        <w:rPr>
          <w:rFonts w:asciiTheme="minorHAnsi" w:hAnsiTheme="minorHAnsi" w:cstheme="minorHAnsi"/>
          <w:sz w:val="22"/>
          <w:szCs w:val="22"/>
        </w:rPr>
      </w:pPr>
      <w:hyperlink r:id="rId426" w:anchor="/Mailing" w:tgtFrame="_blank" w:history="1">
        <w:r w:rsidR="00ED7A76" w:rsidRPr="00B64995">
          <w:rPr>
            <w:rStyle w:val="normaltextrun"/>
            <w:rFonts w:asciiTheme="minorHAnsi" w:hAnsiTheme="minorHAnsi" w:cstheme="minorHAnsi"/>
            <w:color w:val="0000FF"/>
            <w:sz w:val="22"/>
            <w:szCs w:val="22"/>
            <w:u w:val="single"/>
          </w:rPr>
          <w:t>Mailing</w:t>
        </w:r>
      </w:hyperlink>
      <w:r w:rsidR="00ED7A76" w:rsidRPr="00A060FE">
        <w:rPr>
          <w:rStyle w:val="normaltextrun"/>
          <w:rFonts w:asciiTheme="minorHAnsi" w:hAnsiTheme="minorHAnsi" w:cstheme="minorHAnsi"/>
          <w:color w:val="000000"/>
          <w:sz w:val="22"/>
          <w:szCs w:val="22"/>
        </w:rPr>
        <w:t>: Subscription management with search function.</w:t>
      </w:r>
    </w:p>
    <w:p w14:paraId="6C6AE2A1" w14:textId="77777777" w:rsidR="00ED7A76" w:rsidRPr="00B64995" w:rsidRDefault="00570F0C" w:rsidP="005119ED">
      <w:pPr>
        <w:pStyle w:val="paragraph"/>
        <w:numPr>
          <w:ilvl w:val="0"/>
          <w:numId w:val="12"/>
        </w:numPr>
        <w:spacing w:before="120" w:beforeAutospacing="0" w:after="0" w:afterAutospacing="0"/>
        <w:jc w:val="both"/>
        <w:textAlignment w:val="baseline"/>
        <w:rPr>
          <w:rStyle w:val="normaltextrun"/>
          <w:rFonts w:asciiTheme="minorHAnsi" w:eastAsiaTheme="minorHAnsi" w:hAnsiTheme="minorHAnsi" w:cstheme="minorHAnsi"/>
          <w:sz w:val="22"/>
          <w:szCs w:val="22"/>
        </w:rPr>
      </w:pPr>
      <w:hyperlink r:id="rId427" w:anchor="/Community" w:tgtFrame="_blank" w:history="1">
        <w:r w:rsidR="00ED7A76" w:rsidRPr="00B64995">
          <w:rPr>
            <w:rStyle w:val="normaltextrun"/>
            <w:rFonts w:asciiTheme="minorHAnsi" w:hAnsiTheme="minorHAnsi" w:cstheme="minorHAnsi"/>
            <w:color w:val="0000FF"/>
            <w:sz w:val="22"/>
            <w:szCs w:val="22"/>
            <w:u w:val="single"/>
          </w:rPr>
          <w:t>Community</w:t>
        </w:r>
      </w:hyperlink>
      <w:r w:rsidR="00ED7A76" w:rsidRPr="00A060FE">
        <w:rPr>
          <w:rStyle w:val="normaltextrun"/>
          <w:rFonts w:asciiTheme="minorHAnsi" w:hAnsiTheme="minorHAnsi" w:cstheme="minorHAnsi"/>
          <w:color w:val="000000"/>
          <w:sz w:val="22"/>
          <w:szCs w:val="22"/>
        </w:rPr>
        <w:t xml:space="preserve">: </w:t>
      </w:r>
      <w:proofErr w:type="spellStart"/>
      <w:r w:rsidR="00ED7A76" w:rsidRPr="00A060FE">
        <w:rPr>
          <w:rStyle w:val="normaltextrun"/>
          <w:rFonts w:asciiTheme="minorHAnsi" w:hAnsiTheme="minorHAnsi" w:cstheme="minorHAnsi"/>
          <w:color w:val="000000"/>
          <w:sz w:val="22"/>
          <w:szCs w:val="22"/>
        </w:rPr>
        <w:t>MyWorkspace</w:t>
      </w:r>
      <w:proofErr w:type="spellEnd"/>
      <w:r w:rsidR="00ED7A76" w:rsidRPr="00B64995">
        <w:rPr>
          <w:rStyle w:val="normaltextrun"/>
          <w:rFonts w:asciiTheme="minorHAnsi" w:hAnsiTheme="minorHAnsi" w:cstheme="minorHAnsi"/>
          <w:color w:val="000000"/>
          <w:sz w:val="22"/>
          <w:szCs w:val="22"/>
        </w:rPr>
        <w:t xml:space="preserve"> user’s directory.</w:t>
      </w:r>
    </w:p>
    <w:p w14:paraId="0F809AB2" w14:textId="4FA91031" w:rsidR="00B34A57" w:rsidRPr="00B64995" w:rsidRDefault="00570F0C" w:rsidP="00425C46">
      <w:pPr>
        <w:numPr>
          <w:ilvl w:val="0"/>
          <w:numId w:val="12"/>
        </w:numPr>
        <w:spacing w:before="120"/>
        <w:jc w:val="both"/>
      </w:pPr>
      <w:hyperlink r:id="rId428" w:anchor="/profile" w:tgtFrame="_blank" w:history="1">
        <w:r w:rsidR="00ED7A76" w:rsidRPr="00B64995">
          <w:rPr>
            <w:rStyle w:val="Hyperlink"/>
            <w:rFonts w:asciiTheme="minorHAnsi" w:hAnsiTheme="minorHAnsi" w:cstheme="minorHAnsi"/>
          </w:rPr>
          <w:t>Profile and preferences</w:t>
        </w:r>
      </w:hyperlink>
      <w:r w:rsidR="00ED7A76" w:rsidRPr="00A060FE">
        <w:rPr>
          <w:rStyle w:val="normaltextrun"/>
          <w:rFonts w:asciiTheme="minorHAnsi" w:hAnsiTheme="minorHAnsi" w:cstheme="minorHAnsi"/>
          <w:color w:val="000000"/>
        </w:rPr>
        <w:t>: User personal information and interests.</w:t>
      </w:r>
    </w:p>
    <w:p w14:paraId="4B6FB7E2" w14:textId="77777777" w:rsidR="00054668" w:rsidRPr="00B64995" w:rsidRDefault="00054668" w:rsidP="00614D53">
      <w:pPr>
        <w:jc w:val="both"/>
        <w:rPr>
          <w:b/>
        </w:rPr>
      </w:pPr>
      <w:bookmarkStart w:id="108" w:name="_Toc480527871"/>
      <w:bookmarkStart w:id="109" w:name="_Toc31193739"/>
    </w:p>
    <w:p w14:paraId="7E034ED4" w14:textId="3CF9E2A5" w:rsidR="00545F4C" w:rsidRPr="00B64995" w:rsidRDefault="00545F4C" w:rsidP="00545F4C">
      <w:pPr>
        <w:pStyle w:val="ListParagraph"/>
        <w:numPr>
          <w:ilvl w:val="1"/>
          <w:numId w:val="9"/>
        </w:numPr>
        <w:ind w:left="360"/>
        <w:jc w:val="both"/>
        <w:rPr>
          <w:rFonts w:cs="Calibri"/>
          <w:b/>
          <w:bCs/>
          <w:lang w:val="en-GB"/>
        </w:rPr>
      </w:pPr>
      <w:r w:rsidRPr="00B87922">
        <w:rPr>
          <w:rFonts w:cs="Calibri"/>
          <w:b/>
          <w:bCs/>
          <w:lang w:val="fr-FR"/>
        </w:rPr>
        <w:t xml:space="preserve">ITU-T SharePoint collaboration sites. </w:t>
      </w:r>
      <w:r w:rsidRPr="00B64995">
        <w:rPr>
          <w:rFonts w:cs="Calibri"/>
          <w:lang w:val="en-GB"/>
        </w:rPr>
        <w:t>The ITU-T SharePoint collaboration sites enable participants in ITU-T working groups to conduct online discussions, work on projects, schedule meetings and manage and store documents in a secure shared environment</w:t>
      </w:r>
      <w:r w:rsidR="00EF0EC2" w:rsidRPr="00A060FE">
        <w:rPr>
          <w:rFonts w:cs="Calibri"/>
          <w:lang w:val="en-GB"/>
        </w:rPr>
        <w:t xml:space="preserve">. Most of the collaboration sites are restricted to ITU-T </w:t>
      </w:r>
      <w:r w:rsidR="00C65AC5" w:rsidRPr="00B64995">
        <w:rPr>
          <w:rFonts w:cs="Calibri"/>
          <w:lang w:val="en-GB"/>
        </w:rPr>
        <w:t xml:space="preserve">Sector </w:t>
      </w:r>
      <w:r w:rsidR="00EF0EC2" w:rsidRPr="00B64995">
        <w:rPr>
          <w:rFonts w:cs="Calibri"/>
          <w:lang w:val="en-GB"/>
        </w:rPr>
        <w:t xml:space="preserve">Members and may be accessed using an ITU </w:t>
      </w:r>
      <w:r w:rsidR="00C65AC5" w:rsidRPr="00B64995">
        <w:rPr>
          <w:rFonts w:cs="Calibri"/>
          <w:lang w:val="en-GB"/>
        </w:rPr>
        <w:t>u</w:t>
      </w:r>
      <w:r w:rsidR="00EF0EC2" w:rsidRPr="00B64995">
        <w:rPr>
          <w:rFonts w:cs="Calibri"/>
          <w:lang w:val="en-GB"/>
        </w:rPr>
        <w:t xml:space="preserve">ser (TIES) account. Some </w:t>
      </w:r>
      <w:r w:rsidR="00EF0EC2" w:rsidRPr="00B64995">
        <w:rPr>
          <w:rFonts w:cs="Calibri"/>
          <w:lang w:val="en-GB"/>
        </w:rPr>
        <w:lastRenderedPageBreak/>
        <w:t xml:space="preserve">collaboration sites are open to non-members and may be accessed using non-member ITU </w:t>
      </w:r>
      <w:r w:rsidR="00C65AC5" w:rsidRPr="00B64995">
        <w:rPr>
          <w:rFonts w:cs="Calibri"/>
          <w:lang w:val="en-GB"/>
        </w:rPr>
        <w:t>u</w:t>
      </w:r>
      <w:r w:rsidR="00EF0EC2" w:rsidRPr="00B64995">
        <w:rPr>
          <w:rFonts w:cs="Calibri"/>
          <w:lang w:val="en-GB"/>
        </w:rPr>
        <w:t>ser accounts</w:t>
      </w:r>
      <w:r w:rsidRPr="00B64995">
        <w:rPr>
          <w:rFonts w:cs="Calibri"/>
          <w:lang w:val="en-GB"/>
        </w:rPr>
        <w:t>.</w:t>
      </w:r>
    </w:p>
    <w:p w14:paraId="3A643645" w14:textId="77777777" w:rsidR="00545F4C" w:rsidRPr="00B64995" w:rsidRDefault="00545F4C" w:rsidP="005C693B">
      <w:pPr>
        <w:jc w:val="both"/>
        <w:rPr>
          <w:b/>
        </w:rPr>
      </w:pPr>
    </w:p>
    <w:p w14:paraId="3574BC1E" w14:textId="206F2541" w:rsidR="003A0651" w:rsidRPr="00B64995" w:rsidRDefault="00B34A57" w:rsidP="00AB5ED4">
      <w:pPr>
        <w:pStyle w:val="ListParagraph"/>
        <w:numPr>
          <w:ilvl w:val="1"/>
          <w:numId w:val="9"/>
        </w:numPr>
        <w:ind w:left="360"/>
        <w:jc w:val="both"/>
        <w:rPr>
          <w:rFonts w:cs="Calibri"/>
          <w:lang w:val="en-GB"/>
        </w:rPr>
      </w:pPr>
      <w:r w:rsidRPr="00B64995">
        <w:rPr>
          <w:rFonts w:cs="Calibri"/>
          <w:b/>
          <w:lang w:val="en-GB"/>
        </w:rPr>
        <w:t>Document Management System for Rapporteur Groups</w:t>
      </w:r>
      <w:bookmarkEnd w:id="108"/>
      <w:bookmarkEnd w:id="109"/>
      <w:r w:rsidR="00FD7ACE" w:rsidRPr="00B64995">
        <w:rPr>
          <w:rFonts w:cs="Calibri"/>
          <w:b/>
          <w:bCs/>
          <w:lang w:val="en-GB"/>
        </w:rPr>
        <w:t xml:space="preserve">. </w:t>
      </w:r>
      <w:r w:rsidRPr="00B64995">
        <w:rPr>
          <w:rFonts w:cs="Calibri"/>
          <w:lang w:val="en-GB"/>
        </w:rPr>
        <w:t xml:space="preserve">The Microsoft SharePoint-based Document Management System for ITU-T Rapporteur Group Meetings (RGMs) </w:t>
      </w:r>
      <w:r w:rsidR="00C4526F" w:rsidRPr="00B64995">
        <w:rPr>
          <w:rFonts w:cs="Calibri"/>
          <w:lang w:val="en-GB"/>
        </w:rPr>
        <w:t>is one of several services available in the ITU-T SharePoint collaboration sites</w:t>
      </w:r>
      <w:r w:rsidR="003778B8" w:rsidRPr="00B64995">
        <w:rPr>
          <w:rFonts w:cs="Calibri"/>
          <w:lang w:val="en-GB"/>
        </w:rPr>
        <w:t xml:space="preserve"> that</w:t>
      </w:r>
      <w:r w:rsidRPr="00B64995">
        <w:rPr>
          <w:rFonts w:cs="Calibri"/>
          <w:lang w:val="en-GB"/>
        </w:rPr>
        <w:t xml:space="preserve"> has been used extensively by the majority of ITU-T SGs, </w:t>
      </w:r>
      <w:r w:rsidR="003778B8" w:rsidRPr="00B64995">
        <w:rPr>
          <w:rFonts w:cs="Calibri"/>
          <w:lang w:val="en-GB"/>
        </w:rPr>
        <w:t xml:space="preserve">a well as </w:t>
      </w:r>
      <w:r w:rsidRPr="00B64995">
        <w:rPr>
          <w:rFonts w:cs="Calibri"/>
          <w:lang w:val="en-GB"/>
        </w:rPr>
        <w:t>TSAG. Feedback from Rapporteurs drives the continuous improvement of the RGM system.</w:t>
      </w:r>
    </w:p>
    <w:p w14:paraId="5830691D" w14:textId="439B4D62" w:rsidR="1C1F268E" w:rsidRPr="00B64995" w:rsidRDefault="1C1F268E" w:rsidP="005C693B">
      <w:pPr>
        <w:ind w:left="360"/>
        <w:jc w:val="both"/>
      </w:pPr>
    </w:p>
    <w:p w14:paraId="72302A59" w14:textId="6AA90C77" w:rsidR="00E417F0" w:rsidRPr="00B64995" w:rsidRDefault="00B34A57" w:rsidP="005C693B">
      <w:pPr>
        <w:pStyle w:val="ListParagraph"/>
        <w:numPr>
          <w:ilvl w:val="1"/>
          <w:numId w:val="9"/>
        </w:numPr>
        <w:ind w:left="360"/>
        <w:jc w:val="both"/>
        <w:rPr>
          <w:rFonts w:cs="Calibri"/>
          <w:lang w:val="en-GB"/>
        </w:rPr>
      </w:pPr>
      <w:bookmarkStart w:id="110" w:name="_Toc462664281"/>
      <w:bookmarkStart w:id="111" w:name="_Toc480527876"/>
      <w:bookmarkStart w:id="112" w:name="_Toc31193742"/>
      <w:r w:rsidRPr="00B64995">
        <w:rPr>
          <w:rFonts w:cs="Calibri"/>
          <w:b/>
          <w:lang w:val="en-GB"/>
        </w:rPr>
        <w:t>Meeting Documents Sync Application</w:t>
      </w:r>
      <w:bookmarkStart w:id="113" w:name="_Toc462664282"/>
      <w:bookmarkEnd w:id="110"/>
      <w:bookmarkEnd w:id="111"/>
      <w:bookmarkEnd w:id="112"/>
      <w:r w:rsidR="00FD7ACE" w:rsidRPr="00B64995">
        <w:rPr>
          <w:rFonts w:cs="Calibri"/>
          <w:b/>
          <w:bCs/>
          <w:lang w:val="en-GB"/>
        </w:rPr>
        <w:t xml:space="preserve">. </w:t>
      </w:r>
      <w:r w:rsidRPr="00B64995">
        <w:rPr>
          <w:rFonts w:cs="Calibri"/>
          <w:lang w:val="en-GB"/>
        </w:rPr>
        <w:t>This application enables meeting participants to synchronize documents of ongoing ITU-T SG meetings from the ITU server to their local drive. The application is constantly enhanced and updated following feedback and suggestions from users.</w:t>
      </w:r>
      <w:bookmarkEnd w:id="113"/>
    </w:p>
    <w:p w14:paraId="725016AE" w14:textId="350A667B" w:rsidR="00FD7ACE" w:rsidRPr="00B64995" w:rsidRDefault="00FD7ACE" w:rsidP="00545F4C">
      <w:pPr>
        <w:jc w:val="both"/>
        <w:rPr>
          <w:b/>
          <w:bCs/>
        </w:rPr>
      </w:pPr>
    </w:p>
    <w:p w14:paraId="7C463F3C" w14:textId="77777777" w:rsidR="0049723A" w:rsidRPr="00B64995" w:rsidRDefault="00026FC6" w:rsidP="00026FC6">
      <w:pPr>
        <w:pStyle w:val="Heading2"/>
        <w:rPr>
          <w:lang w:eastAsia="en-GB"/>
        </w:rPr>
      </w:pPr>
      <w:bookmarkStart w:id="114" w:name="_Toc37860469"/>
      <w:bookmarkStart w:id="115" w:name="_Toc37861230"/>
      <w:bookmarkStart w:id="116" w:name="_Toc37943353"/>
      <w:bookmarkStart w:id="117" w:name="_Toc68811423"/>
      <w:r w:rsidRPr="00B64995">
        <w:rPr>
          <w:lang w:eastAsia="en-GB"/>
        </w:rPr>
        <w:t>2.3</w:t>
      </w:r>
      <w:r w:rsidRPr="00B64995">
        <w:rPr>
          <w:lang w:eastAsia="en-GB"/>
        </w:rPr>
        <w:tab/>
      </w:r>
      <w:r w:rsidR="36D264FA" w:rsidRPr="00B64995">
        <w:rPr>
          <w:lang w:eastAsia="en-GB"/>
        </w:rPr>
        <w:t>ITU-D</w:t>
      </w:r>
      <w:bookmarkEnd w:id="114"/>
      <w:bookmarkEnd w:id="115"/>
      <w:bookmarkEnd w:id="116"/>
      <w:bookmarkEnd w:id="117"/>
    </w:p>
    <w:p w14:paraId="27357532" w14:textId="623DE9FB" w:rsidR="00B34A57" w:rsidRPr="00B64995" w:rsidRDefault="00B34A57" w:rsidP="00614D53">
      <w:pPr>
        <w:ind w:right="-60"/>
        <w:jc w:val="both"/>
        <w:textAlignment w:val="baseline"/>
        <w:rPr>
          <w:rFonts w:eastAsia="Times New Roman"/>
          <w:b/>
          <w:lang w:eastAsia="en-GB"/>
        </w:rPr>
      </w:pPr>
    </w:p>
    <w:p w14:paraId="023F01DA" w14:textId="77777777" w:rsidR="00210D94" w:rsidRPr="00B64995" w:rsidRDefault="00E417F0" w:rsidP="00A83DAA">
      <w:pPr>
        <w:pStyle w:val="Heading5"/>
        <w:rPr>
          <w:lang w:eastAsia="en-GB"/>
        </w:rPr>
      </w:pPr>
      <w:r w:rsidRPr="00B64995">
        <w:rPr>
          <w:lang w:eastAsia="en-GB"/>
        </w:rPr>
        <w:t>A journey of change towards impact and results: a BDT Fit4Purpose</w:t>
      </w:r>
    </w:p>
    <w:p w14:paraId="06D0E102" w14:textId="15701282" w:rsidR="00210D94" w:rsidRPr="00B64995" w:rsidRDefault="00E417F0" w:rsidP="0002649B">
      <w:pPr>
        <w:rPr>
          <w:lang w:eastAsia="en-GB"/>
        </w:rPr>
      </w:pPr>
      <w:r w:rsidRPr="00B64995">
        <w:rPr>
          <w:lang w:eastAsia="en-GB"/>
        </w:rPr>
        <w:t xml:space="preserve">In 2019, BDT began a journey of change to create a Bureau that </w:t>
      </w:r>
      <w:proofErr w:type="gramStart"/>
      <w:r w:rsidRPr="00B64995">
        <w:rPr>
          <w:lang w:eastAsia="en-GB"/>
        </w:rPr>
        <w:t>is able to</w:t>
      </w:r>
      <w:proofErr w:type="gramEnd"/>
      <w:r w:rsidRPr="00B64995">
        <w:rPr>
          <w:lang w:eastAsia="en-GB"/>
        </w:rPr>
        <w:t xml:space="preserve"> keep pace with the fast-changing environment in which it serves, that responds effectively to the needs of Member States and Sector Members, and that is more relevant and demonstrates impact and results: a Fit4Purpose BDT. Following extensive internal consultations, BDT has adopted new innovative ways of working, laying foundations that will ensure timely and efficient implementation of the </w:t>
      </w:r>
      <w:hyperlink r:id="rId429" w:tgtFrame="_blank" w:history="1">
        <w:r w:rsidRPr="00B64995">
          <w:rPr>
            <w:color w:val="0000FF"/>
            <w:u w:val="single"/>
            <w:lang w:eastAsia="en-GB"/>
          </w:rPr>
          <w:t>Buenos Aires Action Plan</w:t>
        </w:r>
      </w:hyperlink>
      <w:r w:rsidR="0002649B" w:rsidRPr="00A060FE">
        <w:t>.</w:t>
      </w:r>
    </w:p>
    <w:p w14:paraId="4ED983CF" w14:textId="77777777" w:rsidR="00210D94" w:rsidRPr="00E0255C" w:rsidRDefault="00210D94" w:rsidP="00614D53">
      <w:pPr>
        <w:ind w:right="-60"/>
        <w:jc w:val="both"/>
        <w:textAlignment w:val="baseline"/>
        <w:rPr>
          <w:rFonts w:eastAsia="Times New Roman"/>
          <w:lang w:eastAsia="en-GB"/>
        </w:rPr>
      </w:pPr>
    </w:p>
    <w:p w14:paraId="09E30107" w14:textId="0F46ECC3" w:rsidR="0049723A" w:rsidRPr="00B64995" w:rsidRDefault="00E417F0" w:rsidP="00614D53">
      <w:pPr>
        <w:ind w:right="-60"/>
        <w:jc w:val="both"/>
        <w:textAlignment w:val="baseline"/>
        <w:rPr>
          <w:rFonts w:eastAsia="Times New Roman"/>
          <w:lang w:eastAsia="en-GB"/>
        </w:rPr>
      </w:pPr>
      <w:r w:rsidRPr="00B64995">
        <w:rPr>
          <w:rFonts w:eastAsia="Times New Roman"/>
          <w:color w:val="000000"/>
          <w:lang w:eastAsia="en-GB"/>
        </w:rPr>
        <w:t xml:space="preserve">The BDT journey </w:t>
      </w:r>
      <w:r w:rsidR="003C3C35" w:rsidRPr="00B64995">
        <w:rPr>
          <w:rFonts w:eastAsia="Times New Roman"/>
          <w:color w:val="000000"/>
          <w:lang w:eastAsia="en-GB"/>
        </w:rPr>
        <w:t xml:space="preserve">of </w:t>
      </w:r>
      <w:r w:rsidRPr="00B64995">
        <w:rPr>
          <w:rFonts w:eastAsia="Times New Roman"/>
          <w:color w:val="000000"/>
          <w:lang w:eastAsia="en-GB"/>
        </w:rPr>
        <w:t>change is a participatory and open consultative process, rel</w:t>
      </w:r>
      <w:r w:rsidR="003C3C35" w:rsidRPr="00B64995">
        <w:rPr>
          <w:rFonts w:eastAsia="Times New Roman"/>
          <w:color w:val="000000"/>
          <w:lang w:eastAsia="en-GB"/>
        </w:rPr>
        <w:t>ying</w:t>
      </w:r>
      <w:r w:rsidRPr="00B64995">
        <w:rPr>
          <w:rFonts w:eastAsia="Times New Roman"/>
          <w:color w:val="000000"/>
          <w:lang w:eastAsia="en-GB"/>
        </w:rPr>
        <w:t xml:space="preserve"> heavily on feedback and discussion with Member States and Sector Members</w:t>
      </w:r>
      <w:r w:rsidRPr="00B64995">
        <w:rPr>
          <w:rFonts w:eastAsia="Times New Roman"/>
          <w:lang w:eastAsia="en-GB"/>
        </w:rPr>
        <w:t>. BDT</w:t>
      </w:r>
      <w:r w:rsidR="003C3C35" w:rsidRPr="00B64995">
        <w:rPr>
          <w:rFonts w:eastAsia="Times New Roman"/>
          <w:lang w:eastAsia="en-GB"/>
        </w:rPr>
        <w:t>’s</w:t>
      </w:r>
      <w:r w:rsidRPr="00B64995">
        <w:rPr>
          <w:rFonts w:eastAsia="Times New Roman"/>
          <w:lang w:eastAsia="en-GB"/>
        </w:rPr>
        <w:t xml:space="preserve"> efforts towards digital transformation through meaningful connectivity are people</w:t>
      </w:r>
      <w:r w:rsidR="003C3C35" w:rsidRPr="00B64995">
        <w:rPr>
          <w:rFonts w:eastAsia="Times New Roman"/>
          <w:lang w:eastAsia="en-GB"/>
        </w:rPr>
        <w:t>-</w:t>
      </w:r>
      <w:r w:rsidRPr="00B64995">
        <w:rPr>
          <w:rFonts w:eastAsia="Times New Roman"/>
          <w:lang w:eastAsia="en-GB"/>
        </w:rPr>
        <w:t>centric, where the focus is on listening to the people who BDT is trying to reach, allowing for a better assessment of their needs to improve their lives.</w:t>
      </w:r>
    </w:p>
    <w:p w14:paraId="6BFFAAA2" w14:textId="787DB704" w:rsidR="00210D94" w:rsidRPr="00B64995" w:rsidRDefault="00210D94" w:rsidP="00614D53">
      <w:pPr>
        <w:ind w:right="-60"/>
        <w:jc w:val="both"/>
        <w:textAlignment w:val="baseline"/>
        <w:rPr>
          <w:rFonts w:eastAsia="Times New Roman"/>
          <w:lang w:eastAsia="en-GB"/>
        </w:rPr>
      </w:pPr>
    </w:p>
    <w:p w14:paraId="73B7A961" w14:textId="6D2F5134" w:rsidR="0049723A" w:rsidRPr="00B64995" w:rsidRDefault="3EC4711F" w:rsidP="0C019B79">
      <w:pPr>
        <w:spacing w:line="257" w:lineRule="auto"/>
        <w:jc w:val="both"/>
        <w:rPr>
          <w:rFonts w:eastAsia="Calibri"/>
        </w:rPr>
      </w:pPr>
      <w:r w:rsidRPr="00B64995">
        <w:rPr>
          <w:rFonts w:eastAsia="Calibri"/>
        </w:rPr>
        <w:t xml:space="preserve"> The COVID pandemic has turned our world upside down. Over the course of 2020, BDT has embraced digital solutions, gradually developing new ways to deliver its services. This new way of delivering services has become a new normal: not only has </w:t>
      </w:r>
      <w:r w:rsidR="00DE1F4D" w:rsidRPr="00B64995">
        <w:rPr>
          <w:rFonts w:eastAsia="Calibri"/>
        </w:rPr>
        <w:t xml:space="preserve">it </w:t>
      </w:r>
      <w:r w:rsidRPr="00B64995">
        <w:rPr>
          <w:rFonts w:eastAsia="Calibri"/>
        </w:rPr>
        <w:t xml:space="preserve">allowed BDT to continue its work despite the circumstances, but it has also helped us come closer together, to be more available to our </w:t>
      </w:r>
      <w:r w:rsidR="00DE1F4D" w:rsidRPr="00B64995">
        <w:rPr>
          <w:rFonts w:eastAsia="Calibri"/>
        </w:rPr>
        <w:t>m</w:t>
      </w:r>
      <w:r w:rsidRPr="00B64995">
        <w:rPr>
          <w:rFonts w:eastAsia="Calibri"/>
        </w:rPr>
        <w:t>embers</w:t>
      </w:r>
      <w:r w:rsidR="00DE1F4D" w:rsidRPr="00B64995">
        <w:rPr>
          <w:rFonts w:eastAsia="Calibri"/>
        </w:rPr>
        <w:t>hip</w:t>
      </w:r>
      <w:r w:rsidRPr="00B64995">
        <w:rPr>
          <w:rFonts w:eastAsia="Calibri"/>
        </w:rPr>
        <w:t xml:space="preserve"> and to adjust to the times in which we are living.</w:t>
      </w:r>
    </w:p>
    <w:p w14:paraId="0FF369DE" w14:textId="4B4B3000" w:rsidR="0049723A" w:rsidRPr="00B64995" w:rsidRDefault="3EC4711F" w:rsidP="00EF0EC2">
      <w:pPr>
        <w:spacing w:line="257" w:lineRule="auto"/>
        <w:jc w:val="both"/>
        <w:rPr>
          <w:rFonts w:eastAsia="Calibri"/>
        </w:rPr>
      </w:pPr>
      <w:r w:rsidRPr="00B64995">
        <w:rPr>
          <w:rFonts w:eastAsia="Calibri"/>
        </w:rPr>
        <w:t>This is the "</w:t>
      </w:r>
      <w:r w:rsidRPr="00B64995">
        <w:rPr>
          <w:rFonts w:eastAsia="Calibri"/>
          <w:b/>
          <w:bCs/>
        </w:rPr>
        <w:t>fit4purpose BDT</w:t>
      </w:r>
      <w:r w:rsidRPr="00B64995">
        <w:rPr>
          <w:rFonts w:eastAsia="Calibri"/>
        </w:rPr>
        <w:t xml:space="preserve">" that we want to build: </w:t>
      </w:r>
      <w:proofErr w:type="gramStart"/>
      <w:r w:rsidRPr="00B64995">
        <w:rPr>
          <w:rFonts w:eastAsia="Calibri"/>
        </w:rPr>
        <w:t>a</w:t>
      </w:r>
      <w:proofErr w:type="gramEnd"/>
      <w:r w:rsidRPr="00B64995">
        <w:rPr>
          <w:rFonts w:eastAsia="Calibri"/>
        </w:rPr>
        <w:t xml:space="preserve"> Bureau that is agile, that embraces new tools and approaches, and that delivers the services </w:t>
      </w:r>
      <w:r w:rsidR="00DE1F4D" w:rsidRPr="00B64995">
        <w:rPr>
          <w:rFonts w:eastAsia="Calibri"/>
        </w:rPr>
        <w:t xml:space="preserve">the </w:t>
      </w:r>
      <w:r w:rsidRPr="00B64995">
        <w:rPr>
          <w:rFonts w:eastAsia="Calibri"/>
        </w:rPr>
        <w:t xml:space="preserve">ITU </w:t>
      </w:r>
      <w:r w:rsidR="009002E1" w:rsidRPr="00B64995">
        <w:rPr>
          <w:rFonts w:eastAsia="Calibri"/>
        </w:rPr>
        <w:t>m</w:t>
      </w:r>
      <w:r w:rsidRPr="00B64995">
        <w:rPr>
          <w:rFonts w:eastAsia="Calibri"/>
        </w:rPr>
        <w:t>embership needs, in partnership with a growing range of partner organizations. In 2020 BDT has shown its ability to rapidly adapt to changed circumstances. It is an excellent illustration of what a "fit4purpose BDT" is all about: working to achieve the right impact to deliver on the BDT vision to connect the unconnected.</w:t>
      </w:r>
    </w:p>
    <w:p w14:paraId="4831AA6C" w14:textId="77777777" w:rsidR="0049723A" w:rsidRPr="00B64995" w:rsidRDefault="0049723A" w:rsidP="00EF0EC2">
      <w:pPr>
        <w:spacing w:line="257" w:lineRule="auto"/>
        <w:jc w:val="both"/>
        <w:rPr>
          <w:rFonts w:eastAsia="Calibri"/>
          <w:b/>
          <w:bCs/>
          <w:sz w:val="24"/>
          <w:szCs w:val="24"/>
        </w:rPr>
      </w:pPr>
    </w:p>
    <w:p w14:paraId="41DB1E70" w14:textId="1E7D506F" w:rsidR="0049723A" w:rsidRPr="00B64995" w:rsidRDefault="3EC4711F" w:rsidP="00EF0EC2">
      <w:pPr>
        <w:spacing w:line="257" w:lineRule="auto"/>
        <w:jc w:val="both"/>
        <w:rPr>
          <w:rFonts w:eastAsia="Calibri"/>
          <w:b/>
          <w:bCs/>
          <w:color w:val="4472C4" w:themeColor="accent1"/>
        </w:rPr>
      </w:pPr>
      <w:r w:rsidRPr="00B64995">
        <w:rPr>
          <w:rFonts w:eastAsia="Calibri"/>
          <w:b/>
          <w:bCs/>
          <w:color w:val="4472C4" w:themeColor="accent1"/>
        </w:rPr>
        <w:t>2020 highlights for a fit for purpose BDT</w:t>
      </w:r>
    </w:p>
    <w:p w14:paraId="0B72EF41" w14:textId="77777777"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 xml:space="preserve">New Project Management Manual to strengthen the impact of projects by aligning the language, </w:t>
      </w:r>
      <w:proofErr w:type="gramStart"/>
      <w:r w:rsidRPr="00B64995">
        <w:rPr>
          <w:rFonts w:eastAsia="Calibri" w:cs="Calibri"/>
          <w:lang w:val="en-GB"/>
        </w:rPr>
        <w:t>tools</w:t>
      </w:r>
      <w:proofErr w:type="gramEnd"/>
      <w:r w:rsidRPr="00B64995">
        <w:rPr>
          <w:rFonts w:eastAsia="Calibri" w:cs="Calibri"/>
          <w:lang w:val="en-GB"/>
        </w:rPr>
        <w:t xml:space="preserve"> and processes across all phases of project management.</w:t>
      </w:r>
    </w:p>
    <w:p w14:paraId="4C726A3F" w14:textId="7854A80F"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 xml:space="preserve">Leadership </w:t>
      </w:r>
      <w:r w:rsidR="00DE1F4D" w:rsidRPr="00B64995">
        <w:rPr>
          <w:rFonts w:eastAsia="Calibri" w:cs="Calibri"/>
          <w:lang w:val="en-GB"/>
        </w:rPr>
        <w:t>c</w:t>
      </w:r>
      <w:r w:rsidRPr="00B64995">
        <w:rPr>
          <w:rFonts w:eastAsia="Calibri" w:cs="Calibri"/>
          <w:lang w:val="en-GB"/>
        </w:rPr>
        <w:t xml:space="preserve">ulture </w:t>
      </w:r>
      <w:r w:rsidR="00DE1F4D" w:rsidRPr="00B64995">
        <w:rPr>
          <w:rFonts w:eastAsia="Calibri" w:cs="Calibri"/>
          <w:lang w:val="en-GB"/>
        </w:rPr>
        <w:t>a</w:t>
      </w:r>
      <w:r w:rsidRPr="00B64995">
        <w:rPr>
          <w:rFonts w:eastAsia="Calibri" w:cs="Calibri"/>
          <w:lang w:val="en-GB"/>
        </w:rPr>
        <w:t>ssessment to lead by example.</w:t>
      </w:r>
    </w:p>
    <w:p w14:paraId="23D2A930" w14:textId="02FD20B3"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 xml:space="preserve">BDT </w:t>
      </w:r>
      <w:r w:rsidR="00DE1F4D" w:rsidRPr="00B64995">
        <w:rPr>
          <w:rFonts w:eastAsia="Calibri" w:cs="Calibri"/>
          <w:lang w:val="en-GB"/>
        </w:rPr>
        <w:t>p</w:t>
      </w:r>
      <w:r w:rsidRPr="00B64995">
        <w:rPr>
          <w:rFonts w:eastAsia="Calibri" w:cs="Calibri"/>
          <w:lang w:val="en-GB"/>
        </w:rPr>
        <w:t xml:space="preserve">rocess </w:t>
      </w:r>
      <w:r w:rsidR="00DE1F4D" w:rsidRPr="00B64995">
        <w:rPr>
          <w:rFonts w:eastAsia="Calibri" w:cs="Calibri"/>
          <w:lang w:val="en-GB"/>
        </w:rPr>
        <w:t>r</w:t>
      </w:r>
      <w:r w:rsidRPr="00B64995">
        <w:rPr>
          <w:rFonts w:eastAsia="Calibri" w:cs="Calibri"/>
          <w:lang w:val="en-GB"/>
        </w:rPr>
        <w:t>eviews to streamline processes and achieve efficiency.</w:t>
      </w:r>
    </w:p>
    <w:p w14:paraId="79C54081" w14:textId="77777777"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The “Web We Want initiative” to build a new, revamped ITU-D website.</w:t>
      </w:r>
    </w:p>
    <w:p w14:paraId="0B01E6C8" w14:textId="3316C9FD"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The Regional Presence Review to strengthen BDT</w:t>
      </w:r>
      <w:r w:rsidR="00DE1F4D" w:rsidRPr="00B64995">
        <w:rPr>
          <w:rFonts w:eastAsia="Calibri" w:cs="Calibri"/>
          <w:lang w:val="en-GB"/>
        </w:rPr>
        <w:t>’s</w:t>
      </w:r>
      <w:r w:rsidRPr="00B64995">
        <w:rPr>
          <w:rFonts w:eastAsia="Calibri" w:cs="Calibri"/>
          <w:lang w:val="en-GB"/>
        </w:rPr>
        <w:t xml:space="preserve"> work and coordination on the ground.</w:t>
      </w:r>
    </w:p>
    <w:p w14:paraId="08C976D9" w14:textId="43DC34D1" w:rsidR="3EC4711F" w:rsidRPr="00B64995" w:rsidRDefault="3EC4711F" w:rsidP="00EF0EC2">
      <w:pPr>
        <w:pStyle w:val="ListParagraph"/>
        <w:numPr>
          <w:ilvl w:val="0"/>
          <w:numId w:val="53"/>
        </w:numPr>
        <w:jc w:val="both"/>
        <w:rPr>
          <w:rFonts w:asciiTheme="minorHAnsi" w:eastAsiaTheme="minorEastAsia" w:hAnsiTheme="minorHAnsi" w:cstheme="minorBidi"/>
          <w:lang w:val="en-GB"/>
        </w:rPr>
      </w:pPr>
      <w:r w:rsidRPr="00B64995">
        <w:rPr>
          <w:rFonts w:eastAsia="Calibri" w:cs="Calibri"/>
          <w:lang w:val="en-GB"/>
        </w:rPr>
        <w:lastRenderedPageBreak/>
        <w:t>Onboarding and welcom</w:t>
      </w:r>
      <w:r w:rsidR="00DE1F4D" w:rsidRPr="00B64995">
        <w:rPr>
          <w:rFonts w:eastAsia="Calibri" w:cs="Calibri"/>
          <w:lang w:val="en-GB"/>
        </w:rPr>
        <w:t>ing</w:t>
      </w:r>
      <w:r w:rsidRPr="00B64995">
        <w:rPr>
          <w:rFonts w:eastAsia="Calibri" w:cs="Calibri"/>
          <w:lang w:val="en-GB"/>
        </w:rPr>
        <w:t xml:space="preserve"> of new staff.</w:t>
      </w:r>
    </w:p>
    <w:p w14:paraId="2DDA5E28" w14:textId="3036D9B4"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 xml:space="preserve">New approaches to </w:t>
      </w:r>
      <w:r w:rsidR="00DE1F4D" w:rsidRPr="00B64995">
        <w:rPr>
          <w:rFonts w:eastAsia="Calibri" w:cs="Calibri"/>
          <w:lang w:val="en-GB"/>
        </w:rPr>
        <w:t>the o</w:t>
      </w:r>
      <w:r w:rsidRPr="00B64995">
        <w:rPr>
          <w:rFonts w:eastAsia="Calibri" w:cs="Calibri"/>
          <w:lang w:val="en-GB"/>
        </w:rPr>
        <w:t xml:space="preserve">perational </w:t>
      </w:r>
      <w:r w:rsidR="00DE1F4D" w:rsidRPr="00B64995">
        <w:rPr>
          <w:rFonts w:eastAsia="Calibri" w:cs="Calibri"/>
          <w:lang w:val="en-GB"/>
        </w:rPr>
        <w:t>p</w:t>
      </w:r>
      <w:r w:rsidRPr="00B64995">
        <w:rPr>
          <w:rFonts w:eastAsia="Calibri" w:cs="Calibri"/>
          <w:lang w:val="en-GB"/>
        </w:rPr>
        <w:t xml:space="preserve">lan and </w:t>
      </w:r>
      <w:r w:rsidR="00DE1F4D" w:rsidRPr="00B64995">
        <w:rPr>
          <w:rFonts w:eastAsia="Calibri" w:cs="Calibri"/>
          <w:lang w:val="en-GB"/>
        </w:rPr>
        <w:t>r</w:t>
      </w:r>
      <w:r w:rsidRPr="00B64995">
        <w:rPr>
          <w:rFonts w:eastAsia="Calibri" w:cs="Calibri"/>
          <w:lang w:val="en-GB"/>
        </w:rPr>
        <w:t>esource</w:t>
      </w:r>
      <w:r w:rsidR="00DE1F4D" w:rsidRPr="00B64995">
        <w:rPr>
          <w:rFonts w:eastAsia="Calibri" w:cs="Calibri"/>
          <w:lang w:val="en-GB"/>
        </w:rPr>
        <w:t>-b</w:t>
      </w:r>
      <w:r w:rsidRPr="00B64995">
        <w:rPr>
          <w:rFonts w:eastAsia="Calibri" w:cs="Calibri"/>
          <w:lang w:val="en-GB"/>
        </w:rPr>
        <w:t xml:space="preserve">ased </w:t>
      </w:r>
      <w:r w:rsidR="00DE1F4D" w:rsidRPr="00B64995">
        <w:rPr>
          <w:rFonts w:eastAsia="Calibri" w:cs="Calibri"/>
          <w:lang w:val="en-GB"/>
        </w:rPr>
        <w:t>m</w:t>
      </w:r>
      <w:r w:rsidRPr="00B64995">
        <w:rPr>
          <w:rFonts w:eastAsia="Calibri" w:cs="Calibri"/>
          <w:lang w:val="en-GB"/>
        </w:rPr>
        <w:t>anagement to plan wisely, efficiently and with impact.</w:t>
      </w:r>
    </w:p>
    <w:p w14:paraId="2437F791" w14:textId="77777777"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Town-hall meetings to keep BDT staff informed and engaged.</w:t>
      </w:r>
    </w:p>
    <w:p w14:paraId="278FCCD0" w14:textId="5BB36327"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 xml:space="preserve">BDT </w:t>
      </w:r>
      <w:r w:rsidR="00DE1F4D" w:rsidRPr="00B64995">
        <w:rPr>
          <w:rFonts w:eastAsia="Calibri" w:cs="Calibri"/>
          <w:lang w:val="en-GB"/>
        </w:rPr>
        <w:t>s</w:t>
      </w:r>
      <w:r w:rsidRPr="00B64995">
        <w:rPr>
          <w:rFonts w:eastAsia="Calibri" w:cs="Calibri"/>
          <w:lang w:val="en-GB"/>
        </w:rPr>
        <w:t xml:space="preserve">enior </w:t>
      </w:r>
      <w:r w:rsidR="00DE1F4D" w:rsidRPr="00B64995">
        <w:rPr>
          <w:rFonts w:eastAsia="Calibri" w:cs="Calibri"/>
          <w:lang w:val="en-GB"/>
        </w:rPr>
        <w:t>m</w:t>
      </w:r>
      <w:r w:rsidRPr="00B64995">
        <w:rPr>
          <w:rFonts w:eastAsia="Calibri" w:cs="Calibri"/>
          <w:lang w:val="en-GB"/>
        </w:rPr>
        <w:t xml:space="preserve">anagement </w:t>
      </w:r>
      <w:r w:rsidR="00DE1F4D" w:rsidRPr="00B64995">
        <w:rPr>
          <w:rFonts w:eastAsia="Calibri" w:cs="Calibri"/>
          <w:lang w:val="en-GB"/>
        </w:rPr>
        <w:t>r</w:t>
      </w:r>
      <w:r w:rsidRPr="00B64995">
        <w:rPr>
          <w:rFonts w:eastAsia="Calibri" w:cs="Calibri"/>
          <w:lang w:val="en-GB"/>
        </w:rPr>
        <w:t>etreat to align on common goals and strengthen engagement.</w:t>
      </w:r>
    </w:p>
    <w:p w14:paraId="21793AED" w14:textId="77777777" w:rsidR="0049723A" w:rsidRPr="00B64995" w:rsidRDefault="3EC4711F" w:rsidP="00EF0EC2">
      <w:pPr>
        <w:pStyle w:val="ListParagraph"/>
        <w:numPr>
          <w:ilvl w:val="0"/>
          <w:numId w:val="53"/>
        </w:numPr>
        <w:jc w:val="both"/>
        <w:rPr>
          <w:rFonts w:eastAsia="Calibri" w:cs="Calibri"/>
          <w:lang w:val="en-GB"/>
        </w:rPr>
      </w:pPr>
      <w:r w:rsidRPr="00B64995">
        <w:rPr>
          <w:rFonts w:eastAsia="Calibri" w:cs="Calibri"/>
          <w:lang w:val="en-GB"/>
        </w:rPr>
        <w:t>A resource mobilization strategy to bring in resources for greater impact.</w:t>
      </w:r>
    </w:p>
    <w:p w14:paraId="2C90D9C4" w14:textId="391AB140" w:rsidR="3EC4711F" w:rsidRPr="00B64995" w:rsidRDefault="00AA2EFC" w:rsidP="00EF0EC2">
      <w:pPr>
        <w:pStyle w:val="ListParagraph"/>
        <w:numPr>
          <w:ilvl w:val="0"/>
          <w:numId w:val="53"/>
        </w:numPr>
        <w:jc w:val="both"/>
        <w:rPr>
          <w:rFonts w:asciiTheme="minorHAnsi" w:eastAsiaTheme="minorEastAsia" w:hAnsiTheme="minorHAnsi" w:cstheme="minorBidi"/>
          <w:lang w:val="en-GB"/>
        </w:rPr>
      </w:pPr>
      <w:r w:rsidRPr="00B64995">
        <w:rPr>
          <w:rFonts w:eastAsia="Calibri" w:cs="Calibri"/>
          <w:lang w:val="en-GB"/>
        </w:rPr>
        <w:t xml:space="preserve">Second </w:t>
      </w:r>
      <w:r w:rsidR="3EC4711F" w:rsidRPr="00B64995">
        <w:rPr>
          <w:rFonts w:eastAsia="Calibri" w:cs="Calibri"/>
          <w:lang w:val="en-GB"/>
        </w:rPr>
        <w:t>cohort on project management.</w:t>
      </w:r>
    </w:p>
    <w:p w14:paraId="43363D13" w14:textId="34CBF1DD" w:rsidR="0049723A" w:rsidRPr="00B64995" w:rsidRDefault="00AA2EFC" w:rsidP="00EF0EC2">
      <w:pPr>
        <w:pStyle w:val="ListParagraph"/>
        <w:numPr>
          <w:ilvl w:val="0"/>
          <w:numId w:val="53"/>
        </w:numPr>
        <w:jc w:val="both"/>
        <w:rPr>
          <w:rFonts w:eastAsia="Calibri" w:cs="Calibri"/>
          <w:lang w:val="en-GB"/>
        </w:rPr>
      </w:pPr>
      <w:r w:rsidRPr="00B64995">
        <w:rPr>
          <w:rFonts w:eastAsia="Calibri" w:cs="Calibri"/>
          <w:lang w:val="en-GB"/>
        </w:rPr>
        <w:t xml:space="preserve">Third </w:t>
      </w:r>
      <w:r w:rsidR="3EC4711F" w:rsidRPr="00B64995">
        <w:rPr>
          <w:rFonts w:eastAsia="Calibri" w:cs="Calibri"/>
          <w:lang w:val="en-GB"/>
        </w:rPr>
        <w:t>cohort of change agents.</w:t>
      </w:r>
    </w:p>
    <w:p w14:paraId="32531FAC" w14:textId="77777777" w:rsidR="0049723A" w:rsidRPr="00B64995" w:rsidRDefault="0049723A" w:rsidP="00EF0EC2">
      <w:pPr>
        <w:spacing w:line="257" w:lineRule="auto"/>
        <w:jc w:val="both"/>
        <w:rPr>
          <w:rFonts w:eastAsia="Calibri"/>
        </w:rPr>
      </w:pPr>
    </w:p>
    <w:p w14:paraId="0875365D" w14:textId="0F0A88CD" w:rsidR="0049723A" w:rsidRPr="00B64995" w:rsidRDefault="3EC4711F" w:rsidP="00EF0EC2">
      <w:pPr>
        <w:spacing w:line="257" w:lineRule="auto"/>
        <w:jc w:val="both"/>
        <w:rPr>
          <w:rFonts w:eastAsia="Calibri"/>
          <w:b/>
          <w:bCs/>
          <w:color w:val="4472C4" w:themeColor="accent1"/>
        </w:rPr>
      </w:pPr>
      <w:r w:rsidRPr="00B64995">
        <w:rPr>
          <w:rFonts w:eastAsia="Calibri"/>
          <w:b/>
          <w:bCs/>
          <w:color w:val="4472C4" w:themeColor="accent1"/>
        </w:rPr>
        <w:t>C4C (Champions for Change) News</w:t>
      </w:r>
    </w:p>
    <w:p w14:paraId="6E8584B5" w14:textId="096B2566" w:rsidR="006402C6" w:rsidRPr="00B64995" w:rsidRDefault="3EC4711F" w:rsidP="00614D53">
      <w:pPr>
        <w:jc w:val="both"/>
        <w:textAlignment w:val="baseline"/>
        <w:rPr>
          <w:rFonts w:eastAsia="Times New Roman"/>
          <w:lang w:eastAsia="en-GB"/>
        </w:rPr>
      </w:pPr>
      <w:r w:rsidRPr="00B64995">
        <w:rPr>
          <w:rFonts w:eastAsia="Calibri"/>
        </w:rPr>
        <w:t>BDT’s initial change process has been “turbo-charged” by the pandemic and everyone found themselves in an entirely new working arrangement</w:t>
      </w:r>
      <w:r w:rsidR="00AA2EFC" w:rsidRPr="00B64995">
        <w:rPr>
          <w:rFonts w:eastAsia="Calibri"/>
        </w:rPr>
        <w:t>,</w:t>
      </w:r>
      <w:r w:rsidRPr="00B64995">
        <w:rPr>
          <w:rFonts w:eastAsia="Calibri"/>
        </w:rPr>
        <w:t xml:space="preserve"> learning about what it takes to adapt (and survive the added pressures of the change) while advancing towards a “fit4purpose” BDT in a new global context. There is increased urgency to deliver to serve Member States whose populations, institutions and economies are highly challenged and need the assistance of BDT. This has meant rapidly reconfiguring existing plans and programmes while responding to new demands and the opportunity to advance connectivity. </w:t>
      </w:r>
      <w:r w:rsidR="00AA2EFC" w:rsidRPr="00B64995">
        <w:rPr>
          <w:rFonts w:eastAsia="Calibri"/>
        </w:rPr>
        <w:t xml:space="preserve">Over the past 12 months, 34 </w:t>
      </w:r>
      <w:r w:rsidRPr="00B64995">
        <w:rPr>
          <w:rFonts w:eastAsia="Calibri"/>
        </w:rPr>
        <w:t xml:space="preserve">staff members have undertaken change management training. While the staff members who benefited from the “deeper dive” in change management have been able to bring new change approaches to their work assignments and their team projects, they have also contributed to </w:t>
      </w:r>
      <w:proofErr w:type="gramStart"/>
      <w:r w:rsidRPr="00B64995">
        <w:rPr>
          <w:rFonts w:eastAsia="Calibri"/>
        </w:rPr>
        <w:t>a number of</w:t>
      </w:r>
      <w:proofErr w:type="gramEnd"/>
      <w:r w:rsidRPr="00B64995">
        <w:rPr>
          <w:rFonts w:eastAsia="Calibri"/>
        </w:rPr>
        <w:t xml:space="preserve"> key BDT initiatives.</w:t>
      </w:r>
    </w:p>
    <w:p w14:paraId="1CC7FE08" w14:textId="4F18F4F8" w:rsidR="006402C6" w:rsidRPr="00B64995" w:rsidRDefault="006402C6" w:rsidP="00026FC6">
      <w:pPr>
        <w:pStyle w:val="Heading2"/>
        <w:rPr>
          <w:lang w:eastAsia="en-GB"/>
        </w:rPr>
      </w:pPr>
      <w:bookmarkStart w:id="118" w:name="_Toc37943354"/>
      <w:bookmarkStart w:id="119" w:name="_Toc68811424"/>
      <w:r w:rsidRPr="00B64995">
        <w:rPr>
          <w:lang w:eastAsia="en-GB"/>
        </w:rPr>
        <w:t>2.4</w:t>
      </w:r>
      <w:r w:rsidR="00BB21D9" w:rsidRPr="00B64995">
        <w:rPr>
          <w:lang w:eastAsia="en-GB"/>
        </w:rPr>
        <w:tab/>
      </w:r>
      <w:r w:rsidRPr="00B64995">
        <w:rPr>
          <w:lang w:eastAsia="en-GB"/>
        </w:rPr>
        <w:t>General Secretariat</w:t>
      </w:r>
      <w:bookmarkEnd w:id="118"/>
      <w:bookmarkEnd w:id="119"/>
    </w:p>
    <w:p w14:paraId="280DC56F" w14:textId="02FFD615" w:rsidR="00464BDA" w:rsidRPr="00B64995" w:rsidRDefault="00464BDA" w:rsidP="00464BDA">
      <w:pPr>
        <w:jc w:val="both"/>
        <w:rPr>
          <w:lang w:eastAsia="en-GB"/>
        </w:rPr>
      </w:pPr>
    </w:p>
    <w:p w14:paraId="1DD12EB6" w14:textId="77777777" w:rsidR="0049337B" w:rsidRPr="00B64995" w:rsidRDefault="0049337B" w:rsidP="0049337B">
      <w:pPr>
        <w:rPr>
          <w:rFonts w:asciiTheme="majorHAnsi" w:eastAsiaTheme="majorEastAsia" w:hAnsiTheme="majorHAnsi" w:cstheme="majorBidi"/>
          <w:b/>
          <w:color w:val="2F5496"/>
          <w:lang w:eastAsia="en-GB"/>
        </w:rPr>
      </w:pPr>
      <w:r w:rsidRPr="00B64995">
        <w:rPr>
          <w:rFonts w:asciiTheme="majorHAnsi" w:eastAsiaTheme="majorEastAsia" w:hAnsiTheme="majorHAnsi" w:cstheme="majorBidi"/>
          <w:b/>
          <w:color w:val="2F5496"/>
          <w:lang w:eastAsia="en-GB"/>
        </w:rPr>
        <w:t>Enhancing efficiency and effectiveness of the organization</w:t>
      </w:r>
    </w:p>
    <w:p w14:paraId="7CF9C3AC" w14:textId="77777777" w:rsidR="0049337B" w:rsidRPr="00B64995" w:rsidRDefault="0049337B" w:rsidP="0049337B">
      <w:pPr>
        <w:jc w:val="both"/>
        <w:rPr>
          <w:lang w:eastAsia="en-GB"/>
        </w:rPr>
      </w:pPr>
    </w:p>
    <w:p w14:paraId="14D4893C" w14:textId="1B2826C7" w:rsidR="0049337B" w:rsidRPr="00B64995" w:rsidRDefault="0049337B" w:rsidP="0049337B">
      <w:pPr>
        <w:jc w:val="both"/>
        <w:rPr>
          <w:lang w:eastAsia="en-GB"/>
        </w:rPr>
      </w:pPr>
      <w:proofErr w:type="gramStart"/>
      <w:r w:rsidRPr="00B64995">
        <w:rPr>
          <w:lang w:eastAsia="en-GB"/>
        </w:rPr>
        <w:t>In order to</w:t>
      </w:r>
      <w:proofErr w:type="gramEnd"/>
      <w:r w:rsidRPr="00B64995">
        <w:rPr>
          <w:lang w:eastAsia="en-GB"/>
        </w:rPr>
        <w:t xml:space="preserve"> develop long-term managerial strategy for the organization, sustain performance and relevance of expertise, enable informed decision-making and demonstrate the impact of ITU’s work, several projects/initiatives have taken place during the reporting period, in coordination between the </w:t>
      </w:r>
      <w:r w:rsidR="00AA2EFC" w:rsidRPr="00B64995">
        <w:rPr>
          <w:lang w:eastAsia="en-GB"/>
        </w:rPr>
        <w:t>General Secretariat (</w:t>
      </w:r>
      <w:r w:rsidRPr="00B64995">
        <w:rPr>
          <w:lang w:eastAsia="en-GB"/>
        </w:rPr>
        <w:t>GS</w:t>
      </w:r>
      <w:r w:rsidR="00AA2EFC" w:rsidRPr="00B64995">
        <w:rPr>
          <w:lang w:eastAsia="en-GB"/>
        </w:rPr>
        <w:t>)</w:t>
      </w:r>
      <w:r w:rsidRPr="00B64995">
        <w:rPr>
          <w:lang w:eastAsia="en-GB"/>
        </w:rPr>
        <w:t xml:space="preserve"> and the </w:t>
      </w:r>
      <w:r w:rsidR="00AA2EFC" w:rsidRPr="00B64995">
        <w:rPr>
          <w:lang w:eastAsia="en-GB"/>
        </w:rPr>
        <w:t>B</w:t>
      </w:r>
      <w:r w:rsidRPr="00B64995">
        <w:rPr>
          <w:lang w:eastAsia="en-GB"/>
        </w:rPr>
        <w:t>ureaux, including:</w:t>
      </w:r>
    </w:p>
    <w:p w14:paraId="38A17E11" w14:textId="61FAF8C5" w:rsidR="0049337B" w:rsidRPr="00B64995" w:rsidRDefault="0049337B" w:rsidP="0049337B">
      <w:pPr>
        <w:pStyle w:val="ListParagraph"/>
        <w:numPr>
          <w:ilvl w:val="0"/>
          <w:numId w:val="63"/>
        </w:numPr>
        <w:contextualSpacing/>
        <w:jc w:val="both"/>
        <w:rPr>
          <w:lang w:val="en-GB" w:eastAsia="en-GB"/>
        </w:rPr>
      </w:pPr>
      <w:r w:rsidRPr="00B64995">
        <w:rPr>
          <w:lang w:val="en-GB" w:eastAsia="en-GB"/>
        </w:rPr>
        <w:t>Results-</w:t>
      </w:r>
      <w:r w:rsidR="00AA2EFC" w:rsidRPr="00B64995">
        <w:rPr>
          <w:lang w:val="en-GB" w:eastAsia="en-GB"/>
        </w:rPr>
        <w:t>b</w:t>
      </w:r>
      <w:r w:rsidRPr="00B64995">
        <w:rPr>
          <w:lang w:val="en-GB" w:eastAsia="en-GB"/>
        </w:rPr>
        <w:t xml:space="preserve">ased </w:t>
      </w:r>
      <w:r w:rsidR="00AA2EFC" w:rsidRPr="00B64995">
        <w:rPr>
          <w:lang w:val="en-GB" w:eastAsia="en-GB"/>
        </w:rPr>
        <w:t>m</w:t>
      </w:r>
      <w:r w:rsidRPr="00B64995">
        <w:rPr>
          <w:lang w:val="en-GB" w:eastAsia="en-GB"/>
        </w:rPr>
        <w:t>anagement/development of delegation of authority framework</w:t>
      </w:r>
    </w:p>
    <w:p w14:paraId="266E1FA7" w14:textId="77777777" w:rsidR="0049337B" w:rsidRPr="00B64995" w:rsidRDefault="0049337B" w:rsidP="0049337B">
      <w:pPr>
        <w:pStyle w:val="ListParagraph"/>
        <w:numPr>
          <w:ilvl w:val="0"/>
          <w:numId w:val="63"/>
        </w:numPr>
        <w:contextualSpacing/>
        <w:jc w:val="both"/>
        <w:rPr>
          <w:lang w:val="en-GB" w:eastAsia="en-GB"/>
        </w:rPr>
      </w:pPr>
      <w:r w:rsidRPr="00B64995">
        <w:rPr>
          <w:lang w:val="en-GB" w:eastAsia="en-GB"/>
        </w:rPr>
        <w:t>Implementation of the Risk Management Action Plan (</w:t>
      </w:r>
      <w:proofErr w:type="gramStart"/>
      <w:r w:rsidRPr="00B64995">
        <w:rPr>
          <w:lang w:val="en-GB" w:eastAsia="en-GB"/>
        </w:rPr>
        <w:t>i.e.</w:t>
      </w:r>
      <w:proofErr w:type="gramEnd"/>
      <w:r w:rsidRPr="00B64995">
        <w:rPr>
          <w:lang w:val="en-GB" w:eastAsia="en-GB"/>
        </w:rPr>
        <w:t xml:space="preserve"> the COSO framework and the three lines model)</w:t>
      </w:r>
    </w:p>
    <w:p w14:paraId="69C11C76" w14:textId="77777777" w:rsidR="0049337B" w:rsidRPr="00B64995" w:rsidRDefault="0049337B" w:rsidP="0049337B">
      <w:pPr>
        <w:pStyle w:val="ListParagraph"/>
        <w:numPr>
          <w:ilvl w:val="0"/>
          <w:numId w:val="63"/>
        </w:numPr>
        <w:contextualSpacing/>
        <w:jc w:val="both"/>
        <w:rPr>
          <w:lang w:val="en-GB" w:eastAsia="en-GB"/>
        </w:rPr>
      </w:pPr>
      <w:r w:rsidRPr="00B64995">
        <w:rPr>
          <w:lang w:val="en-GB" w:eastAsia="en-GB"/>
        </w:rPr>
        <w:t>Strengthening the ITU Accountability Framework</w:t>
      </w:r>
    </w:p>
    <w:p w14:paraId="306DD00E" w14:textId="77777777" w:rsidR="0049337B" w:rsidRPr="00B64995" w:rsidRDefault="0049337B" w:rsidP="0049337B">
      <w:pPr>
        <w:pStyle w:val="ListParagraph"/>
        <w:numPr>
          <w:ilvl w:val="0"/>
          <w:numId w:val="63"/>
        </w:numPr>
        <w:contextualSpacing/>
        <w:jc w:val="both"/>
        <w:rPr>
          <w:lang w:val="en-GB" w:eastAsia="en-GB"/>
        </w:rPr>
      </w:pPr>
      <w:r w:rsidRPr="00B64995">
        <w:rPr>
          <w:lang w:val="en-GB" w:eastAsia="en-GB"/>
        </w:rPr>
        <w:t>Development of the ITU Compliance Dashboard</w:t>
      </w:r>
    </w:p>
    <w:p w14:paraId="7FD38638" w14:textId="00B251B0" w:rsidR="0049337B" w:rsidRPr="00B64995" w:rsidRDefault="0049337B" w:rsidP="0049337B">
      <w:pPr>
        <w:pStyle w:val="ListParagraph"/>
        <w:numPr>
          <w:ilvl w:val="0"/>
          <w:numId w:val="63"/>
        </w:numPr>
        <w:contextualSpacing/>
        <w:jc w:val="both"/>
        <w:rPr>
          <w:lang w:val="en-GB" w:eastAsia="en-GB"/>
        </w:rPr>
      </w:pPr>
      <w:r w:rsidRPr="00B64995">
        <w:rPr>
          <w:lang w:val="en-GB" w:eastAsia="en-GB"/>
        </w:rPr>
        <w:t>“Leadership Cultural Assessment” and the “Cultural Diagnosis and Skills Gap”</w:t>
      </w:r>
      <w:r w:rsidR="00AD510C" w:rsidRPr="00B64995">
        <w:rPr>
          <w:lang w:val="en-GB" w:eastAsia="en-GB"/>
        </w:rPr>
        <w:t>.</w:t>
      </w:r>
    </w:p>
    <w:p w14:paraId="674615AE" w14:textId="77777777" w:rsidR="00464BDA" w:rsidRPr="00B64995" w:rsidRDefault="00464BDA" w:rsidP="00464BDA">
      <w:pPr>
        <w:jc w:val="both"/>
        <w:rPr>
          <w:lang w:eastAsia="en-GB"/>
        </w:rPr>
      </w:pPr>
    </w:p>
    <w:p w14:paraId="29A19698" w14:textId="6A7F3AFD" w:rsidR="00981A21" w:rsidRPr="00B64995" w:rsidRDefault="00981A21" w:rsidP="00A83DAA">
      <w:pPr>
        <w:pStyle w:val="Heading5"/>
        <w:rPr>
          <w:lang w:eastAsia="en-GB"/>
        </w:rPr>
      </w:pPr>
      <w:r w:rsidRPr="00B64995">
        <w:rPr>
          <w:lang w:eastAsia="en-GB"/>
        </w:rPr>
        <w:t>ITU Sector Members, Associates and Academia: key stakeholder groups in ITU´s activities</w:t>
      </w:r>
    </w:p>
    <w:p w14:paraId="371AFFF7" w14:textId="6B7C46FD" w:rsidR="00981A21" w:rsidRPr="00B64995" w:rsidRDefault="00981A21" w:rsidP="00981A21">
      <w:pPr>
        <w:jc w:val="both"/>
      </w:pPr>
      <w:r w:rsidRPr="00B64995">
        <w:t xml:space="preserve">ITU Sector </w:t>
      </w:r>
      <w:r w:rsidR="00FA0430" w:rsidRPr="00B64995">
        <w:t>M</w:t>
      </w:r>
      <w:r w:rsidRPr="00B64995">
        <w:t>embers, Associates</w:t>
      </w:r>
      <w:r w:rsidR="00FA0430" w:rsidRPr="00B64995">
        <w:t>,</w:t>
      </w:r>
      <w:r w:rsidRPr="00B64995">
        <w:t xml:space="preserve"> and Academia play a fundamental role in the activities on the Union. </w:t>
      </w:r>
      <w:r w:rsidR="0069651A" w:rsidRPr="00B64995">
        <w:t>I</w:t>
      </w:r>
      <w:r w:rsidRPr="00B64995">
        <w:t>TU’s global membership includes companies, universities, research institutes, and international and regional organizations that represent a cross-section of the global ICT sector, from the world's largest manufacturers and carriers to small, innovative players working with new and emerging technologies.</w:t>
      </w:r>
    </w:p>
    <w:p w14:paraId="6D5867F2" w14:textId="77777777" w:rsidR="0069651A" w:rsidRPr="00B64995" w:rsidRDefault="0069651A" w:rsidP="00981A21">
      <w:pPr>
        <w:jc w:val="both"/>
      </w:pPr>
    </w:p>
    <w:p w14:paraId="6C000DBE" w14:textId="4FA57CE2" w:rsidR="0049723A" w:rsidRPr="00B64995" w:rsidRDefault="00981A21" w:rsidP="00981A21">
      <w:pPr>
        <w:jc w:val="both"/>
      </w:pPr>
      <w:r w:rsidRPr="00B64995">
        <w:t xml:space="preserve">During the last </w:t>
      </w:r>
      <w:r w:rsidR="002D63A6" w:rsidRPr="00B64995">
        <w:t xml:space="preserve">two </w:t>
      </w:r>
      <w:r w:rsidRPr="00B64995">
        <w:t>year</w:t>
      </w:r>
      <w:r w:rsidR="002D63A6" w:rsidRPr="00B64995">
        <w:t>s</w:t>
      </w:r>
      <w:r w:rsidRPr="00B64995">
        <w:t xml:space="preserve">, the ITU </w:t>
      </w:r>
      <w:r w:rsidR="000518CC" w:rsidRPr="00B64995">
        <w:t>s</w:t>
      </w:r>
      <w:r w:rsidRPr="00B64995">
        <w:t xml:space="preserve">ecretariat continued implementation of a coordinated strategy launched several years ago to reach out to new audiences to </w:t>
      </w:r>
      <w:r w:rsidR="0B5C6D1C" w:rsidRPr="00B64995">
        <w:t>grow</w:t>
      </w:r>
      <w:r w:rsidRPr="00B64995">
        <w:t xml:space="preserve"> and diversify ITU’s membership, while applying a customer-centred approach to improve the services provided to its members, so that they are engaged, </w:t>
      </w:r>
      <w:proofErr w:type="gramStart"/>
      <w:r w:rsidRPr="00B64995">
        <w:t>involved</w:t>
      </w:r>
      <w:proofErr w:type="gramEnd"/>
      <w:r w:rsidRPr="00B64995">
        <w:t xml:space="preserve"> and empowered by ITU activities.</w:t>
      </w:r>
    </w:p>
    <w:p w14:paraId="34BE21A8" w14:textId="4C3D700A" w:rsidR="0069651A" w:rsidRPr="00B64995" w:rsidRDefault="0069651A" w:rsidP="00981A21">
      <w:pPr>
        <w:jc w:val="both"/>
      </w:pPr>
    </w:p>
    <w:p w14:paraId="7BE21767" w14:textId="450F7CB8" w:rsidR="0049723A" w:rsidRPr="00B64995" w:rsidRDefault="00981A21" w:rsidP="00981A21">
      <w:pPr>
        <w:jc w:val="both"/>
      </w:pPr>
      <w:r w:rsidRPr="00B64995">
        <w:lastRenderedPageBreak/>
        <w:t xml:space="preserve">An important element of this coordinated outreach and customer-centric focus has been the implementation of initiatives such as </w:t>
      </w:r>
      <w:r w:rsidR="6B40EA60" w:rsidRPr="00B64995">
        <w:t xml:space="preserve">digital marketing campaigns to reach new audiences, </w:t>
      </w:r>
      <w:r w:rsidR="76145021" w:rsidRPr="00B64995">
        <w:t xml:space="preserve">including leading companies as well as SMEs and Academia, </w:t>
      </w:r>
      <w:r w:rsidR="6A4C9177" w:rsidRPr="00B64995">
        <w:t>an</w:t>
      </w:r>
      <w:r w:rsidRPr="00B64995">
        <w:t xml:space="preserve"> annual survey </w:t>
      </w:r>
      <w:r w:rsidR="00C65AC5" w:rsidRPr="00B64995">
        <w:t xml:space="preserve">intended to gather feedback from the </w:t>
      </w:r>
      <w:r w:rsidRPr="00B64995">
        <w:t xml:space="preserve">ITU </w:t>
      </w:r>
      <w:r w:rsidR="00C65AC5" w:rsidRPr="00B64995">
        <w:t xml:space="preserve">membership in </w:t>
      </w:r>
      <w:r w:rsidRPr="00B64995">
        <w:t xml:space="preserve">industry and </w:t>
      </w:r>
      <w:r w:rsidR="00C65AC5" w:rsidRPr="00B64995">
        <w:t>A</w:t>
      </w:r>
      <w:r w:rsidRPr="00B64995">
        <w:t xml:space="preserve">cademia, ITU News articles </w:t>
      </w:r>
      <w:r w:rsidR="645CA001" w:rsidRPr="00B64995">
        <w:t>and ITU News Magazines</w:t>
      </w:r>
      <w:r w:rsidRPr="00B64995">
        <w:t xml:space="preserve"> highlighting </w:t>
      </w:r>
      <w:r w:rsidR="37F93567" w:rsidRPr="00B64995">
        <w:t xml:space="preserve">ITU and </w:t>
      </w:r>
      <w:r w:rsidRPr="00B64995">
        <w:t>member</w:t>
      </w:r>
      <w:r w:rsidR="00C65AC5" w:rsidRPr="00B64995">
        <w:t>ship</w:t>
      </w:r>
      <w:r w:rsidRPr="00B64995">
        <w:t xml:space="preserve"> activities, and </w:t>
      </w:r>
      <w:r w:rsidR="318CC952" w:rsidRPr="00B64995">
        <w:t xml:space="preserve">the </w:t>
      </w:r>
      <w:r w:rsidRPr="00B64995">
        <w:t xml:space="preserve">“My ITU” platform, which </w:t>
      </w:r>
      <w:r w:rsidR="4774CBC7" w:rsidRPr="00B64995">
        <w:t xml:space="preserve">was launched in </w:t>
      </w:r>
      <w:r w:rsidR="00C65AC5" w:rsidRPr="00B64995">
        <w:t>b</w:t>
      </w:r>
      <w:r w:rsidR="4774CBC7" w:rsidRPr="00B64995">
        <w:t xml:space="preserve">eta format in June 2020. </w:t>
      </w:r>
      <w:r w:rsidR="0023D993" w:rsidRPr="00B64995">
        <w:t xml:space="preserve">A first step towards the new </w:t>
      </w:r>
      <w:proofErr w:type="spellStart"/>
      <w:r w:rsidR="1D97E28B" w:rsidRPr="00B64995">
        <w:t>One</w:t>
      </w:r>
      <w:r w:rsidR="67688A36" w:rsidRPr="00B64995">
        <w:t>ITU</w:t>
      </w:r>
      <w:proofErr w:type="spellEnd"/>
      <w:r w:rsidR="0023D993" w:rsidRPr="00B64995">
        <w:t xml:space="preserve"> website, </w:t>
      </w:r>
      <w:proofErr w:type="spellStart"/>
      <w:r w:rsidR="0023D993" w:rsidRPr="00B64995">
        <w:t>MyITU</w:t>
      </w:r>
      <w:proofErr w:type="spellEnd"/>
      <w:r w:rsidRPr="00B64995">
        <w:t xml:space="preserve"> provide</w:t>
      </w:r>
      <w:r w:rsidR="64F1AB46" w:rsidRPr="00B64995">
        <w:t>s</w:t>
      </w:r>
      <w:r w:rsidRPr="00B64995">
        <w:t xml:space="preserve"> thematic content tailored to the interests of members as well as new audiences who are less familiar with ITU, including SMEs, </w:t>
      </w:r>
      <w:proofErr w:type="gramStart"/>
      <w:r w:rsidRPr="00B64995">
        <w:t>Academia</w:t>
      </w:r>
      <w:proofErr w:type="gramEnd"/>
      <w:r w:rsidRPr="00B64995">
        <w:t xml:space="preserve"> and players from other industries.</w:t>
      </w:r>
    </w:p>
    <w:p w14:paraId="213C3BA3" w14:textId="304FAE65" w:rsidR="00981A21" w:rsidRPr="00B64995" w:rsidRDefault="00981A21" w:rsidP="00981A21">
      <w:pPr>
        <w:jc w:val="both"/>
      </w:pPr>
    </w:p>
    <w:p w14:paraId="53195A06" w14:textId="49CE0168" w:rsidR="00981A21" w:rsidRPr="00B64995" w:rsidRDefault="00981A21" w:rsidP="00981A21">
      <w:pPr>
        <w:jc w:val="both"/>
      </w:pPr>
      <w:r w:rsidRPr="00B64995">
        <w:t>Building on initiatives led by the three Bureaux to meet the specific expectations of their Sector audiences, these ITU-wide</w:t>
      </w:r>
      <w:r w:rsidR="0069651A" w:rsidRPr="00B64995">
        <w:t xml:space="preserve"> </w:t>
      </w:r>
      <w:r w:rsidRPr="00B64995">
        <w:t>initiatives</w:t>
      </w:r>
      <w:r w:rsidR="592AF4F0" w:rsidRPr="00B64995">
        <w:t xml:space="preserve">, which </w:t>
      </w:r>
      <w:r w:rsidR="2A6A01B4" w:rsidRPr="00B64995">
        <w:t xml:space="preserve">rely on </w:t>
      </w:r>
      <w:r w:rsidR="592AF4F0" w:rsidRPr="00B64995">
        <w:t>new digital platforms</w:t>
      </w:r>
      <w:r w:rsidR="6AECDD29" w:rsidRPr="00B64995">
        <w:t xml:space="preserve">, </w:t>
      </w:r>
      <w:proofErr w:type="gramStart"/>
      <w:r w:rsidR="6AECDD29" w:rsidRPr="00B64995">
        <w:t>skills</w:t>
      </w:r>
      <w:proofErr w:type="gramEnd"/>
      <w:r w:rsidR="592AF4F0" w:rsidRPr="00B64995">
        <w:t xml:space="preserve"> and techniques, including digital marketing and data analytics,</w:t>
      </w:r>
      <w:r w:rsidRPr="00B64995">
        <w:t xml:space="preserve"> are helping the </w:t>
      </w:r>
      <w:r w:rsidR="000518CC" w:rsidRPr="00B64995">
        <w:t>s</w:t>
      </w:r>
      <w:r w:rsidRPr="00B64995">
        <w:t xml:space="preserve">ecretariat better understand and adjust to the needs and areas of interest of its </w:t>
      </w:r>
      <w:r w:rsidR="009002E1" w:rsidRPr="00B64995">
        <w:t>m</w:t>
      </w:r>
      <w:r w:rsidRPr="00B64995">
        <w:t>embership as well as prospective new members and the broader ICT community.</w:t>
      </w:r>
    </w:p>
    <w:p w14:paraId="51098F0E" w14:textId="77777777" w:rsidR="0069651A" w:rsidRPr="00B64995" w:rsidRDefault="0069651A" w:rsidP="00981A2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E5F4"/>
        <w:tblLook w:val="04A0" w:firstRow="1" w:lastRow="0" w:firstColumn="1" w:lastColumn="0" w:noHBand="0" w:noVBand="1"/>
      </w:tblPr>
      <w:tblGrid>
        <w:gridCol w:w="9016"/>
      </w:tblGrid>
      <w:tr w:rsidR="00981A21" w:rsidRPr="00B64995" w14:paraId="75F3AFC5" w14:textId="77777777" w:rsidTr="57F7D656">
        <w:trPr>
          <w:cantSplit/>
        </w:trPr>
        <w:tc>
          <w:tcPr>
            <w:tcW w:w="9016" w:type="dxa"/>
            <w:shd w:val="clear" w:color="auto" w:fill="DCE5F4"/>
          </w:tcPr>
          <w:p w14:paraId="4CB7CD31" w14:textId="7F18D3E3" w:rsidR="00981A21" w:rsidRPr="00B87922" w:rsidRDefault="059A131F" w:rsidP="11155440">
            <w:pPr>
              <w:pStyle w:val="boxhead"/>
              <w:rPr>
                <w:lang w:val="en-GB"/>
              </w:rPr>
            </w:pPr>
            <w:r w:rsidRPr="00B64995">
              <w:t>Box 1. ITU Membership Survey 20</w:t>
            </w:r>
            <w:r w:rsidR="4AA12DE7" w:rsidRPr="00B64995">
              <w:t>20</w:t>
            </w:r>
          </w:p>
          <w:p w14:paraId="59B243B8" w14:textId="32DF893E" w:rsidR="00981A21" w:rsidRPr="00B87922" w:rsidRDefault="00981A21" w:rsidP="11155440">
            <w:pPr>
              <w:pStyle w:val="boxhead"/>
              <w:rPr>
                <w:lang w:val="en-GB"/>
              </w:rPr>
            </w:pPr>
            <w:r w:rsidRPr="00B64995">
              <w:t xml:space="preserve">High </w:t>
            </w:r>
            <w:r w:rsidR="007A7B88" w:rsidRPr="00B64995">
              <w:t>r</w:t>
            </w:r>
            <w:r w:rsidRPr="00B64995">
              <w:t xml:space="preserve">esponse rate: </w:t>
            </w:r>
            <w:r w:rsidR="059A131F" w:rsidRPr="00B64995">
              <w:t>2</w:t>
            </w:r>
            <w:r w:rsidR="5EC96DA9" w:rsidRPr="00B64995">
              <w:t>3</w:t>
            </w:r>
            <w:r w:rsidRPr="00B64995">
              <w:t xml:space="preserve">% of ITU </w:t>
            </w:r>
            <w:r w:rsidR="009002E1" w:rsidRPr="00B64995">
              <w:t>m</w:t>
            </w:r>
            <w:r w:rsidRPr="00B64995">
              <w:t>ember</w:t>
            </w:r>
            <w:r w:rsidR="009002E1" w:rsidRPr="00B64995">
              <w:t>ship</w:t>
            </w:r>
            <w:r w:rsidRPr="00B64995">
              <w:t xml:space="preserve"> from </w:t>
            </w:r>
            <w:r w:rsidR="17C72A90" w:rsidRPr="00B64995">
              <w:t>59</w:t>
            </w:r>
            <w:r w:rsidRPr="00B64995">
              <w:t xml:space="preserve"> countries. Good representation between Sectors, </w:t>
            </w:r>
            <w:proofErr w:type="gramStart"/>
            <w:r w:rsidR="007A7B88" w:rsidRPr="00B64995">
              <w:t>c</w:t>
            </w:r>
            <w:r w:rsidRPr="00B64995">
              <w:t>ategories</w:t>
            </w:r>
            <w:proofErr w:type="gramEnd"/>
            <w:r w:rsidRPr="00B64995">
              <w:t xml:space="preserve"> and </w:t>
            </w:r>
            <w:r w:rsidR="007A7B88" w:rsidRPr="00B64995">
              <w:t>r</w:t>
            </w:r>
            <w:r w:rsidRPr="00B64995">
              <w:t>egions.</w:t>
            </w:r>
          </w:p>
          <w:p w14:paraId="36AC09D5" w14:textId="77777777" w:rsidR="00C02906" w:rsidRPr="00B87922" w:rsidRDefault="00981A21" w:rsidP="00CA1CC1">
            <w:pPr>
              <w:pStyle w:val="boxbullet"/>
              <w:rPr>
                <w:lang w:val="en-GB"/>
              </w:rPr>
            </w:pPr>
            <w:r w:rsidRPr="00B64995">
              <w:t>Very high level of satisfaction</w:t>
            </w:r>
            <w:r w:rsidR="00C02906" w:rsidRPr="00B64995">
              <w:t>:</w:t>
            </w:r>
          </w:p>
          <w:p w14:paraId="7DD6078C" w14:textId="686B1164" w:rsidR="00981A21" w:rsidRPr="00B87922" w:rsidRDefault="059A131F" w:rsidP="00CA1CC1">
            <w:pPr>
              <w:pStyle w:val="Boxbullet2"/>
              <w:rPr>
                <w:lang w:val="en-GB"/>
              </w:rPr>
            </w:pPr>
            <w:r w:rsidRPr="00B64995">
              <w:rPr>
                <w:b/>
                <w:bCs/>
              </w:rPr>
              <w:t>9</w:t>
            </w:r>
            <w:r w:rsidR="4C744AF2" w:rsidRPr="00B64995">
              <w:rPr>
                <w:b/>
                <w:bCs/>
              </w:rPr>
              <w:t>8</w:t>
            </w:r>
            <w:r w:rsidR="00981A21" w:rsidRPr="00B64995">
              <w:rPr>
                <w:b/>
                <w:bCs/>
              </w:rPr>
              <w:t xml:space="preserve">% of respondents are satisfied/very satisfied with </w:t>
            </w:r>
            <w:proofErr w:type="gramStart"/>
            <w:r w:rsidR="00981A21" w:rsidRPr="00B64995">
              <w:rPr>
                <w:b/>
                <w:bCs/>
              </w:rPr>
              <w:t>ITU</w:t>
            </w:r>
            <w:proofErr w:type="gramEnd"/>
          </w:p>
          <w:p w14:paraId="3BE3BC27" w14:textId="6E871C31" w:rsidR="0049723A" w:rsidRPr="00B87922" w:rsidRDefault="059A131F" w:rsidP="00CA1CC1">
            <w:pPr>
              <w:pStyle w:val="Boxbullet2"/>
              <w:rPr>
                <w:lang w:val="en-GB"/>
              </w:rPr>
            </w:pPr>
            <w:r w:rsidRPr="00B64995">
              <w:rPr>
                <w:b/>
                <w:bCs/>
              </w:rPr>
              <w:t>9</w:t>
            </w:r>
            <w:r w:rsidR="30D3AD24" w:rsidRPr="00B64995">
              <w:rPr>
                <w:b/>
                <w:bCs/>
              </w:rPr>
              <w:t>9</w:t>
            </w:r>
            <w:r w:rsidR="00981A21" w:rsidRPr="00B64995">
              <w:rPr>
                <w:b/>
                <w:bCs/>
              </w:rPr>
              <w:t>% are satisfied/very satisfied with the value they get from their membership</w:t>
            </w:r>
            <w:r w:rsidR="00981A21" w:rsidRPr="00B64995">
              <w:t>.</w:t>
            </w:r>
          </w:p>
          <w:p w14:paraId="2196CC01" w14:textId="55410EDB" w:rsidR="00C02906" w:rsidRPr="00B87922" w:rsidRDefault="00981A21" w:rsidP="00CA1CC1">
            <w:pPr>
              <w:pStyle w:val="boxbullet"/>
              <w:rPr>
                <w:lang w:val="en-GB"/>
              </w:rPr>
            </w:pPr>
            <w:r w:rsidRPr="00B64995">
              <w:t>Main areas of interest</w:t>
            </w:r>
            <w:r w:rsidR="00C02906" w:rsidRPr="00B64995">
              <w:t>:</w:t>
            </w:r>
          </w:p>
          <w:p w14:paraId="47DA5924" w14:textId="43AFA2A5" w:rsidR="0049723A" w:rsidRPr="00B87922" w:rsidRDefault="00981A21" w:rsidP="159AC0B5">
            <w:pPr>
              <w:pStyle w:val="Boxbullet2"/>
              <w:rPr>
                <w:lang w:val="en-GB"/>
              </w:rPr>
            </w:pPr>
            <w:r w:rsidRPr="00B64995">
              <w:rPr>
                <w:b/>
                <w:bCs/>
              </w:rPr>
              <w:t>5G</w:t>
            </w:r>
            <w:r w:rsidRPr="00B64995">
              <w:t xml:space="preserve"> (</w:t>
            </w:r>
            <w:r w:rsidR="059A131F" w:rsidRPr="00B64995">
              <w:t>7</w:t>
            </w:r>
            <w:r w:rsidR="5781C193" w:rsidRPr="00B64995">
              <w:t>1</w:t>
            </w:r>
            <w:r w:rsidRPr="00B64995">
              <w:t xml:space="preserve">%), </w:t>
            </w:r>
            <w:r w:rsidR="007A7B88" w:rsidRPr="00B64995">
              <w:rPr>
                <w:b/>
                <w:bCs/>
              </w:rPr>
              <w:t>s</w:t>
            </w:r>
            <w:r w:rsidRPr="00B64995">
              <w:rPr>
                <w:b/>
                <w:bCs/>
              </w:rPr>
              <w:t>tandards</w:t>
            </w:r>
            <w:r w:rsidRPr="00B64995">
              <w:t xml:space="preserve"> (</w:t>
            </w:r>
            <w:r w:rsidR="059A131F" w:rsidRPr="00B64995">
              <w:t>5</w:t>
            </w:r>
            <w:r w:rsidR="2400B9D2" w:rsidRPr="00B64995">
              <w:t>7</w:t>
            </w:r>
            <w:r w:rsidRPr="00B64995">
              <w:t xml:space="preserve">%), </w:t>
            </w:r>
            <w:r w:rsidR="77A8A7E7" w:rsidRPr="00B64995">
              <w:rPr>
                <w:b/>
                <w:bCs/>
              </w:rPr>
              <w:t>Internet of Things</w:t>
            </w:r>
            <w:r w:rsidR="77A8A7E7" w:rsidRPr="00B64995">
              <w:t xml:space="preserve"> (54%),</w:t>
            </w:r>
            <w:r w:rsidR="77A8A7E7" w:rsidRPr="00B64995">
              <w:rPr>
                <w:b/>
                <w:bCs/>
              </w:rPr>
              <w:t xml:space="preserve"> </w:t>
            </w:r>
            <w:r w:rsidR="007A7B88" w:rsidRPr="00B64995">
              <w:rPr>
                <w:b/>
                <w:bCs/>
              </w:rPr>
              <w:t>a</w:t>
            </w:r>
            <w:r w:rsidRPr="00B64995">
              <w:rPr>
                <w:b/>
                <w:bCs/>
              </w:rPr>
              <w:t xml:space="preserve">rtificial </w:t>
            </w:r>
            <w:r w:rsidR="007A7B88" w:rsidRPr="00B64995">
              <w:rPr>
                <w:b/>
                <w:bCs/>
              </w:rPr>
              <w:t>i</w:t>
            </w:r>
            <w:r w:rsidRPr="00B64995">
              <w:rPr>
                <w:b/>
                <w:bCs/>
              </w:rPr>
              <w:t>ntelligence</w:t>
            </w:r>
            <w:r w:rsidRPr="00B64995">
              <w:t xml:space="preserve"> (</w:t>
            </w:r>
            <w:r w:rsidR="384F0BDF" w:rsidRPr="00B64995">
              <w:t>50</w:t>
            </w:r>
            <w:r w:rsidRPr="00B64995">
              <w:t xml:space="preserve">%), </w:t>
            </w:r>
            <w:r w:rsidR="007A7B88" w:rsidRPr="00B64995">
              <w:rPr>
                <w:b/>
                <w:bCs/>
              </w:rPr>
              <w:t>s</w:t>
            </w:r>
            <w:r w:rsidRPr="00B64995">
              <w:rPr>
                <w:b/>
                <w:bCs/>
              </w:rPr>
              <w:t xml:space="preserve">mart </w:t>
            </w:r>
            <w:r w:rsidR="007A7B88" w:rsidRPr="00B64995">
              <w:rPr>
                <w:b/>
                <w:bCs/>
              </w:rPr>
              <w:t>c</w:t>
            </w:r>
            <w:r w:rsidRPr="00B64995">
              <w:rPr>
                <w:b/>
                <w:bCs/>
              </w:rPr>
              <w:t>ities</w:t>
            </w:r>
            <w:r w:rsidRPr="00B64995">
              <w:t xml:space="preserve"> (</w:t>
            </w:r>
            <w:r w:rsidR="059A131F" w:rsidRPr="00B64995">
              <w:t>3</w:t>
            </w:r>
            <w:r w:rsidR="2398524A" w:rsidRPr="00B64995">
              <w:t>7</w:t>
            </w:r>
            <w:r w:rsidRPr="00B64995">
              <w:t xml:space="preserve">%), </w:t>
            </w:r>
            <w:r w:rsidR="007A7B88" w:rsidRPr="00B64995">
              <w:rPr>
                <w:b/>
                <w:bCs/>
              </w:rPr>
              <w:t>d</w:t>
            </w:r>
            <w:r w:rsidR="186A4D30" w:rsidRPr="00B64995">
              <w:rPr>
                <w:b/>
                <w:bCs/>
              </w:rPr>
              <w:t xml:space="preserve">igital </w:t>
            </w:r>
            <w:r w:rsidR="007A7B88" w:rsidRPr="00B64995">
              <w:rPr>
                <w:b/>
                <w:bCs/>
              </w:rPr>
              <w:t>t</w:t>
            </w:r>
            <w:r w:rsidR="186A4D30" w:rsidRPr="00B64995">
              <w:rPr>
                <w:b/>
                <w:bCs/>
              </w:rPr>
              <w:t>ransformation</w:t>
            </w:r>
            <w:r w:rsidR="186A4D30" w:rsidRPr="00B64995">
              <w:t xml:space="preserve"> (37%),</w:t>
            </w:r>
            <w:r w:rsidR="186A4D30" w:rsidRPr="00B64995">
              <w:rPr>
                <w:b/>
                <w:bCs/>
              </w:rPr>
              <w:t xml:space="preserve"> </w:t>
            </w:r>
            <w:r w:rsidR="007A7B88" w:rsidRPr="00B64995">
              <w:rPr>
                <w:b/>
                <w:bCs/>
              </w:rPr>
              <w:t>i</w:t>
            </w:r>
            <w:r w:rsidRPr="00B64995">
              <w:rPr>
                <w:b/>
                <w:bCs/>
              </w:rPr>
              <w:t>nfrastructure</w:t>
            </w:r>
            <w:r w:rsidRPr="00B64995">
              <w:t xml:space="preserve"> (</w:t>
            </w:r>
            <w:r w:rsidR="059A131F" w:rsidRPr="00B64995">
              <w:t>3</w:t>
            </w:r>
            <w:r w:rsidR="69C5D2B4" w:rsidRPr="00B64995">
              <w:t>5</w:t>
            </w:r>
            <w:r w:rsidRPr="00B64995">
              <w:t xml:space="preserve">%), </w:t>
            </w:r>
            <w:r w:rsidR="007A7B88" w:rsidRPr="00B64995">
              <w:rPr>
                <w:b/>
                <w:bCs/>
              </w:rPr>
              <w:t>c</w:t>
            </w:r>
            <w:r w:rsidRPr="00B64995">
              <w:rPr>
                <w:b/>
                <w:bCs/>
              </w:rPr>
              <w:t>ybersecurity</w:t>
            </w:r>
            <w:r w:rsidRPr="00B64995">
              <w:t xml:space="preserve"> (</w:t>
            </w:r>
            <w:r w:rsidR="059A131F" w:rsidRPr="00B64995">
              <w:t>3</w:t>
            </w:r>
            <w:r w:rsidR="66AFB865" w:rsidRPr="00B64995">
              <w:t>4</w:t>
            </w:r>
            <w:r w:rsidRPr="00B64995">
              <w:t xml:space="preserve">%), </w:t>
            </w:r>
            <w:r w:rsidRPr="00B64995">
              <w:rPr>
                <w:b/>
                <w:bCs/>
              </w:rPr>
              <w:t xml:space="preserve">and </w:t>
            </w:r>
            <w:r w:rsidR="007A7B88" w:rsidRPr="00B64995">
              <w:rPr>
                <w:b/>
                <w:bCs/>
              </w:rPr>
              <w:t>s</w:t>
            </w:r>
            <w:r w:rsidR="292573D0" w:rsidRPr="00B64995">
              <w:rPr>
                <w:b/>
                <w:bCs/>
              </w:rPr>
              <w:t xml:space="preserve">atellite </w:t>
            </w:r>
            <w:r w:rsidR="292573D0" w:rsidRPr="00B64995">
              <w:t>(32</w:t>
            </w:r>
            <w:r w:rsidRPr="00B64995">
              <w:t>%).</w:t>
            </w:r>
          </w:p>
          <w:p w14:paraId="30849FBA" w14:textId="43FF6BE8" w:rsidR="0049723A" w:rsidRPr="00B87922" w:rsidRDefault="63FF4EF2" w:rsidP="00CA1CC1">
            <w:pPr>
              <w:pStyle w:val="boxbullet"/>
              <w:rPr>
                <w:lang w:val="en-GB"/>
              </w:rPr>
            </w:pPr>
            <w:r w:rsidRPr="00B64995">
              <w:t>79</w:t>
            </w:r>
            <w:r w:rsidR="00981A21" w:rsidRPr="00B64995">
              <w:t>% of respondents would be interested to receive ITU content on the areas they selected.</w:t>
            </w:r>
          </w:p>
          <w:p w14:paraId="036C89EB" w14:textId="3966EE80" w:rsidR="00981A21" w:rsidRPr="00B87922" w:rsidRDefault="00C92B45" w:rsidP="00371DEE">
            <w:pPr>
              <w:pStyle w:val="boxbullet"/>
              <w:rPr>
                <w:lang w:val="en-GB"/>
              </w:rPr>
            </w:pPr>
            <w:r w:rsidRPr="00B64995">
              <w:t xml:space="preserve">Much of the membership plans to increase </w:t>
            </w:r>
            <w:r w:rsidR="00981A21" w:rsidRPr="00B64995">
              <w:t xml:space="preserve">participation, especially in study groups, </w:t>
            </w:r>
            <w:r w:rsidR="30A5BD93" w:rsidRPr="00B64995">
              <w:t xml:space="preserve">followed by webinars, workshops and seminars, </w:t>
            </w:r>
            <w:r w:rsidR="00981A21" w:rsidRPr="00B64995">
              <w:t xml:space="preserve">and to </w:t>
            </w:r>
            <w:r w:rsidRPr="00B64995">
              <w:t xml:space="preserve">increase </w:t>
            </w:r>
            <w:r w:rsidR="00981A21" w:rsidRPr="00B64995">
              <w:t xml:space="preserve">use </w:t>
            </w:r>
            <w:r w:rsidRPr="00B64995">
              <w:t xml:space="preserve">of </w:t>
            </w:r>
            <w:r w:rsidR="00981A21" w:rsidRPr="00B64995">
              <w:t>remote participation</w:t>
            </w:r>
            <w:r w:rsidRPr="00B64995">
              <w:t>.</w:t>
            </w:r>
            <w:r w:rsidR="00981A21" w:rsidRPr="00B64995">
              <w:t xml:space="preserve"> </w:t>
            </w:r>
          </w:p>
        </w:tc>
      </w:tr>
    </w:tbl>
    <w:p w14:paraId="20AB09A3" w14:textId="77777777" w:rsidR="00981A21" w:rsidRPr="00B64995" w:rsidRDefault="00981A21" w:rsidP="00981A21">
      <w:pPr>
        <w:jc w:val="both"/>
      </w:pPr>
    </w:p>
    <w:p w14:paraId="232F7040" w14:textId="3CFBFD1E" w:rsidR="0049723A" w:rsidRPr="00B64995" w:rsidRDefault="00981A21" w:rsidP="16A50D3C">
      <w:pPr>
        <w:jc w:val="both"/>
      </w:pPr>
      <w:r w:rsidRPr="00B64995">
        <w:rPr>
          <w:lang w:eastAsia="en-GB"/>
        </w:rPr>
        <w:t>ITU</w:t>
      </w:r>
      <w:r w:rsidR="0AA80D97" w:rsidRPr="00B64995">
        <w:rPr>
          <w:lang w:eastAsia="en-GB"/>
        </w:rPr>
        <w:t xml:space="preserve"> </w:t>
      </w:r>
      <w:r w:rsidRPr="00B64995">
        <w:rPr>
          <w:lang w:eastAsia="en-GB"/>
        </w:rPr>
        <w:t xml:space="preserve">membership </w:t>
      </w:r>
      <w:r w:rsidR="00C92B45" w:rsidRPr="00B64995">
        <w:rPr>
          <w:lang w:eastAsia="en-GB"/>
        </w:rPr>
        <w:t xml:space="preserve">was </w:t>
      </w:r>
      <w:r w:rsidR="48D9020C" w:rsidRPr="00B64995">
        <w:rPr>
          <w:lang w:eastAsia="en-GB"/>
        </w:rPr>
        <w:t>stable in 2020 despite COVID and global slowdown</w:t>
      </w:r>
      <w:r w:rsidR="00C92B45" w:rsidRPr="00B64995">
        <w:rPr>
          <w:lang w:eastAsia="en-GB"/>
        </w:rPr>
        <w:t>.</w:t>
      </w:r>
      <w:r w:rsidR="48D9020C" w:rsidRPr="00B64995">
        <w:rPr>
          <w:lang w:eastAsia="en-GB"/>
        </w:rPr>
        <w:t xml:space="preserve"> </w:t>
      </w:r>
      <w:r w:rsidRPr="00B64995">
        <w:t xml:space="preserve">In addition, ITU has </w:t>
      </w:r>
      <w:r w:rsidR="3A81C908" w:rsidRPr="00B64995">
        <w:t>continued its</w:t>
      </w:r>
      <w:r w:rsidRPr="00B64995">
        <w:t xml:space="preserve"> proactive approach to attract new members from </w:t>
      </w:r>
      <w:r w:rsidR="0E19D317" w:rsidRPr="00B64995">
        <w:t>the telecom/ICT field, as well as a</w:t>
      </w:r>
      <w:r w:rsidRPr="00B64995">
        <w:t xml:space="preserve">cross a wide range of new industries and sectors. </w:t>
      </w:r>
      <w:r w:rsidR="3EC8BEC4" w:rsidRPr="00B64995">
        <w:t xml:space="preserve">Despite the challenges of COVID and the global economic slowdown, </w:t>
      </w:r>
      <w:r w:rsidR="3206D9C1" w:rsidRPr="00B64995">
        <w:t>and some resulting consolidation in the industry,</w:t>
      </w:r>
      <w:r w:rsidR="00C92B45" w:rsidRPr="00B64995">
        <w:t xml:space="preserve"> </w:t>
      </w:r>
      <w:r w:rsidRPr="00B64995">
        <w:t xml:space="preserve">ITU membership </w:t>
      </w:r>
      <w:r w:rsidR="2C9D5FDC" w:rsidRPr="00B64995">
        <w:t>remained stable, and even grew</w:t>
      </w:r>
      <w:r w:rsidR="69C81ACA" w:rsidRPr="00B64995">
        <w:t xml:space="preserve"> slightly</w:t>
      </w:r>
      <w:r w:rsidR="2C9D5FDC" w:rsidRPr="00B64995">
        <w:t>,</w:t>
      </w:r>
      <w:r w:rsidR="00C92B45" w:rsidRPr="00B64995">
        <w:t xml:space="preserve"> </w:t>
      </w:r>
      <w:r w:rsidRPr="00B64995">
        <w:t>reach</w:t>
      </w:r>
      <w:r w:rsidR="716501AF" w:rsidRPr="00B64995">
        <w:t>ing</w:t>
      </w:r>
      <w:r w:rsidRPr="00B64995">
        <w:t xml:space="preserve"> </w:t>
      </w:r>
      <w:r w:rsidR="00C92B45" w:rsidRPr="00B64995">
        <w:t xml:space="preserve">a new high of </w:t>
      </w:r>
      <w:r w:rsidRPr="00B64995">
        <w:t>9</w:t>
      </w:r>
      <w:r w:rsidR="5C8C28CE" w:rsidRPr="00B64995">
        <w:t>25</w:t>
      </w:r>
      <w:r w:rsidRPr="00B64995">
        <w:t xml:space="preserve"> </w:t>
      </w:r>
      <w:r w:rsidR="00C92B45" w:rsidRPr="00B64995">
        <w:t>entities (</w:t>
      </w:r>
      <w:r w:rsidR="6D7F904D" w:rsidRPr="00B64995">
        <w:t>98</w:t>
      </w:r>
      <w:r w:rsidRPr="00B64995">
        <w:t xml:space="preserve"> new</w:t>
      </w:r>
      <w:r w:rsidR="00C92B45" w:rsidRPr="00B64995">
        <w:t>)</w:t>
      </w:r>
      <w:r w:rsidRPr="00B64995">
        <w:t xml:space="preserve"> (</w:t>
      </w:r>
      <w:r w:rsidR="0069651A" w:rsidRPr="00B64995">
        <w:t>s</w:t>
      </w:r>
      <w:r w:rsidRPr="00B64995">
        <w:t xml:space="preserve">ee figure </w:t>
      </w:r>
      <w:r w:rsidR="0069651A" w:rsidRPr="00B64995">
        <w:t>below</w:t>
      </w:r>
      <w:r w:rsidRPr="00B64995">
        <w:t xml:space="preserve">). </w:t>
      </w:r>
      <w:r w:rsidR="14B254A0" w:rsidRPr="00B64995">
        <w:t>T</w:t>
      </w:r>
      <w:r w:rsidRPr="00B64995">
        <w:t xml:space="preserve">he strongest growth in industry membership </w:t>
      </w:r>
      <w:r w:rsidR="12896E77" w:rsidRPr="00B64995">
        <w:t>came</w:t>
      </w:r>
      <w:r w:rsidRPr="00B64995">
        <w:t xml:space="preserve"> through ITU-T</w:t>
      </w:r>
      <w:r w:rsidR="0069651A" w:rsidRPr="00B64995">
        <w:t xml:space="preserve">. </w:t>
      </w:r>
      <w:r w:rsidRPr="00B64995">
        <w:t>Leading academi</w:t>
      </w:r>
      <w:r w:rsidR="00C65AC5" w:rsidRPr="00B64995">
        <w:t>c</w:t>
      </w:r>
      <w:r w:rsidRPr="00B64995">
        <w:t xml:space="preserve"> </w:t>
      </w:r>
      <w:r w:rsidR="00C65AC5" w:rsidRPr="00B64995">
        <w:t xml:space="preserve">bodies </w:t>
      </w:r>
      <w:r w:rsidRPr="00B64995">
        <w:t>specializing in emerging topics also joined ITU</w:t>
      </w:r>
      <w:r w:rsidR="00C65AC5" w:rsidRPr="00B64995">
        <w:t>,</w:t>
      </w:r>
      <w:r w:rsidRPr="00B64995">
        <w:t xml:space="preserve"> attracted by new activities. In short, new areas of work at ITU are attracting new players to join ITU, thus helping ITU membership evolve to be more inclusive and reflect the changing ICT ecosystem.</w:t>
      </w:r>
    </w:p>
    <w:p w14:paraId="49C291E8" w14:textId="0B003CF6" w:rsidR="00981A21" w:rsidRPr="00B64995" w:rsidRDefault="00981A21" w:rsidP="16A50D3C">
      <w:pPr>
        <w:jc w:val="both"/>
        <w:rPr>
          <w:highlight w:val="yellow"/>
        </w:rPr>
      </w:pPr>
    </w:p>
    <w:p w14:paraId="54B3C465" w14:textId="15D3E140" w:rsidR="1BEFA202" w:rsidRPr="00B64995" w:rsidRDefault="1BEFA202" w:rsidP="1BEFA202">
      <w:pPr>
        <w:jc w:val="both"/>
        <w:rPr>
          <w:highlight w:val="yellow"/>
        </w:rPr>
      </w:pPr>
    </w:p>
    <w:p w14:paraId="050CEE1A" w14:textId="2A2A4F27" w:rsidR="2EFECB67" w:rsidRPr="00B64995" w:rsidRDefault="2EFECB67" w:rsidP="00F77099">
      <w:pPr>
        <w:jc w:val="both"/>
        <w:rPr>
          <w:highlight w:val="yellow"/>
        </w:rPr>
      </w:pPr>
      <w:r w:rsidRPr="00B64995">
        <w:rPr>
          <w:b/>
          <w:bCs/>
        </w:rPr>
        <w:t xml:space="preserve">Net </w:t>
      </w:r>
      <w:r w:rsidR="009002E1" w:rsidRPr="00B64995">
        <w:rPr>
          <w:b/>
          <w:bCs/>
        </w:rPr>
        <w:t>m</w:t>
      </w:r>
      <w:r w:rsidRPr="00B64995">
        <w:rPr>
          <w:b/>
          <w:bCs/>
        </w:rPr>
        <w:t xml:space="preserve">embership by Sector/type </w:t>
      </w:r>
      <w:r w:rsidRPr="00B64995">
        <w:t>(2010-2020)</w:t>
      </w:r>
    </w:p>
    <w:p w14:paraId="4E0D70C8" w14:textId="5D7E9B2A" w:rsidR="0069651A" w:rsidRPr="00A060FE" w:rsidRDefault="2EFECB67" w:rsidP="1BEFA202">
      <w:pPr>
        <w:jc w:val="both"/>
        <w:rPr>
          <w:i/>
          <w:iCs/>
          <w:highlight w:val="yellow"/>
        </w:rPr>
      </w:pPr>
      <w:r w:rsidRPr="00166BCE">
        <w:rPr>
          <w:noProof/>
        </w:rPr>
        <w:drawing>
          <wp:inline distT="0" distB="0" distL="0" distR="0" wp14:anchorId="0F8401AD" wp14:editId="4497AB71">
            <wp:extent cx="5741806" cy="1602922"/>
            <wp:effectExtent l="0" t="0" r="0" b="0"/>
            <wp:docPr id="595931814" name="Picture 5959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31814"/>
                    <pic:cNvPicPr/>
                  </pic:nvPicPr>
                  <pic:blipFill>
                    <a:blip r:embed="rId430">
                      <a:extLst>
                        <a:ext uri="{28A0092B-C50C-407E-A947-70E740481C1C}">
                          <a14:useLocalDpi xmlns:a14="http://schemas.microsoft.com/office/drawing/2010/main" val="0"/>
                        </a:ext>
                      </a:extLst>
                    </a:blip>
                    <a:stretch>
                      <a:fillRect/>
                    </a:stretch>
                  </pic:blipFill>
                  <pic:spPr>
                    <a:xfrm>
                      <a:off x="0" y="0"/>
                      <a:ext cx="5741806" cy="1602922"/>
                    </a:xfrm>
                    <a:prstGeom prst="rect">
                      <a:avLst/>
                    </a:prstGeom>
                  </pic:spPr>
                </pic:pic>
              </a:graphicData>
            </a:graphic>
          </wp:inline>
        </w:drawing>
      </w:r>
    </w:p>
    <w:p w14:paraId="5E7D2A32" w14:textId="134E2C80" w:rsidR="00981A21" w:rsidRPr="00A060FE" w:rsidRDefault="00981A21" w:rsidP="00981A21">
      <w:pPr>
        <w:jc w:val="both"/>
        <w:rPr>
          <w:u w:val="single"/>
        </w:rPr>
      </w:pPr>
    </w:p>
    <w:p w14:paraId="02C89BA8" w14:textId="77777777" w:rsidR="00981A21" w:rsidRPr="00B64995" w:rsidRDefault="00981A21" w:rsidP="00A83DAA">
      <w:pPr>
        <w:pStyle w:val="Heading5"/>
        <w:rPr>
          <w:lang w:eastAsia="en-GB"/>
        </w:rPr>
      </w:pPr>
      <w:r w:rsidRPr="00B64995">
        <w:rPr>
          <w:lang w:eastAsia="en-GB"/>
        </w:rPr>
        <w:t>Facilitating the participation of SMEs in ITUs work</w:t>
      </w:r>
    </w:p>
    <w:p w14:paraId="6413E7AF" w14:textId="77EF4C1F" w:rsidR="0049723A" w:rsidRPr="00B64995" w:rsidRDefault="00981A21" w:rsidP="16A50D3C">
      <w:pPr>
        <w:jc w:val="both"/>
        <w:rPr>
          <w:rFonts w:eastAsia="Calibri"/>
          <w:color w:val="000000" w:themeColor="text1"/>
        </w:rPr>
      </w:pPr>
      <w:r w:rsidRPr="00B64995">
        <w:t>An estimated 10</w:t>
      </w:r>
      <w:r w:rsidR="003C5E1A">
        <w:t xml:space="preserve"> per cent</w:t>
      </w:r>
      <w:r w:rsidRPr="00B64995">
        <w:t xml:space="preserve"> of ITU’s current membership, mainly Associates, could be considered as SMEs, depending on the definition. </w:t>
      </w:r>
      <w:r w:rsidR="490B27E5" w:rsidRPr="00B64995">
        <w:t>As per Res</w:t>
      </w:r>
      <w:r w:rsidR="00C92B45" w:rsidRPr="00B64995">
        <w:t>olution</w:t>
      </w:r>
      <w:r w:rsidR="490B27E5" w:rsidRPr="00B64995">
        <w:t xml:space="preserve"> 209 (Dubai, 2018)</w:t>
      </w:r>
      <w:r w:rsidR="00C92B45" w:rsidRPr="00B64995">
        <w:t xml:space="preserve"> of the Plenipotentiary Conference</w:t>
      </w:r>
      <w:r w:rsidR="490B27E5" w:rsidRPr="00B64995">
        <w:t xml:space="preserve">, </w:t>
      </w:r>
      <w:r w:rsidR="7B818D6C" w:rsidRPr="00B64995">
        <w:t xml:space="preserve">with the support of Member States, </w:t>
      </w:r>
      <w:r w:rsidR="4F71BE49" w:rsidRPr="00B64995">
        <w:t xml:space="preserve">ITU has </w:t>
      </w:r>
      <w:r w:rsidR="15C88470" w:rsidRPr="00B64995">
        <w:t>encourag</w:t>
      </w:r>
      <w:r w:rsidR="004C3C57" w:rsidRPr="00B64995">
        <w:t>ed</w:t>
      </w:r>
      <w:r w:rsidR="15C88470" w:rsidRPr="00B64995">
        <w:t xml:space="preserve"> </w:t>
      </w:r>
      <w:r w:rsidR="4F71BE49" w:rsidRPr="00B64995">
        <w:t xml:space="preserve">qualified </w:t>
      </w:r>
      <w:r w:rsidR="01C67877" w:rsidRPr="00B64995">
        <w:t xml:space="preserve">SMEs </w:t>
      </w:r>
      <w:r w:rsidR="2E7CCD07" w:rsidRPr="00B64995">
        <w:t>to join</w:t>
      </w:r>
      <w:r w:rsidR="01C67877" w:rsidRPr="00B64995">
        <w:t xml:space="preserve"> as Associates in ITU-R and ITU-T study groups</w:t>
      </w:r>
      <w:r w:rsidR="4E1BD700" w:rsidRPr="00B64995">
        <w:t xml:space="preserve">, </w:t>
      </w:r>
      <w:r w:rsidR="00166B06" w:rsidRPr="00B64995">
        <w:t>through</w:t>
      </w:r>
      <w:r w:rsidR="4E1BD700" w:rsidRPr="00B64995">
        <w:t xml:space="preserve"> reduced fees</w:t>
      </w:r>
      <w:r w:rsidR="01C67877" w:rsidRPr="00B64995">
        <w:t xml:space="preserve">. </w:t>
      </w:r>
      <w:r w:rsidR="195780E5" w:rsidRPr="00B64995">
        <w:t>In</w:t>
      </w:r>
      <w:r w:rsidR="5AD40005" w:rsidRPr="00B64995">
        <w:t xml:space="preserve"> 2020, </w:t>
      </w:r>
      <w:r w:rsidR="3429DA68" w:rsidRPr="00B64995">
        <w:t xml:space="preserve">following significant digital marketing and outreach efforts, </w:t>
      </w:r>
      <w:r w:rsidRPr="00B64995">
        <w:t>ITU</w:t>
      </w:r>
      <w:r w:rsidR="590994D6" w:rsidRPr="00B64995">
        <w:t xml:space="preserve"> </w:t>
      </w:r>
      <w:r w:rsidRPr="00B64995">
        <w:t>welcomed 2</w:t>
      </w:r>
      <w:r w:rsidR="19F91697" w:rsidRPr="00B64995">
        <w:t>3</w:t>
      </w:r>
      <w:r w:rsidRPr="00B64995">
        <w:t xml:space="preserve"> SMEs</w:t>
      </w:r>
      <w:r w:rsidR="40FE0F13" w:rsidRPr="00B64995">
        <w:t xml:space="preserve">, with </w:t>
      </w:r>
      <w:r w:rsidR="2162EB68" w:rsidRPr="00B64995">
        <w:t xml:space="preserve">21 in ITU-T and </w:t>
      </w:r>
      <w:r w:rsidR="6F4906EE" w:rsidRPr="00B64995">
        <w:t xml:space="preserve">2 </w:t>
      </w:r>
      <w:r w:rsidR="40FE0F13" w:rsidRPr="00B64995">
        <w:t>in ITU-R</w:t>
      </w:r>
      <w:r w:rsidR="37840B47" w:rsidRPr="00B64995">
        <w:t>.</w:t>
      </w:r>
      <w:r w:rsidR="77D12CA5" w:rsidRPr="00B64995">
        <w:rPr>
          <w:rFonts w:eastAsia="Calibri"/>
          <w:color w:val="000000" w:themeColor="text1"/>
        </w:rPr>
        <w:t xml:space="preserve"> </w:t>
      </w:r>
      <w:r w:rsidR="001D2366" w:rsidRPr="00B64995">
        <w:rPr>
          <w:rFonts w:eastAsia="Calibri"/>
          <w:color w:val="000000" w:themeColor="text1"/>
        </w:rPr>
        <w:t>Around two-thirds</w:t>
      </w:r>
      <w:r w:rsidR="4ADC221B" w:rsidRPr="00B64995">
        <w:rPr>
          <w:rFonts w:eastAsia="Calibri"/>
          <w:color w:val="000000" w:themeColor="text1"/>
        </w:rPr>
        <w:t xml:space="preserve"> of </w:t>
      </w:r>
      <w:r w:rsidR="0CC1D4C3" w:rsidRPr="00B64995">
        <w:rPr>
          <w:rFonts w:eastAsia="Calibri"/>
          <w:color w:val="000000" w:themeColor="text1"/>
        </w:rPr>
        <w:t xml:space="preserve">new </w:t>
      </w:r>
      <w:r w:rsidR="6B704E99" w:rsidRPr="00B64995">
        <w:rPr>
          <w:rFonts w:eastAsia="Calibri"/>
          <w:color w:val="000000" w:themeColor="text1"/>
        </w:rPr>
        <w:t>A</w:t>
      </w:r>
      <w:r w:rsidR="4ADC221B" w:rsidRPr="00B64995">
        <w:rPr>
          <w:rFonts w:eastAsia="Calibri"/>
          <w:color w:val="000000" w:themeColor="text1"/>
        </w:rPr>
        <w:t xml:space="preserve">ssociates </w:t>
      </w:r>
      <w:r w:rsidR="001D2366" w:rsidRPr="00B64995">
        <w:rPr>
          <w:rFonts w:eastAsia="Calibri"/>
          <w:color w:val="000000" w:themeColor="text1"/>
        </w:rPr>
        <w:t xml:space="preserve">joining </w:t>
      </w:r>
      <w:r w:rsidR="4ADC221B" w:rsidRPr="00B64995">
        <w:rPr>
          <w:rFonts w:eastAsia="Calibri"/>
          <w:color w:val="000000" w:themeColor="text1"/>
        </w:rPr>
        <w:t>in ITU-T in 2020 qualified for the reduced fees for SMEs.</w:t>
      </w:r>
    </w:p>
    <w:p w14:paraId="2A405477" w14:textId="02DFF057" w:rsidR="6FF0F5F8" w:rsidRPr="00B64995" w:rsidRDefault="6FF0F5F8" w:rsidP="6FF0F5F8">
      <w:pPr>
        <w:jc w:val="both"/>
        <w:rPr>
          <w:rFonts w:eastAsia="Calibri"/>
          <w:color w:val="000000" w:themeColor="text1"/>
        </w:rPr>
      </w:pPr>
    </w:p>
    <w:p w14:paraId="20E24689" w14:textId="1D3AF813" w:rsidR="00503BCD" w:rsidRPr="00B64995" w:rsidRDefault="77D12CA5" w:rsidP="005C693B">
      <w:pPr>
        <w:jc w:val="both"/>
        <w:rPr>
          <w:rFonts w:eastAsia="Calibri"/>
        </w:rPr>
      </w:pPr>
      <w:r w:rsidRPr="00B64995">
        <w:rPr>
          <w:rFonts w:eastAsia="Calibri"/>
          <w:color w:val="000000" w:themeColor="text1"/>
        </w:rPr>
        <w:t>Qualif</w:t>
      </w:r>
      <w:r w:rsidR="00FF6B93" w:rsidRPr="00B64995">
        <w:rPr>
          <w:rFonts w:eastAsia="Calibri"/>
          <w:color w:val="000000" w:themeColor="text1"/>
        </w:rPr>
        <w:t>ying</w:t>
      </w:r>
      <w:r w:rsidRPr="00B64995">
        <w:rPr>
          <w:rFonts w:eastAsia="Calibri"/>
          <w:color w:val="000000" w:themeColor="text1"/>
        </w:rPr>
        <w:t xml:space="preserve"> SMEs from developed countries now pay CHF </w:t>
      </w:r>
      <w:r w:rsidR="0D28BA33" w:rsidRPr="00B64995">
        <w:rPr>
          <w:rFonts w:eastAsia="Calibri"/>
          <w:color w:val="000000" w:themeColor="text1"/>
        </w:rPr>
        <w:t>3</w:t>
      </w:r>
      <w:r w:rsidR="005D4A07">
        <w:rPr>
          <w:rFonts w:eastAsia="Calibri"/>
          <w:color w:val="000000" w:themeColor="text1"/>
        </w:rPr>
        <w:t> </w:t>
      </w:r>
      <w:r w:rsidR="0D28BA33" w:rsidRPr="00B64995">
        <w:rPr>
          <w:rFonts w:eastAsia="Calibri"/>
          <w:color w:val="000000" w:themeColor="text1"/>
        </w:rPr>
        <w:t>975</w:t>
      </w:r>
      <w:r w:rsidRPr="00B64995">
        <w:rPr>
          <w:rFonts w:eastAsia="Calibri"/>
          <w:color w:val="000000" w:themeColor="text1"/>
        </w:rPr>
        <w:t xml:space="preserve"> a year, and those from developing countries pay CHF </w:t>
      </w:r>
      <w:r w:rsidR="1CCED28A" w:rsidRPr="00B64995">
        <w:rPr>
          <w:rFonts w:eastAsia="Calibri"/>
          <w:color w:val="000000" w:themeColor="text1"/>
        </w:rPr>
        <w:t>1</w:t>
      </w:r>
      <w:r w:rsidR="005D4A07">
        <w:rPr>
          <w:rFonts w:eastAsia="Calibri"/>
          <w:color w:val="000000" w:themeColor="text1"/>
        </w:rPr>
        <w:t> </w:t>
      </w:r>
      <w:r w:rsidR="1CCED28A" w:rsidRPr="00B64995">
        <w:rPr>
          <w:rFonts w:eastAsia="Calibri"/>
          <w:color w:val="000000" w:themeColor="text1"/>
        </w:rPr>
        <w:t xml:space="preserve">987.50 </w:t>
      </w:r>
      <w:r w:rsidRPr="00B64995">
        <w:rPr>
          <w:rFonts w:eastAsia="Calibri"/>
          <w:color w:val="000000" w:themeColor="text1"/>
        </w:rPr>
        <w:t>a year to participate in one Study Group, compared to the standard fee of CHF 10</w:t>
      </w:r>
      <w:r w:rsidR="005D4A07">
        <w:rPr>
          <w:rFonts w:eastAsia="Calibri"/>
          <w:color w:val="000000" w:themeColor="text1"/>
        </w:rPr>
        <w:t> </w:t>
      </w:r>
      <w:r w:rsidRPr="00B64995">
        <w:rPr>
          <w:rFonts w:eastAsia="Calibri"/>
          <w:color w:val="000000" w:themeColor="text1"/>
        </w:rPr>
        <w:t xml:space="preserve">600 for ITU-R and ITU-T. Associates in ITU-D Study Groups already pay these fee amounts. Member States qualify SMEs according to their national definitions, but </w:t>
      </w:r>
      <w:r w:rsidR="00FF6B93" w:rsidRPr="00B64995">
        <w:rPr>
          <w:rFonts w:eastAsia="Calibri"/>
          <w:color w:val="000000" w:themeColor="text1"/>
        </w:rPr>
        <w:t xml:space="preserve">the Plenipotentiary Conference (Dubai, 2018) </w:t>
      </w:r>
      <w:r w:rsidRPr="00B64995">
        <w:rPr>
          <w:rFonts w:eastAsia="Calibri"/>
          <w:color w:val="000000" w:themeColor="text1"/>
        </w:rPr>
        <w:t>set an upper limit of a maximum of 250 employees and Council</w:t>
      </w:r>
      <w:r w:rsidR="00FF6B93" w:rsidRPr="00B64995">
        <w:rPr>
          <w:rFonts w:eastAsia="Calibri"/>
          <w:color w:val="000000" w:themeColor="text1"/>
        </w:rPr>
        <w:t xml:space="preserve"> at its 20</w:t>
      </w:r>
      <w:r w:rsidRPr="00B64995">
        <w:rPr>
          <w:rFonts w:eastAsia="Calibri"/>
          <w:color w:val="000000" w:themeColor="text1"/>
        </w:rPr>
        <w:t xml:space="preserve">19 </w:t>
      </w:r>
      <w:r w:rsidR="00FF6B93" w:rsidRPr="00B64995">
        <w:rPr>
          <w:rFonts w:eastAsia="Calibri"/>
          <w:color w:val="000000" w:themeColor="text1"/>
        </w:rPr>
        <w:t xml:space="preserve">session </w:t>
      </w:r>
      <w:r w:rsidRPr="00B64995">
        <w:rPr>
          <w:rFonts w:eastAsia="Calibri"/>
          <w:color w:val="000000" w:themeColor="text1"/>
        </w:rPr>
        <w:t>set the maximum revenue at CHF 15 million a year.</w:t>
      </w:r>
    </w:p>
    <w:p w14:paraId="00528FC4" w14:textId="77777777" w:rsidR="00503BCD" w:rsidRPr="00B64995" w:rsidRDefault="00503BCD" w:rsidP="005C693B">
      <w:pPr>
        <w:jc w:val="both"/>
      </w:pPr>
    </w:p>
    <w:p w14:paraId="09F56AEF" w14:textId="2F434ACA" w:rsidR="00981A21" w:rsidRPr="00B64995" w:rsidRDefault="00981A21" w:rsidP="005C693B">
      <w:pPr>
        <w:jc w:val="both"/>
      </w:pPr>
      <w:r w:rsidRPr="00B64995">
        <w:rPr>
          <w:rFonts w:eastAsiaTheme="minorEastAsia"/>
        </w:rPr>
        <w:t xml:space="preserve">ITU also has </w:t>
      </w:r>
      <w:proofErr w:type="gramStart"/>
      <w:r w:rsidRPr="00B64995">
        <w:rPr>
          <w:rFonts w:eastAsiaTheme="minorEastAsia"/>
        </w:rPr>
        <w:t>a number of</w:t>
      </w:r>
      <w:proofErr w:type="gramEnd"/>
      <w:r w:rsidRPr="00B64995">
        <w:rPr>
          <w:rFonts w:eastAsiaTheme="minorEastAsia"/>
        </w:rPr>
        <w:t xml:space="preserve"> specific activities and platforms tailored to the needs of SMEs, including the ITU </w:t>
      </w:r>
      <w:r w:rsidR="31A3240A" w:rsidRPr="00B64995">
        <w:rPr>
          <w:rFonts w:eastAsiaTheme="minorEastAsia"/>
        </w:rPr>
        <w:t>Digital</w:t>
      </w:r>
      <w:r w:rsidR="00794820" w:rsidRPr="00B64995">
        <w:rPr>
          <w:rFonts w:eastAsiaTheme="minorEastAsia"/>
        </w:rPr>
        <w:t xml:space="preserve"> World</w:t>
      </w:r>
      <w:r w:rsidRPr="00B64995">
        <w:rPr>
          <w:rFonts w:eastAsiaTheme="minorEastAsia"/>
        </w:rPr>
        <w:t xml:space="preserve"> programme for SMEs</w:t>
      </w:r>
      <w:r w:rsidR="7264C16B" w:rsidRPr="00B64995">
        <w:rPr>
          <w:rFonts w:eastAsiaTheme="minorEastAsia"/>
        </w:rPr>
        <w:t>, with its online master classes</w:t>
      </w:r>
      <w:r w:rsidRPr="00B64995">
        <w:rPr>
          <w:rFonts w:eastAsiaTheme="minorEastAsia"/>
        </w:rPr>
        <w:t xml:space="preserve"> and its SME Awards, </w:t>
      </w:r>
      <w:r w:rsidR="51B73404" w:rsidRPr="00B64995">
        <w:rPr>
          <w:rFonts w:eastAsiaTheme="minorEastAsia"/>
        </w:rPr>
        <w:t xml:space="preserve">as well as the </w:t>
      </w:r>
      <w:r w:rsidRPr="00B64995">
        <w:rPr>
          <w:rFonts w:eastAsiaTheme="minorEastAsia"/>
        </w:rPr>
        <w:t>ITU Smart Incubator programme, ITU Innovation challenges, AI for Good Innovation Factory and ITU training</w:t>
      </w:r>
      <w:r w:rsidR="00FF6B93" w:rsidRPr="00B64995">
        <w:rPr>
          <w:rFonts w:eastAsiaTheme="minorEastAsia"/>
        </w:rPr>
        <w:t>,</w:t>
      </w:r>
      <w:r w:rsidRPr="00B64995">
        <w:rPr>
          <w:rFonts w:eastAsiaTheme="minorEastAsia"/>
        </w:rPr>
        <w:t xml:space="preserve"> among others. </w:t>
      </w:r>
    </w:p>
    <w:p w14:paraId="5F50B9B5" w14:textId="4A122F2E" w:rsidR="0049723A" w:rsidRPr="00B64995" w:rsidRDefault="00981A21" w:rsidP="003269FF">
      <w:pPr>
        <w:jc w:val="both"/>
        <w:rPr>
          <w:lang w:eastAsia="en-GB"/>
        </w:rPr>
      </w:pPr>
      <w:r w:rsidRPr="00B64995">
        <w:t>More information about ITU´s services in support of its members</w:t>
      </w:r>
      <w:r w:rsidR="00FF6B93" w:rsidRPr="00B64995">
        <w:t>hip</w:t>
      </w:r>
      <w:r w:rsidRPr="00B64995">
        <w:t xml:space="preserve"> is available</w:t>
      </w:r>
      <w:r w:rsidR="00CD50A2" w:rsidRPr="00B64995">
        <w:t xml:space="preserve"> </w:t>
      </w:r>
      <w:hyperlink r:id="rId431" w:history="1">
        <w:r w:rsidR="00464BDA" w:rsidRPr="00B64995">
          <w:rPr>
            <w:rStyle w:val="Hyperlink"/>
          </w:rPr>
          <w:t>here</w:t>
        </w:r>
      </w:hyperlink>
      <w:r w:rsidR="6C3D190F" w:rsidRPr="00A060FE">
        <w:t>.</w:t>
      </w:r>
    </w:p>
    <w:p w14:paraId="6A4BEDC2" w14:textId="56142EB5" w:rsidR="003269FF" w:rsidRPr="00B64995" w:rsidRDefault="003269FF" w:rsidP="00981A21">
      <w:pPr>
        <w:jc w:val="both"/>
      </w:pPr>
    </w:p>
    <w:p w14:paraId="65AB649B" w14:textId="2F517A85" w:rsidR="0049723A" w:rsidRPr="00B64995" w:rsidRDefault="00026FC6" w:rsidP="00026FC6">
      <w:pPr>
        <w:pStyle w:val="Heading1"/>
        <w:rPr>
          <w:lang w:eastAsia="en-GB"/>
        </w:rPr>
      </w:pPr>
      <w:bookmarkStart w:id="120" w:name="_Toc37943355"/>
      <w:bookmarkStart w:id="121" w:name="Section_3"/>
      <w:bookmarkStart w:id="122" w:name="_Toc68811425"/>
      <w:bookmarkStart w:id="123" w:name="_Toc37860470"/>
      <w:bookmarkStart w:id="124" w:name="_Toc37861231"/>
      <w:r w:rsidRPr="00B64995">
        <w:rPr>
          <w:lang w:eastAsia="en-GB"/>
        </w:rPr>
        <w:t>3.</w:t>
      </w:r>
      <w:r w:rsidRPr="00B64995">
        <w:rPr>
          <w:lang w:eastAsia="en-GB"/>
        </w:rPr>
        <w:tab/>
      </w:r>
      <w:r w:rsidR="00E417F0" w:rsidRPr="00B64995">
        <w:rPr>
          <w:lang w:eastAsia="en-GB"/>
        </w:rPr>
        <w:t xml:space="preserve">ITU </w:t>
      </w:r>
      <w:r w:rsidR="00857768" w:rsidRPr="00B64995">
        <w:rPr>
          <w:lang w:eastAsia="en-GB"/>
        </w:rPr>
        <w:t>s</w:t>
      </w:r>
      <w:r w:rsidR="00E417F0" w:rsidRPr="00B64995">
        <w:rPr>
          <w:lang w:eastAsia="en-GB"/>
        </w:rPr>
        <w:t xml:space="preserve">trategic </w:t>
      </w:r>
      <w:r w:rsidR="00857768" w:rsidRPr="00B64995">
        <w:rPr>
          <w:lang w:eastAsia="en-GB"/>
        </w:rPr>
        <w:t>p</w:t>
      </w:r>
      <w:r w:rsidR="00E417F0" w:rsidRPr="00B64995">
        <w:rPr>
          <w:lang w:eastAsia="en-GB"/>
        </w:rPr>
        <w:t>lan</w:t>
      </w:r>
      <w:r w:rsidR="39F316F3" w:rsidRPr="00B64995">
        <w:rPr>
          <w:lang w:eastAsia="en-GB"/>
        </w:rPr>
        <w:t xml:space="preserve"> </w:t>
      </w:r>
      <w:r w:rsidR="009C3774" w:rsidRPr="00B64995">
        <w:rPr>
          <w:lang w:eastAsia="en-GB"/>
        </w:rPr>
        <w:t>i</w:t>
      </w:r>
      <w:r w:rsidR="39F316F3" w:rsidRPr="00B64995">
        <w:rPr>
          <w:lang w:eastAsia="en-GB"/>
        </w:rPr>
        <w:t xml:space="preserve">mplementation: </w:t>
      </w:r>
      <w:r w:rsidR="009C3774" w:rsidRPr="00B64995">
        <w:rPr>
          <w:lang w:eastAsia="en-GB"/>
        </w:rPr>
        <w:t>p</w:t>
      </w:r>
      <w:r w:rsidR="39F316F3" w:rsidRPr="00B64995">
        <w:rPr>
          <w:lang w:eastAsia="en-GB"/>
        </w:rPr>
        <w:t xml:space="preserve">rogress towards </w:t>
      </w:r>
      <w:r w:rsidR="009C3774" w:rsidRPr="00B64995">
        <w:rPr>
          <w:lang w:eastAsia="en-GB"/>
        </w:rPr>
        <w:t>s</w:t>
      </w:r>
      <w:r w:rsidR="39F316F3" w:rsidRPr="00B64995">
        <w:rPr>
          <w:lang w:eastAsia="en-GB"/>
        </w:rPr>
        <w:t xml:space="preserve">trategic </w:t>
      </w:r>
      <w:r w:rsidR="009C3774" w:rsidRPr="00B64995">
        <w:rPr>
          <w:lang w:eastAsia="en-GB"/>
        </w:rPr>
        <w:t>g</w:t>
      </w:r>
      <w:r w:rsidR="39F316F3" w:rsidRPr="00B64995">
        <w:rPr>
          <w:lang w:eastAsia="en-GB"/>
        </w:rPr>
        <w:t xml:space="preserve">oals and </w:t>
      </w:r>
      <w:r w:rsidR="009C3774" w:rsidRPr="00B64995">
        <w:rPr>
          <w:lang w:eastAsia="en-GB"/>
        </w:rPr>
        <w:t>o</w:t>
      </w:r>
      <w:r w:rsidR="39F316F3" w:rsidRPr="00B64995">
        <w:rPr>
          <w:lang w:eastAsia="en-GB"/>
        </w:rPr>
        <w:t>bjectives</w:t>
      </w:r>
      <w:bookmarkEnd w:id="120"/>
      <w:bookmarkEnd w:id="121"/>
      <w:bookmarkEnd w:id="122"/>
      <w:bookmarkEnd w:id="123"/>
      <w:bookmarkEnd w:id="124"/>
    </w:p>
    <w:p w14:paraId="513CEDF0" w14:textId="5375B4F1" w:rsidR="00F477F2" w:rsidRPr="00B64995" w:rsidRDefault="00F477F2" w:rsidP="00614D53">
      <w:pPr>
        <w:rPr>
          <w:lang w:eastAsia="en-GB"/>
        </w:rPr>
      </w:pPr>
    </w:p>
    <w:p w14:paraId="40C6A1BA" w14:textId="68C58EE8" w:rsidR="0049723A" w:rsidRPr="00B64995" w:rsidRDefault="6CC7830F" w:rsidP="00614D53">
      <w:pPr>
        <w:jc w:val="both"/>
      </w:pPr>
      <w:r w:rsidRPr="00B64995">
        <w:t xml:space="preserve">The Connect 2030 Agenda was adopted by the 2018 Plenipotentiary Conference as part of ITU’s </w:t>
      </w:r>
      <w:r w:rsidR="00857768" w:rsidRPr="00B64995">
        <w:t>s</w:t>
      </w:r>
      <w:r w:rsidRPr="00B64995">
        <w:t xml:space="preserve">trategic </w:t>
      </w:r>
      <w:r w:rsidR="00857768" w:rsidRPr="00B64995">
        <w:t>p</w:t>
      </w:r>
      <w:r w:rsidRPr="00B64995">
        <w:t xml:space="preserve">lan for the 2020-2023 quadrennium. At the heart of the Agenda and the ITU strategic plan are five goals which include 24 strategic targets designed to track the progress </w:t>
      </w:r>
      <w:r w:rsidR="6A111C9B" w:rsidRPr="00B64995">
        <w:t xml:space="preserve">towards </w:t>
      </w:r>
      <w:r w:rsidRPr="00B64995">
        <w:t>each goal up to 2023 and to help ITU and other stakeholders focus their priorities during that period. These goals/targets aim to demonstrate ITU’s impact on people’s lives. ITU’s contribution to the achievement of the goals/targets is materialized by means of the sector and inter-sectoral objectives, which mainly represent the outcomes of ITU’s work. ITU’s activities result on the outputs (products and services) which support the achievement of these outcomes.</w:t>
      </w:r>
    </w:p>
    <w:p w14:paraId="27C32139" w14:textId="4B02AD7E" w:rsidR="00FE4C48" w:rsidRPr="00B64995" w:rsidRDefault="00FE4C48" w:rsidP="00614D53">
      <w:pPr>
        <w:jc w:val="both"/>
        <w:rPr>
          <w:rFonts w:eastAsia="Calibri"/>
        </w:rPr>
      </w:pPr>
    </w:p>
    <w:p w14:paraId="45DF0666" w14:textId="1C541478" w:rsidR="6CC7830F" w:rsidRPr="00B64995" w:rsidRDefault="2C94846B" w:rsidP="00614D53">
      <w:pPr>
        <w:jc w:val="both"/>
        <w:rPr>
          <w:rFonts w:eastAsia="Calibri"/>
        </w:rPr>
      </w:pPr>
      <w:r w:rsidRPr="00B64995">
        <w:rPr>
          <w:rFonts w:eastAsia="Calibri"/>
        </w:rPr>
        <w:t xml:space="preserve">The essential </w:t>
      </w:r>
      <w:r w:rsidR="3B862A3D" w:rsidRPr="00B64995">
        <w:rPr>
          <w:rFonts w:eastAsia="Calibri"/>
        </w:rPr>
        <w:t xml:space="preserve">contribution made </w:t>
      </w:r>
      <w:r w:rsidRPr="00B64995">
        <w:rPr>
          <w:rFonts w:eastAsia="Calibri"/>
        </w:rPr>
        <w:t xml:space="preserve">by the </w:t>
      </w:r>
      <w:r w:rsidR="04E7C843" w:rsidRPr="00B64995">
        <w:rPr>
          <w:rFonts w:eastAsia="Calibri"/>
        </w:rPr>
        <w:t xml:space="preserve">ITU </w:t>
      </w:r>
      <w:r w:rsidR="000518CC" w:rsidRPr="00B64995">
        <w:rPr>
          <w:rFonts w:eastAsia="Calibri"/>
        </w:rPr>
        <w:t>s</w:t>
      </w:r>
      <w:r w:rsidRPr="00B64995">
        <w:rPr>
          <w:rFonts w:eastAsia="Calibri"/>
        </w:rPr>
        <w:t xml:space="preserve">ecretariat (GS and Bureaux) is assessed by the Enabler indicators showing the efficiency of the support services and its contribution to the achievement of the </w:t>
      </w:r>
      <w:r w:rsidR="6661B28A" w:rsidRPr="00B64995">
        <w:rPr>
          <w:rFonts w:eastAsia="Calibri"/>
        </w:rPr>
        <w:t xml:space="preserve">overall </w:t>
      </w:r>
      <w:r w:rsidRPr="00B64995">
        <w:rPr>
          <w:rFonts w:eastAsia="Calibri"/>
        </w:rPr>
        <w:t>outputs. This layer of the results framework is fully under control of ITU.</w:t>
      </w:r>
    </w:p>
    <w:p w14:paraId="1E0F3FE0" w14:textId="0EACE370" w:rsidR="1C1F268E" w:rsidRPr="00B64995" w:rsidRDefault="1C1F268E" w:rsidP="00614D53">
      <w:pPr>
        <w:jc w:val="both"/>
        <w:rPr>
          <w:rFonts w:eastAsia="Calibri"/>
          <w:b/>
        </w:rPr>
      </w:pPr>
    </w:p>
    <w:p w14:paraId="167008B1" w14:textId="01460B08" w:rsidR="6CC7830F" w:rsidRPr="00B64995" w:rsidRDefault="169DC841" w:rsidP="00A83DAA">
      <w:pPr>
        <w:pStyle w:val="Heading5"/>
      </w:pPr>
      <w:r w:rsidRPr="00B64995">
        <w:t xml:space="preserve">Progress </w:t>
      </w:r>
      <w:r w:rsidR="009C3774" w:rsidRPr="00B64995">
        <w:t>t</w:t>
      </w:r>
      <w:r w:rsidRPr="00B64995">
        <w:t xml:space="preserve">owards </w:t>
      </w:r>
      <w:r w:rsidR="346CD258" w:rsidRPr="00B64995">
        <w:t xml:space="preserve">the </w:t>
      </w:r>
      <w:r w:rsidR="009C3774" w:rsidRPr="00B64995">
        <w:t>s</w:t>
      </w:r>
      <w:r w:rsidR="403E5918" w:rsidRPr="00B64995">
        <w:t xml:space="preserve">trategic </w:t>
      </w:r>
      <w:r w:rsidR="009C3774" w:rsidRPr="00B64995">
        <w:t>g</w:t>
      </w:r>
      <w:r w:rsidR="403E5918" w:rsidRPr="00B64995">
        <w:t xml:space="preserve">oals and </w:t>
      </w:r>
      <w:r w:rsidR="009C3774" w:rsidRPr="00B64995">
        <w:t>o</w:t>
      </w:r>
      <w:r w:rsidR="0EFA430B" w:rsidRPr="00B64995">
        <w:t>bjectives</w:t>
      </w:r>
    </w:p>
    <w:p w14:paraId="4BDE1855" w14:textId="6841CB1A" w:rsidR="6CC7830F" w:rsidRPr="00B64995" w:rsidRDefault="6CC7830F" w:rsidP="00614D53">
      <w:pPr>
        <w:jc w:val="both"/>
        <w:rPr>
          <w:rFonts w:eastAsia="Calibri"/>
        </w:rPr>
      </w:pPr>
      <w:r w:rsidRPr="00B64995">
        <w:rPr>
          <w:rFonts w:eastAsia="Calibri"/>
        </w:rPr>
        <w:t xml:space="preserve">The </w:t>
      </w:r>
      <w:r w:rsidR="15E3D611" w:rsidRPr="00B64995">
        <w:rPr>
          <w:rFonts w:eastAsia="Calibri"/>
        </w:rPr>
        <w:t xml:space="preserve">progress in the implementation of the </w:t>
      </w:r>
      <w:r w:rsidR="00857768" w:rsidRPr="00B64995">
        <w:rPr>
          <w:rFonts w:eastAsia="Calibri"/>
        </w:rPr>
        <w:t>s</w:t>
      </w:r>
      <w:r w:rsidR="15E3D611" w:rsidRPr="00B64995">
        <w:rPr>
          <w:rFonts w:eastAsia="Calibri"/>
        </w:rPr>
        <w:t xml:space="preserve">trategic </w:t>
      </w:r>
      <w:r w:rsidR="00857768" w:rsidRPr="00B64995">
        <w:rPr>
          <w:rFonts w:eastAsia="Calibri"/>
        </w:rPr>
        <w:t>p</w:t>
      </w:r>
      <w:r w:rsidR="15E3D611" w:rsidRPr="00B64995">
        <w:rPr>
          <w:rFonts w:eastAsia="Calibri"/>
        </w:rPr>
        <w:t>lan for the Union</w:t>
      </w:r>
      <w:r w:rsidRPr="00B64995">
        <w:rPr>
          <w:rFonts w:eastAsia="Calibri"/>
        </w:rPr>
        <w:t xml:space="preserve"> is assessed through a set of indicators at different levels in the ITU results framework (see figure below). The assessment of progress towards </w:t>
      </w:r>
      <w:r w:rsidR="003A0651" w:rsidRPr="00B64995">
        <w:rPr>
          <w:rFonts w:eastAsia="Calibri"/>
        </w:rPr>
        <w:t xml:space="preserve">Goals and Objectives </w:t>
      </w:r>
      <w:r w:rsidRPr="00B64995">
        <w:rPr>
          <w:rFonts w:eastAsia="Calibri"/>
        </w:rPr>
        <w:t>is done by measuring:</w:t>
      </w:r>
    </w:p>
    <w:p w14:paraId="0A520774" w14:textId="77777777" w:rsidR="0049723A" w:rsidRPr="00B64995" w:rsidRDefault="6CC7830F" w:rsidP="00B65153">
      <w:pPr>
        <w:pStyle w:val="ListParagraph"/>
        <w:numPr>
          <w:ilvl w:val="0"/>
          <w:numId w:val="28"/>
        </w:numPr>
        <w:jc w:val="both"/>
        <w:rPr>
          <w:rFonts w:eastAsia="Calibri" w:cs="Calibri"/>
          <w:lang w:val="en-GB"/>
        </w:rPr>
      </w:pPr>
      <w:r w:rsidRPr="00B64995">
        <w:rPr>
          <w:rFonts w:eastAsia="Calibri" w:cs="Calibri"/>
          <w:b/>
          <w:lang w:val="en-GB"/>
        </w:rPr>
        <w:t>24 targets</w:t>
      </w:r>
      <w:r w:rsidRPr="00B64995">
        <w:rPr>
          <w:rFonts w:eastAsia="Calibri" w:cs="Calibri"/>
          <w:lang w:val="en-GB"/>
        </w:rPr>
        <w:t xml:space="preserve"> at the impact </w:t>
      </w:r>
      <w:proofErr w:type="gramStart"/>
      <w:r w:rsidRPr="00B64995">
        <w:rPr>
          <w:rFonts w:eastAsia="Calibri" w:cs="Calibri"/>
          <w:lang w:val="en-GB"/>
        </w:rPr>
        <w:t>level</w:t>
      </w:r>
      <w:r w:rsidR="3F18722C" w:rsidRPr="00B64995">
        <w:rPr>
          <w:rFonts w:eastAsia="Calibri" w:cs="Calibri"/>
          <w:lang w:val="en-GB"/>
        </w:rPr>
        <w:t>;</w:t>
      </w:r>
      <w:proofErr w:type="gramEnd"/>
    </w:p>
    <w:p w14:paraId="183406FB" w14:textId="58BA9E26" w:rsidR="6CC7830F" w:rsidRPr="00B64995" w:rsidRDefault="6CC7830F" w:rsidP="00B65153">
      <w:pPr>
        <w:pStyle w:val="ListParagraph"/>
        <w:numPr>
          <w:ilvl w:val="0"/>
          <w:numId w:val="28"/>
        </w:numPr>
        <w:jc w:val="both"/>
        <w:rPr>
          <w:rFonts w:eastAsiaTheme="minorEastAsia" w:cs="Calibri"/>
          <w:lang w:val="en-GB"/>
        </w:rPr>
      </w:pPr>
      <w:r w:rsidRPr="00B64995">
        <w:rPr>
          <w:rFonts w:eastAsia="Calibri" w:cs="Calibri"/>
          <w:b/>
          <w:lang w:val="en-GB"/>
        </w:rPr>
        <w:t>6</w:t>
      </w:r>
      <w:r w:rsidR="00D65CF3" w:rsidRPr="00B64995">
        <w:rPr>
          <w:rFonts w:eastAsia="Calibri" w:cs="Calibri"/>
          <w:b/>
          <w:lang w:val="en-GB"/>
        </w:rPr>
        <w:t>4</w:t>
      </w:r>
      <w:r w:rsidRPr="00B64995">
        <w:rPr>
          <w:rFonts w:eastAsia="Calibri" w:cs="Calibri"/>
          <w:b/>
          <w:lang w:val="en-GB"/>
        </w:rPr>
        <w:t xml:space="preserve"> outcome indicators</w:t>
      </w:r>
      <w:r w:rsidRPr="00B64995">
        <w:rPr>
          <w:rFonts w:eastAsia="Calibri" w:cs="Calibri"/>
          <w:lang w:val="en-GB"/>
        </w:rPr>
        <w:t xml:space="preserve">. This layer of the results framework is composed by: ITU-R: 3 objectives and 15 outcomes; ITU-T: 5 objectives and 14 outcomes; ITU-D: 4 objectives and 16 outcomes; inter-sectoral: 6 objectives and 19 </w:t>
      </w:r>
      <w:proofErr w:type="gramStart"/>
      <w:r w:rsidRPr="00B64995">
        <w:rPr>
          <w:rFonts w:eastAsia="Calibri" w:cs="Calibri"/>
          <w:lang w:val="en-GB"/>
        </w:rPr>
        <w:t>outcomes</w:t>
      </w:r>
      <w:r w:rsidR="38E15E07" w:rsidRPr="00B64995">
        <w:rPr>
          <w:rFonts w:eastAsia="Calibri" w:cs="Calibri"/>
          <w:lang w:val="en-GB"/>
        </w:rPr>
        <w:t>;</w:t>
      </w:r>
      <w:proofErr w:type="gramEnd"/>
    </w:p>
    <w:p w14:paraId="00097FCC" w14:textId="1A500E90" w:rsidR="6CC7830F" w:rsidRPr="00B64995" w:rsidRDefault="0085671C" w:rsidP="00B65153">
      <w:pPr>
        <w:pStyle w:val="ListParagraph"/>
        <w:numPr>
          <w:ilvl w:val="0"/>
          <w:numId w:val="28"/>
        </w:numPr>
        <w:jc w:val="both"/>
        <w:rPr>
          <w:rFonts w:eastAsiaTheme="minorEastAsia" w:cs="Calibri"/>
          <w:lang w:val="en-GB"/>
        </w:rPr>
      </w:pPr>
      <w:r w:rsidRPr="00B64995">
        <w:rPr>
          <w:rFonts w:eastAsia="Calibri" w:cs="Calibri"/>
          <w:b/>
          <w:lang w:val="en-GB"/>
        </w:rPr>
        <w:t>4</w:t>
      </w:r>
      <w:r w:rsidR="2C94846B" w:rsidRPr="00B64995">
        <w:rPr>
          <w:rFonts w:eastAsia="Calibri" w:cs="Calibri"/>
          <w:b/>
          <w:lang w:val="en-GB"/>
        </w:rPr>
        <w:t>0 enabler indicators.</w:t>
      </w:r>
    </w:p>
    <w:p w14:paraId="60EF2E7D" w14:textId="521E3EEB" w:rsidR="1C1F268E" w:rsidRPr="00B64995" w:rsidRDefault="1C1F268E" w:rsidP="00614D53">
      <w:pPr>
        <w:jc w:val="both"/>
        <w:rPr>
          <w:rFonts w:eastAsia="Calibri"/>
        </w:rPr>
      </w:pPr>
    </w:p>
    <w:p w14:paraId="48D51878" w14:textId="3F19A15A" w:rsidR="6CC7830F" w:rsidRPr="00B64995" w:rsidRDefault="007F05EB" w:rsidP="00614D53">
      <w:pPr>
        <w:jc w:val="both"/>
        <w:rPr>
          <w:rFonts w:eastAsia="Calibri"/>
        </w:rPr>
      </w:pPr>
      <w:r w:rsidRPr="00B64995">
        <w:rPr>
          <w:rFonts w:eastAsia="Calibri"/>
        </w:rPr>
        <w:t>The s</w:t>
      </w:r>
      <w:r w:rsidR="6CC7830F" w:rsidRPr="00B64995">
        <w:rPr>
          <w:rFonts w:eastAsia="Calibri"/>
        </w:rPr>
        <w:t>ections below present a summary of the dashboards showing the assessment of ITU performance.</w:t>
      </w:r>
    </w:p>
    <w:p w14:paraId="1193EE6E" w14:textId="7A466CB7" w:rsidR="45754881" w:rsidRPr="00B64995" w:rsidRDefault="45754881" w:rsidP="00614D53"/>
    <w:p w14:paraId="75F37548" w14:textId="721D1185" w:rsidR="262D69CF" w:rsidRPr="00A060FE" w:rsidRDefault="7C7ED6E2" w:rsidP="00614D53">
      <w:pPr>
        <w:jc w:val="center"/>
      </w:pPr>
      <w:r w:rsidRPr="00166BCE">
        <w:rPr>
          <w:noProof/>
        </w:rPr>
        <w:drawing>
          <wp:inline distT="0" distB="0" distL="0" distR="0" wp14:anchorId="47F6B7DF" wp14:editId="64D267E5">
            <wp:extent cx="5348358" cy="2306478"/>
            <wp:effectExtent l="0" t="0" r="5080" b="0"/>
            <wp:docPr id="217847404" name="Picture 128314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148106"/>
                    <pic:cNvPicPr/>
                  </pic:nvPicPr>
                  <pic:blipFill>
                    <a:blip r:embed="rId432">
                      <a:extLst>
                        <a:ext uri="{28A0092B-C50C-407E-A947-70E740481C1C}">
                          <a14:useLocalDpi xmlns:a14="http://schemas.microsoft.com/office/drawing/2010/main" val="0"/>
                        </a:ext>
                      </a:extLst>
                    </a:blip>
                    <a:stretch>
                      <a:fillRect/>
                    </a:stretch>
                  </pic:blipFill>
                  <pic:spPr>
                    <a:xfrm>
                      <a:off x="0" y="0"/>
                      <a:ext cx="5348358" cy="2306478"/>
                    </a:xfrm>
                    <a:prstGeom prst="rect">
                      <a:avLst/>
                    </a:prstGeom>
                  </pic:spPr>
                </pic:pic>
              </a:graphicData>
            </a:graphic>
          </wp:inline>
        </w:drawing>
      </w:r>
    </w:p>
    <w:p w14:paraId="1F0E75D2" w14:textId="246E8B01" w:rsidR="45754881" w:rsidRPr="00B64995" w:rsidRDefault="45754881" w:rsidP="00614D53">
      <w:pPr>
        <w:jc w:val="both"/>
      </w:pPr>
    </w:p>
    <w:p w14:paraId="4A1DF8F4" w14:textId="060359ED" w:rsidR="45754881" w:rsidRPr="00B64995" w:rsidRDefault="204457E5" w:rsidP="5503EDA3">
      <w:pPr>
        <w:jc w:val="both"/>
      </w:pPr>
      <w:r w:rsidRPr="00B64995">
        <w:t>The analysis of the results in</w:t>
      </w:r>
      <w:r w:rsidR="3CC1AF10" w:rsidRPr="00B64995">
        <w:t xml:space="preserve"> the charts below, </w:t>
      </w:r>
      <w:r w:rsidRPr="00B64995">
        <w:t xml:space="preserve">showing progress towards the </w:t>
      </w:r>
      <w:r w:rsidR="007F05EB" w:rsidRPr="00B64995">
        <w:t>s</w:t>
      </w:r>
      <w:r w:rsidRPr="00B64995">
        <w:t>trat</w:t>
      </w:r>
      <w:r w:rsidR="085DE091" w:rsidRPr="00B64995">
        <w:t>egic</w:t>
      </w:r>
      <w:r w:rsidRPr="00B64995">
        <w:t xml:space="preserve"> </w:t>
      </w:r>
      <w:r w:rsidR="007F05EB" w:rsidRPr="00B64995">
        <w:t>t</w:t>
      </w:r>
      <w:r w:rsidRPr="00B64995">
        <w:t>argets</w:t>
      </w:r>
      <w:r w:rsidR="693CE741" w:rsidRPr="00B64995">
        <w:t>,</w:t>
      </w:r>
      <w:r w:rsidRPr="00B64995">
        <w:t xml:space="preserve"> </w:t>
      </w:r>
      <w:r w:rsidR="001D2366" w:rsidRPr="00B64995">
        <w:t>highlights</w:t>
      </w:r>
      <w:r w:rsidRPr="00B64995">
        <w:t xml:space="preserve"> </w:t>
      </w:r>
      <w:r w:rsidR="2B71C4DC" w:rsidRPr="00B64995">
        <w:t xml:space="preserve">the following </w:t>
      </w:r>
      <w:r w:rsidRPr="00B64995">
        <w:t>conclusions:</w:t>
      </w:r>
    </w:p>
    <w:p w14:paraId="5615934B" w14:textId="5E024003" w:rsidR="00614D53" w:rsidRPr="00B64995" w:rsidRDefault="00614D53" w:rsidP="5503EDA3">
      <w:pPr>
        <w:pStyle w:val="ListParagraph"/>
        <w:numPr>
          <w:ilvl w:val="0"/>
          <w:numId w:val="2"/>
        </w:numPr>
        <w:jc w:val="both"/>
        <w:rPr>
          <w:rFonts w:asciiTheme="minorHAnsi" w:eastAsiaTheme="minorEastAsia" w:hAnsiTheme="minorHAnsi" w:cstheme="minorBidi"/>
          <w:b/>
          <w:bCs/>
          <w:lang w:val="en-GB"/>
        </w:rPr>
      </w:pPr>
      <w:r w:rsidRPr="00B64995">
        <w:rPr>
          <w:rFonts w:eastAsia="Calibri" w:cs="Calibri"/>
          <w:b/>
          <w:bCs/>
          <w:lang w:val="en-GB"/>
        </w:rPr>
        <w:t>Internet</w:t>
      </w:r>
      <w:r w:rsidR="204457E5" w:rsidRPr="00B64995">
        <w:rPr>
          <w:rFonts w:eastAsia="Calibri" w:cs="Calibri"/>
          <w:b/>
          <w:bCs/>
          <w:lang w:val="en-GB"/>
        </w:rPr>
        <w:t xml:space="preserve"> usage </w:t>
      </w:r>
      <w:r w:rsidR="001D2366" w:rsidRPr="00B64995">
        <w:rPr>
          <w:rFonts w:eastAsia="Calibri" w:cs="Calibri"/>
          <w:b/>
          <w:bCs/>
          <w:lang w:val="en-GB"/>
        </w:rPr>
        <w:t xml:space="preserve">continues to </w:t>
      </w:r>
      <w:r w:rsidR="204457E5" w:rsidRPr="00B64995">
        <w:rPr>
          <w:rFonts w:eastAsia="Calibri" w:cs="Calibri"/>
          <w:b/>
          <w:bCs/>
          <w:lang w:val="en-GB"/>
        </w:rPr>
        <w:t>grow</w:t>
      </w:r>
      <w:r w:rsidR="7DA6D7A8" w:rsidRPr="00B64995">
        <w:rPr>
          <w:rFonts w:eastAsia="Calibri" w:cs="Calibri"/>
          <w:b/>
          <w:bCs/>
          <w:lang w:val="en-GB"/>
        </w:rPr>
        <w:t xml:space="preserve">: </w:t>
      </w:r>
      <w:r w:rsidR="204457E5" w:rsidRPr="00B64995">
        <w:rPr>
          <w:rFonts w:eastAsia="Calibri" w:cs="Calibri"/>
          <w:lang w:val="en-GB"/>
        </w:rPr>
        <w:t xml:space="preserve">An estimated 4.1 billion people </w:t>
      </w:r>
      <w:r w:rsidR="4072E1F4" w:rsidRPr="00B64995">
        <w:rPr>
          <w:rFonts w:eastAsia="Calibri" w:cs="Calibri"/>
          <w:lang w:val="en-GB"/>
        </w:rPr>
        <w:t xml:space="preserve">were </w:t>
      </w:r>
      <w:r w:rsidR="204457E5" w:rsidRPr="00B64995">
        <w:rPr>
          <w:rFonts w:eastAsia="Calibri" w:cs="Calibri"/>
          <w:lang w:val="en-GB"/>
        </w:rPr>
        <w:t xml:space="preserve">using the </w:t>
      </w:r>
      <w:r w:rsidRPr="00B64995">
        <w:rPr>
          <w:rFonts w:eastAsia="Calibri" w:cs="Calibri"/>
          <w:lang w:val="en-GB"/>
        </w:rPr>
        <w:t>Internet</w:t>
      </w:r>
      <w:r w:rsidR="204457E5" w:rsidRPr="00B64995">
        <w:rPr>
          <w:rFonts w:eastAsia="Calibri" w:cs="Calibri"/>
          <w:lang w:val="en-GB"/>
        </w:rPr>
        <w:t xml:space="preserve"> </w:t>
      </w:r>
      <w:r w:rsidR="001D2366" w:rsidRPr="00B64995">
        <w:rPr>
          <w:rFonts w:eastAsia="Calibri" w:cs="Calibri"/>
          <w:lang w:val="en-GB"/>
        </w:rPr>
        <w:t xml:space="preserve">regularly </w:t>
      </w:r>
      <w:r w:rsidR="204457E5" w:rsidRPr="00B64995">
        <w:rPr>
          <w:rFonts w:eastAsia="Calibri" w:cs="Calibri"/>
          <w:lang w:val="en-GB"/>
        </w:rPr>
        <w:t>in 2019, reflecting a 5.3</w:t>
      </w:r>
      <w:r w:rsidR="00782133">
        <w:rPr>
          <w:rFonts w:eastAsia="Calibri" w:cs="Calibri"/>
          <w:lang w:val="en-GB"/>
        </w:rPr>
        <w:t xml:space="preserve"> per cent</w:t>
      </w:r>
      <w:r w:rsidR="204457E5" w:rsidRPr="00B64995">
        <w:rPr>
          <w:rFonts w:eastAsia="Calibri" w:cs="Calibri"/>
          <w:lang w:val="en-GB"/>
        </w:rPr>
        <w:t xml:space="preserve"> </w:t>
      </w:r>
      <w:r w:rsidR="204457E5" w:rsidRPr="00570F0C">
        <w:rPr>
          <w:rFonts w:eastAsia="Calibri" w:cs="Calibri"/>
          <w:lang w:val="en-GB"/>
        </w:rPr>
        <w:t xml:space="preserve">increase </w:t>
      </w:r>
      <w:r w:rsidR="00347E48" w:rsidRPr="00570F0C">
        <w:rPr>
          <w:rFonts w:eastAsia="Calibri" w:cs="Calibri"/>
          <w:lang w:val="en-GB"/>
        </w:rPr>
        <w:t>in</w:t>
      </w:r>
      <w:r w:rsidR="00347E48" w:rsidRPr="00570F0C">
        <w:rPr>
          <w:rFonts w:eastAsia="Calibri" w:cs="Calibri"/>
          <w:lang w:val="en-GB"/>
        </w:rPr>
        <w:t xml:space="preserve"> </w:t>
      </w:r>
      <w:r w:rsidR="204457E5" w:rsidRPr="00570F0C">
        <w:rPr>
          <w:rFonts w:eastAsia="Calibri" w:cs="Calibri"/>
          <w:lang w:val="en-GB"/>
        </w:rPr>
        <w:t>2018. The</w:t>
      </w:r>
      <w:r w:rsidR="204457E5" w:rsidRPr="00B64995">
        <w:rPr>
          <w:rFonts w:eastAsia="Calibri" w:cs="Calibri"/>
          <w:lang w:val="en-GB"/>
        </w:rPr>
        <w:t xml:space="preserve"> global penetration rate increased from nearly 17</w:t>
      </w:r>
      <w:r w:rsidR="00782133">
        <w:rPr>
          <w:rFonts w:eastAsia="Calibri" w:cs="Calibri"/>
          <w:lang w:val="en-GB"/>
        </w:rPr>
        <w:t xml:space="preserve"> per cent</w:t>
      </w:r>
      <w:r w:rsidR="008D3C02" w:rsidRPr="00B64995">
        <w:rPr>
          <w:rFonts w:eastAsia="Calibri" w:cs="Calibri"/>
          <w:lang w:val="en-GB"/>
        </w:rPr>
        <w:t xml:space="preserve"> </w:t>
      </w:r>
      <w:r w:rsidR="204457E5" w:rsidRPr="00B64995">
        <w:rPr>
          <w:rFonts w:eastAsia="Calibri" w:cs="Calibri"/>
          <w:lang w:val="en-GB"/>
        </w:rPr>
        <w:t>in 2005 to over 53</w:t>
      </w:r>
      <w:r w:rsidR="00782133">
        <w:rPr>
          <w:rFonts w:eastAsia="Calibri" w:cs="Calibri"/>
          <w:lang w:val="en-GB"/>
        </w:rPr>
        <w:t xml:space="preserve"> per cent</w:t>
      </w:r>
      <w:r w:rsidR="008D3C02" w:rsidRPr="00B64995">
        <w:rPr>
          <w:rFonts w:eastAsia="Calibri" w:cs="Calibri"/>
          <w:lang w:val="en-GB"/>
        </w:rPr>
        <w:t xml:space="preserve"> </w:t>
      </w:r>
      <w:r w:rsidR="204457E5" w:rsidRPr="00B64995">
        <w:rPr>
          <w:rFonts w:eastAsia="Calibri" w:cs="Calibri"/>
          <w:lang w:val="en-GB"/>
        </w:rPr>
        <w:t xml:space="preserve">in 2019. Between 2005 and 2019, the number of </w:t>
      </w:r>
      <w:r w:rsidRPr="00B64995">
        <w:rPr>
          <w:rFonts w:eastAsia="Calibri" w:cs="Calibri"/>
          <w:lang w:val="en-GB"/>
        </w:rPr>
        <w:t>Internet</w:t>
      </w:r>
      <w:r w:rsidR="204457E5" w:rsidRPr="00B64995">
        <w:rPr>
          <w:rFonts w:eastAsia="Calibri" w:cs="Calibri"/>
          <w:lang w:val="en-GB"/>
        </w:rPr>
        <w:t xml:space="preserve"> users grew on average by 10</w:t>
      </w:r>
      <w:r w:rsidR="00782133">
        <w:rPr>
          <w:rFonts w:eastAsia="Calibri" w:cs="Calibri"/>
          <w:lang w:val="en-GB"/>
        </w:rPr>
        <w:t xml:space="preserve"> per cent</w:t>
      </w:r>
      <w:r w:rsidR="00BC347C" w:rsidRPr="00B64995">
        <w:rPr>
          <w:rFonts w:eastAsia="Calibri" w:cs="Calibri"/>
          <w:lang w:val="en-GB"/>
        </w:rPr>
        <w:t xml:space="preserve"> </w:t>
      </w:r>
      <w:r w:rsidR="204457E5" w:rsidRPr="00B64995">
        <w:rPr>
          <w:rFonts w:eastAsia="Calibri" w:cs="Calibri"/>
          <w:lang w:val="en-GB"/>
        </w:rPr>
        <w:t>every year. In recent years</w:t>
      </w:r>
      <w:r w:rsidR="00BC347C" w:rsidRPr="00B64995">
        <w:rPr>
          <w:rFonts w:eastAsia="Calibri" w:cs="Calibri"/>
          <w:lang w:val="en-GB"/>
        </w:rPr>
        <w:t>,</w:t>
      </w:r>
      <w:r w:rsidR="204457E5" w:rsidRPr="00B64995">
        <w:rPr>
          <w:rFonts w:eastAsia="Calibri" w:cs="Calibri"/>
          <w:lang w:val="en-GB"/>
        </w:rPr>
        <w:t xml:space="preserve"> though, global growth rates are </w:t>
      </w:r>
      <w:r w:rsidR="001D2366" w:rsidRPr="00B64995">
        <w:rPr>
          <w:rFonts w:eastAsia="Calibri" w:cs="Calibri"/>
          <w:lang w:val="en-GB"/>
        </w:rPr>
        <w:t>stabilizing, as</w:t>
      </w:r>
      <w:r w:rsidR="204457E5" w:rsidRPr="00B64995">
        <w:rPr>
          <w:rFonts w:eastAsia="Calibri" w:cs="Calibri"/>
          <w:lang w:val="en-GB"/>
        </w:rPr>
        <w:t xml:space="preserve"> some parts of the world are reaching saturation levels.</w:t>
      </w:r>
      <w:r w:rsidR="001D2366" w:rsidRPr="00B64995">
        <w:rPr>
          <w:rFonts w:eastAsia="Calibri" w:cs="Calibri"/>
          <w:lang w:val="en-GB"/>
        </w:rPr>
        <w:t xml:space="preserve"> </w:t>
      </w:r>
      <w:r w:rsidR="001D2366" w:rsidRPr="00B64995">
        <w:rPr>
          <w:lang w:val="en-GB"/>
        </w:rPr>
        <w:t xml:space="preserve">Early indications are that COVID has boosted </w:t>
      </w:r>
      <w:r w:rsidR="00BC347C" w:rsidRPr="00B64995">
        <w:rPr>
          <w:lang w:val="en-GB"/>
        </w:rPr>
        <w:t xml:space="preserve">the </w:t>
      </w:r>
      <w:r w:rsidR="001D2366" w:rsidRPr="00B64995">
        <w:rPr>
          <w:lang w:val="en-GB"/>
        </w:rPr>
        <w:t xml:space="preserve">Internet usage growth rate </w:t>
      </w:r>
      <w:r w:rsidR="00BC347C" w:rsidRPr="00B64995">
        <w:rPr>
          <w:lang w:val="en-GB"/>
        </w:rPr>
        <w:t xml:space="preserve">significantly </w:t>
      </w:r>
      <w:r w:rsidR="001D2366" w:rsidRPr="00B64995">
        <w:rPr>
          <w:lang w:val="en-GB"/>
        </w:rPr>
        <w:t>in unconnected regions.</w:t>
      </w:r>
    </w:p>
    <w:p w14:paraId="693BC4DD" w14:textId="297693FE" w:rsidR="00ED1FF5" w:rsidRPr="00B64995" w:rsidRDefault="204457E5" w:rsidP="5503EDA3">
      <w:pPr>
        <w:pStyle w:val="ListParagraph"/>
        <w:numPr>
          <w:ilvl w:val="0"/>
          <w:numId w:val="2"/>
        </w:numPr>
        <w:jc w:val="both"/>
        <w:rPr>
          <w:b/>
          <w:bCs/>
          <w:lang w:val="en-GB"/>
        </w:rPr>
      </w:pPr>
      <w:r w:rsidRPr="00B64995">
        <w:rPr>
          <w:rFonts w:eastAsia="Calibri" w:cs="Calibri"/>
          <w:b/>
          <w:bCs/>
          <w:lang w:val="en-GB"/>
        </w:rPr>
        <w:t>Most of the offline population live in least developed countries</w:t>
      </w:r>
      <w:r w:rsidR="66B500E4" w:rsidRPr="00B64995">
        <w:rPr>
          <w:rFonts w:eastAsia="Calibri" w:cs="Calibri"/>
          <w:b/>
          <w:bCs/>
          <w:lang w:val="en-GB"/>
        </w:rPr>
        <w:t xml:space="preserve"> (LDCs)</w:t>
      </w:r>
      <w:r w:rsidR="5A06DB25" w:rsidRPr="00B64995">
        <w:rPr>
          <w:rFonts w:eastAsia="Calibri" w:cs="Calibri"/>
          <w:b/>
          <w:bCs/>
          <w:lang w:val="en-GB"/>
        </w:rPr>
        <w:t xml:space="preserve">: </w:t>
      </w:r>
      <w:r w:rsidRPr="00B64995">
        <w:rPr>
          <w:rFonts w:eastAsia="Calibri" w:cs="Calibri"/>
          <w:lang w:val="en-GB"/>
        </w:rPr>
        <w:t xml:space="preserve">In developed countries, most people are online, with close to 87 per cent of individuals using the </w:t>
      </w:r>
      <w:r w:rsidR="00614D53" w:rsidRPr="00B64995">
        <w:rPr>
          <w:rFonts w:eastAsia="Calibri" w:cs="Calibri"/>
          <w:lang w:val="en-GB"/>
        </w:rPr>
        <w:t>Internet</w:t>
      </w:r>
      <w:r w:rsidRPr="00B64995">
        <w:rPr>
          <w:rFonts w:eastAsia="Calibri" w:cs="Calibri"/>
          <w:lang w:val="en-GB"/>
        </w:rPr>
        <w:t>. In LDCs, on the other hand, only 19</w:t>
      </w:r>
      <w:r w:rsidR="00782133">
        <w:rPr>
          <w:rFonts w:eastAsia="Calibri" w:cs="Calibri"/>
          <w:lang w:val="en-GB"/>
        </w:rPr>
        <w:t xml:space="preserve"> per cent</w:t>
      </w:r>
      <w:r w:rsidR="00BC347C" w:rsidRPr="00B64995">
        <w:rPr>
          <w:rFonts w:eastAsia="Calibri" w:cs="Calibri"/>
          <w:lang w:val="en-GB"/>
        </w:rPr>
        <w:t xml:space="preserve"> </w:t>
      </w:r>
      <w:r w:rsidRPr="00B64995">
        <w:rPr>
          <w:rFonts w:eastAsia="Calibri" w:cs="Calibri"/>
          <w:lang w:val="en-GB"/>
        </w:rPr>
        <w:t xml:space="preserve">of individuals </w:t>
      </w:r>
      <w:r w:rsidR="210B28F9" w:rsidRPr="00B64995">
        <w:rPr>
          <w:rFonts w:eastAsia="Calibri" w:cs="Calibri"/>
          <w:lang w:val="en-GB"/>
        </w:rPr>
        <w:t xml:space="preserve">were </w:t>
      </w:r>
      <w:r w:rsidRPr="00B64995">
        <w:rPr>
          <w:rFonts w:eastAsia="Calibri" w:cs="Calibri"/>
          <w:lang w:val="en-GB"/>
        </w:rPr>
        <w:t xml:space="preserve">online in 2019. </w:t>
      </w:r>
      <w:r w:rsidR="534FD946" w:rsidRPr="00B64995">
        <w:rPr>
          <w:rFonts w:eastAsia="Calibri" w:cs="Calibri"/>
          <w:lang w:val="en-GB"/>
        </w:rPr>
        <w:t xml:space="preserve">In terms of user </w:t>
      </w:r>
      <w:r w:rsidR="000E6D27" w:rsidRPr="00B64995">
        <w:rPr>
          <w:rFonts w:eastAsia="Calibri" w:cs="Calibri"/>
          <w:lang w:val="en-GB"/>
        </w:rPr>
        <w:t>penetration rates</w:t>
      </w:r>
      <w:r w:rsidR="534FD946" w:rsidRPr="00B64995">
        <w:rPr>
          <w:rFonts w:eastAsia="Calibri" w:cs="Calibri"/>
          <w:lang w:val="en-GB"/>
        </w:rPr>
        <w:t xml:space="preserve">, </w:t>
      </w:r>
      <w:r w:rsidRPr="00B64995">
        <w:rPr>
          <w:rFonts w:eastAsia="Calibri" w:cs="Calibri"/>
          <w:lang w:val="en-GB"/>
        </w:rPr>
        <w:t xml:space="preserve">Europe is the region with the highest </w:t>
      </w:r>
      <w:r w:rsidR="00614D53" w:rsidRPr="00B64995">
        <w:rPr>
          <w:rFonts w:eastAsia="Calibri" w:cs="Calibri"/>
          <w:lang w:val="en-GB"/>
        </w:rPr>
        <w:t>Internet</w:t>
      </w:r>
      <w:r w:rsidRPr="00B64995">
        <w:rPr>
          <w:rFonts w:eastAsia="Calibri" w:cs="Calibri"/>
          <w:lang w:val="en-GB"/>
        </w:rPr>
        <w:t xml:space="preserve"> usage rates</w:t>
      </w:r>
      <w:r w:rsidR="2AF63EA1" w:rsidRPr="00B64995">
        <w:rPr>
          <w:rFonts w:eastAsia="Calibri" w:cs="Calibri"/>
          <w:lang w:val="en-GB"/>
        </w:rPr>
        <w:t xml:space="preserve"> while </w:t>
      </w:r>
      <w:r w:rsidRPr="00B64995">
        <w:rPr>
          <w:rFonts w:eastAsia="Calibri" w:cs="Calibri"/>
          <w:lang w:val="en-GB"/>
        </w:rPr>
        <w:t xml:space="preserve">Africa </w:t>
      </w:r>
      <w:r w:rsidR="11CABCFA" w:rsidRPr="00B64995">
        <w:rPr>
          <w:rFonts w:eastAsia="Calibri" w:cs="Calibri"/>
          <w:lang w:val="en-GB"/>
        </w:rPr>
        <w:t xml:space="preserve">is </w:t>
      </w:r>
      <w:r w:rsidRPr="00B64995">
        <w:rPr>
          <w:rFonts w:eastAsia="Calibri" w:cs="Calibri"/>
          <w:lang w:val="en-GB"/>
        </w:rPr>
        <w:t>the region with the lowest usage rates</w:t>
      </w:r>
      <w:r w:rsidR="00BC347C" w:rsidRPr="00B64995">
        <w:rPr>
          <w:rFonts w:eastAsia="Calibri" w:cs="Calibri"/>
          <w:lang w:val="en-GB"/>
        </w:rPr>
        <w:t>.</w:t>
      </w:r>
    </w:p>
    <w:p w14:paraId="32770357" w14:textId="1A82082D" w:rsidR="45754881" w:rsidRPr="00B64995" w:rsidRDefault="204457E5" w:rsidP="5503EDA3">
      <w:pPr>
        <w:pStyle w:val="ListParagraph"/>
        <w:numPr>
          <w:ilvl w:val="0"/>
          <w:numId w:val="2"/>
        </w:numPr>
        <w:jc w:val="both"/>
        <w:rPr>
          <w:b/>
          <w:bCs/>
          <w:lang w:val="en-GB"/>
        </w:rPr>
      </w:pPr>
      <w:r w:rsidRPr="00B64995">
        <w:rPr>
          <w:rFonts w:eastAsia="Calibri" w:cs="Calibri"/>
          <w:b/>
          <w:bCs/>
          <w:lang w:val="en-GB"/>
        </w:rPr>
        <w:t>The digital gender gap is growing fast in developing countries</w:t>
      </w:r>
      <w:r w:rsidR="717338C6" w:rsidRPr="00B64995">
        <w:rPr>
          <w:rFonts w:eastAsia="Calibri" w:cs="Calibri"/>
          <w:b/>
          <w:bCs/>
          <w:lang w:val="en-GB"/>
        </w:rPr>
        <w:t>:</w:t>
      </w:r>
      <w:r w:rsidR="4130B9FD" w:rsidRPr="00B64995">
        <w:rPr>
          <w:rFonts w:eastAsia="Calibri" w:cs="Calibri"/>
          <w:b/>
          <w:bCs/>
          <w:lang w:val="en-GB"/>
        </w:rPr>
        <w:t xml:space="preserve"> </w:t>
      </w:r>
      <w:r w:rsidR="4130B9FD" w:rsidRPr="00B64995">
        <w:rPr>
          <w:rFonts w:eastAsia="Calibri" w:cs="Calibri"/>
          <w:lang w:val="en-GB"/>
        </w:rPr>
        <w:t xml:space="preserve">In all regions of the world, more men than women are using the Internet. The gap is small in developed countries and large in developing countries, especially LDCs. Between 2013 and 2019, the gender gap hovered around zero in the Americas and </w:t>
      </w:r>
      <w:r w:rsidR="007F05EB" w:rsidRPr="00B64995">
        <w:rPr>
          <w:rFonts w:eastAsia="Calibri" w:cs="Calibri"/>
          <w:lang w:val="en-GB"/>
        </w:rPr>
        <w:t xml:space="preserve">shrank </w:t>
      </w:r>
      <w:r w:rsidR="4130B9FD" w:rsidRPr="00B64995">
        <w:rPr>
          <w:rFonts w:eastAsia="Calibri" w:cs="Calibri"/>
          <w:lang w:val="en-GB"/>
        </w:rPr>
        <w:t>in the CIS countries and Europe. However, in Africa, the gender gap has been growing</w:t>
      </w:r>
      <w:r w:rsidR="005426DE">
        <w:rPr>
          <w:rFonts w:eastAsia="Calibri" w:cs="Calibri"/>
          <w:lang w:val="en-GB"/>
        </w:rPr>
        <w:t xml:space="preserve"> </w:t>
      </w:r>
      <w:r w:rsidR="00127F39">
        <w:rPr>
          <w:rFonts w:eastAsia="Calibri" w:cs="Calibri"/>
          <w:lang w:val="en-GB"/>
        </w:rPr>
        <w:t>steadily</w:t>
      </w:r>
      <w:r w:rsidR="00F76AF5">
        <w:rPr>
          <w:rFonts w:eastAsia="Calibri" w:cs="Calibri"/>
          <w:lang w:val="en-GB"/>
        </w:rPr>
        <w:t xml:space="preserve"> while in </w:t>
      </w:r>
      <w:r w:rsidR="005426DE">
        <w:rPr>
          <w:rFonts w:eastAsia="Calibri" w:cs="Calibri"/>
          <w:lang w:val="en-GB"/>
        </w:rPr>
        <w:t>the Arab States and Asia Pacific it has decreased from 2019-2020</w:t>
      </w:r>
      <w:r w:rsidR="006B7130">
        <w:rPr>
          <w:rFonts w:eastAsia="Calibri" w:cs="Calibri"/>
          <w:lang w:val="en-GB"/>
        </w:rPr>
        <w:t xml:space="preserve"> (after having significantly increased from 2017 to 2019)</w:t>
      </w:r>
      <w:r w:rsidR="4130B9FD" w:rsidRPr="00B64995">
        <w:rPr>
          <w:rFonts w:eastAsia="Calibri" w:cs="Calibri"/>
          <w:lang w:val="en-GB"/>
        </w:rPr>
        <w:t xml:space="preserve">. The global gender gap has increased owing to the rapid growth in the number of male Internet users in </w:t>
      </w:r>
      <w:r w:rsidR="001C2361">
        <w:rPr>
          <w:rFonts w:eastAsia="Calibri" w:cs="Calibri"/>
          <w:lang w:val="en-GB"/>
        </w:rPr>
        <w:t>LDCs</w:t>
      </w:r>
      <w:r w:rsidR="00BC347C" w:rsidRPr="00B64995">
        <w:rPr>
          <w:rFonts w:eastAsia="Calibri" w:cs="Calibri"/>
          <w:lang w:val="en-GB"/>
        </w:rPr>
        <w:t>.</w:t>
      </w:r>
    </w:p>
    <w:p w14:paraId="2E15F0DC" w14:textId="63CCE685" w:rsidR="3BE57C77" w:rsidRPr="00B64995" w:rsidRDefault="204457E5" w:rsidP="5503EDA3">
      <w:pPr>
        <w:pStyle w:val="ListParagraph"/>
        <w:numPr>
          <w:ilvl w:val="0"/>
          <w:numId w:val="2"/>
        </w:numPr>
        <w:jc w:val="both"/>
        <w:rPr>
          <w:rFonts w:asciiTheme="minorHAnsi" w:eastAsiaTheme="minorEastAsia" w:hAnsiTheme="minorHAnsi" w:cstheme="minorBidi"/>
          <w:b/>
          <w:bCs/>
          <w:lang w:val="en-GB"/>
        </w:rPr>
      </w:pPr>
      <w:bookmarkStart w:id="125" w:name="_Toc37860471"/>
      <w:r w:rsidRPr="00B64995">
        <w:rPr>
          <w:rFonts w:eastAsia="Calibri" w:cs="Calibri"/>
          <w:b/>
          <w:bCs/>
          <w:lang w:val="en-GB"/>
        </w:rPr>
        <w:t>Mobile</w:t>
      </w:r>
      <w:r w:rsidR="007F05EB" w:rsidRPr="00B64995">
        <w:rPr>
          <w:rFonts w:eastAsia="Calibri" w:cs="Calibri"/>
          <w:b/>
          <w:bCs/>
          <w:lang w:val="en-GB"/>
        </w:rPr>
        <w:t xml:space="preserve"> </w:t>
      </w:r>
      <w:r w:rsidRPr="00B64995">
        <w:rPr>
          <w:rFonts w:eastAsia="Calibri" w:cs="Calibri"/>
          <w:b/>
          <w:bCs/>
          <w:lang w:val="en-GB"/>
        </w:rPr>
        <w:t>broadband subscriptions continue to grow strongly</w:t>
      </w:r>
      <w:r w:rsidR="0FEC7834" w:rsidRPr="00B64995">
        <w:rPr>
          <w:rFonts w:eastAsia="Calibri" w:cs="Calibri"/>
          <w:b/>
          <w:bCs/>
          <w:lang w:val="en-GB"/>
        </w:rPr>
        <w:t xml:space="preserve">: </w:t>
      </w:r>
      <w:r w:rsidRPr="00B64995">
        <w:rPr>
          <w:rFonts w:eastAsia="Calibri" w:cs="Calibri"/>
          <w:lang w:val="en-GB"/>
        </w:rPr>
        <w:t>The number of active mobile broadband subscriptions per 100 inhabitants continues to grow strongly, with an 18.4</w:t>
      </w:r>
      <w:r w:rsidR="00782133">
        <w:rPr>
          <w:rFonts w:eastAsia="Calibri" w:cs="Calibri"/>
          <w:lang w:val="en-GB"/>
        </w:rPr>
        <w:t xml:space="preserve"> per cent</w:t>
      </w:r>
      <w:r w:rsidR="0085029E" w:rsidRPr="00B64995">
        <w:rPr>
          <w:rFonts w:eastAsia="Calibri" w:cs="Calibri"/>
          <w:lang w:val="en-GB"/>
        </w:rPr>
        <w:t xml:space="preserve"> </w:t>
      </w:r>
      <w:r w:rsidRPr="00B64995">
        <w:rPr>
          <w:rFonts w:eastAsia="Calibri" w:cs="Calibri"/>
          <w:lang w:val="en-GB"/>
        </w:rPr>
        <w:t>year-on-year growth. The correlation between level of development and uptake of mobile subscriptions is much weaker, reflecting the better affordability and availability of mobile compared with fixed network connections. The relatively small difference between developed and developing countries also shows that connectivity is a priority among people in countries at all levels of development</w:t>
      </w:r>
      <w:bookmarkEnd w:id="125"/>
      <w:r w:rsidR="00BC347C" w:rsidRPr="00B64995">
        <w:rPr>
          <w:rFonts w:eastAsia="Calibri" w:cs="Calibri"/>
          <w:lang w:val="en-GB"/>
        </w:rPr>
        <w:t>.</w:t>
      </w:r>
    </w:p>
    <w:p w14:paraId="5772D8A9" w14:textId="13DFB901" w:rsidR="3BE57C77" w:rsidRPr="00B64995" w:rsidRDefault="204457E5" w:rsidP="5503EDA3">
      <w:pPr>
        <w:pStyle w:val="ListParagraph"/>
        <w:numPr>
          <w:ilvl w:val="0"/>
          <w:numId w:val="2"/>
        </w:numPr>
        <w:jc w:val="both"/>
        <w:rPr>
          <w:b/>
          <w:bCs/>
          <w:lang w:val="en-GB"/>
        </w:rPr>
      </w:pPr>
      <w:r w:rsidRPr="00B64995">
        <w:rPr>
          <w:rFonts w:eastAsia="Calibri" w:cs="Calibri"/>
          <w:b/>
          <w:bCs/>
          <w:lang w:val="en-GB"/>
        </w:rPr>
        <w:t xml:space="preserve">Bandwidth </w:t>
      </w:r>
      <w:r w:rsidR="000E6D27" w:rsidRPr="00B64995">
        <w:rPr>
          <w:rFonts w:eastAsia="Calibri" w:cs="Calibri"/>
          <w:b/>
          <w:bCs/>
          <w:lang w:val="en-GB"/>
        </w:rPr>
        <w:t xml:space="preserve">is </w:t>
      </w:r>
      <w:r w:rsidRPr="00B64995">
        <w:rPr>
          <w:rFonts w:eastAsia="Calibri" w:cs="Calibri"/>
          <w:b/>
          <w:bCs/>
          <w:lang w:val="en-GB"/>
        </w:rPr>
        <w:t>growing fast</w:t>
      </w:r>
      <w:r w:rsidR="009D6A4E" w:rsidRPr="00B64995">
        <w:rPr>
          <w:rFonts w:eastAsia="Calibri" w:cs="Calibri"/>
          <w:b/>
          <w:bCs/>
          <w:lang w:val="en-GB"/>
        </w:rPr>
        <w:t>,</w:t>
      </w:r>
      <w:r w:rsidRPr="00B64995">
        <w:rPr>
          <w:rFonts w:eastAsia="Calibri" w:cs="Calibri"/>
          <w:b/>
          <w:bCs/>
          <w:lang w:val="en-GB"/>
        </w:rPr>
        <w:t xml:space="preserve"> but with </w:t>
      </w:r>
      <w:r w:rsidR="000E6D27" w:rsidRPr="00B64995">
        <w:rPr>
          <w:rFonts w:eastAsia="Calibri" w:cs="Calibri"/>
          <w:b/>
          <w:bCs/>
          <w:lang w:val="en-GB"/>
        </w:rPr>
        <w:t xml:space="preserve">strong </w:t>
      </w:r>
      <w:r w:rsidRPr="00B64995">
        <w:rPr>
          <w:rFonts w:eastAsia="Calibri" w:cs="Calibri"/>
          <w:b/>
          <w:bCs/>
          <w:lang w:val="en-GB"/>
        </w:rPr>
        <w:t>regional differences</w:t>
      </w:r>
      <w:r w:rsidR="5AB04979" w:rsidRPr="00B64995">
        <w:rPr>
          <w:rFonts w:eastAsia="Calibri" w:cs="Calibri"/>
          <w:b/>
          <w:bCs/>
          <w:lang w:val="en-GB"/>
        </w:rPr>
        <w:t xml:space="preserve">: </w:t>
      </w:r>
      <w:r w:rsidR="3BE57C77" w:rsidRPr="00B64995">
        <w:rPr>
          <w:rFonts w:eastAsia="Calibri" w:cs="Calibri"/>
          <w:lang w:val="en-GB"/>
        </w:rPr>
        <w:t>International bandwidth usage grew by 33.4</w:t>
      </w:r>
      <w:r w:rsidR="00782133">
        <w:rPr>
          <w:rFonts w:eastAsia="Calibri" w:cs="Calibri"/>
          <w:lang w:val="en-GB"/>
        </w:rPr>
        <w:t xml:space="preserve"> per cent</w:t>
      </w:r>
      <w:r w:rsidR="0085029E" w:rsidRPr="00B64995">
        <w:rPr>
          <w:rFonts w:eastAsia="Calibri" w:cs="Calibri"/>
          <w:lang w:val="en-GB"/>
        </w:rPr>
        <w:t xml:space="preserve"> </w:t>
      </w:r>
      <w:r w:rsidR="3BE57C77" w:rsidRPr="00B64995">
        <w:rPr>
          <w:rFonts w:eastAsia="Calibri" w:cs="Calibri"/>
          <w:lang w:val="en-GB"/>
        </w:rPr>
        <w:t xml:space="preserve">on average annually between 2015 and 2019. In terms of kbit/s </w:t>
      </w:r>
      <w:r w:rsidR="3BE57C77" w:rsidRPr="00B64995">
        <w:rPr>
          <w:rFonts w:eastAsia="Calibri" w:cs="Calibri"/>
          <w:lang w:val="en-GB"/>
        </w:rPr>
        <w:lastRenderedPageBreak/>
        <w:t xml:space="preserve">per </w:t>
      </w:r>
      <w:r w:rsidR="00614D53" w:rsidRPr="00B64995">
        <w:rPr>
          <w:rFonts w:eastAsia="Calibri" w:cs="Calibri"/>
          <w:lang w:val="en-GB"/>
        </w:rPr>
        <w:t>Internet</w:t>
      </w:r>
      <w:r w:rsidR="3BE57C77" w:rsidRPr="00B64995">
        <w:rPr>
          <w:rFonts w:eastAsia="Calibri" w:cs="Calibri"/>
          <w:lang w:val="en-GB"/>
        </w:rPr>
        <w:t xml:space="preserve"> user, Europe has by far the highest bandwidth usage (211 kbit/s), followed by four regions with similar bandwidth usage (between 100 and 130 kbit/s). Africa is </w:t>
      </w:r>
      <w:proofErr w:type="gramStart"/>
      <w:r w:rsidR="3BE57C77" w:rsidRPr="00B64995">
        <w:rPr>
          <w:rFonts w:eastAsia="Calibri" w:cs="Calibri"/>
          <w:lang w:val="en-GB"/>
        </w:rPr>
        <w:t>lagging behind</w:t>
      </w:r>
      <w:proofErr w:type="gramEnd"/>
      <w:r w:rsidR="3BE57C77" w:rsidRPr="00B64995">
        <w:rPr>
          <w:rFonts w:eastAsia="Calibri" w:cs="Calibri"/>
          <w:lang w:val="en-GB"/>
        </w:rPr>
        <w:t xml:space="preserve">, with 31 kbit/s per </w:t>
      </w:r>
      <w:r w:rsidR="00614D53" w:rsidRPr="00B64995">
        <w:rPr>
          <w:rFonts w:eastAsia="Calibri" w:cs="Calibri"/>
          <w:lang w:val="en-GB"/>
        </w:rPr>
        <w:t>Internet</w:t>
      </w:r>
      <w:r w:rsidR="3BE57C77" w:rsidRPr="00B64995">
        <w:rPr>
          <w:rFonts w:eastAsia="Calibri" w:cs="Calibri"/>
          <w:lang w:val="en-GB"/>
        </w:rPr>
        <w:t xml:space="preserve"> use</w:t>
      </w:r>
      <w:r w:rsidR="00ED1FF5" w:rsidRPr="00B64995">
        <w:rPr>
          <w:rFonts w:eastAsia="Calibri" w:cs="Calibri"/>
          <w:lang w:val="en-GB"/>
        </w:rPr>
        <w:t>r</w:t>
      </w:r>
      <w:r w:rsidR="00BC347C" w:rsidRPr="00B64995">
        <w:rPr>
          <w:rFonts w:eastAsia="Calibri" w:cs="Calibri"/>
          <w:lang w:val="en-GB"/>
        </w:rPr>
        <w:t>.</w:t>
      </w:r>
    </w:p>
    <w:p w14:paraId="07B9C300" w14:textId="1C1DAB29" w:rsidR="3BE57C77" w:rsidRPr="00B64995" w:rsidRDefault="3BE57C77" w:rsidP="5503EDA3">
      <w:pPr>
        <w:pStyle w:val="ListParagraph"/>
        <w:numPr>
          <w:ilvl w:val="0"/>
          <w:numId w:val="2"/>
        </w:numPr>
        <w:jc w:val="both"/>
        <w:rPr>
          <w:b/>
          <w:bCs/>
          <w:lang w:val="en-GB"/>
        </w:rPr>
      </w:pPr>
      <w:r w:rsidRPr="00B64995">
        <w:rPr>
          <w:rFonts w:eastAsia="Calibri" w:cs="Calibri"/>
          <w:b/>
          <w:bCs/>
          <w:lang w:val="en-GB"/>
        </w:rPr>
        <w:t xml:space="preserve">Broadband </w:t>
      </w:r>
      <w:r w:rsidR="009D6A4E" w:rsidRPr="00B64995">
        <w:rPr>
          <w:rFonts w:eastAsia="Calibri" w:cs="Calibri"/>
          <w:b/>
          <w:bCs/>
          <w:lang w:val="en-GB"/>
        </w:rPr>
        <w:t xml:space="preserve">connectivity </w:t>
      </w:r>
      <w:r w:rsidR="00F66F7A" w:rsidRPr="00B64995">
        <w:rPr>
          <w:rFonts w:eastAsia="Calibri" w:cs="Calibri"/>
          <w:b/>
          <w:bCs/>
          <w:lang w:val="en-GB"/>
        </w:rPr>
        <w:t xml:space="preserve">is </w:t>
      </w:r>
      <w:r w:rsidRPr="00B64995">
        <w:rPr>
          <w:rFonts w:eastAsia="Calibri" w:cs="Calibri"/>
          <w:b/>
          <w:bCs/>
          <w:lang w:val="en-GB"/>
        </w:rPr>
        <w:t>still expensive in LDCs</w:t>
      </w:r>
      <w:r w:rsidR="18F6E3CE" w:rsidRPr="00B64995">
        <w:rPr>
          <w:rFonts w:eastAsia="Calibri" w:cs="Calibri"/>
          <w:b/>
          <w:bCs/>
          <w:lang w:val="en-GB"/>
        </w:rPr>
        <w:t xml:space="preserve">: </w:t>
      </w:r>
      <w:r w:rsidRPr="00B64995">
        <w:rPr>
          <w:rFonts w:cs="Calibri"/>
          <w:lang w:val="en-GB"/>
        </w:rPr>
        <w:t xml:space="preserve">In 2019, in 61 countries, a fixed-broadband subscription including 5 GB of data costs less than 2 per cent of </w:t>
      </w:r>
      <w:r w:rsidR="00E91C1B" w:rsidRPr="00B64995">
        <w:rPr>
          <w:rFonts w:cs="Calibri"/>
          <w:lang w:val="en-GB"/>
        </w:rPr>
        <w:t xml:space="preserve">gross national income (GNI) </w:t>
      </w:r>
      <w:r w:rsidRPr="00B64995">
        <w:rPr>
          <w:rFonts w:cs="Calibri"/>
          <w:lang w:val="en-GB"/>
        </w:rPr>
        <w:t>per capita.</w:t>
      </w:r>
      <w:r w:rsidR="7ACB7931" w:rsidRPr="00B64995">
        <w:rPr>
          <w:rFonts w:cs="Calibri"/>
          <w:lang w:val="en-GB"/>
        </w:rPr>
        <w:t xml:space="preserve"> </w:t>
      </w:r>
      <w:r w:rsidRPr="00B64995">
        <w:rPr>
          <w:rFonts w:cs="Calibri"/>
          <w:lang w:val="en-GB"/>
        </w:rPr>
        <w:t>A mobile</w:t>
      </w:r>
      <w:r w:rsidR="007F05EB" w:rsidRPr="00B64995">
        <w:rPr>
          <w:rFonts w:cs="Calibri"/>
          <w:lang w:val="en-GB"/>
        </w:rPr>
        <w:t xml:space="preserve"> </w:t>
      </w:r>
      <w:r w:rsidRPr="00B64995">
        <w:rPr>
          <w:rFonts w:cs="Calibri"/>
          <w:lang w:val="en-GB"/>
        </w:rPr>
        <w:t>broadband subscription with a 1.5 GB data package costs less than 2 per cent of GNI per capita in 89 countries, including four LDCs.</w:t>
      </w:r>
      <w:r w:rsidR="65BA0859" w:rsidRPr="00B64995">
        <w:rPr>
          <w:rFonts w:cs="Calibri"/>
          <w:lang w:val="en-GB"/>
        </w:rPr>
        <w:t xml:space="preserve"> </w:t>
      </w:r>
      <w:r w:rsidRPr="00B64995">
        <w:rPr>
          <w:rFonts w:cs="Calibri"/>
          <w:lang w:val="en-GB"/>
        </w:rPr>
        <w:t>Although considerable progress has been made in recent years, affordability remains a challenge in many countries, especially LDCs</w:t>
      </w:r>
      <w:r w:rsidR="00BC347C" w:rsidRPr="00B64995">
        <w:rPr>
          <w:rFonts w:cs="Calibri"/>
          <w:lang w:val="en-GB"/>
        </w:rPr>
        <w:t>.</w:t>
      </w:r>
    </w:p>
    <w:p w14:paraId="5DBD6240" w14:textId="58ED2169" w:rsidR="0095429B" w:rsidRPr="00B64995" w:rsidRDefault="00194D26" w:rsidP="5503EDA3">
      <w:pPr>
        <w:pStyle w:val="ListParagraph"/>
        <w:numPr>
          <w:ilvl w:val="0"/>
          <w:numId w:val="2"/>
        </w:numPr>
        <w:jc w:val="both"/>
        <w:rPr>
          <w:rStyle w:val="normaltextrun"/>
          <w:b/>
          <w:bCs/>
          <w:lang w:val="en-GB"/>
        </w:rPr>
      </w:pPr>
      <w:r w:rsidRPr="00B64995">
        <w:rPr>
          <w:rStyle w:val="normaltextrun"/>
          <w:rFonts w:eastAsiaTheme="majorEastAsia" w:cs="Calibri"/>
          <w:b/>
          <w:bCs/>
          <w:lang w:val="en-GB"/>
        </w:rPr>
        <w:t>C</w:t>
      </w:r>
      <w:r w:rsidR="00927F25" w:rsidRPr="00B64995">
        <w:rPr>
          <w:rStyle w:val="normaltextrun"/>
          <w:rFonts w:eastAsiaTheme="majorEastAsia" w:cs="Calibri"/>
          <w:b/>
          <w:bCs/>
          <w:lang w:val="en-GB"/>
        </w:rPr>
        <w:t xml:space="preserve">hallenges </w:t>
      </w:r>
      <w:r w:rsidR="00F66F7A" w:rsidRPr="00B64995">
        <w:rPr>
          <w:rStyle w:val="normaltextrun"/>
          <w:rFonts w:eastAsiaTheme="majorEastAsia" w:cs="Calibri"/>
          <w:b/>
          <w:bCs/>
          <w:lang w:val="en-GB"/>
        </w:rPr>
        <w:t xml:space="preserve">in </w:t>
      </w:r>
      <w:r w:rsidR="00927F25" w:rsidRPr="00B64995">
        <w:rPr>
          <w:rStyle w:val="normaltextrun"/>
          <w:rFonts w:eastAsiaTheme="majorEastAsia" w:cs="Calibri"/>
          <w:b/>
          <w:bCs/>
          <w:lang w:val="en-GB"/>
        </w:rPr>
        <w:t xml:space="preserve">the ICT </w:t>
      </w:r>
      <w:r w:rsidR="00295B80" w:rsidRPr="00B64995">
        <w:rPr>
          <w:rStyle w:val="normaltextrun"/>
          <w:rFonts w:eastAsiaTheme="majorEastAsia" w:cs="Calibri"/>
          <w:b/>
          <w:bCs/>
          <w:lang w:val="en-GB"/>
        </w:rPr>
        <w:t>sector</w:t>
      </w:r>
      <w:r w:rsidR="00927F25" w:rsidRPr="00B64995">
        <w:rPr>
          <w:rStyle w:val="normaltextrun"/>
          <w:rFonts w:eastAsiaTheme="majorEastAsia" w:cs="Calibri"/>
          <w:b/>
          <w:bCs/>
          <w:lang w:val="en-GB"/>
        </w:rPr>
        <w:t xml:space="preserve"> </w:t>
      </w:r>
      <w:r w:rsidRPr="00B64995">
        <w:rPr>
          <w:rStyle w:val="normaltextrun"/>
          <w:rFonts w:eastAsiaTheme="majorEastAsia" w:cs="Calibri"/>
          <w:b/>
          <w:bCs/>
          <w:lang w:val="en-GB"/>
        </w:rPr>
        <w:t>are increasing</w:t>
      </w:r>
      <w:r w:rsidR="00927F25" w:rsidRPr="00B64995">
        <w:rPr>
          <w:rStyle w:val="normaltextrun"/>
          <w:rFonts w:eastAsiaTheme="majorEastAsia" w:cs="Calibri"/>
          <w:lang w:val="en-GB"/>
        </w:rPr>
        <w:t xml:space="preserve">: the level of energy consumption and the emission of greenhouse gases (GHGs) are increasing for the growing spread and use of ICT services, </w:t>
      </w:r>
      <w:proofErr w:type="gramStart"/>
      <w:r w:rsidR="00927F25" w:rsidRPr="00B64995">
        <w:rPr>
          <w:rStyle w:val="normaltextrun"/>
          <w:rFonts w:eastAsiaTheme="majorEastAsia" w:cs="Calibri"/>
          <w:lang w:val="en-GB"/>
        </w:rPr>
        <w:t>networks</w:t>
      </w:r>
      <w:proofErr w:type="gramEnd"/>
      <w:r w:rsidR="00927F25" w:rsidRPr="00B64995">
        <w:rPr>
          <w:rStyle w:val="normaltextrun"/>
          <w:rFonts w:eastAsiaTheme="majorEastAsia" w:cs="Calibri"/>
          <w:lang w:val="en-GB"/>
        </w:rPr>
        <w:t xml:space="preserve"> and devices. The volume of e-waste is on the rise</w:t>
      </w:r>
      <w:r w:rsidRPr="00B64995">
        <w:rPr>
          <w:rStyle w:val="normaltextrun"/>
          <w:rFonts w:eastAsiaTheme="majorEastAsia" w:cs="Calibri"/>
          <w:lang w:val="en-GB"/>
        </w:rPr>
        <w:t>, from 44.7 Megatons generated in 2016 to 53.6 Megatons in 201</w:t>
      </w:r>
      <w:r w:rsidR="000D20C2" w:rsidRPr="00B64995">
        <w:rPr>
          <w:rStyle w:val="normaltextrun"/>
          <w:rFonts w:eastAsiaTheme="majorEastAsia" w:cs="Calibri"/>
          <w:lang w:val="en-GB"/>
        </w:rPr>
        <w:t>9, while</w:t>
      </w:r>
      <w:r w:rsidRPr="00B64995">
        <w:rPr>
          <w:rStyle w:val="normaltextrun"/>
          <w:rFonts w:eastAsiaTheme="majorEastAsia" w:cs="Calibri"/>
          <w:lang w:val="en-GB"/>
        </w:rPr>
        <w:t xml:space="preserve"> the percentage of this </w:t>
      </w:r>
      <w:r w:rsidR="00D00593" w:rsidRPr="00B64995">
        <w:rPr>
          <w:rStyle w:val="normaltextrun"/>
          <w:rFonts w:eastAsiaTheme="majorEastAsia" w:cs="Calibri"/>
          <w:lang w:val="en-GB"/>
        </w:rPr>
        <w:t>e-</w:t>
      </w:r>
      <w:r w:rsidRPr="00B64995">
        <w:rPr>
          <w:rStyle w:val="normaltextrun"/>
          <w:rFonts w:eastAsiaTheme="majorEastAsia" w:cs="Calibri"/>
          <w:lang w:val="en-GB"/>
        </w:rPr>
        <w:t>waste which is documented to be collected and properly re-cycled decreased from 20</w:t>
      </w:r>
      <w:r w:rsidR="00782133">
        <w:rPr>
          <w:rStyle w:val="normaltextrun"/>
          <w:rFonts w:eastAsiaTheme="majorEastAsia" w:cs="Calibri"/>
          <w:lang w:val="en-GB"/>
        </w:rPr>
        <w:t xml:space="preserve"> per cent</w:t>
      </w:r>
      <w:r w:rsidRPr="00B64995">
        <w:rPr>
          <w:rStyle w:val="normaltextrun"/>
          <w:rFonts w:eastAsiaTheme="majorEastAsia" w:cs="Calibri"/>
          <w:lang w:val="en-GB"/>
        </w:rPr>
        <w:t xml:space="preserve"> to 17</w:t>
      </w:r>
      <w:r w:rsidR="00251063" w:rsidRPr="00B64995">
        <w:rPr>
          <w:rStyle w:val="normaltextrun"/>
          <w:rFonts w:eastAsiaTheme="majorEastAsia" w:cs="Calibri"/>
          <w:lang w:val="en-GB"/>
        </w:rPr>
        <w:t>.</w:t>
      </w:r>
      <w:r w:rsidRPr="00B64995">
        <w:rPr>
          <w:rStyle w:val="normaltextrun"/>
          <w:rFonts w:eastAsiaTheme="majorEastAsia" w:cs="Calibri"/>
          <w:lang w:val="en-GB"/>
        </w:rPr>
        <w:t>4</w:t>
      </w:r>
      <w:r w:rsidR="00782133">
        <w:rPr>
          <w:rStyle w:val="normaltextrun"/>
          <w:rFonts w:eastAsiaTheme="majorEastAsia" w:cs="Calibri"/>
          <w:lang w:val="en-GB"/>
        </w:rPr>
        <w:t xml:space="preserve"> per cent</w:t>
      </w:r>
      <w:r w:rsidRPr="00B64995">
        <w:rPr>
          <w:rStyle w:val="normaltextrun"/>
          <w:rFonts w:eastAsiaTheme="majorEastAsia" w:cs="Calibri"/>
          <w:lang w:val="en-GB"/>
        </w:rPr>
        <w:t xml:space="preserve"> in </w:t>
      </w:r>
      <w:r w:rsidR="007B3D3B" w:rsidRPr="00B64995">
        <w:rPr>
          <w:rStyle w:val="normaltextrun"/>
          <w:rFonts w:eastAsiaTheme="majorEastAsia" w:cs="Calibri"/>
          <w:lang w:val="en-GB"/>
        </w:rPr>
        <w:t>the same period</w:t>
      </w:r>
      <w:r w:rsidR="00927F25" w:rsidRPr="00B64995">
        <w:rPr>
          <w:rStyle w:val="normaltextrun"/>
          <w:rFonts w:eastAsiaTheme="majorEastAsia" w:cs="Calibri"/>
          <w:lang w:val="en-GB"/>
        </w:rPr>
        <w:t>.</w:t>
      </w:r>
      <w:r w:rsidRPr="00B64995">
        <w:rPr>
          <w:rStyle w:val="normaltextrun"/>
          <w:rFonts w:eastAsiaTheme="majorEastAsia" w:cs="Calibri"/>
          <w:lang w:val="en-GB"/>
        </w:rPr>
        <w:t xml:space="preserve"> The cyberthreats are also on the rise. </w:t>
      </w:r>
      <w:r w:rsidR="00946831" w:rsidRPr="00B64995">
        <w:rPr>
          <w:rStyle w:val="normaltextrun"/>
          <w:rFonts w:eastAsiaTheme="majorEastAsia" w:cs="Calibri"/>
          <w:lang w:val="en-GB"/>
        </w:rPr>
        <w:t>However, t</w:t>
      </w:r>
      <w:r w:rsidRPr="00B64995">
        <w:rPr>
          <w:rStyle w:val="normaltextrun"/>
          <w:rFonts w:eastAsiaTheme="majorEastAsia" w:cs="Calibri"/>
          <w:lang w:val="en-GB"/>
        </w:rPr>
        <w:t>he percentage of countries having established a CIRT</w:t>
      </w:r>
      <w:r w:rsidR="00D65CF3" w:rsidRPr="00B64995">
        <w:rPr>
          <w:rStyle w:val="normaltextrun"/>
          <w:rFonts w:eastAsiaTheme="majorEastAsia" w:cs="Calibri"/>
          <w:lang w:val="en-GB"/>
        </w:rPr>
        <w:t>, CERT or CSIRT</w:t>
      </w:r>
      <w:r w:rsidRPr="00B64995">
        <w:rPr>
          <w:rStyle w:val="normaltextrun"/>
          <w:rFonts w:eastAsiaTheme="majorEastAsia" w:cs="Calibri"/>
          <w:lang w:val="en-GB"/>
        </w:rPr>
        <w:t xml:space="preserve"> </w:t>
      </w:r>
      <w:r w:rsidR="00251063" w:rsidRPr="00B64995">
        <w:rPr>
          <w:rStyle w:val="normaltextrun"/>
          <w:rFonts w:eastAsiaTheme="majorEastAsia" w:cs="Calibri"/>
          <w:lang w:val="en-GB"/>
        </w:rPr>
        <w:t>increase</w:t>
      </w:r>
      <w:r w:rsidR="00F14939">
        <w:rPr>
          <w:rStyle w:val="normaltextrun"/>
          <w:rFonts w:eastAsiaTheme="majorEastAsia" w:cs="Calibri"/>
          <w:lang w:val="en-GB"/>
        </w:rPr>
        <w:t>d</w:t>
      </w:r>
      <w:r w:rsidRPr="00B64995">
        <w:rPr>
          <w:rStyle w:val="normaltextrun"/>
          <w:rFonts w:eastAsiaTheme="majorEastAsia" w:cs="Calibri"/>
          <w:lang w:val="en-GB"/>
        </w:rPr>
        <w:t xml:space="preserve"> from </w:t>
      </w:r>
      <w:r w:rsidR="00B75FCB">
        <w:rPr>
          <w:rStyle w:val="normaltextrun"/>
          <w:rFonts w:eastAsiaTheme="majorEastAsia" w:cs="Calibri"/>
          <w:lang w:val="en-GB"/>
        </w:rPr>
        <w:t xml:space="preserve">56% in </w:t>
      </w:r>
      <w:r w:rsidR="00B75FCB" w:rsidRPr="00B64995">
        <w:rPr>
          <w:rStyle w:val="normaltextrun"/>
          <w:rFonts w:eastAsiaTheme="majorEastAsia" w:cs="Calibri"/>
          <w:lang w:val="en-GB"/>
        </w:rPr>
        <w:t>201</w:t>
      </w:r>
      <w:r w:rsidR="00B75FCB">
        <w:rPr>
          <w:rStyle w:val="normaltextrun"/>
          <w:rFonts w:eastAsiaTheme="majorEastAsia" w:cs="Calibri"/>
          <w:lang w:val="en-GB"/>
        </w:rPr>
        <w:t>9</w:t>
      </w:r>
      <w:r w:rsidR="00B75FCB" w:rsidRPr="00B64995">
        <w:rPr>
          <w:rStyle w:val="normaltextrun"/>
          <w:rFonts w:eastAsiaTheme="majorEastAsia" w:cs="Calibri"/>
          <w:lang w:val="en-GB"/>
        </w:rPr>
        <w:t xml:space="preserve"> </w:t>
      </w:r>
      <w:r w:rsidRPr="00B64995">
        <w:rPr>
          <w:rStyle w:val="normaltextrun"/>
          <w:rFonts w:eastAsiaTheme="majorEastAsia" w:cs="Calibri"/>
          <w:lang w:val="en-GB"/>
        </w:rPr>
        <w:t xml:space="preserve">to </w:t>
      </w:r>
      <w:r w:rsidR="00B75FCB">
        <w:rPr>
          <w:rStyle w:val="normaltextrun"/>
          <w:rFonts w:eastAsiaTheme="majorEastAsia" w:cs="Calibri"/>
          <w:lang w:val="en-GB"/>
        </w:rPr>
        <w:t xml:space="preserve">60.82 in </w:t>
      </w:r>
      <w:r w:rsidR="00F14939" w:rsidRPr="00B64995">
        <w:rPr>
          <w:rStyle w:val="normaltextrun"/>
          <w:rFonts w:eastAsiaTheme="majorEastAsia" w:cs="Calibri"/>
          <w:lang w:val="en-GB"/>
        </w:rPr>
        <w:t>20</w:t>
      </w:r>
      <w:r w:rsidR="00F14939">
        <w:rPr>
          <w:rStyle w:val="normaltextrun"/>
          <w:rFonts w:eastAsiaTheme="majorEastAsia" w:cs="Calibri"/>
          <w:lang w:val="en-GB"/>
        </w:rPr>
        <w:t>20</w:t>
      </w:r>
      <w:r w:rsidR="00BC347C" w:rsidRPr="00B64995">
        <w:rPr>
          <w:rStyle w:val="normaltextrun"/>
          <w:rFonts w:eastAsiaTheme="majorEastAsia" w:cs="Calibri"/>
          <w:lang w:val="en-GB"/>
        </w:rPr>
        <w:t>.</w:t>
      </w:r>
    </w:p>
    <w:p w14:paraId="0D68C9C9" w14:textId="7DDC49F1" w:rsidR="0049723A" w:rsidRPr="00B64995" w:rsidRDefault="00550036" w:rsidP="5503EDA3">
      <w:pPr>
        <w:pStyle w:val="ListParagraph"/>
        <w:numPr>
          <w:ilvl w:val="0"/>
          <w:numId w:val="2"/>
        </w:numPr>
        <w:jc w:val="both"/>
        <w:rPr>
          <w:rStyle w:val="normaltextrun"/>
          <w:rFonts w:eastAsiaTheme="majorEastAsia" w:cs="Calibri"/>
          <w:lang w:val="en-GB"/>
        </w:rPr>
      </w:pPr>
      <w:r w:rsidRPr="00B64995">
        <w:rPr>
          <w:rFonts w:eastAsia="Calibri" w:cs="Calibri"/>
          <w:b/>
          <w:bCs/>
          <w:lang w:val="en-GB"/>
        </w:rPr>
        <w:t xml:space="preserve">More countries are </w:t>
      </w:r>
      <w:r w:rsidR="005F7D6A" w:rsidRPr="00B64995">
        <w:rPr>
          <w:rFonts w:eastAsia="Calibri" w:cs="Calibri"/>
          <w:b/>
          <w:bCs/>
          <w:lang w:val="en-GB"/>
        </w:rPr>
        <w:t>introducing</w:t>
      </w:r>
      <w:r w:rsidRPr="00B64995">
        <w:rPr>
          <w:rFonts w:eastAsia="Calibri" w:cs="Calibri"/>
          <w:b/>
          <w:bCs/>
          <w:lang w:val="en-GB"/>
        </w:rPr>
        <w:t xml:space="preserve"> policies/strategies fostering telecommunication/ICT-centric innovation</w:t>
      </w:r>
      <w:r w:rsidR="000D20C2" w:rsidRPr="00B64995">
        <w:rPr>
          <w:rFonts w:eastAsia="Calibri" w:cs="Calibri"/>
          <w:lang w:val="en-GB"/>
        </w:rPr>
        <w:t xml:space="preserve">: in 2019 66 countries are documented to have </w:t>
      </w:r>
      <w:r w:rsidR="0095429B" w:rsidRPr="00B64995">
        <w:rPr>
          <w:rFonts w:eastAsia="Calibri" w:cs="Calibri"/>
          <w:lang w:val="en-GB"/>
        </w:rPr>
        <w:t>policies/strategies fostering telecommunication/ICT-centric innovation</w:t>
      </w:r>
      <w:r w:rsidRPr="00B64995">
        <w:rPr>
          <w:rFonts w:eastAsia="Calibri" w:cs="Calibri"/>
          <w:lang w:val="en-GB"/>
        </w:rPr>
        <w:t xml:space="preserve">. </w:t>
      </w:r>
      <w:r w:rsidR="002D33A9">
        <w:rPr>
          <w:rFonts w:eastAsia="Calibri" w:cs="Calibri"/>
          <w:lang w:val="en-GB"/>
        </w:rPr>
        <w:t>This figure has increased in 20</w:t>
      </w:r>
      <w:r w:rsidR="007F791F">
        <w:rPr>
          <w:rFonts w:eastAsia="Calibri" w:cs="Calibri"/>
          <w:lang w:val="en-GB"/>
        </w:rPr>
        <w:t>20</w:t>
      </w:r>
      <w:r w:rsidR="002D33A9">
        <w:rPr>
          <w:rFonts w:eastAsia="Calibri" w:cs="Calibri"/>
          <w:lang w:val="en-GB"/>
        </w:rPr>
        <w:t xml:space="preserve"> up to 74</w:t>
      </w:r>
      <w:r w:rsidR="005465C5">
        <w:rPr>
          <w:rFonts w:eastAsia="Calibri" w:cs="Calibri"/>
          <w:lang w:val="en-GB"/>
        </w:rPr>
        <w:t>,</w:t>
      </w:r>
      <w:r w:rsidR="002D33A9">
        <w:rPr>
          <w:rFonts w:eastAsia="Calibri" w:cs="Calibri"/>
          <w:lang w:val="en-GB"/>
        </w:rPr>
        <w:t xml:space="preserve"> </w:t>
      </w:r>
      <w:r w:rsidR="000D20C2" w:rsidRPr="00B64995">
        <w:rPr>
          <w:rFonts w:eastAsia="Calibri" w:cs="Calibri"/>
          <w:lang w:val="en-GB"/>
        </w:rPr>
        <w:t>confirm</w:t>
      </w:r>
      <w:r w:rsidR="005465C5">
        <w:rPr>
          <w:rFonts w:eastAsia="Calibri" w:cs="Calibri"/>
          <w:lang w:val="en-GB"/>
        </w:rPr>
        <w:t>ing</w:t>
      </w:r>
      <w:r w:rsidR="000D20C2" w:rsidRPr="00B64995">
        <w:rPr>
          <w:rFonts w:eastAsia="Calibri" w:cs="Calibri"/>
          <w:lang w:val="en-GB"/>
        </w:rPr>
        <w:t xml:space="preserve"> progress </w:t>
      </w:r>
      <w:r w:rsidR="005465C5">
        <w:rPr>
          <w:rFonts w:eastAsia="Calibri" w:cs="Calibri"/>
          <w:lang w:val="en-GB"/>
        </w:rPr>
        <w:t>but not at t</w:t>
      </w:r>
      <w:r w:rsidR="007F791F">
        <w:rPr>
          <w:rFonts w:eastAsia="Calibri" w:cs="Calibri"/>
          <w:lang w:val="en-GB"/>
        </w:rPr>
        <w:t>h</w:t>
      </w:r>
      <w:r w:rsidR="005465C5">
        <w:rPr>
          <w:rFonts w:eastAsia="Calibri" w:cs="Calibri"/>
          <w:lang w:val="en-GB"/>
        </w:rPr>
        <w:t>e pace to achieve</w:t>
      </w:r>
      <w:r w:rsidR="000D20C2" w:rsidRPr="00B64995">
        <w:rPr>
          <w:rFonts w:eastAsia="Calibri" w:cs="Calibri"/>
          <w:lang w:val="en-GB"/>
        </w:rPr>
        <w:t xml:space="preserve"> the 100 countries target by 2023</w:t>
      </w:r>
      <w:r w:rsidR="00BC347C" w:rsidRPr="00B64995">
        <w:rPr>
          <w:rFonts w:eastAsia="Calibri" w:cs="Calibri"/>
          <w:lang w:val="en-GB"/>
        </w:rPr>
        <w:t>.</w:t>
      </w:r>
    </w:p>
    <w:p w14:paraId="04C72607" w14:textId="1C182307" w:rsidR="00550036" w:rsidRPr="00B64995" w:rsidRDefault="00550036" w:rsidP="5503EDA3">
      <w:pPr>
        <w:pStyle w:val="ListParagraph"/>
        <w:numPr>
          <w:ilvl w:val="0"/>
          <w:numId w:val="2"/>
        </w:numPr>
        <w:jc w:val="both"/>
        <w:rPr>
          <w:rStyle w:val="normaltextrun"/>
          <w:b/>
          <w:bCs/>
          <w:lang w:val="en-GB"/>
        </w:rPr>
      </w:pPr>
      <w:r w:rsidRPr="00B64995">
        <w:rPr>
          <w:rFonts w:eastAsia="Calibri" w:cs="Calibri"/>
          <w:b/>
          <w:bCs/>
          <w:lang w:val="en-GB"/>
        </w:rPr>
        <w:t xml:space="preserve">Partnerships in the telecommunication/ICT sector are perceived as showing a positive trend: </w:t>
      </w:r>
      <w:r w:rsidRPr="00B64995">
        <w:rPr>
          <w:rFonts w:eastAsia="Calibri" w:cs="Calibri"/>
          <w:lang w:val="en-GB"/>
        </w:rPr>
        <w:t>Only 4</w:t>
      </w:r>
      <w:r w:rsidR="00782133">
        <w:rPr>
          <w:rFonts w:eastAsia="Calibri" w:cs="Calibri"/>
          <w:lang w:val="en-GB"/>
        </w:rPr>
        <w:t xml:space="preserve"> per cent</w:t>
      </w:r>
      <w:r w:rsidRPr="00B64995">
        <w:rPr>
          <w:rFonts w:eastAsia="Calibri" w:cs="Calibri"/>
          <w:lang w:val="en-GB"/>
        </w:rPr>
        <w:t xml:space="preserve"> of </w:t>
      </w:r>
      <w:r w:rsidR="00A92ED1" w:rsidRPr="00B64995">
        <w:rPr>
          <w:rFonts w:eastAsia="Calibri" w:cs="Calibri"/>
          <w:lang w:val="en-GB"/>
        </w:rPr>
        <w:t xml:space="preserve">the </w:t>
      </w:r>
      <w:r w:rsidRPr="00B64995">
        <w:rPr>
          <w:rFonts w:eastAsia="Calibri" w:cs="Calibri"/>
          <w:lang w:val="en-GB"/>
        </w:rPr>
        <w:t>ITU members</w:t>
      </w:r>
      <w:r w:rsidR="00A92ED1" w:rsidRPr="00B64995">
        <w:rPr>
          <w:rFonts w:eastAsia="Calibri" w:cs="Calibri"/>
          <w:lang w:val="en-GB"/>
        </w:rPr>
        <w:t>hip</w:t>
      </w:r>
      <w:r w:rsidRPr="00B64995">
        <w:rPr>
          <w:rFonts w:eastAsia="Calibri" w:cs="Calibri"/>
          <w:lang w:val="en-GB"/>
        </w:rPr>
        <w:t xml:space="preserve"> surveyed in 2020 disagree or strongly disagree with the sentence “Your organization is collaborating with other stakeholders more than in previous years”</w:t>
      </w:r>
      <w:r w:rsidR="00467D66" w:rsidRPr="00B64995">
        <w:rPr>
          <w:rFonts w:eastAsia="Calibri" w:cs="Calibri"/>
          <w:lang w:val="en-GB"/>
        </w:rPr>
        <w:t>; and o</w:t>
      </w:r>
      <w:r w:rsidRPr="00B64995">
        <w:rPr>
          <w:rFonts w:eastAsia="Calibri" w:cs="Calibri"/>
          <w:lang w:val="en-GB"/>
        </w:rPr>
        <w:t>nly 2</w:t>
      </w:r>
      <w:r w:rsidR="00782133">
        <w:rPr>
          <w:rFonts w:eastAsia="Calibri" w:cs="Calibri"/>
          <w:lang w:val="en-GB"/>
        </w:rPr>
        <w:t xml:space="preserve"> per cent</w:t>
      </w:r>
      <w:r w:rsidRPr="00B64995">
        <w:rPr>
          <w:rFonts w:eastAsia="Calibri" w:cs="Calibri"/>
          <w:lang w:val="en-GB"/>
        </w:rPr>
        <w:t xml:space="preserve"> disagree </w:t>
      </w:r>
      <w:r w:rsidR="00467D66" w:rsidRPr="00B64995">
        <w:rPr>
          <w:rFonts w:eastAsia="Calibri" w:cs="Calibri"/>
          <w:lang w:val="en-GB"/>
        </w:rPr>
        <w:t>with</w:t>
      </w:r>
      <w:r w:rsidRPr="00B64995">
        <w:rPr>
          <w:rFonts w:eastAsia="Calibri" w:cs="Calibri"/>
          <w:lang w:val="en-GB"/>
        </w:rPr>
        <w:t xml:space="preserve"> the sentence “Your </w:t>
      </w:r>
      <w:r w:rsidR="00691767" w:rsidRPr="00B64995">
        <w:rPr>
          <w:rFonts w:eastAsia="Calibri" w:cs="Calibri"/>
          <w:lang w:val="en-GB"/>
        </w:rPr>
        <w:t>organization</w:t>
      </w:r>
      <w:r w:rsidRPr="00B64995">
        <w:rPr>
          <w:rFonts w:eastAsia="Calibri" w:cs="Calibri"/>
          <w:lang w:val="en-GB"/>
        </w:rPr>
        <w:t xml:space="preserve"> is benefiting with increased synergies by working with others”, in the same ITU membership survey 2020.</w:t>
      </w:r>
    </w:p>
    <w:p w14:paraId="7507B7A2" w14:textId="441CC4FA" w:rsidR="002364A7" w:rsidRPr="00B64995" w:rsidRDefault="002364A7" w:rsidP="00614D53"/>
    <w:p w14:paraId="1EBD7FDE" w14:textId="71E9C2FC" w:rsidR="002364A7" w:rsidRPr="00B64995" w:rsidRDefault="002364A7" w:rsidP="00A83DAA">
      <w:pPr>
        <w:pStyle w:val="Heading5"/>
      </w:pPr>
      <w:bookmarkStart w:id="126" w:name="_Hlk39561077"/>
      <w:r w:rsidRPr="00B64995">
        <w:t xml:space="preserve">How many </w:t>
      </w:r>
      <w:r w:rsidR="009003BA" w:rsidRPr="00B64995">
        <w:t xml:space="preserve">indicators towards the </w:t>
      </w:r>
      <w:r w:rsidRPr="00B64995">
        <w:t>strategic targets are showing positive progress?</w:t>
      </w:r>
    </w:p>
    <w:p w14:paraId="4E3AE601" w14:textId="27294416" w:rsidR="4C4BFA92" w:rsidRPr="00A060FE" w:rsidRDefault="002364A7" w:rsidP="003C7FD5">
      <w:r w:rsidRPr="00B64995">
        <w:t xml:space="preserve">As </w:t>
      </w:r>
      <w:r w:rsidR="00BD5AD4" w:rsidRPr="00B64995">
        <w:t>detail</w:t>
      </w:r>
      <w:r w:rsidRPr="00B64995">
        <w:t xml:space="preserve">ed in </w:t>
      </w:r>
      <w:hyperlink w:anchor="Section_3_1" w:history="1">
        <w:r w:rsidRPr="00B64995">
          <w:rPr>
            <w:rStyle w:val="Hyperlink"/>
          </w:rPr>
          <w:t>section 3.1</w:t>
        </w:r>
      </w:hyperlink>
      <w:r w:rsidRPr="00A060FE">
        <w:t xml:space="preserve"> below, </w:t>
      </w:r>
      <w:r w:rsidR="009238D8" w:rsidRPr="00B64995">
        <w:t>50.0</w:t>
      </w:r>
      <w:r w:rsidR="00782133">
        <w:t xml:space="preserve"> per cent</w:t>
      </w:r>
      <w:r w:rsidRPr="00B64995">
        <w:t xml:space="preserve"> of </w:t>
      </w:r>
      <w:r w:rsidR="00A93256" w:rsidRPr="00B64995">
        <w:t xml:space="preserve">the </w:t>
      </w:r>
      <w:r w:rsidR="007F22FF" w:rsidRPr="00B64995">
        <w:t xml:space="preserve">24 </w:t>
      </w:r>
      <w:r w:rsidR="00A93256" w:rsidRPr="00B64995">
        <w:t xml:space="preserve">ITU strategic </w:t>
      </w:r>
      <w:r w:rsidRPr="00B64995">
        <w:t>targets are either already achieved (</w:t>
      </w:r>
      <w:r w:rsidR="009D626F">
        <w:t>20.8</w:t>
      </w:r>
      <w:r w:rsidR="00782133">
        <w:t xml:space="preserve"> per cent</w:t>
      </w:r>
      <w:r w:rsidRPr="00B64995">
        <w:t>) or well on track for achievement by 2023 (</w:t>
      </w:r>
      <w:r w:rsidR="009D626F">
        <w:t>29.2</w:t>
      </w:r>
      <w:r w:rsidR="00782133">
        <w:t xml:space="preserve"> per cent</w:t>
      </w:r>
      <w:r w:rsidRPr="00B64995">
        <w:t>)</w:t>
      </w:r>
      <w:r w:rsidRPr="00A060FE">
        <w:t xml:space="preserve">. On the other hand, attention should be drawn to the fact that </w:t>
      </w:r>
      <w:r w:rsidR="009D626F">
        <w:t>8</w:t>
      </w:r>
      <w:r w:rsidR="009D626F" w:rsidRPr="00B64995">
        <w:t xml:space="preserve"> </w:t>
      </w:r>
      <w:r w:rsidR="474E46DC" w:rsidRPr="00B64995">
        <w:t>targets (</w:t>
      </w:r>
      <w:r w:rsidR="009D626F">
        <w:t>33.3</w:t>
      </w:r>
      <w:r w:rsidR="00782133">
        <w:t xml:space="preserve"> per cent</w:t>
      </w:r>
      <w:r w:rsidR="18E2FD3E" w:rsidRPr="00B64995">
        <w:t>)</w:t>
      </w:r>
      <w:r w:rsidR="00991607" w:rsidRPr="00B64995">
        <w:t xml:space="preserve"> </w:t>
      </w:r>
      <w:r w:rsidRPr="00B64995">
        <w:t>are off track for achievement by 2023</w:t>
      </w:r>
      <w:r w:rsidR="42117B46" w:rsidRPr="00B64995">
        <w:t>,</w:t>
      </w:r>
      <w:r w:rsidR="00E860E2">
        <w:t xml:space="preserve"> for example</w:t>
      </w:r>
      <w:r w:rsidR="42117B46" w:rsidRPr="00B64995">
        <w:t xml:space="preserve"> the </w:t>
      </w:r>
      <w:r w:rsidR="3B9B746E" w:rsidRPr="00B64995">
        <w:t xml:space="preserve">targets </w:t>
      </w:r>
      <w:r w:rsidR="459DC7BA" w:rsidRPr="00B64995">
        <w:t xml:space="preserve">related to </w:t>
      </w:r>
      <w:r w:rsidR="00614D53" w:rsidRPr="00B64995">
        <w:t>Internet</w:t>
      </w:r>
      <w:r w:rsidRPr="00B64995">
        <w:t xml:space="preserve"> penetration in LDCs</w:t>
      </w:r>
      <w:r w:rsidR="0838BBC8" w:rsidRPr="00B64995">
        <w:t xml:space="preserve">, </w:t>
      </w:r>
      <w:r w:rsidR="002C1D74" w:rsidRPr="002C1D74">
        <w:t>cover</w:t>
      </w:r>
      <w:r w:rsidR="002C1D74">
        <w:t>age</w:t>
      </w:r>
      <w:r w:rsidR="002C1D74" w:rsidRPr="002C1D74">
        <w:t xml:space="preserve"> by broadband services</w:t>
      </w:r>
      <w:r w:rsidR="002C1D74" w:rsidRPr="002C1D74" w:rsidDel="009D626F">
        <w:t xml:space="preserve"> </w:t>
      </w:r>
      <w:r w:rsidR="002C1D74">
        <w:t xml:space="preserve">of </w:t>
      </w:r>
      <w:r w:rsidR="002C1D74" w:rsidRPr="002C1D74">
        <w:t>world population</w:t>
      </w:r>
      <w:r w:rsidR="002C1D74">
        <w:t>,</w:t>
      </w:r>
      <w:r w:rsidR="002C1D74" w:rsidRPr="002C1D74">
        <w:t xml:space="preserve"> </w:t>
      </w:r>
      <w:r w:rsidR="00B07CA2" w:rsidRPr="00B07CA2">
        <w:t>enabling environments ensuring accessible telecommunications/ICTs for persons with disabilities</w:t>
      </w:r>
      <w:r w:rsidR="00B07CA2">
        <w:t>,</w:t>
      </w:r>
      <w:r w:rsidR="00B07CA2" w:rsidRPr="00B07CA2" w:rsidDel="009D626F">
        <w:t xml:space="preserve"> </w:t>
      </w:r>
      <w:r w:rsidRPr="00B64995">
        <w:t>Gender equality online</w:t>
      </w:r>
      <w:r w:rsidR="00993ED3">
        <w:t xml:space="preserve">, </w:t>
      </w:r>
      <w:r w:rsidR="00A267BF">
        <w:t xml:space="preserve">and </w:t>
      </w:r>
      <w:r w:rsidR="00194D26" w:rsidRPr="00B64995">
        <w:t>the volume of re-cycled e-Waste</w:t>
      </w:r>
      <w:r w:rsidRPr="00B64995">
        <w:t>.</w:t>
      </w:r>
      <w:r w:rsidR="055B8AE6" w:rsidRPr="00B64995">
        <w:t xml:space="preserve"> </w:t>
      </w:r>
      <w:r w:rsidR="0779B030" w:rsidRPr="00B64995">
        <w:t xml:space="preserve">A number of targets </w:t>
      </w:r>
      <w:r w:rsidR="76B84F1C" w:rsidRPr="00B64995">
        <w:t>(</w:t>
      </w:r>
      <w:r w:rsidR="00A267BF">
        <w:t>8.3</w:t>
      </w:r>
      <w:r w:rsidR="00782133">
        <w:t xml:space="preserve"> per cent</w:t>
      </w:r>
      <w:r w:rsidR="352DBDE5" w:rsidRPr="00B64995">
        <w:t>)</w:t>
      </w:r>
      <w:r w:rsidRPr="00B64995">
        <w:t xml:space="preserve"> have just been benchmarked (</w:t>
      </w:r>
      <w:proofErr w:type="gramStart"/>
      <w:r w:rsidRPr="00B64995">
        <w:t>i.e.</w:t>
      </w:r>
      <w:proofErr w:type="gramEnd"/>
      <w:r w:rsidRPr="00B64995">
        <w:t xml:space="preserve"> a baseline has been set up or a measurement agreed on) or have not yet been measured</w:t>
      </w:r>
      <w:r w:rsidR="00A267BF">
        <w:t xml:space="preserve"> (8.3</w:t>
      </w:r>
      <w:r w:rsidR="004E093C">
        <w:t xml:space="preserve"> per cent)</w:t>
      </w:r>
      <w:r w:rsidRPr="00B64995">
        <w:t>.</w:t>
      </w:r>
      <w:r w:rsidR="2709EC98" w:rsidRPr="00B64995">
        <w:t xml:space="preserve"> For the targets already achieved in 2019</w:t>
      </w:r>
      <w:r w:rsidR="476328AD" w:rsidRPr="00B64995">
        <w:t xml:space="preserve">, </w:t>
      </w:r>
      <w:r w:rsidRPr="00B64995">
        <w:t>proposal</w:t>
      </w:r>
      <w:r w:rsidR="4714347F" w:rsidRPr="00B64995">
        <w:t xml:space="preserve">s could be introduced </w:t>
      </w:r>
      <w:r w:rsidRPr="00B64995">
        <w:t xml:space="preserve">to </w:t>
      </w:r>
      <w:r w:rsidR="72F6C216" w:rsidRPr="00B64995">
        <w:t xml:space="preserve">update </w:t>
      </w:r>
      <w:r w:rsidR="00761D43" w:rsidRPr="00B64995">
        <w:t>them</w:t>
      </w:r>
      <w:r w:rsidR="72F6C216" w:rsidRPr="00B64995">
        <w:t xml:space="preserve"> with</w:t>
      </w:r>
      <w:r w:rsidRPr="00B64995">
        <w:t xml:space="preserve"> more ambitious values.</w:t>
      </w:r>
      <w:bookmarkEnd w:id="126"/>
    </w:p>
    <w:p w14:paraId="60D7375C" w14:textId="3B73ABF9" w:rsidR="003C7FD5" w:rsidRPr="00B64995" w:rsidRDefault="003C7FD5" w:rsidP="003C7FD5"/>
    <w:p w14:paraId="1EDCB987" w14:textId="486F1BAB" w:rsidR="00295B80" w:rsidRPr="00B64995" w:rsidRDefault="00295B80" w:rsidP="003C7FD5">
      <w:pPr>
        <w:rPr>
          <w:rFonts w:asciiTheme="majorHAnsi" w:eastAsiaTheme="majorEastAsia" w:hAnsiTheme="majorHAnsi" w:cstheme="majorBidi"/>
          <w:b/>
          <w:color w:val="2F5496"/>
        </w:rPr>
      </w:pPr>
      <w:r w:rsidRPr="00B64995">
        <w:rPr>
          <w:rFonts w:asciiTheme="majorHAnsi" w:eastAsiaTheme="majorEastAsia" w:hAnsiTheme="majorHAnsi" w:cstheme="majorBidi"/>
          <w:b/>
          <w:color w:val="2F5496"/>
        </w:rPr>
        <w:t xml:space="preserve">How much </w:t>
      </w:r>
      <w:r w:rsidR="00A92ED1" w:rsidRPr="00B64995">
        <w:rPr>
          <w:rFonts w:asciiTheme="majorHAnsi" w:eastAsiaTheme="majorEastAsia" w:hAnsiTheme="majorHAnsi" w:cstheme="majorBidi"/>
          <w:b/>
          <w:color w:val="2F5496"/>
        </w:rPr>
        <w:t xml:space="preserve">do </w:t>
      </w:r>
      <w:r w:rsidR="009003BA" w:rsidRPr="00B64995">
        <w:rPr>
          <w:rFonts w:asciiTheme="majorHAnsi" w:eastAsiaTheme="majorEastAsia" w:hAnsiTheme="majorHAnsi" w:cstheme="majorBidi"/>
          <w:b/>
          <w:color w:val="2F5496"/>
        </w:rPr>
        <w:t>ICTs/</w:t>
      </w:r>
      <w:r w:rsidR="00A92ED1" w:rsidRPr="00B64995">
        <w:rPr>
          <w:rFonts w:asciiTheme="majorHAnsi" w:eastAsiaTheme="majorEastAsia" w:hAnsiTheme="majorHAnsi" w:cstheme="majorBidi"/>
          <w:b/>
          <w:color w:val="2F5496"/>
        </w:rPr>
        <w:t>t</w:t>
      </w:r>
      <w:r w:rsidR="009003BA" w:rsidRPr="00B64995">
        <w:rPr>
          <w:rFonts w:asciiTheme="majorHAnsi" w:eastAsiaTheme="majorEastAsia" w:hAnsiTheme="majorHAnsi" w:cstheme="majorBidi"/>
          <w:b/>
          <w:color w:val="2F5496"/>
        </w:rPr>
        <w:t xml:space="preserve">elecommunications </w:t>
      </w:r>
      <w:r w:rsidRPr="00B64995">
        <w:rPr>
          <w:rFonts w:asciiTheme="majorHAnsi" w:eastAsiaTheme="majorEastAsia" w:hAnsiTheme="majorHAnsi" w:cstheme="majorBidi"/>
          <w:b/>
          <w:color w:val="2F5496"/>
        </w:rPr>
        <w:t>contribute to the SDGs</w:t>
      </w:r>
      <w:r w:rsidR="009E0D30" w:rsidRPr="00B64995">
        <w:rPr>
          <w:rFonts w:asciiTheme="majorHAnsi" w:eastAsiaTheme="majorEastAsia" w:hAnsiTheme="majorHAnsi" w:cstheme="majorBidi"/>
          <w:b/>
          <w:color w:val="2F5496"/>
        </w:rPr>
        <w:t>?</w:t>
      </w:r>
    </w:p>
    <w:p w14:paraId="369A244F" w14:textId="7ED149F7" w:rsidR="55F79F16" w:rsidRDefault="003360AC" w:rsidP="4C4BFA92">
      <w:pPr>
        <w:jc w:val="both"/>
      </w:pPr>
      <w:r w:rsidRPr="00B64995">
        <w:t>To assess the ITU members</w:t>
      </w:r>
      <w:r w:rsidR="00A92ED1" w:rsidRPr="00B64995">
        <w:t>hip’s perceptions</w:t>
      </w:r>
      <w:r w:rsidRPr="00B64995">
        <w:t xml:space="preserve"> about ICTs/</w:t>
      </w:r>
      <w:r w:rsidR="00A92ED1" w:rsidRPr="00B64995">
        <w:t>t</w:t>
      </w:r>
      <w:r w:rsidRPr="00B64995">
        <w:t>elecommunications contributing to the SDGs</w:t>
      </w:r>
      <w:r w:rsidR="53204318" w:rsidRPr="00B64995">
        <w:t xml:space="preserve">, a </w:t>
      </w:r>
      <w:r w:rsidR="55F79F16" w:rsidRPr="00B64995">
        <w:t xml:space="preserve">new question has been added to the ITU </w:t>
      </w:r>
      <w:r w:rsidR="009002E1" w:rsidRPr="00B64995">
        <w:t>m</w:t>
      </w:r>
      <w:r w:rsidR="55F79F16" w:rsidRPr="00B64995">
        <w:t>embers</w:t>
      </w:r>
      <w:r w:rsidR="0093332A" w:rsidRPr="00B64995">
        <w:t>hip</w:t>
      </w:r>
      <w:r w:rsidR="55F79F16" w:rsidRPr="00B64995">
        <w:t xml:space="preserve"> survey 2020. The results are </w:t>
      </w:r>
      <w:proofErr w:type="gramStart"/>
      <w:r w:rsidR="6BA72319" w:rsidRPr="00B64995">
        <w:t>encouraging:</w:t>
      </w:r>
      <w:proofErr w:type="gramEnd"/>
      <w:r w:rsidR="6BA72319" w:rsidRPr="00B64995">
        <w:t xml:space="preserve"> </w:t>
      </w:r>
      <w:r w:rsidR="004E093C">
        <w:t xml:space="preserve">in 2019 </w:t>
      </w:r>
      <w:r w:rsidR="6BA72319" w:rsidRPr="00B64995">
        <w:t>only 1</w:t>
      </w:r>
      <w:r w:rsidR="00782133">
        <w:t xml:space="preserve"> per cent</w:t>
      </w:r>
      <w:r w:rsidR="6BA72319" w:rsidRPr="00B64995">
        <w:t xml:space="preserve"> disagree </w:t>
      </w:r>
      <w:r w:rsidR="2BC98B7B" w:rsidRPr="00B64995">
        <w:t>and more than 60</w:t>
      </w:r>
      <w:r w:rsidR="00782133">
        <w:t xml:space="preserve"> per cent</w:t>
      </w:r>
      <w:r w:rsidR="2BC98B7B" w:rsidRPr="00B64995">
        <w:t xml:space="preserve"> agree or strongly agree </w:t>
      </w:r>
      <w:r w:rsidR="6BA72319" w:rsidRPr="00B64995">
        <w:t>with the sentence “ICTs/</w:t>
      </w:r>
      <w:r w:rsidR="00A92ED1" w:rsidRPr="00B64995">
        <w:t>t</w:t>
      </w:r>
      <w:r w:rsidR="6BA72319" w:rsidRPr="00B64995">
        <w:t>el</w:t>
      </w:r>
      <w:r w:rsidR="60D5E7B1" w:rsidRPr="00B64995">
        <w:t>e</w:t>
      </w:r>
      <w:r w:rsidR="6BA72319" w:rsidRPr="00B64995">
        <w:t xml:space="preserve">communications contribute </w:t>
      </w:r>
      <w:r w:rsidR="6BA72319" w:rsidRPr="00B64995">
        <w:rPr>
          <w:b/>
          <w:bCs/>
        </w:rPr>
        <w:t>significantly</w:t>
      </w:r>
      <w:r w:rsidR="6BA72319" w:rsidRPr="00B64995">
        <w:t xml:space="preserve"> to the achievement of the SDGs”, see chart below.</w:t>
      </w:r>
      <w:r w:rsidR="004E093C">
        <w:t xml:space="preserve"> In 2020 these figures are </w:t>
      </w:r>
      <w:r w:rsidR="00127F39">
        <w:t>similar,</w:t>
      </w:r>
      <w:r w:rsidR="009C4DD1">
        <w:t xml:space="preserve"> but it should be noticed that the percentage of respondents strongly agreeing with the</w:t>
      </w:r>
      <w:r w:rsidR="00935AAD">
        <w:t xml:space="preserve"> sentence has increased from 19 to 22 per cent.</w:t>
      </w:r>
    </w:p>
    <w:p w14:paraId="654D667A" w14:textId="65613C5F" w:rsidR="000A34CA" w:rsidRDefault="000A34CA" w:rsidP="4C4BFA92">
      <w:pPr>
        <w:jc w:val="both"/>
      </w:pPr>
    </w:p>
    <w:p w14:paraId="5E55F17C" w14:textId="77777777" w:rsidR="000A34CA" w:rsidRPr="00B64995" w:rsidRDefault="000A34CA" w:rsidP="4C4BFA9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169A" w:rsidRPr="00B64995" w14:paraId="28D41F1B" w14:textId="77777777" w:rsidTr="00B87922">
        <w:tc>
          <w:tcPr>
            <w:tcW w:w="4508" w:type="dxa"/>
          </w:tcPr>
          <w:p w14:paraId="12DEF328" w14:textId="77777777" w:rsidR="00C9695F" w:rsidRDefault="00C9695F" w:rsidP="00C9695F">
            <w:pPr>
              <w:jc w:val="center"/>
              <w:rPr>
                <w:b/>
                <w:bCs/>
              </w:rPr>
            </w:pPr>
            <w:r>
              <w:rPr>
                <w:b/>
                <w:bCs/>
              </w:rPr>
              <w:t>2019</w:t>
            </w:r>
          </w:p>
          <w:p w14:paraId="7C37F4AD" w14:textId="09B29360" w:rsidR="00C9695F" w:rsidRDefault="00C9695F" w:rsidP="00295B80">
            <w:pPr>
              <w:jc w:val="center"/>
              <w:rPr>
                <w:b/>
                <w:bCs/>
              </w:rPr>
            </w:pPr>
          </w:p>
          <w:p w14:paraId="22CC8D8A" w14:textId="1C5E9B6F" w:rsidR="00C9695F" w:rsidRDefault="00C9695F" w:rsidP="00295B80">
            <w:pPr>
              <w:jc w:val="center"/>
              <w:rPr>
                <w:b/>
                <w:bCs/>
              </w:rPr>
            </w:pPr>
            <w:r w:rsidRPr="00166BCE">
              <w:rPr>
                <w:noProof/>
              </w:rPr>
              <w:drawing>
                <wp:inline distT="0" distB="0" distL="0" distR="0" wp14:anchorId="747DC2EB" wp14:editId="17ABAA29">
                  <wp:extent cx="1918557" cy="1818083"/>
                  <wp:effectExtent l="0" t="0" r="5715" b="0"/>
                  <wp:docPr id="7" name="Picture 29331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17557"/>
                          <pic:cNvPicPr/>
                        </pic:nvPicPr>
                        <pic:blipFill>
                          <a:blip r:embed="rId433">
                            <a:extLst>
                              <a:ext uri="{28A0092B-C50C-407E-A947-70E740481C1C}">
                                <a14:useLocalDpi xmlns:a14="http://schemas.microsoft.com/office/drawing/2010/main" val="0"/>
                              </a:ext>
                            </a:extLst>
                          </a:blip>
                          <a:stretch>
                            <a:fillRect/>
                          </a:stretch>
                        </pic:blipFill>
                        <pic:spPr>
                          <a:xfrm>
                            <a:off x="0" y="0"/>
                            <a:ext cx="1918557" cy="1818083"/>
                          </a:xfrm>
                          <a:prstGeom prst="rect">
                            <a:avLst/>
                          </a:prstGeom>
                        </pic:spPr>
                      </pic:pic>
                    </a:graphicData>
                  </a:graphic>
                </wp:inline>
              </w:drawing>
            </w:r>
          </w:p>
          <w:p w14:paraId="456578D1" w14:textId="77777777" w:rsidR="00C9695F" w:rsidRDefault="00C9695F" w:rsidP="00295B80">
            <w:pPr>
              <w:jc w:val="center"/>
              <w:rPr>
                <w:b/>
                <w:bCs/>
              </w:rPr>
            </w:pPr>
          </w:p>
          <w:p w14:paraId="693D7007" w14:textId="7748F82B" w:rsidR="007B169A" w:rsidRDefault="007B169A" w:rsidP="00295B80">
            <w:pPr>
              <w:jc w:val="center"/>
              <w:rPr>
                <w:noProof/>
              </w:rPr>
            </w:pPr>
            <w:r w:rsidRPr="00B64995">
              <w:rPr>
                <w:b/>
                <w:bCs/>
              </w:rPr>
              <w:t>Source: ITU</w:t>
            </w:r>
          </w:p>
          <w:p w14:paraId="4799FC2A" w14:textId="51A2AFC1" w:rsidR="007B169A" w:rsidRPr="007B169A" w:rsidRDefault="007B169A" w:rsidP="00295B80">
            <w:pPr>
              <w:jc w:val="center"/>
            </w:pPr>
          </w:p>
        </w:tc>
        <w:tc>
          <w:tcPr>
            <w:tcW w:w="4508" w:type="dxa"/>
          </w:tcPr>
          <w:p w14:paraId="4547A2CD" w14:textId="77777777" w:rsidR="007B169A" w:rsidRPr="00A8097D" w:rsidRDefault="00C9695F" w:rsidP="00295B80">
            <w:pPr>
              <w:jc w:val="center"/>
              <w:rPr>
                <w:b/>
                <w:bCs/>
                <w:lang w:val="en-GB"/>
              </w:rPr>
            </w:pPr>
            <w:r w:rsidRPr="00A8097D">
              <w:rPr>
                <w:b/>
                <w:bCs/>
                <w:lang w:val="en-GB"/>
              </w:rPr>
              <w:lastRenderedPageBreak/>
              <w:t>2020</w:t>
            </w:r>
          </w:p>
          <w:p w14:paraId="18E9B0CC" w14:textId="77777777" w:rsidR="00C9695F" w:rsidRDefault="00C9695F" w:rsidP="00295B80">
            <w:pPr>
              <w:jc w:val="center"/>
              <w:rPr>
                <w:lang w:val="en-GB"/>
              </w:rPr>
            </w:pPr>
          </w:p>
          <w:p w14:paraId="2EA91D41" w14:textId="526FFB32" w:rsidR="00C9695F" w:rsidRPr="00B87922" w:rsidRDefault="000A34CA" w:rsidP="00295B80">
            <w:pPr>
              <w:jc w:val="center"/>
              <w:rPr>
                <w:lang w:val="en-GB"/>
              </w:rPr>
            </w:pPr>
            <w:r>
              <w:rPr>
                <w:noProof/>
              </w:rPr>
              <w:drawing>
                <wp:inline distT="0" distB="0" distL="0" distR="0" wp14:anchorId="2D0483A2" wp14:editId="54068AA9">
                  <wp:extent cx="1947527" cy="1633538"/>
                  <wp:effectExtent l="0" t="0" r="0" b="5080"/>
                  <wp:docPr id="1193504121" name="Picture 11935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a:stretch>
                            <a:fillRect/>
                          </a:stretch>
                        </pic:blipFill>
                        <pic:spPr>
                          <a:xfrm>
                            <a:off x="0" y="0"/>
                            <a:ext cx="1959549" cy="1643622"/>
                          </a:xfrm>
                          <a:prstGeom prst="rect">
                            <a:avLst/>
                          </a:prstGeom>
                        </pic:spPr>
                      </pic:pic>
                    </a:graphicData>
                  </a:graphic>
                </wp:inline>
              </w:drawing>
            </w:r>
          </w:p>
        </w:tc>
      </w:tr>
    </w:tbl>
    <w:p w14:paraId="35AEB610" w14:textId="1D793BAC" w:rsidR="00117373" w:rsidRPr="00B64995" w:rsidRDefault="00117373" w:rsidP="00614D53">
      <w:pPr>
        <w:jc w:val="both"/>
        <w:rPr>
          <w:rFonts w:eastAsia="Calibri"/>
        </w:rPr>
      </w:pPr>
    </w:p>
    <w:p w14:paraId="1D353685" w14:textId="77777777" w:rsidR="45754881" w:rsidRPr="00B64995" w:rsidRDefault="45754881" w:rsidP="00614D53">
      <w:pPr>
        <w:jc w:val="both"/>
        <w:rPr>
          <w:rFonts w:eastAsia="Calibri"/>
        </w:rPr>
      </w:pPr>
    </w:p>
    <w:p w14:paraId="3C086FDF" w14:textId="79E2B93F" w:rsidR="2F509CE6" w:rsidRPr="00B64995" w:rsidRDefault="00026FC6" w:rsidP="00026FC6">
      <w:pPr>
        <w:pStyle w:val="Heading2"/>
      </w:pPr>
      <w:bookmarkStart w:id="127" w:name="_Toc37860472"/>
      <w:bookmarkStart w:id="128" w:name="_Toc37861232"/>
      <w:bookmarkStart w:id="129" w:name="_Toc37943356"/>
      <w:bookmarkStart w:id="130" w:name="_Toc68811426"/>
      <w:bookmarkStart w:id="131" w:name="Section_3_1"/>
      <w:r w:rsidRPr="00B64995">
        <w:t>3.1</w:t>
      </w:r>
      <w:r w:rsidRPr="00B64995">
        <w:tab/>
      </w:r>
      <w:r w:rsidR="2F509CE6" w:rsidRPr="00B64995">
        <w:t xml:space="preserve">Results per </w:t>
      </w:r>
      <w:r w:rsidR="000C0C46" w:rsidRPr="00B64995">
        <w:t>s</w:t>
      </w:r>
      <w:r w:rsidR="00173C4E" w:rsidRPr="00B64995">
        <w:t xml:space="preserve">trategic </w:t>
      </w:r>
      <w:r w:rsidR="000C0C46" w:rsidRPr="00B64995">
        <w:t>g</w:t>
      </w:r>
      <w:r w:rsidR="2F509CE6" w:rsidRPr="00B64995">
        <w:t>oal</w:t>
      </w:r>
      <w:bookmarkEnd w:id="127"/>
      <w:bookmarkEnd w:id="128"/>
      <w:bookmarkEnd w:id="129"/>
      <w:bookmarkEnd w:id="130"/>
    </w:p>
    <w:bookmarkEnd w:id="131"/>
    <w:p w14:paraId="1A190719" w14:textId="77777777" w:rsidR="00FE4C48" w:rsidRPr="00B64995" w:rsidRDefault="00FE4C48" w:rsidP="00614D53">
      <w:pPr>
        <w:jc w:val="both"/>
        <w:rPr>
          <w:rFonts w:eastAsia="Calibri"/>
          <w:b/>
        </w:rPr>
      </w:pPr>
    </w:p>
    <w:p w14:paraId="3E6D2C5D" w14:textId="77777777" w:rsidR="0049723A" w:rsidRPr="00B64995" w:rsidRDefault="00026FC6" w:rsidP="00026FC6">
      <w:pPr>
        <w:pStyle w:val="Heading3"/>
      </w:pPr>
      <w:bookmarkStart w:id="132" w:name="_Toc37943357"/>
      <w:bookmarkStart w:id="133" w:name="_Toc68811427"/>
      <w:bookmarkStart w:id="134" w:name="_Toc37860473"/>
      <w:bookmarkStart w:id="135" w:name="_Toc37861233"/>
      <w:r w:rsidRPr="00B64995">
        <w:t>3.1.1</w:t>
      </w:r>
      <w:r w:rsidRPr="00B64995">
        <w:tab/>
      </w:r>
      <w:r w:rsidR="2F509CE6" w:rsidRPr="00B64995">
        <w:t>Goal 1 - Growth</w:t>
      </w:r>
      <w:bookmarkEnd w:id="132"/>
      <w:bookmarkEnd w:id="133"/>
      <w:bookmarkEnd w:id="134"/>
      <w:bookmarkEnd w:id="135"/>
    </w:p>
    <w:p w14:paraId="716C4B6E" w14:textId="0E8C7B91" w:rsidR="45754881" w:rsidRPr="00B64995" w:rsidRDefault="45754881" w:rsidP="00614D53">
      <w:pPr>
        <w:jc w:val="both"/>
        <w:rPr>
          <w:rFonts w:eastAsia="Calibri"/>
          <w:b/>
        </w:rPr>
      </w:pPr>
    </w:p>
    <w:p w14:paraId="501A9C89" w14:textId="58CB7C3E" w:rsidR="60733684" w:rsidRPr="00B64995" w:rsidRDefault="60733684" w:rsidP="00DD1779">
      <w:pPr>
        <w:jc w:val="both"/>
      </w:pPr>
      <w:r w:rsidRPr="00B64995">
        <w:t>Enable and foster access to and increased use of telecommunications/ICT in support of the digital economy and society</w:t>
      </w:r>
      <w:r w:rsidR="00DD1779" w:rsidRPr="00B64995">
        <w:t>.</w:t>
      </w:r>
    </w:p>
    <w:p w14:paraId="1E06DA8D" w14:textId="77777777" w:rsidR="00DD1779" w:rsidRPr="00B64995" w:rsidRDefault="00DD1779" w:rsidP="00614D53">
      <w:pPr>
        <w:jc w:val="both"/>
        <w:rPr>
          <w:rFonts w:eastAsia="Calibri"/>
          <w:b/>
        </w:rPr>
      </w:pPr>
    </w:p>
    <w:p w14:paraId="5CC6B074" w14:textId="7AAE44C4" w:rsidR="2F509CE6" w:rsidRPr="00B64995" w:rsidRDefault="2F509CE6" w:rsidP="00A83DAA">
      <w:pPr>
        <w:pStyle w:val="Heading5"/>
      </w:pPr>
      <w:r w:rsidRPr="00B64995">
        <w:t>Strategic targets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45754881" w:rsidRPr="00B64995" w14:paraId="6166AD83" w14:textId="77777777" w:rsidTr="00811918">
        <w:tc>
          <w:tcPr>
            <w:tcW w:w="9026" w:type="dxa"/>
            <w:shd w:val="clear" w:color="auto" w:fill="DCE5F4"/>
          </w:tcPr>
          <w:p w14:paraId="06325924" w14:textId="4BA1374E" w:rsidR="45754881" w:rsidRPr="00B87922" w:rsidRDefault="45754881" w:rsidP="00CA1CC1">
            <w:pPr>
              <w:pStyle w:val="boxhead"/>
              <w:rPr>
                <w:lang w:val="en-GB"/>
              </w:rPr>
            </w:pPr>
            <w:r w:rsidRPr="00B64995">
              <w:t>By 2023:</w:t>
            </w:r>
          </w:p>
          <w:p w14:paraId="200E9472" w14:textId="77777777" w:rsidR="0049723A" w:rsidRPr="00B64995" w:rsidRDefault="45754881" w:rsidP="00CA1CC1">
            <w:pPr>
              <w:pStyle w:val="boxtext"/>
              <w:rPr>
                <w:lang w:val="en-GB"/>
              </w:rPr>
            </w:pPr>
            <w:r w:rsidRPr="00A060FE">
              <w:rPr>
                <w:b/>
                <w:lang w:val="en-GB"/>
              </w:rPr>
              <w:t>Target 1.1</w:t>
            </w:r>
            <w:r w:rsidRPr="00B64995">
              <w:rPr>
                <w:lang w:val="en-GB"/>
              </w:rPr>
              <w:t xml:space="preserve">: 65% of households worldwide with access to the </w:t>
            </w:r>
            <w:r w:rsidR="00614D53" w:rsidRPr="00B64995">
              <w:rPr>
                <w:lang w:val="en-GB"/>
              </w:rPr>
              <w:t>Internet</w:t>
            </w:r>
          </w:p>
          <w:p w14:paraId="6E7C3AE9" w14:textId="77777777" w:rsidR="0049723A" w:rsidRPr="00B64995" w:rsidRDefault="45754881" w:rsidP="00CA1CC1">
            <w:pPr>
              <w:pStyle w:val="boxtext"/>
              <w:rPr>
                <w:lang w:val="en-GB"/>
              </w:rPr>
            </w:pPr>
            <w:r w:rsidRPr="00B64995">
              <w:rPr>
                <w:b/>
                <w:lang w:val="en-GB"/>
              </w:rPr>
              <w:t>Target 1.2</w:t>
            </w:r>
            <w:r w:rsidRPr="00B64995">
              <w:rPr>
                <w:lang w:val="en-GB"/>
              </w:rPr>
              <w:t xml:space="preserve">: 70% of individuals worldwide will be using the </w:t>
            </w:r>
            <w:proofErr w:type="gramStart"/>
            <w:r w:rsidR="00614D53" w:rsidRPr="00B64995">
              <w:rPr>
                <w:lang w:val="en-GB"/>
              </w:rPr>
              <w:t>Internet</w:t>
            </w:r>
            <w:proofErr w:type="gramEnd"/>
          </w:p>
          <w:p w14:paraId="78242ABA" w14:textId="7CD0B9FE" w:rsidR="45754881" w:rsidRPr="00B64995" w:rsidRDefault="45754881" w:rsidP="00CA1CC1">
            <w:pPr>
              <w:pStyle w:val="boxtext"/>
              <w:rPr>
                <w:lang w:val="en-GB"/>
              </w:rPr>
            </w:pPr>
            <w:r w:rsidRPr="00B64995">
              <w:rPr>
                <w:b/>
                <w:lang w:val="en-GB"/>
              </w:rPr>
              <w:t>Target 1.3</w:t>
            </w:r>
            <w:r w:rsidRPr="00B64995">
              <w:rPr>
                <w:lang w:val="en-GB"/>
              </w:rPr>
              <w:t xml:space="preserve">: </w:t>
            </w:r>
            <w:r w:rsidR="00614D53" w:rsidRPr="00B64995">
              <w:rPr>
                <w:lang w:val="en-GB"/>
              </w:rPr>
              <w:t>Internet</w:t>
            </w:r>
            <w:r w:rsidRPr="00B64995">
              <w:rPr>
                <w:lang w:val="en-GB"/>
              </w:rPr>
              <w:t xml:space="preserve"> access should be 25% more affordable (baseline year 2017)</w:t>
            </w:r>
          </w:p>
          <w:p w14:paraId="7E458890" w14:textId="77777777" w:rsidR="0049723A" w:rsidRPr="00B64995" w:rsidRDefault="45754881" w:rsidP="00CA1CC1">
            <w:pPr>
              <w:pStyle w:val="boxtext"/>
              <w:rPr>
                <w:lang w:val="en-GB"/>
              </w:rPr>
            </w:pPr>
            <w:r w:rsidRPr="00B64995">
              <w:rPr>
                <w:b/>
                <w:lang w:val="en-GB"/>
              </w:rPr>
              <w:t>Target 1.4</w:t>
            </w:r>
            <w:r w:rsidRPr="00B64995">
              <w:rPr>
                <w:lang w:val="en-GB"/>
              </w:rPr>
              <w:t>: all countries adopt a digital agenda/</w:t>
            </w:r>
            <w:proofErr w:type="gramStart"/>
            <w:r w:rsidRPr="00B64995">
              <w:rPr>
                <w:lang w:val="en-GB"/>
              </w:rPr>
              <w:t>strategy</w:t>
            </w:r>
            <w:proofErr w:type="gramEnd"/>
          </w:p>
          <w:p w14:paraId="5844EEA8" w14:textId="77777777" w:rsidR="0049723A" w:rsidRPr="00B64995" w:rsidRDefault="45754881" w:rsidP="00CA1CC1">
            <w:pPr>
              <w:pStyle w:val="boxtext"/>
              <w:rPr>
                <w:lang w:val="en-GB"/>
              </w:rPr>
            </w:pPr>
            <w:r w:rsidRPr="00B64995">
              <w:rPr>
                <w:b/>
                <w:lang w:val="en-GB"/>
              </w:rPr>
              <w:t>Target 1.5</w:t>
            </w:r>
            <w:r w:rsidRPr="00B64995">
              <w:rPr>
                <w:lang w:val="en-GB"/>
              </w:rPr>
              <w:t>: increase the number of broadband subscriptions by 50%</w:t>
            </w:r>
          </w:p>
          <w:p w14:paraId="229129AC" w14:textId="77777777" w:rsidR="0049723A" w:rsidRPr="00B64995" w:rsidRDefault="45754881" w:rsidP="00CA1CC1">
            <w:pPr>
              <w:pStyle w:val="boxtext"/>
              <w:rPr>
                <w:lang w:val="en-GB"/>
              </w:rPr>
            </w:pPr>
            <w:r w:rsidRPr="00B64995">
              <w:rPr>
                <w:b/>
                <w:lang w:val="en-GB"/>
              </w:rPr>
              <w:t>Target 1.6</w:t>
            </w:r>
            <w:r w:rsidRPr="00B64995">
              <w:rPr>
                <w:lang w:val="en-GB"/>
              </w:rPr>
              <w:t>: 40% of countries to have more than half of broadband subscriptions more than 10 Mbit/</w:t>
            </w:r>
            <w:proofErr w:type="gramStart"/>
            <w:r w:rsidRPr="00B64995">
              <w:rPr>
                <w:lang w:val="en-GB"/>
              </w:rPr>
              <w:t>s</w:t>
            </w:r>
            <w:proofErr w:type="gramEnd"/>
          </w:p>
          <w:p w14:paraId="2FD0C2B5" w14:textId="11952AA1" w:rsidR="45754881" w:rsidRPr="00B64995" w:rsidRDefault="45754881" w:rsidP="00CA1CC1">
            <w:pPr>
              <w:pStyle w:val="boxtext"/>
              <w:rPr>
                <w:lang w:val="en-GB"/>
              </w:rPr>
            </w:pPr>
            <w:r w:rsidRPr="00B64995">
              <w:rPr>
                <w:b/>
                <w:lang w:val="en-GB"/>
              </w:rPr>
              <w:t>Target 1.7</w:t>
            </w:r>
            <w:r w:rsidRPr="00B64995">
              <w:rPr>
                <w:lang w:val="en-GB"/>
              </w:rPr>
              <w:t xml:space="preserve">: 40% of the population should be interacting with government services </w:t>
            </w:r>
            <w:proofErr w:type="gramStart"/>
            <w:r w:rsidRPr="00B64995">
              <w:rPr>
                <w:lang w:val="en-GB"/>
              </w:rPr>
              <w:t>online</w:t>
            </w:r>
            <w:proofErr w:type="gramEnd"/>
          </w:p>
          <w:p w14:paraId="0B491CA9" w14:textId="6287955F" w:rsidR="45754881" w:rsidRPr="00B87922" w:rsidRDefault="45754881" w:rsidP="00614D53">
            <w:pPr>
              <w:rPr>
                <w:rFonts w:eastAsia="Calibri"/>
                <w:lang w:val="en-GB"/>
              </w:rPr>
            </w:pPr>
          </w:p>
        </w:tc>
      </w:tr>
    </w:tbl>
    <w:p w14:paraId="222F8B97" w14:textId="77777777" w:rsidR="00164084" w:rsidRPr="00B64995" w:rsidRDefault="00164084" w:rsidP="00614D53">
      <w:pPr>
        <w:jc w:val="both"/>
        <w:rPr>
          <w:rFonts w:eastAsia="Calibri"/>
          <w:b/>
          <w:bCs/>
        </w:rPr>
      </w:pPr>
    </w:p>
    <w:p w14:paraId="14B067E8" w14:textId="6A71935F" w:rsidR="00FE4C48" w:rsidRPr="00B64995" w:rsidRDefault="00164084" w:rsidP="00A83DAA">
      <w:pPr>
        <w:pStyle w:val="Heading5"/>
      </w:pPr>
      <w:r w:rsidRPr="00B64995">
        <w:t xml:space="preserve">Progress </w:t>
      </w:r>
      <w:proofErr w:type="gramStart"/>
      <w:r w:rsidRPr="00B64995">
        <w:t>achieved</w:t>
      </w:r>
      <w:proofErr w:type="gramEnd"/>
    </w:p>
    <w:tbl>
      <w:tblPr>
        <w:tblStyle w:val="TableGrid"/>
        <w:tblW w:w="9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25"/>
        <w:gridCol w:w="4580"/>
      </w:tblGrid>
      <w:tr w:rsidR="00C06B65" w:rsidRPr="00B64995" w14:paraId="06DE2336" w14:textId="77777777" w:rsidTr="6844BCB7">
        <w:tc>
          <w:tcPr>
            <w:tcW w:w="46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5C01BB" w14:textId="3F1DF814" w:rsidR="00FE4C48" w:rsidRPr="00B87922" w:rsidRDefault="00FE4C48" w:rsidP="00C46CFD">
            <w:pPr>
              <w:keepNext/>
              <w:spacing w:after="40"/>
              <w:jc w:val="center"/>
              <w:rPr>
                <w:b/>
                <w:bCs/>
                <w:lang w:val="en-GB"/>
              </w:rPr>
            </w:pPr>
            <w:r w:rsidRPr="00B64995">
              <w:rPr>
                <w:b/>
                <w:bCs/>
              </w:rPr>
              <w:t xml:space="preserve">Target 1.1: On track </w:t>
            </w:r>
          </w:p>
        </w:tc>
        <w:tc>
          <w:tcPr>
            <w:tcW w:w="451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BB2DEF" w14:textId="77777777" w:rsidR="00FE4C48" w:rsidRPr="00B87922" w:rsidRDefault="00FE4C48" w:rsidP="00C46CFD">
            <w:pPr>
              <w:keepNext/>
              <w:spacing w:after="40"/>
              <w:jc w:val="center"/>
              <w:rPr>
                <w:b/>
                <w:bCs/>
                <w:lang w:val="en-GB"/>
              </w:rPr>
            </w:pPr>
            <w:r w:rsidRPr="00B64995">
              <w:rPr>
                <w:b/>
                <w:bCs/>
              </w:rPr>
              <w:t xml:space="preserve">Target 1.2: On track </w:t>
            </w:r>
          </w:p>
        </w:tc>
      </w:tr>
      <w:tr w:rsidR="00FE4C48" w:rsidRPr="00B64995" w14:paraId="54FE0349" w14:textId="77777777" w:rsidTr="6844BCB7">
        <w:tc>
          <w:tcPr>
            <w:tcW w:w="4691" w:type="dxa"/>
            <w:tcBorders>
              <w:top w:val="single" w:sz="4" w:space="0" w:color="auto"/>
            </w:tcBorders>
          </w:tcPr>
          <w:p w14:paraId="12F98BFD" w14:textId="77777777" w:rsidR="00FE4C48" w:rsidRPr="00B87922" w:rsidRDefault="7567885E" w:rsidP="00EB3635">
            <w:pPr>
              <w:spacing w:before="40" w:after="40"/>
              <w:rPr>
                <w:lang w:val="en-GB"/>
              </w:rPr>
            </w:pPr>
            <w:r w:rsidRPr="00166BCE">
              <w:rPr>
                <w:noProof/>
              </w:rPr>
              <w:drawing>
                <wp:inline distT="0" distB="0" distL="0" distR="0" wp14:anchorId="7CB49D6D" wp14:editId="468D615C">
                  <wp:extent cx="2720274" cy="1635179"/>
                  <wp:effectExtent l="0" t="0" r="4445" b="3175"/>
                  <wp:docPr id="17590115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35" cstate="print">
                            <a:extLst>
                              <a:ext uri="{28A0092B-C50C-407E-A947-70E740481C1C}">
                                <a14:useLocalDpi xmlns:a14="http://schemas.microsoft.com/office/drawing/2010/main" val="0"/>
                              </a:ext>
                            </a:extLst>
                          </a:blip>
                          <a:stretch>
                            <a:fillRect/>
                          </a:stretch>
                        </pic:blipFill>
                        <pic:spPr>
                          <a:xfrm>
                            <a:off x="0" y="0"/>
                            <a:ext cx="2720274" cy="1635179"/>
                          </a:xfrm>
                          <a:prstGeom prst="rect">
                            <a:avLst/>
                          </a:prstGeom>
                        </pic:spPr>
                      </pic:pic>
                    </a:graphicData>
                  </a:graphic>
                </wp:inline>
              </w:drawing>
            </w:r>
          </w:p>
        </w:tc>
        <w:tc>
          <w:tcPr>
            <w:tcW w:w="4518" w:type="dxa"/>
            <w:gridSpan w:val="2"/>
            <w:tcBorders>
              <w:top w:val="single" w:sz="4" w:space="0" w:color="auto"/>
            </w:tcBorders>
          </w:tcPr>
          <w:p w14:paraId="0A7C1353" w14:textId="77777777" w:rsidR="00FE4C48" w:rsidRPr="00B87922" w:rsidRDefault="7567885E" w:rsidP="00EB3635">
            <w:pPr>
              <w:spacing w:before="40" w:after="40"/>
              <w:rPr>
                <w:lang w:val="en-GB"/>
              </w:rPr>
            </w:pPr>
            <w:r w:rsidRPr="00166BCE">
              <w:rPr>
                <w:noProof/>
              </w:rPr>
              <w:drawing>
                <wp:inline distT="0" distB="0" distL="0" distR="0" wp14:anchorId="31219323" wp14:editId="48D28066">
                  <wp:extent cx="2732150" cy="1642317"/>
                  <wp:effectExtent l="0" t="0" r="0" b="0"/>
                  <wp:docPr id="12579777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36" cstate="print">
                            <a:extLst>
                              <a:ext uri="{28A0092B-C50C-407E-A947-70E740481C1C}">
                                <a14:useLocalDpi xmlns:a14="http://schemas.microsoft.com/office/drawing/2010/main" val="0"/>
                              </a:ext>
                            </a:extLst>
                          </a:blip>
                          <a:stretch>
                            <a:fillRect/>
                          </a:stretch>
                        </pic:blipFill>
                        <pic:spPr>
                          <a:xfrm>
                            <a:off x="0" y="0"/>
                            <a:ext cx="2732150" cy="1642317"/>
                          </a:xfrm>
                          <a:prstGeom prst="rect">
                            <a:avLst/>
                          </a:prstGeom>
                        </pic:spPr>
                      </pic:pic>
                    </a:graphicData>
                  </a:graphic>
                </wp:inline>
              </w:drawing>
            </w:r>
          </w:p>
        </w:tc>
      </w:tr>
      <w:tr w:rsidR="00FE4C48" w:rsidRPr="00B64995" w14:paraId="02ED84E1" w14:textId="77777777" w:rsidTr="6844BCB7">
        <w:tc>
          <w:tcPr>
            <w:tcW w:w="4691" w:type="dxa"/>
            <w:tcBorders>
              <w:bottom w:val="single" w:sz="4" w:space="0" w:color="auto"/>
            </w:tcBorders>
          </w:tcPr>
          <w:p w14:paraId="2FD0E0D6" w14:textId="26576FCE" w:rsidR="004809D8" w:rsidRPr="00B87922" w:rsidRDefault="004809D8" w:rsidP="003C23CD">
            <w:pPr>
              <w:spacing w:after="120"/>
              <w:rPr>
                <w:b/>
                <w:lang w:val="en-GB"/>
              </w:rPr>
            </w:pPr>
            <w:r w:rsidRPr="00B64995">
              <w:rPr>
                <w:b/>
              </w:rPr>
              <w:t>Source: ITU</w:t>
            </w:r>
          </w:p>
        </w:tc>
        <w:tc>
          <w:tcPr>
            <w:tcW w:w="4518" w:type="dxa"/>
            <w:gridSpan w:val="2"/>
            <w:tcBorders>
              <w:bottom w:val="single" w:sz="4" w:space="0" w:color="auto"/>
            </w:tcBorders>
          </w:tcPr>
          <w:p w14:paraId="7B4E38FF" w14:textId="0368EE02" w:rsidR="00FE4C48" w:rsidRPr="00B87922" w:rsidRDefault="004809D8" w:rsidP="003C23CD">
            <w:pPr>
              <w:spacing w:after="120"/>
              <w:rPr>
                <w:b/>
                <w:lang w:val="en-GB"/>
              </w:rPr>
            </w:pPr>
            <w:r w:rsidRPr="00B64995">
              <w:rPr>
                <w:b/>
              </w:rPr>
              <w:t>Source: ITU</w:t>
            </w:r>
          </w:p>
        </w:tc>
      </w:tr>
      <w:tr w:rsidR="00C06B65" w:rsidRPr="00B64995" w14:paraId="71853DB0" w14:textId="77777777" w:rsidTr="6844BCB7">
        <w:tc>
          <w:tcPr>
            <w:tcW w:w="469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0F5120" w14:textId="77777777" w:rsidR="00FE4C48" w:rsidRPr="00B87922" w:rsidRDefault="00FE4C48" w:rsidP="00614D53">
            <w:pPr>
              <w:spacing w:after="40"/>
              <w:jc w:val="center"/>
              <w:rPr>
                <w:lang w:val="en-GB"/>
              </w:rPr>
            </w:pPr>
            <w:r w:rsidRPr="00B64995">
              <w:rPr>
                <w:b/>
                <w:bCs/>
              </w:rPr>
              <w:lastRenderedPageBreak/>
              <w:t xml:space="preserve">Target 1.3: Achieved </w:t>
            </w:r>
          </w:p>
        </w:tc>
        <w:tc>
          <w:tcPr>
            <w:tcW w:w="451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A82AF7" w14:textId="77777777" w:rsidR="00FE4C48" w:rsidRPr="00B87922" w:rsidRDefault="00FE4C48" w:rsidP="00614D53">
            <w:pPr>
              <w:spacing w:after="40"/>
              <w:jc w:val="center"/>
              <w:rPr>
                <w:lang w:val="en-GB"/>
              </w:rPr>
            </w:pPr>
            <w:r w:rsidRPr="00B64995">
              <w:rPr>
                <w:b/>
                <w:bCs/>
              </w:rPr>
              <w:t>Target 1.4: On track</w:t>
            </w:r>
          </w:p>
        </w:tc>
      </w:tr>
      <w:tr w:rsidR="00FE4C48" w:rsidRPr="00B64995" w14:paraId="07E624BB" w14:textId="77777777" w:rsidTr="6844BCB7">
        <w:tc>
          <w:tcPr>
            <w:tcW w:w="4691" w:type="dxa"/>
            <w:tcBorders>
              <w:top w:val="single" w:sz="4" w:space="0" w:color="auto"/>
            </w:tcBorders>
          </w:tcPr>
          <w:p w14:paraId="1F9C81CD" w14:textId="77777777" w:rsidR="00FE4C48" w:rsidRPr="00B87922" w:rsidRDefault="7567885E" w:rsidP="003C23CD">
            <w:pPr>
              <w:spacing w:before="40" w:after="40"/>
              <w:rPr>
                <w:lang w:val="en-GB"/>
              </w:rPr>
            </w:pPr>
            <w:r w:rsidRPr="00166BCE">
              <w:rPr>
                <w:noProof/>
              </w:rPr>
              <w:drawing>
                <wp:inline distT="0" distB="0" distL="0" distR="0" wp14:anchorId="2B2810C0" wp14:editId="3CCE6CC8">
                  <wp:extent cx="2667023" cy="1603169"/>
                  <wp:effectExtent l="0" t="0" r="0" b="0"/>
                  <wp:docPr id="187915737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2667023" cy="1603169"/>
                          </a:xfrm>
                          <a:prstGeom prst="rect">
                            <a:avLst/>
                          </a:prstGeom>
                        </pic:spPr>
                      </pic:pic>
                    </a:graphicData>
                  </a:graphic>
                </wp:inline>
              </w:drawing>
            </w:r>
          </w:p>
        </w:tc>
        <w:tc>
          <w:tcPr>
            <w:tcW w:w="4518" w:type="dxa"/>
            <w:gridSpan w:val="2"/>
            <w:tcBorders>
              <w:top w:val="single" w:sz="4" w:space="0" w:color="auto"/>
            </w:tcBorders>
          </w:tcPr>
          <w:p w14:paraId="522C487F" w14:textId="0A911701" w:rsidR="00FE4C48" w:rsidRPr="00B87922" w:rsidRDefault="00621572" w:rsidP="003C23CD">
            <w:pPr>
              <w:spacing w:before="40" w:after="40"/>
              <w:rPr>
                <w:lang w:val="en-GB"/>
              </w:rPr>
            </w:pPr>
            <w:r>
              <w:rPr>
                <w:noProof/>
              </w:rPr>
              <w:drawing>
                <wp:inline distT="0" distB="0" distL="0" distR="0" wp14:anchorId="68614A57" wp14:editId="66990124">
                  <wp:extent cx="2684462" cy="1560111"/>
                  <wp:effectExtent l="0" t="0" r="1905" b="2540"/>
                  <wp:docPr id="1193504115" name="Picture 11935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701097" cy="1569778"/>
                          </a:xfrm>
                          <a:prstGeom prst="rect">
                            <a:avLst/>
                          </a:prstGeom>
                          <a:noFill/>
                        </pic:spPr>
                      </pic:pic>
                    </a:graphicData>
                  </a:graphic>
                </wp:inline>
              </w:drawing>
            </w:r>
          </w:p>
        </w:tc>
      </w:tr>
      <w:tr w:rsidR="00FE4C48" w:rsidRPr="00B64995" w14:paraId="3FF095DF" w14:textId="77777777" w:rsidTr="6844BCB7">
        <w:tc>
          <w:tcPr>
            <w:tcW w:w="4716" w:type="dxa"/>
            <w:gridSpan w:val="2"/>
            <w:tcBorders>
              <w:bottom w:val="single" w:sz="4" w:space="0" w:color="auto"/>
            </w:tcBorders>
          </w:tcPr>
          <w:p w14:paraId="231BBF53" w14:textId="16B81D77" w:rsidR="00FE4C48" w:rsidRPr="00B87922" w:rsidRDefault="004809D8" w:rsidP="003C23CD">
            <w:pPr>
              <w:spacing w:after="120"/>
              <w:rPr>
                <w:b/>
                <w:bCs/>
                <w:lang w:val="en-GB"/>
              </w:rPr>
            </w:pPr>
            <w:r w:rsidRPr="00B64995">
              <w:rPr>
                <w:b/>
                <w:bCs/>
              </w:rPr>
              <w:t>Source: ITU</w:t>
            </w:r>
          </w:p>
        </w:tc>
        <w:tc>
          <w:tcPr>
            <w:tcW w:w="4507" w:type="dxa"/>
            <w:tcBorders>
              <w:bottom w:val="single" w:sz="4" w:space="0" w:color="auto"/>
            </w:tcBorders>
          </w:tcPr>
          <w:p w14:paraId="7A879F20" w14:textId="28E9A479" w:rsidR="004F135B" w:rsidRPr="00B87922" w:rsidRDefault="004809D8" w:rsidP="003C23CD">
            <w:pPr>
              <w:spacing w:after="120"/>
              <w:rPr>
                <w:b/>
                <w:bCs/>
                <w:lang w:val="en-GB"/>
              </w:rPr>
            </w:pPr>
            <w:r w:rsidRPr="00B64995">
              <w:rPr>
                <w:b/>
                <w:bCs/>
              </w:rPr>
              <w:t>Source: ITU</w:t>
            </w:r>
          </w:p>
        </w:tc>
      </w:tr>
      <w:tr w:rsidR="00FE4C48" w:rsidRPr="00B64995" w14:paraId="527D82B1" w14:textId="77777777" w:rsidTr="6844BCB7">
        <w:tc>
          <w:tcPr>
            <w:tcW w:w="471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B2609C" w14:textId="77777777" w:rsidR="00FE4C48" w:rsidRPr="00B87922" w:rsidRDefault="00FE4C48" w:rsidP="00614D53">
            <w:pPr>
              <w:spacing w:after="40"/>
              <w:jc w:val="center"/>
              <w:rPr>
                <w:lang w:val="en-GB"/>
              </w:rPr>
            </w:pPr>
            <w:r w:rsidRPr="00B64995">
              <w:rPr>
                <w:b/>
                <w:bCs/>
              </w:rPr>
              <w:t xml:space="preserve">Target 1.5: On track </w:t>
            </w:r>
          </w:p>
        </w:tc>
        <w:tc>
          <w:tcPr>
            <w:tcW w:w="450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30F6EB" w14:textId="77777777" w:rsidR="00FE4C48" w:rsidRPr="00B87922" w:rsidRDefault="00FE4C48" w:rsidP="00614D53">
            <w:pPr>
              <w:spacing w:after="40"/>
              <w:jc w:val="center"/>
              <w:rPr>
                <w:b/>
                <w:bCs/>
                <w:lang w:val="en-GB"/>
              </w:rPr>
            </w:pPr>
            <w:r w:rsidRPr="00B64995">
              <w:rPr>
                <w:b/>
                <w:bCs/>
              </w:rPr>
              <w:t xml:space="preserve">Target 1.6: Achieved </w:t>
            </w:r>
          </w:p>
        </w:tc>
      </w:tr>
      <w:tr w:rsidR="00FE4C48" w:rsidRPr="00B64995" w14:paraId="7C860C5F" w14:textId="77777777" w:rsidTr="6844BCB7">
        <w:tc>
          <w:tcPr>
            <w:tcW w:w="4716" w:type="dxa"/>
            <w:gridSpan w:val="2"/>
            <w:tcBorders>
              <w:top w:val="single" w:sz="4" w:space="0" w:color="auto"/>
            </w:tcBorders>
          </w:tcPr>
          <w:p w14:paraId="70D88DFA" w14:textId="78E65B78" w:rsidR="00FE4C48" w:rsidRDefault="00A16DCB" w:rsidP="00EB3635">
            <w:pPr>
              <w:spacing w:before="40" w:after="40"/>
              <w:rPr>
                <w:lang w:val="en-GB"/>
              </w:rPr>
            </w:pPr>
            <w:r>
              <w:rPr>
                <w:noProof/>
              </w:rPr>
              <w:drawing>
                <wp:inline distT="0" distB="0" distL="0" distR="0" wp14:anchorId="5D33C4FE" wp14:editId="3CE0F4F7">
                  <wp:extent cx="2724150" cy="1629963"/>
                  <wp:effectExtent l="0" t="0" r="0" b="8890"/>
                  <wp:docPr id="1837948289" name="Picture 183794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735144" cy="1636541"/>
                          </a:xfrm>
                          <a:prstGeom prst="rect">
                            <a:avLst/>
                          </a:prstGeom>
                          <a:noFill/>
                        </pic:spPr>
                      </pic:pic>
                    </a:graphicData>
                  </a:graphic>
                </wp:inline>
              </w:drawing>
            </w:r>
          </w:p>
          <w:p w14:paraId="4071EACE" w14:textId="77777777" w:rsidR="00321D50" w:rsidRDefault="00321D50" w:rsidP="00EB3635">
            <w:pPr>
              <w:spacing w:before="40" w:after="40"/>
              <w:rPr>
                <w:lang w:val="en-GB"/>
              </w:rPr>
            </w:pPr>
          </w:p>
          <w:p w14:paraId="3CCBA6B9" w14:textId="7BEA7BBA" w:rsidR="00321D50" w:rsidRDefault="00321D50" w:rsidP="00EB3635">
            <w:pPr>
              <w:spacing w:before="40" w:after="40"/>
              <w:rPr>
                <w:lang w:val="en-GB"/>
              </w:rPr>
            </w:pPr>
          </w:p>
          <w:p w14:paraId="340B9AAA" w14:textId="38A620B4" w:rsidR="00AA740B" w:rsidRPr="00B87922" w:rsidRDefault="00161B59" w:rsidP="00EB3635">
            <w:pPr>
              <w:spacing w:before="40" w:after="40"/>
              <w:rPr>
                <w:lang w:val="en-GB"/>
              </w:rPr>
            </w:pPr>
            <w:r>
              <w:rPr>
                <w:noProof/>
              </w:rPr>
              <w:drawing>
                <wp:inline distT="0" distB="0" distL="0" distR="0" wp14:anchorId="35E05FB1" wp14:editId="5C5015ED">
                  <wp:extent cx="2785313" cy="1666558"/>
                  <wp:effectExtent l="0" t="0" r="0" b="0"/>
                  <wp:docPr id="1837948292" name="Picture 183794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91844" cy="1670466"/>
                          </a:xfrm>
                          <a:prstGeom prst="rect">
                            <a:avLst/>
                          </a:prstGeom>
                          <a:noFill/>
                        </pic:spPr>
                      </pic:pic>
                    </a:graphicData>
                  </a:graphic>
                </wp:inline>
              </w:drawing>
            </w:r>
          </w:p>
        </w:tc>
        <w:tc>
          <w:tcPr>
            <w:tcW w:w="4507" w:type="dxa"/>
            <w:tcBorders>
              <w:top w:val="single" w:sz="4" w:space="0" w:color="auto"/>
            </w:tcBorders>
          </w:tcPr>
          <w:p w14:paraId="3C3947D8" w14:textId="77777777" w:rsidR="00FE4C48" w:rsidRPr="00B87922" w:rsidRDefault="74FB1726" w:rsidP="00EB3635">
            <w:pPr>
              <w:spacing w:before="40" w:after="40"/>
              <w:rPr>
                <w:lang w:val="en-GB"/>
              </w:rPr>
            </w:pPr>
            <w:r w:rsidRPr="00166BCE">
              <w:rPr>
                <w:noProof/>
              </w:rPr>
              <w:drawing>
                <wp:inline distT="0" distB="0" distL="0" distR="0" wp14:anchorId="62FED71D" wp14:editId="79F4384E">
                  <wp:extent cx="2724866" cy="1631373"/>
                  <wp:effectExtent l="0" t="0" r="0" b="6985"/>
                  <wp:docPr id="20357539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41">
                            <a:extLst>
                              <a:ext uri="{28A0092B-C50C-407E-A947-70E740481C1C}">
                                <a14:useLocalDpi xmlns:a14="http://schemas.microsoft.com/office/drawing/2010/main" val="0"/>
                              </a:ext>
                            </a:extLst>
                          </a:blip>
                          <a:stretch>
                            <a:fillRect/>
                          </a:stretch>
                        </pic:blipFill>
                        <pic:spPr>
                          <a:xfrm>
                            <a:off x="0" y="0"/>
                            <a:ext cx="2724866" cy="1631373"/>
                          </a:xfrm>
                          <a:prstGeom prst="rect">
                            <a:avLst/>
                          </a:prstGeom>
                        </pic:spPr>
                      </pic:pic>
                    </a:graphicData>
                  </a:graphic>
                </wp:inline>
              </w:drawing>
            </w:r>
          </w:p>
        </w:tc>
      </w:tr>
      <w:tr w:rsidR="00FE4C48" w:rsidRPr="00B64995" w14:paraId="7492CC8C" w14:textId="77777777" w:rsidTr="6844BCB7">
        <w:tc>
          <w:tcPr>
            <w:tcW w:w="4716" w:type="dxa"/>
            <w:gridSpan w:val="2"/>
            <w:tcBorders>
              <w:bottom w:val="single" w:sz="4" w:space="0" w:color="auto"/>
            </w:tcBorders>
          </w:tcPr>
          <w:p w14:paraId="3D958FB9" w14:textId="7E52F4C1" w:rsidR="00FE4C48" w:rsidRPr="00B87922" w:rsidRDefault="004F135B" w:rsidP="003C23CD">
            <w:pPr>
              <w:spacing w:after="120"/>
              <w:rPr>
                <w:b/>
                <w:bCs/>
                <w:lang w:val="en-GB"/>
              </w:rPr>
            </w:pPr>
            <w:r w:rsidRPr="00B64995">
              <w:rPr>
                <w:b/>
                <w:bCs/>
              </w:rPr>
              <w:t>Source: ITU</w:t>
            </w:r>
          </w:p>
        </w:tc>
        <w:tc>
          <w:tcPr>
            <w:tcW w:w="4507" w:type="dxa"/>
          </w:tcPr>
          <w:p w14:paraId="2DB785BF" w14:textId="78EB84CF" w:rsidR="00FE4C48" w:rsidRPr="00B87922" w:rsidRDefault="004F135B" w:rsidP="003C23CD">
            <w:pPr>
              <w:spacing w:after="120"/>
              <w:rPr>
                <w:b/>
                <w:bCs/>
                <w:lang w:val="en-GB"/>
              </w:rPr>
            </w:pPr>
            <w:r w:rsidRPr="00B64995">
              <w:rPr>
                <w:b/>
                <w:bCs/>
              </w:rPr>
              <w:t>Source: ITU</w:t>
            </w:r>
          </w:p>
        </w:tc>
      </w:tr>
      <w:tr w:rsidR="00FE4C48" w:rsidRPr="00B64995" w14:paraId="171714E4" w14:textId="77777777" w:rsidTr="6844BCB7">
        <w:tc>
          <w:tcPr>
            <w:tcW w:w="4716"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EBE00BC" w14:textId="77777777" w:rsidR="00FE4C48" w:rsidRPr="00B87922" w:rsidRDefault="00FE4C48" w:rsidP="003C23CD">
            <w:pPr>
              <w:keepNext/>
              <w:keepLines/>
              <w:spacing w:after="40"/>
              <w:jc w:val="center"/>
              <w:rPr>
                <w:b/>
                <w:bCs/>
                <w:lang w:val="en-GB"/>
              </w:rPr>
            </w:pPr>
            <w:r w:rsidRPr="00B64995">
              <w:rPr>
                <w:b/>
                <w:bCs/>
              </w:rPr>
              <w:t>Target 1.7: New, benchmarked</w:t>
            </w:r>
          </w:p>
        </w:tc>
        <w:tc>
          <w:tcPr>
            <w:tcW w:w="4507" w:type="dxa"/>
            <w:tcBorders>
              <w:left w:val="single" w:sz="4" w:space="0" w:color="auto"/>
            </w:tcBorders>
          </w:tcPr>
          <w:p w14:paraId="1A2EF91A" w14:textId="25EEEB74" w:rsidR="00FE4C48" w:rsidRPr="00B87922" w:rsidRDefault="00710B00" w:rsidP="00614D53">
            <w:pPr>
              <w:spacing w:after="40"/>
              <w:rPr>
                <w:lang w:val="en-GB"/>
              </w:rPr>
            </w:pPr>
            <w:r w:rsidRPr="00710B00">
              <w:rPr>
                <w:lang w:val="en-GB"/>
              </w:rPr>
              <w:t>E-Government Development Index</w:t>
            </w:r>
            <w:r>
              <w:rPr>
                <w:lang w:val="en-GB"/>
              </w:rPr>
              <w:t xml:space="preserve"> (source: </w:t>
            </w:r>
            <w:r w:rsidR="00556564">
              <w:rPr>
                <w:lang w:val="en-GB"/>
              </w:rPr>
              <w:t>ECOSOC)</w:t>
            </w:r>
          </w:p>
        </w:tc>
      </w:tr>
      <w:tr w:rsidR="00FE4C48" w:rsidRPr="00B64995" w14:paraId="08BE0438" w14:textId="77777777" w:rsidTr="6844BCB7">
        <w:tc>
          <w:tcPr>
            <w:tcW w:w="4716" w:type="dxa"/>
            <w:gridSpan w:val="2"/>
            <w:tcBorders>
              <w:top w:val="single" w:sz="4" w:space="0" w:color="auto"/>
            </w:tcBorders>
          </w:tcPr>
          <w:p w14:paraId="6B893C60" w14:textId="77777777" w:rsidR="00FE4C48" w:rsidRPr="00B87922" w:rsidRDefault="7567885E" w:rsidP="00EB3635">
            <w:pPr>
              <w:spacing w:before="40" w:after="40"/>
              <w:rPr>
                <w:lang w:val="en-GB"/>
              </w:rPr>
            </w:pPr>
            <w:r w:rsidRPr="00166BCE">
              <w:rPr>
                <w:noProof/>
              </w:rPr>
              <w:drawing>
                <wp:inline distT="0" distB="0" distL="0" distR="0" wp14:anchorId="4AEAB03F" wp14:editId="1017E3FD">
                  <wp:extent cx="2855735" cy="1716604"/>
                  <wp:effectExtent l="0" t="0" r="1905" b="0"/>
                  <wp:docPr id="69599840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2855735" cy="1716604"/>
                          </a:xfrm>
                          <a:prstGeom prst="rect">
                            <a:avLst/>
                          </a:prstGeom>
                        </pic:spPr>
                      </pic:pic>
                    </a:graphicData>
                  </a:graphic>
                </wp:inline>
              </w:drawing>
            </w:r>
          </w:p>
        </w:tc>
        <w:tc>
          <w:tcPr>
            <w:tcW w:w="4507" w:type="dxa"/>
          </w:tcPr>
          <w:p w14:paraId="0ADE2F02" w14:textId="630A0483" w:rsidR="00FE4C48" w:rsidRPr="00B87922" w:rsidRDefault="00C06B65" w:rsidP="00EB3635">
            <w:pPr>
              <w:spacing w:before="40" w:after="40"/>
              <w:rPr>
                <w:lang w:val="en-GB"/>
              </w:rPr>
            </w:pPr>
            <w:r>
              <w:rPr>
                <w:noProof/>
              </w:rPr>
              <w:drawing>
                <wp:inline distT="0" distB="0" distL="0" distR="0" wp14:anchorId="125BEE28" wp14:editId="4A9D1DE1">
                  <wp:extent cx="2771758" cy="2009571"/>
                  <wp:effectExtent l="0" t="0" r="0" b="0"/>
                  <wp:docPr id="1837948298" name="Picture 183794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2777082" cy="2013431"/>
                          </a:xfrm>
                          <a:prstGeom prst="rect">
                            <a:avLst/>
                          </a:prstGeom>
                        </pic:spPr>
                      </pic:pic>
                    </a:graphicData>
                  </a:graphic>
                </wp:inline>
              </w:drawing>
            </w:r>
          </w:p>
        </w:tc>
      </w:tr>
    </w:tbl>
    <w:p w14:paraId="307A8E5C" w14:textId="77777777" w:rsidR="004F135B" w:rsidRPr="00B64995" w:rsidRDefault="004F135B" w:rsidP="004F135B">
      <w:pPr>
        <w:spacing w:after="40"/>
        <w:rPr>
          <w:b/>
          <w:bCs/>
        </w:rPr>
      </w:pPr>
      <w:r w:rsidRPr="00B64995">
        <w:rPr>
          <w:b/>
          <w:bCs/>
        </w:rPr>
        <w:t>Source: ITU</w:t>
      </w:r>
    </w:p>
    <w:p w14:paraId="789263EE" w14:textId="7F26D601" w:rsidR="49A04349" w:rsidRPr="00B64995" w:rsidRDefault="00026FC6" w:rsidP="00026FC6">
      <w:pPr>
        <w:pStyle w:val="Heading3"/>
      </w:pPr>
      <w:bookmarkStart w:id="136" w:name="_Toc37860474"/>
      <w:bookmarkStart w:id="137" w:name="_Toc37861234"/>
      <w:bookmarkStart w:id="138" w:name="_Toc37943358"/>
      <w:bookmarkStart w:id="139" w:name="_Toc68811428"/>
      <w:r w:rsidRPr="00B64995">
        <w:lastRenderedPageBreak/>
        <w:t>3.1.2</w:t>
      </w:r>
      <w:r w:rsidRPr="00B64995">
        <w:tab/>
      </w:r>
      <w:r w:rsidR="49A04349" w:rsidRPr="00B64995">
        <w:t>Goal 2 - Inclusiveness</w:t>
      </w:r>
      <w:bookmarkEnd w:id="136"/>
      <w:bookmarkEnd w:id="137"/>
      <w:bookmarkEnd w:id="138"/>
      <w:bookmarkEnd w:id="139"/>
    </w:p>
    <w:p w14:paraId="4C2A952E" w14:textId="77777777" w:rsidR="00164084" w:rsidRPr="00B64995" w:rsidRDefault="00164084" w:rsidP="00614D53">
      <w:pPr>
        <w:rPr>
          <w:rFonts w:eastAsia="Calibri"/>
          <w:b/>
        </w:rPr>
      </w:pPr>
    </w:p>
    <w:p w14:paraId="43E3DB9B" w14:textId="7B71249C" w:rsidR="3BE6BD07" w:rsidRPr="00B64995" w:rsidRDefault="3BE6BD07" w:rsidP="5503EDA3">
      <w:r w:rsidRPr="00B64995">
        <w:t xml:space="preserve">Bridge the digital divide and provide broadband access for </w:t>
      </w:r>
      <w:proofErr w:type="gramStart"/>
      <w:r w:rsidRPr="00B64995">
        <w:t>all</w:t>
      </w:r>
      <w:proofErr w:type="gramEnd"/>
    </w:p>
    <w:p w14:paraId="638EED70" w14:textId="77777777" w:rsidR="00DD1779" w:rsidRPr="00B64995" w:rsidRDefault="00DD1779" w:rsidP="00614D53">
      <w:pPr>
        <w:rPr>
          <w:rFonts w:eastAsia="Calibri"/>
          <w:b/>
        </w:rPr>
      </w:pPr>
    </w:p>
    <w:p w14:paraId="32C03665" w14:textId="77777777" w:rsidR="00117373" w:rsidRPr="00B64995" w:rsidRDefault="00117373" w:rsidP="00614D53">
      <w:pPr>
        <w:rPr>
          <w:rFonts w:eastAsia="Calibri"/>
          <w:b/>
        </w:rPr>
      </w:pPr>
    </w:p>
    <w:p w14:paraId="65D378A3" w14:textId="0154A349" w:rsidR="49A04349" w:rsidRPr="00B64995" w:rsidRDefault="49A04349" w:rsidP="00A83DAA">
      <w:pPr>
        <w:pStyle w:val="Heading5"/>
      </w:pPr>
      <w:r w:rsidRPr="00B64995">
        <w:t>Strategic targets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45754881" w:rsidRPr="00B64995" w14:paraId="0F357EFD" w14:textId="77777777" w:rsidTr="00811918">
        <w:tc>
          <w:tcPr>
            <w:tcW w:w="9026" w:type="dxa"/>
            <w:shd w:val="clear" w:color="auto" w:fill="DCE5F4"/>
          </w:tcPr>
          <w:p w14:paraId="7CB2B722" w14:textId="17F85572" w:rsidR="45754881" w:rsidRPr="00B87922" w:rsidRDefault="45754881" w:rsidP="00CA1CC1">
            <w:pPr>
              <w:pStyle w:val="boxhead"/>
              <w:rPr>
                <w:lang w:val="en-GB"/>
              </w:rPr>
            </w:pPr>
            <w:r w:rsidRPr="00B64995">
              <w:t>By 2023:</w:t>
            </w:r>
          </w:p>
          <w:p w14:paraId="338C9C96" w14:textId="7BC3D8C8" w:rsidR="45754881" w:rsidRPr="00B64995" w:rsidRDefault="45754881" w:rsidP="00CA1CC1">
            <w:pPr>
              <w:pStyle w:val="boxtext"/>
              <w:rPr>
                <w:lang w:val="en-GB"/>
              </w:rPr>
            </w:pPr>
            <w:r w:rsidRPr="00A060FE">
              <w:rPr>
                <w:b/>
                <w:lang w:val="en-GB"/>
              </w:rPr>
              <w:t xml:space="preserve">Target 2.1: </w:t>
            </w:r>
            <w:r w:rsidRPr="00B64995">
              <w:rPr>
                <w:lang w:val="en-GB"/>
              </w:rPr>
              <w:t xml:space="preserve">in the developing world, 60% of households should have access to the </w:t>
            </w:r>
            <w:proofErr w:type="gramStart"/>
            <w:r w:rsidR="00614D53" w:rsidRPr="00B64995">
              <w:rPr>
                <w:lang w:val="en-GB"/>
              </w:rPr>
              <w:t>Internet</w:t>
            </w:r>
            <w:proofErr w:type="gramEnd"/>
          </w:p>
          <w:p w14:paraId="031DCFBC" w14:textId="4338B7E0" w:rsidR="45754881" w:rsidRPr="00B64995" w:rsidRDefault="45754881" w:rsidP="00CA1CC1">
            <w:pPr>
              <w:pStyle w:val="boxtext"/>
              <w:rPr>
                <w:lang w:val="en-GB"/>
              </w:rPr>
            </w:pPr>
            <w:r w:rsidRPr="00B64995">
              <w:rPr>
                <w:b/>
                <w:lang w:val="en-GB"/>
              </w:rPr>
              <w:t xml:space="preserve">Target 2.2: </w:t>
            </w:r>
            <w:r w:rsidRPr="00B64995">
              <w:rPr>
                <w:lang w:val="en-GB"/>
              </w:rPr>
              <w:t xml:space="preserve">in the least developed countries, 30% of households should have access to the </w:t>
            </w:r>
            <w:proofErr w:type="gramStart"/>
            <w:r w:rsidR="00614D53" w:rsidRPr="00B64995">
              <w:rPr>
                <w:lang w:val="en-GB"/>
              </w:rPr>
              <w:t>Internet</w:t>
            </w:r>
            <w:proofErr w:type="gramEnd"/>
          </w:p>
          <w:p w14:paraId="338A821E" w14:textId="10A72470" w:rsidR="45754881" w:rsidRPr="00B64995" w:rsidRDefault="45754881" w:rsidP="00CA1CC1">
            <w:pPr>
              <w:pStyle w:val="boxtext"/>
              <w:rPr>
                <w:lang w:val="en-GB"/>
              </w:rPr>
            </w:pPr>
            <w:r w:rsidRPr="00B64995">
              <w:rPr>
                <w:b/>
                <w:lang w:val="en-GB"/>
              </w:rPr>
              <w:t xml:space="preserve">Target 2.3: </w:t>
            </w:r>
            <w:r w:rsidRPr="00B64995">
              <w:rPr>
                <w:lang w:val="en-GB"/>
              </w:rPr>
              <w:t xml:space="preserve">in the developing world, 60% of individuals will be using the </w:t>
            </w:r>
            <w:proofErr w:type="gramStart"/>
            <w:r w:rsidR="00614D53" w:rsidRPr="00B64995">
              <w:rPr>
                <w:lang w:val="en-GB"/>
              </w:rPr>
              <w:t>Internet</w:t>
            </w:r>
            <w:proofErr w:type="gramEnd"/>
          </w:p>
          <w:p w14:paraId="18C747B7" w14:textId="2A3FAA16" w:rsidR="45754881" w:rsidRPr="00B64995" w:rsidRDefault="45754881" w:rsidP="00CA1CC1">
            <w:pPr>
              <w:pStyle w:val="boxtext"/>
              <w:rPr>
                <w:lang w:val="en-GB"/>
              </w:rPr>
            </w:pPr>
            <w:r w:rsidRPr="00B64995">
              <w:rPr>
                <w:b/>
                <w:lang w:val="en-GB"/>
              </w:rPr>
              <w:t xml:space="preserve">Target 2.4: </w:t>
            </w:r>
            <w:r w:rsidRPr="00B64995">
              <w:rPr>
                <w:lang w:val="en-GB"/>
              </w:rPr>
              <w:t xml:space="preserve">in the least developed countries, 30% of individuals will be using the </w:t>
            </w:r>
            <w:proofErr w:type="gramStart"/>
            <w:r w:rsidR="00614D53" w:rsidRPr="00B64995">
              <w:rPr>
                <w:lang w:val="en-GB"/>
              </w:rPr>
              <w:t>Internet</w:t>
            </w:r>
            <w:proofErr w:type="gramEnd"/>
          </w:p>
          <w:p w14:paraId="747EC66B" w14:textId="7B0F69DB" w:rsidR="45754881" w:rsidRPr="00B64995" w:rsidRDefault="45754881" w:rsidP="00CA1CC1">
            <w:pPr>
              <w:pStyle w:val="boxtext"/>
              <w:rPr>
                <w:lang w:val="en-GB"/>
              </w:rPr>
            </w:pPr>
            <w:r w:rsidRPr="00B64995">
              <w:rPr>
                <w:b/>
                <w:lang w:val="en-GB"/>
              </w:rPr>
              <w:t xml:space="preserve">Target 2.5: </w:t>
            </w:r>
            <w:r w:rsidRPr="00B64995">
              <w:rPr>
                <w:lang w:val="en-GB"/>
              </w:rPr>
              <w:t>the affordability gap between developed and developing countries should be reduced by 25% (baseline year 2017)</w:t>
            </w:r>
          </w:p>
          <w:p w14:paraId="4CF7A9F4" w14:textId="039B95CE" w:rsidR="45754881" w:rsidRPr="00B64995" w:rsidRDefault="45754881" w:rsidP="00CA1CC1">
            <w:pPr>
              <w:pStyle w:val="boxtext"/>
              <w:rPr>
                <w:lang w:val="en-GB"/>
              </w:rPr>
            </w:pPr>
            <w:r w:rsidRPr="00B64995">
              <w:rPr>
                <w:b/>
                <w:lang w:val="en-GB"/>
              </w:rPr>
              <w:t xml:space="preserve">Target 2.6: </w:t>
            </w:r>
            <w:r w:rsidRPr="00B64995">
              <w:rPr>
                <w:lang w:val="en-GB"/>
              </w:rPr>
              <w:t xml:space="preserve">broadband services should cost no more than 3% of average monthly income in developing </w:t>
            </w:r>
            <w:proofErr w:type="gramStart"/>
            <w:r w:rsidRPr="00B64995">
              <w:rPr>
                <w:lang w:val="en-GB"/>
              </w:rPr>
              <w:t>countries</w:t>
            </w:r>
            <w:proofErr w:type="gramEnd"/>
          </w:p>
          <w:p w14:paraId="60CBEE58" w14:textId="25068D85" w:rsidR="45754881" w:rsidRPr="00B64995" w:rsidRDefault="45754881" w:rsidP="00CA1CC1">
            <w:pPr>
              <w:pStyle w:val="boxtext"/>
              <w:rPr>
                <w:lang w:val="en-GB"/>
              </w:rPr>
            </w:pPr>
            <w:r w:rsidRPr="00B64995">
              <w:rPr>
                <w:b/>
                <w:lang w:val="en-GB"/>
              </w:rPr>
              <w:t xml:space="preserve">Target 2.7: </w:t>
            </w:r>
            <w:r w:rsidRPr="00B64995">
              <w:rPr>
                <w:lang w:val="en-GB"/>
              </w:rPr>
              <w:t xml:space="preserve">96% of the world population covered by broadband </w:t>
            </w:r>
            <w:proofErr w:type="gramStart"/>
            <w:r w:rsidRPr="00B64995">
              <w:rPr>
                <w:lang w:val="en-GB"/>
              </w:rPr>
              <w:t>services</w:t>
            </w:r>
            <w:proofErr w:type="gramEnd"/>
          </w:p>
          <w:p w14:paraId="782617FD" w14:textId="55DEC0E1" w:rsidR="45754881" w:rsidRPr="00B64995" w:rsidRDefault="45754881" w:rsidP="00CA1CC1">
            <w:pPr>
              <w:pStyle w:val="boxtext"/>
              <w:rPr>
                <w:lang w:val="en-GB"/>
              </w:rPr>
            </w:pPr>
            <w:r w:rsidRPr="00B64995">
              <w:rPr>
                <w:b/>
                <w:lang w:val="en-GB"/>
              </w:rPr>
              <w:t xml:space="preserve">Target 2.8: </w:t>
            </w:r>
            <w:r w:rsidRPr="00B64995">
              <w:rPr>
                <w:lang w:val="en-GB"/>
              </w:rPr>
              <w:t xml:space="preserve">gender equality in </w:t>
            </w:r>
            <w:r w:rsidR="00614D53" w:rsidRPr="00B64995">
              <w:rPr>
                <w:lang w:val="en-GB"/>
              </w:rPr>
              <w:t>Internet</w:t>
            </w:r>
            <w:r w:rsidRPr="00B64995">
              <w:rPr>
                <w:lang w:val="en-GB"/>
              </w:rPr>
              <w:t xml:space="preserve"> usage and mobile phone ownership should be </w:t>
            </w:r>
            <w:proofErr w:type="gramStart"/>
            <w:r w:rsidRPr="00B64995">
              <w:rPr>
                <w:lang w:val="en-GB"/>
              </w:rPr>
              <w:t>achieved</w:t>
            </w:r>
            <w:proofErr w:type="gramEnd"/>
          </w:p>
          <w:p w14:paraId="3807EE5A" w14:textId="1318695A" w:rsidR="45754881" w:rsidRPr="00B64995" w:rsidRDefault="45754881" w:rsidP="00CA1CC1">
            <w:pPr>
              <w:pStyle w:val="boxtext"/>
              <w:rPr>
                <w:lang w:val="en-GB"/>
              </w:rPr>
            </w:pPr>
            <w:r w:rsidRPr="00B64995">
              <w:rPr>
                <w:b/>
                <w:lang w:val="en-GB"/>
              </w:rPr>
              <w:t xml:space="preserve">Target 2.9: </w:t>
            </w:r>
            <w:r w:rsidRPr="00B64995">
              <w:rPr>
                <w:lang w:val="en-GB"/>
              </w:rPr>
              <w:t xml:space="preserve">enabling environments ensuring accessible telecommunications/ICTs for persons with disabilities should be established in all </w:t>
            </w:r>
            <w:proofErr w:type="gramStart"/>
            <w:r w:rsidRPr="00B64995">
              <w:rPr>
                <w:lang w:val="en-GB"/>
              </w:rPr>
              <w:t>countries</w:t>
            </w:r>
            <w:proofErr w:type="gramEnd"/>
          </w:p>
          <w:p w14:paraId="5191BEE1" w14:textId="6D7ECA10" w:rsidR="45754881" w:rsidRPr="00B64995" w:rsidRDefault="45754881" w:rsidP="00CA1CC1">
            <w:pPr>
              <w:pStyle w:val="boxtext"/>
              <w:rPr>
                <w:lang w:val="en-GB"/>
              </w:rPr>
            </w:pPr>
            <w:r w:rsidRPr="00B64995">
              <w:rPr>
                <w:b/>
                <w:lang w:val="en-GB"/>
              </w:rPr>
              <w:t xml:space="preserve">Target 2.10: </w:t>
            </w:r>
            <w:r w:rsidRPr="00B64995">
              <w:rPr>
                <w:lang w:val="en-GB"/>
              </w:rPr>
              <w:t>improve by 40% the proportion of youth/adults with telecommunication/ICT skills</w:t>
            </w:r>
          </w:p>
        </w:tc>
      </w:tr>
    </w:tbl>
    <w:p w14:paraId="72AB419F" w14:textId="2F017696" w:rsidR="00117373" w:rsidRPr="00B64995" w:rsidRDefault="00117373" w:rsidP="00614D53"/>
    <w:p w14:paraId="662F1BDA" w14:textId="77777777" w:rsidR="00117373" w:rsidRPr="00B64995" w:rsidRDefault="00117373" w:rsidP="00614D53"/>
    <w:p w14:paraId="467F80E7" w14:textId="2BF6C0CA" w:rsidR="2FC157B6" w:rsidRPr="00B64995" w:rsidRDefault="00164084" w:rsidP="003C23CD">
      <w:pPr>
        <w:pStyle w:val="Heading5"/>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490"/>
      </w:tblGrid>
      <w:tr w:rsidR="00FE4C48" w:rsidRPr="00B64995" w14:paraId="6904BE81" w14:textId="77777777" w:rsidTr="6844BCB7">
        <w:tc>
          <w:tcPr>
            <w:tcW w:w="45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999FE9" w14:textId="77777777" w:rsidR="00FE4C48" w:rsidRPr="00B87922" w:rsidRDefault="00FE4C48" w:rsidP="00614D53">
            <w:pPr>
              <w:spacing w:after="40"/>
              <w:jc w:val="center"/>
              <w:rPr>
                <w:b/>
                <w:bCs/>
                <w:lang w:val="en-GB"/>
              </w:rPr>
            </w:pPr>
            <w:r w:rsidRPr="00B64995">
              <w:rPr>
                <w:b/>
                <w:bCs/>
              </w:rPr>
              <w:t xml:space="preserve">Target 2.1: On track </w:t>
            </w:r>
          </w:p>
        </w:tc>
        <w:tc>
          <w:tcPr>
            <w:tcW w:w="44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698A528" w14:textId="77777777" w:rsidR="00FE4C48" w:rsidRPr="00B87922" w:rsidRDefault="00FE4C48" w:rsidP="00614D53">
            <w:pPr>
              <w:spacing w:after="40"/>
              <w:jc w:val="center"/>
              <w:rPr>
                <w:b/>
                <w:bCs/>
                <w:lang w:val="en-GB"/>
              </w:rPr>
            </w:pPr>
            <w:r w:rsidRPr="00B64995">
              <w:rPr>
                <w:b/>
                <w:bCs/>
              </w:rPr>
              <w:t>Target 2.2: Off track</w:t>
            </w:r>
          </w:p>
        </w:tc>
      </w:tr>
      <w:tr w:rsidR="00FE4C48" w:rsidRPr="00B64995" w14:paraId="2FAAF50E" w14:textId="77777777" w:rsidTr="6844BCB7">
        <w:tc>
          <w:tcPr>
            <w:tcW w:w="4560" w:type="dxa"/>
            <w:tcBorders>
              <w:top w:val="single" w:sz="4" w:space="0" w:color="auto"/>
            </w:tcBorders>
          </w:tcPr>
          <w:p w14:paraId="760D45EF" w14:textId="77777777" w:rsidR="00FE4C48" w:rsidRPr="00B87922" w:rsidRDefault="7567885E" w:rsidP="003C23CD">
            <w:pPr>
              <w:spacing w:before="40" w:after="40"/>
              <w:rPr>
                <w:lang w:val="en-GB"/>
              </w:rPr>
            </w:pPr>
            <w:r w:rsidRPr="00166BCE">
              <w:rPr>
                <w:noProof/>
              </w:rPr>
              <w:drawing>
                <wp:inline distT="0" distB="0" distL="0" distR="0" wp14:anchorId="06B9C844" wp14:editId="5F21787A">
                  <wp:extent cx="2708399" cy="1628040"/>
                  <wp:effectExtent l="0" t="0" r="0" b="0"/>
                  <wp:docPr id="2385931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2708399" cy="1628040"/>
                          </a:xfrm>
                          <a:prstGeom prst="rect">
                            <a:avLst/>
                          </a:prstGeom>
                        </pic:spPr>
                      </pic:pic>
                    </a:graphicData>
                  </a:graphic>
                </wp:inline>
              </w:drawing>
            </w:r>
          </w:p>
        </w:tc>
        <w:tc>
          <w:tcPr>
            <w:tcW w:w="4456" w:type="dxa"/>
            <w:tcBorders>
              <w:top w:val="single" w:sz="4" w:space="0" w:color="auto"/>
            </w:tcBorders>
          </w:tcPr>
          <w:p w14:paraId="7640D151" w14:textId="77777777" w:rsidR="00FE4C48" w:rsidRPr="00B87922" w:rsidRDefault="7567885E" w:rsidP="003C23CD">
            <w:pPr>
              <w:spacing w:before="40" w:after="40"/>
              <w:rPr>
                <w:lang w:val="en-GB"/>
              </w:rPr>
            </w:pPr>
            <w:r w:rsidRPr="00166BCE">
              <w:rPr>
                <w:noProof/>
              </w:rPr>
              <w:drawing>
                <wp:inline distT="0" distB="0" distL="0" distR="0" wp14:anchorId="7F5E226A" wp14:editId="59052CC1">
                  <wp:extent cx="2688151" cy="1615869"/>
                  <wp:effectExtent l="0" t="0" r="0" b="3810"/>
                  <wp:docPr id="79167654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445" cstate="print">
                            <a:extLst>
                              <a:ext uri="{28A0092B-C50C-407E-A947-70E740481C1C}">
                                <a14:useLocalDpi xmlns:a14="http://schemas.microsoft.com/office/drawing/2010/main" val="0"/>
                              </a:ext>
                            </a:extLst>
                          </a:blip>
                          <a:stretch>
                            <a:fillRect/>
                          </a:stretch>
                        </pic:blipFill>
                        <pic:spPr>
                          <a:xfrm>
                            <a:off x="0" y="0"/>
                            <a:ext cx="2688151" cy="1615869"/>
                          </a:xfrm>
                          <a:prstGeom prst="rect">
                            <a:avLst/>
                          </a:prstGeom>
                        </pic:spPr>
                      </pic:pic>
                    </a:graphicData>
                  </a:graphic>
                </wp:inline>
              </w:drawing>
            </w:r>
          </w:p>
        </w:tc>
      </w:tr>
      <w:tr w:rsidR="00FE4C48" w:rsidRPr="00B64995" w14:paraId="5AC87604" w14:textId="77777777" w:rsidTr="6844BCB7">
        <w:tc>
          <w:tcPr>
            <w:tcW w:w="4560" w:type="dxa"/>
            <w:tcBorders>
              <w:bottom w:val="single" w:sz="4" w:space="0" w:color="auto"/>
            </w:tcBorders>
          </w:tcPr>
          <w:p w14:paraId="4C87F1D4" w14:textId="1DCF37AE" w:rsidR="00FE4C48" w:rsidRPr="00B87922" w:rsidRDefault="004F135B" w:rsidP="003C23CD">
            <w:pPr>
              <w:spacing w:after="120"/>
              <w:rPr>
                <w:b/>
                <w:bCs/>
                <w:lang w:val="en-GB"/>
              </w:rPr>
            </w:pPr>
            <w:r w:rsidRPr="00B64995">
              <w:rPr>
                <w:b/>
                <w:bCs/>
              </w:rPr>
              <w:t>Source: ITU</w:t>
            </w:r>
          </w:p>
        </w:tc>
        <w:tc>
          <w:tcPr>
            <w:tcW w:w="4456" w:type="dxa"/>
            <w:tcBorders>
              <w:bottom w:val="single" w:sz="4" w:space="0" w:color="auto"/>
            </w:tcBorders>
          </w:tcPr>
          <w:p w14:paraId="16552065" w14:textId="3197C0F0" w:rsidR="00FE4C48" w:rsidRPr="00B87922" w:rsidRDefault="004F135B" w:rsidP="003C23CD">
            <w:pPr>
              <w:spacing w:after="120"/>
              <w:rPr>
                <w:b/>
                <w:bCs/>
                <w:lang w:val="en-GB"/>
              </w:rPr>
            </w:pPr>
            <w:r w:rsidRPr="00B64995">
              <w:rPr>
                <w:b/>
                <w:bCs/>
              </w:rPr>
              <w:t>Source: ITU</w:t>
            </w:r>
          </w:p>
        </w:tc>
      </w:tr>
      <w:tr w:rsidR="00FE4C48" w:rsidRPr="00B64995" w14:paraId="1B418209" w14:textId="77777777" w:rsidTr="6844BCB7">
        <w:tc>
          <w:tcPr>
            <w:tcW w:w="45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64618D" w14:textId="77777777" w:rsidR="00FE4C48" w:rsidRPr="00B87922" w:rsidRDefault="00FE4C48" w:rsidP="00614D53">
            <w:pPr>
              <w:spacing w:after="40"/>
              <w:jc w:val="center"/>
              <w:rPr>
                <w:lang w:val="en-GB"/>
              </w:rPr>
            </w:pPr>
            <w:r w:rsidRPr="00B64995">
              <w:rPr>
                <w:b/>
                <w:bCs/>
              </w:rPr>
              <w:t xml:space="preserve">Target 2.3: On track </w:t>
            </w:r>
          </w:p>
        </w:tc>
        <w:tc>
          <w:tcPr>
            <w:tcW w:w="445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FF3FDB" w14:textId="77777777" w:rsidR="00FE4C48" w:rsidRPr="00B87922" w:rsidRDefault="00FE4C48" w:rsidP="00614D53">
            <w:pPr>
              <w:spacing w:after="40"/>
              <w:jc w:val="center"/>
              <w:rPr>
                <w:lang w:val="en-GB"/>
              </w:rPr>
            </w:pPr>
            <w:r w:rsidRPr="00B64995">
              <w:rPr>
                <w:b/>
                <w:bCs/>
              </w:rPr>
              <w:t>Target 2.4: Off track</w:t>
            </w:r>
          </w:p>
        </w:tc>
      </w:tr>
      <w:tr w:rsidR="00FE4C48" w:rsidRPr="00B64995" w14:paraId="1B970223" w14:textId="77777777" w:rsidTr="6844BCB7">
        <w:tc>
          <w:tcPr>
            <w:tcW w:w="4560" w:type="dxa"/>
            <w:tcBorders>
              <w:top w:val="single" w:sz="4" w:space="0" w:color="auto"/>
            </w:tcBorders>
          </w:tcPr>
          <w:p w14:paraId="3B266611" w14:textId="77777777" w:rsidR="00FE4C48" w:rsidRPr="00B87922" w:rsidRDefault="7567885E" w:rsidP="003C23CD">
            <w:pPr>
              <w:spacing w:before="40" w:after="40"/>
              <w:rPr>
                <w:lang w:val="en-GB"/>
              </w:rPr>
            </w:pPr>
            <w:r w:rsidRPr="00166BCE">
              <w:rPr>
                <w:noProof/>
              </w:rPr>
              <w:drawing>
                <wp:inline distT="0" distB="0" distL="0" distR="0" wp14:anchorId="1DFB0F6F" wp14:editId="069891F3">
                  <wp:extent cx="2747418" cy="1651495"/>
                  <wp:effectExtent l="0" t="0" r="0" b="6350"/>
                  <wp:docPr id="95735073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46" cstate="print">
                            <a:extLst>
                              <a:ext uri="{28A0092B-C50C-407E-A947-70E740481C1C}">
                                <a14:useLocalDpi xmlns:a14="http://schemas.microsoft.com/office/drawing/2010/main" val="0"/>
                              </a:ext>
                            </a:extLst>
                          </a:blip>
                          <a:stretch>
                            <a:fillRect/>
                          </a:stretch>
                        </pic:blipFill>
                        <pic:spPr>
                          <a:xfrm>
                            <a:off x="0" y="0"/>
                            <a:ext cx="2747418" cy="1651495"/>
                          </a:xfrm>
                          <a:prstGeom prst="rect">
                            <a:avLst/>
                          </a:prstGeom>
                        </pic:spPr>
                      </pic:pic>
                    </a:graphicData>
                  </a:graphic>
                </wp:inline>
              </w:drawing>
            </w:r>
          </w:p>
        </w:tc>
        <w:tc>
          <w:tcPr>
            <w:tcW w:w="4456" w:type="dxa"/>
            <w:tcBorders>
              <w:top w:val="single" w:sz="4" w:space="0" w:color="auto"/>
            </w:tcBorders>
          </w:tcPr>
          <w:p w14:paraId="4B266900" w14:textId="77777777" w:rsidR="00FE4C48" w:rsidRPr="00B87922" w:rsidRDefault="7567885E" w:rsidP="003C23CD">
            <w:pPr>
              <w:spacing w:before="40" w:after="40"/>
              <w:rPr>
                <w:lang w:val="en-GB"/>
              </w:rPr>
            </w:pPr>
            <w:r w:rsidRPr="00166BCE">
              <w:rPr>
                <w:noProof/>
              </w:rPr>
              <w:drawing>
                <wp:inline distT="0" distB="0" distL="0" distR="0" wp14:anchorId="65C58515" wp14:editId="420A0F2C">
                  <wp:extent cx="2715747" cy="1632457"/>
                  <wp:effectExtent l="0" t="0" r="8890" b="6350"/>
                  <wp:docPr id="11912595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447" cstate="print">
                            <a:extLst>
                              <a:ext uri="{28A0092B-C50C-407E-A947-70E740481C1C}">
                                <a14:useLocalDpi xmlns:a14="http://schemas.microsoft.com/office/drawing/2010/main" val="0"/>
                              </a:ext>
                            </a:extLst>
                          </a:blip>
                          <a:stretch>
                            <a:fillRect/>
                          </a:stretch>
                        </pic:blipFill>
                        <pic:spPr>
                          <a:xfrm>
                            <a:off x="0" y="0"/>
                            <a:ext cx="2715747" cy="1632457"/>
                          </a:xfrm>
                          <a:prstGeom prst="rect">
                            <a:avLst/>
                          </a:prstGeom>
                        </pic:spPr>
                      </pic:pic>
                    </a:graphicData>
                  </a:graphic>
                </wp:inline>
              </w:drawing>
            </w:r>
          </w:p>
        </w:tc>
      </w:tr>
      <w:tr w:rsidR="00FE4C48" w:rsidRPr="00B64995" w14:paraId="078AF6BA" w14:textId="77777777" w:rsidTr="6844BCB7">
        <w:tc>
          <w:tcPr>
            <w:tcW w:w="4560" w:type="dxa"/>
          </w:tcPr>
          <w:p w14:paraId="0B39CA17" w14:textId="4A693B51" w:rsidR="00117373" w:rsidRPr="00B87922" w:rsidRDefault="00CD256A" w:rsidP="00EB3635">
            <w:pPr>
              <w:rPr>
                <w:b/>
                <w:bCs/>
                <w:lang w:val="en-GB"/>
              </w:rPr>
            </w:pPr>
            <w:r w:rsidRPr="00B64995">
              <w:rPr>
                <w:b/>
                <w:bCs/>
              </w:rPr>
              <w:t>Source: ITU</w:t>
            </w:r>
          </w:p>
        </w:tc>
        <w:tc>
          <w:tcPr>
            <w:tcW w:w="4456" w:type="dxa"/>
          </w:tcPr>
          <w:p w14:paraId="430A91DF" w14:textId="42155FAD" w:rsidR="00FE4C48" w:rsidRPr="00B87922" w:rsidRDefault="00CD256A" w:rsidP="00EB3635">
            <w:pPr>
              <w:rPr>
                <w:b/>
                <w:bCs/>
                <w:lang w:val="en-GB"/>
              </w:rPr>
            </w:pPr>
            <w:r w:rsidRPr="00B64995">
              <w:rPr>
                <w:b/>
                <w:bCs/>
              </w:rPr>
              <w:t>Source: ITU</w:t>
            </w:r>
          </w:p>
        </w:tc>
      </w:tr>
    </w:tbl>
    <w:p w14:paraId="5DC9DBFF" w14:textId="77777777" w:rsidR="00EB3635" w:rsidRPr="00B64995" w:rsidRDefault="00EB363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5"/>
        <w:gridCol w:w="4488"/>
      </w:tblGrid>
      <w:tr w:rsidR="006B7FA0" w:rsidRPr="00B64995" w14:paraId="6DE4A22F" w14:textId="77777777" w:rsidTr="00347E48">
        <w:tc>
          <w:tcPr>
            <w:tcW w:w="453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27E175" w14:textId="0D7A2578" w:rsidR="00FE4C48" w:rsidRPr="00B87922" w:rsidRDefault="00FE4C48" w:rsidP="003C23CD">
            <w:pPr>
              <w:pageBreakBefore/>
              <w:spacing w:after="40"/>
              <w:jc w:val="center"/>
              <w:rPr>
                <w:b/>
                <w:bCs/>
                <w:lang w:val="en-GB"/>
              </w:rPr>
            </w:pPr>
            <w:r w:rsidRPr="00B64995">
              <w:rPr>
                <w:b/>
                <w:bCs/>
              </w:rPr>
              <w:lastRenderedPageBreak/>
              <w:t>Target 2.5:</w:t>
            </w:r>
            <w:r w:rsidR="002B5C5A" w:rsidRPr="00B64995">
              <w:rPr>
                <w:b/>
                <w:bCs/>
              </w:rPr>
              <w:t xml:space="preserve"> </w:t>
            </w:r>
            <w:r w:rsidRPr="00B64995">
              <w:rPr>
                <w:b/>
                <w:bCs/>
              </w:rPr>
              <w:t>Achieved</w:t>
            </w:r>
          </w:p>
        </w:tc>
        <w:tc>
          <w:tcPr>
            <w:tcW w:w="448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A0145EF" w14:textId="77777777" w:rsidR="00FE4C48" w:rsidRPr="00B87922" w:rsidRDefault="00FE4C48" w:rsidP="00614D53">
            <w:pPr>
              <w:spacing w:after="40"/>
              <w:jc w:val="center"/>
              <w:rPr>
                <w:b/>
                <w:bCs/>
                <w:lang w:val="en-GB"/>
              </w:rPr>
            </w:pPr>
            <w:r w:rsidRPr="00B64995">
              <w:rPr>
                <w:b/>
                <w:bCs/>
              </w:rPr>
              <w:t xml:space="preserve">Target 2.6: On track </w:t>
            </w:r>
          </w:p>
        </w:tc>
      </w:tr>
      <w:tr w:rsidR="006B7FA0" w:rsidRPr="00B64995" w14:paraId="720AF0CB" w14:textId="77777777" w:rsidTr="00347E48">
        <w:tc>
          <w:tcPr>
            <w:tcW w:w="4530" w:type="dxa"/>
            <w:gridSpan w:val="2"/>
            <w:tcBorders>
              <w:top w:val="single" w:sz="4" w:space="0" w:color="auto"/>
            </w:tcBorders>
          </w:tcPr>
          <w:p w14:paraId="772EE666" w14:textId="77777777" w:rsidR="00FE4C48" w:rsidRPr="00B87922" w:rsidRDefault="74FB1726" w:rsidP="00614D53">
            <w:pPr>
              <w:spacing w:after="40"/>
              <w:rPr>
                <w:lang w:val="en-GB"/>
              </w:rPr>
            </w:pPr>
            <w:r w:rsidRPr="00166BCE">
              <w:rPr>
                <w:noProof/>
              </w:rPr>
              <w:drawing>
                <wp:inline distT="0" distB="0" distL="0" distR="0" wp14:anchorId="46DAF415" wp14:editId="642700EA">
                  <wp:extent cx="2766703" cy="1671795"/>
                  <wp:effectExtent l="0" t="0" r="0" b="5080"/>
                  <wp:docPr id="201629444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448">
                            <a:extLst>
                              <a:ext uri="{28A0092B-C50C-407E-A947-70E740481C1C}">
                                <a14:useLocalDpi xmlns:a14="http://schemas.microsoft.com/office/drawing/2010/main" val="0"/>
                              </a:ext>
                            </a:extLst>
                          </a:blip>
                          <a:stretch>
                            <a:fillRect/>
                          </a:stretch>
                        </pic:blipFill>
                        <pic:spPr>
                          <a:xfrm>
                            <a:off x="0" y="0"/>
                            <a:ext cx="2766703" cy="1671795"/>
                          </a:xfrm>
                          <a:prstGeom prst="rect">
                            <a:avLst/>
                          </a:prstGeom>
                        </pic:spPr>
                      </pic:pic>
                    </a:graphicData>
                  </a:graphic>
                </wp:inline>
              </w:drawing>
            </w:r>
          </w:p>
        </w:tc>
        <w:tc>
          <w:tcPr>
            <w:tcW w:w="4486" w:type="dxa"/>
            <w:tcBorders>
              <w:top w:val="single" w:sz="4" w:space="0" w:color="auto"/>
            </w:tcBorders>
          </w:tcPr>
          <w:p w14:paraId="5D49C4AC" w14:textId="77777777" w:rsidR="00FE4C48" w:rsidRPr="00B87922" w:rsidRDefault="7567885E" w:rsidP="00614D53">
            <w:pPr>
              <w:spacing w:after="40"/>
              <w:rPr>
                <w:lang w:val="en-GB"/>
              </w:rPr>
            </w:pPr>
            <w:r w:rsidRPr="00166BCE">
              <w:rPr>
                <w:noProof/>
              </w:rPr>
              <w:drawing>
                <wp:inline distT="0" distB="0" distL="0" distR="0" wp14:anchorId="25E9CC58" wp14:editId="140FF31C">
                  <wp:extent cx="2668396" cy="1603994"/>
                  <wp:effectExtent l="0" t="0" r="0" b="0"/>
                  <wp:docPr id="166722670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2668396" cy="1603994"/>
                          </a:xfrm>
                          <a:prstGeom prst="rect">
                            <a:avLst/>
                          </a:prstGeom>
                        </pic:spPr>
                      </pic:pic>
                    </a:graphicData>
                  </a:graphic>
                </wp:inline>
              </w:drawing>
            </w:r>
          </w:p>
        </w:tc>
      </w:tr>
      <w:tr w:rsidR="006B7FA0" w:rsidRPr="00B64995" w14:paraId="4FFA0603" w14:textId="77777777" w:rsidTr="00347E48">
        <w:tc>
          <w:tcPr>
            <w:tcW w:w="4530" w:type="dxa"/>
            <w:gridSpan w:val="2"/>
            <w:tcBorders>
              <w:bottom w:val="single" w:sz="4" w:space="0" w:color="auto"/>
            </w:tcBorders>
          </w:tcPr>
          <w:p w14:paraId="20F6CAD8" w14:textId="77777777" w:rsidR="00CD256A" w:rsidRPr="00B87922" w:rsidRDefault="00CD256A" w:rsidP="00CD256A">
            <w:pPr>
              <w:spacing w:after="40"/>
              <w:rPr>
                <w:b/>
                <w:bCs/>
                <w:lang w:val="en-GB"/>
              </w:rPr>
            </w:pPr>
            <w:r w:rsidRPr="00B64995">
              <w:rPr>
                <w:b/>
                <w:bCs/>
              </w:rPr>
              <w:t>Source: ITU</w:t>
            </w:r>
          </w:p>
          <w:p w14:paraId="28C494AF" w14:textId="77777777" w:rsidR="00FE4C48" w:rsidRPr="00B87922" w:rsidRDefault="00FE4C48" w:rsidP="00614D53">
            <w:pPr>
              <w:spacing w:after="40"/>
              <w:rPr>
                <w:lang w:val="en-GB"/>
              </w:rPr>
            </w:pPr>
          </w:p>
        </w:tc>
        <w:tc>
          <w:tcPr>
            <w:tcW w:w="4486" w:type="dxa"/>
            <w:tcBorders>
              <w:bottom w:val="single" w:sz="4" w:space="0" w:color="auto"/>
            </w:tcBorders>
          </w:tcPr>
          <w:p w14:paraId="79F66ECD" w14:textId="77777777" w:rsidR="00CD256A" w:rsidRPr="00B87922" w:rsidRDefault="00CD256A" w:rsidP="00CD256A">
            <w:pPr>
              <w:spacing w:after="40"/>
              <w:rPr>
                <w:b/>
                <w:bCs/>
                <w:lang w:val="en-GB"/>
              </w:rPr>
            </w:pPr>
            <w:r w:rsidRPr="00B64995">
              <w:rPr>
                <w:b/>
                <w:bCs/>
              </w:rPr>
              <w:t>Source: ITU</w:t>
            </w:r>
          </w:p>
          <w:p w14:paraId="1888B7A5" w14:textId="77777777" w:rsidR="00FE4C48" w:rsidRPr="00B87922" w:rsidRDefault="00FE4C48" w:rsidP="00614D53">
            <w:pPr>
              <w:spacing w:after="40"/>
              <w:rPr>
                <w:lang w:val="en-GB"/>
              </w:rPr>
            </w:pPr>
          </w:p>
        </w:tc>
      </w:tr>
      <w:tr w:rsidR="00FE4C48" w:rsidRPr="00B64995" w14:paraId="471D6AB3" w14:textId="77777777" w:rsidTr="6844BCB7">
        <w:tc>
          <w:tcPr>
            <w:tcW w:w="9016"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5C58F76" w14:textId="2708D035" w:rsidR="00FE4C48" w:rsidRPr="00B87922" w:rsidRDefault="00FE4C48" w:rsidP="00614D53">
            <w:pPr>
              <w:spacing w:after="40"/>
              <w:jc w:val="center"/>
              <w:rPr>
                <w:b/>
                <w:bCs/>
                <w:lang w:val="en-GB"/>
              </w:rPr>
            </w:pPr>
            <w:r w:rsidRPr="00B64995">
              <w:rPr>
                <w:b/>
                <w:bCs/>
              </w:rPr>
              <w:t>Target 2.7:</w:t>
            </w:r>
            <w:r w:rsidR="002B5C5A" w:rsidRPr="00B64995">
              <w:rPr>
                <w:b/>
                <w:bCs/>
              </w:rPr>
              <w:t xml:space="preserve"> </w:t>
            </w:r>
            <w:r w:rsidR="00007CB0" w:rsidRPr="00B64995">
              <w:rPr>
                <w:b/>
                <w:bCs/>
              </w:rPr>
              <w:t>O</w:t>
            </w:r>
            <w:r w:rsidR="00007CB0">
              <w:rPr>
                <w:b/>
                <w:bCs/>
              </w:rPr>
              <w:t>ff</w:t>
            </w:r>
            <w:r w:rsidR="00007CB0" w:rsidRPr="00B64995">
              <w:rPr>
                <w:b/>
                <w:bCs/>
              </w:rPr>
              <w:t xml:space="preserve"> </w:t>
            </w:r>
            <w:r w:rsidRPr="00B64995">
              <w:rPr>
                <w:b/>
                <w:bCs/>
              </w:rPr>
              <w:t>track</w:t>
            </w:r>
          </w:p>
        </w:tc>
      </w:tr>
      <w:tr w:rsidR="006B7FA0" w:rsidRPr="00B64995" w14:paraId="47E9F01B" w14:textId="77777777" w:rsidTr="00347E48">
        <w:tc>
          <w:tcPr>
            <w:tcW w:w="4530" w:type="dxa"/>
            <w:gridSpan w:val="2"/>
            <w:tcBorders>
              <w:top w:val="single" w:sz="4" w:space="0" w:color="auto"/>
              <w:bottom w:val="single" w:sz="4" w:space="0" w:color="auto"/>
            </w:tcBorders>
          </w:tcPr>
          <w:p w14:paraId="750CCA5E" w14:textId="18284CEF" w:rsidR="00DA5886" w:rsidRDefault="00DA5886" w:rsidP="00EB3635">
            <w:pPr>
              <w:spacing w:before="40" w:after="40"/>
              <w:rPr>
                <w:lang w:val="en-GB"/>
              </w:rPr>
            </w:pPr>
          </w:p>
          <w:p w14:paraId="4E931DC8" w14:textId="7AFDC8C9" w:rsidR="00FE4C48" w:rsidRPr="00B87922" w:rsidRDefault="00DA5886" w:rsidP="00EB3635">
            <w:pPr>
              <w:spacing w:before="40" w:after="40"/>
              <w:rPr>
                <w:lang w:val="en-GB"/>
              </w:rPr>
            </w:pPr>
            <w:r>
              <w:rPr>
                <w:noProof/>
              </w:rPr>
              <w:drawing>
                <wp:inline distT="0" distB="0" distL="0" distR="0" wp14:anchorId="340839D2" wp14:editId="45ED8CC7">
                  <wp:extent cx="2639285" cy="1585913"/>
                  <wp:effectExtent l="0" t="0" r="8890" b="0"/>
                  <wp:docPr id="1837948294" name="Picture 183794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644880" cy="1589275"/>
                          </a:xfrm>
                          <a:prstGeom prst="rect">
                            <a:avLst/>
                          </a:prstGeom>
                          <a:noFill/>
                        </pic:spPr>
                      </pic:pic>
                    </a:graphicData>
                  </a:graphic>
                </wp:inline>
              </w:drawing>
            </w:r>
          </w:p>
        </w:tc>
        <w:tc>
          <w:tcPr>
            <w:tcW w:w="4486" w:type="dxa"/>
            <w:tcBorders>
              <w:top w:val="single" w:sz="4" w:space="0" w:color="auto"/>
              <w:bottom w:val="single" w:sz="4" w:space="0" w:color="auto"/>
            </w:tcBorders>
          </w:tcPr>
          <w:p w14:paraId="643B5AD7" w14:textId="6705A9DE" w:rsidR="00DA5886" w:rsidRDefault="00DA5886" w:rsidP="00EB3635">
            <w:pPr>
              <w:spacing w:before="40" w:after="40"/>
              <w:rPr>
                <w:lang w:val="en-GB"/>
              </w:rPr>
            </w:pPr>
          </w:p>
          <w:p w14:paraId="7CEA69CE" w14:textId="35499DE6" w:rsidR="00FE4C48" w:rsidRPr="00B87922" w:rsidRDefault="00914B84" w:rsidP="00EB3635">
            <w:pPr>
              <w:spacing w:before="40" w:after="40"/>
              <w:rPr>
                <w:lang w:val="en-GB"/>
              </w:rPr>
            </w:pPr>
            <w:r>
              <w:rPr>
                <w:noProof/>
              </w:rPr>
              <w:drawing>
                <wp:inline distT="0" distB="0" distL="0" distR="0" wp14:anchorId="65F6025B" wp14:editId="05A6FD84">
                  <wp:extent cx="2676733" cy="1523365"/>
                  <wp:effectExtent l="0" t="0" r="9525" b="635"/>
                  <wp:docPr id="1837948293" name="Picture 183794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684394" cy="1527725"/>
                          </a:xfrm>
                          <a:prstGeom prst="rect">
                            <a:avLst/>
                          </a:prstGeom>
                          <a:noFill/>
                        </pic:spPr>
                      </pic:pic>
                    </a:graphicData>
                  </a:graphic>
                </wp:inline>
              </w:drawing>
            </w:r>
          </w:p>
        </w:tc>
      </w:tr>
      <w:tr w:rsidR="006B7FA0" w:rsidRPr="00B64995" w14:paraId="5E2033C0" w14:textId="77777777" w:rsidTr="00347E48">
        <w:tc>
          <w:tcPr>
            <w:tcW w:w="4530" w:type="dxa"/>
            <w:gridSpan w:val="2"/>
            <w:tcBorders>
              <w:top w:val="single" w:sz="4" w:space="0" w:color="auto"/>
              <w:bottom w:val="single" w:sz="4" w:space="0" w:color="auto"/>
            </w:tcBorders>
          </w:tcPr>
          <w:p w14:paraId="74AD27C7" w14:textId="25D18FE8" w:rsidR="00FE4C48" w:rsidRPr="00B87922" w:rsidRDefault="00CD256A" w:rsidP="003C23CD">
            <w:pPr>
              <w:spacing w:after="120"/>
              <w:rPr>
                <w:b/>
                <w:bCs/>
                <w:lang w:val="en-GB"/>
              </w:rPr>
            </w:pPr>
            <w:r w:rsidRPr="00B64995">
              <w:rPr>
                <w:b/>
                <w:bCs/>
              </w:rPr>
              <w:t>Source: ITU</w:t>
            </w:r>
          </w:p>
        </w:tc>
        <w:tc>
          <w:tcPr>
            <w:tcW w:w="4486" w:type="dxa"/>
            <w:tcBorders>
              <w:top w:val="single" w:sz="4" w:space="0" w:color="auto"/>
              <w:bottom w:val="single" w:sz="4" w:space="0" w:color="auto"/>
            </w:tcBorders>
          </w:tcPr>
          <w:p w14:paraId="31DBF3AE" w14:textId="738A6D27" w:rsidR="00FE4C48" w:rsidRPr="00B87922" w:rsidRDefault="00CD256A" w:rsidP="003C23CD">
            <w:pPr>
              <w:spacing w:after="120"/>
              <w:rPr>
                <w:b/>
                <w:bCs/>
                <w:lang w:val="en-GB"/>
              </w:rPr>
            </w:pPr>
            <w:r w:rsidRPr="00B64995">
              <w:rPr>
                <w:b/>
                <w:bCs/>
              </w:rPr>
              <w:t>Source: ITU</w:t>
            </w:r>
          </w:p>
        </w:tc>
      </w:tr>
      <w:tr w:rsidR="00FE4C48" w:rsidRPr="00B64995" w14:paraId="61245C84" w14:textId="77777777" w:rsidTr="6844BCB7">
        <w:tc>
          <w:tcPr>
            <w:tcW w:w="9016"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6E28EA" w14:textId="77777777" w:rsidR="00FE4C48" w:rsidRPr="00B87922" w:rsidRDefault="00FE4C48" w:rsidP="003C23CD">
            <w:pPr>
              <w:spacing w:after="40"/>
              <w:jc w:val="center"/>
              <w:rPr>
                <w:b/>
                <w:bCs/>
                <w:lang w:val="en-GB"/>
              </w:rPr>
            </w:pPr>
            <w:r w:rsidRPr="00B64995">
              <w:rPr>
                <w:b/>
                <w:bCs/>
              </w:rPr>
              <w:t>Target 2.8: Off track</w:t>
            </w:r>
          </w:p>
        </w:tc>
      </w:tr>
      <w:tr w:rsidR="006B7FA0" w:rsidRPr="00B64995" w14:paraId="6575CBF9" w14:textId="77777777" w:rsidTr="00347E48">
        <w:tc>
          <w:tcPr>
            <w:tcW w:w="4530" w:type="dxa"/>
            <w:gridSpan w:val="2"/>
            <w:tcBorders>
              <w:top w:val="single" w:sz="4" w:space="0" w:color="auto"/>
            </w:tcBorders>
          </w:tcPr>
          <w:p w14:paraId="4AFE270B" w14:textId="19A81F9F" w:rsidR="00FE4C48" w:rsidRPr="00B87922" w:rsidRDefault="00B4374E" w:rsidP="00EB3635">
            <w:pPr>
              <w:spacing w:before="40" w:after="40"/>
              <w:rPr>
                <w:b/>
                <w:bCs/>
                <w:lang w:val="en-GB"/>
              </w:rPr>
            </w:pPr>
            <w:r>
              <w:rPr>
                <w:b/>
                <w:bCs/>
                <w:noProof/>
              </w:rPr>
              <w:drawing>
                <wp:inline distT="0" distB="0" distL="0" distR="0" wp14:anchorId="1327DE00" wp14:editId="776BE07F">
                  <wp:extent cx="2771161" cy="1704975"/>
                  <wp:effectExtent l="0" t="0" r="0" b="0"/>
                  <wp:docPr id="1193504122" name="Picture 119350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781562" cy="1711374"/>
                          </a:xfrm>
                          <a:prstGeom prst="rect">
                            <a:avLst/>
                          </a:prstGeom>
                          <a:noFill/>
                        </pic:spPr>
                      </pic:pic>
                    </a:graphicData>
                  </a:graphic>
                </wp:inline>
              </w:drawing>
            </w:r>
          </w:p>
          <w:p w14:paraId="132CAAD7" w14:textId="77777777" w:rsidR="00FE4C48" w:rsidRPr="00B87922" w:rsidRDefault="00FE4C48" w:rsidP="00EB3635">
            <w:pPr>
              <w:spacing w:before="40" w:after="40"/>
              <w:jc w:val="center"/>
              <w:rPr>
                <w:b/>
                <w:bCs/>
                <w:lang w:val="en-GB"/>
              </w:rPr>
            </w:pPr>
          </w:p>
          <w:p w14:paraId="33A2A56A" w14:textId="77777777" w:rsidR="00FE4C48" w:rsidRPr="00B87922" w:rsidRDefault="00FE4C48" w:rsidP="00EB3635">
            <w:pPr>
              <w:spacing w:before="40" w:after="40"/>
              <w:jc w:val="center"/>
              <w:rPr>
                <w:b/>
                <w:bCs/>
                <w:lang w:val="en-GB"/>
              </w:rPr>
            </w:pPr>
          </w:p>
          <w:tbl>
            <w:tblPr>
              <w:tblStyle w:val="TableGrid"/>
              <w:tblW w:w="0" w:type="auto"/>
              <w:tblLook w:val="04A0" w:firstRow="1" w:lastRow="0" w:firstColumn="1" w:lastColumn="0" w:noHBand="0" w:noVBand="1"/>
            </w:tblPr>
            <w:tblGrid>
              <w:gridCol w:w="4302"/>
            </w:tblGrid>
            <w:tr w:rsidR="00FE4C48" w:rsidRPr="00B64995" w14:paraId="5E9F5C20" w14:textId="77777777" w:rsidTr="00462ED9">
              <w:tc>
                <w:tcPr>
                  <w:tcW w:w="4344" w:type="dxa"/>
                </w:tcPr>
                <w:p w14:paraId="6A3AE065" w14:textId="77777777" w:rsidR="0049723A" w:rsidRPr="00B87922" w:rsidRDefault="00FE4C48" w:rsidP="00EB3635">
                  <w:pPr>
                    <w:spacing w:before="40" w:after="40"/>
                    <w:jc w:val="center"/>
                    <w:rPr>
                      <w:b/>
                      <w:bCs/>
                      <w:lang w:val="en-GB"/>
                    </w:rPr>
                  </w:pPr>
                  <w:r w:rsidRPr="00B64995">
                    <w:rPr>
                      <w:b/>
                      <w:bCs/>
                      <w:color w:val="FF0000"/>
                    </w:rPr>
                    <w:t xml:space="preserve">New! </w:t>
                  </w:r>
                  <w:r w:rsidRPr="00B64995">
                    <w:rPr>
                      <w:b/>
                      <w:bCs/>
                    </w:rPr>
                    <w:t>- Mobile ownership per gender</w:t>
                  </w:r>
                </w:p>
                <w:p w14:paraId="71E5C1C7" w14:textId="6E2706C0" w:rsidR="00FE4C48" w:rsidRPr="00B87922" w:rsidRDefault="00FE4C48" w:rsidP="00EB3635">
                  <w:pPr>
                    <w:spacing w:before="40" w:after="40"/>
                    <w:jc w:val="center"/>
                    <w:rPr>
                      <w:b/>
                      <w:bCs/>
                      <w:lang w:val="en-GB"/>
                    </w:rPr>
                  </w:pPr>
                  <w:r w:rsidRPr="00B64995">
                    <w:rPr>
                      <w:b/>
                      <w:bCs/>
                    </w:rPr>
                    <w:t>World – 2019</w:t>
                  </w:r>
                </w:p>
                <w:p w14:paraId="1647E16A" w14:textId="77777777" w:rsidR="00FE4C48" w:rsidRPr="00B87922" w:rsidRDefault="00FE4C48" w:rsidP="00EB3635">
                  <w:pPr>
                    <w:spacing w:before="40" w:after="40"/>
                    <w:jc w:val="center"/>
                    <w:rPr>
                      <w:b/>
                      <w:bCs/>
                      <w:lang w:val="en-GB"/>
                    </w:rPr>
                  </w:pPr>
                  <w:r w:rsidRPr="00B64995">
                    <w:t xml:space="preserve">For the 59 countries for which data are available, there is a </w:t>
                  </w:r>
                  <w:r w:rsidRPr="00B64995">
                    <w:rPr>
                      <w:b/>
                      <w:bCs/>
                    </w:rPr>
                    <w:t>6.6 percentage</w:t>
                  </w:r>
                  <w:r w:rsidRPr="00B64995">
                    <w:t xml:space="preserve"> point difference between man and women owning a mobile phone.</w:t>
                  </w:r>
                </w:p>
              </w:tc>
            </w:tr>
          </w:tbl>
          <w:p w14:paraId="229E0F71" w14:textId="77777777" w:rsidR="00FE4C48" w:rsidRPr="00B87922" w:rsidRDefault="00FE4C48" w:rsidP="00EB3635">
            <w:pPr>
              <w:spacing w:before="40" w:after="40"/>
              <w:rPr>
                <w:lang w:val="en-GB"/>
              </w:rPr>
            </w:pPr>
          </w:p>
        </w:tc>
        <w:tc>
          <w:tcPr>
            <w:tcW w:w="4486" w:type="dxa"/>
          </w:tcPr>
          <w:p w14:paraId="2656A7F3" w14:textId="77777777" w:rsidR="00FE4C48" w:rsidRPr="00B87922" w:rsidRDefault="00FE4C48" w:rsidP="00EB3635">
            <w:pPr>
              <w:spacing w:before="40" w:after="40"/>
              <w:jc w:val="center"/>
              <w:rPr>
                <w:b/>
                <w:bCs/>
                <w:lang w:val="en-GB"/>
              </w:rPr>
            </w:pPr>
          </w:p>
        </w:tc>
      </w:tr>
      <w:tr w:rsidR="006B7FA0" w:rsidRPr="00B64995" w14:paraId="67356816" w14:textId="77777777" w:rsidTr="00347E48">
        <w:tc>
          <w:tcPr>
            <w:tcW w:w="4530" w:type="dxa"/>
            <w:gridSpan w:val="2"/>
          </w:tcPr>
          <w:p w14:paraId="731F0039" w14:textId="0CA58103" w:rsidR="00117373" w:rsidRPr="00B87922" w:rsidRDefault="00CD256A" w:rsidP="003C23CD">
            <w:pPr>
              <w:spacing w:after="120"/>
              <w:rPr>
                <w:b/>
                <w:bCs/>
                <w:lang w:val="en-GB"/>
              </w:rPr>
            </w:pPr>
            <w:r w:rsidRPr="00B64995">
              <w:rPr>
                <w:b/>
                <w:bCs/>
              </w:rPr>
              <w:t>Source: ITU</w:t>
            </w:r>
          </w:p>
        </w:tc>
        <w:tc>
          <w:tcPr>
            <w:tcW w:w="4486" w:type="dxa"/>
          </w:tcPr>
          <w:p w14:paraId="075872B6" w14:textId="175E9254" w:rsidR="00FE4C48" w:rsidRPr="00B87922" w:rsidRDefault="00FE4C48" w:rsidP="003C23CD">
            <w:pPr>
              <w:spacing w:after="120"/>
              <w:rPr>
                <w:b/>
                <w:bCs/>
                <w:lang w:val="en-GB"/>
              </w:rPr>
            </w:pPr>
          </w:p>
        </w:tc>
      </w:tr>
      <w:tr w:rsidR="006B7FA0" w:rsidRPr="00B64995" w14:paraId="04DCE34F" w14:textId="77777777" w:rsidTr="00347E48">
        <w:tc>
          <w:tcPr>
            <w:tcW w:w="4530" w:type="dxa"/>
            <w:gridSpan w:val="2"/>
          </w:tcPr>
          <w:p w14:paraId="0E7535A8" w14:textId="77777777" w:rsidR="006B7FA0" w:rsidRPr="00B64995" w:rsidRDefault="006B7FA0" w:rsidP="003C23CD">
            <w:pPr>
              <w:spacing w:after="120"/>
              <w:rPr>
                <w:b/>
                <w:bCs/>
              </w:rPr>
            </w:pPr>
          </w:p>
        </w:tc>
        <w:tc>
          <w:tcPr>
            <w:tcW w:w="4486" w:type="dxa"/>
          </w:tcPr>
          <w:p w14:paraId="41982554" w14:textId="77777777" w:rsidR="006B7FA0" w:rsidRPr="00B64995" w:rsidRDefault="006B7FA0" w:rsidP="003C23CD">
            <w:pPr>
              <w:spacing w:after="120"/>
              <w:rPr>
                <w:b/>
                <w:bCs/>
              </w:rPr>
            </w:pPr>
          </w:p>
        </w:tc>
      </w:tr>
      <w:tr w:rsidR="006B7FA0" w14:paraId="22599C79" w14:textId="77777777" w:rsidTr="00347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2" w:type="dxa"/>
          </w:tcPr>
          <w:p w14:paraId="796CB0AD" w14:textId="0C5D7D56" w:rsidR="00BE2692" w:rsidRDefault="00BE2692">
            <w:r>
              <w:rPr>
                <w:noProof/>
              </w:rPr>
              <w:lastRenderedPageBreak/>
              <w:drawing>
                <wp:inline distT="0" distB="0" distL="0" distR="0" wp14:anchorId="1116C73A" wp14:editId="21CEF554">
                  <wp:extent cx="2635227" cy="1802130"/>
                  <wp:effectExtent l="0" t="0" r="0" b="7620"/>
                  <wp:docPr id="1193504123" name="Picture 119350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648945" cy="1811511"/>
                          </a:xfrm>
                          <a:prstGeom prst="rect">
                            <a:avLst/>
                          </a:prstGeom>
                          <a:noFill/>
                        </pic:spPr>
                      </pic:pic>
                    </a:graphicData>
                  </a:graphic>
                </wp:inline>
              </w:drawing>
            </w:r>
          </w:p>
        </w:tc>
        <w:tc>
          <w:tcPr>
            <w:tcW w:w="4534" w:type="dxa"/>
            <w:gridSpan w:val="2"/>
          </w:tcPr>
          <w:p w14:paraId="59C2D45B" w14:textId="26F164D1" w:rsidR="00BE2692" w:rsidRDefault="006B7FA0">
            <w:r>
              <w:rPr>
                <w:noProof/>
              </w:rPr>
              <w:drawing>
                <wp:inline distT="0" distB="0" distL="0" distR="0" wp14:anchorId="381F71C4" wp14:editId="3CA86F82">
                  <wp:extent cx="2773767" cy="1795463"/>
                  <wp:effectExtent l="0" t="0" r="7620" b="0"/>
                  <wp:docPr id="1193504124" name="Picture 119350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793140" cy="1808003"/>
                          </a:xfrm>
                          <a:prstGeom prst="rect">
                            <a:avLst/>
                          </a:prstGeom>
                          <a:noFill/>
                        </pic:spPr>
                      </pic:pic>
                    </a:graphicData>
                  </a:graphic>
                </wp:inline>
              </w:drawing>
            </w:r>
          </w:p>
        </w:tc>
      </w:tr>
    </w:tbl>
    <w:p w14:paraId="4B46E0E6" w14:textId="471DF87F" w:rsidR="00884522" w:rsidRPr="00B64995" w:rsidRDefault="00347E48">
      <w:r w:rsidRPr="00570F0C">
        <w:rPr>
          <w:b/>
          <w:bCs/>
        </w:rPr>
        <w:t>Source: ITU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456"/>
      </w:tblGrid>
      <w:tr w:rsidR="00C710A0" w:rsidRPr="00B64995" w14:paraId="0C31B9BD" w14:textId="77777777" w:rsidTr="6844BCB7">
        <w:tc>
          <w:tcPr>
            <w:tcW w:w="4560" w:type="dxa"/>
            <w:tcBorders>
              <w:top w:val="single" w:sz="4" w:space="0" w:color="auto"/>
              <w:left w:val="single" w:sz="4" w:space="0" w:color="auto"/>
              <w:bottom w:val="single" w:sz="4" w:space="0" w:color="auto"/>
            </w:tcBorders>
            <w:shd w:val="clear" w:color="auto" w:fill="B4C6E7" w:themeFill="accent1" w:themeFillTint="66"/>
          </w:tcPr>
          <w:p w14:paraId="06E70823" w14:textId="08E8101F" w:rsidR="00FE4C48" w:rsidRPr="00B87922" w:rsidRDefault="00FE4C48" w:rsidP="003C23CD">
            <w:pPr>
              <w:pageBreakBefore/>
              <w:spacing w:after="40"/>
              <w:jc w:val="center"/>
              <w:rPr>
                <w:lang w:val="en-GB"/>
              </w:rPr>
            </w:pPr>
            <w:r w:rsidRPr="00B64995">
              <w:rPr>
                <w:b/>
                <w:bCs/>
              </w:rPr>
              <w:lastRenderedPageBreak/>
              <w:t xml:space="preserve">Target 2.9: </w:t>
            </w:r>
            <w:r w:rsidR="0070206F" w:rsidRPr="00B64995">
              <w:rPr>
                <w:b/>
                <w:bCs/>
              </w:rPr>
              <w:t>O</w:t>
            </w:r>
            <w:r w:rsidR="0070206F">
              <w:rPr>
                <w:b/>
                <w:bCs/>
              </w:rPr>
              <w:t>ff</w:t>
            </w:r>
            <w:r w:rsidR="0070206F" w:rsidRPr="00B64995">
              <w:rPr>
                <w:b/>
                <w:bCs/>
              </w:rPr>
              <w:t xml:space="preserve"> </w:t>
            </w:r>
            <w:r w:rsidRPr="00B64995">
              <w:rPr>
                <w:b/>
                <w:bCs/>
              </w:rPr>
              <w:t>track</w:t>
            </w:r>
          </w:p>
        </w:tc>
        <w:tc>
          <w:tcPr>
            <w:tcW w:w="4456" w:type="dxa"/>
            <w:tcBorders>
              <w:top w:val="single" w:sz="4" w:space="0" w:color="auto"/>
              <w:bottom w:val="single" w:sz="4" w:space="0" w:color="auto"/>
              <w:right w:val="single" w:sz="4" w:space="0" w:color="auto"/>
            </w:tcBorders>
            <w:shd w:val="clear" w:color="auto" w:fill="B4C6E7" w:themeFill="accent1" w:themeFillTint="66"/>
          </w:tcPr>
          <w:p w14:paraId="682FC8A8" w14:textId="77777777" w:rsidR="00FE4C48" w:rsidRPr="00B87922" w:rsidRDefault="00FE4C48" w:rsidP="00614D53">
            <w:pPr>
              <w:spacing w:after="40"/>
              <w:jc w:val="center"/>
              <w:rPr>
                <w:lang w:val="en-GB"/>
              </w:rPr>
            </w:pPr>
            <w:r w:rsidRPr="00B64995">
              <w:rPr>
                <w:b/>
                <w:bCs/>
              </w:rPr>
              <w:t>Target 2.10: New, benchmarked</w:t>
            </w:r>
          </w:p>
        </w:tc>
      </w:tr>
      <w:tr w:rsidR="00C710A0" w:rsidRPr="00B64995" w14:paraId="57CA4B5B" w14:textId="77777777" w:rsidTr="6844BCB7">
        <w:tc>
          <w:tcPr>
            <w:tcW w:w="4560" w:type="dxa"/>
            <w:tcBorders>
              <w:top w:val="single" w:sz="4" w:space="0" w:color="auto"/>
            </w:tcBorders>
          </w:tcPr>
          <w:p w14:paraId="481A27DA" w14:textId="49BF33E7" w:rsidR="00FE4C48" w:rsidRPr="00B87922" w:rsidRDefault="00121D73" w:rsidP="00614D53">
            <w:pPr>
              <w:spacing w:after="40"/>
              <w:rPr>
                <w:lang w:val="en-GB"/>
              </w:rPr>
            </w:pPr>
            <w:r>
              <w:rPr>
                <w:noProof/>
              </w:rPr>
              <w:drawing>
                <wp:inline distT="0" distB="0" distL="0" distR="0" wp14:anchorId="5F3C1188" wp14:editId="37110F11">
                  <wp:extent cx="2602269" cy="1538287"/>
                  <wp:effectExtent l="0" t="0" r="7620" b="5080"/>
                  <wp:docPr id="1193504116" name="Picture 11935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610551" cy="1543183"/>
                          </a:xfrm>
                          <a:prstGeom prst="rect">
                            <a:avLst/>
                          </a:prstGeom>
                          <a:noFill/>
                        </pic:spPr>
                      </pic:pic>
                    </a:graphicData>
                  </a:graphic>
                </wp:inline>
              </w:drawing>
            </w:r>
          </w:p>
          <w:p w14:paraId="5A7CD215" w14:textId="77777777" w:rsidR="00CD256A" w:rsidRDefault="00CD256A" w:rsidP="00884522">
            <w:pPr>
              <w:spacing w:after="40"/>
              <w:rPr>
                <w:b/>
                <w:bCs/>
              </w:rPr>
            </w:pPr>
            <w:r w:rsidRPr="00B64995">
              <w:rPr>
                <w:b/>
                <w:bCs/>
              </w:rPr>
              <w:t>Source: ITU</w:t>
            </w:r>
          </w:p>
          <w:p w14:paraId="6F45670D" w14:textId="77777777" w:rsidR="00C710A0" w:rsidRDefault="00C710A0" w:rsidP="00884522">
            <w:pPr>
              <w:spacing w:after="40"/>
              <w:rPr>
                <w:b/>
                <w:bCs/>
              </w:rPr>
            </w:pPr>
          </w:p>
          <w:p w14:paraId="6AAF3FEE" w14:textId="21AEC391" w:rsidR="00C710A0" w:rsidRPr="00B87922" w:rsidRDefault="00C710A0" w:rsidP="00884522">
            <w:pPr>
              <w:spacing w:after="40"/>
              <w:rPr>
                <w:b/>
                <w:bCs/>
                <w:lang w:val="en-GB"/>
              </w:rPr>
            </w:pPr>
            <w:r>
              <w:rPr>
                <w:b/>
                <w:bCs/>
                <w:noProof/>
              </w:rPr>
              <w:drawing>
                <wp:inline distT="0" distB="0" distL="0" distR="0" wp14:anchorId="19936B9D" wp14:editId="2768FD78">
                  <wp:extent cx="2647950" cy="1556985"/>
                  <wp:effectExtent l="0" t="0" r="0" b="5715"/>
                  <wp:docPr id="1193504117" name="Picture 11935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661389" cy="1564887"/>
                          </a:xfrm>
                          <a:prstGeom prst="rect">
                            <a:avLst/>
                          </a:prstGeom>
                          <a:noFill/>
                        </pic:spPr>
                      </pic:pic>
                    </a:graphicData>
                  </a:graphic>
                </wp:inline>
              </w:drawing>
            </w:r>
          </w:p>
        </w:tc>
        <w:tc>
          <w:tcPr>
            <w:tcW w:w="4456" w:type="dxa"/>
            <w:tcBorders>
              <w:top w:val="single" w:sz="4" w:space="0" w:color="auto"/>
            </w:tcBorders>
          </w:tcPr>
          <w:p w14:paraId="4E2614F4" w14:textId="77777777" w:rsidR="00FE4C48" w:rsidRPr="00B87922" w:rsidRDefault="74FB1726" w:rsidP="00614D53">
            <w:pPr>
              <w:spacing w:after="40"/>
              <w:rPr>
                <w:lang w:val="en-GB"/>
              </w:rPr>
            </w:pPr>
            <w:r w:rsidRPr="00166BCE">
              <w:rPr>
                <w:noProof/>
              </w:rPr>
              <w:drawing>
                <wp:inline distT="0" distB="0" distL="0" distR="0" wp14:anchorId="66B12F97" wp14:editId="23308408">
                  <wp:extent cx="2604654" cy="1541725"/>
                  <wp:effectExtent l="0" t="0" r="5715" b="1905"/>
                  <wp:docPr id="6236900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457">
                            <a:extLst>
                              <a:ext uri="{28A0092B-C50C-407E-A947-70E740481C1C}">
                                <a14:useLocalDpi xmlns:a14="http://schemas.microsoft.com/office/drawing/2010/main" val="0"/>
                              </a:ext>
                            </a:extLst>
                          </a:blip>
                          <a:stretch>
                            <a:fillRect/>
                          </a:stretch>
                        </pic:blipFill>
                        <pic:spPr>
                          <a:xfrm>
                            <a:off x="0" y="0"/>
                            <a:ext cx="2604654" cy="1541725"/>
                          </a:xfrm>
                          <a:prstGeom prst="rect">
                            <a:avLst/>
                          </a:prstGeom>
                        </pic:spPr>
                      </pic:pic>
                    </a:graphicData>
                  </a:graphic>
                </wp:inline>
              </w:drawing>
            </w:r>
          </w:p>
          <w:p w14:paraId="6034771C" w14:textId="55289498" w:rsidR="00CD256A" w:rsidRPr="00B87922" w:rsidRDefault="00CD256A" w:rsidP="00884522">
            <w:pPr>
              <w:spacing w:after="40"/>
              <w:rPr>
                <w:b/>
                <w:bCs/>
                <w:lang w:val="en-GB"/>
              </w:rPr>
            </w:pPr>
            <w:r w:rsidRPr="00B64995">
              <w:rPr>
                <w:b/>
                <w:bCs/>
              </w:rPr>
              <w:t>Source: ITU</w:t>
            </w:r>
          </w:p>
        </w:tc>
      </w:tr>
    </w:tbl>
    <w:p w14:paraId="3E1AD5B9" w14:textId="77777777" w:rsidR="00FE4C48" w:rsidRPr="00B64995" w:rsidRDefault="00FE4C48" w:rsidP="00614D53"/>
    <w:p w14:paraId="69A2EDA2" w14:textId="3BFD546E" w:rsidR="1346E8CB" w:rsidRPr="00B64995" w:rsidRDefault="00026FC6" w:rsidP="00026FC6">
      <w:pPr>
        <w:pStyle w:val="Heading3"/>
      </w:pPr>
      <w:bookmarkStart w:id="140" w:name="_Toc37860475"/>
      <w:bookmarkStart w:id="141" w:name="_Toc37861235"/>
      <w:bookmarkStart w:id="142" w:name="_Toc37943359"/>
      <w:bookmarkStart w:id="143" w:name="_Toc68811429"/>
      <w:r w:rsidRPr="00B64995">
        <w:t>3.1.3</w:t>
      </w:r>
      <w:r w:rsidRPr="00B64995">
        <w:tab/>
      </w:r>
      <w:r w:rsidR="1346E8CB" w:rsidRPr="00B64995">
        <w:t>Goal 3 – Sustainability</w:t>
      </w:r>
      <w:bookmarkEnd w:id="140"/>
      <w:bookmarkEnd w:id="141"/>
      <w:bookmarkEnd w:id="142"/>
      <w:bookmarkEnd w:id="143"/>
    </w:p>
    <w:p w14:paraId="328ABEF1" w14:textId="30F8450E" w:rsidR="4C290455" w:rsidRPr="00B64995" w:rsidRDefault="4C290455" w:rsidP="00884522">
      <w:pPr>
        <w:spacing w:before="120"/>
      </w:pPr>
      <w:r w:rsidRPr="00B64995">
        <w:t>Manage emerging risks, challenges and opportunities resulting from the rapid growth of telecommunications/</w:t>
      </w:r>
      <w:proofErr w:type="gramStart"/>
      <w:r w:rsidRPr="00B64995">
        <w:t>ICT</w:t>
      </w:r>
      <w:proofErr w:type="gramEnd"/>
    </w:p>
    <w:p w14:paraId="6004E5FD" w14:textId="77777777" w:rsidR="00DD1779" w:rsidRPr="00B64995" w:rsidRDefault="00DD1779" w:rsidP="00614D53">
      <w:pPr>
        <w:rPr>
          <w:rFonts w:eastAsia="Calibri"/>
          <w:b/>
        </w:rPr>
      </w:pPr>
    </w:p>
    <w:p w14:paraId="58F282DE" w14:textId="7209B308" w:rsidR="1346E8CB" w:rsidRPr="00B64995" w:rsidRDefault="1346E8CB" w:rsidP="00884522">
      <w:pPr>
        <w:pStyle w:val="Heading5"/>
        <w:spacing w:before="0"/>
      </w:pPr>
      <w:r w:rsidRPr="00B64995">
        <w:t>Strategic targets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12A9C4C4" w:rsidRPr="00B64995" w14:paraId="0893A31F" w14:textId="77777777" w:rsidTr="00811918">
        <w:tc>
          <w:tcPr>
            <w:tcW w:w="9026" w:type="dxa"/>
            <w:shd w:val="clear" w:color="auto" w:fill="DCE5F4"/>
          </w:tcPr>
          <w:p w14:paraId="00FF0D91" w14:textId="10969CE0" w:rsidR="12A9C4C4" w:rsidRPr="00B87922" w:rsidRDefault="12A9C4C4" w:rsidP="00884522">
            <w:pPr>
              <w:pStyle w:val="boxhead"/>
              <w:spacing w:before="0"/>
              <w:rPr>
                <w:lang w:val="en-GB"/>
              </w:rPr>
            </w:pPr>
            <w:r w:rsidRPr="00B64995">
              <w:t>By 2023:</w:t>
            </w:r>
          </w:p>
          <w:p w14:paraId="05CEB3AB" w14:textId="706DEECB" w:rsidR="12A9C4C4" w:rsidRPr="00B64995" w:rsidRDefault="12A9C4C4" w:rsidP="00884522">
            <w:pPr>
              <w:pStyle w:val="boxtext"/>
              <w:spacing w:before="40" w:after="40"/>
              <w:rPr>
                <w:lang w:val="en-GB"/>
              </w:rPr>
            </w:pPr>
            <w:r w:rsidRPr="00A060FE">
              <w:rPr>
                <w:b/>
                <w:bCs/>
                <w:lang w:val="en-GB"/>
              </w:rPr>
              <w:t>Target 3.1</w:t>
            </w:r>
            <w:r w:rsidRPr="00B64995">
              <w:rPr>
                <w:lang w:val="en-GB"/>
              </w:rPr>
              <w:t xml:space="preserve">: improve cybersecurity preparedness of countries, with key capabilities: presence of strategy, national computer incident/emergency response teams and </w:t>
            </w:r>
            <w:proofErr w:type="gramStart"/>
            <w:r w:rsidRPr="00B64995">
              <w:rPr>
                <w:lang w:val="en-GB"/>
              </w:rPr>
              <w:t>legislation</w:t>
            </w:r>
            <w:proofErr w:type="gramEnd"/>
          </w:p>
          <w:p w14:paraId="2FBF71BE" w14:textId="77777777" w:rsidR="0049723A" w:rsidRPr="00B64995" w:rsidRDefault="12A9C4C4" w:rsidP="00884522">
            <w:pPr>
              <w:pStyle w:val="boxtext"/>
              <w:spacing w:before="40" w:after="40"/>
              <w:rPr>
                <w:lang w:val="en-GB"/>
              </w:rPr>
            </w:pPr>
            <w:r w:rsidRPr="00B64995">
              <w:rPr>
                <w:b/>
                <w:lang w:val="en-GB"/>
              </w:rPr>
              <w:t>Target 3.2</w:t>
            </w:r>
            <w:r w:rsidRPr="00B64995">
              <w:rPr>
                <w:lang w:val="en-GB"/>
              </w:rPr>
              <w:t>: increase the global e-waste recycling rate to 30%</w:t>
            </w:r>
          </w:p>
          <w:p w14:paraId="04A13D41" w14:textId="79C5AE5F" w:rsidR="12A9C4C4" w:rsidRPr="00B64995" w:rsidRDefault="12A9C4C4" w:rsidP="00884522">
            <w:pPr>
              <w:pStyle w:val="boxtext"/>
              <w:spacing w:before="40" w:after="40"/>
              <w:rPr>
                <w:lang w:val="en-GB"/>
              </w:rPr>
            </w:pPr>
            <w:r w:rsidRPr="00B64995">
              <w:rPr>
                <w:b/>
                <w:lang w:val="en-GB"/>
              </w:rPr>
              <w:t>Target 3.3</w:t>
            </w:r>
            <w:r w:rsidRPr="00B64995">
              <w:rPr>
                <w:lang w:val="en-GB"/>
              </w:rPr>
              <w:t>: raise the percentage of countries with an e-waste legislation to 50%</w:t>
            </w:r>
            <w:r w:rsidR="009E4AB3" w:rsidRPr="00B64995">
              <w:rPr>
                <w:lang w:val="en-GB"/>
              </w:rPr>
              <w:t xml:space="preserve"> [Note: </w:t>
            </w:r>
            <w:r w:rsidR="00BD5AD4" w:rsidRPr="00B64995">
              <w:rPr>
                <w:lang w:val="en-GB"/>
              </w:rPr>
              <w:t>should read “</w:t>
            </w:r>
            <w:r w:rsidR="009E4AB3" w:rsidRPr="00B64995">
              <w:rPr>
                <w:lang w:val="en-GB"/>
              </w:rPr>
              <w:t>policy, legislation or regulation</w:t>
            </w:r>
            <w:r w:rsidR="00BD5AD4" w:rsidRPr="00B64995">
              <w:rPr>
                <w:lang w:val="en-GB"/>
              </w:rPr>
              <w:t>”</w:t>
            </w:r>
            <w:r w:rsidR="009E4AB3" w:rsidRPr="00B64995">
              <w:rPr>
                <w:lang w:val="en-GB"/>
              </w:rPr>
              <w:t>]</w:t>
            </w:r>
          </w:p>
          <w:p w14:paraId="2D9647B6" w14:textId="77777777" w:rsidR="0049723A" w:rsidRPr="00B64995" w:rsidRDefault="12A9C4C4" w:rsidP="00884522">
            <w:pPr>
              <w:pStyle w:val="boxtext"/>
              <w:spacing w:before="40" w:after="40"/>
              <w:rPr>
                <w:lang w:val="en-GB"/>
              </w:rPr>
            </w:pPr>
            <w:r w:rsidRPr="00B64995">
              <w:rPr>
                <w:b/>
                <w:lang w:val="en-GB"/>
              </w:rPr>
              <w:t>Target 3.4</w:t>
            </w:r>
            <w:r w:rsidRPr="00B64995">
              <w:rPr>
                <w:lang w:val="en-GB"/>
              </w:rPr>
              <w:t xml:space="preserve">: net telecommunication/ICT-enabled Greenhouse Gas abatement should have increased by 30% compared to the 2015 </w:t>
            </w:r>
            <w:proofErr w:type="gramStart"/>
            <w:r w:rsidRPr="00B64995">
              <w:rPr>
                <w:lang w:val="en-GB"/>
              </w:rPr>
              <w:t>baseline</w:t>
            </w:r>
            <w:proofErr w:type="gramEnd"/>
          </w:p>
          <w:p w14:paraId="59032C98" w14:textId="290B3252" w:rsidR="12A9C4C4" w:rsidRPr="00B64995" w:rsidRDefault="12A9C4C4" w:rsidP="00884522">
            <w:pPr>
              <w:pStyle w:val="boxtext"/>
              <w:spacing w:before="40" w:after="40"/>
              <w:rPr>
                <w:lang w:val="en-GB"/>
              </w:rPr>
            </w:pPr>
            <w:r w:rsidRPr="00B64995">
              <w:rPr>
                <w:b/>
                <w:lang w:val="en-GB"/>
              </w:rPr>
              <w:t>Target 3.5</w:t>
            </w:r>
            <w:r w:rsidRPr="00B64995">
              <w:rPr>
                <w:lang w:val="en-GB"/>
              </w:rPr>
              <w:t>: all countries should have a National Emergency Telecommunication Plan as part of their national and local disaster risk reduction strategies</w:t>
            </w:r>
          </w:p>
        </w:tc>
      </w:tr>
    </w:tbl>
    <w:p w14:paraId="471A48A9" w14:textId="26CA81BC" w:rsidR="00F41DD9" w:rsidRPr="00B64995" w:rsidRDefault="00F41DD9" w:rsidP="00614D53"/>
    <w:p w14:paraId="41DFBFB2" w14:textId="6BE0C5C6" w:rsidR="00164084" w:rsidRPr="00B64995" w:rsidRDefault="00164084" w:rsidP="00884522">
      <w:pPr>
        <w:pStyle w:val="Heading5"/>
        <w:spacing w:before="0"/>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626"/>
      </w:tblGrid>
      <w:tr w:rsidR="00FE4C48" w:rsidRPr="00B64995" w14:paraId="43F32F65" w14:textId="77777777" w:rsidTr="6844BCB7">
        <w:tc>
          <w:tcPr>
            <w:tcW w:w="901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A71C3D" w14:textId="77777777" w:rsidR="00FE4C48" w:rsidRPr="00B87922" w:rsidRDefault="00FE4C48" w:rsidP="00614D53">
            <w:pPr>
              <w:spacing w:after="40"/>
              <w:jc w:val="center"/>
              <w:rPr>
                <w:b/>
                <w:bCs/>
                <w:lang w:val="en-GB"/>
              </w:rPr>
            </w:pPr>
            <w:r w:rsidRPr="00B64995">
              <w:rPr>
                <w:b/>
                <w:bCs/>
              </w:rPr>
              <w:t>Target 3.1: On track</w:t>
            </w:r>
          </w:p>
        </w:tc>
      </w:tr>
      <w:tr w:rsidR="00BD7ACF" w:rsidRPr="00B64995" w14:paraId="0F904F01" w14:textId="77777777" w:rsidTr="6844BCB7">
        <w:tc>
          <w:tcPr>
            <w:tcW w:w="4390" w:type="dxa"/>
            <w:tcBorders>
              <w:top w:val="single" w:sz="4" w:space="0" w:color="auto"/>
            </w:tcBorders>
          </w:tcPr>
          <w:p w14:paraId="0A1F2455" w14:textId="79261FF5" w:rsidR="005E6919" w:rsidRPr="00B87922" w:rsidRDefault="003D4D65" w:rsidP="00B36DE2">
            <w:pPr>
              <w:spacing w:before="60" w:after="40"/>
              <w:jc w:val="center"/>
              <w:rPr>
                <w:lang w:val="en-GB"/>
              </w:rPr>
            </w:pPr>
            <w:r>
              <w:rPr>
                <w:noProof/>
              </w:rPr>
              <w:lastRenderedPageBreak/>
              <w:drawing>
                <wp:inline distT="0" distB="0" distL="0" distR="0" wp14:anchorId="5B2B1128" wp14:editId="5606DF1B">
                  <wp:extent cx="2255487" cy="1220143"/>
                  <wp:effectExtent l="0" t="0" r="0" b="0"/>
                  <wp:docPr id="1193504125" name="Picture 119350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265240" cy="1225419"/>
                          </a:xfrm>
                          <a:prstGeom prst="rect">
                            <a:avLst/>
                          </a:prstGeom>
                          <a:noFill/>
                        </pic:spPr>
                      </pic:pic>
                    </a:graphicData>
                  </a:graphic>
                </wp:inline>
              </w:drawing>
            </w:r>
          </w:p>
        </w:tc>
        <w:tc>
          <w:tcPr>
            <w:tcW w:w="4626" w:type="dxa"/>
            <w:tcBorders>
              <w:top w:val="single" w:sz="4" w:space="0" w:color="auto"/>
            </w:tcBorders>
          </w:tcPr>
          <w:p w14:paraId="636E0A5C" w14:textId="1BEA1F44" w:rsidR="005E6919" w:rsidRPr="00B87922" w:rsidRDefault="007C773B" w:rsidP="00B36DE2">
            <w:pPr>
              <w:spacing w:before="60" w:after="40"/>
              <w:jc w:val="center"/>
              <w:rPr>
                <w:lang w:val="en-GB"/>
              </w:rPr>
            </w:pPr>
            <w:r>
              <w:rPr>
                <w:noProof/>
              </w:rPr>
              <w:drawing>
                <wp:inline distT="0" distB="0" distL="0" distR="0" wp14:anchorId="20751EAE" wp14:editId="40D9F0DE">
                  <wp:extent cx="2300746" cy="1319847"/>
                  <wp:effectExtent l="0" t="0" r="4445" b="0"/>
                  <wp:docPr id="1193504126" name="Picture 11935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311136" cy="1325807"/>
                          </a:xfrm>
                          <a:prstGeom prst="rect">
                            <a:avLst/>
                          </a:prstGeom>
                          <a:noFill/>
                        </pic:spPr>
                      </pic:pic>
                    </a:graphicData>
                  </a:graphic>
                </wp:inline>
              </w:drawing>
            </w:r>
            <w:r w:rsidR="2C47E224" w:rsidRPr="00166BCE">
              <w:rPr>
                <w:noProof/>
              </w:rPr>
              <w:drawing>
                <wp:inline distT="0" distB="0" distL="0" distR="0" wp14:anchorId="7ED0EEDC" wp14:editId="0F433880">
                  <wp:extent cx="2286631" cy="1374512"/>
                  <wp:effectExtent l="0" t="0" r="0" b="0"/>
                  <wp:docPr id="1639372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60" cstate="print">
                            <a:extLst>
                              <a:ext uri="{28A0092B-C50C-407E-A947-70E740481C1C}">
                                <a14:useLocalDpi xmlns:a14="http://schemas.microsoft.com/office/drawing/2010/main" val="0"/>
                              </a:ext>
                            </a:extLst>
                          </a:blip>
                          <a:stretch>
                            <a:fillRect/>
                          </a:stretch>
                        </pic:blipFill>
                        <pic:spPr>
                          <a:xfrm>
                            <a:off x="0" y="0"/>
                            <a:ext cx="2286631" cy="1374512"/>
                          </a:xfrm>
                          <a:prstGeom prst="rect">
                            <a:avLst/>
                          </a:prstGeom>
                        </pic:spPr>
                      </pic:pic>
                    </a:graphicData>
                  </a:graphic>
                </wp:inline>
              </w:drawing>
            </w:r>
          </w:p>
        </w:tc>
      </w:tr>
      <w:tr w:rsidR="005E6919" w:rsidRPr="00B64995" w14:paraId="32840CD2" w14:textId="77777777" w:rsidTr="6844BCB7">
        <w:tc>
          <w:tcPr>
            <w:tcW w:w="9016" w:type="dxa"/>
            <w:gridSpan w:val="2"/>
          </w:tcPr>
          <w:p w14:paraId="5CF9492B" w14:textId="77777777" w:rsidR="005E6919" w:rsidRDefault="2C47E224" w:rsidP="00884522">
            <w:pPr>
              <w:spacing w:before="120" w:after="40"/>
              <w:jc w:val="center"/>
              <w:rPr>
                <w:lang w:val="en-GB"/>
              </w:rPr>
            </w:pPr>
            <w:r w:rsidRPr="00166BCE">
              <w:rPr>
                <w:noProof/>
              </w:rPr>
              <w:drawing>
                <wp:inline distT="0" distB="0" distL="0" distR="0" wp14:anchorId="6854D0D9" wp14:editId="6927AE68">
                  <wp:extent cx="2687232" cy="1613830"/>
                  <wp:effectExtent l="0" t="0" r="0" b="5715"/>
                  <wp:docPr id="6015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2687232" cy="1613830"/>
                          </a:xfrm>
                          <a:prstGeom prst="rect">
                            <a:avLst/>
                          </a:prstGeom>
                        </pic:spPr>
                      </pic:pic>
                    </a:graphicData>
                  </a:graphic>
                </wp:inline>
              </w:drawing>
            </w:r>
          </w:p>
          <w:p w14:paraId="19FA4DB6" w14:textId="3694E1B6" w:rsidR="00F65CD5" w:rsidRPr="00B87922" w:rsidRDefault="00F65CD5" w:rsidP="00884522">
            <w:pPr>
              <w:spacing w:before="120" w:after="40"/>
              <w:jc w:val="center"/>
              <w:rPr>
                <w:lang w:val="en-GB"/>
              </w:rPr>
            </w:pPr>
            <w:r>
              <w:rPr>
                <w:noProof/>
              </w:rPr>
              <w:drawing>
                <wp:inline distT="0" distB="0" distL="0" distR="0" wp14:anchorId="7562C534" wp14:editId="043C6EA4">
                  <wp:extent cx="2690812" cy="1549423"/>
                  <wp:effectExtent l="0" t="0" r="0" b="0"/>
                  <wp:docPr id="1193504127" name="Picture 119350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704127" cy="1557090"/>
                          </a:xfrm>
                          <a:prstGeom prst="rect">
                            <a:avLst/>
                          </a:prstGeom>
                          <a:noFill/>
                        </pic:spPr>
                      </pic:pic>
                    </a:graphicData>
                  </a:graphic>
                </wp:inline>
              </w:drawing>
            </w:r>
          </w:p>
        </w:tc>
      </w:tr>
      <w:tr w:rsidR="00BD7ACF" w:rsidRPr="00B64995" w14:paraId="2E9A4A00" w14:textId="77777777" w:rsidTr="6844BCB7">
        <w:tc>
          <w:tcPr>
            <w:tcW w:w="4390" w:type="dxa"/>
          </w:tcPr>
          <w:p w14:paraId="0FC99D58" w14:textId="2E00C515" w:rsidR="005E6919" w:rsidRPr="00B87922" w:rsidRDefault="00CD256A" w:rsidP="00884522">
            <w:pPr>
              <w:rPr>
                <w:b/>
                <w:bCs/>
                <w:lang w:val="en-GB"/>
              </w:rPr>
            </w:pPr>
            <w:r w:rsidRPr="00B64995">
              <w:rPr>
                <w:b/>
                <w:bCs/>
              </w:rPr>
              <w:t>Source: ITU</w:t>
            </w:r>
          </w:p>
        </w:tc>
        <w:tc>
          <w:tcPr>
            <w:tcW w:w="4626" w:type="dxa"/>
          </w:tcPr>
          <w:p w14:paraId="44A5FAFB" w14:textId="77777777" w:rsidR="005E6919" w:rsidRPr="00B87922" w:rsidRDefault="005E6919" w:rsidP="00B36DE2">
            <w:pPr>
              <w:jc w:val="center"/>
              <w:rPr>
                <w:lang w:val="en-GB"/>
              </w:rPr>
            </w:pPr>
          </w:p>
        </w:tc>
      </w:tr>
    </w:tbl>
    <w:p w14:paraId="1B467AA0" w14:textId="77777777" w:rsidR="00884522" w:rsidRPr="00B64995" w:rsidRDefault="00884522" w:rsidP="00884522">
      <w:pPr>
        <w:spacing w:line="100" w:lineRule="exact"/>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43"/>
      </w:tblGrid>
      <w:tr w:rsidR="00FE4C48" w:rsidRPr="00B64995" w14:paraId="134141DF" w14:textId="77777777" w:rsidTr="6844BCB7">
        <w:tc>
          <w:tcPr>
            <w:tcW w:w="901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882D5E" w14:textId="6938B62E" w:rsidR="00FE4C48" w:rsidRPr="00B87922" w:rsidRDefault="00FE4C48" w:rsidP="00614D53">
            <w:pPr>
              <w:spacing w:after="40"/>
              <w:jc w:val="center"/>
              <w:rPr>
                <w:lang w:val="en-GB"/>
              </w:rPr>
            </w:pPr>
            <w:r w:rsidRPr="00B64995">
              <w:rPr>
                <w:b/>
                <w:bCs/>
              </w:rPr>
              <w:t xml:space="preserve">Target 3.2: New, </w:t>
            </w:r>
            <w:r w:rsidR="00927F25" w:rsidRPr="00B64995">
              <w:rPr>
                <w:b/>
                <w:bCs/>
              </w:rPr>
              <w:t>Off track</w:t>
            </w:r>
          </w:p>
        </w:tc>
      </w:tr>
      <w:tr w:rsidR="00BB21D9" w:rsidRPr="00B64995" w14:paraId="66C7F7F5" w14:textId="77777777" w:rsidTr="6844BCB7">
        <w:tc>
          <w:tcPr>
            <w:tcW w:w="4673" w:type="dxa"/>
            <w:tcBorders>
              <w:top w:val="single" w:sz="4" w:space="0" w:color="auto"/>
            </w:tcBorders>
          </w:tcPr>
          <w:p w14:paraId="2838C495" w14:textId="09DD95BB" w:rsidR="005E44F3" w:rsidRPr="00B87922" w:rsidRDefault="50902767" w:rsidP="00B36DE2">
            <w:pPr>
              <w:spacing w:before="60" w:after="40"/>
              <w:jc w:val="center"/>
              <w:rPr>
                <w:lang w:val="en-GB"/>
              </w:rPr>
            </w:pPr>
            <w:r w:rsidRPr="00166BCE">
              <w:rPr>
                <w:noProof/>
              </w:rPr>
              <w:drawing>
                <wp:inline distT="0" distB="0" distL="0" distR="0" wp14:anchorId="14C5D6AA" wp14:editId="26A8DB0A">
                  <wp:extent cx="2830195" cy="1708785"/>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63">
                            <a:extLst>
                              <a:ext uri="{28A0092B-C50C-407E-A947-70E740481C1C}">
                                <a14:useLocalDpi xmlns:a14="http://schemas.microsoft.com/office/drawing/2010/main" val="0"/>
                              </a:ext>
                            </a:extLst>
                          </a:blip>
                          <a:stretch>
                            <a:fillRect/>
                          </a:stretch>
                        </pic:blipFill>
                        <pic:spPr>
                          <a:xfrm>
                            <a:off x="0" y="0"/>
                            <a:ext cx="2830195" cy="1708785"/>
                          </a:xfrm>
                          <a:prstGeom prst="rect">
                            <a:avLst/>
                          </a:prstGeom>
                        </pic:spPr>
                      </pic:pic>
                    </a:graphicData>
                  </a:graphic>
                </wp:inline>
              </w:drawing>
            </w:r>
          </w:p>
        </w:tc>
        <w:tc>
          <w:tcPr>
            <w:tcW w:w="4343" w:type="dxa"/>
            <w:tcBorders>
              <w:top w:val="single" w:sz="4" w:space="0" w:color="auto"/>
            </w:tcBorders>
          </w:tcPr>
          <w:p w14:paraId="24DA53A7" w14:textId="32E88CD5" w:rsidR="005E44F3" w:rsidRPr="00B87922" w:rsidRDefault="04EE4C49" w:rsidP="00B36DE2">
            <w:pPr>
              <w:spacing w:before="60" w:after="40"/>
              <w:jc w:val="center"/>
              <w:rPr>
                <w:lang w:val="en-GB"/>
              </w:rPr>
            </w:pPr>
            <w:r w:rsidRPr="00166BCE">
              <w:rPr>
                <w:noProof/>
              </w:rPr>
              <w:drawing>
                <wp:inline distT="0" distB="0" distL="0" distR="0" wp14:anchorId="1E6F832D" wp14:editId="06B367CC">
                  <wp:extent cx="2376028" cy="1446228"/>
                  <wp:effectExtent l="0" t="0" r="5715" b="1905"/>
                  <wp:docPr id="75226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64">
                            <a:extLst>
                              <a:ext uri="{28A0092B-C50C-407E-A947-70E740481C1C}">
                                <a14:useLocalDpi xmlns:a14="http://schemas.microsoft.com/office/drawing/2010/main" val="0"/>
                              </a:ext>
                            </a:extLst>
                          </a:blip>
                          <a:stretch>
                            <a:fillRect/>
                          </a:stretch>
                        </pic:blipFill>
                        <pic:spPr>
                          <a:xfrm>
                            <a:off x="0" y="0"/>
                            <a:ext cx="2376028" cy="1446228"/>
                          </a:xfrm>
                          <a:prstGeom prst="rect">
                            <a:avLst/>
                          </a:prstGeom>
                        </pic:spPr>
                      </pic:pic>
                    </a:graphicData>
                  </a:graphic>
                </wp:inline>
              </w:drawing>
            </w:r>
          </w:p>
        </w:tc>
      </w:tr>
      <w:tr w:rsidR="005E44F3" w:rsidRPr="00B64995" w14:paraId="057C0AD8" w14:textId="77777777" w:rsidTr="6844BCB7">
        <w:tc>
          <w:tcPr>
            <w:tcW w:w="4673" w:type="dxa"/>
          </w:tcPr>
          <w:p w14:paraId="3427665B" w14:textId="487570DD" w:rsidR="005E44F3" w:rsidRPr="00B87922" w:rsidRDefault="005E44F3" w:rsidP="00B36DE2">
            <w:pPr>
              <w:jc w:val="center"/>
              <w:rPr>
                <w:lang w:val="en-GB"/>
              </w:rPr>
            </w:pPr>
          </w:p>
        </w:tc>
        <w:tc>
          <w:tcPr>
            <w:tcW w:w="4343" w:type="dxa"/>
          </w:tcPr>
          <w:p w14:paraId="668E8B1F" w14:textId="77777777" w:rsidR="005E44F3" w:rsidRPr="00B87922" w:rsidRDefault="005E44F3" w:rsidP="00B36DE2">
            <w:pPr>
              <w:jc w:val="center"/>
              <w:rPr>
                <w:lang w:val="en-GB"/>
              </w:rPr>
            </w:pPr>
          </w:p>
        </w:tc>
      </w:tr>
      <w:tr w:rsidR="00CD45FA" w:rsidRPr="00B64995" w14:paraId="402F334E" w14:textId="77777777" w:rsidTr="6844BCB7">
        <w:tc>
          <w:tcPr>
            <w:tcW w:w="9016" w:type="dxa"/>
            <w:gridSpan w:val="2"/>
          </w:tcPr>
          <w:p w14:paraId="4232A0FA" w14:textId="669307F4" w:rsidR="0038783F" w:rsidRPr="00B87922" w:rsidRDefault="0038783F" w:rsidP="00B36DE2">
            <w:pPr>
              <w:rPr>
                <w:rFonts w:asciiTheme="minorHAnsi" w:hAnsiTheme="minorHAnsi" w:cstheme="minorHAnsi"/>
                <w:b/>
                <w:bCs/>
                <w:lang w:val="en-GB"/>
              </w:rPr>
            </w:pPr>
            <w:r w:rsidRPr="00B64995">
              <w:rPr>
                <w:rFonts w:asciiTheme="minorHAnsi" w:hAnsiTheme="minorHAnsi" w:cstheme="minorHAnsi"/>
                <w:b/>
                <w:bCs/>
              </w:rPr>
              <w:t>Source: Global E-waste Monitor 2020</w:t>
            </w:r>
          </w:p>
          <w:p w14:paraId="5AC48500" w14:textId="6BB2414C" w:rsidR="00CD45FA" w:rsidRPr="00B87922" w:rsidRDefault="00CD45FA" w:rsidP="00884522">
            <w:pPr>
              <w:spacing w:before="120" w:after="120"/>
              <w:rPr>
                <w:rFonts w:asciiTheme="minorHAnsi" w:hAnsiTheme="minorHAnsi" w:cstheme="minorHAnsi"/>
                <w:lang w:val="en-GB"/>
              </w:rPr>
            </w:pPr>
            <w:r w:rsidRPr="00B64995">
              <w:rPr>
                <w:rFonts w:asciiTheme="minorHAnsi" w:hAnsiTheme="minorHAnsi" w:cstheme="minorHAnsi"/>
              </w:rPr>
              <w:t>[Note: these results should not be made available outside ITU before the report is published by June 2020]</w:t>
            </w:r>
          </w:p>
        </w:tc>
      </w:tr>
      <w:tr w:rsidR="005E44F3" w:rsidRPr="00B64995" w14:paraId="733E8148" w14:textId="77777777" w:rsidTr="6844BCB7">
        <w:tc>
          <w:tcPr>
            <w:tcW w:w="4673" w:type="dxa"/>
            <w:tcBorders>
              <w:bottom w:val="single" w:sz="4" w:space="0" w:color="auto"/>
            </w:tcBorders>
          </w:tcPr>
          <w:p w14:paraId="7D6EC431" w14:textId="77777777" w:rsidR="00FE4C48" w:rsidRPr="00B87922" w:rsidRDefault="00FE4C48" w:rsidP="00614D53">
            <w:pPr>
              <w:spacing w:after="40"/>
              <w:jc w:val="center"/>
              <w:rPr>
                <w:b/>
                <w:bCs/>
                <w:lang w:val="en-GB"/>
              </w:rPr>
            </w:pPr>
          </w:p>
        </w:tc>
        <w:tc>
          <w:tcPr>
            <w:tcW w:w="4343" w:type="dxa"/>
            <w:tcBorders>
              <w:bottom w:val="single" w:sz="4" w:space="0" w:color="auto"/>
            </w:tcBorders>
          </w:tcPr>
          <w:p w14:paraId="1D697F1F" w14:textId="77777777" w:rsidR="00FE4C48" w:rsidRPr="00B87922" w:rsidRDefault="00FE4C48" w:rsidP="00614D53">
            <w:pPr>
              <w:spacing w:after="40"/>
              <w:jc w:val="center"/>
              <w:rPr>
                <w:b/>
                <w:bCs/>
                <w:lang w:val="en-GB"/>
              </w:rPr>
            </w:pPr>
          </w:p>
        </w:tc>
      </w:tr>
      <w:tr w:rsidR="005E44F3" w:rsidRPr="00B64995" w14:paraId="33E77D4C" w14:textId="77777777" w:rsidTr="6844BCB7">
        <w:tc>
          <w:tcPr>
            <w:tcW w:w="467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FF289C3" w14:textId="307FF4E6" w:rsidR="00FE4C48" w:rsidRPr="00B87922" w:rsidRDefault="00FE4C48" w:rsidP="00614D53">
            <w:pPr>
              <w:spacing w:after="40"/>
              <w:jc w:val="center"/>
              <w:rPr>
                <w:lang w:val="en-GB"/>
              </w:rPr>
            </w:pPr>
            <w:r w:rsidRPr="00B64995">
              <w:rPr>
                <w:b/>
                <w:bCs/>
              </w:rPr>
              <w:t xml:space="preserve">Target 3.3 </w:t>
            </w:r>
            <w:r w:rsidR="00305077">
              <w:rPr>
                <w:b/>
                <w:bCs/>
              </w:rPr>
              <w:t>Off track</w:t>
            </w:r>
          </w:p>
        </w:tc>
        <w:tc>
          <w:tcPr>
            <w:tcW w:w="434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9BD92D" w14:textId="1252B129" w:rsidR="00FE4C48" w:rsidRPr="00B87922" w:rsidRDefault="00FE4C48" w:rsidP="00614D53">
            <w:pPr>
              <w:spacing w:after="40"/>
              <w:jc w:val="center"/>
              <w:rPr>
                <w:b/>
                <w:bCs/>
                <w:lang w:val="en-GB"/>
              </w:rPr>
            </w:pPr>
            <w:r w:rsidRPr="00B64995">
              <w:rPr>
                <w:b/>
                <w:bCs/>
              </w:rPr>
              <w:t>Target 3.4: Not yet measured</w:t>
            </w:r>
            <w:r w:rsidR="007672C8">
              <w:rPr>
                <w:b/>
                <w:bCs/>
              </w:rPr>
              <w:t>, b</w:t>
            </w:r>
            <w:r w:rsidR="00E15B4A">
              <w:rPr>
                <w:b/>
                <w:bCs/>
              </w:rPr>
              <w:t>enchmarked</w:t>
            </w:r>
          </w:p>
        </w:tc>
      </w:tr>
      <w:tr w:rsidR="005E44F3" w:rsidRPr="00B64995" w14:paraId="6C47A34B" w14:textId="77777777" w:rsidTr="6844BCB7">
        <w:tc>
          <w:tcPr>
            <w:tcW w:w="4673" w:type="dxa"/>
            <w:tcBorders>
              <w:top w:val="single" w:sz="4" w:space="0" w:color="auto"/>
            </w:tcBorders>
          </w:tcPr>
          <w:p w14:paraId="5B3D9F63" w14:textId="6A0A5D29" w:rsidR="00FE4C48" w:rsidRPr="00B87922" w:rsidRDefault="00FE4C48" w:rsidP="0016554F">
            <w:pPr>
              <w:spacing w:before="120" w:after="40"/>
              <w:rPr>
                <w:lang w:val="en-GB"/>
              </w:rPr>
            </w:pPr>
            <w:r w:rsidRPr="00B64995">
              <w:rPr>
                <w:color w:val="FF0000"/>
              </w:rPr>
              <w:t>New Target!</w:t>
            </w:r>
            <w:r w:rsidRPr="00B64995">
              <w:t xml:space="preserve"> Included in the BDT regulatory survey 2020. Initial data should be available by October </w:t>
            </w:r>
            <w:proofErr w:type="gramStart"/>
            <w:r w:rsidRPr="00B64995">
              <w:t>2020</w:t>
            </w:r>
            <w:proofErr w:type="gramEnd"/>
          </w:p>
          <w:p w14:paraId="47583701" w14:textId="5B2BBE37" w:rsidR="00300816" w:rsidRDefault="00262BEF" w:rsidP="0016554F">
            <w:pPr>
              <w:spacing w:before="120" w:after="40"/>
              <w:rPr>
                <w:b/>
                <w:bCs/>
              </w:rPr>
            </w:pPr>
            <w:r>
              <w:rPr>
                <w:b/>
                <w:bCs/>
                <w:noProof/>
              </w:rPr>
              <w:drawing>
                <wp:inline distT="0" distB="0" distL="0" distR="0" wp14:anchorId="7C9814C7" wp14:editId="11C27686">
                  <wp:extent cx="2824798" cy="1682326"/>
                  <wp:effectExtent l="0" t="0" r="0" b="0"/>
                  <wp:docPr id="1193504119" name="Picture 11935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827498" cy="1683934"/>
                          </a:xfrm>
                          <a:prstGeom prst="rect">
                            <a:avLst/>
                          </a:prstGeom>
                          <a:noFill/>
                        </pic:spPr>
                      </pic:pic>
                    </a:graphicData>
                  </a:graphic>
                </wp:inline>
              </w:drawing>
            </w:r>
          </w:p>
          <w:p w14:paraId="793D78F6" w14:textId="6B26B770" w:rsidR="007C6D88" w:rsidRPr="00B87922" w:rsidRDefault="007C6D88" w:rsidP="0016554F">
            <w:pPr>
              <w:spacing w:before="120" w:after="40"/>
              <w:rPr>
                <w:b/>
                <w:bCs/>
                <w:lang w:val="en-GB"/>
              </w:rPr>
            </w:pPr>
            <w:r w:rsidRPr="00B64995">
              <w:rPr>
                <w:b/>
                <w:bCs/>
              </w:rPr>
              <w:t>Source: ITU</w:t>
            </w:r>
          </w:p>
          <w:p w14:paraId="52BEA04E" w14:textId="37629011" w:rsidR="007C6D88" w:rsidRPr="00B87922" w:rsidRDefault="007C6D88" w:rsidP="0016554F">
            <w:pPr>
              <w:spacing w:before="120" w:after="40"/>
              <w:rPr>
                <w:lang w:val="en-GB"/>
              </w:rPr>
            </w:pPr>
          </w:p>
        </w:tc>
        <w:tc>
          <w:tcPr>
            <w:tcW w:w="4343" w:type="dxa"/>
            <w:tcBorders>
              <w:top w:val="single" w:sz="4" w:space="0" w:color="auto"/>
            </w:tcBorders>
          </w:tcPr>
          <w:p w14:paraId="6248BFBA" w14:textId="77777777" w:rsidR="0049723A" w:rsidRPr="00B87922" w:rsidRDefault="00FE4C48" w:rsidP="0016554F">
            <w:pPr>
              <w:spacing w:before="120"/>
              <w:rPr>
                <w:lang w:val="en-GB"/>
              </w:rPr>
            </w:pPr>
            <w:r w:rsidRPr="00B64995">
              <w:rPr>
                <w:color w:val="FF0000"/>
              </w:rPr>
              <w:t>New Target!</w:t>
            </w:r>
          </w:p>
          <w:p w14:paraId="47FA7915" w14:textId="68E1C895" w:rsidR="00FE4C48" w:rsidRDefault="00FE4C48" w:rsidP="0016554F">
            <w:pPr>
              <w:spacing w:after="40"/>
            </w:pPr>
            <w:r w:rsidRPr="00B64995">
              <w:t>Not yet measured</w:t>
            </w:r>
            <w:r w:rsidR="009E4AB3" w:rsidRPr="00B64995">
              <w:t xml:space="preserve">. </w:t>
            </w:r>
            <w:r w:rsidR="00452C48">
              <w:t xml:space="preserve"> </w:t>
            </w:r>
            <w:r w:rsidR="006C40AA">
              <w:t xml:space="preserve">A </w:t>
            </w:r>
            <w:r w:rsidR="00452C48">
              <w:t xml:space="preserve">baseline has been found for ICTs footprint </w:t>
            </w:r>
            <w:r w:rsidR="006C40AA">
              <w:t xml:space="preserve">(see </w:t>
            </w:r>
            <w:r w:rsidR="00A95911">
              <w:t>b</w:t>
            </w:r>
            <w:r w:rsidR="006C40AA">
              <w:t>elow)</w:t>
            </w:r>
            <w:r w:rsidR="004C4EE8">
              <w:t xml:space="preserve"> </w:t>
            </w:r>
            <w:r w:rsidR="00452C48">
              <w:t>but not for</w:t>
            </w:r>
            <w:r w:rsidR="004C4EE8">
              <w:t xml:space="preserve"> ICTs enabled (in other sectors/fields) g</w:t>
            </w:r>
            <w:r w:rsidR="004C4EE8" w:rsidRPr="004C4EE8">
              <w:t>as abatement</w:t>
            </w:r>
            <w:r w:rsidR="009E4AB3" w:rsidRPr="00B64995">
              <w:t>.</w:t>
            </w:r>
          </w:p>
          <w:p w14:paraId="7F97EEC3" w14:textId="77777777" w:rsidR="00F164B8" w:rsidRDefault="00861E17" w:rsidP="0016554F">
            <w:pPr>
              <w:spacing w:after="40"/>
              <w:rPr>
                <w:lang w:val="en-GB"/>
              </w:rPr>
            </w:pPr>
            <w:r>
              <w:rPr>
                <w:noProof/>
              </w:rPr>
              <w:drawing>
                <wp:inline distT="0" distB="0" distL="0" distR="0" wp14:anchorId="3491917F" wp14:editId="2322429E">
                  <wp:extent cx="2647315" cy="1466674"/>
                  <wp:effectExtent l="0" t="0" r="635" b="635"/>
                  <wp:docPr id="1837948295" name="Picture 183794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657666" cy="1472409"/>
                          </a:xfrm>
                          <a:prstGeom prst="rect">
                            <a:avLst/>
                          </a:prstGeom>
                          <a:noFill/>
                        </pic:spPr>
                      </pic:pic>
                    </a:graphicData>
                  </a:graphic>
                </wp:inline>
              </w:drawing>
            </w:r>
          </w:p>
          <w:p w14:paraId="6F0266AE" w14:textId="77777777" w:rsidR="00861E17" w:rsidRDefault="00861E17" w:rsidP="0016554F">
            <w:pPr>
              <w:spacing w:after="40"/>
              <w:rPr>
                <w:lang w:val="en-GB"/>
              </w:rPr>
            </w:pPr>
            <w:r>
              <w:rPr>
                <w:noProof/>
              </w:rPr>
              <w:drawing>
                <wp:inline distT="0" distB="0" distL="0" distR="0" wp14:anchorId="7D1877D4" wp14:editId="285FEDA7">
                  <wp:extent cx="2646928" cy="1524000"/>
                  <wp:effectExtent l="0" t="0" r="1270" b="0"/>
                  <wp:docPr id="1837948296" name="Picture 183794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654755" cy="1528506"/>
                          </a:xfrm>
                          <a:prstGeom prst="rect">
                            <a:avLst/>
                          </a:prstGeom>
                          <a:noFill/>
                        </pic:spPr>
                      </pic:pic>
                    </a:graphicData>
                  </a:graphic>
                </wp:inline>
              </w:drawing>
            </w:r>
          </w:p>
          <w:p w14:paraId="2AA73922" w14:textId="5A2DE9D8" w:rsidR="00861E17" w:rsidRPr="00B87922" w:rsidRDefault="00D1660A" w:rsidP="0016554F">
            <w:pPr>
              <w:spacing w:after="40"/>
              <w:rPr>
                <w:lang w:val="en-GB"/>
              </w:rPr>
            </w:pPr>
            <w:r>
              <w:rPr>
                <w:noProof/>
              </w:rPr>
              <w:drawing>
                <wp:inline distT="0" distB="0" distL="0" distR="0" wp14:anchorId="6CD4125E" wp14:editId="3D50D99D">
                  <wp:extent cx="2638425" cy="1505218"/>
                  <wp:effectExtent l="0" t="0" r="0" b="0"/>
                  <wp:docPr id="1837948297" name="Picture 183794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648059" cy="1510714"/>
                          </a:xfrm>
                          <a:prstGeom prst="rect">
                            <a:avLst/>
                          </a:prstGeom>
                          <a:noFill/>
                        </pic:spPr>
                      </pic:pic>
                    </a:graphicData>
                  </a:graphic>
                </wp:inline>
              </w:drawing>
            </w:r>
          </w:p>
        </w:tc>
      </w:tr>
      <w:tr w:rsidR="005E44F3" w:rsidRPr="00B64995" w14:paraId="5C1A3CC1" w14:textId="77777777" w:rsidTr="6844BCB7">
        <w:tc>
          <w:tcPr>
            <w:tcW w:w="4673" w:type="dxa"/>
            <w:tcBorders>
              <w:bottom w:val="single" w:sz="4" w:space="0" w:color="auto"/>
            </w:tcBorders>
          </w:tcPr>
          <w:p w14:paraId="13505B33" w14:textId="77777777" w:rsidR="00FE4C48" w:rsidRPr="00B87922" w:rsidRDefault="00FE4C48" w:rsidP="00614D53">
            <w:pPr>
              <w:spacing w:after="40"/>
              <w:rPr>
                <w:lang w:val="en-GB"/>
              </w:rPr>
            </w:pPr>
          </w:p>
        </w:tc>
        <w:tc>
          <w:tcPr>
            <w:tcW w:w="4343" w:type="dxa"/>
          </w:tcPr>
          <w:p w14:paraId="0CC77D2F" w14:textId="77777777" w:rsidR="00FE4C48" w:rsidRPr="00B87922" w:rsidRDefault="00FE4C48" w:rsidP="00614D53">
            <w:pPr>
              <w:spacing w:after="40"/>
              <w:rPr>
                <w:lang w:val="en-GB"/>
              </w:rPr>
            </w:pPr>
          </w:p>
        </w:tc>
      </w:tr>
      <w:tr w:rsidR="005E44F3" w:rsidRPr="00B64995" w14:paraId="6C29D2BC" w14:textId="77777777" w:rsidTr="6844BCB7">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99994B" w14:textId="38E4ACAB" w:rsidR="00FE4C48" w:rsidRPr="00B87922" w:rsidRDefault="00FE4C48" w:rsidP="00614D53">
            <w:pPr>
              <w:spacing w:after="40"/>
              <w:jc w:val="center"/>
              <w:rPr>
                <w:b/>
                <w:bCs/>
                <w:lang w:val="en-GB"/>
              </w:rPr>
            </w:pPr>
            <w:r w:rsidRPr="00B64995">
              <w:rPr>
                <w:b/>
                <w:bCs/>
              </w:rPr>
              <w:t xml:space="preserve">Target 3.5: </w:t>
            </w:r>
            <w:r w:rsidR="000D2849" w:rsidRPr="00B64995">
              <w:rPr>
                <w:b/>
                <w:bCs/>
              </w:rPr>
              <w:t>Not yet measured</w:t>
            </w:r>
          </w:p>
        </w:tc>
        <w:tc>
          <w:tcPr>
            <w:tcW w:w="4343" w:type="dxa"/>
            <w:tcBorders>
              <w:left w:val="single" w:sz="4" w:space="0" w:color="auto"/>
            </w:tcBorders>
          </w:tcPr>
          <w:p w14:paraId="209AC2A4" w14:textId="77777777" w:rsidR="00FE4C48" w:rsidRPr="00B87922" w:rsidRDefault="00FE4C48" w:rsidP="00614D53">
            <w:pPr>
              <w:spacing w:after="40"/>
              <w:rPr>
                <w:lang w:val="en-GB"/>
              </w:rPr>
            </w:pPr>
          </w:p>
        </w:tc>
      </w:tr>
      <w:tr w:rsidR="005E44F3" w:rsidRPr="00B64995" w14:paraId="62BAA077" w14:textId="77777777" w:rsidTr="6844BCB7">
        <w:tc>
          <w:tcPr>
            <w:tcW w:w="4673" w:type="dxa"/>
            <w:tcBorders>
              <w:top w:val="single" w:sz="4" w:space="0" w:color="auto"/>
            </w:tcBorders>
          </w:tcPr>
          <w:p w14:paraId="673D65DD" w14:textId="77777777" w:rsidR="00FE4C48" w:rsidRPr="00B87922" w:rsidRDefault="00FE4C48" w:rsidP="00614D53">
            <w:pPr>
              <w:spacing w:after="40"/>
              <w:rPr>
                <w:lang w:val="en-GB"/>
              </w:rPr>
            </w:pPr>
            <w:r w:rsidRPr="00B64995">
              <w:rPr>
                <w:color w:val="FF0000"/>
              </w:rPr>
              <w:t>New Target!</w:t>
            </w:r>
            <w:r w:rsidRPr="00B64995">
              <w:t xml:space="preserve"> Included in the BDT regulatory survey 2020. Initial data should be available by October </w:t>
            </w:r>
            <w:proofErr w:type="gramStart"/>
            <w:r w:rsidRPr="00B64995">
              <w:t>2020</w:t>
            </w:r>
            <w:proofErr w:type="gramEnd"/>
          </w:p>
          <w:p w14:paraId="1B86693D" w14:textId="70FA2DC0" w:rsidR="007C6D88" w:rsidRPr="00B87922" w:rsidRDefault="007C6D88" w:rsidP="00884522">
            <w:pPr>
              <w:spacing w:before="120" w:after="40"/>
              <w:rPr>
                <w:b/>
                <w:bCs/>
                <w:lang w:val="en-GB"/>
              </w:rPr>
            </w:pPr>
            <w:r w:rsidRPr="00B64995">
              <w:rPr>
                <w:b/>
                <w:bCs/>
              </w:rPr>
              <w:t>Source: ITU</w:t>
            </w:r>
          </w:p>
        </w:tc>
        <w:tc>
          <w:tcPr>
            <w:tcW w:w="4343" w:type="dxa"/>
          </w:tcPr>
          <w:p w14:paraId="0E801537" w14:textId="77777777" w:rsidR="00FE4C48" w:rsidRPr="00B87922" w:rsidRDefault="00FE4C48" w:rsidP="00614D53">
            <w:pPr>
              <w:spacing w:after="40"/>
              <w:rPr>
                <w:lang w:val="en-GB"/>
              </w:rPr>
            </w:pPr>
          </w:p>
        </w:tc>
      </w:tr>
      <w:tr w:rsidR="005E44F3" w:rsidRPr="00B64995" w14:paraId="216B15CE" w14:textId="77777777" w:rsidTr="6844BCB7">
        <w:tc>
          <w:tcPr>
            <w:tcW w:w="4673" w:type="dxa"/>
          </w:tcPr>
          <w:p w14:paraId="2CAAEBFE" w14:textId="77777777" w:rsidR="00FE4C48" w:rsidRPr="00B87922" w:rsidRDefault="00FE4C48" w:rsidP="00614D53">
            <w:pPr>
              <w:spacing w:after="40"/>
              <w:rPr>
                <w:lang w:val="en-GB"/>
              </w:rPr>
            </w:pPr>
          </w:p>
        </w:tc>
        <w:tc>
          <w:tcPr>
            <w:tcW w:w="4343" w:type="dxa"/>
          </w:tcPr>
          <w:p w14:paraId="342C454B" w14:textId="77777777" w:rsidR="00FE4C48" w:rsidRPr="00B87922" w:rsidRDefault="00FE4C48" w:rsidP="00614D53">
            <w:pPr>
              <w:spacing w:after="40"/>
              <w:rPr>
                <w:lang w:val="en-GB"/>
              </w:rPr>
            </w:pPr>
          </w:p>
        </w:tc>
      </w:tr>
    </w:tbl>
    <w:p w14:paraId="1FF0B91C" w14:textId="77777777" w:rsidR="00884522" w:rsidRPr="00B64995" w:rsidRDefault="00884522" w:rsidP="00884522">
      <w:pPr>
        <w:pStyle w:val="Heading3"/>
        <w:spacing w:before="120" w:after="120"/>
      </w:pPr>
      <w:bookmarkStart w:id="144" w:name="_Toc37860476"/>
      <w:bookmarkStart w:id="145" w:name="_Toc37861236"/>
      <w:bookmarkStart w:id="146" w:name="_Toc37943360"/>
    </w:p>
    <w:p w14:paraId="09E3DAB6" w14:textId="2C38F3E1" w:rsidR="6650BB5B" w:rsidRPr="00B64995" w:rsidRDefault="00026FC6" w:rsidP="00884522">
      <w:pPr>
        <w:pStyle w:val="Heading3"/>
        <w:spacing w:before="120" w:after="120"/>
      </w:pPr>
      <w:bookmarkStart w:id="147" w:name="_Toc68811430"/>
      <w:r w:rsidRPr="00B64995">
        <w:t>3.1.4</w:t>
      </w:r>
      <w:r w:rsidRPr="00B64995">
        <w:tab/>
      </w:r>
      <w:r w:rsidR="60D65324" w:rsidRPr="00B64995">
        <w:t>Goal 4 – Innovation</w:t>
      </w:r>
      <w:bookmarkEnd w:id="144"/>
      <w:bookmarkEnd w:id="145"/>
      <w:bookmarkEnd w:id="146"/>
      <w:bookmarkEnd w:id="147"/>
    </w:p>
    <w:p w14:paraId="7807E1FF" w14:textId="145C9BE9" w:rsidR="2CA92BD6" w:rsidRPr="00B64995" w:rsidRDefault="2CA92BD6" w:rsidP="5503EDA3">
      <w:r w:rsidRPr="00B64995">
        <w:t xml:space="preserve">Enable innovation in telecommunications/ICT in support of the digital transformation of </w:t>
      </w:r>
      <w:proofErr w:type="gramStart"/>
      <w:r w:rsidRPr="00B64995">
        <w:t>society</w:t>
      </w:r>
      <w:proofErr w:type="gramEnd"/>
    </w:p>
    <w:p w14:paraId="6124BF0B" w14:textId="77777777" w:rsidR="00DD1779" w:rsidRPr="00B64995" w:rsidRDefault="00DD1779" w:rsidP="00614D53">
      <w:pPr>
        <w:rPr>
          <w:rFonts w:eastAsia="Calibri"/>
          <w:b/>
        </w:rPr>
      </w:pPr>
    </w:p>
    <w:p w14:paraId="69B76111" w14:textId="36F7F2A7" w:rsidR="6650BB5B" w:rsidRPr="00B64995" w:rsidRDefault="60D65324" w:rsidP="00A83DAA">
      <w:pPr>
        <w:pStyle w:val="Heading5"/>
      </w:pPr>
      <w:r w:rsidRPr="00B64995">
        <w:t>Strategic target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0B7D2F3C" w:rsidRPr="00B64995" w14:paraId="6684A97B" w14:textId="77777777" w:rsidTr="00CA1CC1">
        <w:tc>
          <w:tcPr>
            <w:tcW w:w="9026" w:type="dxa"/>
            <w:shd w:val="clear" w:color="auto" w:fill="DCE5F4"/>
          </w:tcPr>
          <w:p w14:paraId="3AC9DC2F" w14:textId="030C0CDD" w:rsidR="0B7D2F3C" w:rsidRPr="00B87922" w:rsidRDefault="68CAA720" w:rsidP="00CA1CC1">
            <w:pPr>
              <w:pStyle w:val="boxhead"/>
              <w:rPr>
                <w:lang w:val="en-GB"/>
              </w:rPr>
            </w:pPr>
            <w:r w:rsidRPr="00B64995">
              <w:t>By 2023:</w:t>
            </w:r>
          </w:p>
          <w:p w14:paraId="118E8065" w14:textId="289AABA0" w:rsidR="0B7D2F3C" w:rsidRPr="00B64995" w:rsidRDefault="68CAA720" w:rsidP="00811918">
            <w:pPr>
              <w:pStyle w:val="boxtext"/>
              <w:rPr>
                <w:lang w:val="en-GB"/>
              </w:rPr>
            </w:pPr>
            <w:r w:rsidRPr="00A060FE">
              <w:rPr>
                <w:b/>
                <w:lang w:val="en-GB"/>
              </w:rPr>
              <w:t>Target 4.1</w:t>
            </w:r>
            <w:r w:rsidRPr="00B64995">
              <w:rPr>
                <w:lang w:val="en-GB"/>
              </w:rPr>
              <w:t>: all countries should have policies/strategies fostering telecommunication/ICT-centric innovation</w:t>
            </w:r>
          </w:p>
        </w:tc>
      </w:tr>
    </w:tbl>
    <w:p w14:paraId="6A99860D" w14:textId="5933C2A8" w:rsidR="00164084" w:rsidRPr="00B64995" w:rsidRDefault="00164084" w:rsidP="00884522">
      <w:pPr>
        <w:pStyle w:val="Heading5"/>
        <w:spacing w:before="240"/>
      </w:pPr>
      <w:r w:rsidRPr="00B64995">
        <w:lastRenderedPageBreak/>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4AB3" w:rsidRPr="00B64995" w14:paraId="0CCCA88D" w14:textId="77777777" w:rsidTr="6844BCB7">
        <w:tc>
          <w:tcPr>
            <w:tcW w:w="90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E8F35B" w14:textId="58D4B798" w:rsidR="009E4AB3" w:rsidRPr="00B87922" w:rsidRDefault="009E4AB3" w:rsidP="00C46CFD">
            <w:pPr>
              <w:keepNext/>
              <w:keepLines/>
              <w:jc w:val="center"/>
              <w:rPr>
                <w:b/>
                <w:bCs/>
                <w:lang w:val="en-GB"/>
              </w:rPr>
            </w:pPr>
            <w:r w:rsidRPr="00B64995">
              <w:rPr>
                <w:b/>
                <w:bCs/>
              </w:rPr>
              <w:t xml:space="preserve">Target </w:t>
            </w:r>
            <w:r w:rsidR="00AA4F8F">
              <w:rPr>
                <w:b/>
                <w:bCs/>
              </w:rPr>
              <w:t>4.1</w:t>
            </w:r>
            <w:r w:rsidRPr="00B64995">
              <w:rPr>
                <w:b/>
                <w:bCs/>
              </w:rPr>
              <w:t xml:space="preserve">: </w:t>
            </w:r>
            <w:r w:rsidR="00805F05">
              <w:rPr>
                <w:b/>
                <w:bCs/>
              </w:rPr>
              <w:t>Off track</w:t>
            </w:r>
          </w:p>
        </w:tc>
      </w:tr>
      <w:tr w:rsidR="009E4AB3" w:rsidRPr="00B64995" w14:paraId="7B70305D" w14:textId="77777777" w:rsidTr="6844BCB7">
        <w:tc>
          <w:tcPr>
            <w:tcW w:w="9016" w:type="dxa"/>
            <w:tcBorders>
              <w:top w:val="single" w:sz="4" w:space="0" w:color="auto"/>
            </w:tcBorders>
          </w:tcPr>
          <w:p w14:paraId="226AEF6F" w14:textId="7394323C" w:rsidR="009E4AB3" w:rsidRPr="00B87922" w:rsidRDefault="00A31F8A" w:rsidP="00EB3635">
            <w:pPr>
              <w:spacing w:before="120"/>
              <w:jc w:val="center"/>
              <w:rPr>
                <w:b/>
                <w:bCs/>
                <w:lang w:val="en-GB"/>
              </w:rPr>
            </w:pPr>
            <w:r>
              <w:rPr>
                <w:b/>
                <w:bCs/>
                <w:noProof/>
              </w:rPr>
              <w:drawing>
                <wp:inline distT="0" distB="0" distL="0" distR="0" wp14:anchorId="7F48D46C" wp14:editId="4AD0AB38">
                  <wp:extent cx="2954436" cy="1728787"/>
                  <wp:effectExtent l="0" t="0" r="0" b="5080"/>
                  <wp:docPr id="1193504120" name="Picture 11935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965457" cy="1735236"/>
                          </a:xfrm>
                          <a:prstGeom prst="rect">
                            <a:avLst/>
                          </a:prstGeom>
                          <a:noFill/>
                        </pic:spPr>
                      </pic:pic>
                    </a:graphicData>
                  </a:graphic>
                </wp:inline>
              </w:drawing>
            </w:r>
          </w:p>
        </w:tc>
      </w:tr>
    </w:tbl>
    <w:p w14:paraId="651C6B43" w14:textId="77777777" w:rsidR="007C6D88" w:rsidRPr="00B64995" w:rsidRDefault="007C6D88" w:rsidP="007C6D88">
      <w:pPr>
        <w:spacing w:after="40"/>
        <w:rPr>
          <w:b/>
          <w:bCs/>
        </w:rPr>
      </w:pPr>
      <w:r w:rsidRPr="00B64995">
        <w:rPr>
          <w:b/>
          <w:bCs/>
        </w:rPr>
        <w:t>Source: ITU</w:t>
      </w:r>
    </w:p>
    <w:p w14:paraId="04DCED8E" w14:textId="4E7B5BB4" w:rsidR="3FA2EF00" w:rsidRPr="00B64995" w:rsidRDefault="3FA2EF00" w:rsidP="00614D53"/>
    <w:p w14:paraId="6D79DDE2" w14:textId="77777777" w:rsidR="00EB3635" w:rsidRPr="00B64995" w:rsidRDefault="00EB3635" w:rsidP="00614D53"/>
    <w:p w14:paraId="3E99D836" w14:textId="79FC1919" w:rsidR="2914D5FC" w:rsidRPr="00B64995" w:rsidRDefault="00026FC6" w:rsidP="00884522">
      <w:pPr>
        <w:pStyle w:val="Heading3"/>
      </w:pPr>
      <w:bookmarkStart w:id="148" w:name="_Toc37860477"/>
      <w:bookmarkStart w:id="149" w:name="_Toc37861237"/>
      <w:bookmarkStart w:id="150" w:name="_Toc37943361"/>
      <w:bookmarkStart w:id="151" w:name="_Toc68811431"/>
      <w:r w:rsidRPr="00B64995">
        <w:t>3.1.5</w:t>
      </w:r>
      <w:r w:rsidRPr="00B64995">
        <w:tab/>
      </w:r>
      <w:r w:rsidR="00B830BE" w:rsidRPr="00B64995">
        <w:t>Goal 5 – Partnership</w:t>
      </w:r>
      <w:r w:rsidR="222D80BD" w:rsidRPr="00B64995">
        <w:t>s</w:t>
      </w:r>
      <w:bookmarkEnd w:id="148"/>
      <w:bookmarkEnd w:id="149"/>
      <w:bookmarkEnd w:id="150"/>
      <w:bookmarkEnd w:id="151"/>
    </w:p>
    <w:p w14:paraId="38CC3DEF" w14:textId="3F250D40" w:rsidR="2914D5FC" w:rsidRPr="00B64995" w:rsidRDefault="00B830BE" w:rsidP="00A83DAA">
      <w:pPr>
        <w:pStyle w:val="Heading5"/>
      </w:pPr>
      <w:r w:rsidRPr="00B64995">
        <w:t>Strategic target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6"/>
      </w:tblGrid>
      <w:tr w:rsidR="461FDE1E" w:rsidRPr="00B64995" w14:paraId="27BF485E" w14:textId="77777777" w:rsidTr="00CA1CC1">
        <w:tc>
          <w:tcPr>
            <w:tcW w:w="9026" w:type="dxa"/>
            <w:shd w:val="clear" w:color="auto" w:fill="DCE5F4"/>
          </w:tcPr>
          <w:p w14:paraId="076F4D7C" w14:textId="030C0CDD" w:rsidR="461FDE1E" w:rsidRPr="00B87922" w:rsidRDefault="79FB678D" w:rsidP="00CA1CC1">
            <w:pPr>
              <w:pStyle w:val="boxhead"/>
              <w:rPr>
                <w:lang w:val="en-GB"/>
              </w:rPr>
            </w:pPr>
            <w:r w:rsidRPr="00B64995">
              <w:t>By 2023:</w:t>
            </w:r>
          </w:p>
          <w:p w14:paraId="1F13A0F2" w14:textId="030C0CDD" w:rsidR="461FDE1E" w:rsidRPr="00B64995" w:rsidRDefault="79FB678D" w:rsidP="00CA1CC1">
            <w:pPr>
              <w:pStyle w:val="boxtext"/>
              <w:rPr>
                <w:lang w:val="en-GB"/>
              </w:rPr>
            </w:pPr>
            <w:r w:rsidRPr="00A060FE">
              <w:rPr>
                <w:b/>
                <w:lang w:val="en-GB"/>
              </w:rPr>
              <w:t>Target 5.1</w:t>
            </w:r>
            <w:r w:rsidRPr="00B64995">
              <w:rPr>
                <w:lang w:val="en-GB"/>
              </w:rPr>
              <w:t>: increased effective partnerships with stakeholders and cooperation with other organization and entities in the telecommunication/ICT environment</w:t>
            </w:r>
          </w:p>
        </w:tc>
      </w:tr>
    </w:tbl>
    <w:p w14:paraId="5014842F" w14:textId="77420A9A" w:rsidR="461FDE1E" w:rsidRPr="00B64995" w:rsidRDefault="461FDE1E" w:rsidP="00614D53"/>
    <w:p w14:paraId="3B9DBE8A" w14:textId="77777777" w:rsidR="00EB3635" w:rsidRPr="00B64995" w:rsidRDefault="00EB3635" w:rsidP="00614D53"/>
    <w:p w14:paraId="341CF8D8" w14:textId="5BBA36D9" w:rsidR="00164084" w:rsidRPr="00B64995" w:rsidRDefault="00164084" w:rsidP="00884522">
      <w:pPr>
        <w:pStyle w:val="Heading5"/>
        <w:spacing w:before="0"/>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364A7" w:rsidRPr="00B64995" w14:paraId="49F19786" w14:textId="77777777" w:rsidTr="6844BCB7">
        <w:tc>
          <w:tcPr>
            <w:tcW w:w="901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1B64E97" w14:textId="3EE03A1D" w:rsidR="002364A7" w:rsidRPr="00B87922" w:rsidRDefault="002364A7" w:rsidP="00614D53">
            <w:pPr>
              <w:jc w:val="center"/>
              <w:rPr>
                <w:rFonts w:eastAsia="Calibri"/>
                <w:lang w:val="en-GB"/>
              </w:rPr>
            </w:pPr>
            <w:r w:rsidRPr="00B64995">
              <w:rPr>
                <w:b/>
                <w:bCs/>
              </w:rPr>
              <w:t xml:space="preserve">Target </w:t>
            </w:r>
            <w:r w:rsidR="00180A64">
              <w:rPr>
                <w:b/>
                <w:bCs/>
              </w:rPr>
              <w:t>5.1</w:t>
            </w:r>
            <w:r w:rsidRPr="00B64995">
              <w:rPr>
                <w:b/>
                <w:bCs/>
              </w:rPr>
              <w:t xml:space="preserve">: </w:t>
            </w:r>
            <w:r w:rsidR="0005482D">
              <w:rPr>
                <w:b/>
                <w:bCs/>
              </w:rPr>
              <w:t>On track</w:t>
            </w:r>
          </w:p>
        </w:tc>
      </w:tr>
      <w:tr w:rsidR="002364A7" w:rsidRPr="00B64995" w14:paraId="6EB54F0E" w14:textId="77777777" w:rsidTr="6844BCB7">
        <w:tc>
          <w:tcPr>
            <w:tcW w:w="9016" w:type="dxa"/>
            <w:tcBorders>
              <w:top w:val="single" w:sz="4" w:space="0" w:color="auto"/>
            </w:tcBorders>
          </w:tcPr>
          <w:p w14:paraId="6B317263" w14:textId="2D2462DC" w:rsidR="002364A7" w:rsidRDefault="002364A7" w:rsidP="00EB3635">
            <w:pPr>
              <w:spacing w:before="120"/>
              <w:rPr>
                <w:rFonts w:eastAsia="Calibri"/>
              </w:rPr>
            </w:pPr>
            <w:r w:rsidRPr="00B64995">
              <w:rPr>
                <w:rFonts w:eastAsia="Calibri"/>
              </w:rPr>
              <w:t xml:space="preserve">New Target! Two new questions were included in the ITU Membership </w:t>
            </w:r>
            <w:r w:rsidR="009002E1" w:rsidRPr="00B64995">
              <w:rPr>
                <w:rFonts w:eastAsia="Calibri"/>
              </w:rPr>
              <w:t>S</w:t>
            </w:r>
            <w:r w:rsidRPr="00B64995">
              <w:rPr>
                <w:rFonts w:eastAsia="Calibri"/>
              </w:rPr>
              <w:t>urvey:</w:t>
            </w:r>
          </w:p>
          <w:p w14:paraId="5A0EEEB9" w14:textId="09E910EB" w:rsidR="00FE294A" w:rsidRDefault="00FE294A" w:rsidP="00EB3635">
            <w:pPr>
              <w:spacing w:before="120"/>
              <w:rPr>
                <w:rFonts w:eastAsia="Calibri"/>
              </w:rPr>
            </w:pPr>
          </w:p>
          <w:p w14:paraId="4D3AB574" w14:textId="10D7964B" w:rsidR="00FE294A" w:rsidRPr="00B87922" w:rsidRDefault="00FE294A" w:rsidP="00EB3635">
            <w:pPr>
              <w:spacing w:before="120"/>
              <w:rPr>
                <w:rFonts w:eastAsia="Calibri"/>
                <w:lang w:val="en-GB"/>
              </w:rPr>
            </w:pPr>
            <w:r>
              <w:rPr>
                <w:rFonts w:eastAsia="Calibri"/>
              </w:rPr>
              <w:t>2019</w:t>
            </w:r>
          </w:p>
          <w:p w14:paraId="544ED103" w14:textId="46077AEC" w:rsidR="002364A7" w:rsidRPr="00B87922" w:rsidRDefault="5FEFAB4B" w:rsidP="00884522">
            <w:pPr>
              <w:jc w:val="center"/>
              <w:rPr>
                <w:lang w:val="en-GB"/>
              </w:rPr>
            </w:pPr>
            <w:r w:rsidRPr="00166BCE">
              <w:rPr>
                <w:noProof/>
              </w:rPr>
              <w:drawing>
                <wp:inline distT="0" distB="0" distL="0" distR="0" wp14:anchorId="427CE452" wp14:editId="71ABA716">
                  <wp:extent cx="5518184" cy="2425700"/>
                  <wp:effectExtent l="0" t="0" r="6350" b="0"/>
                  <wp:docPr id="195826395" name="Picture 155238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380309"/>
                          <pic:cNvPicPr/>
                        </pic:nvPicPr>
                        <pic:blipFill>
                          <a:blip r:embed="rId470">
                            <a:extLst>
                              <a:ext uri="{28A0092B-C50C-407E-A947-70E740481C1C}">
                                <a14:useLocalDpi xmlns:a14="http://schemas.microsoft.com/office/drawing/2010/main" val="0"/>
                              </a:ext>
                            </a:extLst>
                          </a:blip>
                          <a:stretch>
                            <a:fillRect/>
                          </a:stretch>
                        </pic:blipFill>
                        <pic:spPr>
                          <a:xfrm>
                            <a:off x="0" y="0"/>
                            <a:ext cx="5518184" cy="2425700"/>
                          </a:xfrm>
                          <a:prstGeom prst="rect">
                            <a:avLst/>
                          </a:prstGeom>
                        </pic:spPr>
                      </pic:pic>
                    </a:graphicData>
                  </a:graphic>
                </wp:inline>
              </w:drawing>
            </w:r>
          </w:p>
        </w:tc>
      </w:tr>
    </w:tbl>
    <w:p w14:paraId="1326F414" w14:textId="77777777" w:rsidR="0016554F" w:rsidRPr="00B64995" w:rsidRDefault="007C6D88" w:rsidP="00884522">
      <w:pPr>
        <w:spacing w:after="40"/>
        <w:rPr>
          <w:b/>
          <w:bCs/>
        </w:rPr>
      </w:pPr>
      <w:r w:rsidRPr="00B64995">
        <w:rPr>
          <w:b/>
          <w:bCs/>
        </w:rPr>
        <w:t>Source: ITU</w:t>
      </w:r>
    </w:p>
    <w:p w14:paraId="35516A6A" w14:textId="39AD7AB6" w:rsidR="00F00606" w:rsidRDefault="00F00606" w:rsidP="00884522">
      <w:pPr>
        <w:spacing w:after="40"/>
      </w:pPr>
      <w:r w:rsidRPr="00B64995">
        <w:br w:type="page"/>
      </w:r>
    </w:p>
    <w:p w14:paraId="4F496C30" w14:textId="16D120E6" w:rsidR="00FE294A" w:rsidRDefault="00FE294A" w:rsidP="00884522">
      <w:pPr>
        <w:spacing w:after="40"/>
      </w:pPr>
      <w:r>
        <w:lastRenderedPageBreak/>
        <w:t>2020</w:t>
      </w:r>
    </w:p>
    <w:p w14:paraId="6FE7D72B" w14:textId="0F865291" w:rsidR="00FE294A" w:rsidRPr="00B64995" w:rsidRDefault="006B0E3B" w:rsidP="00884522">
      <w:pPr>
        <w:spacing w:after="40"/>
        <w:rPr>
          <w:b/>
          <w:bCs/>
        </w:rPr>
      </w:pPr>
      <w:r>
        <w:rPr>
          <w:noProof/>
        </w:rPr>
        <w:drawing>
          <wp:inline distT="0" distB="0" distL="0" distR="0" wp14:anchorId="2F1A3010" wp14:editId="7CB0E306">
            <wp:extent cx="5386388" cy="2298137"/>
            <wp:effectExtent l="0" t="0" r="5080" b="6985"/>
            <wp:docPr id="1837948288" name="Picture 183794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5388989" cy="2299247"/>
                    </a:xfrm>
                    <a:prstGeom prst="rect">
                      <a:avLst/>
                    </a:prstGeom>
                  </pic:spPr>
                </pic:pic>
              </a:graphicData>
            </a:graphic>
          </wp:inline>
        </w:drawing>
      </w:r>
    </w:p>
    <w:p w14:paraId="4A932D9C" w14:textId="2847251F" w:rsidR="007A5217" w:rsidRPr="00B64995" w:rsidRDefault="00026FC6" w:rsidP="00026FC6">
      <w:pPr>
        <w:pStyle w:val="Heading2"/>
      </w:pPr>
      <w:bookmarkStart w:id="152" w:name="_Toc37860478"/>
      <w:bookmarkStart w:id="153" w:name="_Toc37861238"/>
      <w:bookmarkStart w:id="154" w:name="_Toc37943362"/>
      <w:bookmarkStart w:id="155" w:name="_Toc68811432"/>
      <w:r w:rsidRPr="00B64995">
        <w:t>3.2</w:t>
      </w:r>
      <w:r w:rsidRPr="00B64995">
        <w:tab/>
      </w:r>
      <w:r w:rsidR="007A5217" w:rsidRPr="00B64995">
        <w:t>Outcomes of the work of the Union – ITU sector and inter-sectoral objectives</w:t>
      </w:r>
      <w:bookmarkEnd w:id="152"/>
      <w:bookmarkEnd w:id="153"/>
      <w:bookmarkEnd w:id="154"/>
      <w:bookmarkEnd w:id="155"/>
    </w:p>
    <w:p w14:paraId="7E223DAB" w14:textId="497AE8E2" w:rsidR="00DD1779" w:rsidRPr="00B64995" w:rsidRDefault="00DD1779" w:rsidP="0016554F">
      <w:pPr>
        <w:spacing w:before="240"/>
      </w:pPr>
      <w:r w:rsidRPr="00B64995">
        <w:t>See Annex 2.</w:t>
      </w:r>
    </w:p>
    <w:p w14:paraId="0B450EDB" w14:textId="7357987C" w:rsidR="00AA47DC" w:rsidRPr="00B64995" w:rsidRDefault="00AA47DC" w:rsidP="00614D53"/>
    <w:p w14:paraId="0281BE58" w14:textId="1A38E74A" w:rsidR="00AA47DC" w:rsidRPr="00B64995" w:rsidRDefault="00026FC6" w:rsidP="00026FC6">
      <w:pPr>
        <w:pStyle w:val="Heading2"/>
      </w:pPr>
      <w:bookmarkStart w:id="156" w:name="_Toc68811433"/>
      <w:r w:rsidRPr="00B64995">
        <w:t>3.3</w:t>
      </w:r>
      <w:r w:rsidRPr="00B64995">
        <w:tab/>
      </w:r>
      <w:r w:rsidR="00AA47DC" w:rsidRPr="00B64995">
        <w:t xml:space="preserve">Results of the </w:t>
      </w:r>
      <w:r w:rsidR="000C0C46" w:rsidRPr="00B64995">
        <w:t>e</w:t>
      </w:r>
      <w:r w:rsidR="00AA47DC" w:rsidRPr="00B64995">
        <w:t>nablers</w:t>
      </w:r>
      <w:bookmarkEnd w:id="156"/>
    </w:p>
    <w:p w14:paraId="4BC23D0B" w14:textId="77777777" w:rsidR="00AA47DC" w:rsidRPr="00B64995" w:rsidRDefault="00AA47DC" w:rsidP="0016554F">
      <w:pPr>
        <w:spacing w:before="240"/>
      </w:pPr>
      <w:r w:rsidRPr="00B64995">
        <w:t>See Annex 2.</w:t>
      </w:r>
    </w:p>
    <w:p w14:paraId="466FD034" w14:textId="77777777" w:rsidR="007A5217" w:rsidRPr="00B64995" w:rsidRDefault="007A5217" w:rsidP="00614D53"/>
    <w:p w14:paraId="732C0A76" w14:textId="22204ED3" w:rsidR="0049723A" w:rsidRPr="00B64995" w:rsidRDefault="7C633EDA" w:rsidP="00026FC6">
      <w:pPr>
        <w:pStyle w:val="Heading2"/>
        <w:rPr>
          <w:lang w:eastAsia="en-GB"/>
        </w:rPr>
      </w:pPr>
      <w:bookmarkStart w:id="157" w:name="_Toc37860480"/>
      <w:bookmarkStart w:id="158" w:name="_Toc37861240"/>
      <w:bookmarkStart w:id="159" w:name="_Toc37943373"/>
      <w:bookmarkStart w:id="160" w:name="_Toc68811434"/>
      <w:r w:rsidRPr="00B64995">
        <w:rPr>
          <w:lang w:eastAsia="en-GB"/>
        </w:rPr>
        <w:t>3.4</w:t>
      </w:r>
      <w:r w:rsidR="003966B2" w:rsidRPr="00B64995">
        <w:rPr>
          <w:lang w:eastAsia="en-GB"/>
        </w:rPr>
        <w:tab/>
      </w:r>
      <w:r w:rsidR="667DF6FB" w:rsidRPr="00B64995">
        <w:rPr>
          <w:lang w:eastAsia="en-GB"/>
        </w:rPr>
        <w:t>Priorities</w:t>
      </w:r>
      <w:r w:rsidR="00365787" w:rsidRPr="00B64995">
        <w:rPr>
          <w:lang w:eastAsia="en-GB"/>
        </w:rPr>
        <w:softHyphen/>
      </w:r>
      <w:r w:rsidR="00365787" w:rsidRPr="00B64995">
        <w:rPr>
          <w:lang w:eastAsia="en-GB"/>
        </w:rPr>
        <w:softHyphen/>
      </w:r>
      <w:r w:rsidR="667DF6FB" w:rsidRPr="00B64995">
        <w:rPr>
          <w:lang w:eastAsia="en-GB"/>
        </w:rPr>
        <w:t xml:space="preserve"> for </w:t>
      </w:r>
      <w:r w:rsidR="667DF6FB" w:rsidRPr="00570F0C">
        <w:rPr>
          <w:lang w:eastAsia="en-GB"/>
        </w:rPr>
        <w:t>2020-</w:t>
      </w:r>
      <w:bookmarkEnd w:id="157"/>
      <w:bookmarkEnd w:id="158"/>
      <w:bookmarkEnd w:id="159"/>
      <w:bookmarkEnd w:id="160"/>
      <w:r w:rsidR="00347E48" w:rsidRPr="00570F0C">
        <w:rPr>
          <w:lang w:eastAsia="en-GB"/>
        </w:rPr>
        <w:t>2022</w:t>
      </w:r>
    </w:p>
    <w:p w14:paraId="5C8C6B09" w14:textId="76248C6C" w:rsidR="00B34A57" w:rsidRPr="00B64995" w:rsidRDefault="00B34A57" w:rsidP="00614D53">
      <w:pPr>
        <w:jc w:val="both"/>
        <w:textAlignment w:val="baseline"/>
        <w:rPr>
          <w:rFonts w:eastAsia="Times New Roman"/>
          <w:lang w:eastAsia="en-GB"/>
        </w:rPr>
      </w:pPr>
    </w:p>
    <w:p w14:paraId="0EFB2E06" w14:textId="1DB261DD" w:rsidR="0068262B" w:rsidRPr="00B64995" w:rsidRDefault="0D3F6AAB" w:rsidP="00B65153">
      <w:pPr>
        <w:pStyle w:val="ListParagraph"/>
        <w:numPr>
          <w:ilvl w:val="0"/>
          <w:numId w:val="32"/>
        </w:numPr>
        <w:jc w:val="both"/>
        <w:textAlignment w:val="baseline"/>
        <w:rPr>
          <w:rFonts w:eastAsia="Times New Roman" w:cs="Calibri"/>
          <w:lang w:val="en-GB" w:eastAsia="en-GB"/>
        </w:rPr>
      </w:pPr>
      <w:r w:rsidRPr="00B64995">
        <w:rPr>
          <w:rFonts w:eastAsia="Times New Roman" w:cs="Calibri"/>
          <w:lang w:val="en-GB" w:eastAsia="en-GB"/>
        </w:rPr>
        <w:t xml:space="preserve">Organization of the World Telecommunication </w:t>
      </w:r>
      <w:r w:rsidR="3E49ACAD" w:rsidRPr="00B64995">
        <w:rPr>
          <w:rFonts w:eastAsia="Times New Roman" w:cs="Calibri"/>
          <w:lang w:val="en-GB" w:eastAsia="en-GB"/>
        </w:rPr>
        <w:t xml:space="preserve">Standardization </w:t>
      </w:r>
      <w:r w:rsidRPr="00B64995">
        <w:rPr>
          <w:rFonts w:eastAsia="Times New Roman" w:cs="Calibri"/>
          <w:lang w:val="en-GB" w:eastAsia="en-GB"/>
        </w:rPr>
        <w:t>Assembly (</w:t>
      </w:r>
      <w:r w:rsidR="0068262B" w:rsidRPr="00B64995">
        <w:rPr>
          <w:rFonts w:eastAsia="Times New Roman" w:cs="Calibri"/>
          <w:lang w:val="en-GB" w:eastAsia="en-GB"/>
        </w:rPr>
        <w:t>WTSA-</w:t>
      </w:r>
      <w:r w:rsidR="651D9D1F" w:rsidRPr="00B64995">
        <w:rPr>
          <w:rFonts w:eastAsia="Times New Roman" w:cs="Calibri"/>
          <w:lang w:val="en-GB" w:eastAsia="en-GB"/>
        </w:rPr>
        <w:t>2</w:t>
      </w:r>
      <w:r w:rsidR="0068262B" w:rsidRPr="00B64995">
        <w:rPr>
          <w:rFonts w:eastAsia="Times New Roman" w:cs="Calibri"/>
          <w:lang w:val="en-GB" w:eastAsia="en-GB"/>
        </w:rPr>
        <w:t>0</w:t>
      </w:r>
      <w:proofErr w:type="gramStart"/>
      <w:r w:rsidR="23DF12A4" w:rsidRPr="00B64995">
        <w:rPr>
          <w:rFonts w:eastAsia="Times New Roman" w:cs="Calibri"/>
          <w:lang w:val="en-GB" w:eastAsia="en-GB"/>
        </w:rPr>
        <w:t>)</w:t>
      </w:r>
      <w:r w:rsidR="69858816" w:rsidRPr="00B64995">
        <w:rPr>
          <w:rFonts w:eastAsia="Times New Roman" w:cs="Calibri"/>
          <w:lang w:val="en-GB" w:eastAsia="en-GB"/>
        </w:rPr>
        <w:t>;</w:t>
      </w:r>
      <w:proofErr w:type="gramEnd"/>
    </w:p>
    <w:p w14:paraId="370877D8" w14:textId="65E0FBF5" w:rsidR="23DF12A4" w:rsidRPr="00B64995" w:rsidRDefault="23DF12A4" w:rsidP="00B65153">
      <w:pPr>
        <w:pStyle w:val="ListParagraph"/>
        <w:numPr>
          <w:ilvl w:val="0"/>
          <w:numId w:val="32"/>
        </w:numPr>
        <w:jc w:val="both"/>
        <w:rPr>
          <w:rFonts w:eastAsia="Times New Roman" w:cs="Calibri"/>
          <w:lang w:val="en-GB" w:eastAsia="en-GB"/>
        </w:rPr>
      </w:pPr>
      <w:r w:rsidRPr="00B64995">
        <w:rPr>
          <w:rFonts w:eastAsia="Times New Roman" w:cs="Calibri"/>
          <w:lang w:val="en-GB" w:eastAsia="en-GB"/>
        </w:rPr>
        <w:t>Preparatory processes for the World Telecommunication Development Conference (</w:t>
      </w:r>
      <w:r w:rsidR="0068262B" w:rsidRPr="00B64995">
        <w:rPr>
          <w:rFonts w:eastAsia="Times New Roman" w:cs="Calibri"/>
          <w:lang w:val="en-GB" w:eastAsia="en-GB"/>
        </w:rPr>
        <w:t>WTDC-21</w:t>
      </w:r>
      <w:r w:rsidR="0B7C5AB8" w:rsidRPr="00B64995">
        <w:rPr>
          <w:rFonts w:eastAsia="Times New Roman" w:cs="Calibri"/>
          <w:lang w:val="en-GB" w:eastAsia="en-GB"/>
        </w:rPr>
        <w:t xml:space="preserve">) and the World </w:t>
      </w:r>
      <w:r w:rsidR="7A0513B8" w:rsidRPr="00B64995">
        <w:rPr>
          <w:rFonts w:eastAsia="Times New Roman" w:cs="Calibri"/>
          <w:lang w:val="en-GB" w:eastAsia="en-GB"/>
        </w:rPr>
        <w:t>Telecommunication</w:t>
      </w:r>
      <w:r w:rsidR="0B7C5AB8" w:rsidRPr="00B64995">
        <w:rPr>
          <w:rFonts w:eastAsia="Times New Roman" w:cs="Calibri"/>
          <w:lang w:val="en-GB" w:eastAsia="en-GB"/>
        </w:rPr>
        <w:t>/ICT Policy Forum (</w:t>
      </w:r>
      <w:r w:rsidR="770306E9" w:rsidRPr="00B64995">
        <w:rPr>
          <w:rFonts w:eastAsia="Times New Roman" w:cs="Calibri"/>
          <w:lang w:val="en-GB" w:eastAsia="en-GB"/>
        </w:rPr>
        <w:t>WTPF</w:t>
      </w:r>
      <w:proofErr w:type="gramStart"/>
      <w:r w:rsidR="47957586" w:rsidRPr="00B64995">
        <w:rPr>
          <w:rFonts w:eastAsia="Times New Roman" w:cs="Calibri"/>
          <w:lang w:val="en-GB" w:eastAsia="en-GB"/>
        </w:rPr>
        <w:t>)</w:t>
      </w:r>
      <w:r w:rsidR="2046EA26" w:rsidRPr="00B64995">
        <w:rPr>
          <w:rFonts w:eastAsia="Times New Roman" w:cs="Calibri"/>
          <w:lang w:val="en-GB" w:eastAsia="en-GB"/>
        </w:rPr>
        <w:t>;</w:t>
      </w:r>
      <w:proofErr w:type="gramEnd"/>
    </w:p>
    <w:p w14:paraId="249AAF82" w14:textId="199D8870" w:rsidR="0049723A" w:rsidRPr="00B64995" w:rsidRDefault="0068262B" w:rsidP="00B65153">
      <w:pPr>
        <w:pStyle w:val="ListParagraph"/>
        <w:numPr>
          <w:ilvl w:val="0"/>
          <w:numId w:val="32"/>
        </w:numPr>
        <w:rPr>
          <w:rFonts w:cs="Calibri"/>
          <w:lang w:val="en-GB" w:eastAsia="en-GB"/>
        </w:rPr>
      </w:pPr>
      <w:r w:rsidRPr="00B64995">
        <w:rPr>
          <w:rFonts w:cs="Calibri"/>
          <w:lang w:val="en-GB" w:eastAsia="en-GB"/>
        </w:rPr>
        <w:t xml:space="preserve">Implementing </w:t>
      </w:r>
      <w:r w:rsidR="302A9C74" w:rsidRPr="00B64995">
        <w:rPr>
          <w:rFonts w:cs="Calibri"/>
          <w:lang w:val="en-GB" w:eastAsia="en-GB"/>
        </w:rPr>
        <w:t xml:space="preserve">the </w:t>
      </w:r>
      <w:r w:rsidRPr="00B64995">
        <w:rPr>
          <w:rFonts w:cs="Calibri"/>
          <w:lang w:val="en-GB" w:eastAsia="en-GB"/>
        </w:rPr>
        <w:t>Connect 2030 agenda</w:t>
      </w:r>
      <w:r w:rsidR="5333C367" w:rsidRPr="00B64995">
        <w:rPr>
          <w:rFonts w:cs="Calibri"/>
          <w:lang w:val="en-GB" w:eastAsia="en-GB"/>
        </w:rPr>
        <w:t>,</w:t>
      </w:r>
      <w:r w:rsidRPr="00B64995">
        <w:rPr>
          <w:rFonts w:cs="Calibri"/>
          <w:lang w:val="en-GB" w:eastAsia="en-GB"/>
        </w:rPr>
        <w:t xml:space="preserve"> ensuring </w:t>
      </w:r>
      <w:r w:rsidR="53F5FEBB" w:rsidRPr="00B64995">
        <w:rPr>
          <w:rFonts w:cs="Calibri"/>
          <w:lang w:val="en-GB" w:eastAsia="en-GB"/>
        </w:rPr>
        <w:t>alignment</w:t>
      </w:r>
      <w:r w:rsidRPr="00B64995">
        <w:rPr>
          <w:rFonts w:cs="Calibri"/>
          <w:lang w:val="en-GB" w:eastAsia="en-GB"/>
        </w:rPr>
        <w:t xml:space="preserve"> with</w:t>
      </w:r>
      <w:r w:rsidR="15008496" w:rsidRPr="00B64995">
        <w:rPr>
          <w:rFonts w:cs="Calibri"/>
          <w:lang w:val="en-GB" w:eastAsia="en-GB"/>
        </w:rPr>
        <w:t xml:space="preserve"> the</w:t>
      </w:r>
      <w:r w:rsidRPr="00B64995">
        <w:rPr>
          <w:rFonts w:cs="Calibri"/>
          <w:lang w:val="en-GB" w:eastAsia="en-GB"/>
        </w:rPr>
        <w:t xml:space="preserve"> SDGs</w:t>
      </w:r>
      <w:r w:rsidR="1F3D3729" w:rsidRPr="00B64995">
        <w:rPr>
          <w:rFonts w:cs="Calibri"/>
          <w:lang w:val="en-GB" w:eastAsia="en-GB"/>
        </w:rPr>
        <w:t xml:space="preserve"> (as per the theme of the </w:t>
      </w:r>
      <w:r w:rsidR="0971FE24" w:rsidRPr="00B64995">
        <w:rPr>
          <w:rFonts w:cs="Calibri"/>
          <w:lang w:val="en-GB" w:eastAsia="en-GB"/>
        </w:rPr>
        <w:t xml:space="preserve">2020 World Telecommunication </w:t>
      </w:r>
      <w:r w:rsidR="00A76215" w:rsidRPr="00B64995">
        <w:rPr>
          <w:rFonts w:cs="Calibri"/>
          <w:lang w:val="en-GB" w:eastAsia="en-GB"/>
        </w:rPr>
        <w:t>and</w:t>
      </w:r>
      <w:r w:rsidR="0971FE24" w:rsidRPr="00B64995">
        <w:rPr>
          <w:rFonts w:cs="Calibri"/>
          <w:lang w:val="en-GB" w:eastAsia="en-GB"/>
        </w:rPr>
        <w:t xml:space="preserve"> Information Society Day – WTISD</w:t>
      </w:r>
      <w:proofErr w:type="gramStart"/>
      <w:r w:rsidR="0971FE24" w:rsidRPr="00B64995">
        <w:rPr>
          <w:rFonts w:cs="Calibri"/>
          <w:lang w:val="en-GB" w:eastAsia="en-GB"/>
        </w:rPr>
        <w:t>)</w:t>
      </w:r>
      <w:r w:rsidR="1F3D3729" w:rsidRPr="00B64995">
        <w:rPr>
          <w:rFonts w:cs="Calibri"/>
          <w:lang w:val="en-GB" w:eastAsia="en-GB"/>
        </w:rPr>
        <w:t>;</w:t>
      </w:r>
      <w:proofErr w:type="gramEnd"/>
    </w:p>
    <w:p w14:paraId="62677D4E" w14:textId="5DF895E1" w:rsidR="0068262B" w:rsidRPr="00B64995" w:rsidRDefault="0B023C0C" w:rsidP="00B65153">
      <w:pPr>
        <w:pStyle w:val="ListParagraph"/>
        <w:numPr>
          <w:ilvl w:val="0"/>
          <w:numId w:val="32"/>
        </w:numPr>
        <w:rPr>
          <w:rFonts w:asciiTheme="minorHAnsi" w:eastAsiaTheme="minorEastAsia" w:hAnsiTheme="minorHAnsi" w:cstheme="minorBidi"/>
          <w:lang w:val="en-GB" w:eastAsia="en-GB"/>
        </w:rPr>
      </w:pPr>
      <w:r w:rsidRPr="00B64995">
        <w:rPr>
          <w:rFonts w:cs="Calibri"/>
          <w:lang w:val="en-GB" w:eastAsia="en-GB"/>
        </w:rPr>
        <w:t xml:space="preserve">Working as One ITU, being an agile, responsive and innovative </w:t>
      </w:r>
      <w:proofErr w:type="gramStart"/>
      <w:r w:rsidRPr="00B64995">
        <w:rPr>
          <w:rFonts w:cs="Calibri"/>
          <w:lang w:val="en-GB" w:eastAsia="en-GB"/>
        </w:rPr>
        <w:t>organization;</w:t>
      </w:r>
      <w:proofErr w:type="gramEnd"/>
    </w:p>
    <w:p w14:paraId="6A1810CC" w14:textId="46493110" w:rsidR="0068262B" w:rsidRPr="00B64995" w:rsidRDefault="0068262B" w:rsidP="00B65153">
      <w:pPr>
        <w:pStyle w:val="ListParagraph"/>
        <w:numPr>
          <w:ilvl w:val="0"/>
          <w:numId w:val="32"/>
        </w:numPr>
        <w:rPr>
          <w:lang w:val="en-GB" w:eastAsia="en-GB"/>
        </w:rPr>
      </w:pPr>
      <w:r w:rsidRPr="00B64995">
        <w:rPr>
          <w:rFonts w:cs="Calibri"/>
          <w:lang w:val="en-GB" w:eastAsia="en-GB"/>
        </w:rPr>
        <w:t xml:space="preserve">Enhancing </w:t>
      </w:r>
      <w:r w:rsidR="7F248533" w:rsidRPr="00B64995">
        <w:rPr>
          <w:rFonts w:cs="Calibri"/>
          <w:lang w:val="en-GB" w:eastAsia="en-GB"/>
        </w:rPr>
        <w:t>efficiency</w:t>
      </w:r>
      <w:r w:rsidRPr="00B64995">
        <w:rPr>
          <w:rFonts w:cs="Calibri"/>
          <w:lang w:val="en-GB" w:eastAsia="en-GB"/>
        </w:rPr>
        <w:t xml:space="preserve"> </w:t>
      </w:r>
      <w:r w:rsidR="3F2724F1" w:rsidRPr="00B64995">
        <w:rPr>
          <w:rFonts w:cs="Calibri"/>
          <w:lang w:val="en-GB" w:eastAsia="en-GB"/>
        </w:rPr>
        <w:t xml:space="preserve">and </w:t>
      </w:r>
      <w:r w:rsidR="57E19C8C" w:rsidRPr="00B64995">
        <w:rPr>
          <w:rFonts w:cs="Calibri"/>
          <w:lang w:val="en-GB" w:eastAsia="en-GB"/>
        </w:rPr>
        <w:t>effectiveness</w:t>
      </w:r>
      <w:r w:rsidR="44F2D33F" w:rsidRPr="00B64995">
        <w:rPr>
          <w:rFonts w:cs="Calibri"/>
          <w:lang w:val="en-GB" w:eastAsia="en-GB"/>
        </w:rPr>
        <w:t xml:space="preserve"> of the organization</w:t>
      </w:r>
      <w:r w:rsidR="3F739A2C" w:rsidRPr="00B64995">
        <w:rPr>
          <w:rFonts w:cs="Calibri"/>
          <w:lang w:val="en-GB" w:eastAsia="en-GB"/>
        </w:rPr>
        <w:t xml:space="preserve">, </w:t>
      </w:r>
      <w:r w:rsidR="057573B9" w:rsidRPr="00B64995">
        <w:rPr>
          <w:rFonts w:cs="Calibri"/>
          <w:lang w:val="en-GB" w:eastAsia="en-GB"/>
        </w:rPr>
        <w:t xml:space="preserve">by developing long-term managerial strategy for the organization to sustain performance and relevance of expertise, </w:t>
      </w:r>
      <w:r w:rsidR="4AFDFA31" w:rsidRPr="00B64995">
        <w:rPr>
          <w:rFonts w:cs="Calibri"/>
          <w:lang w:val="en-GB" w:eastAsia="en-GB"/>
        </w:rPr>
        <w:t xml:space="preserve">by </w:t>
      </w:r>
      <w:r w:rsidR="3F739A2C" w:rsidRPr="00B64995">
        <w:rPr>
          <w:rFonts w:cs="Calibri"/>
          <w:lang w:val="en-GB" w:eastAsia="en-GB"/>
        </w:rPr>
        <w:t xml:space="preserve">strengthening the </w:t>
      </w:r>
      <w:r w:rsidRPr="00B64995">
        <w:rPr>
          <w:rFonts w:cs="Calibri"/>
          <w:lang w:val="en-GB" w:eastAsia="en-GB"/>
        </w:rPr>
        <w:t>risk management</w:t>
      </w:r>
      <w:r w:rsidR="0533E5C8" w:rsidRPr="00B64995">
        <w:rPr>
          <w:rFonts w:cs="Calibri"/>
          <w:lang w:val="en-GB" w:eastAsia="en-GB"/>
        </w:rPr>
        <w:t xml:space="preserve"> and accountability </w:t>
      </w:r>
      <w:r w:rsidRPr="00B64995">
        <w:rPr>
          <w:rFonts w:cs="Calibri"/>
          <w:lang w:val="en-GB" w:eastAsia="en-GB"/>
        </w:rPr>
        <w:t>framework</w:t>
      </w:r>
      <w:r w:rsidR="5DDF07D3" w:rsidRPr="00B64995">
        <w:rPr>
          <w:rFonts w:cs="Calibri"/>
          <w:lang w:val="en-GB" w:eastAsia="en-GB"/>
        </w:rPr>
        <w:t>s</w:t>
      </w:r>
      <w:r w:rsidR="3743E8E1" w:rsidRPr="00B64995">
        <w:rPr>
          <w:rFonts w:cs="Calibri"/>
          <w:lang w:val="en-GB" w:eastAsia="en-GB"/>
        </w:rPr>
        <w:t xml:space="preserve">, </w:t>
      </w:r>
      <w:proofErr w:type="gramStart"/>
      <w:r w:rsidR="5BC0E09E" w:rsidRPr="00B64995">
        <w:rPr>
          <w:rFonts w:cs="Calibri"/>
          <w:lang w:val="en-GB" w:eastAsia="en-GB"/>
        </w:rPr>
        <w:t>in order to</w:t>
      </w:r>
      <w:proofErr w:type="gramEnd"/>
      <w:r w:rsidR="5BC0E09E" w:rsidRPr="00B64995">
        <w:rPr>
          <w:rFonts w:cs="Calibri"/>
          <w:lang w:val="en-GB" w:eastAsia="en-GB"/>
        </w:rPr>
        <w:t xml:space="preserve"> </w:t>
      </w:r>
      <w:r w:rsidR="1AF919DE" w:rsidRPr="00B64995">
        <w:rPr>
          <w:rFonts w:cs="Calibri"/>
          <w:lang w:val="en-GB" w:eastAsia="en-GB"/>
        </w:rPr>
        <w:t>enabl</w:t>
      </w:r>
      <w:r w:rsidR="54CA0B0A" w:rsidRPr="00B64995">
        <w:rPr>
          <w:rFonts w:cs="Calibri"/>
          <w:lang w:val="en-GB" w:eastAsia="en-GB"/>
        </w:rPr>
        <w:t>e</w:t>
      </w:r>
      <w:r w:rsidR="2D126B1F" w:rsidRPr="00B64995">
        <w:rPr>
          <w:rFonts w:cs="Calibri"/>
          <w:lang w:val="en-GB" w:eastAsia="en-GB"/>
        </w:rPr>
        <w:t xml:space="preserve"> </w:t>
      </w:r>
      <w:r w:rsidR="65E93996" w:rsidRPr="00B64995">
        <w:rPr>
          <w:rFonts w:cs="Calibri"/>
          <w:lang w:val="en-GB" w:eastAsia="en-GB"/>
        </w:rPr>
        <w:t>informed</w:t>
      </w:r>
      <w:r w:rsidRPr="00B64995">
        <w:rPr>
          <w:rFonts w:cs="Calibri"/>
          <w:lang w:val="en-GB" w:eastAsia="en-GB"/>
        </w:rPr>
        <w:t xml:space="preserve"> decision-making and </w:t>
      </w:r>
      <w:r w:rsidR="65E662B0" w:rsidRPr="00B64995">
        <w:rPr>
          <w:rFonts w:cs="Calibri"/>
          <w:lang w:val="en-GB" w:eastAsia="en-GB"/>
        </w:rPr>
        <w:t>d</w:t>
      </w:r>
      <w:r w:rsidRPr="00B64995">
        <w:rPr>
          <w:rFonts w:cs="Calibri"/>
          <w:lang w:val="en-GB" w:eastAsia="en-GB"/>
        </w:rPr>
        <w:t>emonstrat</w:t>
      </w:r>
      <w:r w:rsidR="5497708F" w:rsidRPr="00B64995">
        <w:rPr>
          <w:rFonts w:cs="Calibri"/>
          <w:lang w:val="en-GB" w:eastAsia="en-GB"/>
        </w:rPr>
        <w:t>e</w:t>
      </w:r>
      <w:r w:rsidR="756F64AA" w:rsidRPr="00B64995">
        <w:rPr>
          <w:rFonts w:cs="Calibri"/>
          <w:lang w:val="en-GB" w:eastAsia="en-GB"/>
        </w:rPr>
        <w:t xml:space="preserve"> the impact of</w:t>
      </w:r>
      <w:r w:rsidRPr="00B64995">
        <w:rPr>
          <w:rFonts w:cs="Calibri"/>
          <w:lang w:val="en-GB" w:eastAsia="en-GB"/>
        </w:rPr>
        <w:t xml:space="preserve"> ITU’s </w:t>
      </w:r>
      <w:r w:rsidR="01ECCA4D" w:rsidRPr="00B64995">
        <w:rPr>
          <w:rFonts w:cs="Calibri"/>
          <w:lang w:val="en-GB" w:eastAsia="en-GB"/>
        </w:rPr>
        <w:t>work</w:t>
      </w:r>
      <w:r w:rsidR="6FF21C7D" w:rsidRPr="00B64995">
        <w:rPr>
          <w:rFonts w:cs="Calibri"/>
          <w:lang w:val="en-GB" w:eastAsia="en-GB"/>
        </w:rPr>
        <w:t>.</w:t>
      </w:r>
    </w:p>
    <w:p w14:paraId="0E3BBA44" w14:textId="11C9D754" w:rsidR="00EB3635" w:rsidRPr="00B64995" w:rsidRDefault="00EB3635" w:rsidP="00614D53">
      <w:pPr>
        <w:rPr>
          <w:lang w:eastAsia="en-GB"/>
        </w:rPr>
      </w:pPr>
      <w:r w:rsidRPr="00B64995">
        <w:rPr>
          <w:lang w:eastAsia="en-GB"/>
        </w:rPr>
        <w:br w:type="page"/>
      </w:r>
    </w:p>
    <w:p w14:paraId="2D372766" w14:textId="4E9A9578" w:rsidR="0049723A" w:rsidRPr="00B64995" w:rsidRDefault="2716A7A6" w:rsidP="000F67B0">
      <w:pPr>
        <w:pStyle w:val="Heading1"/>
        <w:ind w:left="1276" w:hanging="1276"/>
        <w:rPr>
          <w:szCs w:val="22"/>
        </w:rPr>
      </w:pPr>
      <w:bookmarkStart w:id="161" w:name="_Toc37860481"/>
      <w:bookmarkStart w:id="162" w:name="_Toc37861241"/>
      <w:bookmarkStart w:id="163" w:name="_Toc37943375"/>
      <w:bookmarkStart w:id="164" w:name="_Toc68811435"/>
      <w:r w:rsidRPr="00B64995">
        <w:rPr>
          <w:szCs w:val="22"/>
        </w:rPr>
        <w:lastRenderedPageBreak/>
        <w:t xml:space="preserve">Annex </w:t>
      </w:r>
      <w:r w:rsidR="6A7F8DD6" w:rsidRPr="00B64995">
        <w:rPr>
          <w:szCs w:val="22"/>
        </w:rPr>
        <w:t>1</w:t>
      </w:r>
      <w:r w:rsidR="00496B03" w:rsidRPr="00B64995">
        <w:rPr>
          <w:szCs w:val="22"/>
        </w:rPr>
        <w:tab/>
      </w:r>
      <w:r w:rsidR="6A7F8DD6" w:rsidRPr="00B64995">
        <w:rPr>
          <w:szCs w:val="22"/>
        </w:rPr>
        <w:t>Implementation</w:t>
      </w:r>
      <w:r w:rsidRPr="00B64995">
        <w:rPr>
          <w:szCs w:val="22"/>
        </w:rPr>
        <w:t xml:space="preserve"> of </w:t>
      </w:r>
      <w:r w:rsidR="00FF6B93" w:rsidRPr="00B64995">
        <w:rPr>
          <w:szCs w:val="22"/>
        </w:rPr>
        <w:t xml:space="preserve">Resolutions of the Plenipotentiary Conference </w:t>
      </w:r>
      <w:bookmarkEnd w:id="161"/>
      <w:bookmarkEnd w:id="162"/>
      <w:bookmarkEnd w:id="163"/>
      <w:bookmarkEnd w:id="164"/>
    </w:p>
    <w:p w14:paraId="7DEA2228" w14:textId="0179802E" w:rsidR="2716A7A6" w:rsidRPr="00B64995" w:rsidRDefault="2716A7A6" w:rsidP="00614D53"/>
    <w:tbl>
      <w:tblPr>
        <w:tblStyle w:val="TableGrid"/>
        <w:tblW w:w="0" w:type="auto"/>
        <w:shd w:val="clear" w:color="auto" w:fill="FFFFFF" w:themeFill="background1"/>
        <w:tblLayout w:type="fixed"/>
        <w:tblLook w:val="04A0" w:firstRow="1" w:lastRow="0" w:firstColumn="1" w:lastColumn="0" w:noHBand="0" w:noVBand="1"/>
      </w:tblPr>
      <w:tblGrid>
        <w:gridCol w:w="9026"/>
      </w:tblGrid>
      <w:tr w:rsidR="00671FC6" w:rsidRPr="00B64995" w14:paraId="65C64530" w14:textId="77777777" w:rsidTr="09AD7226">
        <w:trPr>
          <w:tblHeader/>
        </w:trPr>
        <w:tc>
          <w:tcPr>
            <w:tcW w:w="9026" w:type="dxa"/>
            <w:shd w:val="clear" w:color="auto" w:fill="2F5496" w:themeFill="accent1" w:themeFillShade="BF"/>
          </w:tcPr>
          <w:p w14:paraId="4E8A41CB" w14:textId="729AA569" w:rsidR="478B1C36" w:rsidRPr="00B87922" w:rsidRDefault="478B1C36" w:rsidP="006459A3">
            <w:pPr>
              <w:spacing w:before="60" w:after="60"/>
              <w:jc w:val="center"/>
              <w:rPr>
                <w:color w:val="FFFFFF" w:themeColor="background1"/>
                <w:lang w:val="en-GB"/>
              </w:rPr>
            </w:pPr>
            <w:r w:rsidRPr="00B64995">
              <w:rPr>
                <w:rFonts w:eastAsia="Calibri"/>
                <w:b/>
                <w:color w:val="FFFFFF" w:themeColor="background1"/>
              </w:rPr>
              <w:t xml:space="preserve">Status of </w:t>
            </w:r>
            <w:r w:rsidR="00C51B2B">
              <w:rPr>
                <w:rFonts w:eastAsia="Calibri"/>
                <w:b/>
                <w:color w:val="FFFFFF" w:themeColor="background1"/>
              </w:rPr>
              <w:t>i</w:t>
            </w:r>
            <w:r w:rsidRPr="00B64995">
              <w:rPr>
                <w:rFonts w:eastAsia="Calibri"/>
                <w:b/>
                <w:color w:val="FFFFFF" w:themeColor="background1"/>
              </w:rPr>
              <w:t>mplementation</w:t>
            </w:r>
          </w:p>
        </w:tc>
      </w:tr>
      <w:tr w:rsidR="478B1C36" w:rsidRPr="00B64995" w14:paraId="3F0F2544" w14:textId="77777777" w:rsidTr="09AD7226">
        <w:tc>
          <w:tcPr>
            <w:tcW w:w="9026" w:type="dxa"/>
            <w:shd w:val="clear" w:color="auto" w:fill="FFFFFF" w:themeFill="background1"/>
          </w:tcPr>
          <w:p w14:paraId="4B1E1DFA" w14:textId="19BC3E7D" w:rsidR="478B1C36" w:rsidRPr="00E0255C" w:rsidRDefault="478B1C36" w:rsidP="006459A3">
            <w:pPr>
              <w:spacing w:before="60" w:after="60"/>
              <w:jc w:val="both"/>
              <w:rPr>
                <w:lang w:val="en-GB"/>
              </w:rPr>
            </w:pPr>
            <w:r w:rsidRPr="00E0255C">
              <w:rPr>
                <w:rFonts w:eastAsia="Calibri"/>
                <w:b/>
              </w:rPr>
              <w:t>21 (</w:t>
            </w:r>
            <w:r w:rsidR="004F72C3" w:rsidRPr="00E0255C">
              <w:rPr>
                <w:rFonts w:eastAsia="Calibri"/>
                <w:b/>
              </w:rPr>
              <w:t>R</w:t>
            </w:r>
            <w:r w:rsidRPr="00E0255C">
              <w:rPr>
                <w:rFonts w:eastAsia="Calibri"/>
                <w:b/>
              </w:rPr>
              <w:t>ev. Dubai, 2018) Measures concerning alternative calling procedures on international telecommunication networks</w:t>
            </w:r>
          </w:p>
          <w:p w14:paraId="003D66BD" w14:textId="71C7BA36" w:rsidR="478B1C36" w:rsidRPr="00E0255C" w:rsidRDefault="478B1C36" w:rsidP="006459A3">
            <w:pPr>
              <w:spacing w:before="60" w:after="60"/>
              <w:jc w:val="both"/>
              <w:rPr>
                <w:lang w:val="en-GB"/>
              </w:rPr>
            </w:pPr>
            <w:r w:rsidRPr="00E0255C">
              <w:rPr>
                <w:rFonts w:eastAsia="Calibri"/>
              </w:rPr>
              <w:t xml:space="preserve">ITU-T </w:t>
            </w:r>
            <w:r w:rsidR="006D38B9" w:rsidRPr="00E0255C">
              <w:rPr>
                <w:rFonts w:eastAsia="Calibri"/>
              </w:rPr>
              <w:t>SG 2</w:t>
            </w:r>
            <w:r w:rsidRPr="00E0255C">
              <w:rPr>
                <w:rFonts w:eastAsia="Calibri"/>
              </w:rPr>
              <w:t xml:space="preserve"> continued work on draft new Recommendation ITU-T E.ACP on </w:t>
            </w:r>
            <w:r w:rsidR="00E91C1B" w:rsidRPr="00E0255C">
              <w:rPr>
                <w:rFonts w:eastAsia="Calibri"/>
              </w:rPr>
              <w:t>a</w:t>
            </w:r>
            <w:r w:rsidRPr="00E0255C">
              <w:rPr>
                <w:rFonts w:eastAsia="Calibri"/>
              </w:rPr>
              <w:t xml:space="preserve">lternative </w:t>
            </w:r>
            <w:r w:rsidR="00E91C1B" w:rsidRPr="00E0255C">
              <w:rPr>
                <w:rFonts w:eastAsia="Calibri"/>
              </w:rPr>
              <w:t>c</w:t>
            </w:r>
            <w:r w:rsidRPr="00E0255C">
              <w:rPr>
                <w:rFonts w:eastAsia="Calibri"/>
              </w:rPr>
              <w:t xml:space="preserve">alling </w:t>
            </w:r>
            <w:r w:rsidR="00E91C1B" w:rsidRPr="00E0255C">
              <w:rPr>
                <w:rFonts w:eastAsia="Calibri"/>
              </w:rPr>
              <w:t>p</w:t>
            </w:r>
            <w:r w:rsidRPr="00E0255C">
              <w:rPr>
                <w:rFonts w:eastAsia="Calibri"/>
              </w:rPr>
              <w:t xml:space="preserve">rocedures. </w:t>
            </w:r>
          </w:p>
          <w:p w14:paraId="33CC3439" w14:textId="2FC13D80" w:rsidR="0049723A" w:rsidRPr="00E0255C" w:rsidRDefault="478B1C36" w:rsidP="006459A3">
            <w:pPr>
              <w:spacing w:before="60" w:after="60"/>
              <w:jc w:val="both"/>
              <w:rPr>
                <w:rFonts w:eastAsia="Calibri"/>
                <w:lang w:val="en-GB"/>
              </w:rPr>
            </w:pPr>
            <w:r w:rsidRPr="00E0255C">
              <w:rPr>
                <w:rFonts w:eastAsia="Calibri"/>
              </w:rPr>
              <w:t xml:space="preserve">ITU-T </w:t>
            </w:r>
            <w:r w:rsidR="006D38B9" w:rsidRPr="00E0255C">
              <w:rPr>
                <w:rFonts w:eastAsia="Calibri"/>
              </w:rPr>
              <w:t>SG 3</w:t>
            </w:r>
            <w:r w:rsidRPr="00E0255C">
              <w:rPr>
                <w:rFonts w:eastAsia="Calibri"/>
              </w:rPr>
              <w:t xml:space="preserve"> </w:t>
            </w:r>
            <w:r w:rsidR="00EF0EC2" w:rsidRPr="00E0255C">
              <w:rPr>
                <w:rFonts w:eastAsia="Calibri"/>
              </w:rPr>
              <w:t xml:space="preserve">continued </w:t>
            </w:r>
            <w:r w:rsidRPr="00E0255C">
              <w:rPr>
                <w:rFonts w:eastAsia="Calibri"/>
              </w:rPr>
              <w:t xml:space="preserve">work on </w:t>
            </w:r>
            <w:r w:rsidR="00E91C1B" w:rsidRPr="00E0255C">
              <w:rPr>
                <w:rFonts w:eastAsia="Calibri"/>
              </w:rPr>
              <w:t>a</w:t>
            </w:r>
            <w:r w:rsidRPr="00E0255C">
              <w:rPr>
                <w:rFonts w:eastAsia="Calibri"/>
              </w:rPr>
              <w:t xml:space="preserve">lternative </w:t>
            </w:r>
            <w:r w:rsidR="00E91C1B" w:rsidRPr="00E0255C">
              <w:rPr>
                <w:rFonts w:eastAsia="Calibri"/>
              </w:rPr>
              <w:t>c</w:t>
            </w:r>
            <w:r w:rsidRPr="00E0255C">
              <w:rPr>
                <w:rFonts w:eastAsia="Calibri"/>
              </w:rPr>
              <w:t xml:space="preserve">alling </w:t>
            </w:r>
            <w:r w:rsidR="00E91C1B" w:rsidRPr="00E0255C">
              <w:rPr>
                <w:rFonts w:eastAsia="Calibri"/>
              </w:rPr>
              <w:t>p</w:t>
            </w:r>
            <w:r w:rsidRPr="00E0255C">
              <w:rPr>
                <w:rFonts w:eastAsia="Calibri"/>
              </w:rPr>
              <w:t>rocedures</w:t>
            </w:r>
            <w:r w:rsidR="006D21B1" w:rsidRPr="00E0255C">
              <w:rPr>
                <w:rFonts w:eastAsia="Calibri"/>
              </w:rPr>
              <w:t xml:space="preserve"> through its ongoing Question 8/3</w:t>
            </w:r>
            <w:r w:rsidR="00E91C1B" w:rsidRPr="00E0255C">
              <w:rPr>
                <w:rFonts w:eastAsia="Calibri"/>
              </w:rPr>
              <w:t>.</w:t>
            </w:r>
            <w:r w:rsidRPr="00E0255C">
              <w:rPr>
                <w:rFonts w:eastAsia="Calibri"/>
              </w:rPr>
              <w:t xml:space="preserve"> </w:t>
            </w:r>
            <w:r w:rsidR="006D21B1" w:rsidRPr="00E0255C">
              <w:rPr>
                <w:rFonts w:eastAsia="Calibri"/>
              </w:rPr>
              <w:t>ITU-T SG</w:t>
            </w:r>
            <w:r w:rsidRPr="00E0255C">
              <w:rPr>
                <w:rFonts w:eastAsia="Calibri"/>
              </w:rPr>
              <w:t xml:space="preserve">3 </w:t>
            </w:r>
            <w:r w:rsidR="006D21B1" w:rsidRPr="00E0255C">
              <w:rPr>
                <w:rFonts w:eastAsia="Calibri"/>
              </w:rPr>
              <w:t xml:space="preserve">liaises with </w:t>
            </w:r>
            <w:r w:rsidR="006D38B9" w:rsidRPr="00E0255C">
              <w:rPr>
                <w:rFonts w:eastAsia="Calibri"/>
              </w:rPr>
              <w:t xml:space="preserve">SG 2 </w:t>
            </w:r>
            <w:r w:rsidRPr="00E0255C">
              <w:rPr>
                <w:rFonts w:eastAsia="Calibri"/>
              </w:rPr>
              <w:t xml:space="preserve">on </w:t>
            </w:r>
            <w:r w:rsidR="00A31659" w:rsidRPr="00E0255C">
              <w:rPr>
                <w:rFonts w:eastAsia="Calibri"/>
              </w:rPr>
              <w:t xml:space="preserve">the topic of </w:t>
            </w:r>
            <w:r w:rsidRPr="00E0255C">
              <w:rPr>
                <w:rFonts w:eastAsia="Calibri"/>
              </w:rPr>
              <w:t>alternative calling procedures.</w:t>
            </w:r>
          </w:p>
          <w:p w14:paraId="397D7CF8" w14:textId="11F309D0" w:rsidR="00F77460" w:rsidRPr="00E0255C" w:rsidRDefault="00F77460" w:rsidP="006459A3">
            <w:pPr>
              <w:spacing w:before="60" w:after="60"/>
              <w:jc w:val="both"/>
              <w:rPr>
                <w:lang w:val="en-GB"/>
              </w:rPr>
            </w:pPr>
            <w:r w:rsidRPr="00E0255C">
              <w:rPr>
                <w:rFonts w:eastAsia="Calibri"/>
              </w:rPr>
              <w:t xml:space="preserve">ITU-T </w:t>
            </w:r>
            <w:r w:rsidR="006D38B9" w:rsidRPr="00E0255C">
              <w:rPr>
                <w:rFonts w:eastAsia="Calibri"/>
              </w:rPr>
              <w:t>SG 12</w:t>
            </w:r>
            <w:r w:rsidRPr="00E0255C">
              <w:rPr>
                <w:rFonts w:eastAsia="Calibri"/>
              </w:rPr>
              <w:t xml:space="preserve"> continued to work on assessing the impact of alternative calling procedures on quality of service (QoS) and quality of experience (</w:t>
            </w:r>
            <w:proofErr w:type="spellStart"/>
            <w:r w:rsidRPr="00E0255C">
              <w:rPr>
                <w:rFonts w:eastAsia="Calibri"/>
              </w:rPr>
              <w:t>QoE</w:t>
            </w:r>
            <w:proofErr w:type="spellEnd"/>
            <w:r w:rsidRPr="00E0255C">
              <w:rPr>
                <w:rFonts w:eastAsia="Calibri"/>
              </w:rPr>
              <w:t>).</w:t>
            </w:r>
          </w:p>
        </w:tc>
      </w:tr>
      <w:tr w:rsidR="478B1C36" w:rsidRPr="00B64995" w14:paraId="0F894985" w14:textId="77777777" w:rsidTr="09AD7226">
        <w:tc>
          <w:tcPr>
            <w:tcW w:w="9026" w:type="dxa"/>
            <w:shd w:val="clear" w:color="auto" w:fill="FFFFFF" w:themeFill="background1"/>
          </w:tcPr>
          <w:p w14:paraId="76CBAC4E" w14:textId="7DEBE0B5" w:rsidR="00BE37B6" w:rsidRPr="00E0255C" w:rsidRDefault="478B1C36" w:rsidP="006459A3">
            <w:pPr>
              <w:spacing w:before="60" w:after="60"/>
              <w:jc w:val="both"/>
              <w:rPr>
                <w:rFonts w:eastAsia="Calibri"/>
                <w:b/>
                <w:lang w:val="en-GB"/>
              </w:rPr>
            </w:pPr>
            <w:r w:rsidRPr="00E0255C">
              <w:rPr>
                <w:rFonts w:eastAsia="Calibri"/>
                <w:b/>
              </w:rPr>
              <w:t>30 (</w:t>
            </w:r>
            <w:r w:rsidR="004F72C3" w:rsidRPr="00E0255C">
              <w:rPr>
                <w:rFonts w:eastAsia="Calibri"/>
                <w:b/>
              </w:rPr>
              <w:t>R</w:t>
            </w:r>
            <w:r w:rsidRPr="00E0255C">
              <w:rPr>
                <w:rFonts w:eastAsia="Calibri"/>
                <w:b/>
              </w:rPr>
              <w:t xml:space="preserve">ev. Dubai, 2018) Special measures for the least developed countries, small island developing states, landlocked developing </w:t>
            </w:r>
            <w:proofErr w:type="gramStart"/>
            <w:r w:rsidRPr="00E0255C">
              <w:rPr>
                <w:rFonts w:eastAsia="Calibri"/>
                <w:b/>
              </w:rPr>
              <w:t>countries</w:t>
            </w:r>
            <w:proofErr w:type="gramEnd"/>
            <w:r w:rsidRPr="00E0255C">
              <w:rPr>
                <w:rFonts w:eastAsia="Calibri"/>
                <w:b/>
              </w:rPr>
              <w:t xml:space="preserve"> and countries with economies in transition</w:t>
            </w:r>
          </w:p>
          <w:p w14:paraId="610D02DD" w14:textId="5F6D0DC8" w:rsidR="478B1C36" w:rsidRPr="00E0255C" w:rsidRDefault="00BE37B6" w:rsidP="006459A3">
            <w:pPr>
              <w:spacing w:before="60" w:after="60"/>
              <w:jc w:val="both"/>
              <w:rPr>
                <w:lang w:val="en-GB"/>
              </w:rPr>
            </w:pPr>
            <w:r w:rsidRPr="00E0255C">
              <w:rPr>
                <w:rFonts w:eastAsia="Calibri"/>
              </w:rPr>
              <w:t xml:space="preserve">Assistance to the least developed countries, small island developing states, landlocked developing countries, and countries with economies in transition is ongoing through operational plan activities, projects, and ad hoc assistance. The work is guided by the ITU </w:t>
            </w:r>
            <w:r w:rsidR="00857768" w:rsidRPr="00E0255C">
              <w:rPr>
                <w:rFonts w:eastAsia="Calibri"/>
              </w:rPr>
              <w:t>s</w:t>
            </w:r>
            <w:r w:rsidRPr="00E0255C">
              <w:rPr>
                <w:rFonts w:eastAsia="Calibri"/>
              </w:rPr>
              <w:t xml:space="preserve">trategic </w:t>
            </w:r>
            <w:r w:rsidR="00857768" w:rsidRPr="00E0255C">
              <w:rPr>
                <w:rFonts w:eastAsia="Calibri"/>
              </w:rPr>
              <w:t>p</w:t>
            </w:r>
            <w:r w:rsidRPr="00E0255C">
              <w:rPr>
                <w:rFonts w:eastAsia="Calibri"/>
              </w:rPr>
              <w:t>lan and ITU-D Action Plan adopted at WTDC-17</w:t>
            </w:r>
            <w:r w:rsidR="00242A06" w:rsidRPr="00E0255C">
              <w:rPr>
                <w:rFonts w:eastAsia="Calibri"/>
              </w:rPr>
              <w:t>.</w:t>
            </w:r>
            <w:r w:rsidR="478B1C36" w:rsidRPr="00E0255C">
              <w:rPr>
                <w:rFonts w:eastAsia="Calibri"/>
                <w:b/>
              </w:rPr>
              <w:t xml:space="preserve"> </w:t>
            </w:r>
          </w:p>
        </w:tc>
      </w:tr>
      <w:tr w:rsidR="478B1C36" w:rsidRPr="00B64995" w14:paraId="72C7FDBF" w14:textId="77777777" w:rsidTr="09AD7226">
        <w:tc>
          <w:tcPr>
            <w:tcW w:w="9026" w:type="dxa"/>
            <w:shd w:val="clear" w:color="auto" w:fill="FFFFFF" w:themeFill="background1"/>
          </w:tcPr>
          <w:p w14:paraId="1A737891" w14:textId="77777777" w:rsidR="0049723A" w:rsidRPr="00E0255C" w:rsidRDefault="478B1C36" w:rsidP="006459A3">
            <w:pPr>
              <w:spacing w:before="60" w:after="60"/>
              <w:jc w:val="both"/>
              <w:rPr>
                <w:rFonts w:eastAsia="Calibri"/>
                <w:b/>
                <w:lang w:val="en-GB"/>
              </w:rPr>
            </w:pPr>
            <w:r w:rsidRPr="00E0255C">
              <w:rPr>
                <w:rFonts w:eastAsia="Calibri"/>
                <w:b/>
              </w:rPr>
              <w:t>34 (</w:t>
            </w:r>
            <w:r w:rsidR="004F72C3" w:rsidRPr="00E0255C">
              <w:rPr>
                <w:rFonts w:eastAsia="Calibri"/>
                <w:b/>
              </w:rPr>
              <w:t>R</w:t>
            </w:r>
            <w:r w:rsidRPr="00E0255C">
              <w:rPr>
                <w:rFonts w:eastAsia="Calibri"/>
                <w:b/>
              </w:rPr>
              <w:t>ev. Dubai, 2018) Assistance and support to countries in special need for rebuilding their telecommunication sector</w:t>
            </w:r>
          </w:p>
          <w:p w14:paraId="78FE4D82" w14:textId="49F36B98" w:rsidR="00BE37B6" w:rsidRPr="00E0255C" w:rsidRDefault="00BE37B6" w:rsidP="006459A3">
            <w:pPr>
              <w:spacing w:before="60" w:after="60"/>
              <w:jc w:val="both"/>
              <w:rPr>
                <w:lang w:val="en-GB"/>
              </w:rPr>
            </w:pPr>
            <w:r w:rsidRPr="00E0255C">
              <w:rPr>
                <w:rFonts w:eastAsia="Calibri"/>
                <w:bCs/>
              </w:rPr>
              <w:t>Support to countries during natural disasters and emerging out of major disasters is ongoing and has been under implementation in support of affected countries</w:t>
            </w:r>
            <w:r w:rsidR="00242A06" w:rsidRPr="00E0255C">
              <w:rPr>
                <w:rFonts w:eastAsia="Calibri"/>
                <w:bCs/>
              </w:rPr>
              <w:t>.</w:t>
            </w:r>
          </w:p>
        </w:tc>
      </w:tr>
      <w:tr w:rsidR="478B1C36" w:rsidRPr="00B64995" w14:paraId="4D6723AC" w14:textId="77777777" w:rsidTr="09AD7226">
        <w:tc>
          <w:tcPr>
            <w:tcW w:w="9026" w:type="dxa"/>
            <w:shd w:val="clear" w:color="auto" w:fill="FFFFFF" w:themeFill="background1"/>
          </w:tcPr>
          <w:p w14:paraId="34B9D089" w14:textId="7278F535" w:rsidR="478B1C36" w:rsidRPr="00E0255C" w:rsidRDefault="478B1C36" w:rsidP="006459A3">
            <w:pPr>
              <w:spacing w:before="60" w:after="60"/>
              <w:jc w:val="both"/>
              <w:rPr>
                <w:lang w:val="en-GB"/>
              </w:rPr>
            </w:pPr>
            <w:r w:rsidRPr="00E0255C">
              <w:rPr>
                <w:rFonts w:eastAsia="Calibri"/>
                <w:b/>
              </w:rPr>
              <w:t>66 (</w:t>
            </w:r>
            <w:r w:rsidR="004F72C3" w:rsidRPr="00E0255C">
              <w:rPr>
                <w:rFonts w:eastAsia="Calibri"/>
                <w:b/>
              </w:rPr>
              <w:t>R</w:t>
            </w:r>
            <w:r w:rsidRPr="00E0255C">
              <w:rPr>
                <w:rFonts w:eastAsia="Calibri"/>
                <w:b/>
              </w:rPr>
              <w:t>ev. Dubai, 2018) Documents and publications of the Union</w:t>
            </w:r>
          </w:p>
          <w:p w14:paraId="792F2889" w14:textId="640EB30C" w:rsidR="478B1C36" w:rsidRPr="00E0255C" w:rsidRDefault="00D74E3D" w:rsidP="006459A3">
            <w:pPr>
              <w:spacing w:before="60" w:after="60"/>
              <w:jc w:val="both"/>
              <w:rPr>
                <w:lang w:val="en-GB"/>
              </w:rPr>
            </w:pPr>
            <w:r w:rsidRPr="00E0255C">
              <w:rPr>
                <w:rFonts w:eastAsia="Calibri"/>
              </w:rPr>
              <w:t>All dispositions of this resolution are implemented. There has been no change or development on the issue of cost recovery and its basic principles. The provisions and principles laid down in Resolution 66 are still valid and pertinent.</w:t>
            </w:r>
          </w:p>
        </w:tc>
      </w:tr>
      <w:tr w:rsidR="478B1C36" w:rsidRPr="00B64995" w14:paraId="021D7789" w14:textId="77777777" w:rsidTr="09AD7226">
        <w:tc>
          <w:tcPr>
            <w:tcW w:w="9026" w:type="dxa"/>
            <w:shd w:val="clear" w:color="auto" w:fill="FFFFFF" w:themeFill="background1"/>
          </w:tcPr>
          <w:p w14:paraId="25FCA5CB" w14:textId="63DE96E2" w:rsidR="478B1C36" w:rsidRPr="00E0255C" w:rsidRDefault="478B1C36" w:rsidP="006459A3">
            <w:pPr>
              <w:spacing w:before="60" w:after="60"/>
              <w:jc w:val="both"/>
              <w:rPr>
                <w:lang w:val="en-GB"/>
              </w:rPr>
            </w:pPr>
            <w:r w:rsidRPr="00E0255C">
              <w:rPr>
                <w:rFonts w:eastAsia="Calibri"/>
                <w:b/>
              </w:rPr>
              <w:t>91 (</w:t>
            </w:r>
            <w:r w:rsidR="004F72C3" w:rsidRPr="00E0255C">
              <w:rPr>
                <w:rFonts w:eastAsia="Calibri"/>
                <w:b/>
              </w:rPr>
              <w:t>R</w:t>
            </w:r>
            <w:r w:rsidRPr="00E0255C">
              <w:rPr>
                <w:rFonts w:eastAsia="Calibri"/>
                <w:b/>
              </w:rPr>
              <w:t>ev. Guadalaj</w:t>
            </w:r>
            <w:r w:rsidR="004F72C3" w:rsidRPr="00E0255C">
              <w:rPr>
                <w:rFonts w:eastAsia="Calibri"/>
                <w:b/>
              </w:rPr>
              <w:t>ara</w:t>
            </w:r>
            <w:r w:rsidRPr="00E0255C">
              <w:rPr>
                <w:rFonts w:eastAsia="Calibri"/>
                <w:b/>
              </w:rPr>
              <w:t>, 2010) Cost recovery for some ITU products and services</w:t>
            </w:r>
          </w:p>
          <w:p w14:paraId="77216513" w14:textId="3FDD371A" w:rsidR="478B1C36" w:rsidRPr="00E0255C" w:rsidRDefault="478B1C36" w:rsidP="006459A3">
            <w:pPr>
              <w:spacing w:before="60" w:after="60"/>
              <w:jc w:val="both"/>
              <w:rPr>
                <w:lang w:val="en-GB"/>
              </w:rPr>
            </w:pPr>
            <w:r w:rsidRPr="00E0255C">
              <w:rPr>
                <w:rFonts w:eastAsia="Calibri"/>
              </w:rPr>
              <w:t xml:space="preserve">See report </w:t>
            </w:r>
            <w:r w:rsidR="00150E96" w:rsidRPr="00E0255C">
              <w:rPr>
                <w:rFonts w:eastAsia="Calibri"/>
              </w:rPr>
              <w:t xml:space="preserve">to </w:t>
            </w:r>
            <w:r w:rsidR="00FA0430" w:rsidRPr="00E0255C">
              <w:rPr>
                <w:rFonts w:eastAsia="Calibri"/>
              </w:rPr>
              <w:t xml:space="preserve">the </w:t>
            </w:r>
            <w:r w:rsidR="00150E96" w:rsidRPr="00E0255C">
              <w:rPr>
                <w:rFonts w:eastAsia="Calibri"/>
              </w:rPr>
              <w:t xml:space="preserve">Council on Cost Recovery for the processing of Satellite network Filings, </w:t>
            </w:r>
            <w:r w:rsidR="00F97DDD" w:rsidRPr="00E0255C">
              <w:rPr>
                <w:rFonts w:eastAsia="Calibri"/>
              </w:rPr>
              <w:t>document</w:t>
            </w:r>
            <w:r w:rsidR="00150E96" w:rsidRPr="00E0255C">
              <w:rPr>
                <w:rFonts w:eastAsia="Calibri"/>
              </w:rPr>
              <w:t xml:space="preserve"> </w:t>
            </w:r>
            <w:hyperlink r:id="rId472" w:history="1">
              <w:r w:rsidR="00A076A1" w:rsidRPr="00E0255C">
                <w:rPr>
                  <w:rStyle w:val="Hyperlink"/>
                  <w:rFonts w:eastAsia="Calibri"/>
                </w:rPr>
                <w:t>C20/16</w:t>
              </w:r>
            </w:hyperlink>
            <w:r w:rsidR="00A076A1" w:rsidRPr="00E0255C">
              <w:rPr>
                <w:rFonts w:eastAsia="Calibri"/>
                <w:lang w:val="en-GB" w:eastAsia="en-US"/>
              </w:rPr>
              <w:t xml:space="preserve"> </w:t>
            </w:r>
            <w:r w:rsidR="00150E96" w:rsidRPr="00E0255C">
              <w:rPr>
                <w:rFonts w:eastAsia="Calibri"/>
                <w:lang w:val="en-GB" w:eastAsia="en-US"/>
              </w:rPr>
              <w:t xml:space="preserve">and report to </w:t>
            </w:r>
            <w:r w:rsidR="00FA0430" w:rsidRPr="00E0255C">
              <w:rPr>
                <w:rFonts w:eastAsia="Calibri"/>
                <w:lang w:val="en-GB" w:eastAsia="en-US"/>
              </w:rPr>
              <w:t xml:space="preserve">the </w:t>
            </w:r>
            <w:r w:rsidR="00150E96" w:rsidRPr="00E0255C">
              <w:rPr>
                <w:rFonts w:eastAsia="Calibri"/>
                <w:lang w:val="en-GB" w:eastAsia="en-US"/>
              </w:rPr>
              <w:t>Council by Chair of CWG-FHR</w:t>
            </w:r>
            <w:r w:rsidR="00ED6A7F" w:rsidRPr="00E0255C">
              <w:rPr>
                <w:rFonts w:eastAsia="Calibri"/>
                <w:lang w:val="en-GB" w:eastAsia="en-US"/>
              </w:rPr>
              <w:t>,</w:t>
            </w:r>
            <w:r w:rsidR="00150E96" w:rsidRPr="00E0255C">
              <w:rPr>
                <w:rFonts w:eastAsia="Calibri"/>
                <w:lang w:val="en-GB" w:eastAsia="en-US"/>
              </w:rPr>
              <w:t xml:space="preserve"> </w:t>
            </w:r>
            <w:r w:rsidR="004A6DB7" w:rsidRPr="00E0255C">
              <w:rPr>
                <w:rFonts w:eastAsia="Calibri"/>
                <w:lang w:val="en-GB" w:eastAsia="en-US"/>
              </w:rPr>
              <w:t>document</w:t>
            </w:r>
            <w:hyperlink r:id="rId473" w:history="1">
              <w:r w:rsidR="00A076A1" w:rsidRPr="00E0255C">
                <w:rPr>
                  <w:rStyle w:val="Hyperlink"/>
                  <w:rFonts w:eastAsia="Calibri"/>
                  <w:lang w:val="en-GB" w:eastAsia="en-US"/>
                </w:rPr>
                <w:t xml:space="preserve"> C20/50</w:t>
              </w:r>
            </w:hyperlink>
            <w:r w:rsidR="004A6DB7" w:rsidRPr="00E0255C">
              <w:rPr>
                <w:rFonts w:eastAsia="Calibri"/>
              </w:rPr>
              <w:t>.</w:t>
            </w:r>
            <w:r w:rsidRPr="00E0255C">
              <w:rPr>
                <w:rFonts w:eastAsia="Calibri"/>
              </w:rPr>
              <w:t xml:space="preserve"> </w:t>
            </w:r>
          </w:p>
        </w:tc>
      </w:tr>
      <w:tr w:rsidR="478B1C36" w:rsidRPr="00B64995" w14:paraId="2124422B" w14:textId="77777777" w:rsidTr="09AD7226">
        <w:tc>
          <w:tcPr>
            <w:tcW w:w="9026" w:type="dxa"/>
            <w:shd w:val="clear" w:color="auto" w:fill="FFFFFF" w:themeFill="background1"/>
          </w:tcPr>
          <w:p w14:paraId="3D6EE244" w14:textId="718E3788" w:rsidR="478B1C36" w:rsidRPr="00E0255C" w:rsidRDefault="478B1C36" w:rsidP="006459A3">
            <w:pPr>
              <w:spacing w:before="60" w:after="60"/>
              <w:jc w:val="both"/>
              <w:rPr>
                <w:lang w:val="en-GB"/>
              </w:rPr>
            </w:pPr>
            <w:r w:rsidRPr="00E0255C">
              <w:rPr>
                <w:rFonts w:eastAsia="Calibri"/>
                <w:b/>
              </w:rPr>
              <w:t>99 (</w:t>
            </w:r>
            <w:r w:rsidR="004F72C3" w:rsidRPr="00E0255C">
              <w:rPr>
                <w:rFonts w:eastAsia="Calibri"/>
                <w:b/>
              </w:rPr>
              <w:t>R</w:t>
            </w:r>
            <w:r w:rsidR="00FA0430" w:rsidRPr="00E0255C">
              <w:rPr>
                <w:rFonts w:eastAsia="Calibri"/>
                <w:b/>
              </w:rPr>
              <w:t>e</w:t>
            </w:r>
            <w:r w:rsidRPr="00E0255C">
              <w:rPr>
                <w:rFonts w:eastAsia="Calibri"/>
                <w:b/>
              </w:rPr>
              <w:t>v. Dubai, 2018) Status of Palestine in ITU</w:t>
            </w:r>
          </w:p>
          <w:p w14:paraId="1D0DC673" w14:textId="30D8964C" w:rsidR="478B1C36" w:rsidRPr="00E0255C" w:rsidRDefault="478B1C36" w:rsidP="006459A3">
            <w:pPr>
              <w:spacing w:before="60" w:after="60"/>
              <w:jc w:val="both"/>
              <w:rPr>
                <w:lang w:val="en-GB"/>
              </w:rPr>
            </w:pPr>
            <w:r w:rsidRPr="00E0255C">
              <w:rPr>
                <w:rFonts w:eastAsia="Calibri"/>
              </w:rPr>
              <w:t xml:space="preserve">This Resolution was fully implemented and allowed the observer from the State of Palestine to continue to participate in all conferences, assemblies, and meetings organized under the aegis of ITU, </w:t>
            </w:r>
            <w:proofErr w:type="gramStart"/>
            <w:r w:rsidRPr="00E0255C">
              <w:rPr>
                <w:rFonts w:eastAsia="Calibri"/>
              </w:rPr>
              <w:t>in particular WRC-19</w:t>
            </w:r>
            <w:proofErr w:type="gramEnd"/>
            <w:r w:rsidRPr="00E0255C">
              <w:rPr>
                <w:rFonts w:eastAsia="Calibri"/>
              </w:rPr>
              <w:t>, taking advantage of all of the rights enumerated in Resolution 99 (Rev. Dubai, 2018). The observer from the State of Palestine attended the 2019 ordinary session of the Council.</w:t>
            </w:r>
          </w:p>
        </w:tc>
      </w:tr>
      <w:tr w:rsidR="478B1C36" w:rsidRPr="00B64995" w14:paraId="1FCAB6FE" w14:textId="77777777" w:rsidTr="09AD7226">
        <w:tc>
          <w:tcPr>
            <w:tcW w:w="9026" w:type="dxa"/>
            <w:shd w:val="clear" w:color="auto" w:fill="FFFFFF" w:themeFill="background1"/>
          </w:tcPr>
          <w:p w14:paraId="2B0AE87A" w14:textId="77F54EF8" w:rsidR="478B1C36" w:rsidRPr="00E0255C" w:rsidRDefault="478B1C36" w:rsidP="006459A3">
            <w:pPr>
              <w:spacing w:before="60" w:after="60"/>
              <w:jc w:val="both"/>
              <w:rPr>
                <w:lang w:val="en-GB"/>
              </w:rPr>
            </w:pPr>
            <w:r w:rsidRPr="00E0255C">
              <w:rPr>
                <w:rFonts w:eastAsia="Calibri"/>
                <w:b/>
              </w:rPr>
              <w:t>101 (</w:t>
            </w:r>
            <w:r w:rsidR="004F72C3" w:rsidRPr="00E0255C">
              <w:rPr>
                <w:rFonts w:eastAsia="Calibri"/>
                <w:b/>
              </w:rPr>
              <w:t>R</w:t>
            </w:r>
            <w:r w:rsidRPr="00E0255C">
              <w:rPr>
                <w:rFonts w:eastAsia="Calibri"/>
                <w:b/>
              </w:rPr>
              <w:t xml:space="preserve">ev. Dubai, 2018) </w:t>
            </w:r>
            <w:r w:rsidR="00614D53" w:rsidRPr="00E0255C">
              <w:rPr>
                <w:rFonts w:eastAsia="Calibri"/>
                <w:b/>
              </w:rPr>
              <w:t>Internet</w:t>
            </w:r>
            <w:r w:rsidRPr="00E0255C">
              <w:rPr>
                <w:rFonts w:eastAsia="Calibri"/>
                <w:b/>
              </w:rPr>
              <w:t xml:space="preserve"> Protocol-based networks</w:t>
            </w:r>
          </w:p>
          <w:p w14:paraId="3544D790" w14:textId="5575FB42" w:rsidR="478B1C36" w:rsidRPr="00E0255C" w:rsidRDefault="478B1C36" w:rsidP="006459A3">
            <w:pPr>
              <w:spacing w:before="60" w:after="60"/>
              <w:jc w:val="both"/>
              <w:rPr>
                <w:lang w:val="en-GB"/>
              </w:rPr>
            </w:pPr>
            <w:r w:rsidRPr="00E0255C">
              <w:rPr>
                <w:rFonts w:eastAsia="Calibri"/>
              </w:rPr>
              <w:t xml:space="preserve">See report to </w:t>
            </w:r>
            <w:r w:rsidR="00FA0430" w:rsidRPr="00E0255C">
              <w:rPr>
                <w:rFonts w:eastAsia="Calibri"/>
              </w:rPr>
              <w:t xml:space="preserve">the </w:t>
            </w:r>
            <w:r w:rsidRPr="00E0255C">
              <w:rPr>
                <w:rFonts w:eastAsia="Calibri"/>
              </w:rPr>
              <w:t xml:space="preserve">Council </w:t>
            </w:r>
            <w:r w:rsidR="00C82E38" w:rsidRPr="00E0255C">
              <w:rPr>
                <w:rFonts w:eastAsia="Calibri"/>
              </w:rPr>
              <w:t xml:space="preserve">document </w:t>
            </w:r>
            <w:hyperlink r:id="rId474" w:history="1">
              <w:r w:rsidR="00A076A1" w:rsidRPr="00E0255C">
                <w:rPr>
                  <w:rStyle w:val="Hyperlink"/>
                  <w:rFonts w:eastAsia="Calibri"/>
                </w:rPr>
                <w:t>C20/33</w:t>
              </w:r>
            </w:hyperlink>
            <w:r w:rsidR="00150E96" w:rsidRPr="00E0255C">
              <w:rPr>
                <w:rFonts w:eastAsia="Calibri"/>
                <w:lang w:val="en-GB" w:eastAsia="en-US"/>
              </w:rPr>
              <w:t xml:space="preserve"> and report to </w:t>
            </w:r>
            <w:r w:rsidR="00A076A1" w:rsidRPr="00E0255C">
              <w:rPr>
                <w:rFonts w:eastAsia="Calibri"/>
                <w:lang w:val="en-GB" w:eastAsia="en-US"/>
              </w:rPr>
              <w:t xml:space="preserve">the </w:t>
            </w:r>
            <w:r w:rsidR="00150E96" w:rsidRPr="00E0255C">
              <w:rPr>
                <w:rFonts w:eastAsia="Calibri"/>
                <w:lang w:val="en-GB" w:eastAsia="en-US"/>
              </w:rPr>
              <w:t>Council by Chair of CWG-Internet</w:t>
            </w:r>
            <w:r w:rsidR="00ED6A7F" w:rsidRPr="00E0255C">
              <w:rPr>
                <w:rFonts w:eastAsia="Calibri"/>
                <w:lang w:val="en-GB" w:eastAsia="en-US"/>
              </w:rPr>
              <w:t xml:space="preserve">, </w:t>
            </w:r>
            <w:r w:rsidR="0064757C" w:rsidRPr="00E0255C">
              <w:rPr>
                <w:rFonts w:eastAsia="Calibri"/>
                <w:lang w:val="en-GB" w:eastAsia="en-US"/>
              </w:rPr>
              <w:t xml:space="preserve">document </w:t>
            </w:r>
            <w:hyperlink r:id="rId475" w:history="1">
              <w:r w:rsidR="00C82E38" w:rsidRPr="00E0255C">
                <w:rPr>
                  <w:rStyle w:val="Hyperlink"/>
                  <w:rFonts w:eastAsia="Calibri"/>
                  <w:lang w:val="en-GB" w:eastAsia="en-US"/>
                </w:rPr>
                <w:t>C20/51</w:t>
              </w:r>
            </w:hyperlink>
            <w:r w:rsidR="0064757C" w:rsidRPr="00E0255C">
              <w:rPr>
                <w:rStyle w:val="Hyperlink"/>
                <w:rFonts w:eastAsia="Calibri"/>
              </w:rPr>
              <w:t>.</w:t>
            </w:r>
          </w:p>
        </w:tc>
      </w:tr>
      <w:tr w:rsidR="478B1C36" w:rsidRPr="00C759B9" w14:paraId="22C42436" w14:textId="77777777" w:rsidTr="09AD7226">
        <w:tc>
          <w:tcPr>
            <w:tcW w:w="9026" w:type="dxa"/>
            <w:shd w:val="clear" w:color="auto" w:fill="FFFFFF" w:themeFill="background1"/>
          </w:tcPr>
          <w:p w14:paraId="5EAAF8F3" w14:textId="69C819E0" w:rsidR="478B1C36" w:rsidRPr="00E0255C" w:rsidRDefault="478B1C36" w:rsidP="006459A3">
            <w:pPr>
              <w:spacing w:before="60" w:after="60"/>
              <w:jc w:val="both"/>
              <w:rPr>
                <w:lang w:val="en-GB"/>
              </w:rPr>
            </w:pPr>
            <w:r w:rsidRPr="00E0255C">
              <w:rPr>
                <w:rFonts w:eastAsia="Calibri"/>
                <w:b/>
              </w:rPr>
              <w:t>119 (</w:t>
            </w:r>
            <w:r w:rsidR="00A076A1" w:rsidRPr="00E0255C">
              <w:rPr>
                <w:rFonts w:eastAsia="Calibri"/>
                <w:b/>
              </w:rPr>
              <w:t>R</w:t>
            </w:r>
            <w:r w:rsidRPr="00E0255C">
              <w:rPr>
                <w:rFonts w:eastAsia="Calibri"/>
                <w:b/>
              </w:rPr>
              <w:t>ev. Antalya, 2006) Methods to improve the efficiency and effectiveness of the RRB</w:t>
            </w:r>
          </w:p>
          <w:p w14:paraId="3FFD7CF5" w14:textId="07303826" w:rsidR="478B1C36" w:rsidRPr="00E0255C" w:rsidRDefault="478B1C36" w:rsidP="006459A3">
            <w:pPr>
              <w:spacing w:before="60" w:after="60"/>
              <w:jc w:val="both"/>
              <w:rPr>
                <w:lang w:val="en-GB"/>
              </w:rPr>
            </w:pPr>
            <w:r w:rsidRPr="00E0255C">
              <w:rPr>
                <w:rFonts w:eastAsia="Calibri"/>
              </w:rPr>
              <w:t>The Board pursued its periodical review of the working methods and internal processes contained in Part C of the Rules of Procedure and decided not to modify them</w:t>
            </w:r>
            <w:r w:rsidRPr="00E0255C">
              <w:rPr>
                <w:rFonts w:eastAsia="Calibri"/>
                <w:color w:val="000000" w:themeColor="text1"/>
              </w:rPr>
              <w:t xml:space="preserve"> </w:t>
            </w:r>
            <w:r w:rsidR="510E69C7" w:rsidRPr="00E0255C">
              <w:rPr>
                <w:rFonts w:eastAsia="Calibri"/>
                <w:color w:val="000000" w:themeColor="text1"/>
              </w:rPr>
              <w:t>in 2019 or 2020. The 80</w:t>
            </w:r>
            <w:r w:rsidR="510E69C7" w:rsidRPr="00E0255C">
              <w:rPr>
                <w:rFonts w:eastAsia="Calibri"/>
                <w:color w:val="000000" w:themeColor="text1"/>
                <w:vertAlign w:val="superscript"/>
              </w:rPr>
              <w:t>th</w:t>
            </w:r>
            <w:r w:rsidR="510E69C7" w:rsidRPr="00E0255C">
              <w:rPr>
                <w:rFonts w:eastAsia="Calibri"/>
                <w:color w:val="000000" w:themeColor="text1"/>
              </w:rPr>
              <w:t>, 81</w:t>
            </w:r>
            <w:r w:rsidR="510E69C7" w:rsidRPr="00E0255C">
              <w:rPr>
                <w:rFonts w:eastAsia="Calibri"/>
                <w:color w:val="000000" w:themeColor="text1"/>
                <w:vertAlign w:val="superscript"/>
              </w:rPr>
              <w:t>st</w:t>
            </w:r>
            <w:r w:rsidR="510E69C7" w:rsidRPr="00E0255C">
              <w:rPr>
                <w:rFonts w:eastAsia="Calibri"/>
                <w:color w:val="000000" w:themeColor="text1"/>
              </w:rPr>
              <w:t xml:space="preserve"> and 82</w:t>
            </w:r>
            <w:r w:rsidR="510E69C7" w:rsidRPr="00E0255C">
              <w:rPr>
                <w:rFonts w:eastAsia="Calibri"/>
                <w:color w:val="000000" w:themeColor="text1"/>
                <w:vertAlign w:val="superscript"/>
              </w:rPr>
              <w:t>nd</w:t>
            </w:r>
            <w:r w:rsidR="510E69C7" w:rsidRPr="00E0255C">
              <w:rPr>
                <w:rFonts w:eastAsia="Calibri"/>
                <w:color w:val="000000" w:themeColor="text1"/>
              </w:rPr>
              <w:t xml:space="preserve"> RRB meetings were </w:t>
            </w:r>
            <w:r w:rsidR="00E91C1B" w:rsidRPr="00E0255C">
              <w:rPr>
                <w:rFonts w:eastAsia="Calibri"/>
                <w:color w:val="000000" w:themeColor="text1"/>
              </w:rPr>
              <w:t xml:space="preserve">held </w:t>
            </w:r>
            <w:r w:rsidR="510E69C7" w:rsidRPr="00E0255C">
              <w:rPr>
                <w:rFonts w:eastAsia="Calibri"/>
                <w:color w:val="000000" w:themeColor="text1"/>
              </w:rPr>
              <w:t>in 2019 and the 83</w:t>
            </w:r>
            <w:r w:rsidR="510E69C7" w:rsidRPr="00E0255C">
              <w:rPr>
                <w:rFonts w:eastAsia="Calibri"/>
                <w:color w:val="000000" w:themeColor="text1"/>
                <w:vertAlign w:val="superscript"/>
              </w:rPr>
              <w:t>rd</w:t>
            </w:r>
            <w:r w:rsidR="510E69C7" w:rsidRPr="00E0255C">
              <w:rPr>
                <w:rFonts w:eastAsia="Calibri"/>
                <w:color w:val="000000" w:themeColor="text1"/>
              </w:rPr>
              <w:t>, 84</w:t>
            </w:r>
            <w:r w:rsidR="510E69C7" w:rsidRPr="00E0255C">
              <w:rPr>
                <w:rFonts w:eastAsia="Calibri"/>
                <w:color w:val="000000" w:themeColor="text1"/>
                <w:vertAlign w:val="superscript"/>
              </w:rPr>
              <w:t>th</w:t>
            </w:r>
            <w:r w:rsidR="510E69C7" w:rsidRPr="00E0255C">
              <w:rPr>
                <w:rFonts w:eastAsia="Calibri"/>
                <w:color w:val="000000" w:themeColor="text1"/>
              </w:rPr>
              <w:t xml:space="preserve"> and 85</w:t>
            </w:r>
            <w:r w:rsidR="510E69C7" w:rsidRPr="00E0255C">
              <w:rPr>
                <w:rFonts w:eastAsia="Calibri"/>
                <w:color w:val="000000" w:themeColor="text1"/>
                <w:vertAlign w:val="superscript"/>
              </w:rPr>
              <w:t>th</w:t>
            </w:r>
            <w:r w:rsidR="510E69C7" w:rsidRPr="00E0255C">
              <w:rPr>
                <w:rFonts w:eastAsia="Calibri"/>
                <w:color w:val="000000" w:themeColor="text1"/>
              </w:rPr>
              <w:t xml:space="preserve"> </w:t>
            </w:r>
            <w:r w:rsidR="00E91C1B" w:rsidRPr="00E0255C">
              <w:rPr>
                <w:rFonts w:eastAsia="Calibri"/>
                <w:color w:val="000000" w:themeColor="text1"/>
              </w:rPr>
              <w:t xml:space="preserve">were held </w:t>
            </w:r>
            <w:r w:rsidR="510E69C7" w:rsidRPr="00E0255C">
              <w:rPr>
                <w:rFonts w:eastAsia="Calibri"/>
                <w:color w:val="000000" w:themeColor="text1"/>
              </w:rPr>
              <w:t>in 2020</w:t>
            </w:r>
            <w:r w:rsidR="00E91C1B" w:rsidRPr="00E0255C">
              <w:rPr>
                <w:rFonts w:eastAsia="Calibri"/>
                <w:color w:val="000000" w:themeColor="text1"/>
              </w:rPr>
              <w:t xml:space="preserve"> as virtual meetings</w:t>
            </w:r>
            <w:r w:rsidR="510E69C7" w:rsidRPr="00E0255C">
              <w:rPr>
                <w:rFonts w:eastAsia="Calibri"/>
                <w:color w:val="000000" w:themeColor="text1"/>
              </w:rPr>
              <w:t>.</w:t>
            </w:r>
            <w:r w:rsidR="0F6B9A2E" w:rsidRPr="00E0255C">
              <w:rPr>
                <w:rFonts w:eastAsia="Calibri"/>
              </w:rPr>
              <w:t xml:space="preserve"> </w:t>
            </w:r>
            <w:r w:rsidRPr="00E0255C">
              <w:rPr>
                <w:rFonts w:eastAsia="Calibri"/>
              </w:rPr>
              <w:t xml:space="preserve">The </w:t>
            </w:r>
            <w:r w:rsidR="00E91C1B" w:rsidRPr="00E0255C">
              <w:rPr>
                <w:rFonts w:eastAsia="Calibri"/>
              </w:rPr>
              <w:t>s</w:t>
            </w:r>
            <w:r w:rsidRPr="00E0255C">
              <w:rPr>
                <w:rFonts w:eastAsia="Calibri"/>
              </w:rPr>
              <w:t xml:space="preserve">ummary of </w:t>
            </w:r>
            <w:r w:rsidR="00E91C1B" w:rsidRPr="00E0255C">
              <w:rPr>
                <w:rFonts w:eastAsia="Calibri"/>
              </w:rPr>
              <w:t>d</w:t>
            </w:r>
            <w:r w:rsidRPr="00E0255C">
              <w:rPr>
                <w:rFonts w:eastAsia="Calibri"/>
              </w:rPr>
              <w:t xml:space="preserve">ecisions and the </w:t>
            </w:r>
            <w:r w:rsidR="00E91C1B" w:rsidRPr="00E0255C">
              <w:rPr>
                <w:rFonts w:eastAsia="Calibri"/>
              </w:rPr>
              <w:t>m</w:t>
            </w:r>
            <w:r w:rsidRPr="00E0255C">
              <w:rPr>
                <w:rFonts w:eastAsia="Calibri"/>
              </w:rPr>
              <w:t xml:space="preserve">inutes of each </w:t>
            </w:r>
            <w:r w:rsidR="00E91C1B" w:rsidRPr="00E0255C">
              <w:rPr>
                <w:rFonts w:eastAsia="Calibri"/>
              </w:rPr>
              <w:t xml:space="preserve">of the </w:t>
            </w:r>
            <w:r w:rsidRPr="00E0255C">
              <w:rPr>
                <w:rFonts w:eastAsia="Calibri"/>
              </w:rPr>
              <w:t xml:space="preserve">Board’s meetings have been duly published on the </w:t>
            </w:r>
            <w:bookmarkStart w:id="165" w:name="_Hlk39561160"/>
            <w:r w:rsidR="000B788D" w:rsidRPr="00E0255C">
              <w:rPr>
                <w:rFonts w:eastAsiaTheme="minorHAnsi"/>
              </w:rPr>
              <w:fldChar w:fldCharType="begin"/>
            </w:r>
            <w:r w:rsidR="000B788D" w:rsidRPr="00E0255C">
              <w:instrText xml:space="preserve"> HYPERLINK "http://www.itu.int/ITU-R/go/RRB/" \h </w:instrText>
            </w:r>
            <w:r w:rsidR="000B788D" w:rsidRPr="00E0255C">
              <w:rPr>
                <w:rFonts w:eastAsiaTheme="minorHAnsi"/>
              </w:rPr>
              <w:fldChar w:fldCharType="separate"/>
            </w:r>
            <w:r w:rsidRPr="00E0255C">
              <w:rPr>
                <w:rStyle w:val="Hyperlink"/>
                <w:rFonts w:eastAsia="Calibri"/>
              </w:rPr>
              <w:t>RRB website</w:t>
            </w:r>
            <w:r w:rsidR="000B788D" w:rsidRPr="00E0255C">
              <w:rPr>
                <w:rStyle w:val="Hyperlink"/>
                <w:rFonts w:eastAsia="Calibri"/>
              </w:rPr>
              <w:fldChar w:fldCharType="end"/>
            </w:r>
            <w:r w:rsidRPr="00E0255C">
              <w:rPr>
                <w:rFonts w:eastAsia="Calibri"/>
                <w:color w:val="0000FF"/>
                <w:u w:val="single"/>
                <w:lang w:val="en-GB" w:eastAsia="en-US"/>
              </w:rPr>
              <w:t xml:space="preserve"> </w:t>
            </w:r>
            <w:r w:rsidRPr="00E0255C">
              <w:rPr>
                <w:rFonts w:eastAsia="Calibri"/>
                <w:lang w:val="en-GB" w:eastAsia="en-US"/>
              </w:rPr>
              <w:t>within statutory time limits.</w:t>
            </w:r>
            <w:bookmarkEnd w:id="165"/>
          </w:p>
        </w:tc>
      </w:tr>
      <w:tr w:rsidR="478B1C36" w:rsidRPr="00B64995" w14:paraId="4AFEE392" w14:textId="77777777" w:rsidTr="09AD7226">
        <w:tc>
          <w:tcPr>
            <w:tcW w:w="9026" w:type="dxa"/>
            <w:shd w:val="clear" w:color="auto" w:fill="FFFFFF" w:themeFill="background1"/>
          </w:tcPr>
          <w:p w14:paraId="438F964E" w14:textId="17B96410" w:rsidR="478B1C36" w:rsidRPr="00E0255C" w:rsidRDefault="478B1C36" w:rsidP="006459A3">
            <w:pPr>
              <w:pageBreakBefore/>
              <w:spacing w:before="60" w:after="60"/>
              <w:jc w:val="both"/>
              <w:rPr>
                <w:rFonts w:eastAsia="Calibri"/>
                <w:b/>
                <w:lang w:val="en-GB"/>
              </w:rPr>
            </w:pPr>
            <w:r w:rsidRPr="00E0255C">
              <w:rPr>
                <w:rFonts w:eastAsia="Calibri"/>
                <w:b/>
              </w:rPr>
              <w:lastRenderedPageBreak/>
              <w:t>125 (</w:t>
            </w:r>
            <w:r w:rsidR="00A076A1" w:rsidRPr="00E0255C">
              <w:rPr>
                <w:rFonts w:eastAsia="Calibri"/>
                <w:b/>
              </w:rPr>
              <w:t>R</w:t>
            </w:r>
            <w:r w:rsidRPr="00E0255C">
              <w:rPr>
                <w:rFonts w:eastAsia="Calibri"/>
                <w:b/>
              </w:rPr>
              <w:t>ev. Dubai, 2018) Assistance and support to Palestine for rebuilding its telecommunication networks</w:t>
            </w:r>
          </w:p>
          <w:p w14:paraId="68906BC7" w14:textId="025EA0E7" w:rsidR="00043C9F" w:rsidRPr="00E0255C" w:rsidRDefault="00043C9F" w:rsidP="006459A3">
            <w:pPr>
              <w:pStyle w:val="xmsolistparagraph"/>
              <w:numPr>
                <w:ilvl w:val="0"/>
                <w:numId w:val="34"/>
              </w:numPr>
              <w:spacing w:before="60" w:after="60"/>
              <w:rPr>
                <w:color w:val="000000"/>
                <w:lang w:val="en-GB"/>
              </w:rPr>
            </w:pPr>
            <w:r w:rsidRPr="00E0255C">
              <w:rPr>
                <w:color w:val="000000" w:themeColor="text1"/>
              </w:rPr>
              <w:t xml:space="preserve">ITU had developed </w:t>
            </w:r>
            <w:r w:rsidRPr="00E0255C">
              <w:t>costing model [BU-LRIC] for fixed and mobile networks services [voice and data] for Palestine as well as price regulation framework. The cost model report is reviewed by ITU and Palestine and accepted. Next steps were agreed with Palestine which include the following:</w:t>
            </w:r>
          </w:p>
          <w:p w14:paraId="0783A775" w14:textId="7CF772D8" w:rsidR="00043C9F" w:rsidRPr="00E0255C" w:rsidRDefault="00043C9F" w:rsidP="006459A3">
            <w:pPr>
              <w:pStyle w:val="xmsolistparagraph"/>
              <w:numPr>
                <w:ilvl w:val="0"/>
                <w:numId w:val="35"/>
              </w:numPr>
              <w:spacing w:before="60" w:after="60"/>
              <w:rPr>
                <w:color w:val="000000"/>
                <w:lang w:val="en-GB"/>
              </w:rPr>
            </w:pPr>
            <w:r w:rsidRPr="00E0255C">
              <w:t>Organized a virtual workshop for the project team from Palestine, 9 April</w:t>
            </w:r>
            <w:r w:rsidR="00AD510C" w:rsidRPr="00E0255C">
              <w:t>.</w:t>
            </w:r>
          </w:p>
          <w:p w14:paraId="67C674B0" w14:textId="77777777" w:rsidR="00C02906" w:rsidRPr="00E0255C" w:rsidRDefault="00043C9F" w:rsidP="006459A3">
            <w:pPr>
              <w:pStyle w:val="xmsolistparagraph"/>
              <w:numPr>
                <w:ilvl w:val="0"/>
                <w:numId w:val="35"/>
              </w:numPr>
              <w:spacing w:before="60" w:after="60"/>
              <w:rPr>
                <w:lang w:val="en-GB"/>
              </w:rPr>
            </w:pPr>
            <w:r w:rsidRPr="00E0255C">
              <w:t>Plan A (original plan)</w:t>
            </w:r>
            <w:r w:rsidR="00C02906" w:rsidRPr="00E0255C">
              <w:t>:</w:t>
            </w:r>
          </w:p>
          <w:p w14:paraId="262B3F3E" w14:textId="24298455" w:rsidR="00043C9F" w:rsidRPr="00E0255C" w:rsidRDefault="00043C9F" w:rsidP="006459A3">
            <w:pPr>
              <w:pStyle w:val="xmsolistparagraph"/>
              <w:spacing w:before="60" w:after="60"/>
              <w:ind w:left="1080"/>
              <w:rPr>
                <w:lang w:val="en-GB"/>
              </w:rPr>
            </w:pPr>
            <w:r w:rsidRPr="00E0255C">
              <w:t xml:space="preserve">- A mission to Ramallah to conduct a meeting with Palestine ICTs stakeholder to explain the construction and use of the cost </w:t>
            </w:r>
            <w:proofErr w:type="gramStart"/>
            <w:r w:rsidRPr="00E0255C">
              <w:t>models</w:t>
            </w:r>
            <w:r w:rsidR="00A02852" w:rsidRPr="00E0255C">
              <w:t>;</w:t>
            </w:r>
            <w:proofErr w:type="gramEnd"/>
          </w:p>
          <w:p w14:paraId="6425EFE8" w14:textId="05BC2723" w:rsidR="00043C9F" w:rsidRPr="00E0255C" w:rsidRDefault="00043C9F" w:rsidP="006459A3">
            <w:pPr>
              <w:pStyle w:val="xmsolistparagraph"/>
              <w:spacing w:before="60" w:after="60"/>
              <w:ind w:left="1080"/>
              <w:rPr>
                <w:lang w:val="en-GB"/>
              </w:rPr>
            </w:pPr>
            <w:r w:rsidRPr="00E0255C">
              <w:t>- Training for MTIT on how best to use the model</w:t>
            </w:r>
            <w:r w:rsidR="00A02852" w:rsidRPr="00E0255C">
              <w:t>.</w:t>
            </w:r>
          </w:p>
          <w:p w14:paraId="1E7194F0" w14:textId="3398ADF9" w:rsidR="00043C9F" w:rsidRPr="00E0255C" w:rsidRDefault="00043C9F" w:rsidP="006459A3">
            <w:pPr>
              <w:pStyle w:val="xmsolistparagraph"/>
              <w:numPr>
                <w:ilvl w:val="0"/>
                <w:numId w:val="35"/>
              </w:numPr>
              <w:spacing w:before="60" w:after="60"/>
              <w:rPr>
                <w:lang w:val="en-GB"/>
              </w:rPr>
            </w:pPr>
            <w:r w:rsidRPr="00E0255C">
              <w:t xml:space="preserve">Plan B (Possible alternative accounting for </w:t>
            </w:r>
            <w:r w:rsidR="00530ACF" w:rsidRPr="00E0255C">
              <w:t>COVID</w:t>
            </w:r>
            <w:r w:rsidRPr="00E0255C">
              <w:t>-19):</w:t>
            </w:r>
          </w:p>
          <w:p w14:paraId="066B861F" w14:textId="1E3615A0" w:rsidR="00043C9F" w:rsidRPr="00E0255C" w:rsidRDefault="00043C9F" w:rsidP="006459A3">
            <w:pPr>
              <w:pStyle w:val="xmsolistparagraph"/>
              <w:spacing w:before="60" w:after="60"/>
              <w:ind w:left="1080"/>
              <w:rPr>
                <w:lang w:val="en-GB"/>
              </w:rPr>
            </w:pPr>
            <w:r w:rsidRPr="00E0255C">
              <w:t xml:space="preserve">- An online stakeholder </w:t>
            </w:r>
            <w:proofErr w:type="gramStart"/>
            <w:r w:rsidRPr="00E0255C">
              <w:t>workshop</w:t>
            </w:r>
            <w:r w:rsidR="00A02852" w:rsidRPr="00E0255C">
              <w:t>;</w:t>
            </w:r>
            <w:proofErr w:type="gramEnd"/>
          </w:p>
          <w:p w14:paraId="6604F8F3" w14:textId="1DD6329B" w:rsidR="00043C9F" w:rsidRPr="00E0255C" w:rsidRDefault="00043C9F" w:rsidP="006459A3">
            <w:pPr>
              <w:pStyle w:val="xmsolistparagraph"/>
              <w:spacing w:before="60" w:after="60"/>
              <w:ind w:left="1080"/>
              <w:rPr>
                <w:lang w:val="en-GB"/>
              </w:rPr>
            </w:pPr>
            <w:r w:rsidRPr="00E0255C">
              <w:t>- An online training session for MTIT.</w:t>
            </w:r>
          </w:p>
          <w:p w14:paraId="67CF6A20" w14:textId="03570626" w:rsidR="00043C9F" w:rsidRPr="00E0255C" w:rsidRDefault="00043C9F" w:rsidP="006459A3">
            <w:pPr>
              <w:pStyle w:val="xmsolistparagraph"/>
              <w:numPr>
                <w:ilvl w:val="0"/>
                <w:numId w:val="34"/>
              </w:numPr>
              <w:spacing w:before="60" w:after="60"/>
              <w:rPr>
                <w:color w:val="000000"/>
                <w:lang w:val="en-GB"/>
              </w:rPr>
            </w:pPr>
            <w:r w:rsidRPr="00E0255C">
              <w:t>Project on "implementation of CIRT services and related capabilities" that reached its closure end of 2019, Palestine was assisted in building and deploying the technical capabilities and related trainings necessary to the implementation of the Palestine’s CIRT</w:t>
            </w:r>
            <w:r w:rsidR="00AD510C" w:rsidRPr="00E0255C">
              <w:t>.</w:t>
            </w:r>
          </w:p>
          <w:p w14:paraId="1B274464" w14:textId="02BCF765" w:rsidR="00043C9F" w:rsidRPr="00E0255C" w:rsidRDefault="00043C9F" w:rsidP="006459A3">
            <w:pPr>
              <w:pStyle w:val="xmsolistparagraph"/>
              <w:numPr>
                <w:ilvl w:val="0"/>
                <w:numId w:val="34"/>
              </w:numPr>
              <w:spacing w:before="60" w:after="60"/>
              <w:rPr>
                <w:color w:val="000000"/>
                <w:lang w:val="en-GB"/>
              </w:rPr>
            </w:pPr>
            <w:r w:rsidRPr="00E0255C">
              <w:t xml:space="preserve">In the framework of the connect school project 15 additional schools were equipped and connected to </w:t>
            </w:r>
            <w:r w:rsidR="00850A56" w:rsidRPr="00E0255C">
              <w:t>the I</w:t>
            </w:r>
            <w:r w:rsidRPr="00E0255C">
              <w:t>nternet during 2018-2019</w:t>
            </w:r>
            <w:r w:rsidR="00AD510C" w:rsidRPr="00E0255C">
              <w:t>.</w:t>
            </w:r>
          </w:p>
          <w:p w14:paraId="4C775FFB" w14:textId="1DD6329B" w:rsidR="00043C9F" w:rsidRPr="00E0255C" w:rsidRDefault="00043C9F" w:rsidP="006459A3">
            <w:pPr>
              <w:pStyle w:val="PlainText"/>
              <w:numPr>
                <w:ilvl w:val="0"/>
                <w:numId w:val="34"/>
              </w:numPr>
              <w:spacing w:before="60" w:after="60"/>
              <w:rPr>
                <w:rFonts w:ascii="Calibri" w:eastAsiaTheme="minorEastAsia" w:hAnsi="Calibri" w:cs="Calibri"/>
                <w:lang w:val="en-GB" w:eastAsia="en-GB"/>
              </w:rPr>
            </w:pPr>
            <w:r w:rsidRPr="00E0255C">
              <w:rPr>
                <w:rFonts w:ascii="Calibri" w:eastAsiaTheme="minorEastAsia" w:hAnsi="Calibri" w:cs="Calibri"/>
                <w:lang w:val="en-GB" w:eastAsia="en-GB"/>
              </w:rPr>
              <w:t>The following assistance to Palestine was stalled due to the inability to issue a visa for scoping visits by experts and ITU staff:</w:t>
            </w:r>
          </w:p>
          <w:p w14:paraId="1AAA0E1B" w14:textId="1BE85F89" w:rsidR="00043C9F" w:rsidRPr="00E0255C" w:rsidRDefault="00043C9F" w:rsidP="006459A3">
            <w:pPr>
              <w:pStyle w:val="PlainText"/>
              <w:numPr>
                <w:ilvl w:val="1"/>
                <w:numId w:val="34"/>
              </w:numPr>
              <w:spacing w:before="60" w:after="60"/>
              <w:rPr>
                <w:rFonts w:ascii="Calibri" w:eastAsiaTheme="minorEastAsia" w:hAnsi="Calibri" w:cs="Calibri"/>
                <w:lang w:val="en-GB" w:eastAsia="en-GB"/>
              </w:rPr>
            </w:pPr>
            <w:r w:rsidRPr="00E0255C">
              <w:rPr>
                <w:rFonts w:ascii="Calibri" w:eastAsiaTheme="minorEastAsia" w:hAnsi="Calibri" w:cs="Calibri"/>
                <w:lang w:val="en-GB" w:eastAsia="en-GB"/>
              </w:rPr>
              <w:t xml:space="preserve">establish a national electronic authentication </w:t>
            </w:r>
            <w:proofErr w:type="gramStart"/>
            <w:r w:rsidRPr="00E0255C">
              <w:rPr>
                <w:rFonts w:ascii="Calibri" w:eastAsiaTheme="minorEastAsia" w:hAnsi="Calibri" w:cs="Calibri"/>
                <w:lang w:val="en-GB" w:eastAsia="en-GB"/>
              </w:rPr>
              <w:t>unit</w:t>
            </w:r>
            <w:r w:rsidR="00A02852" w:rsidRPr="00E0255C">
              <w:rPr>
                <w:rFonts w:ascii="Calibri" w:eastAsiaTheme="minorEastAsia" w:hAnsi="Calibri" w:cs="Calibri"/>
                <w:lang w:val="en-GB" w:eastAsia="en-GB"/>
              </w:rPr>
              <w:t>;</w:t>
            </w:r>
            <w:proofErr w:type="gramEnd"/>
          </w:p>
          <w:p w14:paraId="0BB1C30C" w14:textId="77777777" w:rsidR="0049723A" w:rsidRPr="00E0255C" w:rsidRDefault="00043C9F" w:rsidP="006459A3">
            <w:pPr>
              <w:pStyle w:val="PlainText"/>
              <w:numPr>
                <w:ilvl w:val="1"/>
                <w:numId w:val="34"/>
              </w:numPr>
              <w:spacing w:before="60" w:after="60"/>
              <w:rPr>
                <w:rFonts w:ascii="Calibri" w:eastAsiaTheme="minorEastAsia" w:hAnsi="Calibri" w:cs="Calibri"/>
                <w:lang w:val="en-GB" w:eastAsia="en-GB"/>
              </w:rPr>
            </w:pPr>
            <w:r w:rsidRPr="00E0255C">
              <w:rPr>
                <w:rFonts w:ascii="Calibri" w:eastAsiaTheme="minorEastAsia" w:hAnsi="Calibri" w:cs="Calibri"/>
                <w:lang w:val="en-GB" w:eastAsia="en-GB"/>
              </w:rPr>
              <w:t>developing smart learning policy review.</w:t>
            </w:r>
          </w:p>
          <w:p w14:paraId="521CDA04" w14:textId="0D081F9F" w:rsidR="002D4D10" w:rsidRPr="00E0255C" w:rsidRDefault="00043C9F" w:rsidP="006459A3">
            <w:pPr>
              <w:pStyle w:val="PlainText"/>
              <w:numPr>
                <w:ilvl w:val="0"/>
                <w:numId w:val="34"/>
              </w:numPr>
              <w:spacing w:before="60" w:after="60"/>
              <w:rPr>
                <w:rFonts w:ascii="Calibri" w:hAnsi="Calibri" w:cs="Calibri"/>
                <w:lang w:val="en-GB"/>
              </w:rPr>
            </w:pPr>
            <w:r w:rsidRPr="00E0255C">
              <w:rPr>
                <w:rFonts w:ascii="Calibri" w:eastAsiaTheme="minorEastAsia" w:hAnsi="Calibri" w:cs="Calibri"/>
                <w:lang w:val="en-GB" w:eastAsia="en-GB"/>
              </w:rPr>
              <w:t>Started assistance to do a feasibility study for a satellite earth station. The draft job description for the required assistance was sent to Palestine in June and pending their feedback</w:t>
            </w:r>
            <w:r w:rsidR="00A02852" w:rsidRPr="00E0255C">
              <w:rPr>
                <w:rFonts w:ascii="Calibri" w:eastAsiaTheme="minorEastAsia" w:hAnsi="Calibri" w:cs="Calibri"/>
                <w:lang w:val="en-GB" w:eastAsia="en-GB"/>
              </w:rPr>
              <w:t>.</w:t>
            </w:r>
            <w:r w:rsidR="00BE37B6" w:rsidRPr="00E0255C">
              <w:rPr>
                <w:rFonts w:eastAsia="Calibri" w:cs="Calibri"/>
                <w:bCs/>
                <w:lang w:val="en-GB"/>
              </w:rPr>
              <w:t xml:space="preserve"> </w:t>
            </w:r>
          </w:p>
        </w:tc>
      </w:tr>
      <w:tr w:rsidR="478B1C36" w:rsidRPr="00B64995" w14:paraId="04AC813E" w14:textId="77777777" w:rsidTr="09AD7226">
        <w:tc>
          <w:tcPr>
            <w:tcW w:w="9026" w:type="dxa"/>
            <w:shd w:val="clear" w:color="auto" w:fill="FFFFFF" w:themeFill="background1"/>
          </w:tcPr>
          <w:p w14:paraId="4068670F" w14:textId="09DDD760" w:rsidR="478B1C36" w:rsidRPr="00E0255C" w:rsidRDefault="478B1C36" w:rsidP="006459A3">
            <w:pPr>
              <w:spacing w:before="60" w:after="60"/>
              <w:jc w:val="both"/>
              <w:rPr>
                <w:lang w:val="en-GB"/>
              </w:rPr>
            </w:pPr>
            <w:r w:rsidRPr="00E0255C">
              <w:rPr>
                <w:rFonts w:eastAsia="Calibri"/>
                <w:b/>
              </w:rPr>
              <w:t>131 (</w:t>
            </w:r>
            <w:r w:rsidR="00A076A1" w:rsidRPr="00E0255C">
              <w:rPr>
                <w:rFonts w:eastAsia="Calibri"/>
                <w:b/>
              </w:rPr>
              <w:t>R</w:t>
            </w:r>
            <w:r w:rsidRPr="00E0255C">
              <w:rPr>
                <w:rFonts w:eastAsia="Calibri"/>
                <w:b/>
              </w:rPr>
              <w:t>ev. Dubai, 2018) Measuring information and communication technologies to build an integrating and inclusive information society</w:t>
            </w:r>
          </w:p>
          <w:p w14:paraId="05139DB1" w14:textId="039CEEA2" w:rsidR="478B1C36" w:rsidRPr="00E0255C" w:rsidRDefault="478B1C36" w:rsidP="006459A3">
            <w:pPr>
              <w:spacing w:before="60" w:after="60"/>
              <w:jc w:val="both"/>
              <w:rPr>
                <w:lang w:val="en-GB"/>
              </w:rPr>
            </w:pPr>
            <w:r w:rsidRPr="00E0255C">
              <w:rPr>
                <w:rFonts w:eastAsia="Calibri"/>
              </w:rPr>
              <w:t xml:space="preserve">Implementation of this resolution is ongoing. Official </w:t>
            </w:r>
            <w:r w:rsidR="0CA6E7DA" w:rsidRPr="00E0255C">
              <w:rPr>
                <w:rFonts w:eastAsia="Calibri"/>
              </w:rPr>
              <w:t xml:space="preserve">statistics </w:t>
            </w:r>
            <w:r w:rsidR="00327DC1" w:rsidRPr="00E0255C">
              <w:rPr>
                <w:rFonts w:eastAsia="Calibri"/>
              </w:rPr>
              <w:t xml:space="preserve">have </w:t>
            </w:r>
            <w:r w:rsidRPr="00E0255C">
              <w:rPr>
                <w:rFonts w:eastAsia="Calibri"/>
              </w:rPr>
              <w:t xml:space="preserve">been collected from Member States and </w:t>
            </w:r>
            <w:r w:rsidR="5B9F553D" w:rsidRPr="00E0255C">
              <w:rPr>
                <w:rFonts w:eastAsia="Calibri"/>
              </w:rPr>
              <w:t xml:space="preserve">published </w:t>
            </w:r>
            <w:r w:rsidR="5CD2AF5E" w:rsidRPr="00E0255C">
              <w:rPr>
                <w:rFonts w:eastAsia="Calibri"/>
              </w:rPr>
              <w:t xml:space="preserve">in </w:t>
            </w:r>
            <w:r w:rsidRPr="00E0255C">
              <w:rPr>
                <w:rFonts w:eastAsia="Calibri"/>
              </w:rPr>
              <w:t xml:space="preserve">the World Telecommunication Indicators Database </w:t>
            </w:r>
            <w:r w:rsidR="7FC472FE" w:rsidRPr="00E0255C">
              <w:rPr>
                <w:rFonts w:eastAsia="Calibri"/>
              </w:rPr>
              <w:t>biannually</w:t>
            </w:r>
            <w:r w:rsidR="00327DC1" w:rsidRPr="00E0255C">
              <w:rPr>
                <w:rFonts w:eastAsia="Calibri"/>
              </w:rPr>
              <w:t>,</w:t>
            </w:r>
            <w:r w:rsidR="7FC472FE" w:rsidRPr="00E0255C">
              <w:rPr>
                <w:rFonts w:eastAsia="Calibri"/>
              </w:rPr>
              <w:t xml:space="preserve"> </w:t>
            </w:r>
            <w:r w:rsidR="3B888B12" w:rsidRPr="00E0255C">
              <w:rPr>
                <w:rFonts w:eastAsia="Calibri"/>
              </w:rPr>
              <w:t>and</w:t>
            </w:r>
            <w:r w:rsidR="1299A325" w:rsidRPr="00E0255C">
              <w:rPr>
                <w:rFonts w:eastAsia="Calibri"/>
              </w:rPr>
              <w:t xml:space="preserve"> on ITU’s website</w:t>
            </w:r>
            <w:r w:rsidR="00327DC1" w:rsidRPr="00E0255C">
              <w:rPr>
                <w:rFonts w:eastAsia="Calibri"/>
              </w:rPr>
              <w:t xml:space="preserve"> for a selected number of indicators</w:t>
            </w:r>
            <w:r w:rsidR="5CD2AF5E" w:rsidRPr="00E0255C">
              <w:rPr>
                <w:rFonts w:eastAsia="Calibri"/>
              </w:rPr>
              <w:t>.</w:t>
            </w:r>
            <w:r w:rsidRPr="00E0255C">
              <w:rPr>
                <w:rFonts w:eastAsia="Calibri"/>
              </w:rPr>
              <w:t xml:space="preserve"> </w:t>
            </w:r>
            <w:r w:rsidR="7EBE5AE8" w:rsidRPr="00E0255C">
              <w:rPr>
                <w:rFonts w:eastAsia="Calibri"/>
              </w:rPr>
              <w:t>Collected</w:t>
            </w:r>
            <w:r w:rsidR="22D43E6C" w:rsidRPr="00E0255C">
              <w:rPr>
                <w:rFonts w:eastAsia="Calibri"/>
              </w:rPr>
              <w:t xml:space="preserve"> </w:t>
            </w:r>
            <w:r w:rsidR="47052056" w:rsidRPr="00E0255C">
              <w:rPr>
                <w:rFonts w:eastAsia="Calibri"/>
              </w:rPr>
              <w:t xml:space="preserve">statistics are also featured and </w:t>
            </w:r>
            <w:proofErr w:type="spellStart"/>
            <w:r w:rsidR="47052056" w:rsidRPr="00E0255C">
              <w:rPr>
                <w:rFonts w:eastAsia="Calibri"/>
              </w:rPr>
              <w:t>analysed</w:t>
            </w:r>
            <w:proofErr w:type="spellEnd"/>
            <w:r w:rsidR="47052056" w:rsidRPr="00E0255C">
              <w:rPr>
                <w:rFonts w:eastAsia="Calibri"/>
              </w:rPr>
              <w:t xml:space="preserve"> in </w:t>
            </w:r>
            <w:r w:rsidRPr="00E0255C">
              <w:rPr>
                <w:rFonts w:eastAsia="Calibri"/>
              </w:rPr>
              <w:t>Measuring Digital Development</w:t>
            </w:r>
            <w:r w:rsidR="6ED657E1" w:rsidRPr="00E0255C">
              <w:rPr>
                <w:rFonts w:eastAsia="Calibri"/>
              </w:rPr>
              <w:t xml:space="preserve"> </w:t>
            </w:r>
            <w:r w:rsidR="1A434310" w:rsidRPr="00E0255C">
              <w:rPr>
                <w:rFonts w:eastAsia="Calibri"/>
              </w:rPr>
              <w:t xml:space="preserve">publications, </w:t>
            </w:r>
            <w:r w:rsidR="03B9051D" w:rsidRPr="00E0255C">
              <w:rPr>
                <w:rFonts w:eastAsia="Calibri"/>
              </w:rPr>
              <w:t xml:space="preserve">including </w:t>
            </w:r>
            <w:r w:rsidR="5CD2AF5E" w:rsidRPr="00E0255C">
              <w:rPr>
                <w:rFonts w:eastAsia="Calibri"/>
              </w:rPr>
              <w:t xml:space="preserve">Facts and Figures </w:t>
            </w:r>
            <w:r w:rsidR="2F61A006" w:rsidRPr="00E0255C">
              <w:rPr>
                <w:rFonts w:eastAsia="Calibri"/>
              </w:rPr>
              <w:t xml:space="preserve">2020 </w:t>
            </w:r>
            <w:r w:rsidR="39AE8120" w:rsidRPr="00E0255C">
              <w:rPr>
                <w:rFonts w:eastAsia="Calibri"/>
              </w:rPr>
              <w:t>and ICT Price Trends</w:t>
            </w:r>
            <w:r w:rsidR="52357F65" w:rsidRPr="00E0255C">
              <w:rPr>
                <w:rFonts w:eastAsia="Calibri"/>
              </w:rPr>
              <w:t xml:space="preserve"> 2019</w:t>
            </w:r>
            <w:r w:rsidR="5CD2AF5E" w:rsidRPr="00E0255C">
              <w:rPr>
                <w:rFonts w:eastAsia="Calibri"/>
              </w:rPr>
              <w:t>.</w:t>
            </w:r>
            <w:r w:rsidRPr="00E0255C">
              <w:rPr>
                <w:rFonts w:eastAsia="Calibri"/>
              </w:rPr>
              <w:t xml:space="preserve"> </w:t>
            </w:r>
            <w:r w:rsidR="7EDAC76A" w:rsidRPr="00E0255C">
              <w:rPr>
                <w:rFonts w:eastAsia="Calibri"/>
              </w:rPr>
              <w:t xml:space="preserve">For capacity building, </w:t>
            </w:r>
            <w:r w:rsidR="28C2E490" w:rsidRPr="00E0255C">
              <w:rPr>
                <w:rFonts w:eastAsia="Calibri"/>
              </w:rPr>
              <w:t xml:space="preserve">no </w:t>
            </w:r>
            <w:r w:rsidR="00327DC1" w:rsidRPr="00E0255C">
              <w:rPr>
                <w:rFonts w:eastAsia="Calibri"/>
              </w:rPr>
              <w:t xml:space="preserve">in-person </w:t>
            </w:r>
            <w:r w:rsidR="28C2E490" w:rsidRPr="00E0255C">
              <w:rPr>
                <w:rFonts w:eastAsia="Calibri"/>
              </w:rPr>
              <w:t>training took place in</w:t>
            </w:r>
            <w:r w:rsidR="7EDAC76A" w:rsidRPr="00E0255C">
              <w:rPr>
                <w:rFonts w:eastAsia="Calibri"/>
              </w:rPr>
              <w:t xml:space="preserve"> </w:t>
            </w:r>
            <w:r w:rsidR="30B9B032" w:rsidRPr="00E0255C">
              <w:rPr>
                <w:rFonts w:eastAsia="Calibri"/>
              </w:rPr>
              <w:t>2020. T</w:t>
            </w:r>
            <w:r w:rsidR="7EDAC76A" w:rsidRPr="00E0255C">
              <w:rPr>
                <w:rFonts w:eastAsia="Calibri"/>
              </w:rPr>
              <w:t xml:space="preserve">he production of two online courses for ITU on the collection of </w:t>
            </w:r>
            <w:r w:rsidR="00327DC1" w:rsidRPr="00E0255C">
              <w:rPr>
                <w:rFonts w:eastAsia="Calibri"/>
              </w:rPr>
              <w:t xml:space="preserve">data for </w:t>
            </w:r>
            <w:r w:rsidR="7EDAC76A" w:rsidRPr="00E0255C">
              <w:rPr>
                <w:rFonts w:eastAsia="Calibri"/>
              </w:rPr>
              <w:t xml:space="preserve">administrative indicators and household indicators </w:t>
            </w:r>
            <w:r w:rsidR="48AFD090" w:rsidRPr="00E0255C">
              <w:rPr>
                <w:rFonts w:eastAsia="Calibri"/>
              </w:rPr>
              <w:t>is</w:t>
            </w:r>
            <w:r w:rsidR="7EDAC76A" w:rsidRPr="00E0255C">
              <w:rPr>
                <w:rFonts w:eastAsia="Calibri"/>
              </w:rPr>
              <w:t xml:space="preserve"> ongoing </w:t>
            </w:r>
            <w:r w:rsidR="48AFD090" w:rsidRPr="00E0255C">
              <w:rPr>
                <w:rFonts w:eastAsia="Calibri"/>
              </w:rPr>
              <w:t xml:space="preserve">and the courses will be available from the ITU Academy by June 2021. </w:t>
            </w:r>
            <w:r w:rsidRPr="00E0255C">
              <w:rPr>
                <w:rFonts w:eastAsia="Calibri"/>
              </w:rPr>
              <w:t>The Expert Group on Telecommunication Indicators</w:t>
            </w:r>
            <w:r w:rsidR="5CD2AF5E" w:rsidRPr="00E0255C">
              <w:rPr>
                <w:rFonts w:eastAsia="Calibri"/>
              </w:rPr>
              <w:t xml:space="preserve"> </w:t>
            </w:r>
            <w:r w:rsidR="4247D4A8" w:rsidRPr="00E0255C">
              <w:rPr>
                <w:rFonts w:eastAsia="Calibri"/>
              </w:rPr>
              <w:t>(EGTI)</w:t>
            </w:r>
            <w:r w:rsidRPr="00E0255C">
              <w:rPr>
                <w:rFonts w:eastAsia="Calibri"/>
              </w:rPr>
              <w:t xml:space="preserve"> and the Expert Group on Household </w:t>
            </w:r>
            <w:r w:rsidR="27336230" w:rsidRPr="00E0255C">
              <w:rPr>
                <w:rFonts w:eastAsia="Calibri"/>
              </w:rPr>
              <w:t xml:space="preserve">indicators </w:t>
            </w:r>
            <w:r w:rsidRPr="00E0255C">
              <w:rPr>
                <w:rFonts w:eastAsia="Calibri"/>
              </w:rPr>
              <w:t>(EGH</w:t>
            </w:r>
            <w:r w:rsidR="00327DC1" w:rsidRPr="00E0255C">
              <w:rPr>
                <w:rFonts w:eastAsia="Calibri"/>
              </w:rPr>
              <w:t>I</w:t>
            </w:r>
            <w:r w:rsidRPr="00E0255C">
              <w:rPr>
                <w:rFonts w:eastAsia="Calibri"/>
              </w:rPr>
              <w:t>) held their annual meetings</w:t>
            </w:r>
            <w:r w:rsidR="754CBDCE" w:rsidRPr="00E0255C">
              <w:rPr>
                <w:rFonts w:eastAsia="Calibri"/>
              </w:rPr>
              <w:t xml:space="preserve"> in September 2020, while the 2020 edition of the World Telecommunication Indicators Symposium took place online in December</w:t>
            </w:r>
            <w:r w:rsidR="5CD2AF5E" w:rsidRPr="00E0255C">
              <w:rPr>
                <w:rFonts w:eastAsia="Calibri"/>
              </w:rPr>
              <w:t>.</w:t>
            </w:r>
            <w:r w:rsidR="0F127D32" w:rsidRPr="00E0255C">
              <w:rPr>
                <w:rFonts w:eastAsia="Calibri"/>
              </w:rPr>
              <w:t xml:space="preserve"> See </w:t>
            </w:r>
            <w:hyperlink w:anchor="Section_3_1">
              <w:r w:rsidR="0F127D32" w:rsidRPr="00E0255C">
                <w:rPr>
                  <w:rStyle w:val="Hyperlink"/>
                  <w:rFonts w:eastAsia="Calibri"/>
                </w:rPr>
                <w:t>section 3</w:t>
              </w:r>
            </w:hyperlink>
            <w:r w:rsidR="00816E79" w:rsidRPr="00E0255C">
              <w:rPr>
                <w:rFonts w:eastAsia="Calibri"/>
                <w:lang w:val="en-GB" w:eastAsia="en-US"/>
              </w:rPr>
              <w:t xml:space="preserve"> for the actual measurement of Connect 2030 targets which come mainly </w:t>
            </w:r>
            <w:r w:rsidR="00646E3E" w:rsidRPr="00E0255C">
              <w:rPr>
                <w:rFonts w:eastAsia="Calibri"/>
                <w:lang w:val="en-GB" w:eastAsia="en-US"/>
              </w:rPr>
              <w:t xml:space="preserve">from </w:t>
            </w:r>
            <w:r w:rsidR="00816E79" w:rsidRPr="00E0255C">
              <w:rPr>
                <w:rFonts w:eastAsia="Calibri"/>
                <w:lang w:val="en-GB" w:eastAsia="en-US"/>
              </w:rPr>
              <w:t>the work of BDT on this subject.</w:t>
            </w:r>
          </w:p>
        </w:tc>
      </w:tr>
      <w:tr w:rsidR="478B1C36" w:rsidRPr="00B64995" w14:paraId="67F42EA5" w14:textId="77777777" w:rsidTr="09AD7226">
        <w:tc>
          <w:tcPr>
            <w:tcW w:w="9026" w:type="dxa"/>
            <w:shd w:val="clear" w:color="auto" w:fill="FFFFFF" w:themeFill="background1"/>
          </w:tcPr>
          <w:p w14:paraId="4702082F" w14:textId="15D8E3CA" w:rsidR="478B1C36" w:rsidRPr="00E0255C" w:rsidRDefault="478B1C36" w:rsidP="006459A3">
            <w:pPr>
              <w:spacing w:before="60" w:after="60"/>
              <w:jc w:val="both"/>
              <w:rPr>
                <w:lang w:val="en-GB"/>
              </w:rPr>
            </w:pPr>
            <w:r w:rsidRPr="00E0255C">
              <w:rPr>
                <w:rFonts w:eastAsia="Calibri"/>
                <w:b/>
              </w:rPr>
              <w:t>135 (</w:t>
            </w:r>
            <w:r w:rsidR="00A076A1" w:rsidRPr="00E0255C">
              <w:rPr>
                <w:rFonts w:eastAsia="Calibri"/>
                <w:b/>
              </w:rPr>
              <w:t>R</w:t>
            </w:r>
            <w:r w:rsidRPr="00E0255C">
              <w:rPr>
                <w:rFonts w:eastAsia="Calibri"/>
                <w:b/>
              </w:rPr>
              <w:t xml:space="preserve">ev. Dubai, 2018) ITU’s role in the durable and sustainable development of telecommunications/information and communication technologies, in providing technical assistance and advice to developing countries and in implementing relevant national, </w:t>
            </w:r>
            <w:proofErr w:type="gramStart"/>
            <w:r w:rsidRPr="00E0255C">
              <w:rPr>
                <w:rFonts w:eastAsia="Calibri"/>
                <w:b/>
              </w:rPr>
              <w:t>regional</w:t>
            </w:r>
            <w:proofErr w:type="gramEnd"/>
            <w:r w:rsidRPr="00E0255C">
              <w:rPr>
                <w:rFonts w:eastAsia="Calibri"/>
                <w:b/>
              </w:rPr>
              <w:t xml:space="preserve"> and interregional projects</w:t>
            </w:r>
          </w:p>
          <w:p w14:paraId="56A83213" w14:textId="367B6D55" w:rsidR="0049723A" w:rsidRPr="00E0255C" w:rsidRDefault="478B1C36" w:rsidP="006459A3">
            <w:pPr>
              <w:spacing w:before="60" w:after="60"/>
              <w:jc w:val="both"/>
              <w:rPr>
                <w:rFonts w:eastAsia="Calibri"/>
                <w:color w:val="0000FF"/>
                <w:u w:val="single"/>
                <w:lang w:val="en-GB"/>
              </w:rPr>
            </w:pPr>
            <w:r w:rsidRPr="00E0255C">
              <w:rPr>
                <w:rFonts w:eastAsia="Calibri"/>
              </w:rPr>
              <w:t xml:space="preserve">BDT Implemented updated the ITU Broadband Maps with information obtained from administrations, regulators, </w:t>
            </w:r>
            <w:proofErr w:type="gramStart"/>
            <w:r w:rsidRPr="00E0255C">
              <w:rPr>
                <w:rFonts w:eastAsia="Calibri"/>
              </w:rPr>
              <w:t>operators</w:t>
            </w:r>
            <w:proofErr w:type="gramEnd"/>
            <w:r w:rsidRPr="00E0255C">
              <w:rPr>
                <w:rFonts w:eastAsia="Calibri"/>
              </w:rPr>
              <w:t xml:space="preserve"> and public sources (</w:t>
            </w:r>
            <w:r w:rsidR="0064757C" w:rsidRPr="00E0255C">
              <w:rPr>
                <w:rFonts w:eastAsia="Calibri"/>
              </w:rPr>
              <w:t xml:space="preserve">viewable </w:t>
            </w:r>
            <w:hyperlink r:id="rId476" w:history="1">
              <w:r w:rsidR="0064757C" w:rsidRPr="00E0255C">
                <w:rPr>
                  <w:rStyle w:val="Hyperlink"/>
                  <w:rFonts w:eastAsia="Calibri"/>
                </w:rPr>
                <w:t>online</w:t>
              </w:r>
            </w:hyperlink>
            <w:r w:rsidR="009A7F87" w:rsidRPr="00E0255C">
              <w:rPr>
                <w:rFonts w:eastAsia="Calibri"/>
                <w:lang w:val="en-GB" w:eastAsia="en-US"/>
              </w:rPr>
              <w:t>)</w:t>
            </w:r>
            <w:r w:rsidRPr="00E0255C">
              <w:rPr>
                <w:rFonts w:eastAsia="Calibri"/>
                <w:lang w:val="en-GB" w:eastAsia="en-US"/>
              </w:rPr>
              <w:t>. In 2019, the Map presents infrastructure information from 520 operators’ networks and 21</w:t>
            </w:r>
            <w:r w:rsidR="005D4A07" w:rsidRPr="00E0255C">
              <w:rPr>
                <w:rFonts w:eastAsia="Calibri"/>
                <w:lang w:val="en-GB"/>
              </w:rPr>
              <w:t> </w:t>
            </w:r>
            <w:r w:rsidRPr="00E0255C">
              <w:rPr>
                <w:rFonts w:eastAsia="Calibri"/>
                <w:lang w:val="en-GB" w:eastAsia="en-US"/>
              </w:rPr>
              <w:t>806 nodes worldwide</w:t>
            </w:r>
            <w:r w:rsidRPr="00E0255C">
              <w:rPr>
                <w:rFonts w:eastAsia="Calibri"/>
                <w:color w:val="0000FF"/>
                <w:u w:val="single"/>
                <w:lang w:val="en-GB" w:eastAsia="en-US"/>
              </w:rPr>
              <w:t>.</w:t>
            </w:r>
          </w:p>
          <w:p w14:paraId="1096BAB7" w14:textId="76593733" w:rsidR="00D325AE" w:rsidRPr="00E0255C" w:rsidRDefault="478B1C36" w:rsidP="006459A3">
            <w:pPr>
              <w:spacing w:before="60" w:after="60"/>
              <w:rPr>
                <w:rFonts w:eastAsia="Calibri"/>
                <w:lang w:val="en-GB"/>
              </w:rPr>
            </w:pPr>
            <w:r w:rsidRPr="00E0255C">
              <w:rPr>
                <w:rFonts w:eastAsia="Calibri"/>
              </w:rPr>
              <w:t>The research on and representation of the transmission links has reached 3</w:t>
            </w:r>
            <w:r w:rsidR="005D4A07" w:rsidRPr="00E0255C">
              <w:rPr>
                <w:rFonts w:eastAsia="Calibri"/>
                <w:lang w:val="en-GB"/>
              </w:rPr>
              <w:t> </w:t>
            </w:r>
            <w:r w:rsidRPr="00E0255C">
              <w:rPr>
                <w:rFonts w:eastAsia="Calibri"/>
              </w:rPr>
              <w:t>720</w:t>
            </w:r>
            <w:r w:rsidR="005D4A07" w:rsidRPr="00E0255C">
              <w:rPr>
                <w:rFonts w:eastAsia="Calibri"/>
                <w:lang w:val="en-GB"/>
              </w:rPr>
              <w:t> </w:t>
            </w:r>
            <w:r w:rsidRPr="00E0255C">
              <w:rPr>
                <w:rFonts w:eastAsia="Calibri"/>
              </w:rPr>
              <w:t>687. Additionally, the following actions have been taken:</w:t>
            </w:r>
          </w:p>
          <w:p w14:paraId="512B47DB" w14:textId="3A3331D1" w:rsidR="00D325AE" w:rsidRPr="00E0255C" w:rsidRDefault="478B1C36" w:rsidP="006459A3">
            <w:pPr>
              <w:spacing w:before="60" w:after="60"/>
              <w:jc w:val="both"/>
              <w:rPr>
                <w:rFonts w:eastAsia="Calibri"/>
                <w:lang w:val="en-GB"/>
              </w:rPr>
            </w:pPr>
            <w:r w:rsidRPr="00E0255C">
              <w:rPr>
                <w:rFonts w:eastAsia="Calibri"/>
              </w:rPr>
              <w:t xml:space="preserve"> • The ITU Broadband Business Planning Toolkit has been </w:t>
            </w:r>
            <w:proofErr w:type="gramStart"/>
            <w:r w:rsidRPr="00E0255C">
              <w:rPr>
                <w:rFonts w:eastAsia="Calibri"/>
              </w:rPr>
              <w:t>published;</w:t>
            </w:r>
            <w:proofErr w:type="gramEnd"/>
          </w:p>
          <w:p w14:paraId="10322483" w14:textId="590AF2C5" w:rsidR="478B1C36" w:rsidRPr="00E0255C" w:rsidRDefault="478B1C36" w:rsidP="006459A3">
            <w:pPr>
              <w:spacing w:before="60" w:after="60"/>
              <w:jc w:val="both"/>
              <w:rPr>
                <w:lang w:val="en-GB"/>
              </w:rPr>
            </w:pPr>
            <w:r w:rsidRPr="00E0255C">
              <w:rPr>
                <w:rFonts w:eastAsia="Calibri"/>
              </w:rPr>
              <w:t xml:space="preserve"> • Assessment studies for ECOWAS on Conformance and Interoperability and EMF were prepared</w:t>
            </w:r>
            <w:r w:rsidR="00D56858" w:rsidRPr="00E0255C">
              <w:rPr>
                <w:rFonts w:eastAsia="Calibri"/>
              </w:rPr>
              <w:t>.</w:t>
            </w:r>
            <w:r w:rsidRPr="00E0255C">
              <w:rPr>
                <w:rFonts w:eastAsia="Calibri"/>
              </w:rPr>
              <w:t xml:space="preserve"> </w:t>
            </w:r>
          </w:p>
        </w:tc>
      </w:tr>
      <w:tr w:rsidR="478B1C36" w:rsidRPr="00B64995" w14:paraId="3D72F673" w14:textId="77777777" w:rsidTr="09AD7226">
        <w:tc>
          <w:tcPr>
            <w:tcW w:w="9026" w:type="dxa"/>
            <w:shd w:val="clear" w:color="auto" w:fill="FFFFFF" w:themeFill="background1"/>
          </w:tcPr>
          <w:p w14:paraId="35236682" w14:textId="4AF2C7DD" w:rsidR="478B1C36" w:rsidRPr="00E0255C" w:rsidRDefault="478B1C36" w:rsidP="006459A3">
            <w:pPr>
              <w:spacing w:before="60" w:after="60"/>
              <w:jc w:val="both"/>
              <w:rPr>
                <w:lang w:val="en-GB"/>
              </w:rPr>
            </w:pPr>
            <w:r w:rsidRPr="00E0255C">
              <w:rPr>
                <w:rFonts w:eastAsia="Calibri"/>
                <w:b/>
              </w:rPr>
              <w:t>139 (</w:t>
            </w:r>
            <w:r w:rsidR="00A076A1" w:rsidRPr="00E0255C">
              <w:rPr>
                <w:rFonts w:eastAsia="Calibri"/>
                <w:b/>
              </w:rPr>
              <w:t>R</w:t>
            </w:r>
            <w:r w:rsidRPr="00E0255C">
              <w:rPr>
                <w:rFonts w:eastAsia="Calibri"/>
                <w:b/>
              </w:rPr>
              <w:t>ev. Dubai, 2018) Use of telecommunications/information and communication technologies to bridge the digital divide and build an inclusive information society</w:t>
            </w:r>
          </w:p>
          <w:p w14:paraId="58301E7C" w14:textId="50AB2884" w:rsidR="478B1C36" w:rsidRPr="00E0255C" w:rsidRDefault="478B1C36" w:rsidP="006459A3">
            <w:pPr>
              <w:spacing w:before="60" w:after="60"/>
              <w:rPr>
                <w:lang w:val="en-GB"/>
              </w:rPr>
            </w:pPr>
            <w:r w:rsidRPr="00E0255C">
              <w:rPr>
                <w:rFonts w:eastAsia="Calibri"/>
              </w:rPr>
              <w:t xml:space="preserve">The ITU Broadband Maps have been enhanced in taking stock of worldwide connectivity and promote understanding and investment opportunities of network infrastructure. The public version of the interactive </w:t>
            </w:r>
            <w:r w:rsidRPr="00E0255C">
              <w:rPr>
                <w:rFonts w:eastAsia="Calibri"/>
              </w:rPr>
              <w:lastRenderedPageBreak/>
              <w:t xml:space="preserve">map is available </w:t>
            </w:r>
            <w:hyperlink r:id="rId477" w:history="1">
              <w:r w:rsidR="00645A8F" w:rsidRPr="00E0255C">
                <w:rPr>
                  <w:rStyle w:val="Hyperlink"/>
                  <w:rFonts w:eastAsia="Calibri"/>
                </w:rPr>
                <w:t>online</w:t>
              </w:r>
            </w:hyperlink>
            <w:r w:rsidR="00645A8F" w:rsidRPr="00E0255C">
              <w:rPr>
                <w:rFonts w:asciiTheme="minorHAnsi" w:eastAsiaTheme="minorHAnsi" w:hAnsiTheme="minorHAnsi" w:cstheme="minorBidi"/>
                <w:lang w:val="en-GB" w:eastAsia="en-US"/>
              </w:rPr>
              <w:t xml:space="preserve">. </w:t>
            </w:r>
            <w:r w:rsidRPr="00E0255C">
              <w:rPr>
                <w:rFonts w:eastAsia="Calibri"/>
                <w:lang w:val="en-GB" w:eastAsia="en-US"/>
              </w:rPr>
              <w:t xml:space="preserve">In 2019, the broadband maps supported other global initiatives such as </w:t>
            </w:r>
            <w:r w:rsidR="00E3477F" w:rsidRPr="00E0255C">
              <w:rPr>
                <w:rFonts w:eastAsia="Calibri"/>
                <w:lang w:val="en-GB" w:eastAsia="en-US"/>
              </w:rPr>
              <w:t xml:space="preserve">Giga </w:t>
            </w:r>
            <w:r w:rsidR="00595F97" w:rsidRPr="00E0255C">
              <w:rPr>
                <w:rFonts w:eastAsia="Calibri"/>
                <w:lang w:val="en-GB" w:eastAsia="en-US"/>
              </w:rPr>
              <w:t xml:space="preserve">(see </w:t>
            </w:r>
            <w:hyperlink w:anchor="Section_1_9" w:history="1">
              <w:r w:rsidR="00595F97" w:rsidRPr="00E0255C">
                <w:rPr>
                  <w:rStyle w:val="Hyperlink"/>
                  <w:rFonts w:eastAsia="Calibri"/>
                  <w:lang w:val="en-GB" w:eastAsia="en-US"/>
                </w:rPr>
                <w:t>section 1.9</w:t>
              </w:r>
            </w:hyperlink>
            <w:r w:rsidR="00595F97" w:rsidRPr="00E0255C">
              <w:rPr>
                <w:rFonts w:eastAsia="Calibri"/>
              </w:rPr>
              <w:t>)</w:t>
            </w:r>
            <w:r w:rsidRPr="00E0255C">
              <w:rPr>
                <w:rFonts w:eastAsia="Calibri"/>
              </w:rPr>
              <w:t>, FIGI-Mexico, and the emergency communication map.</w:t>
            </w:r>
            <w:r w:rsidRPr="00E0255C">
              <w:br/>
            </w:r>
            <w:r w:rsidRPr="00E0255C">
              <w:rPr>
                <w:rFonts w:eastAsia="Calibri"/>
              </w:rPr>
              <w:t>Further developments includes network deployment estimation based on an ITU Regional Initiative model as well as an improved graphical interface and partnership on Investment opportunities mapping for the Eastern Europe</w:t>
            </w:r>
            <w:r w:rsidR="00D56858" w:rsidRPr="00E0255C">
              <w:rPr>
                <w:rFonts w:eastAsia="Calibri"/>
              </w:rPr>
              <w:t>.</w:t>
            </w:r>
          </w:p>
          <w:p w14:paraId="53792F38" w14:textId="77777777" w:rsidR="0049723A" w:rsidRPr="00E0255C" w:rsidRDefault="478B1C36" w:rsidP="006459A3">
            <w:pPr>
              <w:spacing w:before="60" w:after="60"/>
              <w:rPr>
                <w:rFonts w:eastAsia="Calibri"/>
                <w:lang w:val="en-GB"/>
              </w:rPr>
            </w:pPr>
            <w:r w:rsidRPr="00E0255C">
              <w:rPr>
                <w:rFonts w:eastAsia="Calibri"/>
              </w:rPr>
              <w:t xml:space="preserve">Broadband </w:t>
            </w:r>
            <w:proofErr w:type="spellStart"/>
            <w:r w:rsidRPr="00E0255C">
              <w:rPr>
                <w:rFonts w:eastAsia="Calibri"/>
              </w:rPr>
              <w:t>WiMax</w:t>
            </w:r>
            <w:proofErr w:type="spellEnd"/>
            <w:r w:rsidRPr="00E0255C">
              <w:rPr>
                <w:rFonts w:eastAsia="Calibri"/>
              </w:rPr>
              <w:t xml:space="preserve"> Network installed and operational in Burundi: 437 </w:t>
            </w:r>
            <w:r w:rsidR="00334FA2" w:rsidRPr="00E0255C">
              <w:rPr>
                <w:rFonts w:eastAsia="Calibri"/>
              </w:rPr>
              <w:t>s</w:t>
            </w:r>
            <w:r w:rsidRPr="00E0255C">
              <w:rPr>
                <w:rFonts w:eastAsia="Calibri"/>
              </w:rPr>
              <w:t xml:space="preserve">chools, </w:t>
            </w:r>
            <w:r w:rsidR="00334FA2" w:rsidRPr="00E0255C">
              <w:rPr>
                <w:rFonts w:eastAsia="Calibri"/>
              </w:rPr>
              <w:t>h</w:t>
            </w:r>
            <w:r w:rsidRPr="00E0255C">
              <w:rPr>
                <w:rFonts w:eastAsia="Calibri"/>
              </w:rPr>
              <w:t xml:space="preserve">ospitals and </w:t>
            </w:r>
            <w:r w:rsidR="00334FA2" w:rsidRPr="00E0255C">
              <w:rPr>
                <w:rFonts w:eastAsia="Calibri"/>
              </w:rPr>
              <w:t>i</w:t>
            </w:r>
            <w:r w:rsidRPr="00E0255C">
              <w:rPr>
                <w:rFonts w:eastAsia="Calibri"/>
              </w:rPr>
              <w:t>ndividuals are connected and benefiting from the Broadband operations as of December 2019.</w:t>
            </w:r>
          </w:p>
          <w:p w14:paraId="475E3D66" w14:textId="598B3A45" w:rsidR="478B1C36" w:rsidRPr="00E0255C" w:rsidRDefault="478B1C36" w:rsidP="006459A3">
            <w:pPr>
              <w:spacing w:before="60" w:after="60"/>
              <w:jc w:val="both"/>
              <w:rPr>
                <w:lang w:val="en-GB"/>
              </w:rPr>
            </w:pPr>
            <w:r w:rsidRPr="00E0255C">
              <w:rPr>
                <w:rFonts w:eastAsia="Calibri"/>
              </w:rPr>
              <w:t xml:space="preserve">Broadband 4G Mobile </w:t>
            </w:r>
            <w:proofErr w:type="spellStart"/>
            <w:r w:rsidRPr="00E0255C">
              <w:rPr>
                <w:rFonts w:eastAsia="Calibri"/>
              </w:rPr>
              <w:t>WiMax</w:t>
            </w:r>
            <w:proofErr w:type="spellEnd"/>
            <w:r w:rsidRPr="00E0255C">
              <w:rPr>
                <w:rFonts w:eastAsia="Calibri"/>
              </w:rPr>
              <w:t xml:space="preserve"> Network installed and operational in Djibouti: 116 Schools (48), Hospitals (45) and/or Government Ministries/ Institutions (23) are connected and benefiting from the Broadband operations as of December 2019. Broadband 4G LTE Mobile Network installed and operational in 20 localities in </w:t>
            </w:r>
            <w:r w:rsidR="00AD510C" w:rsidRPr="00E0255C">
              <w:rPr>
                <w:rFonts w:eastAsia="Calibri"/>
              </w:rPr>
              <w:t>r</w:t>
            </w:r>
            <w:r w:rsidRPr="00E0255C">
              <w:rPr>
                <w:rFonts w:eastAsia="Calibri"/>
              </w:rPr>
              <w:t xml:space="preserve">ural areas of the </w:t>
            </w:r>
            <w:r w:rsidR="00765535" w:rsidRPr="00E0255C">
              <w:rPr>
                <w:rFonts w:eastAsia="Calibri"/>
              </w:rPr>
              <w:t>K</w:t>
            </w:r>
            <w:r w:rsidRPr="00E0255C">
              <w:rPr>
                <w:rFonts w:eastAsia="Calibri"/>
              </w:rPr>
              <w:t>ingdom of Eswatini</w:t>
            </w:r>
            <w:r w:rsidR="00AD510C" w:rsidRPr="00E0255C">
              <w:rPr>
                <w:rFonts w:eastAsia="Calibri"/>
              </w:rPr>
              <w:t>.</w:t>
            </w:r>
          </w:p>
        </w:tc>
      </w:tr>
      <w:tr w:rsidR="478B1C36" w:rsidRPr="00B64995" w14:paraId="578617FE" w14:textId="77777777" w:rsidTr="09AD7226">
        <w:tc>
          <w:tcPr>
            <w:tcW w:w="9026" w:type="dxa"/>
            <w:shd w:val="clear" w:color="auto" w:fill="FFFFFF" w:themeFill="background1"/>
          </w:tcPr>
          <w:p w14:paraId="155ABB49" w14:textId="5359DD16" w:rsidR="478B1C36" w:rsidRPr="00E0255C" w:rsidRDefault="478B1C36" w:rsidP="006459A3">
            <w:pPr>
              <w:spacing w:before="60" w:after="60"/>
              <w:jc w:val="both"/>
              <w:rPr>
                <w:lang w:val="en-GB"/>
              </w:rPr>
            </w:pPr>
            <w:r w:rsidRPr="00E0255C">
              <w:rPr>
                <w:rFonts w:eastAsia="Calibri"/>
                <w:b/>
              </w:rPr>
              <w:lastRenderedPageBreak/>
              <w:t>151 (</w:t>
            </w:r>
            <w:r w:rsidR="00A076A1" w:rsidRPr="00E0255C">
              <w:rPr>
                <w:rFonts w:eastAsia="Calibri"/>
                <w:b/>
              </w:rPr>
              <w:t>R</w:t>
            </w:r>
            <w:r w:rsidRPr="00E0255C">
              <w:rPr>
                <w:rFonts w:eastAsia="Calibri"/>
                <w:b/>
              </w:rPr>
              <w:t>ev. Dubai, 2018) Implementation of results-based management in ITU</w:t>
            </w:r>
          </w:p>
          <w:p w14:paraId="1784CEDE" w14:textId="4D474B5F" w:rsidR="00BE37B6" w:rsidRPr="00E0255C" w:rsidRDefault="00595F97" w:rsidP="006459A3">
            <w:pPr>
              <w:spacing w:before="60" w:after="60"/>
              <w:jc w:val="both"/>
              <w:rPr>
                <w:rFonts w:eastAsia="Calibri"/>
                <w:lang w:val="en-GB"/>
              </w:rPr>
            </w:pPr>
            <w:r w:rsidRPr="00E0255C">
              <w:rPr>
                <w:rFonts w:eastAsia="Calibri"/>
              </w:rPr>
              <w:t xml:space="preserve">See the 4-year rolling Operational Plan for the Union 2021-2024 </w:t>
            </w:r>
            <w:hyperlink r:id="rId478" w:history="1">
              <w:r w:rsidRPr="00E0255C">
                <w:rPr>
                  <w:rStyle w:val="Hyperlink"/>
                  <w:rFonts w:eastAsia="Calibri"/>
                </w:rPr>
                <w:t>here,</w:t>
              </w:r>
            </w:hyperlink>
            <w:r w:rsidRPr="00E0255C">
              <w:rPr>
                <w:rFonts w:eastAsia="Calibri"/>
                <w:lang w:val="en-GB" w:eastAsia="en-US"/>
              </w:rPr>
              <w:t xml:space="preserve"> and </w:t>
            </w:r>
            <w:hyperlink w:anchor="Section_3" w:history="1">
              <w:r w:rsidR="007F05EB" w:rsidRPr="00E0255C">
                <w:rPr>
                  <w:rStyle w:val="Hyperlink"/>
                  <w:rFonts w:eastAsia="Calibri"/>
                  <w:lang w:val="en-GB" w:eastAsia="en-US"/>
                </w:rPr>
                <w:t>section</w:t>
              </w:r>
              <w:r w:rsidRPr="00E0255C">
                <w:rPr>
                  <w:rStyle w:val="Hyperlink"/>
                  <w:rFonts w:eastAsia="Calibri"/>
                  <w:lang w:val="en-GB" w:eastAsia="en-US"/>
                </w:rPr>
                <w:t xml:space="preserve"> 3</w:t>
              </w:r>
            </w:hyperlink>
            <w:r w:rsidRPr="00E0255C">
              <w:rPr>
                <w:rFonts w:eastAsia="Calibri"/>
              </w:rPr>
              <w:t xml:space="preserve"> </w:t>
            </w:r>
            <w:r w:rsidR="00BE37B6" w:rsidRPr="00E0255C">
              <w:rPr>
                <w:rFonts w:eastAsia="Calibri"/>
              </w:rPr>
              <w:t>. It should be noted that the 2020-2021 Budget adopted by Council 2019 follows the RBB principles.</w:t>
            </w:r>
          </w:p>
        </w:tc>
      </w:tr>
      <w:tr w:rsidR="478B1C36" w:rsidRPr="00B64995" w14:paraId="7F33D644" w14:textId="77777777" w:rsidTr="09AD7226">
        <w:tc>
          <w:tcPr>
            <w:tcW w:w="9026" w:type="dxa"/>
            <w:shd w:val="clear" w:color="auto" w:fill="FFFFFF" w:themeFill="background1"/>
          </w:tcPr>
          <w:p w14:paraId="4F9591D0" w14:textId="58B14064" w:rsidR="478B1C36" w:rsidRPr="00E0255C" w:rsidRDefault="74EEEC8D" w:rsidP="006459A3">
            <w:pPr>
              <w:spacing w:before="60" w:after="60"/>
              <w:jc w:val="both"/>
              <w:rPr>
                <w:lang w:val="en-GB"/>
              </w:rPr>
            </w:pPr>
            <w:r w:rsidRPr="00E0255C">
              <w:rPr>
                <w:rFonts w:eastAsia="Calibri"/>
                <w:b/>
                <w:bCs/>
              </w:rPr>
              <w:t>154 (</w:t>
            </w:r>
            <w:r w:rsidR="1E7DF34D" w:rsidRPr="00E0255C">
              <w:rPr>
                <w:rFonts w:eastAsia="Calibri"/>
                <w:b/>
                <w:bCs/>
              </w:rPr>
              <w:t>Rev.</w:t>
            </w:r>
            <w:r w:rsidR="35647A66" w:rsidRPr="00E0255C">
              <w:rPr>
                <w:rFonts w:eastAsia="Calibri"/>
                <w:b/>
                <w:bCs/>
              </w:rPr>
              <w:t xml:space="preserve"> </w:t>
            </w:r>
            <w:r w:rsidRPr="00E0255C">
              <w:rPr>
                <w:rFonts w:eastAsia="Calibri"/>
                <w:b/>
                <w:bCs/>
              </w:rPr>
              <w:t>Dubai, 2018) Use of the six official languages of the Union on an equal footing</w:t>
            </w:r>
          </w:p>
          <w:p w14:paraId="58DE9EBA" w14:textId="008C0B28" w:rsidR="478B1C36" w:rsidRPr="00E0255C" w:rsidRDefault="478B1C36" w:rsidP="006459A3">
            <w:pPr>
              <w:spacing w:before="60" w:after="60"/>
              <w:jc w:val="both"/>
              <w:rPr>
                <w:lang w:val="en-GB"/>
              </w:rPr>
            </w:pPr>
            <w:r w:rsidRPr="00E0255C">
              <w:rPr>
                <w:rFonts w:eastAsia="Calibri"/>
              </w:rPr>
              <w:t xml:space="preserve">See report to Council </w:t>
            </w:r>
            <w:r w:rsidR="00150E96" w:rsidRPr="00E0255C">
              <w:rPr>
                <w:rFonts w:eastAsia="Calibri"/>
              </w:rPr>
              <w:t>by</w:t>
            </w:r>
            <w:r w:rsidRPr="00E0255C">
              <w:rPr>
                <w:rFonts w:eastAsia="Calibri"/>
              </w:rPr>
              <w:t xml:space="preserve"> </w:t>
            </w:r>
            <w:r w:rsidR="00150E96" w:rsidRPr="00E0255C">
              <w:rPr>
                <w:rFonts w:eastAsia="Calibri"/>
              </w:rPr>
              <w:t xml:space="preserve">Chair of </w:t>
            </w:r>
            <w:r w:rsidRPr="00E0255C">
              <w:rPr>
                <w:rFonts w:eastAsia="Calibri"/>
              </w:rPr>
              <w:t>CWG-LANG</w:t>
            </w:r>
            <w:r w:rsidR="005E5E5C" w:rsidRPr="00E0255C">
              <w:rPr>
                <w:rFonts w:eastAsia="Calibri"/>
              </w:rPr>
              <w:t xml:space="preserve"> document</w:t>
            </w:r>
            <w:r w:rsidR="00150E96" w:rsidRPr="00E0255C">
              <w:rPr>
                <w:rFonts w:eastAsia="Calibri"/>
              </w:rPr>
              <w:t xml:space="preserve"> </w:t>
            </w:r>
            <w:hyperlink r:id="rId479" w:history="1">
              <w:r w:rsidR="007E2785" w:rsidRPr="00E0255C">
                <w:rPr>
                  <w:rStyle w:val="Hyperlink"/>
                  <w:rFonts w:eastAsia="Calibri"/>
                </w:rPr>
                <w:t>C20/12</w:t>
              </w:r>
            </w:hyperlink>
            <w:r w:rsidR="00AD510C" w:rsidRPr="00E0255C">
              <w:rPr>
                <w:rFonts w:eastAsia="Calibri"/>
                <w:lang w:val="en-GB" w:eastAsia="en-US"/>
              </w:rPr>
              <w:t>.</w:t>
            </w:r>
          </w:p>
        </w:tc>
      </w:tr>
      <w:tr w:rsidR="478B1C36" w:rsidRPr="00B64995" w14:paraId="31DFCC10" w14:textId="77777777" w:rsidTr="09AD7226">
        <w:trPr>
          <w:cantSplit/>
        </w:trPr>
        <w:tc>
          <w:tcPr>
            <w:tcW w:w="9026" w:type="dxa"/>
            <w:shd w:val="clear" w:color="auto" w:fill="FFFFFF" w:themeFill="background1"/>
          </w:tcPr>
          <w:p w14:paraId="515E7572" w14:textId="7A7BED78" w:rsidR="478B1C36" w:rsidRPr="00E0255C" w:rsidRDefault="478B1C36" w:rsidP="006459A3">
            <w:pPr>
              <w:spacing w:before="60" w:after="60"/>
              <w:jc w:val="both"/>
              <w:rPr>
                <w:rFonts w:eastAsia="Calibri"/>
                <w:lang w:val="en-GB"/>
              </w:rPr>
            </w:pPr>
            <w:bookmarkStart w:id="166" w:name="_Hlk63754469"/>
            <w:r w:rsidRPr="00E0255C">
              <w:rPr>
                <w:rFonts w:eastAsia="Calibri"/>
                <w:b/>
              </w:rPr>
              <w:t>157 (</w:t>
            </w:r>
            <w:r w:rsidR="00A076A1" w:rsidRPr="00E0255C">
              <w:rPr>
                <w:rFonts w:eastAsia="Calibri"/>
                <w:b/>
              </w:rPr>
              <w:t>R</w:t>
            </w:r>
            <w:r w:rsidRPr="00E0255C">
              <w:rPr>
                <w:rFonts w:eastAsia="Calibri"/>
                <w:b/>
              </w:rPr>
              <w:t>ev. Dubai, 2018) Strengthening the project execution and project monitoring functions in ITU</w:t>
            </w:r>
          </w:p>
          <w:p w14:paraId="130C970D" w14:textId="77777777" w:rsidR="0049723A" w:rsidRPr="00E0255C" w:rsidRDefault="00454395" w:rsidP="00454395">
            <w:pPr>
              <w:spacing w:after="60"/>
              <w:jc w:val="both"/>
              <w:rPr>
                <w:rFonts w:eastAsia="Times New Roman" w:cs="Times New Roman"/>
                <w:color w:val="000000"/>
                <w:lang w:val="en-GB" w:eastAsia="en-GB"/>
              </w:rPr>
            </w:pPr>
            <w:r w:rsidRPr="00E0255C">
              <w:rPr>
                <w:rFonts w:eastAsia="Times New Roman" w:cs="Times New Roman"/>
                <w:color w:val="000000"/>
                <w:lang w:eastAsia="en-GB"/>
              </w:rPr>
              <w:t>Through its project portfolio, ITU is making an impact in advancing digital development and promoting the deployment of innovative ICT solutions to support sustainable development. ITU Member States are increasingly engaging with ITU to support their efforts to advance digital inclusion, modernize their digital infrastructure and regulation, as well as to adapt to international best practices in the use of digital services and applications.</w:t>
            </w:r>
          </w:p>
          <w:p w14:paraId="60E69394" w14:textId="6E461E7D" w:rsidR="00454395" w:rsidRPr="00E0255C" w:rsidRDefault="00454395" w:rsidP="00454395">
            <w:pPr>
              <w:spacing w:after="60"/>
              <w:jc w:val="both"/>
              <w:rPr>
                <w:rFonts w:eastAsia="Times New Roman" w:cs="Times New Roman"/>
                <w:color w:val="000000"/>
                <w:lang w:val="en-GB" w:eastAsia="en-GB"/>
              </w:rPr>
            </w:pPr>
          </w:p>
          <w:p w14:paraId="5CCC6C40" w14:textId="7EBE310A" w:rsidR="0049723A" w:rsidRPr="00E0255C" w:rsidRDefault="00454395" w:rsidP="00454395">
            <w:pPr>
              <w:spacing w:after="60"/>
              <w:jc w:val="both"/>
              <w:rPr>
                <w:rFonts w:eastAsia="Times New Roman" w:cs="Times New Roman"/>
                <w:color w:val="000000"/>
                <w:lang w:val="en-GB" w:eastAsia="en-GB"/>
              </w:rPr>
            </w:pPr>
            <w:r w:rsidRPr="00E0255C">
              <w:rPr>
                <w:rFonts w:eastAsia="Times New Roman" w:cs="Times New Roman"/>
                <w:color w:val="000000"/>
                <w:lang w:eastAsia="en-GB"/>
              </w:rPr>
              <w:t>In 2020 ITU signed 23 new projects for over CHF 13 million in funds, bringing its overall portfolio to 75 ongoing projects. These will be implemented in collaboration with a broad range of partners, including government entities, UN agencies, non-profit organizations, as well as with the private sector.</w:t>
            </w:r>
          </w:p>
          <w:p w14:paraId="27A2F488" w14:textId="2F9AB2DC" w:rsidR="00454395" w:rsidRPr="00E0255C" w:rsidRDefault="00454395" w:rsidP="00454395">
            <w:pPr>
              <w:spacing w:after="60"/>
              <w:jc w:val="both"/>
              <w:rPr>
                <w:rFonts w:eastAsia="Times New Roman" w:cs="Times New Roman"/>
                <w:color w:val="000000"/>
                <w:lang w:val="en-GB" w:eastAsia="en-GB"/>
              </w:rPr>
            </w:pPr>
          </w:p>
          <w:p w14:paraId="6EE2A883" w14:textId="0BC7CF2A" w:rsidR="0049723A" w:rsidRPr="00E0255C" w:rsidRDefault="00454395" w:rsidP="00454395">
            <w:pPr>
              <w:spacing w:after="60"/>
              <w:jc w:val="both"/>
              <w:rPr>
                <w:rFonts w:eastAsia="Times New Roman" w:cs="Times New Roman"/>
                <w:color w:val="000000"/>
                <w:lang w:val="en-GB" w:eastAsia="en-GB"/>
              </w:rPr>
            </w:pPr>
            <w:r w:rsidRPr="00E0255C">
              <w:rPr>
                <w:rFonts w:eastAsia="Times New Roman" w:cs="Times New Roman"/>
                <w:color w:val="000000"/>
                <w:lang w:eastAsia="en-GB"/>
              </w:rPr>
              <w:t xml:space="preserve">Furthermore, ITU has continued to improve its project management practices by undertaking further investments in tools, methodologies, guidelines, templates, </w:t>
            </w:r>
            <w:proofErr w:type="gramStart"/>
            <w:r w:rsidRPr="00E0255C">
              <w:rPr>
                <w:rFonts w:eastAsia="Times New Roman" w:cs="Times New Roman"/>
                <w:color w:val="000000"/>
                <w:lang w:eastAsia="en-GB"/>
              </w:rPr>
              <w:t>standards</w:t>
            </w:r>
            <w:proofErr w:type="gramEnd"/>
            <w:r w:rsidRPr="00E0255C">
              <w:rPr>
                <w:rFonts w:eastAsia="Times New Roman" w:cs="Times New Roman"/>
                <w:color w:val="000000"/>
                <w:lang w:eastAsia="en-GB"/>
              </w:rPr>
              <w:t xml:space="preserve"> and database development. The efforts initiated in 2019 </w:t>
            </w:r>
            <w:r w:rsidR="00695F17" w:rsidRPr="00E0255C">
              <w:rPr>
                <w:rFonts w:eastAsia="Times New Roman" w:cs="Times New Roman"/>
                <w:color w:val="000000"/>
                <w:lang w:eastAsia="en-GB"/>
              </w:rPr>
              <w:t xml:space="preserve">to improve </w:t>
            </w:r>
            <w:r w:rsidRPr="00E0255C">
              <w:rPr>
                <w:rFonts w:eastAsia="Times New Roman" w:cs="Times New Roman"/>
                <w:color w:val="000000"/>
                <w:lang w:eastAsia="en-GB"/>
              </w:rPr>
              <w:t xml:space="preserve">project management skills across ITU have been reinforced, </w:t>
            </w:r>
            <w:proofErr w:type="gramStart"/>
            <w:r w:rsidRPr="00E0255C">
              <w:rPr>
                <w:rFonts w:eastAsia="Times New Roman" w:cs="Times New Roman"/>
                <w:color w:val="000000"/>
                <w:lang w:eastAsia="en-GB"/>
              </w:rPr>
              <w:t>in particular with</w:t>
            </w:r>
            <w:proofErr w:type="gramEnd"/>
            <w:r w:rsidRPr="00E0255C">
              <w:rPr>
                <w:rFonts w:eastAsia="Times New Roman" w:cs="Times New Roman"/>
                <w:color w:val="000000"/>
                <w:lang w:eastAsia="en-GB"/>
              </w:rPr>
              <w:t xml:space="preserve"> the organization of an online certification </w:t>
            </w:r>
            <w:proofErr w:type="spellStart"/>
            <w:r w:rsidRPr="00E0255C">
              <w:rPr>
                <w:rFonts w:eastAsia="Times New Roman" w:cs="Times New Roman"/>
                <w:color w:val="000000"/>
                <w:lang w:eastAsia="en-GB"/>
              </w:rPr>
              <w:t>programme</w:t>
            </w:r>
            <w:proofErr w:type="spellEnd"/>
            <w:r w:rsidRPr="00E0255C">
              <w:rPr>
                <w:rFonts w:eastAsia="Times New Roman" w:cs="Times New Roman"/>
                <w:color w:val="000000"/>
                <w:lang w:eastAsia="en-GB"/>
              </w:rPr>
              <w:t xml:space="preserve"> for 50 ITU staff members. This culminated in July 2020 with the introduction of a new </w:t>
            </w:r>
            <w:r w:rsidR="0035241B" w:rsidRPr="00E0255C">
              <w:rPr>
                <w:rFonts w:eastAsia="Times New Roman" w:cs="Times New Roman"/>
                <w:color w:val="000000"/>
                <w:lang w:eastAsia="en-GB"/>
              </w:rPr>
              <w:t>p</w:t>
            </w:r>
            <w:r w:rsidRPr="00E0255C">
              <w:rPr>
                <w:rFonts w:eastAsia="Times New Roman" w:cs="Times New Roman"/>
                <w:color w:val="000000"/>
                <w:lang w:eastAsia="en-GB"/>
              </w:rPr>
              <w:t xml:space="preserve">roject </w:t>
            </w:r>
            <w:r w:rsidR="0035241B" w:rsidRPr="00E0255C">
              <w:rPr>
                <w:rFonts w:eastAsia="Times New Roman" w:cs="Times New Roman"/>
                <w:color w:val="000000"/>
                <w:lang w:eastAsia="en-GB"/>
              </w:rPr>
              <w:t>m</w:t>
            </w:r>
            <w:r w:rsidRPr="00E0255C">
              <w:rPr>
                <w:rFonts w:eastAsia="Times New Roman" w:cs="Times New Roman"/>
                <w:color w:val="000000"/>
                <w:lang w:eastAsia="en-GB"/>
              </w:rPr>
              <w:t xml:space="preserve">anagement </w:t>
            </w:r>
            <w:r w:rsidR="0035241B" w:rsidRPr="00E0255C">
              <w:rPr>
                <w:rFonts w:eastAsia="Times New Roman" w:cs="Times New Roman"/>
                <w:color w:val="000000"/>
                <w:lang w:eastAsia="en-GB"/>
              </w:rPr>
              <w:t>m</w:t>
            </w:r>
            <w:r w:rsidRPr="00E0255C">
              <w:rPr>
                <w:rFonts w:eastAsia="Times New Roman" w:cs="Times New Roman"/>
                <w:color w:val="000000"/>
                <w:lang w:eastAsia="en-GB"/>
              </w:rPr>
              <w:t xml:space="preserve">anual, </w:t>
            </w:r>
            <w:r w:rsidR="00695F17" w:rsidRPr="00E0255C">
              <w:rPr>
                <w:rFonts w:eastAsia="Times New Roman" w:cs="Times New Roman"/>
                <w:color w:val="000000"/>
                <w:lang w:eastAsia="en-GB"/>
              </w:rPr>
              <w:t xml:space="preserve">the result of </w:t>
            </w:r>
            <w:r w:rsidRPr="00E0255C">
              <w:rPr>
                <w:rFonts w:eastAsia="Times New Roman" w:cs="Times New Roman"/>
                <w:color w:val="000000"/>
                <w:lang w:eastAsia="en-GB"/>
              </w:rPr>
              <w:t xml:space="preserve">an in-depth review of the practices across ITU. The introduction of the </w:t>
            </w:r>
            <w:r w:rsidR="0035241B" w:rsidRPr="00E0255C">
              <w:rPr>
                <w:rFonts w:eastAsia="Times New Roman" w:cs="Times New Roman"/>
                <w:color w:val="000000"/>
                <w:lang w:eastAsia="en-GB"/>
              </w:rPr>
              <w:t>m</w:t>
            </w:r>
            <w:r w:rsidRPr="00E0255C">
              <w:rPr>
                <w:rFonts w:eastAsia="Times New Roman" w:cs="Times New Roman"/>
                <w:color w:val="000000"/>
                <w:lang w:eastAsia="en-GB"/>
              </w:rPr>
              <w:t xml:space="preserve">anual has been supported with the establishment of a </w:t>
            </w:r>
            <w:r w:rsidR="0035241B" w:rsidRPr="00E0255C">
              <w:rPr>
                <w:rFonts w:eastAsia="Times New Roman" w:cs="Times New Roman"/>
                <w:color w:val="000000"/>
                <w:lang w:eastAsia="en-GB"/>
              </w:rPr>
              <w:t>c</w:t>
            </w:r>
            <w:r w:rsidRPr="00E0255C">
              <w:rPr>
                <w:rFonts w:eastAsia="Times New Roman" w:cs="Times New Roman"/>
                <w:color w:val="000000"/>
                <w:lang w:eastAsia="en-GB"/>
              </w:rPr>
              <w:t xml:space="preserve">ommunity of </w:t>
            </w:r>
            <w:r w:rsidR="0035241B" w:rsidRPr="00E0255C">
              <w:rPr>
                <w:rFonts w:eastAsia="Times New Roman" w:cs="Times New Roman"/>
                <w:color w:val="000000"/>
                <w:lang w:eastAsia="en-GB"/>
              </w:rPr>
              <w:t>p</w:t>
            </w:r>
            <w:r w:rsidRPr="00E0255C">
              <w:rPr>
                <w:rFonts w:eastAsia="Times New Roman" w:cs="Times New Roman"/>
                <w:color w:val="000000"/>
                <w:lang w:eastAsia="en-GB"/>
              </w:rPr>
              <w:t xml:space="preserve">ractice of </w:t>
            </w:r>
            <w:r w:rsidR="0035241B" w:rsidRPr="00E0255C">
              <w:rPr>
                <w:rFonts w:eastAsia="Times New Roman" w:cs="Times New Roman"/>
                <w:color w:val="000000"/>
                <w:lang w:eastAsia="en-GB"/>
              </w:rPr>
              <w:t>p</w:t>
            </w:r>
            <w:r w:rsidRPr="00E0255C">
              <w:rPr>
                <w:rFonts w:eastAsia="Times New Roman" w:cs="Times New Roman"/>
                <w:color w:val="000000"/>
                <w:lang w:eastAsia="en-GB"/>
              </w:rPr>
              <w:t xml:space="preserve">roject </w:t>
            </w:r>
            <w:r w:rsidR="0035241B" w:rsidRPr="00E0255C">
              <w:rPr>
                <w:rFonts w:eastAsia="Times New Roman" w:cs="Times New Roman"/>
                <w:color w:val="000000"/>
                <w:lang w:eastAsia="en-GB"/>
              </w:rPr>
              <w:t>m</w:t>
            </w:r>
            <w:r w:rsidRPr="00E0255C">
              <w:rPr>
                <w:rFonts w:eastAsia="Times New Roman" w:cs="Times New Roman"/>
                <w:color w:val="000000"/>
                <w:lang w:eastAsia="en-GB"/>
              </w:rPr>
              <w:t xml:space="preserve">anagers, the </w:t>
            </w:r>
            <w:r w:rsidR="0035241B" w:rsidRPr="00E0255C">
              <w:rPr>
                <w:rFonts w:eastAsia="Times New Roman" w:cs="Times New Roman"/>
                <w:color w:val="000000"/>
                <w:lang w:eastAsia="en-GB"/>
              </w:rPr>
              <w:t>s</w:t>
            </w:r>
            <w:r w:rsidRPr="00E0255C">
              <w:rPr>
                <w:rFonts w:eastAsia="Times New Roman" w:cs="Times New Roman"/>
                <w:color w:val="000000"/>
                <w:lang w:eastAsia="en-GB"/>
              </w:rPr>
              <w:t>trengthening of the project monitoring function in BDT, and the introduction of data visualization tools to provide ITU management with more relevant information on the status of implementation of the portfolio.</w:t>
            </w:r>
          </w:p>
          <w:p w14:paraId="5CF211B7" w14:textId="61E0246F" w:rsidR="00454395" w:rsidRPr="00E0255C" w:rsidRDefault="00454395" w:rsidP="00454395">
            <w:pPr>
              <w:spacing w:after="60"/>
              <w:jc w:val="both"/>
              <w:rPr>
                <w:rFonts w:eastAsia="Times New Roman" w:cs="Times New Roman"/>
                <w:color w:val="000000"/>
                <w:lang w:val="en-GB" w:eastAsia="en-GB"/>
              </w:rPr>
            </w:pPr>
          </w:p>
          <w:p w14:paraId="3204BBCD" w14:textId="3E05D518" w:rsidR="0049723A" w:rsidRPr="00E0255C" w:rsidRDefault="00454395" w:rsidP="00454395">
            <w:pPr>
              <w:rPr>
                <w:rFonts w:eastAsia="Times New Roman" w:cs="Times New Roman"/>
                <w:color w:val="000000"/>
                <w:lang w:val="en-GB" w:eastAsia="en-GB"/>
              </w:rPr>
            </w:pPr>
            <w:r w:rsidRPr="00E0255C">
              <w:rPr>
                <w:rFonts w:eastAsia="Times New Roman" w:cs="Times New Roman"/>
                <w:color w:val="000000"/>
                <w:lang w:eastAsia="en-GB"/>
              </w:rPr>
              <w:t xml:space="preserve">Moreover, </w:t>
            </w:r>
            <w:r w:rsidR="0035241B" w:rsidRPr="00E0255C">
              <w:rPr>
                <w:rFonts w:eastAsia="Times New Roman" w:cs="Times New Roman"/>
                <w:color w:val="000000"/>
                <w:lang w:eastAsia="en-GB"/>
              </w:rPr>
              <w:t xml:space="preserve">the </w:t>
            </w:r>
            <w:r w:rsidRPr="00E0255C">
              <w:rPr>
                <w:rFonts w:eastAsia="Times New Roman" w:cs="Times New Roman"/>
                <w:color w:val="000000"/>
                <w:lang w:eastAsia="en-GB"/>
              </w:rPr>
              <w:t>ITU projects</w:t>
            </w:r>
            <w:r w:rsidR="00E0255C" w:rsidRPr="00E0255C">
              <w:rPr>
                <w:rFonts w:eastAsia="Times New Roman" w:cs="Times New Roman"/>
                <w:color w:val="000000"/>
                <w:lang w:eastAsia="en-GB"/>
              </w:rPr>
              <w:t xml:space="preserve"> </w:t>
            </w:r>
            <w:hyperlink r:id="rId480" w:tooltip="http://www.itu.int/en/ITU-D/Projects/" w:history="1">
              <w:r w:rsidRPr="00E0255C">
                <w:rPr>
                  <w:rFonts w:eastAsia="Times New Roman" w:cs="Times New Roman"/>
                  <w:color w:val="044A91"/>
                  <w:u w:val="single"/>
                  <w:lang w:eastAsia="en-GB"/>
                </w:rPr>
                <w:t>website</w:t>
              </w:r>
            </w:hyperlink>
            <w:r w:rsidR="00E0255C" w:rsidRPr="00E0255C">
              <w:rPr>
                <w:rFonts w:eastAsia="Times New Roman" w:cs="Times New Roman"/>
                <w:color w:val="000000"/>
                <w:lang w:val="en-GB" w:eastAsia="en-GB"/>
              </w:rPr>
              <w:t xml:space="preserve"> </w:t>
            </w:r>
            <w:r w:rsidRPr="00E0255C">
              <w:rPr>
                <w:rFonts w:eastAsia="Times New Roman" w:cs="Times New Roman"/>
                <w:color w:val="000000"/>
                <w:lang w:val="en-GB" w:eastAsia="en-GB"/>
              </w:rPr>
              <w:t>has been enhanced to dynamically display the overall status of BDT projects at any given time. It is now possible to find project case studies, post</w:t>
            </w:r>
            <w:r w:rsidR="0035241B" w:rsidRPr="00E0255C">
              <w:rPr>
                <w:rFonts w:eastAsia="Times New Roman" w:cs="Times New Roman"/>
                <w:color w:val="000000"/>
                <w:lang w:val="en-GB" w:eastAsia="en-GB"/>
              </w:rPr>
              <w:t>-</w:t>
            </w:r>
            <w:r w:rsidRPr="00E0255C">
              <w:rPr>
                <w:rFonts w:eastAsia="Times New Roman" w:cs="Times New Roman"/>
                <w:color w:val="000000"/>
                <w:lang w:val="en-GB" w:eastAsia="en-GB"/>
              </w:rPr>
              <w:t xml:space="preserve">implementation assessment reports and videos. All this was further developed as a way of improving the </w:t>
            </w:r>
            <w:r w:rsidR="0035241B" w:rsidRPr="00E0255C">
              <w:rPr>
                <w:rFonts w:eastAsia="Times New Roman" w:cs="Times New Roman"/>
                <w:color w:val="000000"/>
                <w:lang w:val="en-GB" w:eastAsia="en-GB"/>
              </w:rPr>
              <w:t xml:space="preserve">sharing of </w:t>
            </w:r>
            <w:r w:rsidRPr="00E0255C">
              <w:rPr>
                <w:rFonts w:eastAsia="Times New Roman" w:cs="Times New Roman"/>
                <w:color w:val="000000"/>
                <w:lang w:val="en-GB" w:eastAsia="en-GB"/>
              </w:rPr>
              <w:t>experiences and lessons learned.</w:t>
            </w:r>
          </w:p>
          <w:p w14:paraId="53395CC5" w14:textId="7BBD8E30" w:rsidR="00454395" w:rsidRPr="00E0255C" w:rsidRDefault="00454395" w:rsidP="00454395">
            <w:pPr>
              <w:rPr>
                <w:rFonts w:eastAsia="Times New Roman" w:cs="Times New Roman"/>
                <w:color w:val="000000"/>
                <w:lang w:val="en-GB" w:eastAsia="en-GB"/>
              </w:rPr>
            </w:pPr>
          </w:p>
          <w:p w14:paraId="6C76E7AE" w14:textId="7716E91A" w:rsidR="00BE37B6" w:rsidRPr="00E0255C" w:rsidRDefault="0035241B" w:rsidP="006459A3">
            <w:pPr>
              <w:spacing w:before="60" w:after="60"/>
              <w:jc w:val="both"/>
              <w:rPr>
                <w:lang w:val="en-GB"/>
              </w:rPr>
            </w:pPr>
            <w:r w:rsidRPr="00E0255C">
              <w:rPr>
                <w:rFonts w:eastAsia="Times New Roman" w:cs="Times New Roman"/>
                <w:color w:val="000000"/>
                <w:lang w:eastAsia="en-GB"/>
              </w:rPr>
              <w:t>T</w:t>
            </w:r>
            <w:r w:rsidR="00454395" w:rsidRPr="00E0255C">
              <w:rPr>
                <w:rFonts w:eastAsia="Times New Roman" w:cs="Times New Roman"/>
                <w:color w:val="000000"/>
                <w:lang w:eastAsia="en-GB"/>
              </w:rPr>
              <w:t>hese measures are expected to assist ITU in moving towards the adoption of a portfolio approach in the management of projects. This will lead to better accountability for the achievement of project results and their impact.</w:t>
            </w:r>
            <w:bookmarkEnd w:id="166"/>
          </w:p>
        </w:tc>
      </w:tr>
      <w:tr w:rsidR="478B1C36" w:rsidRPr="00B64995" w14:paraId="2BA3B713" w14:textId="77777777" w:rsidTr="09AD7226">
        <w:tc>
          <w:tcPr>
            <w:tcW w:w="9026" w:type="dxa"/>
            <w:shd w:val="clear" w:color="auto" w:fill="FFFFFF" w:themeFill="background1"/>
          </w:tcPr>
          <w:p w14:paraId="02B77F91" w14:textId="77777777" w:rsidR="0049723A" w:rsidRPr="00E0255C" w:rsidRDefault="478B1C36" w:rsidP="006459A3">
            <w:pPr>
              <w:pageBreakBefore/>
              <w:spacing w:before="60" w:after="60"/>
              <w:jc w:val="both"/>
              <w:rPr>
                <w:rFonts w:eastAsia="Calibri"/>
                <w:b/>
                <w:lang w:val="en-GB"/>
              </w:rPr>
            </w:pPr>
            <w:r w:rsidRPr="00E0255C">
              <w:rPr>
                <w:rFonts w:eastAsia="Calibri"/>
                <w:b/>
              </w:rPr>
              <w:lastRenderedPageBreak/>
              <w:t>160 (</w:t>
            </w:r>
            <w:r w:rsidR="004F72C3" w:rsidRPr="00E0255C">
              <w:rPr>
                <w:rFonts w:eastAsia="Calibri"/>
                <w:b/>
              </w:rPr>
              <w:t>R</w:t>
            </w:r>
            <w:r w:rsidRPr="00E0255C">
              <w:rPr>
                <w:rFonts w:eastAsia="Calibri"/>
                <w:b/>
              </w:rPr>
              <w:t>ev. Dubai, 2018) Assistance to Somalia</w:t>
            </w:r>
          </w:p>
          <w:p w14:paraId="2D6BFE22" w14:textId="4C30B636" w:rsidR="00223907" w:rsidRPr="00E0255C" w:rsidRDefault="00223907" w:rsidP="006459A3">
            <w:pPr>
              <w:spacing w:before="60" w:after="60"/>
              <w:rPr>
                <w:rFonts w:asciiTheme="minorHAnsi" w:hAnsiTheme="minorHAnsi" w:cstheme="minorBidi"/>
                <w:lang w:val="en-GB"/>
              </w:rPr>
            </w:pPr>
            <w:r w:rsidRPr="00E0255C">
              <w:rPr>
                <w:rFonts w:asciiTheme="minorHAnsi" w:hAnsiTheme="minorHAnsi" w:cstheme="minorBidi"/>
              </w:rPr>
              <w:t>ITU and Somalia had sig</w:t>
            </w:r>
            <w:r w:rsidR="00AD510C" w:rsidRPr="00E0255C">
              <w:rPr>
                <w:rFonts w:asciiTheme="minorHAnsi" w:hAnsiTheme="minorHAnsi" w:cstheme="minorBidi"/>
              </w:rPr>
              <w:t>n</w:t>
            </w:r>
            <w:r w:rsidRPr="00E0255C">
              <w:rPr>
                <w:rFonts w:asciiTheme="minorHAnsi" w:hAnsiTheme="minorHAnsi" w:cstheme="minorBidi"/>
              </w:rPr>
              <w:t xml:space="preserve">ed a </w:t>
            </w:r>
            <w:proofErr w:type="gramStart"/>
            <w:r w:rsidRPr="00E0255C">
              <w:rPr>
                <w:rFonts w:asciiTheme="minorHAnsi" w:hAnsiTheme="minorHAnsi" w:cstheme="minorBidi"/>
              </w:rPr>
              <w:t>FCA</w:t>
            </w:r>
            <w:proofErr w:type="gramEnd"/>
            <w:r w:rsidRPr="00E0255C">
              <w:rPr>
                <w:rFonts w:asciiTheme="minorHAnsi" w:hAnsiTheme="minorHAnsi" w:cstheme="minorBidi"/>
              </w:rPr>
              <w:t xml:space="preserve"> and the related </w:t>
            </w:r>
            <w:proofErr w:type="spellStart"/>
            <w:r w:rsidRPr="00E0255C">
              <w:rPr>
                <w:rFonts w:asciiTheme="minorHAnsi" w:hAnsiTheme="minorHAnsi" w:cstheme="minorBidi"/>
              </w:rPr>
              <w:t>Programme</w:t>
            </w:r>
            <w:proofErr w:type="spellEnd"/>
            <w:r w:rsidRPr="00E0255C">
              <w:rPr>
                <w:rFonts w:asciiTheme="minorHAnsi" w:hAnsiTheme="minorHAnsi" w:cstheme="minorBidi"/>
              </w:rPr>
              <w:t xml:space="preserve"> Action Plan (PAP) was developed.</w:t>
            </w:r>
          </w:p>
          <w:p w14:paraId="23012204" w14:textId="79FB5DA5" w:rsidR="00223907" w:rsidRPr="00E0255C" w:rsidRDefault="00223907" w:rsidP="006459A3">
            <w:pPr>
              <w:spacing w:before="60" w:after="60"/>
              <w:rPr>
                <w:rFonts w:asciiTheme="minorHAnsi" w:hAnsiTheme="minorHAnsi" w:cstheme="minorBidi"/>
                <w:lang w:val="en-GB"/>
              </w:rPr>
            </w:pPr>
            <w:r w:rsidRPr="00E0255C">
              <w:rPr>
                <w:rFonts w:asciiTheme="minorHAnsi" w:hAnsiTheme="minorHAnsi" w:cstheme="minorBidi"/>
              </w:rPr>
              <w:t>Implementation started according to the top priorities identified by Somalia.</w:t>
            </w:r>
          </w:p>
          <w:p w14:paraId="7D82A7C0" w14:textId="79FB5DA5" w:rsidR="00223907" w:rsidRPr="00E0255C" w:rsidRDefault="00223907" w:rsidP="006459A3">
            <w:pPr>
              <w:pStyle w:val="ListParagraph"/>
              <w:numPr>
                <w:ilvl w:val="0"/>
                <w:numId w:val="36"/>
              </w:numPr>
              <w:spacing w:before="60" w:after="60"/>
              <w:rPr>
                <w:rFonts w:asciiTheme="minorHAnsi" w:hAnsiTheme="minorHAnsi" w:cstheme="minorBidi"/>
                <w:lang w:val="en-GB"/>
              </w:rPr>
            </w:pPr>
            <w:r w:rsidRPr="00E0255C">
              <w:rPr>
                <w:rFonts w:asciiTheme="minorHAnsi" w:hAnsiTheme="minorHAnsi" w:cstheme="minorBidi"/>
                <w:lang w:val="en-GB"/>
              </w:rPr>
              <w:t xml:space="preserve">Assisted Somalia and developed a national ICTs Policy and Strategy (2019-2024). The report sets out the 5-year 2019-2024 National ICT Policy and Strategy which provides the framework needed to leverage the benefits of ICTs to support the social and economic development of Somali </w:t>
            </w:r>
            <w:proofErr w:type="gramStart"/>
            <w:r w:rsidRPr="00E0255C">
              <w:rPr>
                <w:rFonts w:asciiTheme="minorHAnsi" w:hAnsiTheme="minorHAnsi" w:cstheme="minorBidi"/>
                <w:lang w:val="en-GB"/>
              </w:rPr>
              <w:t>society;</w:t>
            </w:r>
            <w:proofErr w:type="gramEnd"/>
          </w:p>
          <w:p w14:paraId="436D5CF6" w14:textId="145F1632" w:rsidR="00BE37B6" w:rsidRPr="00E0255C" w:rsidRDefault="00223907" w:rsidP="00B87922">
            <w:pPr>
              <w:pStyle w:val="ListParagraph"/>
              <w:numPr>
                <w:ilvl w:val="0"/>
                <w:numId w:val="36"/>
              </w:numPr>
              <w:spacing w:before="60" w:after="60"/>
              <w:jc w:val="both"/>
              <w:rPr>
                <w:lang w:val="en-GB"/>
              </w:rPr>
            </w:pPr>
            <w:r w:rsidRPr="00E0255C">
              <w:rPr>
                <w:lang w:val="en-GB"/>
              </w:rPr>
              <w:t xml:space="preserve">SMS4DC to enhance utilization and management of spectrum (5 keys provided). </w:t>
            </w:r>
          </w:p>
        </w:tc>
      </w:tr>
      <w:tr w:rsidR="478B1C36" w:rsidRPr="00B64995" w14:paraId="64B3F9ED" w14:textId="77777777" w:rsidTr="09AD7226">
        <w:tc>
          <w:tcPr>
            <w:tcW w:w="9026" w:type="dxa"/>
            <w:shd w:val="clear" w:color="auto" w:fill="FFFFFF" w:themeFill="background1"/>
          </w:tcPr>
          <w:p w14:paraId="5B714782" w14:textId="32B3C06F" w:rsidR="478B1C36" w:rsidRPr="00E0255C" w:rsidRDefault="478B1C36" w:rsidP="006459A3">
            <w:pPr>
              <w:spacing w:before="60" w:after="60"/>
              <w:jc w:val="both"/>
              <w:rPr>
                <w:rFonts w:eastAsia="Calibri"/>
                <w:lang w:val="en-GB"/>
              </w:rPr>
            </w:pPr>
            <w:r w:rsidRPr="00E0255C">
              <w:rPr>
                <w:rFonts w:eastAsia="Calibri"/>
                <w:b/>
              </w:rPr>
              <w:t>161 (Antalya, 2006) Assistance and support for the Democratic Republic of Congo for rebuilding its telecommunication network</w:t>
            </w:r>
          </w:p>
          <w:p w14:paraId="3C45676C" w14:textId="34EA1E1E" w:rsidR="00A93E3B" w:rsidRPr="00E0255C" w:rsidRDefault="0097513C" w:rsidP="006459A3">
            <w:pPr>
              <w:spacing w:before="60" w:after="60"/>
              <w:jc w:val="both"/>
              <w:rPr>
                <w:lang w:val="en-GB"/>
              </w:rPr>
            </w:pPr>
            <w:r w:rsidRPr="00E0255C">
              <w:rPr>
                <w:rFonts w:eastAsia="Calibri"/>
              </w:rPr>
              <w:t>Following the successful completion of the Broadband Access Masterplan Project by ITU and supported by the Ministry of Science, ICT and Future Planning (MSIP), Republic of Korea, a project to implement a Broadband Wireless Network in Kinshasa which is the most densely populated city in DRC. The proposal is still pending approval of the Government of DRC</w:t>
            </w:r>
            <w:r w:rsidR="00A93E3B" w:rsidRPr="00E0255C">
              <w:rPr>
                <w:rFonts w:eastAsia="Calibri"/>
              </w:rPr>
              <w:t>.</w:t>
            </w:r>
          </w:p>
        </w:tc>
      </w:tr>
      <w:tr w:rsidR="478B1C36" w:rsidRPr="00B64995" w14:paraId="3000B5F1" w14:textId="77777777" w:rsidTr="09AD7226">
        <w:tc>
          <w:tcPr>
            <w:tcW w:w="9026" w:type="dxa"/>
            <w:shd w:val="clear" w:color="auto" w:fill="FFFFFF" w:themeFill="background1"/>
          </w:tcPr>
          <w:p w14:paraId="34067656" w14:textId="14923CCB" w:rsidR="478B1C36" w:rsidRPr="00E0255C" w:rsidRDefault="478B1C36" w:rsidP="006459A3">
            <w:pPr>
              <w:spacing w:before="60" w:after="60"/>
              <w:jc w:val="both"/>
              <w:rPr>
                <w:lang w:val="en-GB"/>
              </w:rPr>
            </w:pPr>
            <w:r w:rsidRPr="00E0255C">
              <w:rPr>
                <w:rFonts w:eastAsia="Calibri"/>
                <w:b/>
              </w:rPr>
              <w:t>162 (</w:t>
            </w:r>
            <w:r w:rsidR="004F72C3" w:rsidRPr="00E0255C">
              <w:rPr>
                <w:rFonts w:eastAsia="Calibri"/>
                <w:b/>
              </w:rPr>
              <w:t>R</w:t>
            </w:r>
            <w:r w:rsidRPr="00E0255C">
              <w:rPr>
                <w:rFonts w:eastAsia="Calibri"/>
                <w:b/>
              </w:rPr>
              <w:t>ev. Busan, 2014) Independent Management Advisory Committee</w:t>
            </w:r>
          </w:p>
          <w:p w14:paraId="366913F3" w14:textId="3616B62F" w:rsidR="0049723A" w:rsidRPr="00E0255C" w:rsidRDefault="0035241B" w:rsidP="006459A3">
            <w:pPr>
              <w:spacing w:before="60" w:after="60"/>
              <w:jc w:val="both"/>
              <w:rPr>
                <w:rFonts w:asciiTheme="minorHAnsi" w:hAnsiTheme="minorHAnsi" w:cstheme="minorHAnsi"/>
                <w:lang w:val="en-GB"/>
              </w:rPr>
            </w:pPr>
            <w:r w:rsidRPr="00E0255C">
              <w:rPr>
                <w:rFonts w:asciiTheme="minorHAnsi" w:hAnsiTheme="minorHAnsi" w:cstheme="minorHAnsi"/>
              </w:rPr>
              <w:t>The Independent Management Advisory Committee (</w:t>
            </w:r>
            <w:r w:rsidR="00595F97" w:rsidRPr="00E0255C">
              <w:rPr>
                <w:rFonts w:asciiTheme="minorHAnsi" w:hAnsiTheme="minorHAnsi" w:cstheme="minorHAnsi"/>
              </w:rPr>
              <w:t>IMAC</w:t>
            </w:r>
            <w:r w:rsidRPr="00E0255C">
              <w:rPr>
                <w:rFonts w:asciiTheme="minorHAnsi" w:hAnsiTheme="minorHAnsi" w:cstheme="minorHAnsi"/>
              </w:rPr>
              <w:t>)</w:t>
            </w:r>
            <w:r w:rsidR="00595F97" w:rsidRPr="00E0255C">
              <w:rPr>
                <w:rFonts w:asciiTheme="minorHAnsi" w:hAnsiTheme="minorHAnsi" w:cstheme="minorHAnsi"/>
              </w:rPr>
              <w:t xml:space="preserve"> submitted its </w:t>
            </w:r>
            <w:r w:rsidRPr="00E0255C">
              <w:rPr>
                <w:rFonts w:asciiTheme="minorHAnsi" w:hAnsiTheme="minorHAnsi" w:cstheme="minorHAnsi"/>
              </w:rPr>
              <w:t>e</w:t>
            </w:r>
            <w:r w:rsidR="005965F0" w:rsidRPr="00E0255C">
              <w:rPr>
                <w:rFonts w:asciiTheme="minorHAnsi" w:hAnsiTheme="minorHAnsi" w:cstheme="minorHAnsi"/>
              </w:rPr>
              <w:t>ighth</w:t>
            </w:r>
            <w:r w:rsidR="00595F97" w:rsidRPr="00E0255C">
              <w:rPr>
                <w:rFonts w:asciiTheme="minorHAnsi" w:hAnsiTheme="minorHAnsi" w:cstheme="minorHAnsi"/>
              </w:rPr>
              <w:t xml:space="preserve"> </w:t>
            </w:r>
            <w:r w:rsidRPr="00E0255C">
              <w:rPr>
                <w:rFonts w:asciiTheme="minorHAnsi" w:hAnsiTheme="minorHAnsi" w:cstheme="minorHAnsi"/>
              </w:rPr>
              <w:t>a</w:t>
            </w:r>
            <w:r w:rsidR="00595F97" w:rsidRPr="00E0255C">
              <w:rPr>
                <w:rFonts w:asciiTheme="minorHAnsi" w:hAnsiTheme="minorHAnsi" w:cstheme="minorHAnsi"/>
              </w:rPr>
              <w:t xml:space="preserve">nnual </w:t>
            </w:r>
            <w:r w:rsidRPr="00E0255C">
              <w:rPr>
                <w:rFonts w:asciiTheme="minorHAnsi" w:hAnsiTheme="minorHAnsi" w:cstheme="minorHAnsi"/>
              </w:rPr>
              <w:t>r</w:t>
            </w:r>
            <w:r w:rsidR="00595F97" w:rsidRPr="00E0255C">
              <w:rPr>
                <w:rFonts w:asciiTheme="minorHAnsi" w:hAnsiTheme="minorHAnsi" w:cstheme="minorHAnsi"/>
              </w:rPr>
              <w:t xml:space="preserve">eport to the Council in June 2019 (Doc. </w:t>
            </w:r>
            <w:hyperlink r:id="rId481" w:history="1">
              <w:r w:rsidR="00595F97" w:rsidRPr="00E0255C">
                <w:rPr>
                  <w:rStyle w:val="Hyperlink"/>
                  <w:rFonts w:asciiTheme="minorHAnsi" w:hAnsiTheme="minorHAnsi" w:cstheme="minorHAnsi"/>
                </w:rPr>
                <w:t>C19/22</w:t>
              </w:r>
            </w:hyperlink>
            <w:r w:rsidR="00595F97" w:rsidRPr="00E0255C">
              <w:rPr>
                <w:rFonts w:asciiTheme="minorHAnsi" w:eastAsiaTheme="minorHAnsi" w:hAnsiTheme="minorHAnsi" w:cstheme="minorHAnsi"/>
                <w:lang w:val="en-GB" w:eastAsia="en-US"/>
              </w:rPr>
              <w:t>)</w:t>
            </w:r>
            <w:r w:rsidRPr="00E0255C">
              <w:rPr>
                <w:rFonts w:asciiTheme="minorHAnsi" w:eastAsiaTheme="minorHAnsi" w:hAnsiTheme="minorHAnsi" w:cstheme="minorHAnsi"/>
                <w:lang w:val="en-GB" w:eastAsia="en-US"/>
              </w:rPr>
              <w:t xml:space="preserve">, followed by </w:t>
            </w:r>
            <w:r w:rsidR="005965F0" w:rsidRPr="00E0255C">
              <w:rPr>
                <w:rFonts w:asciiTheme="minorHAnsi" w:eastAsiaTheme="minorHAnsi" w:hAnsiTheme="minorHAnsi" w:cstheme="minorHAnsi"/>
                <w:lang w:val="en-GB" w:eastAsia="en-US"/>
              </w:rPr>
              <w:t xml:space="preserve">an </w:t>
            </w:r>
            <w:r w:rsidRPr="00E0255C">
              <w:rPr>
                <w:rFonts w:asciiTheme="minorHAnsi" w:eastAsiaTheme="minorHAnsi" w:hAnsiTheme="minorHAnsi" w:cstheme="minorHAnsi"/>
                <w:lang w:val="en-GB" w:eastAsia="en-US"/>
              </w:rPr>
              <w:t>i</w:t>
            </w:r>
            <w:r w:rsidR="005965F0" w:rsidRPr="00E0255C">
              <w:rPr>
                <w:rFonts w:asciiTheme="minorHAnsi" w:eastAsiaTheme="minorHAnsi" w:hAnsiTheme="minorHAnsi" w:cstheme="minorHAnsi"/>
                <w:lang w:val="en-GB" w:eastAsia="en-US"/>
              </w:rPr>
              <w:t xml:space="preserve">nterim </w:t>
            </w:r>
            <w:r w:rsidRPr="00E0255C">
              <w:rPr>
                <w:rFonts w:asciiTheme="minorHAnsi" w:eastAsiaTheme="minorHAnsi" w:hAnsiTheme="minorHAnsi" w:cstheme="minorHAnsi"/>
                <w:lang w:val="en-GB" w:eastAsia="en-US"/>
              </w:rPr>
              <w:t>r</w:t>
            </w:r>
            <w:r w:rsidR="005965F0" w:rsidRPr="00E0255C">
              <w:rPr>
                <w:rFonts w:asciiTheme="minorHAnsi" w:eastAsiaTheme="minorHAnsi" w:hAnsiTheme="minorHAnsi" w:cstheme="minorHAnsi"/>
                <w:lang w:val="en-GB" w:eastAsia="en-US"/>
              </w:rPr>
              <w:t>eport</w:t>
            </w:r>
            <w:r w:rsidR="00AB15A6" w:rsidRPr="00E0255C">
              <w:rPr>
                <w:rFonts w:asciiTheme="minorHAnsi" w:eastAsiaTheme="minorHAnsi" w:hAnsiTheme="minorHAnsi" w:cstheme="minorHAnsi"/>
                <w:lang w:val="en-GB" w:eastAsia="en-US"/>
              </w:rPr>
              <w:t xml:space="preserve"> </w:t>
            </w:r>
            <w:r w:rsidR="005965F0" w:rsidRPr="00E0255C">
              <w:rPr>
                <w:rFonts w:asciiTheme="minorHAnsi" w:eastAsiaTheme="minorHAnsi" w:hAnsiTheme="minorHAnsi" w:cstheme="minorHAnsi"/>
                <w:lang w:val="en-GB" w:eastAsia="en-US"/>
              </w:rPr>
              <w:t xml:space="preserve">and the </w:t>
            </w:r>
            <w:r w:rsidRPr="00E0255C">
              <w:rPr>
                <w:rFonts w:asciiTheme="minorHAnsi" w:eastAsiaTheme="minorHAnsi" w:hAnsiTheme="minorHAnsi" w:cstheme="minorHAnsi"/>
                <w:lang w:val="en-GB" w:eastAsia="en-US"/>
              </w:rPr>
              <w:t>n</w:t>
            </w:r>
            <w:r w:rsidR="005965F0" w:rsidRPr="00E0255C">
              <w:rPr>
                <w:rFonts w:asciiTheme="minorHAnsi" w:eastAsiaTheme="minorHAnsi" w:hAnsiTheme="minorHAnsi" w:cstheme="minorHAnsi"/>
                <w:lang w:val="en-GB" w:eastAsia="en-US"/>
              </w:rPr>
              <w:t>in</w:t>
            </w:r>
            <w:r w:rsidR="0056763E" w:rsidRPr="00E0255C">
              <w:rPr>
                <w:rFonts w:asciiTheme="minorHAnsi" w:eastAsiaTheme="minorHAnsi" w:hAnsiTheme="minorHAnsi" w:cstheme="minorHAnsi"/>
                <w:lang w:val="en-GB" w:eastAsia="en-US"/>
              </w:rPr>
              <w:t xml:space="preserve">th </w:t>
            </w:r>
            <w:r w:rsidRPr="00E0255C">
              <w:rPr>
                <w:rFonts w:asciiTheme="minorHAnsi" w:eastAsiaTheme="minorHAnsi" w:hAnsiTheme="minorHAnsi" w:cstheme="minorHAnsi"/>
                <w:lang w:val="en-GB" w:eastAsia="en-US"/>
              </w:rPr>
              <w:t>a</w:t>
            </w:r>
            <w:r w:rsidR="0056763E" w:rsidRPr="00E0255C">
              <w:rPr>
                <w:rFonts w:asciiTheme="minorHAnsi" w:eastAsiaTheme="minorHAnsi" w:hAnsiTheme="minorHAnsi" w:cstheme="minorHAnsi"/>
                <w:lang w:val="en-GB" w:eastAsia="en-US"/>
              </w:rPr>
              <w:t xml:space="preserve">nnual </w:t>
            </w:r>
            <w:r w:rsidRPr="00E0255C">
              <w:rPr>
                <w:rFonts w:asciiTheme="minorHAnsi" w:eastAsiaTheme="minorHAnsi" w:hAnsiTheme="minorHAnsi" w:cstheme="minorHAnsi"/>
                <w:lang w:val="en-GB" w:eastAsia="en-US"/>
              </w:rPr>
              <w:t>r</w:t>
            </w:r>
            <w:r w:rsidR="00AB15A6" w:rsidRPr="00E0255C">
              <w:rPr>
                <w:rFonts w:asciiTheme="minorHAnsi" w:eastAsiaTheme="minorHAnsi" w:hAnsiTheme="minorHAnsi" w:cstheme="minorHAnsi"/>
                <w:lang w:val="en-GB" w:eastAsia="en-US"/>
              </w:rPr>
              <w:t xml:space="preserve">eport </w:t>
            </w:r>
            <w:r w:rsidR="009E13BD" w:rsidRPr="00E0255C">
              <w:rPr>
                <w:rFonts w:asciiTheme="minorHAnsi" w:eastAsiaTheme="minorHAnsi" w:hAnsiTheme="minorHAnsi" w:cstheme="minorHAnsi"/>
                <w:lang w:val="en-GB" w:eastAsia="en-US"/>
              </w:rPr>
              <w:t xml:space="preserve">(Doc. </w:t>
            </w:r>
            <w:hyperlink r:id="rId482" w:history="1">
              <w:r w:rsidR="009E13BD" w:rsidRPr="00E0255C">
                <w:rPr>
                  <w:rStyle w:val="Hyperlink"/>
                  <w:rFonts w:asciiTheme="minorHAnsi" w:eastAsiaTheme="minorHAnsi" w:hAnsiTheme="minorHAnsi" w:cstheme="minorHAnsi"/>
                  <w:lang w:val="en-GB" w:eastAsia="en-US"/>
                </w:rPr>
                <w:t>C20/22</w:t>
              </w:r>
            </w:hyperlink>
            <w:r w:rsidR="009E13BD" w:rsidRPr="00E0255C">
              <w:rPr>
                <w:rFonts w:asciiTheme="minorHAnsi" w:eastAsiaTheme="minorHAnsi" w:hAnsiTheme="minorHAnsi" w:cstheme="minorHAnsi"/>
                <w:lang w:val="en-GB" w:eastAsia="en-US"/>
              </w:rPr>
              <w:t>)</w:t>
            </w:r>
            <w:r w:rsidR="00AB15A6" w:rsidRPr="00E0255C">
              <w:rPr>
                <w:rFonts w:asciiTheme="minorHAnsi" w:eastAsiaTheme="minorHAnsi" w:hAnsiTheme="minorHAnsi" w:cstheme="minorHAnsi"/>
                <w:lang w:val="en-GB" w:eastAsia="en-US"/>
              </w:rPr>
              <w:t xml:space="preserve"> </w:t>
            </w:r>
            <w:r w:rsidR="00AA77C4" w:rsidRPr="00E0255C">
              <w:rPr>
                <w:rFonts w:asciiTheme="minorHAnsi" w:eastAsiaTheme="minorHAnsi" w:hAnsiTheme="minorHAnsi" w:cstheme="minorHAnsi"/>
                <w:lang w:val="en-GB" w:eastAsia="en-US"/>
              </w:rPr>
              <w:t xml:space="preserve">for the first and second </w:t>
            </w:r>
            <w:r w:rsidR="00061D17" w:rsidRPr="00E0255C">
              <w:rPr>
                <w:rFonts w:asciiTheme="minorHAnsi" w:eastAsiaTheme="minorHAnsi" w:hAnsiTheme="minorHAnsi" w:cstheme="minorHAnsi"/>
                <w:lang w:val="en-GB" w:eastAsia="en-US"/>
              </w:rPr>
              <w:t>v</w:t>
            </w:r>
            <w:r w:rsidR="00AA77C4" w:rsidRPr="00E0255C">
              <w:rPr>
                <w:rFonts w:asciiTheme="minorHAnsi" w:eastAsiaTheme="minorHAnsi" w:hAnsiTheme="minorHAnsi" w:cstheme="minorHAnsi"/>
                <w:lang w:val="en-GB" w:eastAsia="en-US"/>
              </w:rPr>
              <w:t xml:space="preserve">irtual </w:t>
            </w:r>
            <w:r w:rsidR="00061D17" w:rsidRPr="00E0255C">
              <w:rPr>
                <w:rFonts w:asciiTheme="minorHAnsi" w:eastAsiaTheme="minorHAnsi" w:hAnsiTheme="minorHAnsi" w:cstheme="minorHAnsi"/>
                <w:lang w:val="en-GB" w:eastAsia="en-US"/>
              </w:rPr>
              <w:t>c</w:t>
            </w:r>
            <w:r w:rsidR="00AA77C4" w:rsidRPr="00E0255C">
              <w:rPr>
                <w:rFonts w:asciiTheme="minorHAnsi" w:eastAsiaTheme="minorHAnsi" w:hAnsiTheme="minorHAnsi" w:cstheme="minorHAnsi"/>
                <w:lang w:val="en-GB" w:eastAsia="en-US"/>
              </w:rPr>
              <w:t xml:space="preserve">onsultation of </w:t>
            </w:r>
            <w:r w:rsidRPr="00E0255C">
              <w:rPr>
                <w:rFonts w:asciiTheme="minorHAnsi" w:eastAsiaTheme="minorHAnsi" w:hAnsiTheme="minorHAnsi" w:cstheme="minorHAnsi"/>
                <w:lang w:val="en-GB" w:eastAsia="en-US"/>
              </w:rPr>
              <w:t>councillors</w:t>
            </w:r>
            <w:r w:rsidR="00AA77C4" w:rsidRPr="00E0255C">
              <w:rPr>
                <w:rFonts w:asciiTheme="minorHAnsi" w:eastAsiaTheme="minorHAnsi" w:hAnsiTheme="minorHAnsi" w:cstheme="minorHAnsi"/>
                <w:lang w:val="en-GB" w:eastAsia="en-US"/>
              </w:rPr>
              <w:t xml:space="preserve"> that took place in 2020</w:t>
            </w:r>
            <w:r w:rsidR="00595F97" w:rsidRPr="00E0255C">
              <w:rPr>
                <w:rFonts w:asciiTheme="minorHAnsi" w:eastAsiaTheme="minorHAnsi" w:hAnsiTheme="minorHAnsi" w:cstheme="minorHAnsi"/>
                <w:lang w:val="en-GB" w:eastAsia="en-US"/>
              </w:rPr>
              <w:t xml:space="preserve">. All IMAC meeting reports and related documents are available at the IMAC public website </w:t>
            </w:r>
            <w:hyperlink r:id="rId483" w:history="1">
              <w:r w:rsidR="00595F97" w:rsidRPr="00E0255C">
                <w:rPr>
                  <w:rStyle w:val="Hyperlink"/>
                  <w:rFonts w:asciiTheme="minorHAnsi" w:eastAsiaTheme="minorHAnsi" w:hAnsiTheme="minorHAnsi" w:cstheme="minorHAnsi"/>
                  <w:lang w:val="en-GB" w:eastAsia="en-US"/>
                </w:rPr>
                <w:t>here</w:t>
              </w:r>
            </w:hyperlink>
            <w:r w:rsidR="00595F97" w:rsidRPr="00E0255C">
              <w:rPr>
                <w:rFonts w:asciiTheme="minorHAnsi" w:eastAsiaTheme="minorHAnsi" w:hAnsiTheme="minorHAnsi" w:cstheme="minorHAnsi"/>
                <w:lang w:val="en-GB" w:eastAsia="en-US"/>
              </w:rPr>
              <w:t>.</w:t>
            </w:r>
          </w:p>
          <w:p w14:paraId="7B5E7EC0" w14:textId="39CD641B" w:rsidR="00595F97" w:rsidRPr="00E0255C" w:rsidRDefault="00595F97" w:rsidP="006459A3">
            <w:pPr>
              <w:spacing w:before="60" w:after="60"/>
              <w:jc w:val="both"/>
              <w:rPr>
                <w:lang w:val="en-GB"/>
              </w:rPr>
            </w:pPr>
            <w:r w:rsidRPr="00E0255C">
              <w:rPr>
                <w:rFonts w:asciiTheme="minorHAnsi" w:hAnsiTheme="minorHAnsi" w:cstheme="minorHAnsi"/>
              </w:rPr>
              <w:t>The new members of IMAC</w:t>
            </w:r>
            <w:r w:rsidR="001D64AE" w:rsidRPr="00E0255C">
              <w:rPr>
                <w:rFonts w:asciiTheme="minorHAnsi" w:hAnsiTheme="minorHAnsi" w:cstheme="minorHAnsi"/>
              </w:rPr>
              <w:t xml:space="preserve"> appointed at the 2019 Session of Council</w:t>
            </w:r>
            <w:r w:rsidRPr="00E0255C">
              <w:rPr>
                <w:rFonts w:asciiTheme="minorHAnsi" w:hAnsiTheme="minorHAnsi" w:cstheme="minorHAnsi"/>
              </w:rPr>
              <w:t xml:space="preserve"> initiated their term on 1</w:t>
            </w:r>
            <w:r w:rsidRPr="00E0255C">
              <w:rPr>
                <w:rFonts w:asciiTheme="minorHAnsi" w:hAnsiTheme="minorHAnsi" w:cstheme="minorHAnsi"/>
                <w:vertAlign w:val="superscript"/>
              </w:rPr>
              <w:t>st</w:t>
            </w:r>
            <w:r w:rsidRPr="00E0255C">
              <w:rPr>
                <w:rFonts w:asciiTheme="minorHAnsi" w:hAnsiTheme="minorHAnsi" w:cstheme="minorHAnsi"/>
              </w:rPr>
              <w:t xml:space="preserve"> of January 2020 </w:t>
            </w:r>
            <w:r w:rsidR="008F6836" w:rsidRPr="00E0255C">
              <w:rPr>
                <w:rFonts w:asciiTheme="minorHAnsi" w:hAnsiTheme="minorHAnsi" w:cstheme="minorHAnsi"/>
              </w:rPr>
              <w:t xml:space="preserve">(the </w:t>
            </w:r>
            <w:hyperlink r:id="rId484" w:history="1">
              <w:r w:rsidR="008F6836" w:rsidRPr="00E0255C">
                <w:rPr>
                  <w:rStyle w:val="Hyperlink"/>
                  <w:rFonts w:asciiTheme="minorHAnsi" w:hAnsiTheme="minorHAnsi" w:cstheme="minorHAnsi"/>
                </w:rPr>
                <w:t xml:space="preserve">new </w:t>
              </w:r>
              <w:r w:rsidR="008F49D9" w:rsidRPr="00E0255C">
                <w:rPr>
                  <w:rStyle w:val="Hyperlink"/>
                  <w:rFonts w:asciiTheme="minorHAnsi" w:hAnsiTheme="minorHAnsi" w:cstheme="minorHAnsi"/>
                </w:rPr>
                <w:t xml:space="preserve">composition </w:t>
              </w:r>
              <w:r w:rsidR="00FA1E39" w:rsidRPr="00E0255C">
                <w:rPr>
                  <w:rStyle w:val="Hyperlink"/>
                  <w:rFonts w:asciiTheme="minorHAnsi" w:hAnsiTheme="minorHAnsi" w:cstheme="minorHAnsi"/>
                </w:rPr>
                <w:t xml:space="preserve">of the </w:t>
              </w:r>
              <w:r w:rsidR="00A818DE" w:rsidRPr="00E0255C">
                <w:rPr>
                  <w:rStyle w:val="Hyperlink"/>
                  <w:rFonts w:asciiTheme="minorHAnsi" w:hAnsiTheme="minorHAnsi" w:cstheme="minorHAnsi"/>
                </w:rPr>
                <w:t>Committee</w:t>
              </w:r>
            </w:hyperlink>
            <w:r w:rsidR="00A818DE" w:rsidRPr="00E0255C">
              <w:rPr>
                <w:rFonts w:asciiTheme="minorHAnsi" w:eastAsiaTheme="minorHAnsi" w:hAnsiTheme="minorHAnsi" w:cstheme="minorHAnsi"/>
                <w:lang w:val="en-GB" w:eastAsia="en-US"/>
              </w:rPr>
              <w:t xml:space="preserve"> is </w:t>
            </w:r>
            <w:r w:rsidR="008F6836" w:rsidRPr="00E0255C">
              <w:rPr>
                <w:rFonts w:asciiTheme="minorHAnsi" w:eastAsiaTheme="minorHAnsi" w:hAnsiTheme="minorHAnsi" w:cstheme="minorHAnsi"/>
                <w:lang w:val="en-GB" w:eastAsia="en-US"/>
              </w:rPr>
              <w:t xml:space="preserve">also </w:t>
            </w:r>
            <w:r w:rsidR="00A818DE" w:rsidRPr="00E0255C">
              <w:rPr>
                <w:rFonts w:asciiTheme="minorHAnsi" w:eastAsiaTheme="minorHAnsi" w:hAnsiTheme="minorHAnsi" w:cstheme="minorHAnsi"/>
                <w:lang w:val="en-GB" w:eastAsia="en-US"/>
              </w:rPr>
              <w:t>available at the IMAC website</w:t>
            </w:r>
            <w:r w:rsidR="008F6836" w:rsidRPr="00E0255C">
              <w:rPr>
                <w:rFonts w:asciiTheme="minorHAnsi" w:eastAsiaTheme="minorHAnsi" w:hAnsiTheme="minorHAnsi" w:cstheme="minorHAnsi"/>
                <w:lang w:val="en-GB" w:eastAsia="en-US"/>
              </w:rPr>
              <w:t>)</w:t>
            </w:r>
            <w:r w:rsidR="00A818DE" w:rsidRPr="00E0255C">
              <w:rPr>
                <w:rFonts w:asciiTheme="minorHAnsi" w:eastAsiaTheme="minorHAnsi" w:hAnsiTheme="minorHAnsi" w:cstheme="minorHAnsi"/>
                <w:lang w:val="en-GB" w:eastAsia="en-US"/>
              </w:rPr>
              <w:t>.</w:t>
            </w:r>
          </w:p>
        </w:tc>
      </w:tr>
      <w:tr w:rsidR="478B1C36" w:rsidRPr="00B64995" w14:paraId="1A6D0926" w14:textId="77777777" w:rsidTr="09AD7226">
        <w:tc>
          <w:tcPr>
            <w:tcW w:w="9026" w:type="dxa"/>
            <w:shd w:val="clear" w:color="auto" w:fill="FFFFFF" w:themeFill="background1"/>
          </w:tcPr>
          <w:p w14:paraId="5DCA602B" w14:textId="204E25A0" w:rsidR="00A93E3B" w:rsidRPr="00E0255C" w:rsidRDefault="478B1C36" w:rsidP="006459A3">
            <w:pPr>
              <w:spacing w:before="60" w:after="60"/>
              <w:jc w:val="both"/>
              <w:rPr>
                <w:rFonts w:eastAsia="Calibri"/>
                <w:b/>
                <w:lang w:val="en-GB"/>
              </w:rPr>
            </w:pPr>
            <w:bookmarkStart w:id="167" w:name="_Hlk38534824"/>
            <w:r w:rsidRPr="00E0255C">
              <w:rPr>
                <w:rFonts w:eastAsia="Calibri"/>
                <w:b/>
              </w:rPr>
              <w:t>165 (</w:t>
            </w:r>
            <w:r w:rsidR="00A579C3" w:rsidRPr="00E0255C">
              <w:rPr>
                <w:rFonts w:eastAsia="Calibri"/>
                <w:b/>
              </w:rPr>
              <w:t>R</w:t>
            </w:r>
            <w:r w:rsidRPr="00E0255C">
              <w:rPr>
                <w:rFonts w:eastAsia="Calibri"/>
                <w:b/>
              </w:rPr>
              <w:t>ev. Dubai, 2018) Deadlines for the submission of proposals and procedure for the registration of participants to conferences and assemblies of the Union</w:t>
            </w:r>
          </w:p>
          <w:p w14:paraId="3C713D8B" w14:textId="71063274" w:rsidR="478B1C36" w:rsidRPr="00E0255C" w:rsidRDefault="00A93E3B" w:rsidP="006459A3">
            <w:pPr>
              <w:spacing w:before="60" w:after="60"/>
              <w:jc w:val="both"/>
              <w:rPr>
                <w:lang w:val="en-GB"/>
              </w:rPr>
            </w:pPr>
            <w:r w:rsidRPr="00E0255C">
              <w:t>The revision of this resolution was put into practice during WRC-19 meeting, where the deadline of submission for contributions was set for 30 September 2019. This has not only ensured the timely translation of all contributions submitted but has also significantly reduced overtime worked during the conference. This had positive implications on the conference’s budget as well as C&amp;P’s budget.</w:t>
            </w:r>
            <w:bookmarkEnd w:id="167"/>
            <w:r w:rsidR="478B1C36" w:rsidRPr="00E0255C">
              <w:rPr>
                <w:rFonts w:eastAsia="Calibri"/>
                <w:b/>
              </w:rPr>
              <w:t xml:space="preserve"> </w:t>
            </w:r>
          </w:p>
        </w:tc>
      </w:tr>
      <w:tr w:rsidR="478B1C36" w:rsidRPr="00B64995" w14:paraId="7F080728" w14:textId="77777777" w:rsidTr="09AD7226">
        <w:tc>
          <w:tcPr>
            <w:tcW w:w="9026" w:type="dxa"/>
            <w:shd w:val="clear" w:color="auto" w:fill="FFFFFF" w:themeFill="background1"/>
          </w:tcPr>
          <w:p w14:paraId="090F8788" w14:textId="3B66E596" w:rsidR="478B1C36" w:rsidRPr="00E0255C" w:rsidRDefault="74EEEC8D" w:rsidP="006459A3">
            <w:pPr>
              <w:spacing w:before="60" w:after="60"/>
              <w:jc w:val="both"/>
              <w:rPr>
                <w:lang w:val="en-GB"/>
              </w:rPr>
            </w:pPr>
            <w:r w:rsidRPr="00E0255C">
              <w:rPr>
                <w:rFonts w:eastAsia="Calibri"/>
                <w:b/>
                <w:bCs/>
              </w:rPr>
              <w:t>167 (</w:t>
            </w:r>
            <w:r w:rsidR="0D9FA077" w:rsidRPr="00E0255C">
              <w:rPr>
                <w:rFonts w:eastAsia="Calibri"/>
                <w:b/>
                <w:bCs/>
              </w:rPr>
              <w:t>R</w:t>
            </w:r>
            <w:r w:rsidRPr="00E0255C">
              <w:rPr>
                <w:rFonts w:eastAsia="Calibri"/>
                <w:b/>
                <w:bCs/>
              </w:rPr>
              <w:t>ev. Dubai, 2018) Strengthening and developing ITU capabilities for electronic meetings and means to advance the work of the Union</w:t>
            </w:r>
          </w:p>
          <w:p w14:paraId="5869B9C9" w14:textId="4EE94009" w:rsidR="46C6B7C8" w:rsidRPr="00E0255C" w:rsidRDefault="46C6B7C8" w:rsidP="7AC9D32E">
            <w:pPr>
              <w:spacing w:before="60" w:after="60"/>
              <w:jc w:val="both"/>
              <w:rPr>
                <w:rFonts w:eastAsia="Calibri"/>
                <w:lang w:val="en-GB"/>
              </w:rPr>
            </w:pPr>
            <w:r w:rsidRPr="00E0255C">
              <w:rPr>
                <w:rFonts w:eastAsia="Calibri"/>
              </w:rPr>
              <w:t xml:space="preserve">The </w:t>
            </w:r>
            <w:r w:rsidR="238A1B92" w:rsidRPr="00E0255C">
              <w:rPr>
                <w:rFonts w:eastAsia="Calibri"/>
              </w:rPr>
              <w:t xml:space="preserve">secretariat’s </w:t>
            </w:r>
            <w:r w:rsidRPr="00E0255C">
              <w:rPr>
                <w:rFonts w:eastAsia="Calibri"/>
              </w:rPr>
              <w:t xml:space="preserve">Remote Participation Task Force (RPTF) was established in April 2020 </w:t>
            </w:r>
            <w:r w:rsidR="0DD6520A" w:rsidRPr="00E0255C">
              <w:rPr>
                <w:rFonts w:eastAsia="Calibri"/>
              </w:rPr>
              <w:t xml:space="preserve">to identify best practices for preparing and conducting </w:t>
            </w:r>
            <w:r w:rsidR="22BF16ED" w:rsidRPr="00E0255C">
              <w:rPr>
                <w:rFonts w:eastAsia="Calibri"/>
              </w:rPr>
              <w:t>electronic meetings. All ITU meetings have be</w:t>
            </w:r>
            <w:r w:rsidR="3C890C2C" w:rsidRPr="00E0255C">
              <w:rPr>
                <w:rFonts w:eastAsia="Calibri"/>
              </w:rPr>
              <w:t xml:space="preserve">come fully virtual since 16 March 2020, </w:t>
            </w:r>
            <w:r w:rsidR="6A728F05" w:rsidRPr="00E0255C">
              <w:rPr>
                <w:rFonts w:eastAsia="Calibri"/>
              </w:rPr>
              <w:t>includ</w:t>
            </w:r>
            <w:r w:rsidR="0035241B" w:rsidRPr="00E0255C">
              <w:rPr>
                <w:rFonts w:eastAsia="Calibri"/>
              </w:rPr>
              <w:t>ing</w:t>
            </w:r>
            <w:r w:rsidR="6A728F05" w:rsidRPr="00E0255C">
              <w:rPr>
                <w:rFonts w:eastAsia="Calibri"/>
              </w:rPr>
              <w:t xml:space="preserve"> statutory meetings that require</w:t>
            </w:r>
            <w:r w:rsidR="3B42D31F" w:rsidRPr="00E0255C">
              <w:rPr>
                <w:rFonts w:eastAsia="Calibri"/>
              </w:rPr>
              <w:t>d i</w:t>
            </w:r>
            <w:r w:rsidR="6A728F05" w:rsidRPr="00E0255C">
              <w:rPr>
                <w:rFonts w:eastAsia="Calibri"/>
              </w:rPr>
              <w:t>nterpretatio</w:t>
            </w:r>
            <w:r w:rsidR="2C800313" w:rsidRPr="00E0255C">
              <w:rPr>
                <w:rFonts w:eastAsia="Calibri"/>
              </w:rPr>
              <w:t>n</w:t>
            </w:r>
            <w:r w:rsidR="6A728F05" w:rsidRPr="00E0255C">
              <w:rPr>
                <w:rFonts w:eastAsia="Calibri"/>
              </w:rPr>
              <w:t xml:space="preserve"> in six l</w:t>
            </w:r>
            <w:r w:rsidR="223D6C7E" w:rsidRPr="00E0255C">
              <w:rPr>
                <w:rFonts w:eastAsia="Calibri"/>
              </w:rPr>
              <w:t>a</w:t>
            </w:r>
            <w:r w:rsidR="738B9ABE" w:rsidRPr="00E0255C">
              <w:rPr>
                <w:rFonts w:eastAsia="Calibri"/>
              </w:rPr>
              <w:t xml:space="preserve">nguages, accreditation, </w:t>
            </w:r>
            <w:proofErr w:type="gramStart"/>
            <w:r w:rsidR="738B9ABE" w:rsidRPr="00E0255C">
              <w:rPr>
                <w:rFonts w:eastAsia="Calibri"/>
              </w:rPr>
              <w:t>authentication</w:t>
            </w:r>
            <w:proofErr w:type="gramEnd"/>
            <w:r w:rsidR="738B9ABE" w:rsidRPr="00E0255C">
              <w:rPr>
                <w:rFonts w:eastAsia="Calibri"/>
              </w:rPr>
              <w:t xml:space="preserve"> and a</w:t>
            </w:r>
            <w:r w:rsidR="552E016B" w:rsidRPr="00E0255C">
              <w:rPr>
                <w:rFonts w:eastAsia="Calibri"/>
              </w:rPr>
              <w:t xml:space="preserve">ccess control. </w:t>
            </w:r>
            <w:r w:rsidR="35F5D82F" w:rsidRPr="00E0255C">
              <w:rPr>
                <w:rFonts w:eastAsia="Calibri"/>
              </w:rPr>
              <w:t xml:space="preserve">ITU then led the </w:t>
            </w:r>
            <w:r w:rsidR="60196254" w:rsidRPr="00E0255C">
              <w:rPr>
                <w:rFonts w:eastAsia="Calibri"/>
              </w:rPr>
              <w:t>V</w:t>
            </w:r>
            <w:r w:rsidR="35F5D82F" w:rsidRPr="00E0255C">
              <w:rPr>
                <w:rFonts w:eastAsia="Calibri"/>
              </w:rPr>
              <w:t xml:space="preserve">irtual </w:t>
            </w:r>
            <w:r w:rsidR="11F34739" w:rsidRPr="00E0255C">
              <w:rPr>
                <w:rFonts w:eastAsia="Calibri"/>
              </w:rPr>
              <w:t>M</w:t>
            </w:r>
            <w:r w:rsidR="35F5D82F" w:rsidRPr="00E0255C">
              <w:rPr>
                <w:rFonts w:eastAsia="Calibri"/>
              </w:rPr>
              <w:t xml:space="preserve">eeting with </w:t>
            </w:r>
            <w:r w:rsidR="7B535423" w:rsidRPr="00E0255C">
              <w:rPr>
                <w:rFonts w:eastAsia="Calibri"/>
              </w:rPr>
              <w:t>I</w:t>
            </w:r>
            <w:r w:rsidR="35F5D82F" w:rsidRPr="00E0255C">
              <w:rPr>
                <w:rFonts w:eastAsia="Calibri"/>
              </w:rPr>
              <w:t xml:space="preserve">nterpretation </w:t>
            </w:r>
            <w:r w:rsidR="716192FC" w:rsidRPr="00E0255C">
              <w:rPr>
                <w:rFonts w:eastAsia="Calibri"/>
              </w:rPr>
              <w:t>W</w:t>
            </w:r>
            <w:r w:rsidR="35F5D82F" w:rsidRPr="00E0255C">
              <w:rPr>
                <w:rFonts w:eastAsia="Calibri"/>
              </w:rPr>
              <w:t>orkgroup of the Chief Exec</w:t>
            </w:r>
            <w:r w:rsidR="66751C5A" w:rsidRPr="00E0255C">
              <w:rPr>
                <w:rFonts w:eastAsia="Calibri"/>
              </w:rPr>
              <w:t>utive</w:t>
            </w:r>
            <w:r w:rsidR="0035241B" w:rsidRPr="00E0255C">
              <w:rPr>
                <w:rFonts w:eastAsia="Calibri"/>
              </w:rPr>
              <w:t>s</w:t>
            </w:r>
            <w:r w:rsidR="66751C5A" w:rsidRPr="00E0255C">
              <w:rPr>
                <w:rFonts w:eastAsia="Calibri"/>
              </w:rPr>
              <w:t xml:space="preserve"> Board </w:t>
            </w:r>
            <w:r w:rsidR="0035241B" w:rsidRPr="00E0255C">
              <w:rPr>
                <w:rFonts w:eastAsia="Calibri"/>
              </w:rPr>
              <w:t xml:space="preserve">for Coordination </w:t>
            </w:r>
            <w:r w:rsidR="66751C5A" w:rsidRPr="00E0255C">
              <w:rPr>
                <w:rFonts w:eastAsia="Calibri"/>
              </w:rPr>
              <w:t>(CEB) of the UN</w:t>
            </w:r>
            <w:r w:rsidR="0035241B" w:rsidRPr="00E0255C">
              <w:rPr>
                <w:rFonts w:eastAsia="Calibri"/>
              </w:rPr>
              <w:t xml:space="preserve">. In </w:t>
            </w:r>
            <w:proofErr w:type="gramStart"/>
            <w:r w:rsidR="0035241B" w:rsidRPr="00E0255C">
              <w:rPr>
                <w:rFonts w:eastAsia="Calibri"/>
              </w:rPr>
              <w:t>May 2020</w:t>
            </w:r>
            <w:proofErr w:type="gramEnd"/>
            <w:r w:rsidR="0035241B" w:rsidRPr="00E0255C">
              <w:rPr>
                <w:rFonts w:eastAsia="Calibri"/>
              </w:rPr>
              <w:t xml:space="preserve"> </w:t>
            </w:r>
            <w:r w:rsidR="5E79BCED" w:rsidRPr="00E0255C">
              <w:rPr>
                <w:rFonts w:eastAsia="Calibri"/>
              </w:rPr>
              <w:t xml:space="preserve">the </w:t>
            </w:r>
            <w:r w:rsidR="0035241B" w:rsidRPr="00E0255C">
              <w:rPr>
                <w:rFonts w:eastAsia="Calibri"/>
              </w:rPr>
              <w:t xml:space="preserve">document </w:t>
            </w:r>
            <w:r w:rsidR="5E79BCED" w:rsidRPr="00E0255C">
              <w:rPr>
                <w:rFonts w:eastAsia="Calibri"/>
              </w:rPr>
              <w:t xml:space="preserve">“Virtual Events and Remote Participation Guidelines and </w:t>
            </w:r>
            <w:r w:rsidR="648C32CB" w:rsidRPr="00E0255C">
              <w:rPr>
                <w:rFonts w:eastAsia="Calibri"/>
              </w:rPr>
              <w:t>B</w:t>
            </w:r>
            <w:r w:rsidR="5E79BCED" w:rsidRPr="00E0255C">
              <w:rPr>
                <w:rFonts w:eastAsia="Calibri"/>
              </w:rPr>
              <w:t xml:space="preserve">est </w:t>
            </w:r>
            <w:r w:rsidR="7F940AA4" w:rsidRPr="00E0255C">
              <w:rPr>
                <w:rFonts w:eastAsia="Calibri"/>
              </w:rPr>
              <w:t>P</w:t>
            </w:r>
            <w:r w:rsidR="5E79BCED" w:rsidRPr="00E0255C">
              <w:rPr>
                <w:rFonts w:eastAsia="Calibri"/>
              </w:rPr>
              <w:t>ractices”</w:t>
            </w:r>
            <w:r w:rsidR="0035241B" w:rsidRPr="00E0255C">
              <w:rPr>
                <w:rFonts w:eastAsia="Calibri"/>
              </w:rPr>
              <w:t xml:space="preserve"> was published</w:t>
            </w:r>
            <w:r w:rsidR="5E79BCED" w:rsidRPr="00E0255C">
              <w:rPr>
                <w:rFonts w:eastAsia="Calibri"/>
              </w:rPr>
              <w:t xml:space="preserve"> </w:t>
            </w:r>
            <w:r w:rsidR="0035241B" w:rsidRPr="00E0255C">
              <w:rPr>
                <w:rFonts w:eastAsia="Calibri"/>
              </w:rPr>
              <w:t xml:space="preserve">and </w:t>
            </w:r>
            <w:r w:rsidR="3A240E8A" w:rsidRPr="00E0255C">
              <w:rPr>
                <w:rFonts w:eastAsia="Calibri"/>
              </w:rPr>
              <w:t xml:space="preserve">shared </w:t>
            </w:r>
            <w:r w:rsidR="0035241B" w:rsidRPr="00E0255C">
              <w:rPr>
                <w:rFonts w:eastAsia="Calibri"/>
              </w:rPr>
              <w:t xml:space="preserve">with </w:t>
            </w:r>
            <w:r w:rsidR="3A240E8A" w:rsidRPr="00E0255C">
              <w:rPr>
                <w:rFonts w:eastAsia="Calibri"/>
              </w:rPr>
              <w:t xml:space="preserve">all participating organizations </w:t>
            </w:r>
            <w:r w:rsidR="09934884" w:rsidRPr="00E0255C">
              <w:rPr>
                <w:rFonts w:eastAsia="Calibri"/>
              </w:rPr>
              <w:t xml:space="preserve">and other international agencies. </w:t>
            </w:r>
            <w:r w:rsidR="337A563C" w:rsidRPr="00E0255C">
              <w:rPr>
                <w:rFonts w:eastAsia="Calibri"/>
              </w:rPr>
              <w:t xml:space="preserve">As none of the web-conference platforms supports all functional requirements of ITU meetings, </w:t>
            </w:r>
            <w:r w:rsidR="09934884" w:rsidRPr="00E0255C">
              <w:rPr>
                <w:rFonts w:eastAsia="Calibri"/>
              </w:rPr>
              <w:t>I</w:t>
            </w:r>
            <w:r w:rsidR="064E2C09" w:rsidRPr="00E0255C">
              <w:rPr>
                <w:rFonts w:eastAsia="Calibri"/>
              </w:rPr>
              <w:t xml:space="preserve">TU currently </w:t>
            </w:r>
            <w:r w:rsidR="0035241B" w:rsidRPr="00E0255C">
              <w:rPr>
                <w:rFonts w:eastAsia="Calibri"/>
              </w:rPr>
              <w:t xml:space="preserve">works with </w:t>
            </w:r>
            <w:r w:rsidR="064E2C09" w:rsidRPr="00E0255C">
              <w:rPr>
                <w:rFonts w:eastAsia="Calibri"/>
              </w:rPr>
              <w:t>five platforms</w:t>
            </w:r>
            <w:r w:rsidR="0035241B" w:rsidRPr="00E0255C">
              <w:rPr>
                <w:rFonts w:eastAsia="Calibri"/>
              </w:rPr>
              <w:t xml:space="preserve">, </w:t>
            </w:r>
            <w:r w:rsidR="30FF65FD" w:rsidRPr="00E0255C">
              <w:rPr>
                <w:rFonts w:eastAsia="Calibri"/>
              </w:rPr>
              <w:t>select</w:t>
            </w:r>
            <w:r w:rsidR="0035241B" w:rsidRPr="00E0255C">
              <w:rPr>
                <w:rFonts w:eastAsia="Calibri"/>
              </w:rPr>
              <w:t>ing</w:t>
            </w:r>
            <w:r w:rsidR="30FF65FD" w:rsidRPr="00E0255C">
              <w:rPr>
                <w:rFonts w:eastAsia="Calibri"/>
              </w:rPr>
              <w:t xml:space="preserve"> the most appropriate </w:t>
            </w:r>
            <w:r w:rsidR="0035241B" w:rsidRPr="00E0255C">
              <w:rPr>
                <w:rFonts w:eastAsia="Calibri"/>
              </w:rPr>
              <w:t xml:space="preserve">one depending on </w:t>
            </w:r>
            <w:r w:rsidR="30FF65FD" w:rsidRPr="00E0255C">
              <w:rPr>
                <w:rFonts w:eastAsia="Calibri"/>
              </w:rPr>
              <w:t xml:space="preserve">the requirements </w:t>
            </w:r>
            <w:r w:rsidR="53073065" w:rsidRPr="00E0255C">
              <w:rPr>
                <w:rFonts w:eastAsia="Calibri"/>
              </w:rPr>
              <w:t>of each meeting.</w:t>
            </w:r>
          </w:p>
          <w:p w14:paraId="05283DBA" w14:textId="565863E2" w:rsidR="00A93E3B" w:rsidRPr="00E0255C" w:rsidRDefault="478B1C36" w:rsidP="006459A3">
            <w:pPr>
              <w:spacing w:before="60" w:after="60"/>
              <w:jc w:val="both"/>
              <w:rPr>
                <w:lang w:val="en-GB"/>
              </w:rPr>
            </w:pPr>
            <w:r w:rsidRPr="00E0255C">
              <w:rPr>
                <w:rFonts w:eastAsia="Calibri"/>
              </w:rPr>
              <w:t>See report to Council (</w:t>
            </w:r>
            <w:r w:rsidR="00A579C3" w:rsidRPr="00E0255C">
              <w:rPr>
                <w:rFonts w:eastAsia="Calibri"/>
              </w:rPr>
              <w:t xml:space="preserve">Doc. </w:t>
            </w:r>
            <w:hyperlink r:id="rId485" w:history="1">
              <w:r w:rsidR="00A579C3" w:rsidRPr="00E0255C">
                <w:rPr>
                  <w:rStyle w:val="Hyperlink"/>
                  <w:rFonts w:eastAsia="Calibri"/>
                </w:rPr>
                <w:t>C20/53</w:t>
              </w:r>
            </w:hyperlink>
            <w:r w:rsidRPr="00E0255C">
              <w:rPr>
                <w:rFonts w:eastAsia="Calibri"/>
                <w:lang w:val="en-GB" w:eastAsia="en-US"/>
              </w:rPr>
              <w:t>)</w:t>
            </w:r>
            <w:r w:rsidR="00A93E3B" w:rsidRPr="00E0255C">
              <w:rPr>
                <w:rFonts w:eastAsia="Calibri"/>
                <w:lang w:val="en-GB" w:eastAsia="en-US"/>
              </w:rPr>
              <w:t xml:space="preserve">; see also </w:t>
            </w:r>
            <w:hyperlink w:anchor="Section_1_8" w:history="1">
              <w:r w:rsidR="00A93E3B" w:rsidRPr="00E0255C">
                <w:rPr>
                  <w:rStyle w:val="Hyperlink"/>
                  <w:rFonts w:eastAsia="Calibri"/>
                  <w:lang w:val="en-GB" w:eastAsia="en-US"/>
                </w:rPr>
                <w:t>section 1.8</w:t>
              </w:r>
            </w:hyperlink>
            <w:r w:rsidR="00A93E3B" w:rsidRPr="00E0255C">
              <w:rPr>
                <w:rFonts w:eastAsia="Calibri"/>
              </w:rPr>
              <w:t xml:space="preserve"> on COVID-19 related activities/responses.</w:t>
            </w:r>
          </w:p>
        </w:tc>
      </w:tr>
      <w:tr w:rsidR="478B1C36" w:rsidRPr="00B64995" w14:paraId="0AF9D8AF" w14:textId="77777777" w:rsidTr="09AD7226">
        <w:tc>
          <w:tcPr>
            <w:tcW w:w="9026" w:type="dxa"/>
            <w:shd w:val="clear" w:color="auto" w:fill="FFFFFF" w:themeFill="background1"/>
          </w:tcPr>
          <w:p w14:paraId="76CD5EC5" w14:textId="2D7EB4F4" w:rsidR="478B1C36" w:rsidRPr="00E0255C" w:rsidRDefault="478B1C36" w:rsidP="006459A3">
            <w:pPr>
              <w:spacing w:before="60" w:after="60"/>
              <w:jc w:val="both"/>
              <w:rPr>
                <w:lang w:val="en-GB"/>
              </w:rPr>
            </w:pPr>
            <w:r w:rsidRPr="00E0255C">
              <w:rPr>
                <w:rFonts w:eastAsia="Calibri"/>
                <w:b/>
              </w:rPr>
              <w:t>173 (</w:t>
            </w:r>
            <w:proofErr w:type="spellStart"/>
            <w:r w:rsidR="00A579C3" w:rsidRPr="00E0255C">
              <w:rPr>
                <w:rFonts w:eastAsia="Calibri"/>
                <w:b/>
              </w:rPr>
              <w:t>Rev.</w:t>
            </w:r>
            <w:r w:rsidRPr="00E0255C">
              <w:rPr>
                <w:rFonts w:eastAsia="Calibri"/>
                <w:b/>
              </w:rPr>
              <w:t>Guadalajara</w:t>
            </w:r>
            <w:proofErr w:type="spellEnd"/>
            <w:r w:rsidRPr="00E0255C">
              <w:rPr>
                <w:rFonts w:eastAsia="Calibri"/>
                <w:b/>
              </w:rPr>
              <w:t>, 2010) Piracy and attacks against fixed and cellular telephone networks in Lebanon</w:t>
            </w:r>
          </w:p>
          <w:p w14:paraId="51F56DD1" w14:textId="2D578BA7" w:rsidR="0097513C" w:rsidRPr="00E0255C" w:rsidRDefault="0097513C" w:rsidP="006459A3">
            <w:pPr>
              <w:spacing w:before="60" w:after="60"/>
              <w:jc w:val="both"/>
              <w:rPr>
                <w:lang w:val="en-GB"/>
              </w:rPr>
            </w:pPr>
            <w:r w:rsidRPr="00E0255C">
              <w:t xml:space="preserve">After the assistance provided to Lebanon to assess the readiness in view of establishing a National Computer Incident Response Team (CIRT), a project to assist Lebanon in the establishment of its national CIRT has been signed in 2014 in which Lebanon was committed to fund part of this project and ITU/ARO secured the remaining funds for the project. The implementation has been </w:t>
            </w:r>
            <w:r w:rsidR="0095501B" w:rsidRPr="00E0255C">
              <w:t>held</w:t>
            </w:r>
            <w:r w:rsidRPr="00E0255C">
              <w:t xml:space="preserve"> and the project concluded upon the request of Lebanon.</w:t>
            </w:r>
          </w:p>
          <w:p w14:paraId="40FDF60C" w14:textId="70F0BD2B" w:rsidR="00A93E3B" w:rsidRPr="00E0255C" w:rsidRDefault="0097513C" w:rsidP="006459A3">
            <w:pPr>
              <w:spacing w:before="60" w:after="60"/>
              <w:jc w:val="both"/>
              <w:rPr>
                <w:lang w:val="en-GB"/>
              </w:rPr>
            </w:pPr>
            <w:r w:rsidRPr="00E0255C">
              <w:t>Assistance on spectrum-related aspects, including frequency notification and coordination, technical examinations, transition to digital broadcasting, the digital dividend and the allocation of spectrum and licensing has been provided.</w:t>
            </w:r>
          </w:p>
        </w:tc>
      </w:tr>
      <w:tr w:rsidR="478B1C36" w:rsidRPr="00B64995" w14:paraId="1D8DE6A1" w14:textId="77777777" w:rsidTr="09AD7226">
        <w:tc>
          <w:tcPr>
            <w:tcW w:w="9026" w:type="dxa"/>
            <w:shd w:val="clear" w:color="auto" w:fill="FFFFFF" w:themeFill="background1"/>
          </w:tcPr>
          <w:p w14:paraId="77BC51CF" w14:textId="25B8DD09" w:rsidR="478B1C36" w:rsidRPr="00E0255C" w:rsidRDefault="478B1C36" w:rsidP="006459A3">
            <w:pPr>
              <w:pageBreakBefore/>
              <w:spacing w:before="60" w:after="60"/>
              <w:jc w:val="both"/>
              <w:rPr>
                <w:lang w:val="en-GB"/>
              </w:rPr>
            </w:pPr>
            <w:r w:rsidRPr="00E0255C">
              <w:rPr>
                <w:rFonts w:eastAsia="Calibri"/>
                <w:b/>
              </w:rPr>
              <w:lastRenderedPageBreak/>
              <w:t>175 (</w:t>
            </w:r>
            <w:r w:rsidR="00A579C3" w:rsidRPr="00E0255C">
              <w:rPr>
                <w:rFonts w:eastAsia="Calibri"/>
                <w:b/>
              </w:rPr>
              <w:t>R</w:t>
            </w:r>
            <w:r w:rsidRPr="00E0255C">
              <w:rPr>
                <w:rFonts w:eastAsia="Calibri"/>
                <w:b/>
              </w:rPr>
              <w:t>ev. Dubai, 2018) Telecommunication/information and communication technology accessibility for persons with disabilities and persons with specific needs</w:t>
            </w:r>
          </w:p>
          <w:p w14:paraId="021E2CE0" w14:textId="400471C5" w:rsidR="00A93E3B" w:rsidRPr="00E0255C" w:rsidRDefault="478B1C36" w:rsidP="006459A3">
            <w:pPr>
              <w:spacing w:before="60" w:after="60"/>
              <w:jc w:val="both"/>
              <w:rPr>
                <w:lang w:val="en-GB"/>
              </w:rPr>
            </w:pPr>
            <w:r w:rsidRPr="00E0255C">
              <w:rPr>
                <w:rFonts w:eastAsia="Calibri"/>
              </w:rPr>
              <w:t xml:space="preserve">See </w:t>
            </w:r>
            <w:hyperlink w:anchor="Section_1_7" w:history="1">
              <w:r w:rsidRPr="00E0255C">
                <w:rPr>
                  <w:rStyle w:val="Hyperlink"/>
                  <w:rFonts w:eastAsia="Calibri"/>
                </w:rPr>
                <w:t>section 1.</w:t>
              </w:r>
              <w:r w:rsidR="00595F97" w:rsidRPr="00E0255C">
                <w:rPr>
                  <w:rStyle w:val="Hyperlink"/>
                  <w:rFonts w:eastAsia="Calibri"/>
                </w:rPr>
                <w:t>7</w:t>
              </w:r>
            </w:hyperlink>
            <w:r w:rsidRPr="00E0255C">
              <w:rPr>
                <w:rFonts w:eastAsia="Calibri"/>
                <w:lang w:val="en-GB" w:eastAsia="en-US"/>
              </w:rPr>
              <w:t xml:space="preserve"> – Digital Inclusion</w:t>
            </w:r>
          </w:p>
        </w:tc>
      </w:tr>
      <w:tr w:rsidR="478B1C36" w:rsidRPr="00B64995" w14:paraId="3754AB2B" w14:textId="77777777" w:rsidTr="09AD7226">
        <w:tc>
          <w:tcPr>
            <w:tcW w:w="9026" w:type="dxa"/>
            <w:shd w:val="clear" w:color="auto" w:fill="FFFFFF" w:themeFill="background1"/>
          </w:tcPr>
          <w:p w14:paraId="1F77F6B6" w14:textId="6B2A4C2A" w:rsidR="478B1C36" w:rsidRPr="00E0255C" w:rsidRDefault="478B1C36" w:rsidP="006459A3">
            <w:pPr>
              <w:spacing w:before="60" w:after="60"/>
              <w:jc w:val="both"/>
              <w:rPr>
                <w:lang w:val="en-GB"/>
              </w:rPr>
            </w:pPr>
            <w:r w:rsidRPr="00E0255C">
              <w:rPr>
                <w:rFonts w:eastAsia="Calibri"/>
                <w:b/>
              </w:rPr>
              <w:t>176 (</w:t>
            </w:r>
            <w:r w:rsidR="00A579C3" w:rsidRPr="00E0255C">
              <w:rPr>
                <w:rFonts w:eastAsia="Calibri"/>
                <w:b/>
              </w:rPr>
              <w:t>R</w:t>
            </w:r>
            <w:r w:rsidRPr="00E0255C">
              <w:rPr>
                <w:rFonts w:eastAsia="Calibri"/>
                <w:b/>
              </w:rPr>
              <w:t>ev. Dubai, 2018) Measurement and assessment concerns related to human exposure to electromagnetic fields</w:t>
            </w:r>
          </w:p>
          <w:p w14:paraId="56DBA7B1" w14:textId="035629DA" w:rsidR="478B1C36" w:rsidRPr="00E0255C" w:rsidRDefault="478B1C36" w:rsidP="006459A3">
            <w:pPr>
              <w:spacing w:before="60" w:after="60"/>
              <w:jc w:val="both"/>
              <w:rPr>
                <w:lang w:val="en-GB"/>
              </w:rPr>
            </w:pPr>
            <w:r w:rsidRPr="00E0255C">
              <w:rPr>
                <w:rFonts w:eastAsia="Calibri"/>
              </w:rPr>
              <w:t xml:space="preserve">ITU-T Study Group 5 on “Environment, climate change and circular economy” is the lead ITU-T Study Group on studies on electromagnetic compatibility, lightning </w:t>
            </w:r>
            <w:proofErr w:type="gramStart"/>
            <w:r w:rsidRPr="00E0255C">
              <w:rPr>
                <w:rFonts w:eastAsia="Calibri"/>
              </w:rPr>
              <w:t>protection</w:t>
            </w:r>
            <w:proofErr w:type="gramEnd"/>
            <w:r w:rsidRPr="00E0255C">
              <w:rPr>
                <w:rFonts w:eastAsia="Calibri"/>
              </w:rPr>
              <w:t xml:space="preserve"> and electromagnetic effects. ITU-T </w:t>
            </w:r>
            <w:r w:rsidR="006D38B9" w:rsidRPr="00E0255C">
              <w:rPr>
                <w:rFonts w:eastAsia="Calibri"/>
              </w:rPr>
              <w:t>SG 5</w:t>
            </w:r>
            <w:r w:rsidRPr="00E0255C">
              <w:rPr>
                <w:rFonts w:eastAsia="Calibri"/>
              </w:rPr>
              <w:t xml:space="preserve"> within Working Party 1 on “EMC, lightning protection, EMF” has revised Recommendations ITU-T K.91 “Guidance for assessment, evaluation and monitoring of human exposure to radio frequency electromagnetic fields” and ITU-T K.100 “Measurement of radio frequency electromagnetic fields to determine compliance with human exposure limits when a base station is put into service”. ITU-T </w:t>
            </w:r>
            <w:r w:rsidR="006D38B9" w:rsidRPr="00E0255C">
              <w:rPr>
                <w:rFonts w:eastAsia="Calibri"/>
              </w:rPr>
              <w:t>SG 5</w:t>
            </w:r>
            <w:r w:rsidRPr="00E0255C">
              <w:rPr>
                <w:rFonts w:eastAsia="Calibri"/>
              </w:rPr>
              <w:t xml:space="preserve"> has approved Recommendation ITU-T K.145 “Assessment and management of compliance with RF EMF exposure limits for workers at radiocommunication sites and facilities”. This Recommendation includes guidance on the protection of workers against radio frequency electromagnetic fields (RF-EMFs) exposure in their working environments and provides minimum general safety guidance for telecommunication RF workers around the world. The development of this Recommendation was led by SME that was participating in the SME pilot project. Additionally, ITU-T </w:t>
            </w:r>
            <w:r w:rsidR="006D38B9" w:rsidRPr="00E0255C">
              <w:rPr>
                <w:rFonts w:eastAsia="Calibri"/>
              </w:rPr>
              <w:t>SG 5</w:t>
            </w:r>
            <w:r w:rsidRPr="00E0255C">
              <w:rPr>
                <w:rFonts w:eastAsia="Calibri"/>
              </w:rPr>
              <w:t xml:space="preserve"> revised ITU-T K.Suppl.14 to ITU-T K-series on </w:t>
            </w:r>
            <w:proofErr w:type="gramStart"/>
            <w:r w:rsidRPr="00E0255C">
              <w:rPr>
                <w:rFonts w:eastAsia="Calibri"/>
              </w:rPr>
              <w:t>The</w:t>
            </w:r>
            <w:proofErr w:type="gramEnd"/>
            <w:r w:rsidRPr="00E0255C">
              <w:rPr>
                <w:rFonts w:eastAsia="Calibri"/>
              </w:rPr>
              <w:t xml:space="preserve"> impact of RF-EMF exposure limits stricter than the ICNIRP or IEEE guidelines on 4G and 5G mobile network deployment, in order to include a new chapter that compares the results of measurements between countries with different exposure limits. </w:t>
            </w:r>
            <w:r w:rsidR="006D38B9" w:rsidRPr="00E0255C">
              <w:rPr>
                <w:rFonts w:eastAsia="Calibri"/>
              </w:rPr>
              <w:t>SG 5</w:t>
            </w:r>
            <w:r w:rsidRPr="00E0255C">
              <w:rPr>
                <w:rFonts w:eastAsia="Calibri"/>
              </w:rPr>
              <w:t xml:space="preserve"> also revised ITU-T K.Suppl.9 on 5G technology and human exposure to RF EMF and ITU-T K.Suppl.16 on Electromagnetic field compliance assessments for 5G wireless networks. </w:t>
            </w:r>
            <w:r w:rsidR="00F77460" w:rsidRPr="00E0255C">
              <w:rPr>
                <w:rFonts w:eastAsia="Calibri"/>
              </w:rPr>
              <w:t xml:space="preserve">Two </w:t>
            </w:r>
            <w:r w:rsidRPr="00E0255C">
              <w:rPr>
                <w:rFonts w:eastAsia="Calibri"/>
              </w:rPr>
              <w:t>new Supplement</w:t>
            </w:r>
            <w:r w:rsidR="00F77460" w:rsidRPr="00E0255C">
              <w:rPr>
                <w:rFonts w:eastAsia="Calibri"/>
              </w:rPr>
              <w:t>s</w:t>
            </w:r>
            <w:r w:rsidRPr="00E0255C">
              <w:rPr>
                <w:rFonts w:eastAsia="Calibri"/>
              </w:rPr>
              <w:t xml:space="preserve"> on ITU-T K.Suppl.19 on EMF strength inside subway train</w:t>
            </w:r>
            <w:r w:rsidR="0035241B" w:rsidRPr="00E0255C">
              <w:rPr>
                <w:rFonts w:eastAsia="Calibri"/>
              </w:rPr>
              <w:t>s</w:t>
            </w:r>
            <w:r w:rsidR="008B1115" w:rsidRPr="00E0255C">
              <w:rPr>
                <w:rFonts w:eastAsia="Calibri"/>
              </w:rPr>
              <w:t xml:space="preserve"> </w:t>
            </w:r>
            <w:r w:rsidR="008B1115" w:rsidRPr="00E0255C">
              <w:rPr>
                <w:rFonts w:asciiTheme="minorHAnsi" w:eastAsia="Calibri" w:hAnsiTheme="minorHAnsi" w:cstheme="minorHAnsi"/>
              </w:rPr>
              <w:t xml:space="preserve">and ITU-T K.Suppl.20 on </w:t>
            </w:r>
            <w:r w:rsidR="0035241B" w:rsidRPr="00E0255C">
              <w:rPr>
                <w:rFonts w:asciiTheme="minorHAnsi" w:eastAsia="Calibri" w:hAnsiTheme="minorHAnsi" w:cstheme="minorHAnsi"/>
              </w:rPr>
              <w:t>r</w:t>
            </w:r>
            <w:r w:rsidR="008B1115" w:rsidRPr="00E0255C">
              <w:rPr>
                <w:rFonts w:asciiTheme="minorHAnsi" w:eastAsia="Calibri" w:hAnsiTheme="minorHAnsi" w:cstheme="minorHAnsi"/>
              </w:rPr>
              <w:t>adio</w:t>
            </w:r>
            <w:r w:rsidR="0035241B" w:rsidRPr="00E0255C">
              <w:rPr>
                <w:rFonts w:asciiTheme="minorHAnsi" w:eastAsia="Calibri" w:hAnsiTheme="minorHAnsi" w:cstheme="minorHAnsi"/>
              </w:rPr>
              <w:t>-</w:t>
            </w:r>
            <w:r w:rsidR="008B1115" w:rsidRPr="00E0255C">
              <w:rPr>
                <w:rFonts w:asciiTheme="minorHAnsi" w:eastAsia="Calibri" w:hAnsiTheme="minorHAnsi" w:cstheme="minorHAnsi"/>
              </w:rPr>
              <w:t xml:space="preserve">frequency exposure evaluation </w:t>
            </w:r>
            <w:r w:rsidR="0035241B" w:rsidRPr="00E0255C">
              <w:rPr>
                <w:rFonts w:asciiTheme="minorHAnsi" w:eastAsia="Calibri" w:hAnsiTheme="minorHAnsi" w:cstheme="minorHAnsi"/>
              </w:rPr>
              <w:t xml:space="preserve">in the vicinity of </w:t>
            </w:r>
            <w:r w:rsidR="008B1115" w:rsidRPr="00E0255C">
              <w:rPr>
                <w:rFonts w:asciiTheme="minorHAnsi" w:eastAsia="Calibri" w:hAnsiTheme="minorHAnsi" w:cstheme="minorHAnsi"/>
              </w:rPr>
              <w:t xml:space="preserve">underground base stations were developed. Furthermore, ITU-T </w:t>
            </w:r>
            <w:r w:rsidR="006D38B9" w:rsidRPr="00E0255C">
              <w:rPr>
                <w:rFonts w:asciiTheme="minorHAnsi" w:eastAsia="Calibri" w:hAnsiTheme="minorHAnsi" w:cstheme="minorHAnsi"/>
              </w:rPr>
              <w:t>SG 5</w:t>
            </w:r>
            <w:r w:rsidR="008B1115" w:rsidRPr="00E0255C">
              <w:rPr>
                <w:rFonts w:asciiTheme="minorHAnsi" w:eastAsia="Calibri" w:hAnsiTheme="minorHAnsi" w:cstheme="minorHAnsi"/>
              </w:rPr>
              <w:t xml:space="preserve"> revised Supplement 1 to ITU-T K.91 “Guide on </w:t>
            </w:r>
            <w:r w:rsidR="0035241B" w:rsidRPr="00E0255C">
              <w:rPr>
                <w:rFonts w:asciiTheme="minorHAnsi" w:eastAsia="Calibri" w:hAnsiTheme="minorHAnsi" w:cstheme="minorHAnsi"/>
              </w:rPr>
              <w:t>e</w:t>
            </w:r>
            <w:r w:rsidR="008B1115" w:rsidRPr="00E0255C">
              <w:rPr>
                <w:rFonts w:asciiTheme="minorHAnsi" w:eastAsia="Calibri" w:hAnsiTheme="minorHAnsi" w:cstheme="minorHAnsi"/>
              </w:rPr>
              <w:t>lectromagnetic fields and health” to include the updates on the ICNIRP and WHO guidelines and to cover also aspects related to 5G</w:t>
            </w:r>
            <w:r w:rsidRPr="00E0255C">
              <w:rPr>
                <w:rFonts w:eastAsia="Calibri"/>
              </w:rPr>
              <w:t>.</w:t>
            </w:r>
          </w:p>
          <w:p w14:paraId="61E48E0D" w14:textId="1B904971" w:rsidR="478B1C36" w:rsidRPr="00E0255C" w:rsidRDefault="478B1C36" w:rsidP="006459A3">
            <w:pPr>
              <w:spacing w:before="60" w:after="60"/>
              <w:jc w:val="both"/>
              <w:rPr>
                <w:lang w:val="en-GB"/>
              </w:rPr>
            </w:pPr>
            <w:r w:rsidRPr="00E0255C">
              <w:rPr>
                <w:rFonts w:eastAsia="Calibri"/>
                <w:color w:val="000000" w:themeColor="text1"/>
              </w:rPr>
              <w:t xml:space="preserve">ITU-T </w:t>
            </w:r>
            <w:r w:rsidR="006D38B9" w:rsidRPr="00E0255C">
              <w:rPr>
                <w:rFonts w:eastAsia="Calibri"/>
                <w:color w:val="000000" w:themeColor="text1"/>
              </w:rPr>
              <w:t>SG 5</w:t>
            </w:r>
            <w:r w:rsidRPr="00E0255C">
              <w:rPr>
                <w:rFonts w:eastAsia="Calibri"/>
                <w:color w:val="000000" w:themeColor="text1"/>
              </w:rPr>
              <w:t xml:space="preserve"> organized a </w:t>
            </w:r>
            <w:hyperlink r:id="rId486">
              <w:r w:rsidRPr="00E0255C">
                <w:rPr>
                  <w:rStyle w:val="Hyperlink"/>
                  <w:rFonts w:eastAsia="Calibri"/>
                </w:rPr>
                <w:t>Forum on Human Exposure to Electromagnetic Fields in Africa</w:t>
              </w:r>
            </w:hyperlink>
            <w:r w:rsidRPr="00E0255C">
              <w:rPr>
                <w:rFonts w:eastAsia="Calibri"/>
                <w:color w:val="0000FF"/>
                <w:u w:val="single"/>
                <w:lang w:val="en-GB" w:eastAsia="en-US"/>
              </w:rPr>
              <w:t xml:space="preserve"> </w:t>
            </w:r>
            <w:r w:rsidRPr="00E0255C">
              <w:rPr>
                <w:rFonts w:eastAsia="Calibri"/>
                <w:lang w:val="en-GB" w:eastAsia="en-US"/>
              </w:rPr>
              <w:t xml:space="preserve">on 29 August 2019 in Abuja, Nigeria, </w:t>
            </w:r>
            <w:r w:rsidR="0035241B" w:rsidRPr="00E0255C">
              <w:rPr>
                <w:rFonts w:eastAsia="Calibri"/>
                <w:lang w:val="en-GB" w:eastAsia="en-US"/>
              </w:rPr>
              <w:t xml:space="preserve">coinciding with </w:t>
            </w:r>
            <w:r w:rsidRPr="00E0255C">
              <w:rPr>
                <w:rFonts w:eastAsia="Calibri"/>
                <w:lang w:val="en-GB" w:eastAsia="en-US"/>
              </w:rPr>
              <w:t xml:space="preserve">the </w:t>
            </w:r>
            <w:hyperlink r:id="rId487">
              <w:r w:rsidRPr="00E0255C">
                <w:rPr>
                  <w:rStyle w:val="Hyperlink"/>
                  <w:rFonts w:eastAsia="Calibri"/>
                  <w:lang w:val="en-GB" w:eastAsia="en-US"/>
                </w:rPr>
                <w:t>First Digital African Week 2019</w:t>
              </w:r>
            </w:hyperlink>
            <w:r w:rsidRPr="00E0255C">
              <w:rPr>
                <w:rFonts w:eastAsia="Calibri"/>
              </w:rPr>
              <w:t>.</w:t>
            </w:r>
          </w:p>
          <w:p w14:paraId="227039DD" w14:textId="50B8CCA3" w:rsidR="005506BA" w:rsidRPr="00E0255C" w:rsidRDefault="478B1C36" w:rsidP="006459A3">
            <w:pPr>
              <w:spacing w:before="60" w:after="60"/>
              <w:jc w:val="both"/>
              <w:rPr>
                <w:lang w:val="en-GB"/>
              </w:rPr>
            </w:pPr>
            <w:r w:rsidRPr="00E0255C">
              <w:rPr>
                <w:rFonts w:eastAsia="Calibri"/>
              </w:rPr>
              <w:t>ITU is regularly represented in WHO meetings relating to EMF. Similarly, WHO representatives regularly participate in meetings and workshops dealing with EMF, which are organized by ITU.</w:t>
            </w:r>
          </w:p>
        </w:tc>
      </w:tr>
      <w:tr w:rsidR="478B1C36" w:rsidRPr="00B64995" w14:paraId="5F0EDF8B" w14:textId="77777777" w:rsidTr="09AD7226">
        <w:tc>
          <w:tcPr>
            <w:tcW w:w="9026" w:type="dxa"/>
            <w:shd w:val="clear" w:color="auto" w:fill="FFFFFF" w:themeFill="background1"/>
          </w:tcPr>
          <w:p w14:paraId="1E5A0815" w14:textId="7E6E3234"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b/>
              </w:rPr>
              <w:t>177 (</w:t>
            </w:r>
            <w:r w:rsidR="00A579C3" w:rsidRPr="00E0255C">
              <w:rPr>
                <w:rFonts w:asciiTheme="minorHAnsi" w:eastAsia="Calibri" w:hAnsiTheme="minorHAnsi" w:cstheme="minorHAnsi"/>
                <w:b/>
              </w:rPr>
              <w:t>R</w:t>
            </w:r>
            <w:r w:rsidRPr="00E0255C">
              <w:rPr>
                <w:rFonts w:asciiTheme="minorHAnsi" w:eastAsia="Calibri" w:hAnsiTheme="minorHAnsi" w:cstheme="minorHAnsi"/>
                <w:b/>
              </w:rPr>
              <w:t>ev. Dubai, 2018) Conformance and interoperability [also WTSA Res. 76 and WTDC Res. 47]</w:t>
            </w:r>
          </w:p>
          <w:p w14:paraId="562B3F94" w14:textId="5CA1BD52"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ITU made progress implementing the ITU Conformance and Interoperability </w:t>
            </w:r>
            <w:proofErr w:type="spellStart"/>
            <w:r w:rsidRPr="00E0255C">
              <w:rPr>
                <w:rFonts w:asciiTheme="minorHAnsi" w:eastAsia="Calibri" w:hAnsiTheme="minorHAnsi" w:cstheme="minorHAnsi"/>
              </w:rPr>
              <w:t>Programme</w:t>
            </w:r>
            <w:proofErr w:type="spellEnd"/>
            <w:r w:rsidRPr="00E0255C">
              <w:rPr>
                <w:rFonts w:asciiTheme="minorHAnsi" w:eastAsia="Calibri" w:hAnsiTheme="minorHAnsi" w:cstheme="minorHAnsi"/>
              </w:rPr>
              <w:t xml:space="preserve"> (C&amp;I) including:</w:t>
            </w:r>
          </w:p>
          <w:p w14:paraId="4BB4A2C4" w14:textId="7258432F" w:rsidR="478B1C36" w:rsidRPr="00E0255C" w:rsidRDefault="478B1C36" w:rsidP="006459A3">
            <w:pPr>
              <w:pStyle w:val="ListParagraph"/>
              <w:numPr>
                <w:ilvl w:val="0"/>
                <w:numId w:val="23"/>
              </w:numPr>
              <w:spacing w:before="60" w:after="60"/>
              <w:jc w:val="both"/>
              <w:rPr>
                <w:rFonts w:asciiTheme="minorHAnsi" w:eastAsiaTheme="minorEastAsia" w:hAnsiTheme="minorHAnsi" w:cstheme="minorHAnsi"/>
                <w:lang w:val="en-GB"/>
              </w:rPr>
            </w:pPr>
            <w:r w:rsidRPr="00E0255C">
              <w:rPr>
                <w:rFonts w:asciiTheme="minorHAnsi" w:hAnsiTheme="minorHAnsi" w:cstheme="minorHAnsi"/>
                <w:lang w:val="en-GB"/>
              </w:rPr>
              <w:t>TSB maintains the “</w:t>
            </w:r>
            <w:hyperlink r:id="rId488">
              <w:r w:rsidRPr="00E0255C">
                <w:rPr>
                  <w:rStyle w:val="Hyperlink"/>
                  <w:rFonts w:asciiTheme="minorHAnsi" w:hAnsiTheme="minorHAnsi" w:cstheme="minorHAnsi"/>
                  <w:lang w:val="en-GB"/>
                </w:rPr>
                <w:t>ICT product conformity database</w:t>
              </w:r>
            </w:hyperlink>
            <w:r w:rsidRPr="00E0255C">
              <w:rPr>
                <w:rFonts w:asciiTheme="minorHAnsi" w:hAnsiTheme="minorHAnsi" w:cstheme="minorHAnsi"/>
                <w:lang w:val="en-GB"/>
              </w:rPr>
              <w:t>” which enables industry to publicize the conformance of ICT products and services to ITU-T Recommendations, assisting users in their efforts to select standards-compliant products. As of January 2020, the database contains five categories of ICT products accumulating more than 500 entries</w:t>
            </w:r>
            <w:r w:rsidR="00A579C3" w:rsidRPr="00E0255C">
              <w:rPr>
                <w:rFonts w:asciiTheme="minorHAnsi" w:hAnsiTheme="minorHAnsi" w:cstheme="minorHAnsi"/>
                <w:lang w:val="en-GB"/>
              </w:rPr>
              <w:t>.</w:t>
            </w:r>
          </w:p>
          <w:p w14:paraId="2E0895DC" w14:textId="1FAEF996" w:rsidR="478B1C36" w:rsidRPr="00E0255C" w:rsidRDefault="478B1C36" w:rsidP="006459A3">
            <w:pPr>
              <w:pStyle w:val="ListParagraph"/>
              <w:numPr>
                <w:ilvl w:val="0"/>
                <w:numId w:val="23"/>
              </w:numPr>
              <w:spacing w:before="60" w:after="60"/>
              <w:jc w:val="both"/>
              <w:rPr>
                <w:rFonts w:asciiTheme="minorHAnsi" w:eastAsiaTheme="minorEastAsia" w:hAnsiTheme="minorHAnsi" w:cstheme="minorHAnsi"/>
                <w:lang w:val="en-GB"/>
              </w:rPr>
            </w:pPr>
            <w:r w:rsidRPr="00E0255C">
              <w:rPr>
                <w:rFonts w:asciiTheme="minorHAnsi" w:hAnsiTheme="minorHAnsi" w:cstheme="minorHAnsi"/>
                <w:lang w:val="en-GB"/>
              </w:rPr>
              <w:t>ITU-T updates the list of ITU-T Recommendations suitable for C&amp;I testing based on inputs provided by all ITU-T SGs.</w:t>
            </w:r>
          </w:p>
          <w:p w14:paraId="43AEACA9" w14:textId="00918482" w:rsidR="478B1C36" w:rsidRPr="00E0255C" w:rsidRDefault="000518CC" w:rsidP="006459A3">
            <w:pPr>
              <w:pStyle w:val="ListParagraph"/>
              <w:numPr>
                <w:ilvl w:val="0"/>
                <w:numId w:val="23"/>
              </w:numPr>
              <w:spacing w:before="60" w:after="60"/>
              <w:jc w:val="both"/>
              <w:rPr>
                <w:rFonts w:asciiTheme="minorHAnsi" w:eastAsiaTheme="minorEastAsia" w:hAnsiTheme="minorHAnsi" w:cstheme="minorHAnsi"/>
                <w:lang w:val="en-GB"/>
              </w:rPr>
            </w:pPr>
            <w:r w:rsidRPr="00E0255C">
              <w:rPr>
                <w:rFonts w:asciiTheme="minorHAnsi" w:hAnsiTheme="minorHAnsi" w:cstheme="minorHAnsi"/>
                <w:lang w:val="en-GB"/>
              </w:rPr>
              <w:t xml:space="preserve">The </w:t>
            </w:r>
            <w:r w:rsidR="478B1C36" w:rsidRPr="00E0255C">
              <w:rPr>
                <w:rFonts w:asciiTheme="minorHAnsi" w:hAnsiTheme="minorHAnsi" w:cstheme="minorHAnsi"/>
                <w:lang w:val="en-GB"/>
              </w:rPr>
              <w:t xml:space="preserve">TSB </w:t>
            </w:r>
            <w:r w:rsidRPr="00E0255C">
              <w:rPr>
                <w:rFonts w:asciiTheme="minorHAnsi" w:hAnsiTheme="minorHAnsi" w:cstheme="minorHAnsi"/>
                <w:lang w:val="en-GB"/>
              </w:rPr>
              <w:t>s</w:t>
            </w:r>
            <w:r w:rsidR="478B1C36" w:rsidRPr="00E0255C">
              <w:rPr>
                <w:rFonts w:asciiTheme="minorHAnsi" w:hAnsiTheme="minorHAnsi" w:cstheme="minorHAnsi"/>
                <w:lang w:val="en-GB"/>
              </w:rPr>
              <w:t xml:space="preserve">ecretariat facilitates the implementation of ITU Testing Laboratory recognition procedure on ITU-T Recommendations. TSB participated in IECEE Task Force meeting which aim was to finalize the new Operational Document of IECEE (OD) “ICT Laboratory Recognition Service on ITU-T Recommendations". This service is based on IECEE peer assessment processes by using ITU-T Recommendations, based on the IECEE peer assessment </w:t>
            </w:r>
            <w:r w:rsidR="00B042CC" w:rsidRPr="00E0255C">
              <w:rPr>
                <w:rFonts w:asciiTheme="minorHAnsi" w:hAnsiTheme="minorHAnsi" w:cstheme="minorHAnsi"/>
                <w:lang w:val="en-GB"/>
              </w:rPr>
              <w:t>programme</w:t>
            </w:r>
            <w:r w:rsidR="478B1C36" w:rsidRPr="00E0255C">
              <w:rPr>
                <w:rFonts w:asciiTheme="minorHAnsi" w:hAnsiTheme="minorHAnsi" w:cstheme="minorHAnsi"/>
                <w:lang w:val="en-GB"/>
              </w:rPr>
              <w:t xml:space="preserve"> involving ITU-T technical experts nominated by ITU-T Conformity Assessment Steering Committee (CASC). Following the approval of this OD by IECEE, any Testing Laboratory (TL) (including non-ITU members) may apply for such recognition.</w:t>
            </w:r>
          </w:p>
          <w:p w14:paraId="48A0CF2C" w14:textId="2BC0A528" w:rsidR="478B1C36" w:rsidRPr="00E0255C" w:rsidRDefault="478B1C36" w:rsidP="006459A3">
            <w:pPr>
              <w:pStyle w:val="ListParagraph"/>
              <w:numPr>
                <w:ilvl w:val="0"/>
                <w:numId w:val="23"/>
              </w:numPr>
              <w:spacing w:before="60" w:after="60"/>
              <w:jc w:val="both"/>
              <w:rPr>
                <w:rFonts w:asciiTheme="minorHAnsi" w:eastAsiaTheme="minorEastAsia" w:hAnsiTheme="minorHAnsi" w:cstheme="minorHAnsi"/>
                <w:lang w:val="en-GB"/>
              </w:rPr>
            </w:pPr>
            <w:r w:rsidRPr="00E0255C">
              <w:rPr>
                <w:rFonts w:asciiTheme="minorHAnsi" w:hAnsiTheme="minorHAnsi" w:cstheme="minorHAnsi"/>
                <w:lang w:val="en-GB"/>
              </w:rPr>
              <w:t>In October 2019, ITU-T CASC appointed 11 Technical experts who have competence on different ITU-T Recommendations. Those experts might be involved by IECEE for TL assessment.</w:t>
            </w:r>
          </w:p>
          <w:p w14:paraId="340F5F7F" w14:textId="69950D92" w:rsidR="478B1C36" w:rsidRPr="00E0255C" w:rsidRDefault="478B1C36" w:rsidP="006459A3">
            <w:pPr>
              <w:pStyle w:val="ListParagraph"/>
              <w:numPr>
                <w:ilvl w:val="0"/>
                <w:numId w:val="23"/>
              </w:numPr>
              <w:spacing w:before="60" w:after="60"/>
              <w:jc w:val="both"/>
              <w:rPr>
                <w:rFonts w:asciiTheme="minorHAnsi" w:eastAsiaTheme="minorEastAsia" w:hAnsiTheme="minorHAnsi" w:cstheme="minorHAnsi"/>
                <w:lang w:val="en-GB"/>
              </w:rPr>
            </w:pPr>
            <w:r w:rsidRPr="00E0255C">
              <w:rPr>
                <w:rFonts w:asciiTheme="minorHAnsi" w:hAnsiTheme="minorHAnsi" w:cstheme="minorHAnsi"/>
                <w:lang w:val="en-GB"/>
              </w:rPr>
              <w:t xml:space="preserve">Following the request received from IECEE and </w:t>
            </w:r>
            <w:r w:rsidR="006D38B9" w:rsidRPr="00E0255C">
              <w:rPr>
                <w:rFonts w:asciiTheme="minorHAnsi" w:hAnsiTheme="minorHAnsi" w:cstheme="minorHAnsi"/>
                <w:lang w:val="en-GB"/>
              </w:rPr>
              <w:t>SG 11</w:t>
            </w:r>
            <w:r w:rsidRPr="00E0255C">
              <w:rPr>
                <w:rFonts w:asciiTheme="minorHAnsi" w:hAnsiTheme="minorHAnsi" w:cstheme="minorHAnsi"/>
                <w:lang w:val="en-GB"/>
              </w:rPr>
              <w:t xml:space="preserve"> decision, </w:t>
            </w:r>
            <w:r w:rsidR="008A2279" w:rsidRPr="00E0255C">
              <w:rPr>
                <w:rFonts w:asciiTheme="minorHAnsi" w:hAnsiTheme="minorHAnsi" w:cstheme="minorHAnsi"/>
                <w:lang w:val="en-GB"/>
              </w:rPr>
              <w:t xml:space="preserve">in October 2019, </w:t>
            </w:r>
            <w:r w:rsidRPr="00E0255C">
              <w:rPr>
                <w:rFonts w:asciiTheme="minorHAnsi" w:hAnsiTheme="minorHAnsi" w:cstheme="minorHAnsi"/>
                <w:lang w:val="en-GB"/>
              </w:rPr>
              <w:t xml:space="preserve">TSB disseminated a questionnaire on evaluation of market needs for joint ITU/IEC TL recognition procedure and certification schemes on ITU-T Recommendations (TSB Circular 208). The aim of the questionnaire was to evaluate the market needs of the in-progress joint ITU/IEC work to establish a peer assessment laboratory service (testing laboratory recognition procedure) and the joint conformity assessment </w:t>
            </w:r>
            <w:r w:rsidR="00B042CC" w:rsidRPr="00E0255C">
              <w:rPr>
                <w:rFonts w:asciiTheme="minorHAnsi" w:hAnsiTheme="minorHAnsi" w:cstheme="minorHAnsi"/>
                <w:lang w:val="en-GB"/>
              </w:rPr>
              <w:t>programme</w:t>
            </w:r>
            <w:r w:rsidRPr="00E0255C">
              <w:rPr>
                <w:rFonts w:asciiTheme="minorHAnsi" w:hAnsiTheme="minorHAnsi" w:cstheme="minorHAnsi"/>
                <w:lang w:val="en-GB"/>
              </w:rPr>
              <w:t xml:space="preserve"> (joint ITU/IEC certification schemes) on ITU-T Recommendations. There were 21 respondents who provided </w:t>
            </w:r>
            <w:r w:rsidRPr="00E0255C">
              <w:rPr>
                <w:rFonts w:asciiTheme="minorHAnsi" w:hAnsiTheme="minorHAnsi" w:cstheme="minorHAnsi"/>
                <w:lang w:val="en-GB"/>
              </w:rPr>
              <w:lastRenderedPageBreak/>
              <w:t>feedback. According to the results of the survey, most of the replies are positive and the outcomes show interest of different stakeholders to the new joint ITU/IEC services. In this regard, CASC was committed to continuing collaboration with IECEE on TL recognition procedure and joint certification schemes.</w:t>
            </w:r>
            <w:r w:rsidR="00FA360F" w:rsidRPr="00E0255C">
              <w:rPr>
                <w:rFonts w:asciiTheme="minorHAnsi" w:hAnsiTheme="minorHAnsi" w:cstheme="minorHAnsi"/>
                <w:lang w:val="en-GB"/>
              </w:rPr>
              <w:t xml:space="preserve"> Financial implications for TLs and ITU itself were not anticipated.</w:t>
            </w:r>
          </w:p>
          <w:p w14:paraId="26DC6787" w14:textId="1E4B6488" w:rsidR="0042293E" w:rsidRPr="00E0255C" w:rsidRDefault="0042293E" w:rsidP="0042293E">
            <w:pPr>
              <w:pStyle w:val="ListParagraph"/>
              <w:numPr>
                <w:ilvl w:val="0"/>
                <w:numId w:val="23"/>
              </w:numPr>
              <w:spacing w:before="60" w:after="60"/>
              <w:jc w:val="both"/>
              <w:rPr>
                <w:rFonts w:asciiTheme="minorHAnsi" w:eastAsia="Calibri" w:hAnsiTheme="minorHAnsi" w:cstheme="minorHAnsi"/>
                <w:lang w:val="en-GB"/>
              </w:rPr>
            </w:pPr>
            <w:r w:rsidRPr="00E0255C">
              <w:rPr>
                <w:rFonts w:asciiTheme="minorHAnsi" w:eastAsia="Calibri" w:hAnsiTheme="minorHAnsi" w:cstheme="minorHAnsi"/>
                <w:lang w:val="en-GB"/>
              </w:rPr>
              <w:t>In July 2020, IEC specifie</w:t>
            </w:r>
            <w:r w:rsidR="00705DDA" w:rsidRPr="00E0255C">
              <w:rPr>
                <w:rFonts w:asciiTheme="minorHAnsi" w:eastAsia="Calibri" w:hAnsiTheme="minorHAnsi" w:cstheme="minorHAnsi"/>
                <w:lang w:val="en-GB"/>
              </w:rPr>
              <w:t>d</w:t>
            </w:r>
            <w:r w:rsidRPr="00E0255C">
              <w:rPr>
                <w:rFonts w:asciiTheme="minorHAnsi" w:eastAsia="Calibri" w:hAnsiTheme="minorHAnsi" w:cstheme="minorHAnsi"/>
                <w:lang w:val="en-GB"/>
              </w:rPr>
              <w:t xml:space="preserve"> the roles and requirements for the </w:t>
            </w:r>
            <w:r w:rsidR="00705DDA" w:rsidRPr="00E0255C">
              <w:rPr>
                <w:rFonts w:asciiTheme="minorHAnsi" w:eastAsia="Calibri" w:hAnsiTheme="minorHAnsi" w:cstheme="minorHAnsi"/>
                <w:lang w:val="en-GB"/>
              </w:rPr>
              <w:t>t</w:t>
            </w:r>
            <w:r w:rsidRPr="00E0255C">
              <w:rPr>
                <w:rFonts w:asciiTheme="minorHAnsi" w:eastAsia="Calibri" w:hAnsiTheme="minorHAnsi" w:cstheme="minorHAnsi"/>
                <w:lang w:val="en-GB"/>
              </w:rPr>
              <w:t xml:space="preserve">esting </w:t>
            </w:r>
            <w:r w:rsidR="00705DDA" w:rsidRPr="00E0255C">
              <w:rPr>
                <w:rFonts w:asciiTheme="minorHAnsi" w:eastAsia="Calibri" w:hAnsiTheme="minorHAnsi" w:cstheme="minorHAnsi"/>
                <w:lang w:val="en-GB"/>
              </w:rPr>
              <w:t>l</w:t>
            </w:r>
            <w:r w:rsidRPr="00E0255C">
              <w:rPr>
                <w:rFonts w:asciiTheme="minorHAnsi" w:eastAsia="Calibri" w:hAnsiTheme="minorHAnsi" w:cstheme="minorHAnsi"/>
                <w:lang w:val="en-GB"/>
              </w:rPr>
              <w:t xml:space="preserve">aboratories and </w:t>
            </w:r>
            <w:r w:rsidR="00705DDA" w:rsidRPr="00E0255C">
              <w:rPr>
                <w:rFonts w:asciiTheme="minorHAnsi" w:eastAsia="Calibri" w:hAnsiTheme="minorHAnsi" w:cstheme="minorHAnsi"/>
                <w:lang w:val="en-GB"/>
              </w:rPr>
              <w:t>c</w:t>
            </w:r>
            <w:r w:rsidRPr="00E0255C">
              <w:rPr>
                <w:rFonts w:asciiTheme="minorHAnsi" w:eastAsia="Calibri" w:hAnsiTheme="minorHAnsi" w:cstheme="minorHAnsi"/>
                <w:lang w:val="en-GB"/>
              </w:rPr>
              <w:t xml:space="preserve">ertification </w:t>
            </w:r>
            <w:r w:rsidR="00705DDA" w:rsidRPr="00E0255C">
              <w:rPr>
                <w:rFonts w:asciiTheme="minorHAnsi" w:eastAsia="Calibri" w:hAnsiTheme="minorHAnsi" w:cstheme="minorHAnsi"/>
                <w:lang w:val="en-GB"/>
              </w:rPr>
              <w:t>b</w:t>
            </w:r>
            <w:r w:rsidRPr="00E0255C">
              <w:rPr>
                <w:rFonts w:asciiTheme="minorHAnsi" w:eastAsia="Calibri" w:hAnsiTheme="minorHAnsi" w:cstheme="minorHAnsi"/>
                <w:lang w:val="en-GB"/>
              </w:rPr>
              <w:t xml:space="preserve">odies using the IECEE CB Scheme. It was also indicated that as a non-for-profit </w:t>
            </w:r>
            <w:r w:rsidR="00691767" w:rsidRPr="00E0255C">
              <w:rPr>
                <w:rFonts w:asciiTheme="minorHAnsi" w:eastAsia="Calibri" w:hAnsiTheme="minorHAnsi" w:cstheme="minorHAnsi"/>
                <w:lang w:val="en-GB"/>
              </w:rPr>
              <w:t>o</w:t>
            </w:r>
            <w:r w:rsidRPr="00E0255C">
              <w:rPr>
                <w:rFonts w:asciiTheme="minorHAnsi" w:eastAsia="Calibri" w:hAnsiTheme="minorHAnsi" w:cstheme="minorHAnsi"/>
                <w:lang w:val="en-GB"/>
              </w:rPr>
              <w:t>rgani</w:t>
            </w:r>
            <w:r w:rsidR="00691767" w:rsidRPr="00E0255C">
              <w:rPr>
                <w:rFonts w:asciiTheme="minorHAnsi" w:eastAsia="Calibri" w:hAnsiTheme="minorHAnsi" w:cstheme="minorHAnsi"/>
                <w:lang w:val="en-GB"/>
              </w:rPr>
              <w:t>z</w:t>
            </w:r>
            <w:r w:rsidRPr="00E0255C">
              <w:rPr>
                <w:rFonts w:asciiTheme="minorHAnsi" w:eastAsia="Calibri" w:hAnsiTheme="minorHAnsi" w:cstheme="minorHAnsi"/>
                <w:lang w:val="en-GB"/>
              </w:rPr>
              <w:t xml:space="preserve">ation, there was a need to cover IECEE cost of operations and so the Operational Document (OD 2026) which specifies the requirements for </w:t>
            </w:r>
            <w:r w:rsidR="00705DDA" w:rsidRPr="00E0255C">
              <w:rPr>
                <w:rFonts w:asciiTheme="minorHAnsi" w:eastAsia="Calibri" w:hAnsiTheme="minorHAnsi" w:cstheme="minorHAnsi"/>
                <w:lang w:val="en-GB"/>
              </w:rPr>
              <w:t xml:space="preserve">the </w:t>
            </w:r>
            <w:r w:rsidRPr="00E0255C">
              <w:rPr>
                <w:rFonts w:asciiTheme="minorHAnsi" w:eastAsia="Calibri" w:hAnsiTheme="minorHAnsi" w:cstheme="minorHAnsi"/>
                <w:lang w:val="en-GB"/>
              </w:rPr>
              <w:t xml:space="preserve">TL recognition process will be implemented for ITU. This means </w:t>
            </w:r>
            <w:r w:rsidR="00705DDA" w:rsidRPr="00E0255C">
              <w:rPr>
                <w:rFonts w:asciiTheme="minorHAnsi" w:eastAsia="Calibri" w:hAnsiTheme="minorHAnsi" w:cstheme="minorHAnsi"/>
                <w:lang w:val="en-GB"/>
              </w:rPr>
              <w:t xml:space="preserve">that the </w:t>
            </w:r>
            <w:r w:rsidRPr="00E0255C">
              <w:rPr>
                <w:rFonts w:asciiTheme="minorHAnsi" w:eastAsia="Calibri" w:hAnsiTheme="minorHAnsi" w:cstheme="minorHAnsi"/>
                <w:lang w:val="en-GB"/>
              </w:rPr>
              <w:t>IECEE programme with ITU will have financial implication</w:t>
            </w:r>
            <w:r w:rsidR="00705DDA" w:rsidRPr="00E0255C">
              <w:rPr>
                <w:rFonts w:asciiTheme="minorHAnsi" w:eastAsia="Calibri" w:hAnsiTheme="minorHAnsi" w:cstheme="minorHAnsi"/>
                <w:lang w:val="en-GB"/>
              </w:rPr>
              <w:t>s</w:t>
            </w:r>
            <w:r w:rsidRPr="00E0255C">
              <w:rPr>
                <w:rFonts w:asciiTheme="minorHAnsi" w:eastAsia="Calibri" w:hAnsiTheme="minorHAnsi" w:cstheme="minorHAnsi"/>
                <w:lang w:val="en-GB"/>
              </w:rPr>
              <w:t xml:space="preserve"> (TL </w:t>
            </w:r>
            <w:r w:rsidR="00705DDA" w:rsidRPr="00E0255C">
              <w:rPr>
                <w:rFonts w:asciiTheme="minorHAnsi" w:eastAsia="Calibri" w:hAnsiTheme="minorHAnsi" w:cstheme="minorHAnsi"/>
                <w:lang w:val="en-GB"/>
              </w:rPr>
              <w:t xml:space="preserve">is to </w:t>
            </w:r>
            <w:r w:rsidRPr="00E0255C">
              <w:rPr>
                <w:rFonts w:asciiTheme="minorHAnsi" w:eastAsia="Calibri" w:hAnsiTheme="minorHAnsi" w:cstheme="minorHAnsi"/>
                <w:lang w:val="en-GB"/>
              </w:rPr>
              <w:t xml:space="preserve">pay </w:t>
            </w:r>
            <w:r w:rsidR="00705DDA" w:rsidRPr="00E0255C">
              <w:rPr>
                <w:rFonts w:asciiTheme="minorHAnsi" w:eastAsia="Calibri" w:hAnsiTheme="minorHAnsi" w:cstheme="minorHAnsi"/>
                <w:lang w:val="en-GB"/>
              </w:rPr>
              <w:t>CHF </w:t>
            </w:r>
            <w:r w:rsidRPr="00E0255C">
              <w:rPr>
                <w:rFonts w:asciiTheme="minorHAnsi" w:eastAsia="Calibri" w:hAnsiTheme="minorHAnsi" w:cstheme="minorHAnsi"/>
                <w:lang w:val="en-GB"/>
              </w:rPr>
              <w:t>14</w:t>
            </w:r>
            <w:r w:rsidR="00A060FE" w:rsidRPr="00E0255C">
              <w:rPr>
                <w:rFonts w:asciiTheme="minorHAnsi" w:eastAsia="Calibri" w:hAnsiTheme="minorHAnsi" w:cstheme="minorHAnsi"/>
                <w:lang w:val="en-GB"/>
              </w:rPr>
              <w:t> </w:t>
            </w:r>
            <w:r w:rsidRPr="00E0255C">
              <w:rPr>
                <w:rFonts w:asciiTheme="minorHAnsi" w:eastAsia="Calibri" w:hAnsiTheme="minorHAnsi" w:cstheme="minorHAnsi"/>
                <w:lang w:val="en-GB"/>
              </w:rPr>
              <w:t>000, while ITU also pay</w:t>
            </w:r>
            <w:r w:rsidR="00705DDA" w:rsidRPr="00E0255C">
              <w:rPr>
                <w:rFonts w:asciiTheme="minorHAnsi" w:eastAsia="Calibri" w:hAnsiTheme="minorHAnsi" w:cstheme="minorHAnsi"/>
                <w:lang w:val="en-GB"/>
              </w:rPr>
              <w:t>s</w:t>
            </w:r>
            <w:r w:rsidRPr="00E0255C">
              <w:rPr>
                <w:rFonts w:asciiTheme="minorHAnsi" w:eastAsia="Calibri" w:hAnsiTheme="minorHAnsi" w:cstheme="minorHAnsi"/>
                <w:lang w:val="en-GB"/>
              </w:rPr>
              <w:t xml:space="preserve"> </w:t>
            </w:r>
            <w:r w:rsidR="00705DDA" w:rsidRPr="00E0255C">
              <w:rPr>
                <w:rFonts w:asciiTheme="minorHAnsi" w:eastAsia="Calibri" w:hAnsiTheme="minorHAnsi" w:cstheme="minorHAnsi"/>
                <w:lang w:val="en-GB"/>
              </w:rPr>
              <w:t>CHF </w:t>
            </w:r>
            <w:r w:rsidRPr="00E0255C">
              <w:rPr>
                <w:rFonts w:asciiTheme="minorHAnsi" w:eastAsia="Calibri" w:hAnsiTheme="minorHAnsi" w:cstheme="minorHAnsi"/>
                <w:lang w:val="en-GB"/>
              </w:rPr>
              <w:t>45</w:t>
            </w:r>
            <w:r w:rsidR="00A060FE" w:rsidRPr="00E0255C">
              <w:rPr>
                <w:rFonts w:asciiTheme="minorHAnsi" w:eastAsia="Calibri" w:hAnsiTheme="minorHAnsi" w:cstheme="minorHAnsi"/>
                <w:lang w:val="en-GB"/>
              </w:rPr>
              <w:t> </w:t>
            </w:r>
            <w:r w:rsidRPr="00E0255C">
              <w:rPr>
                <w:rFonts w:asciiTheme="minorHAnsi" w:eastAsia="Calibri" w:hAnsiTheme="minorHAnsi" w:cstheme="minorHAnsi"/>
                <w:lang w:val="en-GB"/>
              </w:rPr>
              <w:t xml:space="preserve">000 annually to IEC to maintain </w:t>
            </w:r>
            <w:r w:rsidR="00705DDA" w:rsidRPr="00E0255C">
              <w:rPr>
                <w:rFonts w:asciiTheme="minorHAnsi" w:eastAsia="Calibri" w:hAnsiTheme="minorHAnsi" w:cstheme="minorHAnsi"/>
                <w:lang w:val="en-GB"/>
              </w:rPr>
              <w:t xml:space="preserve">the </w:t>
            </w:r>
            <w:r w:rsidRPr="00E0255C">
              <w:rPr>
                <w:rFonts w:asciiTheme="minorHAnsi" w:eastAsia="Calibri" w:hAnsiTheme="minorHAnsi" w:cstheme="minorHAnsi"/>
                <w:lang w:val="en-GB"/>
              </w:rPr>
              <w:t>new scheme).</w:t>
            </w:r>
          </w:p>
          <w:p w14:paraId="707C685A" w14:textId="65438532" w:rsidR="0042293E" w:rsidRPr="00E0255C" w:rsidRDefault="00705DDA" w:rsidP="0042293E">
            <w:pPr>
              <w:pStyle w:val="ListParagraph"/>
              <w:numPr>
                <w:ilvl w:val="0"/>
                <w:numId w:val="23"/>
              </w:numPr>
              <w:spacing w:before="60" w:after="60"/>
              <w:jc w:val="both"/>
              <w:rPr>
                <w:rFonts w:asciiTheme="minorHAnsi" w:eastAsiaTheme="minorEastAsia" w:hAnsiTheme="minorHAnsi" w:cstheme="minorHAnsi"/>
                <w:lang w:val="en-GB"/>
              </w:rPr>
            </w:pPr>
            <w:r w:rsidRPr="00E0255C">
              <w:rPr>
                <w:rFonts w:asciiTheme="minorHAnsi" w:eastAsia="Calibri" w:hAnsiTheme="minorHAnsi" w:cstheme="minorHAnsi"/>
                <w:lang w:val="en-GB"/>
              </w:rPr>
              <w:t xml:space="preserve">Following </w:t>
            </w:r>
            <w:r w:rsidR="0042293E" w:rsidRPr="00E0255C">
              <w:rPr>
                <w:rFonts w:asciiTheme="minorHAnsi" w:eastAsia="Calibri" w:hAnsiTheme="minorHAnsi" w:cstheme="minorHAnsi"/>
                <w:lang w:val="en-GB"/>
              </w:rPr>
              <w:t>discussion</w:t>
            </w:r>
            <w:r w:rsidRPr="00E0255C">
              <w:rPr>
                <w:rFonts w:asciiTheme="minorHAnsi" w:eastAsia="Calibri" w:hAnsiTheme="minorHAnsi" w:cstheme="minorHAnsi"/>
                <w:lang w:val="en-GB"/>
              </w:rPr>
              <w:t>s</w:t>
            </w:r>
            <w:r w:rsidR="0042293E" w:rsidRPr="00E0255C">
              <w:rPr>
                <w:rFonts w:asciiTheme="minorHAnsi" w:eastAsia="Calibri" w:hAnsiTheme="minorHAnsi" w:cstheme="minorHAnsi"/>
                <w:lang w:val="en-GB"/>
              </w:rPr>
              <w:t xml:space="preserve">, in July 2020 CASC decided that the standalone ITU/IECEE TL recognition procedure, which comes with extra costs for TLs, is not needed, as there is no financial benefit in return for TLs who might wish to populate the ITU </w:t>
            </w:r>
            <w:r w:rsidRPr="00E0255C">
              <w:rPr>
                <w:rFonts w:asciiTheme="minorHAnsi" w:eastAsia="Calibri" w:hAnsiTheme="minorHAnsi" w:cstheme="minorHAnsi"/>
                <w:lang w:val="en-GB"/>
              </w:rPr>
              <w:t>p</w:t>
            </w:r>
            <w:r w:rsidR="0042293E" w:rsidRPr="00E0255C">
              <w:rPr>
                <w:rFonts w:asciiTheme="minorHAnsi" w:eastAsia="Calibri" w:hAnsiTheme="minorHAnsi" w:cstheme="minorHAnsi"/>
                <w:lang w:val="en-GB"/>
              </w:rPr>
              <w:t xml:space="preserve">roduct </w:t>
            </w:r>
            <w:r w:rsidRPr="00E0255C">
              <w:rPr>
                <w:rFonts w:asciiTheme="minorHAnsi" w:eastAsia="Calibri" w:hAnsiTheme="minorHAnsi" w:cstheme="minorHAnsi"/>
                <w:lang w:val="en-GB"/>
              </w:rPr>
              <w:t>c</w:t>
            </w:r>
            <w:r w:rsidR="0042293E" w:rsidRPr="00E0255C">
              <w:rPr>
                <w:rFonts w:asciiTheme="minorHAnsi" w:eastAsia="Calibri" w:hAnsiTheme="minorHAnsi" w:cstheme="minorHAnsi"/>
                <w:lang w:val="en-GB"/>
              </w:rPr>
              <w:t xml:space="preserve">onformity </w:t>
            </w:r>
            <w:r w:rsidRPr="00E0255C">
              <w:rPr>
                <w:rFonts w:asciiTheme="minorHAnsi" w:eastAsia="Calibri" w:hAnsiTheme="minorHAnsi" w:cstheme="minorHAnsi"/>
                <w:lang w:val="en-GB"/>
              </w:rPr>
              <w:t>d</w:t>
            </w:r>
            <w:r w:rsidR="0042293E" w:rsidRPr="00E0255C">
              <w:rPr>
                <w:rFonts w:asciiTheme="minorHAnsi" w:eastAsia="Calibri" w:hAnsiTheme="minorHAnsi" w:cstheme="minorHAnsi"/>
                <w:lang w:val="en-GB"/>
              </w:rPr>
              <w:t>atabase only.</w:t>
            </w:r>
          </w:p>
          <w:p w14:paraId="6FBC3B61" w14:textId="12415D27" w:rsidR="0042293E" w:rsidRPr="00E0255C" w:rsidRDefault="0042293E" w:rsidP="0042293E">
            <w:pPr>
              <w:pStyle w:val="ListParagraph"/>
              <w:numPr>
                <w:ilvl w:val="0"/>
                <w:numId w:val="23"/>
              </w:numPr>
              <w:spacing w:before="60" w:after="60"/>
              <w:jc w:val="both"/>
              <w:rPr>
                <w:rFonts w:asciiTheme="minorHAnsi" w:eastAsia="Calibri" w:hAnsiTheme="minorHAnsi" w:cstheme="minorHAnsi"/>
                <w:lang w:val="en-GB"/>
              </w:rPr>
            </w:pPr>
            <w:r w:rsidRPr="00E0255C">
              <w:rPr>
                <w:rFonts w:asciiTheme="minorHAnsi" w:eastAsia="Calibri" w:hAnsiTheme="minorHAnsi" w:cstheme="minorHAnsi"/>
                <w:lang w:val="en-GB"/>
              </w:rPr>
              <w:t xml:space="preserve">With regards to the joint certification scheme, CASC decided to put it on hold </w:t>
            </w:r>
            <w:proofErr w:type="gramStart"/>
            <w:r w:rsidRPr="00E0255C">
              <w:rPr>
                <w:rFonts w:asciiTheme="minorHAnsi" w:eastAsia="Calibri" w:hAnsiTheme="minorHAnsi" w:cstheme="minorHAnsi"/>
                <w:lang w:val="en-GB"/>
              </w:rPr>
              <w:t>in order to</w:t>
            </w:r>
            <w:proofErr w:type="gramEnd"/>
            <w:r w:rsidRPr="00E0255C">
              <w:rPr>
                <w:rFonts w:asciiTheme="minorHAnsi" w:eastAsia="Calibri" w:hAnsiTheme="minorHAnsi" w:cstheme="minorHAnsi"/>
                <w:lang w:val="en-GB"/>
              </w:rPr>
              <w:t xml:space="preserve"> give ITU-T SGs a possibility to consider all provided financial details and provide CASC feedback whether </w:t>
            </w:r>
            <w:r w:rsidR="00705DDA" w:rsidRPr="00E0255C">
              <w:rPr>
                <w:rFonts w:asciiTheme="minorHAnsi" w:eastAsia="Calibri" w:hAnsiTheme="minorHAnsi" w:cstheme="minorHAnsi"/>
                <w:lang w:val="en-GB"/>
              </w:rPr>
              <w:t xml:space="preserve">the </w:t>
            </w:r>
            <w:r w:rsidRPr="00E0255C">
              <w:rPr>
                <w:rFonts w:asciiTheme="minorHAnsi" w:eastAsia="Calibri" w:hAnsiTheme="minorHAnsi" w:cstheme="minorHAnsi"/>
                <w:lang w:val="en-GB"/>
              </w:rPr>
              <w:t>scheme is of interest of their members</w:t>
            </w:r>
            <w:r w:rsidR="00705DDA" w:rsidRPr="00E0255C">
              <w:rPr>
                <w:rFonts w:asciiTheme="minorHAnsi" w:eastAsia="Calibri" w:hAnsiTheme="minorHAnsi" w:cstheme="minorHAnsi"/>
                <w:lang w:val="en-GB"/>
              </w:rPr>
              <w:t>hip</w:t>
            </w:r>
            <w:r w:rsidRPr="00E0255C">
              <w:rPr>
                <w:rFonts w:asciiTheme="minorHAnsi" w:eastAsia="Calibri" w:hAnsiTheme="minorHAnsi" w:cstheme="minorHAnsi"/>
                <w:lang w:val="en-GB"/>
              </w:rPr>
              <w:t>, taking into consideration financial implications.</w:t>
            </w:r>
          </w:p>
          <w:p w14:paraId="54FE1BB8" w14:textId="67E7E4CA" w:rsidR="478B1C36" w:rsidRPr="00E0255C" w:rsidRDefault="0042293E" w:rsidP="0042293E">
            <w:pPr>
              <w:pStyle w:val="ListParagraph"/>
              <w:numPr>
                <w:ilvl w:val="0"/>
                <w:numId w:val="23"/>
              </w:numPr>
              <w:spacing w:before="60" w:after="60"/>
              <w:jc w:val="both"/>
              <w:rPr>
                <w:rFonts w:asciiTheme="minorHAnsi" w:eastAsiaTheme="minorEastAsia" w:hAnsiTheme="minorHAnsi" w:cstheme="minorHAnsi"/>
                <w:lang w:val="en-GB"/>
              </w:rPr>
            </w:pPr>
            <w:r w:rsidRPr="00E0255C">
              <w:rPr>
                <w:rFonts w:asciiTheme="minorHAnsi" w:eastAsia="Calibri" w:hAnsiTheme="minorHAnsi" w:cstheme="minorHAnsi"/>
                <w:lang w:val="en-GB"/>
              </w:rPr>
              <w:t xml:space="preserve">ILAC presented </w:t>
            </w:r>
            <w:r w:rsidR="00705DDA" w:rsidRPr="00E0255C">
              <w:rPr>
                <w:rFonts w:asciiTheme="minorHAnsi" w:eastAsia="Calibri" w:hAnsiTheme="minorHAnsi" w:cstheme="minorHAnsi"/>
                <w:lang w:val="en-GB"/>
              </w:rPr>
              <w:t xml:space="preserve">the </w:t>
            </w:r>
            <w:r w:rsidRPr="00E0255C">
              <w:rPr>
                <w:rFonts w:asciiTheme="minorHAnsi" w:eastAsia="Calibri" w:hAnsiTheme="minorHAnsi" w:cstheme="minorHAnsi"/>
                <w:lang w:val="en-GB"/>
              </w:rPr>
              <w:t xml:space="preserve">ILAC survey </w:t>
            </w:r>
            <w:r w:rsidR="00705DDA" w:rsidRPr="00E0255C">
              <w:rPr>
                <w:rFonts w:asciiTheme="minorHAnsi" w:eastAsia="Calibri" w:hAnsiTheme="minorHAnsi" w:cstheme="minorHAnsi"/>
                <w:lang w:val="en-GB"/>
              </w:rPr>
              <w:t xml:space="preserve">results </w:t>
            </w:r>
            <w:r w:rsidRPr="00E0255C">
              <w:rPr>
                <w:rFonts w:asciiTheme="minorHAnsi" w:eastAsia="Calibri" w:hAnsiTheme="minorHAnsi" w:cstheme="minorHAnsi"/>
                <w:lang w:val="en-GB"/>
              </w:rPr>
              <w:t xml:space="preserve">to identify </w:t>
            </w:r>
            <w:r w:rsidR="00705DDA" w:rsidRPr="00E0255C">
              <w:rPr>
                <w:rFonts w:asciiTheme="minorHAnsi" w:eastAsia="Calibri" w:hAnsiTheme="minorHAnsi" w:cstheme="minorHAnsi"/>
                <w:lang w:val="en-GB"/>
              </w:rPr>
              <w:t>t</w:t>
            </w:r>
            <w:r w:rsidRPr="00E0255C">
              <w:rPr>
                <w:rFonts w:asciiTheme="minorHAnsi" w:eastAsia="Calibri" w:hAnsiTheme="minorHAnsi" w:cstheme="minorHAnsi"/>
                <w:lang w:val="en-GB"/>
              </w:rPr>
              <w:t xml:space="preserve">esting </w:t>
            </w:r>
            <w:r w:rsidR="00705DDA" w:rsidRPr="00E0255C">
              <w:rPr>
                <w:rFonts w:asciiTheme="minorHAnsi" w:eastAsia="Calibri" w:hAnsiTheme="minorHAnsi" w:cstheme="minorHAnsi"/>
                <w:lang w:val="en-GB"/>
              </w:rPr>
              <w:t>l</w:t>
            </w:r>
            <w:r w:rsidRPr="00E0255C">
              <w:rPr>
                <w:rFonts w:asciiTheme="minorHAnsi" w:eastAsia="Calibri" w:hAnsiTheme="minorHAnsi" w:cstheme="minorHAnsi"/>
                <w:lang w:val="en-GB"/>
              </w:rPr>
              <w:t>aboratories accredited to perform testing in accordance with ITU-T Recommendations. The response rate was reasonable at 68</w:t>
            </w:r>
            <w:r w:rsidR="00782133" w:rsidRPr="00E0255C">
              <w:rPr>
                <w:rFonts w:asciiTheme="minorHAnsi" w:eastAsia="Calibri" w:hAnsiTheme="minorHAnsi" w:cstheme="minorHAnsi"/>
                <w:lang w:val="en-GB"/>
              </w:rPr>
              <w:t xml:space="preserve"> per cent</w:t>
            </w:r>
            <w:r w:rsidRPr="00E0255C">
              <w:rPr>
                <w:rFonts w:asciiTheme="minorHAnsi" w:eastAsia="Calibri" w:hAnsiTheme="minorHAnsi" w:cstheme="minorHAnsi"/>
                <w:lang w:val="en-GB"/>
              </w:rPr>
              <w:t>. CASC encouraged ILAC to propose procedures on further collaboration at the next CASC meeting (March 2021). It is assumed that these procedures should allow CASC to recognize TLs kindly provided by ILAC, without any additional assessment</w:t>
            </w:r>
            <w:r w:rsidR="00705DDA" w:rsidRPr="00E0255C">
              <w:rPr>
                <w:rFonts w:asciiTheme="minorHAnsi" w:hAnsiTheme="minorHAnsi" w:cstheme="minorHAnsi"/>
                <w:lang w:val="en-GB"/>
              </w:rPr>
              <w:t>.</w:t>
            </w:r>
          </w:p>
          <w:p w14:paraId="5D54836F" w14:textId="0ABABE91" w:rsidR="478B1C36" w:rsidRPr="00E0255C" w:rsidRDefault="478B1C36" w:rsidP="006459A3">
            <w:pPr>
              <w:pStyle w:val="ListParagraph"/>
              <w:numPr>
                <w:ilvl w:val="0"/>
                <w:numId w:val="23"/>
              </w:numPr>
              <w:spacing w:before="60" w:after="60"/>
              <w:jc w:val="both"/>
              <w:rPr>
                <w:rFonts w:asciiTheme="minorHAnsi" w:eastAsia="Calibri" w:hAnsiTheme="minorHAnsi" w:cstheme="minorHAnsi"/>
                <w:lang w:val="en-GB"/>
              </w:rPr>
            </w:pPr>
            <w:r w:rsidRPr="00E0255C">
              <w:rPr>
                <w:rFonts w:asciiTheme="minorHAnsi" w:eastAsia="Calibri" w:hAnsiTheme="minorHAnsi" w:cstheme="minorHAnsi"/>
                <w:lang w:val="en-GB"/>
              </w:rPr>
              <w:t xml:space="preserve">The third ITU-T Study Group 11 Regional Workshop for Africa on “Counterfeit ICT Devices, Conformance and Interoperability Testing Challenges in Africa” took place in Tunis (Tunisia) on 30 September 2019, followed by the ITU-T </w:t>
            </w:r>
            <w:r w:rsidR="006D38B9" w:rsidRPr="00E0255C">
              <w:rPr>
                <w:rFonts w:asciiTheme="minorHAnsi" w:eastAsia="Calibri" w:hAnsiTheme="minorHAnsi" w:cstheme="minorHAnsi"/>
                <w:lang w:val="en-GB"/>
              </w:rPr>
              <w:t>SG 11</w:t>
            </w:r>
            <w:r w:rsidRPr="00E0255C">
              <w:rPr>
                <w:rFonts w:asciiTheme="minorHAnsi" w:eastAsia="Calibri" w:hAnsiTheme="minorHAnsi" w:cstheme="minorHAnsi"/>
                <w:lang w:val="en-GB"/>
              </w:rPr>
              <w:t xml:space="preserve"> Regional group meeting for Africa (SG11RG-AFR).</w:t>
            </w:r>
          </w:p>
          <w:p w14:paraId="5B31F155" w14:textId="77777777" w:rsidR="0049723A" w:rsidRPr="00E0255C" w:rsidRDefault="00B366BB" w:rsidP="006459A3">
            <w:pPr>
              <w:pStyle w:val="ListParagraph"/>
              <w:numPr>
                <w:ilvl w:val="0"/>
                <w:numId w:val="23"/>
              </w:numPr>
              <w:spacing w:before="60" w:after="60"/>
              <w:jc w:val="both"/>
              <w:rPr>
                <w:rFonts w:asciiTheme="minorHAnsi" w:hAnsiTheme="minorHAnsi" w:cstheme="minorHAnsi"/>
                <w:color w:val="000000"/>
                <w:lang w:val="en-GB" w:eastAsia="zh-CN"/>
              </w:rPr>
            </w:pPr>
            <w:r w:rsidRPr="00E0255C">
              <w:rPr>
                <w:rFonts w:asciiTheme="minorHAnsi" w:hAnsiTheme="minorHAnsi" w:cstheme="minorHAnsi"/>
                <w:color w:val="000000"/>
                <w:lang w:val="en-GB" w:eastAsia="zh-CN"/>
              </w:rPr>
              <w:t>On the ITU C&amp;I Programme Pillar 3 - Capacity Building:</w:t>
            </w:r>
          </w:p>
          <w:p w14:paraId="39B118DD" w14:textId="32BB6C2E" w:rsidR="00B366BB" w:rsidRPr="00E0255C" w:rsidRDefault="00B366BB" w:rsidP="006459A3">
            <w:pPr>
              <w:pStyle w:val="ListParagraph"/>
              <w:numPr>
                <w:ilvl w:val="0"/>
                <w:numId w:val="39"/>
              </w:numPr>
              <w:autoSpaceDE w:val="0"/>
              <w:autoSpaceDN w:val="0"/>
              <w:spacing w:before="60" w:after="60"/>
              <w:jc w:val="both"/>
              <w:rPr>
                <w:rFonts w:asciiTheme="minorHAnsi" w:hAnsiTheme="minorHAnsi" w:cstheme="minorHAnsi"/>
                <w:color w:val="000000"/>
                <w:lang w:val="en-GB" w:eastAsia="zh-CN"/>
              </w:rPr>
            </w:pPr>
            <w:r w:rsidRPr="00E0255C">
              <w:rPr>
                <w:rFonts w:asciiTheme="minorHAnsi" w:hAnsiTheme="minorHAnsi" w:cstheme="minorHAnsi"/>
                <w:color w:val="000000"/>
                <w:lang w:val="en-GB" w:eastAsia="zh-CN"/>
              </w:rPr>
              <w:t xml:space="preserve">On-the-job </w:t>
            </w:r>
            <w:hyperlink r:id="rId489" w:history="1">
              <w:r w:rsidRPr="00E0255C">
                <w:rPr>
                  <w:rStyle w:val="Hyperlink"/>
                  <w:rFonts w:cs="Calibri"/>
                  <w:lang w:val="en-GB" w:eastAsia="zh-CN"/>
                </w:rPr>
                <w:t>Capacity Building</w:t>
              </w:r>
            </w:hyperlink>
            <w:r w:rsidRPr="00E0255C">
              <w:rPr>
                <w:rFonts w:asciiTheme="minorHAnsi" w:hAnsiTheme="minorHAnsi" w:cstheme="minorHAnsi"/>
                <w:color w:val="000000"/>
                <w:lang w:val="en-GB" w:eastAsia="zh-CN"/>
              </w:rPr>
              <w:t xml:space="preserve"> activities conducted for AFR and ARB regions on C&amp;I frameworks and different Testing Domains (e.g. IoT, 5</w:t>
            </w:r>
            <w:proofErr w:type="gramStart"/>
            <w:r w:rsidRPr="00E0255C">
              <w:rPr>
                <w:rFonts w:asciiTheme="minorHAnsi" w:hAnsiTheme="minorHAnsi" w:cstheme="minorHAnsi"/>
                <w:color w:val="000000"/>
                <w:lang w:val="en-GB" w:eastAsia="zh-CN"/>
              </w:rPr>
              <w:t>G,C</w:t>
            </w:r>
            <w:proofErr w:type="gramEnd"/>
            <w:r w:rsidRPr="00E0255C">
              <w:rPr>
                <w:rFonts w:asciiTheme="minorHAnsi" w:hAnsiTheme="minorHAnsi" w:cstheme="minorHAnsi"/>
                <w:color w:val="000000"/>
                <w:lang w:val="en-GB" w:eastAsia="zh-CN"/>
              </w:rPr>
              <w:t xml:space="preserve">&amp;I and SAR) provided in collaboration with laboratory partners and Centres of Excellence (CERT, CAICT, and NCA/Ghana). More details available here </w:t>
            </w:r>
            <w:hyperlink r:id="rId490" w:history="1">
              <w:r w:rsidRPr="00E0255C">
                <w:rPr>
                  <w:rStyle w:val="Hyperlink"/>
                  <w:rFonts w:asciiTheme="minorHAnsi" w:hAnsiTheme="minorHAnsi" w:cstheme="minorHAnsi"/>
                  <w:lang w:val="en-GB" w:eastAsia="zh-CN"/>
                </w:rPr>
                <w:t>https://itu.int/go/ci_training</w:t>
              </w:r>
            </w:hyperlink>
            <w:r w:rsidRPr="00E0255C">
              <w:rPr>
                <w:rFonts w:asciiTheme="minorHAnsi" w:hAnsiTheme="minorHAnsi" w:cstheme="minorHAnsi"/>
                <w:color w:val="000000"/>
                <w:lang w:val="en-GB" w:eastAsia="zh-CN"/>
              </w:rPr>
              <w:t>.</w:t>
            </w:r>
          </w:p>
          <w:p w14:paraId="5A13A795" w14:textId="6CB0F57C" w:rsidR="00B366BB" w:rsidRPr="00E0255C" w:rsidRDefault="00B366BB" w:rsidP="006459A3">
            <w:pPr>
              <w:pStyle w:val="ListParagraph"/>
              <w:numPr>
                <w:ilvl w:val="0"/>
                <w:numId w:val="39"/>
              </w:numPr>
              <w:autoSpaceDE w:val="0"/>
              <w:autoSpaceDN w:val="0"/>
              <w:spacing w:before="60" w:after="60"/>
              <w:jc w:val="both"/>
              <w:rPr>
                <w:rFonts w:asciiTheme="minorHAnsi" w:hAnsiTheme="minorHAnsi" w:cstheme="minorHAnsi"/>
                <w:color w:val="000000"/>
                <w:lang w:val="en-GB" w:eastAsia="zh-CN"/>
              </w:rPr>
            </w:pPr>
            <w:r w:rsidRPr="00E0255C">
              <w:rPr>
                <w:rFonts w:asciiTheme="minorHAnsi" w:hAnsiTheme="minorHAnsi" w:cstheme="minorHAnsi"/>
                <w:color w:val="000000"/>
                <w:lang w:val="en-GB" w:eastAsia="zh-CN"/>
              </w:rPr>
              <w:t>A Conformance and Interoperability Training Programme (CITP) development has started. CITP is based on training materials produced by previous C&amp;I training events, such as Regional Trainings on C&amp;I Programmes and test domains, It also takes into consideration the learnings from ITU Publications on C&amp;I, e.g. Q4/2 Report (2017); and published ITU Guidelines and Recommendations (</w:t>
            </w:r>
            <w:hyperlink r:id="rId491" w:history="1">
              <w:r w:rsidRPr="00E0255C">
                <w:rPr>
                  <w:rStyle w:val="Hyperlink"/>
                  <w:rFonts w:asciiTheme="minorHAnsi" w:hAnsiTheme="minorHAnsi" w:cstheme="minorHAnsi"/>
                  <w:lang w:val="en-GB" w:eastAsia="zh-CN"/>
                </w:rPr>
                <w:t>https://itu.int/go/ci_guidelines</w:t>
              </w:r>
            </w:hyperlink>
            <w:r w:rsidRPr="00E0255C">
              <w:rPr>
                <w:rFonts w:asciiTheme="minorHAnsi" w:hAnsiTheme="minorHAnsi" w:cstheme="minorHAnsi"/>
                <w:color w:val="000000"/>
                <w:lang w:val="en-GB" w:eastAsia="zh-CN"/>
              </w:rPr>
              <w:t>). CITP</w:t>
            </w:r>
            <w:r w:rsidRPr="00E0255C">
              <w:rPr>
                <w:rFonts w:asciiTheme="minorHAnsi" w:hAnsiTheme="minorHAnsi" w:cstheme="minorHAnsi"/>
                <w:color w:val="000000"/>
                <w:lang w:val="en-GB"/>
              </w:rPr>
              <w:t xml:space="preserve"> development is following ITU Academy quality assurance mechanism, which includes: a full set of high-level; materials prepared by subject-matter experts; and per-reviewing process.</w:t>
            </w:r>
          </w:p>
          <w:p w14:paraId="742F1731" w14:textId="77777777" w:rsidR="00B366BB" w:rsidRPr="00E0255C" w:rsidRDefault="00B366BB" w:rsidP="006459A3">
            <w:pPr>
              <w:pStyle w:val="ListParagraph"/>
              <w:numPr>
                <w:ilvl w:val="0"/>
                <w:numId w:val="23"/>
              </w:numPr>
              <w:spacing w:before="60" w:after="60"/>
              <w:jc w:val="both"/>
              <w:rPr>
                <w:rFonts w:asciiTheme="minorHAnsi" w:hAnsiTheme="minorHAnsi" w:cstheme="minorHAnsi"/>
                <w:color w:val="000000"/>
                <w:lang w:val="en-GB" w:eastAsia="zh-CN"/>
              </w:rPr>
            </w:pPr>
            <w:r w:rsidRPr="00E0255C">
              <w:rPr>
                <w:rFonts w:asciiTheme="minorHAnsi" w:hAnsiTheme="minorHAnsi" w:cstheme="minorHAnsi"/>
                <w:color w:val="000000"/>
                <w:lang w:val="en-GB" w:eastAsia="zh-CN"/>
              </w:rPr>
              <w:t xml:space="preserve">Related to the ITU C&amp;I Programme Pillar 4-assistance to developing countries: in 2019, C&amp;I </w:t>
            </w:r>
            <w:hyperlink r:id="rId492" w:history="1">
              <w:r w:rsidRPr="00E0255C">
                <w:rPr>
                  <w:rFonts w:cs="Calibri"/>
                  <w:color w:val="0000FF"/>
                  <w:u w:val="single"/>
                  <w:lang w:val="en-GB" w:eastAsia="zh-CN"/>
                </w:rPr>
                <w:t>Assessment Studies</w:t>
              </w:r>
            </w:hyperlink>
            <w:r w:rsidRPr="00E0255C">
              <w:rPr>
                <w:rFonts w:asciiTheme="minorHAnsi" w:hAnsiTheme="minorHAnsi" w:cstheme="minorHAnsi"/>
                <w:color w:val="000000"/>
                <w:lang w:val="en-GB" w:eastAsia="zh-CN"/>
              </w:rPr>
              <w:t xml:space="preserve"> aiming to promote collaboration in regional organizations for establishing a harmonic C&amp;I Programmes were conducted in the ECOWAS region.</w:t>
            </w:r>
          </w:p>
          <w:p w14:paraId="127F700F" w14:textId="3F16668C" w:rsidR="005506BA" w:rsidRPr="00E0255C" w:rsidRDefault="00B366BB" w:rsidP="006459A3">
            <w:pPr>
              <w:pStyle w:val="ListParagraph"/>
              <w:numPr>
                <w:ilvl w:val="0"/>
                <w:numId w:val="23"/>
              </w:numPr>
              <w:spacing w:before="60" w:after="60"/>
              <w:jc w:val="both"/>
              <w:rPr>
                <w:rFonts w:asciiTheme="minorHAnsi" w:hAnsiTheme="minorHAnsi" w:cstheme="minorHAnsi"/>
                <w:lang w:val="en-GB"/>
              </w:rPr>
            </w:pPr>
            <w:r w:rsidRPr="00E0255C">
              <w:rPr>
                <w:rFonts w:asciiTheme="minorHAnsi" w:hAnsiTheme="minorHAnsi" w:cstheme="minorHAnsi"/>
                <w:color w:val="000000"/>
                <w:lang w:val="en-GB" w:eastAsia="zh-CN"/>
              </w:rPr>
              <w:t xml:space="preserve">ITU-D Study Group 2 </w:t>
            </w:r>
            <w:hyperlink r:id="rId493" w:history="1">
              <w:r w:rsidRPr="00E0255C">
                <w:rPr>
                  <w:rFonts w:cs="Calibri"/>
                  <w:color w:val="0000FF"/>
                  <w:u w:val="single"/>
                  <w:lang w:val="en-GB" w:eastAsia="zh-CN"/>
                </w:rPr>
                <w:t>Question 4</w:t>
              </w:r>
            </w:hyperlink>
            <w:r w:rsidRPr="00E0255C">
              <w:rPr>
                <w:rFonts w:asciiTheme="minorHAnsi" w:hAnsiTheme="minorHAnsi" w:cstheme="minorHAnsi"/>
                <w:color w:val="000000"/>
                <w:lang w:val="en-GB" w:eastAsia="zh-CN"/>
              </w:rPr>
              <w:t xml:space="preserve"> – “Assistance to developing countries for implementing conformance and interoperability (C&amp;I) programmes and combating counterfeit ICT equipment and theft of mobile devices” presented its partial report during the Rapporteur Group held on 26 February 2020.  77 input documents are under consideration. For more information: </w:t>
            </w:r>
            <w:hyperlink r:id="rId494" w:history="1">
              <w:r w:rsidRPr="00E0255C">
                <w:rPr>
                  <w:rFonts w:cs="Calibri"/>
                  <w:color w:val="0000FF"/>
                  <w:u w:val="single"/>
                  <w:lang w:val="en-GB" w:eastAsia="zh-CN"/>
                </w:rPr>
                <w:t>http://itu.int/go/Q4/2</w:t>
              </w:r>
            </w:hyperlink>
            <w:r w:rsidR="00D325AE" w:rsidRPr="00E0255C">
              <w:rPr>
                <w:color w:val="000000"/>
                <w:lang w:val="en-GB" w:eastAsia="zh-CN"/>
              </w:rPr>
              <w:t>.</w:t>
            </w:r>
            <w:r w:rsidRPr="00E0255C">
              <w:rPr>
                <w:rFonts w:asciiTheme="minorHAnsi" w:hAnsiTheme="minorHAnsi" w:cstheme="minorHAnsi"/>
                <w:color w:val="000000"/>
                <w:lang w:val="en-GB" w:eastAsia="zh-CN"/>
              </w:rPr>
              <w:t xml:space="preserve"> </w:t>
            </w:r>
          </w:p>
        </w:tc>
      </w:tr>
      <w:tr w:rsidR="478B1C36" w:rsidRPr="00B64995" w14:paraId="288AAE01" w14:textId="77777777" w:rsidTr="09AD7226">
        <w:tc>
          <w:tcPr>
            <w:tcW w:w="9026" w:type="dxa"/>
            <w:shd w:val="clear" w:color="auto" w:fill="FFFFFF" w:themeFill="background1"/>
          </w:tcPr>
          <w:p w14:paraId="159188C6" w14:textId="1EE77A8C" w:rsidR="478B1C36" w:rsidRPr="00E0255C" w:rsidRDefault="478B1C36" w:rsidP="006459A3">
            <w:pPr>
              <w:spacing w:before="60" w:after="60"/>
              <w:jc w:val="both"/>
              <w:rPr>
                <w:lang w:val="en-GB"/>
              </w:rPr>
            </w:pPr>
            <w:r w:rsidRPr="00E0255C">
              <w:rPr>
                <w:rFonts w:eastAsia="Calibri"/>
                <w:b/>
              </w:rPr>
              <w:lastRenderedPageBreak/>
              <w:t>179 (</w:t>
            </w:r>
            <w:r w:rsidR="00A579C3" w:rsidRPr="00E0255C">
              <w:rPr>
                <w:rFonts w:eastAsia="Calibri"/>
                <w:b/>
              </w:rPr>
              <w:t>R</w:t>
            </w:r>
            <w:r w:rsidRPr="00E0255C">
              <w:rPr>
                <w:rFonts w:eastAsia="Calibri"/>
                <w:b/>
              </w:rPr>
              <w:t>ev. Dubai, 2018) ITU’s role in child online protection</w:t>
            </w:r>
          </w:p>
          <w:p w14:paraId="4419EB91" w14:textId="7FA40070" w:rsidR="005506BA" w:rsidRPr="00E0255C" w:rsidRDefault="478B1C36" w:rsidP="006459A3">
            <w:pPr>
              <w:spacing w:before="60" w:after="60"/>
              <w:jc w:val="both"/>
              <w:rPr>
                <w:rFonts w:eastAsia="Calibri"/>
                <w:lang w:val="en-GB"/>
              </w:rPr>
            </w:pPr>
            <w:r w:rsidRPr="00E0255C">
              <w:rPr>
                <w:rFonts w:eastAsia="Calibri"/>
              </w:rPr>
              <w:t xml:space="preserve">See report to Council </w:t>
            </w:r>
            <w:r w:rsidR="005506BA" w:rsidRPr="00E0255C">
              <w:rPr>
                <w:rFonts w:eastAsia="Calibri"/>
              </w:rPr>
              <w:t xml:space="preserve">by Chair of CWG-COP </w:t>
            </w:r>
            <w:hyperlink r:id="rId495" w:history="1">
              <w:r w:rsidR="005506BA" w:rsidRPr="00E0255C">
                <w:rPr>
                  <w:rStyle w:val="Hyperlink"/>
                  <w:rFonts w:eastAsia="Calibri"/>
                </w:rPr>
                <w:t>here</w:t>
              </w:r>
            </w:hyperlink>
            <w:r w:rsidR="005506BA" w:rsidRPr="00E0255C">
              <w:rPr>
                <w:rFonts w:eastAsia="Calibri"/>
                <w:lang w:val="en-GB" w:eastAsia="en-US"/>
              </w:rPr>
              <w:t xml:space="preserve">, and </w:t>
            </w:r>
            <w:hyperlink w:anchor="Section_1_6" w:history="1">
              <w:r w:rsidRPr="00E0255C">
                <w:rPr>
                  <w:rStyle w:val="Hyperlink"/>
                  <w:rFonts w:eastAsia="Calibri"/>
                  <w:lang w:val="en-GB" w:eastAsia="en-US"/>
                </w:rPr>
                <w:t>section 1.6</w:t>
              </w:r>
            </w:hyperlink>
            <w:r w:rsidR="00A579C3" w:rsidRPr="00E0255C">
              <w:t>.</w:t>
            </w:r>
          </w:p>
        </w:tc>
      </w:tr>
      <w:tr w:rsidR="478B1C36" w:rsidRPr="00B64995" w14:paraId="393E7AA0" w14:textId="77777777" w:rsidTr="09AD7226">
        <w:tc>
          <w:tcPr>
            <w:tcW w:w="9026" w:type="dxa"/>
            <w:shd w:val="clear" w:color="auto" w:fill="FFFFFF" w:themeFill="background1"/>
          </w:tcPr>
          <w:p w14:paraId="2C2ED5F6" w14:textId="0F5E19FD" w:rsidR="478B1C36" w:rsidRPr="00E0255C" w:rsidRDefault="478B1C36" w:rsidP="006459A3">
            <w:pPr>
              <w:spacing w:before="60" w:after="60"/>
              <w:jc w:val="both"/>
              <w:rPr>
                <w:lang w:val="en-GB"/>
              </w:rPr>
            </w:pPr>
            <w:r w:rsidRPr="00E0255C">
              <w:rPr>
                <w:rFonts w:eastAsia="Calibri"/>
                <w:b/>
              </w:rPr>
              <w:t>182 (</w:t>
            </w:r>
            <w:r w:rsidR="00A579C3" w:rsidRPr="00E0255C">
              <w:rPr>
                <w:rFonts w:eastAsia="Calibri"/>
                <w:b/>
              </w:rPr>
              <w:t>R</w:t>
            </w:r>
            <w:r w:rsidRPr="00E0255C">
              <w:rPr>
                <w:rFonts w:eastAsia="Calibri"/>
                <w:b/>
              </w:rPr>
              <w:t xml:space="preserve">ev. Busan, 2014) The role of telecommunications/information and communication technologies </w:t>
            </w:r>
            <w:proofErr w:type="gramStart"/>
            <w:r w:rsidRPr="00E0255C">
              <w:rPr>
                <w:rFonts w:eastAsia="Calibri"/>
                <w:b/>
              </w:rPr>
              <w:t>in regard to</w:t>
            </w:r>
            <w:proofErr w:type="gramEnd"/>
            <w:r w:rsidRPr="00E0255C">
              <w:rPr>
                <w:rFonts w:eastAsia="Calibri"/>
                <w:b/>
              </w:rPr>
              <w:t xml:space="preserve"> climate change and the protection of the environment</w:t>
            </w:r>
          </w:p>
          <w:p w14:paraId="1279EA7F" w14:textId="78D4CA71" w:rsidR="478B1C36" w:rsidRPr="00E0255C" w:rsidRDefault="478B1C36" w:rsidP="006459A3">
            <w:pPr>
              <w:spacing w:before="60" w:after="60"/>
              <w:jc w:val="both"/>
              <w:rPr>
                <w:lang w:val="en-GB"/>
              </w:rPr>
            </w:pPr>
            <w:r w:rsidRPr="00E0255C">
              <w:rPr>
                <w:rFonts w:eastAsia="Calibri"/>
              </w:rPr>
              <w:t xml:space="preserve">ITU-T </w:t>
            </w:r>
            <w:r w:rsidR="006D38B9" w:rsidRPr="00E0255C">
              <w:rPr>
                <w:rFonts w:eastAsia="Calibri"/>
              </w:rPr>
              <w:t>SG 5</w:t>
            </w:r>
            <w:r w:rsidRPr="00E0255C">
              <w:rPr>
                <w:rFonts w:eastAsia="Calibri"/>
              </w:rPr>
              <w:t xml:space="preserve"> on “Environment, climate change and circular economy” is the lead Study Group on ICTs related to the environment, climate change, energy efficiency, clean energy, and circular economy, including e-waste.</w:t>
            </w:r>
          </w:p>
          <w:p w14:paraId="0D0AFDE2" w14:textId="220F9A5B" w:rsidR="00C2162A" w:rsidRPr="00E0255C" w:rsidRDefault="00C2162A" w:rsidP="006459A3">
            <w:pPr>
              <w:spacing w:before="60" w:after="60"/>
              <w:jc w:val="both"/>
              <w:rPr>
                <w:rFonts w:eastAsia="Calibri"/>
                <w:color w:val="000000" w:themeColor="text1"/>
                <w:lang w:val="en-GB"/>
              </w:rPr>
            </w:pPr>
            <w:r w:rsidRPr="00E0255C">
              <w:rPr>
                <w:rFonts w:eastAsia="Calibri"/>
                <w:color w:val="000000" w:themeColor="text1"/>
              </w:rPr>
              <w:t xml:space="preserve">Sections </w:t>
            </w:r>
            <w:hyperlink w:anchor="Section_1_3" w:history="1">
              <w:r w:rsidRPr="00E0255C">
                <w:rPr>
                  <w:rStyle w:val="Hyperlink"/>
                  <w:rFonts w:eastAsia="Calibri"/>
                </w:rPr>
                <w:t>1.3</w:t>
              </w:r>
            </w:hyperlink>
            <w:r w:rsidRPr="00E0255C">
              <w:rPr>
                <w:rFonts w:eastAsia="Calibri"/>
                <w:color w:val="000000" w:themeColor="text1"/>
                <w:lang w:val="en-GB" w:eastAsia="en-US"/>
              </w:rPr>
              <w:t xml:space="preserve"> and </w:t>
            </w:r>
            <w:hyperlink w:anchor="Section_1_5" w:history="1">
              <w:r w:rsidRPr="00E0255C">
                <w:rPr>
                  <w:rStyle w:val="Hyperlink"/>
                  <w:rFonts w:eastAsia="Calibri"/>
                  <w:lang w:val="en-GB" w:eastAsia="en-US"/>
                </w:rPr>
                <w:t>1.5</w:t>
              </w:r>
            </w:hyperlink>
            <w:r w:rsidRPr="00E0255C">
              <w:rPr>
                <w:rFonts w:eastAsia="Calibri"/>
                <w:color w:val="000000" w:themeColor="text1"/>
              </w:rPr>
              <w:t xml:space="preserve"> provide details on specific climate-related recommendations approved</w:t>
            </w:r>
            <w:r w:rsidR="002B5C5A" w:rsidRPr="00E0255C">
              <w:rPr>
                <w:rFonts w:eastAsia="Calibri"/>
                <w:color w:val="000000" w:themeColor="text1"/>
              </w:rPr>
              <w:t xml:space="preserve"> </w:t>
            </w:r>
            <w:r w:rsidRPr="00E0255C">
              <w:rPr>
                <w:rFonts w:eastAsia="Calibri"/>
                <w:color w:val="000000" w:themeColor="text1"/>
              </w:rPr>
              <w:t>during this period.</w:t>
            </w:r>
          </w:p>
          <w:p w14:paraId="4BA15DD0" w14:textId="4640F4B8" w:rsidR="00A97704" w:rsidRPr="00E0255C" w:rsidRDefault="008C5886" w:rsidP="006459A3">
            <w:pPr>
              <w:spacing w:before="60" w:after="60"/>
              <w:jc w:val="both"/>
              <w:rPr>
                <w:lang w:val="en-GB"/>
              </w:rPr>
            </w:pPr>
            <w:r w:rsidRPr="00E0255C">
              <w:rPr>
                <w:rFonts w:asciiTheme="minorHAnsi" w:hAnsiTheme="minorHAnsi" w:cstheme="minorHAnsi"/>
              </w:rPr>
              <w:lastRenderedPageBreak/>
              <w:t xml:space="preserve">World Standards Day 2020 was dedicated to </w:t>
            </w:r>
            <w:hyperlink r:id="rId496" w:history="1">
              <w:r w:rsidRPr="00E0255C">
                <w:rPr>
                  <w:rStyle w:val="Hyperlink"/>
                  <w:rFonts w:asciiTheme="minorHAnsi" w:hAnsiTheme="minorHAnsi" w:cstheme="minorHAnsi"/>
                </w:rPr>
                <w:t>Protecting the Planet with Standards</w:t>
              </w:r>
            </w:hyperlink>
            <w:r w:rsidRPr="00E0255C">
              <w:rPr>
                <w:rStyle w:val="Hyperlink"/>
                <w:rFonts w:asciiTheme="minorHAnsi" w:eastAsiaTheme="minorHAnsi" w:hAnsiTheme="minorHAnsi" w:cstheme="minorHAnsi"/>
                <w:lang w:val="en-GB" w:eastAsia="en-US"/>
              </w:rPr>
              <w:t>.</w:t>
            </w:r>
          </w:p>
          <w:p w14:paraId="14A3A840" w14:textId="0F7A9FAB" w:rsidR="478B1C36" w:rsidRPr="00E0255C" w:rsidRDefault="478B1C36" w:rsidP="006459A3">
            <w:pPr>
              <w:spacing w:before="60" w:after="60"/>
              <w:jc w:val="both"/>
              <w:rPr>
                <w:lang w:val="en-GB"/>
              </w:rPr>
            </w:pPr>
            <w:r w:rsidRPr="00E0255C">
              <w:rPr>
                <w:rFonts w:eastAsia="Calibri"/>
                <w:color w:val="000000" w:themeColor="text1"/>
              </w:rPr>
              <w:t xml:space="preserve">ITU-T </w:t>
            </w:r>
            <w:r w:rsidR="006D38B9" w:rsidRPr="00E0255C">
              <w:rPr>
                <w:rFonts w:eastAsia="Calibri"/>
                <w:color w:val="000000" w:themeColor="text1"/>
              </w:rPr>
              <w:t>SG 5</w:t>
            </w:r>
            <w:r w:rsidRPr="00E0255C">
              <w:rPr>
                <w:rFonts w:eastAsia="Calibri"/>
                <w:color w:val="000000" w:themeColor="text1"/>
              </w:rPr>
              <w:t xml:space="preserve"> organized the following events:</w:t>
            </w:r>
          </w:p>
          <w:p w14:paraId="11B23A4D" w14:textId="44F920CB" w:rsidR="009B22BC" w:rsidRPr="00E0255C" w:rsidRDefault="00570F0C" w:rsidP="0029300D">
            <w:pPr>
              <w:pStyle w:val="ListParagraph"/>
              <w:numPr>
                <w:ilvl w:val="0"/>
                <w:numId w:val="23"/>
              </w:numPr>
              <w:spacing w:before="60" w:after="60"/>
              <w:rPr>
                <w:rFonts w:eastAsia="Calibri" w:cs="Calibri"/>
                <w:lang w:val="en-GB"/>
              </w:rPr>
            </w:pPr>
            <w:hyperlink r:id="rId497" w:history="1">
              <w:r w:rsidR="009B22BC" w:rsidRPr="00E0255C">
                <w:rPr>
                  <w:rStyle w:val="Hyperlink"/>
                  <w:rFonts w:asciiTheme="minorHAnsi" w:hAnsiTheme="minorHAnsi" w:cstheme="minorHAnsi"/>
                  <w:lang w:val="en-GB"/>
                </w:rPr>
                <w:t xml:space="preserve">Virtual </w:t>
              </w:r>
              <w:r w:rsidR="00705DDA" w:rsidRPr="00E0255C">
                <w:rPr>
                  <w:rStyle w:val="Hyperlink"/>
                  <w:rFonts w:asciiTheme="minorHAnsi" w:hAnsiTheme="minorHAnsi" w:cstheme="minorHAnsi"/>
                  <w:lang w:val="en-GB"/>
                </w:rPr>
                <w:t>s</w:t>
              </w:r>
              <w:r w:rsidR="009B22BC" w:rsidRPr="00E0255C">
                <w:rPr>
                  <w:rStyle w:val="Hyperlink"/>
                  <w:rFonts w:asciiTheme="minorHAnsi" w:hAnsiTheme="minorHAnsi" w:cstheme="minorHAnsi"/>
                  <w:lang w:val="en-GB"/>
                </w:rPr>
                <w:t>ession on "Using international standards to build smart sustainable cities and tackle climate change, e-waste and nature loss"</w:t>
              </w:r>
            </w:hyperlink>
            <w:r w:rsidR="009B22BC" w:rsidRPr="00E0255C">
              <w:rPr>
                <w:rFonts w:asciiTheme="minorHAnsi" w:eastAsia="Calibri" w:hAnsiTheme="minorHAnsi" w:cstheme="minorHAnsi"/>
                <w:lang w:val="en-GB"/>
              </w:rPr>
              <w:t xml:space="preserve">, 15 October </w:t>
            </w:r>
            <w:proofErr w:type="gramStart"/>
            <w:r w:rsidR="009B22BC" w:rsidRPr="00E0255C">
              <w:rPr>
                <w:rFonts w:asciiTheme="minorHAnsi" w:eastAsia="Calibri" w:hAnsiTheme="minorHAnsi" w:cstheme="minorHAnsi"/>
                <w:lang w:val="en-GB"/>
              </w:rPr>
              <w:t>2020;</w:t>
            </w:r>
            <w:proofErr w:type="gramEnd"/>
          </w:p>
          <w:p w14:paraId="75A14965" w14:textId="5914E56C" w:rsidR="006459A3" w:rsidRPr="00E0255C" w:rsidRDefault="00570F0C" w:rsidP="0029300D">
            <w:pPr>
              <w:pStyle w:val="ListParagraph"/>
              <w:numPr>
                <w:ilvl w:val="0"/>
                <w:numId w:val="23"/>
              </w:numPr>
              <w:spacing w:before="60" w:after="60"/>
              <w:rPr>
                <w:rFonts w:eastAsia="Calibri" w:cs="Calibri"/>
                <w:lang w:val="en-GB"/>
              </w:rPr>
            </w:pPr>
            <w:hyperlink r:id="rId498">
              <w:r w:rsidR="478B1C36" w:rsidRPr="00E0255C">
                <w:rPr>
                  <w:rStyle w:val="Hyperlink"/>
                  <w:rFonts w:eastAsia="Calibri" w:cs="Calibri"/>
                  <w:lang w:val="en-GB"/>
                </w:rPr>
                <w:t>9</w:t>
              </w:r>
              <w:r w:rsidR="478B1C36" w:rsidRPr="00E0255C">
                <w:rPr>
                  <w:rStyle w:val="Hyperlink"/>
                  <w:rFonts w:eastAsia="Calibri" w:cs="Calibri"/>
                  <w:vertAlign w:val="superscript"/>
                  <w:lang w:val="en-GB"/>
                </w:rPr>
                <w:t>th</w:t>
              </w:r>
              <w:r w:rsidR="478B1C36" w:rsidRPr="00E0255C">
                <w:rPr>
                  <w:rStyle w:val="Hyperlink"/>
                  <w:rFonts w:eastAsia="Calibri" w:cs="Calibri"/>
                  <w:lang w:val="en-GB"/>
                </w:rPr>
                <w:t xml:space="preserve"> Green Standards Week</w:t>
              </w:r>
            </w:hyperlink>
            <w:r w:rsidR="478B1C36" w:rsidRPr="00E0255C">
              <w:rPr>
                <w:rFonts w:eastAsia="Calibri" w:cs="Calibri"/>
                <w:lang w:val="en-GB"/>
              </w:rPr>
              <w:t xml:space="preserve">, 1-4 October 2019, Valencia, </w:t>
            </w:r>
            <w:proofErr w:type="gramStart"/>
            <w:r w:rsidR="478B1C36" w:rsidRPr="00E0255C">
              <w:rPr>
                <w:rFonts w:eastAsia="Calibri" w:cs="Calibri"/>
                <w:lang w:val="en-GB"/>
              </w:rPr>
              <w:t>Spain;</w:t>
            </w:r>
            <w:proofErr w:type="gramEnd"/>
          </w:p>
          <w:p w14:paraId="3CB872BE" w14:textId="114DED9D" w:rsidR="478B1C36" w:rsidRPr="00E0255C" w:rsidRDefault="478B1C36" w:rsidP="0029300D">
            <w:pPr>
              <w:pStyle w:val="ListParagraph"/>
              <w:numPr>
                <w:ilvl w:val="0"/>
                <w:numId w:val="23"/>
              </w:numPr>
              <w:spacing w:before="60" w:after="60"/>
              <w:rPr>
                <w:rFonts w:eastAsia="Calibri" w:cs="Calibri"/>
                <w:lang w:val="en-GB"/>
              </w:rPr>
            </w:pPr>
            <w:r w:rsidRPr="00E0255C">
              <w:rPr>
                <w:rFonts w:eastAsia="Calibri" w:cs="Calibri"/>
                <w:lang w:val="en-GB"/>
              </w:rPr>
              <w:t>ITU Telecom World: Session on "</w:t>
            </w:r>
            <w:hyperlink r:id="rId499" w:history="1">
              <w:r w:rsidRPr="00E0255C">
                <w:rPr>
                  <w:rStyle w:val="Hyperlink"/>
                  <w:rFonts w:eastAsia="Calibri" w:cs="Calibri"/>
                  <w:lang w:val="en-GB"/>
                </w:rPr>
                <w:t>Strategies to boost climate action in the ICT sector</w:t>
              </w:r>
            </w:hyperlink>
            <w:r w:rsidRPr="00E0255C">
              <w:rPr>
                <w:rFonts w:eastAsia="Calibri" w:cs="Calibri"/>
                <w:lang w:val="en-GB"/>
              </w:rPr>
              <w:t xml:space="preserve">", 11 September 2019, Budapest, </w:t>
            </w:r>
            <w:proofErr w:type="gramStart"/>
            <w:r w:rsidRPr="00E0255C">
              <w:rPr>
                <w:rFonts w:eastAsia="Calibri" w:cs="Calibri"/>
                <w:lang w:val="en-GB"/>
              </w:rPr>
              <w:t>Hungary;</w:t>
            </w:r>
            <w:proofErr w:type="gramEnd"/>
          </w:p>
          <w:p w14:paraId="6DEFC258" w14:textId="77777777" w:rsidR="005506BA" w:rsidRPr="00E0255C" w:rsidRDefault="478B1C36" w:rsidP="006459A3">
            <w:pPr>
              <w:pStyle w:val="ListParagraph"/>
              <w:numPr>
                <w:ilvl w:val="0"/>
                <w:numId w:val="23"/>
              </w:numPr>
              <w:spacing w:before="60" w:after="60"/>
              <w:rPr>
                <w:rFonts w:eastAsia="Calibri" w:cs="Calibri"/>
                <w:lang w:val="en-GB"/>
              </w:rPr>
            </w:pPr>
            <w:r w:rsidRPr="00E0255C">
              <w:rPr>
                <w:rFonts w:eastAsia="Calibri" w:cs="Calibri"/>
                <w:lang w:val="en-GB"/>
              </w:rPr>
              <w:t>ITU Telecom World: Session on "</w:t>
            </w:r>
            <w:hyperlink r:id="rId500" w:history="1">
              <w:r w:rsidRPr="00E0255C">
                <w:rPr>
                  <w:rStyle w:val="Hyperlink"/>
                  <w:rFonts w:eastAsia="Calibri" w:cs="Calibri"/>
                  <w:lang w:val="en-GB"/>
                </w:rPr>
                <w:t>Frontier technologies for climate change</w:t>
              </w:r>
            </w:hyperlink>
            <w:r w:rsidR="005506BA" w:rsidRPr="00E0255C">
              <w:rPr>
                <w:rFonts w:eastAsia="Calibri" w:cs="Calibri"/>
                <w:lang w:val="en-GB"/>
              </w:rPr>
              <w:t xml:space="preserve">11 September 2019, Budapest, </w:t>
            </w:r>
            <w:proofErr w:type="gramStart"/>
            <w:r w:rsidR="005506BA" w:rsidRPr="00E0255C">
              <w:rPr>
                <w:rFonts w:eastAsia="Calibri" w:cs="Calibri"/>
                <w:lang w:val="en-GB"/>
              </w:rPr>
              <w:t>Hungary;</w:t>
            </w:r>
            <w:proofErr w:type="gramEnd"/>
          </w:p>
          <w:p w14:paraId="7DA85647" w14:textId="3768F3CD" w:rsidR="478B1C36" w:rsidRPr="00E0255C" w:rsidRDefault="478B1C36" w:rsidP="006459A3">
            <w:pPr>
              <w:pStyle w:val="ListParagraph"/>
              <w:numPr>
                <w:ilvl w:val="0"/>
                <w:numId w:val="23"/>
              </w:numPr>
              <w:spacing w:before="60" w:after="60"/>
              <w:rPr>
                <w:rFonts w:eastAsia="Calibri" w:cs="Calibri"/>
                <w:lang w:val="en-GB"/>
              </w:rPr>
            </w:pPr>
            <w:r w:rsidRPr="00E0255C">
              <w:rPr>
                <w:rFonts w:eastAsia="Calibri" w:cs="Calibri"/>
                <w:lang w:val="en-GB"/>
              </w:rPr>
              <w:t>HLPF Side Event: "</w:t>
            </w:r>
            <w:hyperlink r:id="rId501" w:history="1">
              <w:r w:rsidRPr="00E0255C">
                <w:rPr>
                  <w:rStyle w:val="Hyperlink"/>
                  <w:rFonts w:eastAsia="Calibri" w:cs="Calibri"/>
                  <w:lang w:val="en-GB"/>
                </w:rPr>
                <w:t>Harnessing Frontier Technologies for Accelerating Climate Actions and the SDGs</w:t>
              </w:r>
            </w:hyperlink>
            <w:r w:rsidRPr="00E0255C">
              <w:rPr>
                <w:rFonts w:eastAsia="Calibri" w:cs="Calibri"/>
                <w:lang w:val="en-GB"/>
              </w:rPr>
              <w:t xml:space="preserve">", 9 July 2019, New York, </w:t>
            </w:r>
            <w:proofErr w:type="gramStart"/>
            <w:r w:rsidRPr="00E0255C">
              <w:rPr>
                <w:rFonts w:eastAsia="Calibri" w:cs="Calibri"/>
                <w:lang w:val="en-GB"/>
              </w:rPr>
              <w:t>UNHQ;</w:t>
            </w:r>
            <w:proofErr w:type="gramEnd"/>
          </w:p>
          <w:bookmarkStart w:id="168" w:name="_Hlk39561275"/>
          <w:p w14:paraId="1F17ECF4" w14:textId="51E6EDA5" w:rsidR="478B1C36" w:rsidRPr="00E0255C" w:rsidRDefault="000B788D" w:rsidP="006459A3">
            <w:pPr>
              <w:pStyle w:val="ListParagraph"/>
              <w:numPr>
                <w:ilvl w:val="0"/>
                <w:numId w:val="23"/>
              </w:numPr>
              <w:spacing w:before="60" w:after="60"/>
              <w:rPr>
                <w:rFonts w:eastAsia="Calibri" w:cs="Calibri"/>
                <w:lang w:val="en-GB"/>
              </w:rPr>
            </w:pPr>
            <w:r w:rsidRPr="00E0255C">
              <w:fldChar w:fldCharType="begin"/>
            </w:r>
            <w:r w:rsidRPr="00E0255C">
              <w:rPr>
                <w:color w:val="0000FF"/>
                <w:u w:val="single"/>
                <w:lang w:val="en-GB"/>
              </w:rPr>
              <w:instrText xml:space="preserve"> HYPERLINK "https://www.itu.int/en/ITU-T/studygroups/2017-2020/05/Pages/event-20190515.aspx" \h </w:instrText>
            </w:r>
            <w:r w:rsidRPr="00E0255C">
              <w:fldChar w:fldCharType="separate"/>
            </w:r>
            <w:r w:rsidR="478B1C36" w:rsidRPr="00E0255C">
              <w:rPr>
                <w:rStyle w:val="Hyperlink"/>
                <w:rFonts w:eastAsia="Calibri" w:cs="Calibri"/>
                <w:lang w:val="en-GB"/>
              </w:rPr>
              <w:t>Smart Environment Panel on GHG emissions trajectories for the ICT sector,</w:t>
            </w:r>
            <w:r w:rsidRPr="00E0255C">
              <w:rPr>
                <w:rStyle w:val="Hyperlink"/>
                <w:rFonts w:eastAsia="Calibri" w:cs="Calibri"/>
                <w:lang w:val="en-GB"/>
              </w:rPr>
              <w:fldChar w:fldCharType="end"/>
            </w:r>
            <w:bookmarkEnd w:id="168"/>
            <w:r w:rsidR="478B1C36" w:rsidRPr="00E0255C">
              <w:rPr>
                <w:rFonts w:eastAsia="Calibri" w:cs="Calibri"/>
                <w:color w:val="0000FF"/>
                <w:u w:val="single"/>
                <w:lang w:val="en-GB"/>
              </w:rPr>
              <w:t xml:space="preserve"> </w:t>
            </w:r>
            <w:r w:rsidR="478B1C36" w:rsidRPr="00E0255C">
              <w:rPr>
                <w:rFonts w:eastAsia="Calibri" w:cs="Calibri"/>
                <w:lang w:val="en-GB"/>
              </w:rPr>
              <w:t xml:space="preserve">15 May 2019, Geneva, </w:t>
            </w:r>
            <w:proofErr w:type="gramStart"/>
            <w:r w:rsidR="478B1C36" w:rsidRPr="00E0255C">
              <w:rPr>
                <w:rFonts w:eastAsia="Calibri" w:cs="Calibri"/>
                <w:lang w:val="en-GB"/>
              </w:rPr>
              <w:t>Switzerland;</w:t>
            </w:r>
            <w:proofErr w:type="gramEnd"/>
          </w:p>
          <w:p w14:paraId="183F04DF" w14:textId="77777777" w:rsidR="006459A3" w:rsidRPr="00E0255C" w:rsidRDefault="00570F0C" w:rsidP="0029300D">
            <w:pPr>
              <w:pStyle w:val="ListParagraph"/>
              <w:numPr>
                <w:ilvl w:val="0"/>
                <w:numId w:val="23"/>
              </w:numPr>
              <w:spacing w:before="60" w:after="60"/>
              <w:rPr>
                <w:rFonts w:eastAsia="Calibri" w:cs="Calibri"/>
                <w:color w:val="000000" w:themeColor="text1"/>
                <w:lang w:val="en-GB" w:eastAsia="zh-CN"/>
              </w:rPr>
            </w:pPr>
            <w:hyperlink r:id="rId502">
              <w:r w:rsidR="478B1C36" w:rsidRPr="00E0255C">
                <w:rPr>
                  <w:rStyle w:val="Hyperlink"/>
                  <w:rFonts w:eastAsia="Calibri" w:cs="Calibri"/>
                  <w:lang w:val="en-GB"/>
                </w:rPr>
                <w:t>13th Symposium on ICT, Environment and Climate Change</w:t>
              </w:r>
            </w:hyperlink>
            <w:r w:rsidR="478B1C36" w:rsidRPr="00E0255C">
              <w:rPr>
                <w:rFonts w:eastAsia="Calibri" w:cs="Calibri"/>
                <w:lang w:val="en-GB"/>
              </w:rPr>
              <w:t>, 13 May 2019</w:t>
            </w:r>
            <w:r w:rsidR="478B1C36" w:rsidRPr="00E0255C">
              <w:rPr>
                <w:rFonts w:eastAsia="Calibri" w:cs="Calibri"/>
                <w:color w:val="000000" w:themeColor="text1"/>
                <w:lang w:val="en-GB" w:eastAsia="zh-CN"/>
              </w:rPr>
              <w:t xml:space="preserve">, Geneva, </w:t>
            </w:r>
            <w:proofErr w:type="gramStart"/>
            <w:r w:rsidR="478B1C36" w:rsidRPr="00E0255C">
              <w:rPr>
                <w:rFonts w:eastAsia="Calibri" w:cs="Calibri"/>
                <w:color w:val="000000" w:themeColor="text1"/>
                <w:lang w:val="en-GB" w:eastAsia="zh-CN"/>
              </w:rPr>
              <w:t>Switzerland;</w:t>
            </w:r>
            <w:proofErr w:type="gramEnd"/>
          </w:p>
          <w:p w14:paraId="57DE5340" w14:textId="413E909F" w:rsidR="478B1C36" w:rsidRPr="00E0255C" w:rsidRDefault="00570F0C" w:rsidP="0029300D">
            <w:pPr>
              <w:pStyle w:val="ListParagraph"/>
              <w:numPr>
                <w:ilvl w:val="0"/>
                <w:numId w:val="23"/>
              </w:numPr>
              <w:spacing w:before="60" w:after="60"/>
              <w:rPr>
                <w:rFonts w:eastAsia="Calibri" w:cs="Calibri"/>
                <w:color w:val="000000" w:themeColor="text1"/>
                <w:lang w:val="en-GB" w:eastAsia="zh-CN"/>
              </w:rPr>
            </w:pPr>
            <w:hyperlink r:id="rId503">
              <w:r w:rsidR="478B1C36" w:rsidRPr="00E0255C">
                <w:rPr>
                  <w:color w:val="0000FF"/>
                  <w:u w:val="single"/>
                  <w:lang w:val="en-GB" w:eastAsia="zh-CN"/>
                </w:rPr>
                <w:t xml:space="preserve">STI Forum Side Event: </w:t>
              </w:r>
              <w:r w:rsidR="478B1C36" w:rsidRPr="00E0255C">
                <w:rPr>
                  <w:rStyle w:val="Hyperlink"/>
                  <w:rFonts w:eastAsia="Calibri" w:cs="Calibri"/>
                  <w:lang w:val="en-GB"/>
                </w:rPr>
                <w:t>Frontier Technologies to Protect the Environment and Tackle Climate Change</w:t>
              </w:r>
            </w:hyperlink>
            <w:r w:rsidR="478B1C36" w:rsidRPr="00E0255C">
              <w:rPr>
                <w:rFonts w:eastAsia="Calibri" w:cs="Calibri"/>
                <w:color w:val="0000FF"/>
                <w:u w:val="single"/>
                <w:lang w:val="en-GB"/>
              </w:rPr>
              <w:t xml:space="preserve">, </w:t>
            </w:r>
            <w:r w:rsidR="478B1C36" w:rsidRPr="00E0255C">
              <w:rPr>
                <w:rFonts w:eastAsia="Calibri" w:cs="Calibri"/>
                <w:color w:val="000000" w:themeColor="text1"/>
                <w:lang w:val="en-GB" w:eastAsia="zh-CN"/>
              </w:rPr>
              <w:t>14 May 2019, New York, UNHQ.</w:t>
            </w:r>
          </w:p>
          <w:p w14:paraId="462EBF93" w14:textId="51F1F5A4" w:rsidR="00BE37B6" w:rsidRPr="00E0255C" w:rsidRDefault="00BE37B6" w:rsidP="006459A3">
            <w:pPr>
              <w:spacing w:before="60" w:after="60"/>
              <w:jc w:val="both"/>
              <w:rPr>
                <w:lang w:val="en-GB"/>
              </w:rPr>
            </w:pPr>
          </w:p>
        </w:tc>
      </w:tr>
      <w:tr w:rsidR="478B1C36" w:rsidRPr="00B64995" w14:paraId="37276645" w14:textId="77777777" w:rsidTr="09AD7226">
        <w:tc>
          <w:tcPr>
            <w:tcW w:w="9026" w:type="dxa"/>
            <w:shd w:val="clear" w:color="auto" w:fill="FFFFFF" w:themeFill="background1"/>
          </w:tcPr>
          <w:p w14:paraId="39CF1A8D" w14:textId="51AFBB9D" w:rsidR="478B1C36" w:rsidRPr="00E0255C" w:rsidRDefault="478B1C36" w:rsidP="006459A3">
            <w:pPr>
              <w:spacing w:before="60" w:after="60"/>
              <w:jc w:val="both"/>
              <w:rPr>
                <w:lang w:val="en-GB"/>
              </w:rPr>
            </w:pPr>
            <w:r w:rsidRPr="00E0255C">
              <w:rPr>
                <w:rFonts w:eastAsia="Calibri"/>
                <w:b/>
              </w:rPr>
              <w:lastRenderedPageBreak/>
              <w:t>184 (Guadalaj</w:t>
            </w:r>
            <w:r w:rsidR="004F72C3" w:rsidRPr="00E0255C">
              <w:rPr>
                <w:rFonts w:eastAsia="Calibri"/>
                <w:b/>
              </w:rPr>
              <w:t>ara</w:t>
            </w:r>
            <w:r w:rsidRPr="00E0255C">
              <w:rPr>
                <w:rFonts w:eastAsia="Calibri"/>
                <w:b/>
              </w:rPr>
              <w:t>, 2010) Facilitating digital inclusion initiatives for indigenous peoples</w:t>
            </w:r>
          </w:p>
          <w:p w14:paraId="35CA5905" w14:textId="5DBD63CE" w:rsidR="005506BA" w:rsidRPr="00E0255C" w:rsidRDefault="005506BA" w:rsidP="006459A3">
            <w:pPr>
              <w:spacing w:before="60" w:after="60"/>
              <w:jc w:val="both"/>
              <w:rPr>
                <w:lang w:val="en-GB"/>
              </w:rPr>
            </w:pPr>
            <w:r w:rsidRPr="00E0255C">
              <w:rPr>
                <w:rFonts w:eastAsia="Calibri"/>
              </w:rPr>
              <w:t>S</w:t>
            </w:r>
            <w:r w:rsidR="478B1C36" w:rsidRPr="00E0255C">
              <w:rPr>
                <w:rFonts w:eastAsia="Calibri"/>
              </w:rPr>
              <w:t xml:space="preserve">ee </w:t>
            </w:r>
            <w:hyperlink w:anchor="Section_1_7" w:history="1">
              <w:r w:rsidR="478B1C36" w:rsidRPr="00E0255C">
                <w:rPr>
                  <w:rStyle w:val="Hyperlink"/>
                  <w:rFonts w:eastAsia="Calibri"/>
                </w:rPr>
                <w:t>section 1.7</w:t>
              </w:r>
            </w:hyperlink>
            <w:r w:rsidRPr="00E0255C">
              <w:rPr>
                <w:rFonts w:eastAsia="Calibri"/>
                <w:lang w:val="en-GB" w:eastAsia="en-US"/>
              </w:rPr>
              <w:t>.</w:t>
            </w:r>
          </w:p>
        </w:tc>
      </w:tr>
      <w:tr w:rsidR="478B1C36" w:rsidRPr="00B64995" w14:paraId="25F1794D" w14:textId="77777777" w:rsidTr="09AD7226">
        <w:tc>
          <w:tcPr>
            <w:tcW w:w="9026" w:type="dxa"/>
            <w:shd w:val="clear" w:color="auto" w:fill="FFFFFF" w:themeFill="background1"/>
          </w:tcPr>
          <w:p w14:paraId="7200064A" w14:textId="44678854" w:rsidR="478B1C36" w:rsidRPr="00E0255C" w:rsidRDefault="478B1C36" w:rsidP="006459A3">
            <w:pPr>
              <w:spacing w:before="60" w:after="60"/>
              <w:jc w:val="both"/>
              <w:rPr>
                <w:rFonts w:eastAsia="Calibri"/>
                <w:b/>
                <w:lang w:val="en-GB"/>
              </w:rPr>
            </w:pPr>
            <w:r w:rsidRPr="00E0255C">
              <w:rPr>
                <w:rFonts w:eastAsia="Calibri"/>
                <w:b/>
              </w:rPr>
              <w:t>186 (</w:t>
            </w:r>
            <w:r w:rsidR="00A579C3" w:rsidRPr="00E0255C">
              <w:rPr>
                <w:rFonts w:eastAsia="Calibri"/>
                <w:b/>
              </w:rPr>
              <w:t>Rev</w:t>
            </w:r>
            <w:r w:rsidRPr="00E0255C">
              <w:rPr>
                <w:rFonts w:eastAsia="Calibri"/>
                <w:b/>
              </w:rPr>
              <w:t xml:space="preserve">. Dubai, 2018) Strengthening the role of ITU </w:t>
            </w:r>
            <w:proofErr w:type="gramStart"/>
            <w:r w:rsidRPr="00E0255C">
              <w:rPr>
                <w:rFonts w:eastAsia="Calibri"/>
                <w:b/>
              </w:rPr>
              <w:t>with regard to</w:t>
            </w:r>
            <w:proofErr w:type="gramEnd"/>
            <w:r w:rsidRPr="00E0255C">
              <w:rPr>
                <w:rFonts w:eastAsia="Calibri"/>
                <w:b/>
              </w:rPr>
              <w:t xml:space="preserve"> transparency and confidence-building measures in outer space activities</w:t>
            </w:r>
          </w:p>
          <w:p w14:paraId="7B56DF3A" w14:textId="5F5E542B" w:rsidR="478B1C36" w:rsidRPr="00E0255C" w:rsidRDefault="005506BA" w:rsidP="006459A3">
            <w:pPr>
              <w:spacing w:before="60" w:after="60"/>
              <w:jc w:val="both"/>
              <w:rPr>
                <w:lang w:val="en-GB"/>
              </w:rPr>
            </w:pPr>
            <w:r w:rsidRPr="00E0255C">
              <w:rPr>
                <w:rFonts w:eastAsia="Calibri"/>
                <w:bCs/>
              </w:rPr>
              <w:t xml:space="preserve">See </w:t>
            </w:r>
            <w:hyperlink w:anchor="Section_1_9" w:history="1">
              <w:r w:rsidRPr="00E0255C">
                <w:rPr>
                  <w:rStyle w:val="Hyperlink"/>
                  <w:rFonts w:eastAsia="Calibri"/>
                  <w:bCs/>
                </w:rPr>
                <w:t>section 1.9</w:t>
              </w:r>
            </w:hyperlink>
            <w:r w:rsidRPr="00E0255C">
              <w:rPr>
                <w:rFonts w:eastAsia="Calibri"/>
                <w:bCs/>
                <w:lang w:val="en-GB" w:eastAsia="en-US"/>
              </w:rPr>
              <w:t>.</w:t>
            </w:r>
          </w:p>
        </w:tc>
      </w:tr>
      <w:tr w:rsidR="478B1C36" w:rsidRPr="00B64995" w14:paraId="1C706B1C" w14:textId="77777777" w:rsidTr="09AD7226">
        <w:tc>
          <w:tcPr>
            <w:tcW w:w="9026" w:type="dxa"/>
            <w:shd w:val="clear" w:color="auto" w:fill="FFFFFF" w:themeFill="background1"/>
          </w:tcPr>
          <w:p w14:paraId="37025ED3" w14:textId="0BBFFD1F" w:rsidR="478B1C36" w:rsidRPr="00E0255C" w:rsidRDefault="478B1C36" w:rsidP="006459A3">
            <w:pPr>
              <w:spacing w:before="60" w:after="60"/>
              <w:jc w:val="both"/>
              <w:rPr>
                <w:lang w:val="en-GB"/>
              </w:rPr>
            </w:pPr>
            <w:r w:rsidRPr="00E0255C">
              <w:rPr>
                <w:rFonts w:eastAsia="Calibri"/>
                <w:b/>
              </w:rPr>
              <w:t>188 (</w:t>
            </w:r>
            <w:r w:rsidR="00A579C3" w:rsidRPr="00E0255C">
              <w:rPr>
                <w:rFonts w:eastAsia="Calibri"/>
                <w:b/>
              </w:rPr>
              <w:t>R</w:t>
            </w:r>
            <w:r w:rsidRPr="00E0255C">
              <w:rPr>
                <w:rFonts w:eastAsia="Calibri"/>
                <w:b/>
              </w:rPr>
              <w:t>ev. Dubai, 2018) Combating counterfeit telecommunication/information and communication technology devices</w:t>
            </w:r>
          </w:p>
          <w:p w14:paraId="73CBB86D" w14:textId="24CAB3AF" w:rsidR="478B1C36" w:rsidRPr="00E0255C" w:rsidRDefault="478B1C36" w:rsidP="006459A3">
            <w:pPr>
              <w:spacing w:before="60" w:after="60"/>
              <w:jc w:val="both"/>
              <w:rPr>
                <w:lang w:val="en-GB"/>
              </w:rPr>
            </w:pPr>
            <w:r w:rsidRPr="00E0255C">
              <w:rPr>
                <w:rFonts w:eastAsia="Calibri"/>
              </w:rPr>
              <w:t xml:space="preserve">In March 2019, following Member States consultation (Resolution 1 of WTSA-16), ITU-T </w:t>
            </w:r>
            <w:r w:rsidR="006D38B9" w:rsidRPr="00E0255C">
              <w:rPr>
                <w:rFonts w:eastAsia="Calibri"/>
              </w:rPr>
              <w:t>SG 11</w:t>
            </w:r>
            <w:r w:rsidRPr="00E0255C">
              <w:rPr>
                <w:rFonts w:eastAsia="Calibri"/>
              </w:rPr>
              <w:t xml:space="preserve"> approved new Recommendation ITU-T Q.5050 “Framework for solution to combat counterfeit ICT devices” which contains the reference framework and requirements to be considered when deploying solutions to combat the circulation and use of counterfeit ICT devices.</w:t>
            </w:r>
          </w:p>
          <w:p w14:paraId="7DA4308A" w14:textId="00294E06" w:rsidR="478B1C36" w:rsidRPr="00E0255C" w:rsidRDefault="478B1C36" w:rsidP="006459A3">
            <w:pPr>
              <w:spacing w:before="60" w:after="60"/>
              <w:jc w:val="both"/>
              <w:rPr>
                <w:lang w:val="en-GB"/>
              </w:rPr>
            </w:pPr>
            <w:r w:rsidRPr="00E0255C">
              <w:rPr>
                <w:rFonts w:eastAsia="Calibri"/>
              </w:rPr>
              <w:t xml:space="preserve">TSB is organizing Regional Workshops on combating counterfeiting ICT devices. The third ITU-T Study Group 11 Regional Workshop for Africa on “Counterfeit ICT Devices, Conformance and Interoperability Testing Challenges in Africa” took place in Tunis (Tunisia) on 30 September 2019, back-to-back with the ITU-T </w:t>
            </w:r>
            <w:r w:rsidR="006D38B9" w:rsidRPr="00E0255C">
              <w:rPr>
                <w:rFonts w:eastAsia="Calibri"/>
              </w:rPr>
              <w:t>SG 11</w:t>
            </w:r>
            <w:r w:rsidRPr="00E0255C">
              <w:rPr>
                <w:rFonts w:eastAsia="Calibri"/>
              </w:rPr>
              <w:t xml:space="preserve"> Regional group meeting for Africa (SG11RG-AFR).</w:t>
            </w:r>
          </w:p>
          <w:p w14:paraId="6C518304" w14:textId="20E4F959" w:rsidR="478B1C36" w:rsidRPr="00E0255C" w:rsidRDefault="478B1C36" w:rsidP="006459A3">
            <w:pPr>
              <w:spacing w:before="60" w:after="60"/>
              <w:jc w:val="both"/>
              <w:rPr>
                <w:lang w:val="en-GB"/>
              </w:rPr>
            </w:pPr>
            <w:r w:rsidRPr="00E0255C">
              <w:rPr>
                <w:rFonts w:eastAsia="Calibri"/>
              </w:rPr>
              <w:t xml:space="preserve">SG11RG-AFR considered a necessity to begin extensive discussion within the region for implementation of strategies for combating counterfeiting mobile devices and fraud. This decision was based on the draft contribution “Framework on combating counterfeit and stolen ICT mobile devices in Africa region” which was discussed at the SG11RG-AFR meeting and further submitted to </w:t>
            </w:r>
            <w:r w:rsidR="006D38B9" w:rsidRPr="00E0255C">
              <w:rPr>
                <w:rFonts w:eastAsia="Calibri"/>
              </w:rPr>
              <w:t>SG 11</w:t>
            </w:r>
            <w:r w:rsidRPr="00E0255C">
              <w:rPr>
                <w:rFonts w:eastAsia="Calibri"/>
              </w:rPr>
              <w:t xml:space="preserve"> meeting (October 2019).</w:t>
            </w:r>
          </w:p>
          <w:p w14:paraId="5D87CB0F" w14:textId="2D5BBF03" w:rsidR="478B1C36" w:rsidRPr="00E0255C" w:rsidRDefault="478B1C36" w:rsidP="006459A3">
            <w:pPr>
              <w:spacing w:before="60" w:after="60"/>
              <w:jc w:val="both"/>
              <w:rPr>
                <w:rFonts w:eastAsia="Calibri"/>
                <w:lang w:val="en-GB"/>
              </w:rPr>
            </w:pPr>
            <w:r w:rsidRPr="00E0255C">
              <w:rPr>
                <w:rFonts w:eastAsia="Calibri"/>
              </w:rPr>
              <w:t xml:space="preserve">In this regard, there is call for African regulators associations to arrange a joint meeting </w:t>
            </w:r>
            <w:proofErr w:type="gramStart"/>
            <w:r w:rsidRPr="00E0255C">
              <w:rPr>
                <w:rFonts w:eastAsia="Calibri"/>
              </w:rPr>
              <w:t>in order to</w:t>
            </w:r>
            <w:proofErr w:type="gramEnd"/>
            <w:r w:rsidRPr="00E0255C">
              <w:rPr>
                <w:rFonts w:eastAsia="Calibri"/>
              </w:rPr>
              <w:t xml:space="preserve"> set up a common strategy based on the proposed technical report. This approach will help all Members States of the Africa region to protect innovations, brands and genuine products in the market and support products circulation to protect health, </w:t>
            </w:r>
            <w:proofErr w:type="gramStart"/>
            <w:r w:rsidRPr="00E0255C">
              <w:rPr>
                <w:rFonts w:eastAsia="Calibri"/>
              </w:rPr>
              <w:t>safety</w:t>
            </w:r>
            <w:proofErr w:type="gramEnd"/>
            <w:r w:rsidRPr="00E0255C">
              <w:rPr>
                <w:rFonts w:eastAsia="Calibri"/>
              </w:rPr>
              <w:t xml:space="preserve"> and security of consumers in the Africa region.</w:t>
            </w:r>
          </w:p>
          <w:p w14:paraId="33BB8EF6" w14:textId="77777777" w:rsidR="00B36DE2" w:rsidRPr="00E0255C" w:rsidRDefault="00B36DE2" w:rsidP="006459A3">
            <w:pPr>
              <w:spacing w:before="60" w:after="60"/>
              <w:jc w:val="both"/>
              <w:rPr>
                <w:lang w:val="en-GB"/>
              </w:rPr>
            </w:pPr>
          </w:p>
          <w:p w14:paraId="0785FF79" w14:textId="11298CE2" w:rsidR="478B1C36" w:rsidRPr="00E0255C" w:rsidRDefault="478B1C36" w:rsidP="006459A3">
            <w:pPr>
              <w:spacing w:before="60" w:after="60"/>
              <w:jc w:val="both"/>
              <w:rPr>
                <w:lang w:val="en-GB"/>
              </w:rPr>
            </w:pPr>
            <w:r w:rsidRPr="00E0255C">
              <w:rPr>
                <w:rFonts w:eastAsia="Calibri"/>
              </w:rPr>
              <w:t xml:space="preserve">Following the decision of Council-18 </w:t>
            </w:r>
            <w:r w:rsidRPr="00E0255C">
              <w:rPr>
                <w:rFonts w:eastAsia="Calibri"/>
                <w:i/>
              </w:rPr>
              <w:t>(</w:t>
            </w:r>
            <w:hyperlink r:id="rId504">
              <w:r w:rsidRPr="00E0255C">
                <w:rPr>
                  <w:rStyle w:val="Hyperlink"/>
                  <w:rFonts w:eastAsia="Calibri"/>
                  <w:i/>
                </w:rPr>
                <w:t>C18/107</w:t>
              </w:r>
            </w:hyperlink>
            <w:r w:rsidRPr="00E0255C">
              <w:rPr>
                <w:rFonts w:eastAsia="Calibri"/>
                <w:i/>
                <w:lang w:val="en-GB" w:eastAsia="en-US"/>
              </w:rPr>
              <w:t>, clause 2)</w:t>
            </w:r>
            <w:r w:rsidRPr="00E0255C">
              <w:rPr>
                <w:rFonts w:eastAsia="Calibri"/>
                <w:lang w:val="en-GB" w:eastAsia="en-US"/>
              </w:rPr>
              <w:t xml:space="preserve">, ITU, </w:t>
            </w:r>
            <w:proofErr w:type="gramStart"/>
            <w:r w:rsidRPr="00E0255C">
              <w:rPr>
                <w:rFonts w:eastAsia="Calibri"/>
                <w:lang w:val="en-GB" w:eastAsia="en-US"/>
              </w:rPr>
              <w:t>in particular TSB</w:t>
            </w:r>
            <w:proofErr w:type="gramEnd"/>
            <w:r w:rsidRPr="00E0255C">
              <w:rPr>
                <w:rFonts w:eastAsia="Calibri"/>
                <w:lang w:val="en-GB" w:eastAsia="en-US"/>
              </w:rPr>
              <w:t xml:space="preserve">, should be studying the questions raised by </w:t>
            </w:r>
            <w:r w:rsidR="00A92ED1" w:rsidRPr="00E0255C">
              <w:rPr>
                <w:rFonts w:eastAsia="Calibri"/>
                <w:lang w:val="en-GB" w:eastAsia="en-US"/>
              </w:rPr>
              <w:t xml:space="preserve">the </w:t>
            </w:r>
            <w:r w:rsidRPr="00E0255C">
              <w:rPr>
                <w:rFonts w:eastAsia="Calibri"/>
                <w:lang w:val="en-GB" w:eastAsia="en-US"/>
              </w:rPr>
              <w:t>members</w:t>
            </w:r>
            <w:r w:rsidR="00A92ED1" w:rsidRPr="00E0255C">
              <w:rPr>
                <w:rFonts w:eastAsia="Calibri"/>
                <w:lang w:val="en-GB" w:eastAsia="en-US"/>
              </w:rPr>
              <w:t>hip</w:t>
            </w:r>
            <w:r w:rsidRPr="00E0255C">
              <w:rPr>
                <w:rFonts w:eastAsia="Calibri"/>
                <w:lang w:val="en-GB" w:eastAsia="en-US"/>
              </w:rPr>
              <w:t xml:space="preserve"> on IMEI security in one of the ITU-T study groups. Council-18 report </w:t>
            </w:r>
            <w:r w:rsidRPr="00E0255C">
              <w:rPr>
                <w:rFonts w:eastAsia="Calibri"/>
                <w:i/>
                <w:lang w:val="en-GB" w:eastAsia="en-US"/>
              </w:rPr>
              <w:t>(</w:t>
            </w:r>
            <w:hyperlink r:id="rId505">
              <w:r w:rsidRPr="00E0255C">
                <w:rPr>
                  <w:rStyle w:val="Hyperlink"/>
                  <w:rFonts w:eastAsia="Calibri"/>
                  <w:i/>
                  <w:lang w:val="en-GB" w:eastAsia="en-US"/>
                </w:rPr>
                <w:t>C18/107</w:t>
              </w:r>
            </w:hyperlink>
            <w:r w:rsidRPr="00E0255C">
              <w:rPr>
                <w:rFonts w:eastAsia="Calibri"/>
                <w:i/>
              </w:rPr>
              <w:t xml:space="preserve">) </w:t>
            </w:r>
            <w:r w:rsidRPr="00E0255C">
              <w:rPr>
                <w:rFonts w:eastAsia="Calibri"/>
              </w:rPr>
              <w:t xml:space="preserve">requested </w:t>
            </w:r>
            <w:r w:rsidRPr="00E0255C">
              <w:rPr>
                <w:rFonts w:eastAsia="Calibri"/>
                <w:i/>
              </w:rPr>
              <w:t>“ITU-T study groups, in particular Study Group 11, to continue to develop Recommendations, technical reports and guidelines to address the problems posed by counterfeits</w:t>
            </w:r>
            <w:r w:rsidR="00A92ED1" w:rsidRPr="00E0255C">
              <w:rPr>
                <w:rFonts w:eastAsia="Calibri"/>
                <w:i/>
              </w:rPr>
              <w:t>”</w:t>
            </w:r>
            <w:r w:rsidRPr="00E0255C">
              <w:rPr>
                <w:rFonts w:eastAsia="Calibri"/>
              </w:rPr>
              <w:t>.</w:t>
            </w:r>
            <w:r w:rsidRPr="00E0255C">
              <w:br/>
            </w:r>
            <w:r w:rsidRPr="00E0255C">
              <w:rPr>
                <w:rFonts w:eastAsia="Calibri"/>
              </w:rPr>
              <w:t xml:space="preserve"> ITU-T </w:t>
            </w:r>
            <w:r w:rsidR="006D38B9" w:rsidRPr="00E0255C">
              <w:rPr>
                <w:rFonts w:eastAsia="Calibri"/>
              </w:rPr>
              <w:t>SG 11</w:t>
            </w:r>
            <w:r w:rsidRPr="00E0255C">
              <w:rPr>
                <w:rFonts w:eastAsia="Calibri"/>
              </w:rPr>
              <w:t xml:space="preserve"> </w:t>
            </w:r>
            <w:r w:rsidR="00847B20" w:rsidRPr="00E0255C">
              <w:rPr>
                <w:rFonts w:eastAsia="Calibri"/>
              </w:rPr>
              <w:t xml:space="preserve">agreed </w:t>
            </w:r>
            <w:r w:rsidR="002D6577" w:rsidRPr="00E0255C">
              <w:rPr>
                <w:rFonts w:eastAsia="Calibri"/>
              </w:rPr>
              <w:t>t</w:t>
            </w:r>
            <w:r w:rsidR="003E41B8" w:rsidRPr="00E0255C">
              <w:rPr>
                <w:rFonts w:eastAsia="Calibri"/>
              </w:rPr>
              <w:t xml:space="preserve">echnical </w:t>
            </w:r>
            <w:r w:rsidR="002D6577" w:rsidRPr="00E0255C">
              <w:rPr>
                <w:rFonts w:eastAsia="Calibri"/>
              </w:rPr>
              <w:t>r</w:t>
            </w:r>
            <w:r w:rsidR="003E41B8" w:rsidRPr="00E0255C">
              <w:rPr>
                <w:rFonts w:eastAsia="Calibri"/>
              </w:rPr>
              <w:t>eport</w:t>
            </w:r>
            <w:r w:rsidRPr="00E0255C">
              <w:rPr>
                <w:rFonts w:eastAsia="Calibri"/>
              </w:rPr>
              <w:t xml:space="preserve"> TR-RLB-IMEI</w:t>
            </w:r>
            <w:r w:rsidR="002D6577" w:rsidRPr="00E0255C">
              <w:rPr>
                <w:rFonts w:eastAsia="Calibri"/>
              </w:rPr>
              <w:t>,</w:t>
            </w:r>
            <w:r w:rsidRPr="00E0255C">
              <w:rPr>
                <w:rFonts w:eastAsia="Calibri"/>
              </w:rPr>
              <w:t xml:space="preserve"> </w:t>
            </w:r>
            <w:r w:rsidR="00A92ED1" w:rsidRPr="00E0255C">
              <w:rPr>
                <w:rFonts w:eastAsia="Calibri"/>
              </w:rPr>
              <w:t>“</w:t>
            </w:r>
            <w:r w:rsidRPr="00E0255C">
              <w:rPr>
                <w:rFonts w:eastAsia="Calibri"/>
              </w:rPr>
              <w:t>Reliability of IMEI identifier</w:t>
            </w:r>
            <w:r w:rsidR="00A92ED1" w:rsidRPr="00E0255C">
              <w:rPr>
                <w:rFonts w:eastAsia="Calibri"/>
              </w:rPr>
              <w:t>”</w:t>
            </w:r>
            <w:r w:rsidR="002D6577" w:rsidRPr="00E0255C">
              <w:rPr>
                <w:rFonts w:eastAsia="Calibri"/>
              </w:rPr>
              <w:t>. The report</w:t>
            </w:r>
            <w:r w:rsidR="00705DDA" w:rsidRPr="00E0255C">
              <w:rPr>
                <w:rFonts w:eastAsia="Calibri"/>
              </w:rPr>
              <w:t xml:space="preserve"> </w:t>
            </w:r>
            <w:r w:rsidR="004B7A35" w:rsidRPr="00E0255C">
              <w:rPr>
                <w:rFonts w:eastAsia="Calibri"/>
              </w:rPr>
              <w:t xml:space="preserve">contains a study on the reliability of IMEI, including information about key vulnerabilities to IMEI reprogramming on mobile devices, challenges to make the IMEI non-reprogrammable, </w:t>
            </w:r>
            <w:r w:rsidR="002D6577" w:rsidRPr="00E0255C">
              <w:rPr>
                <w:rFonts w:eastAsia="Calibri"/>
              </w:rPr>
              <w:t xml:space="preserve">and the </w:t>
            </w:r>
            <w:r w:rsidR="004B7A35" w:rsidRPr="00E0255C">
              <w:rPr>
                <w:rFonts w:eastAsia="Calibri"/>
              </w:rPr>
              <w:t xml:space="preserve">effects of IMEI tampering on mobile users, brand owners, manufacturers, service providers, regulators, governments, law enforcement agencies </w:t>
            </w:r>
            <w:r w:rsidR="004B7A35" w:rsidRPr="00E0255C">
              <w:rPr>
                <w:rFonts w:eastAsia="Calibri"/>
              </w:rPr>
              <w:lastRenderedPageBreak/>
              <w:t xml:space="preserve">and national security. It addresses key challenges faced by a range of stakeholders that arise from cloned/tampered IMEIs, including concerns about the misuse of IMEI numbers raised by Member States at Council-17 and 18. It also proposes ways to improve IMEI reliability and </w:t>
            </w:r>
            <w:r w:rsidR="002D6577" w:rsidRPr="00E0255C">
              <w:rPr>
                <w:rFonts w:eastAsia="Calibri"/>
              </w:rPr>
              <w:t xml:space="preserve">suggests </w:t>
            </w:r>
            <w:r w:rsidR="004B7A35" w:rsidRPr="00E0255C">
              <w:rPr>
                <w:rFonts w:eastAsia="Calibri"/>
              </w:rPr>
              <w:t xml:space="preserve">preventive </w:t>
            </w:r>
            <w:r w:rsidR="002D6577" w:rsidRPr="00E0255C">
              <w:rPr>
                <w:rFonts w:eastAsia="Calibri"/>
              </w:rPr>
              <w:t xml:space="preserve">measures </w:t>
            </w:r>
            <w:r w:rsidR="004B7A35" w:rsidRPr="00E0255C">
              <w:rPr>
                <w:rFonts w:eastAsia="Calibri"/>
              </w:rPr>
              <w:t>for solving the issues on a national and international level</w:t>
            </w:r>
            <w:r w:rsidRPr="00E0255C">
              <w:rPr>
                <w:rFonts w:eastAsia="Calibri"/>
              </w:rPr>
              <w:t>.</w:t>
            </w:r>
          </w:p>
          <w:p w14:paraId="162FE364" w14:textId="52794022" w:rsidR="478B1C36" w:rsidRPr="00E0255C" w:rsidRDefault="478B1C36" w:rsidP="006459A3">
            <w:pPr>
              <w:pStyle w:val="ListParagraph"/>
              <w:numPr>
                <w:ilvl w:val="0"/>
                <w:numId w:val="22"/>
              </w:numPr>
              <w:spacing w:before="60" w:after="60"/>
              <w:jc w:val="both"/>
              <w:rPr>
                <w:rFonts w:eastAsiaTheme="minorEastAsia" w:cs="Calibri"/>
                <w:lang w:val="en-GB"/>
              </w:rPr>
            </w:pPr>
          </w:p>
          <w:p w14:paraId="56C40756" w14:textId="20A9DD96" w:rsidR="006861D2" w:rsidRPr="00E0255C" w:rsidRDefault="006861D2" w:rsidP="006861D2">
            <w:pPr>
              <w:spacing w:before="60" w:after="60"/>
              <w:jc w:val="both"/>
              <w:rPr>
                <w:rFonts w:eastAsia="Calibri"/>
                <w:lang w:val="en-GB"/>
              </w:rPr>
            </w:pPr>
            <w:r w:rsidRPr="00E0255C">
              <w:rPr>
                <w:rFonts w:eastAsia="Calibri"/>
              </w:rPr>
              <w:t xml:space="preserve">In January 2021, </w:t>
            </w:r>
            <w:r w:rsidR="006D38B9" w:rsidRPr="00E0255C">
              <w:rPr>
                <w:rFonts w:eastAsia="Calibri"/>
              </w:rPr>
              <w:t>SG 11</w:t>
            </w:r>
            <w:r w:rsidRPr="00E0255C">
              <w:rPr>
                <w:rFonts w:eastAsia="Calibri"/>
              </w:rPr>
              <w:t xml:space="preserve"> approved ITU-T Q.5053 “Mobile device access list audit interface”, which defines the methodologies and interfaces between </w:t>
            </w:r>
            <w:r w:rsidR="002D6577" w:rsidRPr="00E0255C">
              <w:rPr>
                <w:rFonts w:eastAsia="Calibri"/>
              </w:rPr>
              <w:t>a m</w:t>
            </w:r>
            <w:r w:rsidRPr="00E0255C">
              <w:rPr>
                <w:rFonts w:eastAsia="Calibri"/>
              </w:rPr>
              <w:t xml:space="preserve">obile device access list audit system (MDALAS) and </w:t>
            </w:r>
            <w:r w:rsidR="002D6577" w:rsidRPr="00E0255C">
              <w:rPr>
                <w:rFonts w:eastAsia="Calibri"/>
              </w:rPr>
              <w:t>m</w:t>
            </w:r>
            <w:r w:rsidRPr="00E0255C">
              <w:rPr>
                <w:rFonts w:eastAsia="Calibri"/>
              </w:rPr>
              <w:t xml:space="preserve">obile </w:t>
            </w:r>
            <w:r w:rsidR="002D6577" w:rsidRPr="00E0255C">
              <w:rPr>
                <w:rFonts w:eastAsia="Calibri"/>
              </w:rPr>
              <w:t>n</w:t>
            </w:r>
            <w:r w:rsidRPr="00E0255C">
              <w:rPr>
                <w:rFonts w:eastAsia="Calibri"/>
              </w:rPr>
              <w:t xml:space="preserve">etwork </w:t>
            </w:r>
            <w:r w:rsidR="002D6577" w:rsidRPr="00E0255C">
              <w:rPr>
                <w:rFonts w:eastAsia="Calibri"/>
              </w:rPr>
              <w:t>o</w:t>
            </w:r>
            <w:r w:rsidRPr="00E0255C">
              <w:rPr>
                <w:rFonts w:eastAsia="Calibri"/>
              </w:rPr>
              <w:t>perators’ Equipment Identity Register</w:t>
            </w:r>
            <w:r w:rsidR="002D6577" w:rsidRPr="00E0255C">
              <w:rPr>
                <w:rFonts w:eastAsia="Calibri"/>
              </w:rPr>
              <w:t>s</w:t>
            </w:r>
            <w:r w:rsidRPr="00E0255C">
              <w:rPr>
                <w:rFonts w:eastAsia="Calibri"/>
              </w:rPr>
              <w:t xml:space="preserve"> (EIR) </w:t>
            </w:r>
            <w:r w:rsidR="002D6577" w:rsidRPr="00E0255C">
              <w:rPr>
                <w:rFonts w:eastAsia="Calibri"/>
              </w:rPr>
              <w:t xml:space="preserve">for the purpose of </w:t>
            </w:r>
            <w:r w:rsidRPr="00E0255C">
              <w:rPr>
                <w:rFonts w:eastAsia="Calibri"/>
              </w:rPr>
              <w:t>audit</w:t>
            </w:r>
            <w:r w:rsidR="002D6577" w:rsidRPr="00E0255C">
              <w:rPr>
                <w:rFonts w:eastAsia="Calibri"/>
              </w:rPr>
              <w:t>ing</w:t>
            </w:r>
            <w:r w:rsidRPr="00E0255C">
              <w:rPr>
                <w:rFonts w:eastAsia="Calibri"/>
              </w:rPr>
              <w:t xml:space="preserve"> and reconcil</w:t>
            </w:r>
            <w:r w:rsidR="002D6577" w:rsidRPr="00E0255C">
              <w:rPr>
                <w:rFonts w:eastAsia="Calibri"/>
              </w:rPr>
              <w:t>ing</w:t>
            </w:r>
            <w:r w:rsidRPr="00E0255C">
              <w:rPr>
                <w:rFonts w:eastAsia="Calibri"/>
              </w:rPr>
              <w:t xml:space="preserve"> whether the MNOs are complying with the defined </w:t>
            </w:r>
            <w:r w:rsidR="002D6577" w:rsidRPr="00E0255C">
              <w:rPr>
                <w:rFonts w:eastAsia="Calibri"/>
              </w:rPr>
              <w:t>m</w:t>
            </w:r>
            <w:r w:rsidRPr="00E0255C">
              <w:rPr>
                <w:rFonts w:eastAsia="Calibri"/>
              </w:rPr>
              <w:t>obile device access list requirements.</w:t>
            </w:r>
          </w:p>
          <w:p w14:paraId="395A4383" w14:textId="5EE1EBC9" w:rsidR="006861D2" w:rsidRPr="00E0255C" w:rsidRDefault="006D38B9" w:rsidP="006861D2">
            <w:pPr>
              <w:spacing w:before="60" w:after="60"/>
              <w:jc w:val="both"/>
              <w:rPr>
                <w:rFonts w:eastAsia="Calibri"/>
                <w:lang w:val="en-GB"/>
              </w:rPr>
            </w:pPr>
            <w:r w:rsidRPr="00E0255C">
              <w:rPr>
                <w:rFonts w:eastAsia="Calibri"/>
              </w:rPr>
              <w:t>SG 11</w:t>
            </w:r>
            <w:r w:rsidR="006861D2" w:rsidRPr="00E0255C">
              <w:rPr>
                <w:rFonts w:eastAsia="Calibri"/>
              </w:rPr>
              <w:t xml:space="preserve"> created a new Question 17/11 which will focus on combating counterfeit or tampered telecommunication/ICT software.</w:t>
            </w:r>
          </w:p>
          <w:p w14:paraId="1C6287A5" w14:textId="2300594F" w:rsidR="006861D2" w:rsidRPr="00E0255C" w:rsidRDefault="006D38B9" w:rsidP="006459A3">
            <w:pPr>
              <w:spacing w:before="60" w:after="60"/>
              <w:rPr>
                <w:rFonts w:eastAsia="Calibri"/>
                <w:lang w:val="en-GB"/>
              </w:rPr>
            </w:pPr>
            <w:r w:rsidRPr="00E0255C">
              <w:rPr>
                <w:rFonts w:eastAsia="Calibri"/>
              </w:rPr>
              <w:t>SG 11</w:t>
            </w:r>
            <w:r w:rsidR="006861D2" w:rsidRPr="00E0255C">
              <w:rPr>
                <w:rFonts w:eastAsia="Calibri"/>
              </w:rPr>
              <w:t xml:space="preserve"> </w:t>
            </w:r>
            <w:r w:rsidR="002D6577" w:rsidRPr="00E0255C">
              <w:rPr>
                <w:rFonts w:eastAsia="Calibri"/>
              </w:rPr>
              <w:t xml:space="preserve">is </w:t>
            </w:r>
            <w:r w:rsidR="006861D2" w:rsidRPr="00E0255C">
              <w:rPr>
                <w:rFonts w:eastAsia="Calibri"/>
              </w:rPr>
              <w:t>continu</w:t>
            </w:r>
            <w:r w:rsidR="002D6577" w:rsidRPr="00E0255C">
              <w:rPr>
                <w:rFonts w:eastAsia="Calibri"/>
              </w:rPr>
              <w:t>ing</w:t>
            </w:r>
            <w:r w:rsidR="006861D2" w:rsidRPr="00E0255C">
              <w:rPr>
                <w:rFonts w:eastAsia="Calibri"/>
              </w:rPr>
              <w:t xml:space="preserve"> </w:t>
            </w:r>
            <w:r w:rsidR="002D6577" w:rsidRPr="00E0255C">
              <w:rPr>
                <w:rFonts w:eastAsia="Calibri"/>
              </w:rPr>
              <w:t xml:space="preserve">to </w:t>
            </w:r>
            <w:r w:rsidR="006861D2" w:rsidRPr="00E0255C">
              <w:rPr>
                <w:rFonts w:eastAsia="Calibri"/>
              </w:rPr>
              <w:t>develop six work items on this subject matter.</w:t>
            </w:r>
          </w:p>
          <w:p w14:paraId="48502E8A" w14:textId="77777777" w:rsidR="006861D2" w:rsidRPr="00E0255C" w:rsidRDefault="006861D2" w:rsidP="006459A3">
            <w:pPr>
              <w:spacing w:before="60" w:after="60"/>
              <w:rPr>
                <w:rFonts w:eastAsia="Calibri"/>
                <w:iCs/>
                <w:lang w:val="en-GB"/>
              </w:rPr>
            </w:pPr>
          </w:p>
          <w:p w14:paraId="302B2F93" w14:textId="2B8B5C59" w:rsidR="478B1C36" w:rsidRPr="00E0255C" w:rsidRDefault="00B366BB" w:rsidP="006459A3">
            <w:pPr>
              <w:spacing w:before="60" w:after="60"/>
              <w:rPr>
                <w:lang w:val="en-GB"/>
              </w:rPr>
            </w:pPr>
            <w:r w:rsidRPr="00E0255C">
              <w:rPr>
                <w:rFonts w:eastAsia="Calibri"/>
                <w:iCs/>
              </w:rPr>
              <w:t>ITU-D Q4/2 and BDT related work: from the ITU World Telecommunication/ICT Regulatory Survey on regulatory practices there are five related questions related to the distribution and use of counterfeit ICTs. The data series featured are as follows: 1) Responsibilities of telecom/ICT regulators related to ICT counterfeiting, 2) Types of counterfeit ICTs overseen by the telecom/ICT regulator, 3) Policy/legislation/regulation related to ICT counterfeiting adopted, 4) Areas covered in ICT counterfeiting regulations, 5) Plans to adopt a regulatory framework for ICT counterfeiting</w:t>
            </w:r>
            <w:r w:rsidR="00A579C3" w:rsidRPr="00E0255C">
              <w:rPr>
                <w:rFonts w:eastAsia="Calibri"/>
                <w:iCs/>
              </w:rPr>
              <w:t>.</w:t>
            </w:r>
          </w:p>
        </w:tc>
      </w:tr>
      <w:tr w:rsidR="478B1C36" w:rsidRPr="00B64995" w14:paraId="61ED6391" w14:textId="77777777" w:rsidTr="09AD7226">
        <w:tc>
          <w:tcPr>
            <w:tcW w:w="9026" w:type="dxa"/>
            <w:shd w:val="clear" w:color="auto" w:fill="FFFFFF" w:themeFill="background1"/>
          </w:tcPr>
          <w:p w14:paraId="370E7AB2" w14:textId="4DE3036C" w:rsidR="478B1C36" w:rsidRPr="00E0255C" w:rsidRDefault="478B1C36" w:rsidP="006459A3">
            <w:pPr>
              <w:spacing w:before="60" w:after="60"/>
              <w:jc w:val="both"/>
              <w:rPr>
                <w:lang w:val="en-GB"/>
              </w:rPr>
            </w:pPr>
            <w:r w:rsidRPr="00E0255C">
              <w:rPr>
                <w:rFonts w:eastAsia="Calibri"/>
                <w:b/>
              </w:rPr>
              <w:lastRenderedPageBreak/>
              <w:t>190 (Busan, 2014) Countering misappropriation and misuse of international telecommunication numbering resources</w:t>
            </w:r>
          </w:p>
          <w:p w14:paraId="25BABD05" w14:textId="60555DB6" w:rsidR="478B1C36" w:rsidRPr="00E0255C" w:rsidRDefault="478B1C36" w:rsidP="00B87922">
            <w:pPr>
              <w:rPr>
                <w:lang w:val="en-GB"/>
              </w:rPr>
            </w:pPr>
            <w:r w:rsidRPr="00E0255C">
              <w:rPr>
                <w:rFonts w:eastAsia="Times New Roman"/>
              </w:rPr>
              <w:t>Recommendation ITU-T E.156 (revised)</w:t>
            </w:r>
            <w:r w:rsidR="002D6577" w:rsidRPr="00E0255C">
              <w:rPr>
                <w:rFonts w:eastAsia="Times New Roman"/>
              </w:rPr>
              <w:t>,</w:t>
            </w:r>
            <w:r w:rsidRPr="00E0255C">
              <w:rPr>
                <w:rFonts w:eastAsia="Times New Roman"/>
              </w:rPr>
              <w:t xml:space="preserve"> </w:t>
            </w:r>
            <w:r w:rsidR="00A92ED1" w:rsidRPr="00E0255C">
              <w:rPr>
                <w:rFonts w:eastAsia="Times New Roman"/>
              </w:rPr>
              <w:t>“</w:t>
            </w:r>
            <w:r w:rsidRPr="00E0255C">
              <w:rPr>
                <w:rFonts w:eastAsia="Times New Roman"/>
              </w:rPr>
              <w:t>Guidelines for ITU-T action on reported misuse of E.164 number resources</w:t>
            </w:r>
            <w:r w:rsidR="00A92ED1" w:rsidRPr="00E0255C">
              <w:rPr>
                <w:rFonts w:eastAsia="Times New Roman"/>
              </w:rPr>
              <w:t>”</w:t>
            </w:r>
            <w:r w:rsidR="002D6577" w:rsidRPr="00E0255C">
              <w:rPr>
                <w:rFonts w:eastAsia="Times New Roman"/>
              </w:rPr>
              <w:t>,</w:t>
            </w:r>
            <w:r w:rsidRPr="00E0255C">
              <w:rPr>
                <w:rFonts w:eastAsia="Times New Roman"/>
              </w:rPr>
              <w:t xml:space="preserve"> was </w:t>
            </w:r>
            <w:r w:rsidR="006861D2" w:rsidRPr="00E0255C">
              <w:rPr>
                <w:rFonts w:eastAsia="Times New Roman"/>
              </w:rPr>
              <w:t xml:space="preserve">approved at the </w:t>
            </w:r>
            <w:r w:rsidR="002D6577" w:rsidRPr="00E0255C">
              <w:rPr>
                <w:rFonts w:eastAsia="Times New Roman"/>
              </w:rPr>
              <w:t xml:space="preserve">May/June 2020 </w:t>
            </w:r>
            <w:r w:rsidRPr="00E0255C">
              <w:rPr>
                <w:rFonts w:eastAsia="Times New Roman"/>
              </w:rPr>
              <w:t xml:space="preserve">meeting of </w:t>
            </w:r>
            <w:r w:rsidR="003E473E" w:rsidRPr="00E0255C">
              <w:rPr>
                <w:rFonts w:eastAsia="Times New Roman"/>
              </w:rPr>
              <w:t>ITU</w:t>
            </w:r>
            <w:r w:rsidR="002D6577" w:rsidRPr="00E0255C">
              <w:rPr>
                <w:rFonts w:eastAsia="Times New Roman"/>
              </w:rPr>
              <w:t>-</w:t>
            </w:r>
            <w:r w:rsidR="003E473E" w:rsidRPr="00E0255C">
              <w:rPr>
                <w:rFonts w:eastAsia="Times New Roman"/>
              </w:rPr>
              <w:t xml:space="preserve">T </w:t>
            </w:r>
            <w:r w:rsidR="002D6577" w:rsidRPr="00E0255C">
              <w:rPr>
                <w:rFonts w:eastAsia="Times New Roman"/>
              </w:rPr>
              <w:t xml:space="preserve">Study Group </w:t>
            </w:r>
            <w:r w:rsidR="006D38B9" w:rsidRPr="00E0255C">
              <w:rPr>
                <w:rFonts w:eastAsia="Times New Roman"/>
              </w:rPr>
              <w:t>2</w:t>
            </w:r>
            <w:r w:rsidRPr="00E0255C">
              <w:rPr>
                <w:rFonts w:eastAsia="Times New Roman"/>
              </w:rPr>
              <w:t xml:space="preserve">. </w:t>
            </w:r>
            <w:r w:rsidR="006D38B9" w:rsidRPr="00E0255C">
              <w:rPr>
                <w:rFonts w:eastAsia="Times New Roman"/>
              </w:rPr>
              <w:t>SG 2</w:t>
            </w:r>
            <w:r w:rsidRPr="00E0255C">
              <w:rPr>
                <w:rFonts w:eastAsia="Times New Roman"/>
              </w:rPr>
              <w:t xml:space="preserve"> is progressing a technical report</w:t>
            </w:r>
            <w:r w:rsidR="002D6577" w:rsidRPr="00E0255C">
              <w:rPr>
                <w:rFonts w:eastAsia="Times New Roman"/>
              </w:rPr>
              <w:t>,</w:t>
            </w:r>
            <w:r w:rsidRPr="00E0255C">
              <w:rPr>
                <w:rFonts w:eastAsia="Times New Roman"/>
              </w:rPr>
              <w:t xml:space="preserve"> </w:t>
            </w:r>
            <w:proofErr w:type="gramStart"/>
            <w:r w:rsidRPr="00E0255C">
              <w:rPr>
                <w:rFonts w:eastAsia="Times New Roman"/>
              </w:rPr>
              <w:t>TR.EENM</w:t>
            </w:r>
            <w:bookmarkStart w:id="169" w:name="_Hlk39561399"/>
            <w:proofErr w:type="gramEnd"/>
            <w:r w:rsidR="004D5DEB" w:rsidRPr="00E0255C">
              <w:t xml:space="preserve"> </w:t>
            </w:r>
            <w:r w:rsidRPr="00E0255C">
              <w:rPr>
                <w:rFonts w:eastAsia="Times New Roman"/>
              </w:rPr>
              <w:t>“</w:t>
            </w:r>
            <w:hyperlink r:id="rId506" w:history="1">
              <w:r w:rsidRPr="00E0255C">
                <w:rPr>
                  <w:rStyle w:val="Hyperlink"/>
                  <w:rFonts w:eastAsia="Times New Roman"/>
                </w:rPr>
                <w:t>Guidelines for effective and efficient national numbering resources administration</w:t>
              </w:r>
            </w:hyperlink>
            <w:r w:rsidRPr="00E0255C">
              <w:rPr>
                <w:rFonts w:eastAsia="Times New Roman"/>
              </w:rPr>
              <w:t>”.</w:t>
            </w:r>
            <w:bookmarkEnd w:id="169"/>
          </w:p>
        </w:tc>
      </w:tr>
      <w:tr w:rsidR="478B1C36" w:rsidRPr="00B64995" w14:paraId="6B03A546" w14:textId="77777777" w:rsidTr="09AD7226">
        <w:tc>
          <w:tcPr>
            <w:tcW w:w="9026" w:type="dxa"/>
            <w:shd w:val="clear" w:color="auto" w:fill="FFFFFF" w:themeFill="background1"/>
          </w:tcPr>
          <w:p w14:paraId="50C91C6D" w14:textId="77777777" w:rsidR="0049723A" w:rsidRPr="00E0255C" w:rsidRDefault="478B1C36" w:rsidP="006459A3">
            <w:pPr>
              <w:spacing w:before="60" w:after="60"/>
              <w:jc w:val="both"/>
              <w:rPr>
                <w:rFonts w:eastAsia="Calibri"/>
                <w:b/>
                <w:lang w:val="en-GB"/>
              </w:rPr>
            </w:pPr>
            <w:r w:rsidRPr="00E0255C">
              <w:rPr>
                <w:rFonts w:eastAsia="Calibri"/>
                <w:b/>
              </w:rPr>
              <w:t>193 (Busan, 2014) Support and assistance for Iraq to rebuild its telecommunication sector</w:t>
            </w:r>
          </w:p>
          <w:p w14:paraId="6A4025E6" w14:textId="3271BF6A" w:rsidR="478B1C36" w:rsidRPr="00E0255C" w:rsidRDefault="00872874" w:rsidP="006459A3">
            <w:pPr>
              <w:spacing w:before="60" w:after="60"/>
              <w:jc w:val="both"/>
              <w:rPr>
                <w:lang w:val="en-GB"/>
              </w:rPr>
            </w:pPr>
            <w:r w:rsidRPr="00E0255C">
              <w:rPr>
                <w:rFonts w:eastAsia="Calibri"/>
                <w:bCs/>
              </w:rPr>
              <w:t>At the request of Iraq, emphasis has been put on assisting with the newly adopted Resolution 211.</w:t>
            </w:r>
            <w:r w:rsidRPr="00E0255C">
              <w:rPr>
                <w:bCs/>
              </w:rPr>
              <w:t xml:space="preserve"> </w:t>
            </w:r>
            <w:r w:rsidRPr="00E0255C">
              <w:rPr>
                <w:rFonts w:eastAsia="Calibri"/>
                <w:bCs/>
              </w:rPr>
              <w:t>Assistance for the actual rebuilding of infrastructure was not possible in past years due to the security</w:t>
            </w:r>
            <w:r w:rsidRPr="00E0255C">
              <w:rPr>
                <w:bCs/>
              </w:rPr>
              <w:t xml:space="preserve"> </w:t>
            </w:r>
            <w:r w:rsidRPr="00E0255C">
              <w:rPr>
                <w:rFonts w:eastAsia="Calibri"/>
                <w:bCs/>
              </w:rPr>
              <w:t>situation on the ground.</w:t>
            </w:r>
            <w:r w:rsidR="478B1C36" w:rsidRPr="00E0255C">
              <w:rPr>
                <w:rFonts w:eastAsia="Calibri"/>
                <w:b/>
              </w:rPr>
              <w:t xml:space="preserve"> </w:t>
            </w:r>
          </w:p>
        </w:tc>
      </w:tr>
      <w:tr w:rsidR="478B1C36" w:rsidRPr="00B64995" w14:paraId="528B8E8B" w14:textId="77777777" w:rsidTr="09AD7226">
        <w:tc>
          <w:tcPr>
            <w:tcW w:w="9026" w:type="dxa"/>
            <w:shd w:val="clear" w:color="auto" w:fill="FFFFFF" w:themeFill="background1"/>
          </w:tcPr>
          <w:p w14:paraId="03ADCA9C" w14:textId="41CEBA03" w:rsidR="478B1C36" w:rsidRPr="00E0255C" w:rsidRDefault="478B1C36" w:rsidP="006459A3">
            <w:pPr>
              <w:spacing w:before="60" w:after="60"/>
              <w:jc w:val="both"/>
              <w:rPr>
                <w:lang w:val="en-GB"/>
              </w:rPr>
            </w:pPr>
            <w:bookmarkStart w:id="170" w:name="Resolution_197"/>
            <w:r w:rsidRPr="00E0255C">
              <w:rPr>
                <w:rFonts w:eastAsia="Calibri"/>
                <w:b/>
              </w:rPr>
              <w:t>19</w:t>
            </w:r>
            <w:bookmarkEnd w:id="170"/>
            <w:r w:rsidRPr="00E0255C">
              <w:rPr>
                <w:rFonts w:eastAsia="Calibri"/>
                <w:b/>
              </w:rPr>
              <w:t>7 (</w:t>
            </w:r>
            <w:r w:rsidR="00A579C3" w:rsidRPr="00E0255C">
              <w:rPr>
                <w:rFonts w:eastAsia="Calibri"/>
                <w:b/>
              </w:rPr>
              <w:t>R</w:t>
            </w:r>
            <w:r w:rsidRPr="00E0255C">
              <w:rPr>
                <w:rFonts w:eastAsia="Calibri"/>
                <w:b/>
              </w:rPr>
              <w:t xml:space="preserve">ev. Dubai, 2018) Facilitating the </w:t>
            </w:r>
            <w:r w:rsidR="00614D53" w:rsidRPr="00E0255C">
              <w:rPr>
                <w:rFonts w:eastAsia="Calibri"/>
                <w:b/>
              </w:rPr>
              <w:t>Internet</w:t>
            </w:r>
            <w:r w:rsidRPr="00E0255C">
              <w:rPr>
                <w:rFonts w:eastAsia="Calibri"/>
                <w:b/>
              </w:rPr>
              <w:t xml:space="preserve"> of Things and smart sustainable cities and communities</w:t>
            </w:r>
          </w:p>
          <w:p w14:paraId="291CD55E" w14:textId="45F8ECED" w:rsidR="478B1C36" w:rsidRPr="00E0255C" w:rsidRDefault="478B1C36" w:rsidP="006459A3">
            <w:pPr>
              <w:spacing w:before="60" w:after="60"/>
              <w:jc w:val="both"/>
              <w:rPr>
                <w:rFonts w:eastAsia="Calibri"/>
                <w:color w:val="0000FF"/>
                <w:u w:val="single"/>
                <w:lang w:val="en-GB"/>
              </w:rPr>
            </w:pPr>
            <w:r w:rsidRPr="00E0255C">
              <w:rPr>
                <w:rFonts w:eastAsia="Calibri"/>
              </w:rPr>
              <w:t xml:space="preserve">Since </w:t>
            </w:r>
            <w:r w:rsidR="003E473E" w:rsidRPr="00E0255C">
              <w:rPr>
                <w:rFonts w:eastAsia="Calibri"/>
              </w:rPr>
              <w:t xml:space="preserve">April </w:t>
            </w:r>
            <w:r w:rsidRPr="00E0255C">
              <w:rPr>
                <w:rFonts w:eastAsia="Calibri"/>
              </w:rPr>
              <w:t xml:space="preserve">2019, </w:t>
            </w:r>
            <w:hyperlink r:id="rId507">
              <w:r w:rsidRPr="00E0255C">
                <w:rPr>
                  <w:rStyle w:val="Hyperlink"/>
                  <w:rFonts w:eastAsia="Calibri"/>
                </w:rPr>
                <w:t>ITU-T Study Group 20</w:t>
              </w:r>
            </w:hyperlink>
            <w:r w:rsidRPr="00E0255C">
              <w:rPr>
                <w:rFonts w:eastAsia="Calibri"/>
                <w:color w:val="0000FF"/>
                <w:u w:val="single"/>
                <w:lang w:val="en-GB" w:eastAsia="en-US"/>
              </w:rPr>
              <w:t xml:space="preserve"> </w:t>
            </w:r>
            <w:r w:rsidRPr="00E0255C">
              <w:rPr>
                <w:rFonts w:eastAsia="Calibri"/>
                <w:lang w:val="en-GB" w:eastAsia="en-US"/>
              </w:rPr>
              <w:t>developed a series of Recommendations and other deliverables including:</w:t>
            </w:r>
          </w:p>
          <w:p w14:paraId="7FB4997D" w14:textId="77777777" w:rsidR="00A97704" w:rsidRPr="00B87922" w:rsidRDefault="00A97704" w:rsidP="006459A3">
            <w:pPr>
              <w:spacing w:before="60" w:after="60"/>
              <w:jc w:val="both"/>
              <w:rPr>
                <w:lang w:val="en-GB"/>
              </w:rPr>
            </w:pPr>
          </w:p>
          <w:tbl>
            <w:tblPr>
              <w:tblW w:w="0" w:type="auto"/>
              <w:tblLayout w:type="fixed"/>
              <w:tblLook w:val="06A0" w:firstRow="1" w:lastRow="0" w:firstColumn="1" w:lastColumn="0" w:noHBand="1" w:noVBand="1"/>
            </w:tblPr>
            <w:tblGrid>
              <w:gridCol w:w="4438"/>
              <w:gridCol w:w="4438"/>
            </w:tblGrid>
            <w:tr w:rsidR="478B1C36" w:rsidRPr="00B64995" w14:paraId="5F601C32" w14:textId="77777777" w:rsidTr="478B1C36">
              <w:tc>
                <w:tcPr>
                  <w:tcW w:w="4438" w:type="dxa"/>
                </w:tcPr>
                <w:p w14:paraId="7BD4C9B2" w14:textId="7C0C18D5" w:rsidR="478B1C36" w:rsidRPr="00B64995" w:rsidRDefault="478B1C36" w:rsidP="00A97704">
                  <w:pPr>
                    <w:pageBreakBefore/>
                    <w:spacing w:before="60" w:after="60"/>
                    <w:jc w:val="both"/>
                  </w:pPr>
                  <w:r w:rsidRPr="00A060FE">
                    <w:rPr>
                      <w:rFonts w:eastAsia="Calibri"/>
                      <w:b/>
                    </w:rPr>
                    <w:t>Work item</w:t>
                  </w:r>
                </w:p>
              </w:tc>
              <w:tc>
                <w:tcPr>
                  <w:tcW w:w="4438" w:type="dxa"/>
                </w:tcPr>
                <w:p w14:paraId="06F08064" w14:textId="194D05DE" w:rsidR="478B1C36" w:rsidRPr="00B64995" w:rsidRDefault="478B1C36" w:rsidP="006459A3">
                  <w:pPr>
                    <w:spacing w:before="60" w:after="60"/>
                    <w:jc w:val="both"/>
                  </w:pPr>
                  <w:r w:rsidRPr="00B64995">
                    <w:rPr>
                      <w:rFonts w:eastAsia="Calibri"/>
                      <w:b/>
                    </w:rPr>
                    <w:t>Title</w:t>
                  </w:r>
                </w:p>
              </w:tc>
            </w:tr>
            <w:tr w:rsidR="478B1C36" w:rsidRPr="00B64995" w14:paraId="08024EC1" w14:textId="77777777" w:rsidTr="478B1C36">
              <w:tc>
                <w:tcPr>
                  <w:tcW w:w="4438" w:type="dxa"/>
                </w:tcPr>
                <w:p w14:paraId="36F4F7A6" w14:textId="79A629D1" w:rsidR="478B1C36" w:rsidRPr="00A060FE" w:rsidRDefault="00570F0C" w:rsidP="00A97704">
                  <w:pPr>
                    <w:spacing w:before="60"/>
                    <w:jc w:val="both"/>
                    <w:rPr>
                      <w:rFonts w:eastAsia="Calibri"/>
                    </w:rPr>
                  </w:pPr>
                  <w:hyperlink r:id="rId508">
                    <w:r w:rsidR="6ABD1CF2" w:rsidRPr="00B64995">
                      <w:rPr>
                        <w:rStyle w:val="Hyperlink"/>
                        <w:rFonts w:eastAsia="Calibri"/>
                      </w:rPr>
                      <w:t xml:space="preserve">Y.4461 </w:t>
                    </w:r>
                  </w:hyperlink>
                </w:p>
              </w:tc>
              <w:tc>
                <w:tcPr>
                  <w:tcW w:w="4438" w:type="dxa"/>
                </w:tcPr>
                <w:p w14:paraId="792CB511" w14:textId="384B2B7B" w:rsidR="478B1C36" w:rsidRPr="00B64995" w:rsidRDefault="478B1C36" w:rsidP="00A97704">
                  <w:pPr>
                    <w:spacing w:before="60"/>
                    <w:jc w:val="both"/>
                  </w:pPr>
                  <w:r w:rsidRPr="00B64995">
                    <w:rPr>
                      <w:rFonts w:eastAsia="Calibri"/>
                    </w:rPr>
                    <w:t>Framework of open data in smart cities</w:t>
                  </w:r>
                </w:p>
              </w:tc>
            </w:tr>
            <w:tr w:rsidR="478B1C36" w:rsidRPr="00B64995" w14:paraId="1984EF00" w14:textId="77777777" w:rsidTr="478B1C36">
              <w:tc>
                <w:tcPr>
                  <w:tcW w:w="4438" w:type="dxa"/>
                </w:tcPr>
                <w:p w14:paraId="72A2AB86" w14:textId="404BF11C" w:rsidR="478B1C36" w:rsidRPr="00A060FE" w:rsidRDefault="00570F0C" w:rsidP="00A97704">
                  <w:pPr>
                    <w:spacing w:before="60"/>
                    <w:jc w:val="both"/>
                  </w:pPr>
                  <w:hyperlink r:id="rId509" w:tooltip="See more details" w:history="1">
                    <w:r w:rsidR="00297629" w:rsidRPr="00B64995">
                      <w:rPr>
                        <w:rStyle w:val="Hyperlink"/>
                        <w:rFonts w:asciiTheme="minorHAnsi" w:hAnsiTheme="minorHAnsi" w:cstheme="minorHAnsi"/>
                      </w:rPr>
                      <w:t>Y.Suppl.58</w:t>
                    </w:r>
                  </w:hyperlink>
                </w:p>
              </w:tc>
              <w:tc>
                <w:tcPr>
                  <w:tcW w:w="4438" w:type="dxa"/>
                </w:tcPr>
                <w:p w14:paraId="3E54855C" w14:textId="24460E4B" w:rsidR="478B1C36" w:rsidRPr="00B64995" w:rsidRDefault="00614D53" w:rsidP="00A97704">
                  <w:pPr>
                    <w:spacing w:before="60"/>
                    <w:jc w:val="both"/>
                  </w:pPr>
                  <w:r w:rsidRPr="00B64995">
                    <w:rPr>
                      <w:rFonts w:eastAsia="Calibri"/>
                    </w:rPr>
                    <w:t>Internet</w:t>
                  </w:r>
                  <w:r w:rsidR="478B1C36" w:rsidRPr="00B64995">
                    <w:rPr>
                      <w:rFonts w:eastAsia="Calibri"/>
                    </w:rPr>
                    <w:t xml:space="preserve"> of Things and smart cities and </w:t>
                  </w:r>
                  <w:proofErr w:type="gramStart"/>
                  <w:r w:rsidR="478B1C36" w:rsidRPr="00B64995">
                    <w:rPr>
                      <w:rFonts w:eastAsia="Calibri"/>
                    </w:rPr>
                    <w:t>communities</w:t>
                  </w:r>
                  <w:proofErr w:type="gramEnd"/>
                  <w:r w:rsidR="478B1C36" w:rsidRPr="00B64995">
                    <w:rPr>
                      <w:rFonts w:eastAsia="Calibri"/>
                    </w:rPr>
                    <w:t xml:space="preserve"> standards roadmap</w:t>
                  </w:r>
                </w:p>
              </w:tc>
            </w:tr>
            <w:tr w:rsidR="478B1C36" w:rsidRPr="00B64995" w14:paraId="0F14591C" w14:textId="77777777" w:rsidTr="478B1C36">
              <w:tc>
                <w:tcPr>
                  <w:tcW w:w="4438" w:type="dxa"/>
                </w:tcPr>
                <w:p w14:paraId="35DCDCA4" w14:textId="769F4270" w:rsidR="478B1C36" w:rsidRPr="00A060FE" w:rsidRDefault="00570F0C" w:rsidP="00A97704">
                  <w:pPr>
                    <w:spacing w:before="60"/>
                    <w:jc w:val="both"/>
                  </w:pPr>
                  <w:hyperlink r:id="rId510">
                    <w:r w:rsidR="478B1C36" w:rsidRPr="00B64995">
                      <w:rPr>
                        <w:rStyle w:val="Hyperlink"/>
                        <w:rFonts w:eastAsia="Calibri"/>
                      </w:rPr>
                      <w:t>Y.4206</w:t>
                    </w:r>
                  </w:hyperlink>
                </w:p>
              </w:tc>
              <w:tc>
                <w:tcPr>
                  <w:tcW w:w="4438" w:type="dxa"/>
                </w:tcPr>
                <w:p w14:paraId="060B6501" w14:textId="39513B34" w:rsidR="478B1C36" w:rsidRPr="00B64995" w:rsidRDefault="478B1C36" w:rsidP="00A97704">
                  <w:pPr>
                    <w:spacing w:before="60"/>
                    <w:jc w:val="both"/>
                  </w:pPr>
                  <w:r w:rsidRPr="00B64995">
                    <w:rPr>
                      <w:rFonts w:eastAsia="Calibri"/>
                    </w:rPr>
                    <w:t xml:space="preserve">Requirements and capabilities of user-centric </w:t>
                  </w:r>
                  <w:proofErr w:type="gramStart"/>
                  <w:r w:rsidRPr="00B64995">
                    <w:rPr>
                      <w:rFonts w:eastAsia="Calibri"/>
                    </w:rPr>
                    <w:t>work space</w:t>
                  </w:r>
                  <w:proofErr w:type="gramEnd"/>
                  <w:r w:rsidRPr="00B64995">
                    <w:rPr>
                      <w:rFonts w:eastAsia="Calibri"/>
                    </w:rPr>
                    <w:t xml:space="preserve"> service</w:t>
                  </w:r>
                </w:p>
              </w:tc>
            </w:tr>
            <w:tr w:rsidR="478B1C36" w:rsidRPr="00B64995" w14:paraId="605CC3EB" w14:textId="77777777" w:rsidTr="478B1C36">
              <w:tc>
                <w:tcPr>
                  <w:tcW w:w="4438" w:type="dxa"/>
                </w:tcPr>
                <w:p w14:paraId="1D722691" w14:textId="56C4CB48" w:rsidR="478B1C36" w:rsidRPr="00A060FE" w:rsidRDefault="00570F0C" w:rsidP="00A97704">
                  <w:pPr>
                    <w:spacing w:before="60"/>
                    <w:jc w:val="both"/>
                  </w:pPr>
                  <w:hyperlink r:id="rId511">
                    <w:r w:rsidR="478B1C36" w:rsidRPr="00B64995">
                      <w:rPr>
                        <w:rStyle w:val="Hyperlink"/>
                        <w:rFonts w:eastAsia="Calibri"/>
                      </w:rPr>
                      <w:t xml:space="preserve">Y.4207 </w:t>
                    </w:r>
                  </w:hyperlink>
                </w:p>
              </w:tc>
              <w:tc>
                <w:tcPr>
                  <w:tcW w:w="4438" w:type="dxa"/>
                </w:tcPr>
                <w:p w14:paraId="6C72A210" w14:textId="0F4A1484" w:rsidR="478B1C36" w:rsidRPr="00B64995" w:rsidRDefault="478B1C36" w:rsidP="00A97704">
                  <w:pPr>
                    <w:spacing w:before="60"/>
                    <w:jc w:val="both"/>
                  </w:pPr>
                  <w:r w:rsidRPr="00B64995">
                    <w:rPr>
                      <w:rFonts w:eastAsia="Calibri"/>
                    </w:rPr>
                    <w:t>Requirements and capability framework of smart environmental monitoring</w:t>
                  </w:r>
                </w:p>
              </w:tc>
            </w:tr>
            <w:tr w:rsidR="478B1C36" w:rsidRPr="00B64995" w14:paraId="2409DACC" w14:textId="77777777" w:rsidTr="478B1C36">
              <w:tc>
                <w:tcPr>
                  <w:tcW w:w="4438" w:type="dxa"/>
                </w:tcPr>
                <w:p w14:paraId="5E400F64" w14:textId="56B76817" w:rsidR="478B1C36" w:rsidRPr="00A060FE" w:rsidRDefault="00570F0C" w:rsidP="00A97704">
                  <w:pPr>
                    <w:spacing w:before="60"/>
                    <w:jc w:val="both"/>
                  </w:pPr>
                  <w:hyperlink r:id="rId512">
                    <w:r w:rsidR="478B1C36" w:rsidRPr="00B64995">
                      <w:rPr>
                        <w:rStyle w:val="Hyperlink"/>
                        <w:rFonts w:eastAsia="Calibri"/>
                      </w:rPr>
                      <w:t xml:space="preserve">Y.4208 </w:t>
                    </w:r>
                  </w:hyperlink>
                </w:p>
              </w:tc>
              <w:tc>
                <w:tcPr>
                  <w:tcW w:w="4438" w:type="dxa"/>
                </w:tcPr>
                <w:p w14:paraId="378636B8" w14:textId="014C8BCD" w:rsidR="478B1C36" w:rsidRPr="00B64995" w:rsidRDefault="478B1C36" w:rsidP="00A97704">
                  <w:pPr>
                    <w:spacing w:before="60"/>
                    <w:jc w:val="both"/>
                  </w:pPr>
                  <w:r w:rsidRPr="00B64995">
                    <w:rPr>
                      <w:rFonts w:eastAsia="Calibri"/>
                    </w:rPr>
                    <w:t>IoT requirements for support of edge computing</w:t>
                  </w:r>
                </w:p>
              </w:tc>
            </w:tr>
            <w:tr w:rsidR="000B376D" w:rsidRPr="00B64995" w14:paraId="2A05D3F2" w14:textId="77777777" w:rsidTr="478B1C36">
              <w:tc>
                <w:tcPr>
                  <w:tcW w:w="4438" w:type="dxa"/>
                </w:tcPr>
                <w:p w14:paraId="77B131D0" w14:textId="4B4D4691" w:rsidR="005A7E74" w:rsidRPr="00A060FE" w:rsidRDefault="00570F0C" w:rsidP="005A7E74">
                  <w:pPr>
                    <w:spacing w:before="60"/>
                    <w:jc w:val="both"/>
                  </w:pPr>
                  <w:hyperlink r:id="rId513" w:history="1">
                    <w:r w:rsidR="005A7E74" w:rsidRPr="00B64995">
                      <w:rPr>
                        <w:rStyle w:val="Hyperlink"/>
                      </w:rPr>
                      <w:t>Y.4209</w:t>
                    </w:r>
                  </w:hyperlink>
                </w:p>
                <w:p w14:paraId="0D94C9C3" w14:textId="6F8ED94D" w:rsidR="000B376D" w:rsidRPr="00B64995" w:rsidRDefault="000B376D" w:rsidP="005A7E74">
                  <w:pPr>
                    <w:spacing w:before="60"/>
                    <w:jc w:val="both"/>
                  </w:pPr>
                </w:p>
              </w:tc>
              <w:tc>
                <w:tcPr>
                  <w:tcW w:w="4438" w:type="dxa"/>
                </w:tcPr>
                <w:p w14:paraId="200CE6FA" w14:textId="56335B5A" w:rsidR="000B376D" w:rsidRPr="00B64995" w:rsidRDefault="005A7E74" w:rsidP="00A97704">
                  <w:pPr>
                    <w:spacing w:before="60"/>
                    <w:jc w:val="both"/>
                    <w:rPr>
                      <w:rFonts w:eastAsia="Calibri"/>
                    </w:rPr>
                  </w:pPr>
                  <w:r w:rsidRPr="00B64995">
                    <w:t>Requirements for interoperation of the smart port with the smart city</w:t>
                  </w:r>
                </w:p>
              </w:tc>
            </w:tr>
            <w:tr w:rsidR="001C4976" w:rsidRPr="00B64995" w14:paraId="4E46B5D8" w14:textId="77777777" w:rsidTr="478B1C36">
              <w:tc>
                <w:tcPr>
                  <w:tcW w:w="4438" w:type="dxa"/>
                </w:tcPr>
                <w:p w14:paraId="354D8AAE" w14:textId="468E3639" w:rsidR="001C4976" w:rsidRPr="00A060FE" w:rsidRDefault="00570F0C" w:rsidP="005A7E74">
                  <w:pPr>
                    <w:spacing w:before="60"/>
                    <w:jc w:val="both"/>
                  </w:pPr>
                  <w:hyperlink r:id="rId514" w:tooltip="See more details" w:history="1">
                    <w:r w:rsidR="004B6B2E" w:rsidRPr="00B64995">
                      <w:rPr>
                        <w:rStyle w:val="Hyperlink"/>
                        <w:rFonts w:asciiTheme="minorHAnsi" w:eastAsia="Times New Roman" w:hAnsiTheme="minorHAnsi" w:cstheme="minorHAnsi"/>
                      </w:rPr>
                      <w:t>Y.4210</w:t>
                    </w:r>
                  </w:hyperlink>
                </w:p>
              </w:tc>
              <w:tc>
                <w:tcPr>
                  <w:tcW w:w="4438" w:type="dxa"/>
                </w:tcPr>
                <w:p w14:paraId="7ACE0FF2" w14:textId="0077F483" w:rsidR="001C4976" w:rsidRPr="00B64995" w:rsidRDefault="00834E6B" w:rsidP="00A97704">
                  <w:pPr>
                    <w:spacing w:before="60"/>
                    <w:jc w:val="both"/>
                  </w:pPr>
                  <w:r w:rsidRPr="00B64995">
                    <w:t>Requirements and use cases for universal communication module of mobile IoT devices</w:t>
                  </w:r>
                </w:p>
              </w:tc>
            </w:tr>
            <w:tr w:rsidR="00834E6B" w:rsidRPr="00B64995" w14:paraId="79E66AEE" w14:textId="77777777" w:rsidTr="478B1C36">
              <w:tc>
                <w:tcPr>
                  <w:tcW w:w="4438" w:type="dxa"/>
                </w:tcPr>
                <w:p w14:paraId="7B3D8936" w14:textId="3660E5DF" w:rsidR="00834E6B" w:rsidRPr="00A060FE" w:rsidRDefault="00570F0C" w:rsidP="005A7E74">
                  <w:pPr>
                    <w:spacing w:before="60"/>
                    <w:jc w:val="both"/>
                    <w:rPr>
                      <w:rFonts w:asciiTheme="minorHAnsi" w:eastAsia="Times New Roman" w:hAnsiTheme="minorHAnsi" w:cstheme="minorHAnsi"/>
                      <w:color w:val="000066"/>
                    </w:rPr>
                  </w:pPr>
                  <w:hyperlink r:id="rId515" w:tooltip="See more details" w:history="1">
                    <w:r w:rsidR="00F6729B" w:rsidRPr="00B64995">
                      <w:rPr>
                        <w:rStyle w:val="Hyperlink"/>
                        <w:rFonts w:asciiTheme="minorHAnsi" w:eastAsia="Times New Roman" w:hAnsiTheme="minorHAnsi" w:cstheme="minorHAnsi"/>
                      </w:rPr>
                      <w:t>Y.4211</w:t>
                    </w:r>
                  </w:hyperlink>
                </w:p>
              </w:tc>
              <w:tc>
                <w:tcPr>
                  <w:tcW w:w="4438" w:type="dxa"/>
                </w:tcPr>
                <w:p w14:paraId="02C5D0C3" w14:textId="3CB48B1B" w:rsidR="00834E6B" w:rsidRPr="00B64995" w:rsidRDefault="00387E75" w:rsidP="00A97704">
                  <w:pPr>
                    <w:spacing w:before="60"/>
                    <w:jc w:val="both"/>
                  </w:pPr>
                  <w:r w:rsidRPr="00B64995">
                    <w:t>Accessibility requirements for smart public transportation services</w:t>
                  </w:r>
                </w:p>
              </w:tc>
            </w:tr>
            <w:tr w:rsidR="478B1C36" w:rsidRPr="00B64995" w14:paraId="238F30DE" w14:textId="77777777" w:rsidTr="478B1C36">
              <w:tc>
                <w:tcPr>
                  <w:tcW w:w="4438" w:type="dxa"/>
                </w:tcPr>
                <w:p w14:paraId="51442313" w14:textId="77777777" w:rsidR="0041538C" w:rsidRPr="00B64995" w:rsidRDefault="0041538C" w:rsidP="00A97704">
                  <w:pPr>
                    <w:spacing w:before="60"/>
                    <w:jc w:val="both"/>
                  </w:pPr>
                </w:p>
                <w:p w14:paraId="437E1EF4" w14:textId="55211983" w:rsidR="478B1C36" w:rsidRPr="00A060FE" w:rsidRDefault="00570F0C" w:rsidP="00A97704">
                  <w:pPr>
                    <w:spacing w:before="60"/>
                    <w:jc w:val="both"/>
                  </w:pPr>
                  <w:hyperlink r:id="rId516">
                    <w:r w:rsidR="478B1C36" w:rsidRPr="00B64995">
                      <w:rPr>
                        <w:rStyle w:val="Hyperlink"/>
                        <w:rFonts w:eastAsia="Calibri"/>
                      </w:rPr>
                      <w:t xml:space="preserve">Y.Suppl.56 </w:t>
                    </w:r>
                  </w:hyperlink>
                </w:p>
              </w:tc>
              <w:tc>
                <w:tcPr>
                  <w:tcW w:w="4438" w:type="dxa"/>
                </w:tcPr>
                <w:p w14:paraId="5B2E324F" w14:textId="77777777" w:rsidR="0041538C" w:rsidRPr="00B64995" w:rsidRDefault="0041538C" w:rsidP="00A97704">
                  <w:pPr>
                    <w:spacing w:before="60"/>
                    <w:jc w:val="both"/>
                    <w:rPr>
                      <w:rFonts w:eastAsia="Calibri"/>
                    </w:rPr>
                  </w:pPr>
                </w:p>
                <w:p w14:paraId="07FF8119" w14:textId="1A58C946" w:rsidR="478B1C36" w:rsidRPr="00B64995" w:rsidRDefault="478B1C36" w:rsidP="00A97704">
                  <w:pPr>
                    <w:spacing w:before="60"/>
                    <w:jc w:val="both"/>
                  </w:pPr>
                  <w:r w:rsidRPr="00B64995">
                    <w:rPr>
                      <w:rFonts w:eastAsia="Calibri"/>
                    </w:rPr>
                    <w:t>Use cases of smart cities and communities</w:t>
                  </w:r>
                </w:p>
              </w:tc>
            </w:tr>
            <w:tr w:rsidR="478B1C36" w:rsidRPr="00B64995" w14:paraId="248E1648" w14:textId="77777777" w:rsidTr="478B1C36">
              <w:tc>
                <w:tcPr>
                  <w:tcW w:w="4438" w:type="dxa"/>
                </w:tcPr>
                <w:p w14:paraId="085850F6" w14:textId="71DCAAA7" w:rsidR="478B1C36" w:rsidRPr="00A060FE" w:rsidRDefault="00570F0C" w:rsidP="00A97704">
                  <w:pPr>
                    <w:spacing w:before="60"/>
                    <w:jc w:val="both"/>
                  </w:pPr>
                  <w:hyperlink r:id="rId517">
                    <w:r w:rsidR="478B1C36" w:rsidRPr="00B64995">
                      <w:rPr>
                        <w:rStyle w:val="Hyperlink"/>
                        <w:rFonts w:eastAsia="Calibri"/>
                      </w:rPr>
                      <w:t xml:space="preserve">Y.4460 </w:t>
                    </w:r>
                  </w:hyperlink>
                </w:p>
              </w:tc>
              <w:tc>
                <w:tcPr>
                  <w:tcW w:w="4438" w:type="dxa"/>
                </w:tcPr>
                <w:p w14:paraId="0E3450B2" w14:textId="4298CFD0" w:rsidR="478B1C36" w:rsidRPr="00B64995" w:rsidRDefault="478B1C36" w:rsidP="00A97704">
                  <w:pPr>
                    <w:spacing w:before="60"/>
                    <w:jc w:val="both"/>
                  </w:pPr>
                  <w:r w:rsidRPr="00B64995">
                    <w:rPr>
                      <w:rFonts w:eastAsia="Calibri"/>
                    </w:rPr>
                    <w:t>Architectural reference models of devices for IoT applications</w:t>
                  </w:r>
                </w:p>
              </w:tc>
            </w:tr>
            <w:tr w:rsidR="478B1C36" w:rsidRPr="00B64995" w14:paraId="1D498334" w14:textId="77777777" w:rsidTr="478B1C36">
              <w:tc>
                <w:tcPr>
                  <w:tcW w:w="4438" w:type="dxa"/>
                </w:tcPr>
                <w:p w14:paraId="0FB38C9C" w14:textId="398BB05F" w:rsidR="478B1C36" w:rsidRPr="00A060FE" w:rsidRDefault="00570F0C" w:rsidP="00A97704">
                  <w:pPr>
                    <w:spacing w:before="60"/>
                    <w:jc w:val="both"/>
                  </w:pPr>
                  <w:hyperlink r:id="rId518">
                    <w:r w:rsidR="478B1C36" w:rsidRPr="00B64995">
                      <w:rPr>
                        <w:rStyle w:val="Hyperlink"/>
                        <w:rFonts w:eastAsia="Calibri"/>
                      </w:rPr>
                      <w:t xml:space="preserve">Y.4462 </w:t>
                    </w:r>
                  </w:hyperlink>
                </w:p>
              </w:tc>
              <w:tc>
                <w:tcPr>
                  <w:tcW w:w="4438" w:type="dxa"/>
                </w:tcPr>
                <w:p w14:paraId="50F224D8" w14:textId="02AE750F" w:rsidR="478B1C36" w:rsidRPr="00B64995" w:rsidRDefault="478B1C36" w:rsidP="00A97704">
                  <w:pPr>
                    <w:spacing w:before="60"/>
                    <w:jc w:val="both"/>
                  </w:pPr>
                  <w:r w:rsidRPr="00B64995">
                    <w:rPr>
                      <w:rFonts w:eastAsia="Calibri"/>
                    </w:rPr>
                    <w:t>Requirements and functional architecture of open IoT identity correlation service</w:t>
                  </w:r>
                </w:p>
              </w:tc>
            </w:tr>
            <w:tr w:rsidR="478B1C36" w:rsidRPr="00B64995" w14:paraId="7C4D57E9" w14:textId="77777777" w:rsidTr="478B1C36">
              <w:tc>
                <w:tcPr>
                  <w:tcW w:w="4438" w:type="dxa"/>
                </w:tcPr>
                <w:p w14:paraId="61C4977C" w14:textId="1551A4B8" w:rsidR="478B1C36" w:rsidRPr="00A060FE" w:rsidRDefault="00570F0C" w:rsidP="00A97704">
                  <w:pPr>
                    <w:spacing w:before="60"/>
                    <w:jc w:val="both"/>
                  </w:pPr>
                  <w:hyperlink r:id="rId519">
                    <w:r w:rsidR="478B1C36" w:rsidRPr="00B64995">
                      <w:rPr>
                        <w:rStyle w:val="Hyperlink"/>
                        <w:rFonts w:eastAsia="Calibri"/>
                      </w:rPr>
                      <w:t xml:space="preserve">Y.4467 </w:t>
                    </w:r>
                  </w:hyperlink>
                </w:p>
              </w:tc>
              <w:tc>
                <w:tcPr>
                  <w:tcW w:w="4438" w:type="dxa"/>
                </w:tcPr>
                <w:p w14:paraId="50DD1914" w14:textId="0FE48869" w:rsidR="478B1C36" w:rsidRPr="00B64995" w:rsidRDefault="478B1C36" w:rsidP="00A97704">
                  <w:pPr>
                    <w:spacing w:before="60"/>
                    <w:jc w:val="both"/>
                  </w:pPr>
                  <w:r w:rsidRPr="00B64995">
                    <w:rPr>
                      <w:rFonts w:eastAsia="Calibri"/>
                    </w:rPr>
                    <w:t>Minimum set of data structure for automotive emergency response system</w:t>
                  </w:r>
                </w:p>
              </w:tc>
            </w:tr>
            <w:tr w:rsidR="478B1C36" w:rsidRPr="00B64995" w14:paraId="2AA85470" w14:textId="77777777" w:rsidTr="478B1C36">
              <w:tc>
                <w:tcPr>
                  <w:tcW w:w="4438" w:type="dxa"/>
                </w:tcPr>
                <w:p w14:paraId="2EF74799" w14:textId="7828EDA6" w:rsidR="478B1C36" w:rsidRPr="00A060FE" w:rsidRDefault="00570F0C" w:rsidP="00A97704">
                  <w:pPr>
                    <w:spacing w:before="60"/>
                    <w:jc w:val="both"/>
                  </w:pPr>
                  <w:hyperlink r:id="rId520">
                    <w:r w:rsidR="478B1C36" w:rsidRPr="00B64995">
                      <w:rPr>
                        <w:rStyle w:val="Hyperlink"/>
                        <w:rFonts w:eastAsia="Calibri"/>
                      </w:rPr>
                      <w:t xml:space="preserve">Y.4468 </w:t>
                    </w:r>
                  </w:hyperlink>
                </w:p>
              </w:tc>
              <w:tc>
                <w:tcPr>
                  <w:tcW w:w="4438" w:type="dxa"/>
                </w:tcPr>
                <w:p w14:paraId="3B927CED" w14:textId="3B9A7AC9" w:rsidR="478B1C36" w:rsidRPr="00B64995" w:rsidRDefault="478B1C36" w:rsidP="00A97704">
                  <w:pPr>
                    <w:spacing w:before="60"/>
                    <w:jc w:val="both"/>
                  </w:pPr>
                  <w:r w:rsidRPr="00B64995">
                    <w:rPr>
                      <w:rFonts w:eastAsia="Calibri"/>
                    </w:rPr>
                    <w:t>Minimum set of data transfer protocol for automotive emergency response system</w:t>
                  </w:r>
                </w:p>
              </w:tc>
            </w:tr>
            <w:tr w:rsidR="00387E75" w:rsidRPr="00B64995" w14:paraId="7C55B75E" w14:textId="77777777" w:rsidTr="478B1C36">
              <w:tc>
                <w:tcPr>
                  <w:tcW w:w="4438" w:type="dxa"/>
                </w:tcPr>
                <w:p w14:paraId="4EF5EF22" w14:textId="2BD932D2" w:rsidR="00387E75" w:rsidRPr="00A060FE" w:rsidRDefault="00570F0C" w:rsidP="00A97704">
                  <w:pPr>
                    <w:spacing w:before="60"/>
                    <w:jc w:val="both"/>
                  </w:pPr>
                  <w:hyperlink r:id="rId521" w:tooltip="See more details" w:history="1">
                    <w:r w:rsidR="00162189" w:rsidRPr="00B64995">
                      <w:rPr>
                        <w:rStyle w:val="Hyperlink"/>
                        <w:rFonts w:asciiTheme="minorHAnsi" w:eastAsia="Times New Roman" w:hAnsiTheme="minorHAnsi" w:cstheme="minorHAnsi"/>
                      </w:rPr>
                      <w:t>Y.4469</w:t>
                    </w:r>
                  </w:hyperlink>
                </w:p>
              </w:tc>
              <w:tc>
                <w:tcPr>
                  <w:tcW w:w="4438" w:type="dxa"/>
                </w:tcPr>
                <w:p w14:paraId="4BE3C6FD" w14:textId="1BBE3005" w:rsidR="00387E75" w:rsidRPr="00B64995" w:rsidRDefault="006E137F" w:rsidP="00A97704">
                  <w:pPr>
                    <w:spacing w:before="60"/>
                    <w:jc w:val="both"/>
                    <w:rPr>
                      <w:rFonts w:eastAsia="Calibri"/>
                    </w:rPr>
                  </w:pPr>
                  <w:r w:rsidRPr="00B64995">
                    <w:rPr>
                      <w:rFonts w:eastAsia="Calibri"/>
                    </w:rPr>
                    <w:t>Reference architecture of spare computational capability exposure of IoT devices for smart home</w:t>
                  </w:r>
                </w:p>
              </w:tc>
            </w:tr>
            <w:tr w:rsidR="00387E75" w:rsidRPr="00B64995" w14:paraId="7B7B3102" w14:textId="77777777" w:rsidTr="478B1C36">
              <w:tc>
                <w:tcPr>
                  <w:tcW w:w="4438" w:type="dxa"/>
                </w:tcPr>
                <w:p w14:paraId="39772279" w14:textId="7833B9F9" w:rsidR="00387E75" w:rsidRPr="00A060FE" w:rsidRDefault="00570F0C" w:rsidP="00A97704">
                  <w:pPr>
                    <w:spacing w:before="60"/>
                    <w:jc w:val="both"/>
                  </w:pPr>
                  <w:hyperlink r:id="rId522" w:tooltip="See more details" w:history="1">
                    <w:r w:rsidR="0025248A" w:rsidRPr="00B64995">
                      <w:rPr>
                        <w:rStyle w:val="Hyperlink"/>
                        <w:rFonts w:asciiTheme="minorHAnsi" w:eastAsia="Times New Roman" w:hAnsiTheme="minorHAnsi" w:cstheme="minorHAnsi"/>
                      </w:rPr>
                      <w:t>Y.4470</w:t>
                    </w:r>
                  </w:hyperlink>
                </w:p>
              </w:tc>
              <w:tc>
                <w:tcPr>
                  <w:tcW w:w="4438" w:type="dxa"/>
                </w:tcPr>
                <w:p w14:paraId="2A723C2C" w14:textId="6637A923" w:rsidR="00387E75" w:rsidRPr="00B64995" w:rsidRDefault="004B13ED" w:rsidP="00A97704">
                  <w:pPr>
                    <w:spacing w:before="60"/>
                    <w:jc w:val="both"/>
                    <w:rPr>
                      <w:rFonts w:eastAsia="Calibri"/>
                    </w:rPr>
                  </w:pPr>
                  <w:r w:rsidRPr="00B64995">
                    <w:rPr>
                      <w:rFonts w:eastAsia="Calibri"/>
                    </w:rPr>
                    <w:t>Reference architecture of artificial intelligence service exposure for smart sustainable cities</w:t>
                  </w:r>
                </w:p>
              </w:tc>
            </w:tr>
            <w:tr w:rsidR="478B1C36" w:rsidRPr="00B64995" w14:paraId="31E81557" w14:textId="77777777" w:rsidTr="478B1C36">
              <w:tc>
                <w:tcPr>
                  <w:tcW w:w="4438" w:type="dxa"/>
                </w:tcPr>
                <w:p w14:paraId="3516F943" w14:textId="5531EC18" w:rsidR="478B1C36" w:rsidRPr="00A060FE" w:rsidRDefault="00570F0C" w:rsidP="00A97704">
                  <w:pPr>
                    <w:spacing w:before="60"/>
                    <w:jc w:val="both"/>
                  </w:pPr>
                  <w:hyperlink r:id="rId523">
                    <w:r w:rsidR="478B1C36" w:rsidRPr="00B64995">
                      <w:rPr>
                        <w:rStyle w:val="Hyperlink"/>
                        <w:rFonts w:eastAsia="Calibri"/>
                      </w:rPr>
                      <w:t xml:space="preserve">Y.4458 </w:t>
                    </w:r>
                  </w:hyperlink>
                </w:p>
              </w:tc>
              <w:tc>
                <w:tcPr>
                  <w:tcW w:w="4438" w:type="dxa"/>
                </w:tcPr>
                <w:p w14:paraId="62856949" w14:textId="0C857E48" w:rsidR="478B1C36" w:rsidRPr="00B64995" w:rsidRDefault="478B1C36" w:rsidP="00A97704">
                  <w:pPr>
                    <w:spacing w:before="60"/>
                    <w:jc w:val="both"/>
                  </w:pPr>
                  <w:r w:rsidRPr="00B64995">
                    <w:rPr>
                      <w:rFonts w:eastAsia="Calibri"/>
                    </w:rPr>
                    <w:t>Requirements and functional architecture of smart street light service</w:t>
                  </w:r>
                </w:p>
              </w:tc>
            </w:tr>
            <w:tr w:rsidR="478B1C36" w:rsidRPr="00B64995" w14:paraId="6BE4FA36" w14:textId="77777777" w:rsidTr="478B1C36">
              <w:tc>
                <w:tcPr>
                  <w:tcW w:w="4438" w:type="dxa"/>
                </w:tcPr>
                <w:p w14:paraId="2D74C8E6" w14:textId="36086384" w:rsidR="478B1C36" w:rsidRPr="00A060FE" w:rsidRDefault="00570F0C" w:rsidP="00A97704">
                  <w:pPr>
                    <w:spacing w:before="60"/>
                    <w:jc w:val="both"/>
                  </w:pPr>
                  <w:hyperlink r:id="rId524">
                    <w:r w:rsidR="478B1C36" w:rsidRPr="00B64995">
                      <w:rPr>
                        <w:rStyle w:val="Hyperlink"/>
                        <w:rFonts w:eastAsia="Calibri"/>
                      </w:rPr>
                      <w:t xml:space="preserve">Y.4463 </w:t>
                    </w:r>
                  </w:hyperlink>
                </w:p>
              </w:tc>
              <w:tc>
                <w:tcPr>
                  <w:tcW w:w="4438" w:type="dxa"/>
                </w:tcPr>
                <w:p w14:paraId="17B16C24" w14:textId="1C35E5CF" w:rsidR="478B1C36" w:rsidRPr="00B64995" w:rsidRDefault="478B1C36" w:rsidP="00A97704">
                  <w:pPr>
                    <w:spacing w:before="60"/>
                    <w:jc w:val="both"/>
                  </w:pPr>
                  <w:r w:rsidRPr="00B64995">
                    <w:rPr>
                      <w:rFonts w:eastAsia="Calibri"/>
                    </w:rPr>
                    <w:t>Framework of delegation service for IoT devices</w:t>
                  </w:r>
                </w:p>
              </w:tc>
            </w:tr>
            <w:tr w:rsidR="478B1C36" w:rsidRPr="00B64995" w14:paraId="5591C888" w14:textId="77777777" w:rsidTr="478B1C36">
              <w:tc>
                <w:tcPr>
                  <w:tcW w:w="4438" w:type="dxa"/>
                </w:tcPr>
                <w:p w14:paraId="78C2AA5B" w14:textId="7ADE96FE" w:rsidR="478B1C36" w:rsidRPr="00A060FE" w:rsidRDefault="00570F0C" w:rsidP="00A97704">
                  <w:pPr>
                    <w:spacing w:before="60"/>
                    <w:jc w:val="both"/>
                  </w:pPr>
                  <w:hyperlink r:id="rId525">
                    <w:r w:rsidR="478B1C36" w:rsidRPr="00B64995">
                      <w:rPr>
                        <w:rStyle w:val="Hyperlink"/>
                        <w:rFonts w:eastAsia="Calibri"/>
                      </w:rPr>
                      <w:t xml:space="preserve">Y.4464 </w:t>
                    </w:r>
                  </w:hyperlink>
                </w:p>
              </w:tc>
              <w:tc>
                <w:tcPr>
                  <w:tcW w:w="4438" w:type="dxa"/>
                </w:tcPr>
                <w:p w14:paraId="01E722C7" w14:textId="3B4CD155" w:rsidR="478B1C36" w:rsidRPr="00B64995" w:rsidRDefault="478B1C36" w:rsidP="00A97704">
                  <w:pPr>
                    <w:spacing w:before="60"/>
                    <w:jc w:val="both"/>
                  </w:pPr>
                  <w:r w:rsidRPr="00B64995">
                    <w:rPr>
                      <w:rFonts w:eastAsia="Calibri"/>
                    </w:rPr>
                    <w:t>Framework of blockchain of things as decentralized service platform</w:t>
                  </w:r>
                </w:p>
              </w:tc>
            </w:tr>
            <w:tr w:rsidR="478B1C36" w:rsidRPr="00B64995" w14:paraId="58B515D9" w14:textId="77777777" w:rsidTr="478B1C36">
              <w:tc>
                <w:tcPr>
                  <w:tcW w:w="4438" w:type="dxa"/>
                </w:tcPr>
                <w:p w14:paraId="6627BCD0" w14:textId="48537886" w:rsidR="478B1C36" w:rsidRPr="00A060FE" w:rsidRDefault="00570F0C" w:rsidP="00A97704">
                  <w:pPr>
                    <w:spacing w:before="60"/>
                    <w:jc w:val="both"/>
                  </w:pPr>
                  <w:hyperlink r:id="rId526">
                    <w:r w:rsidR="478B1C36" w:rsidRPr="00B64995">
                      <w:rPr>
                        <w:rStyle w:val="Hyperlink"/>
                        <w:rFonts w:eastAsia="Calibri"/>
                      </w:rPr>
                      <w:t xml:space="preserve">Y.4465 </w:t>
                    </w:r>
                  </w:hyperlink>
                </w:p>
              </w:tc>
              <w:tc>
                <w:tcPr>
                  <w:tcW w:w="4438" w:type="dxa"/>
                </w:tcPr>
                <w:p w14:paraId="5DAE228B" w14:textId="4D035FAC" w:rsidR="478B1C36" w:rsidRPr="00B64995" w:rsidRDefault="478B1C36" w:rsidP="00A97704">
                  <w:pPr>
                    <w:spacing w:before="60"/>
                    <w:jc w:val="both"/>
                  </w:pPr>
                  <w:r w:rsidRPr="00B64995">
                    <w:rPr>
                      <w:rFonts w:eastAsia="Calibri"/>
                    </w:rPr>
                    <w:t>Framework of IoT Services based on Visible Light Communications</w:t>
                  </w:r>
                </w:p>
              </w:tc>
            </w:tr>
            <w:tr w:rsidR="478B1C36" w:rsidRPr="00B64995" w14:paraId="720D24DF" w14:textId="77777777" w:rsidTr="478B1C36">
              <w:tc>
                <w:tcPr>
                  <w:tcW w:w="4438" w:type="dxa"/>
                </w:tcPr>
                <w:p w14:paraId="4B184D87" w14:textId="45437609" w:rsidR="478B1C36" w:rsidRPr="00A060FE" w:rsidRDefault="00570F0C" w:rsidP="00A97704">
                  <w:pPr>
                    <w:spacing w:before="60"/>
                    <w:jc w:val="both"/>
                  </w:pPr>
                  <w:hyperlink r:id="rId527">
                    <w:r w:rsidR="478B1C36" w:rsidRPr="00B64995">
                      <w:rPr>
                        <w:rStyle w:val="Hyperlink"/>
                        <w:rFonts w:eastAsia="Calibri"/>
                      </w:rPr>
                      <w:t xml:space="preserve">Y.4466 </w:t>
                    </w:r>
                  </w:hyperlink>
                </w:p>
              </w:tc>
              <w:tc>
                <w:tcPr>
                  <w:tcW w:w="4438" w:type="dxa"/>
                </w:tcPr>
                <w:p w14:paraId="33D7D525" w14:textId="70E85515" w:rsidR="478B1C36" w:rsidRPr="00B64995" w:rsidRDefault="478B1C36" w:rsidP="00A97704">
                  <w:pPr>
                    <w:spacing w:before="60"/>
                    <w:jc w:val="both"/>
                  </w:pPr>
                  <w:r w:rsidRPr="00B64995">
                    <w:rPr>
                      <w:rFonts w:eastAsia="Calibri"/>
                    </w:rPr>
                    <w:t>Framework of smart greenhouse service</w:t>
                  </w:r>
                </w:p>
              </w:tc>
            </w:tr>
            <w:tr w:rsidR="004B13ED" w:rsidRPr="00B64995" w14:paraId="2D2F4804" w14:textId="77777777" w:rsidTr="478B1C36">
              <w:tc>
                <w:tcPr>
                  <w:tcW w:w="4438" w:type="dxa"/>
                </w:tcPr>
                <w:p w14:paraId="7148DB35" w14:textId="378DC2F1" w:rsidR="004B13ED" w:rsidRPr="00A060FE" w:rsidRDefault="00570F0C" w:rsidP="00A97704">
                  <w:pPr>
                    <w:spacing w:before="60"/>
                    <w:jc w:val="both"/>
                  </w:pPr>
                  <w:hyperlink r:id="rId528" w:tooltip="See more details" w:history="1">
                    <w:r w:rsidR="00BF35DA" w:rsidRPr="00B64995">
                      <w:rPr>
                        <w:rStyle w:val="Hyperlink"/>
                        <w:rFonts w:asciiTheme="minorHAnsi" w:eastAsia="Times New Roman" w:hAnsiTheme="minorHAnsi" w:cstheme="minorHAnsi"/>
                      </w:rPr>
                      <w:t>Y.4473</w:t>
                    </w:r>
                  </w:hyperlink>
                </w:p>
              </w:tc>
              <w:tc>
                <w:tcPr>
                  <w:tcW w:w="4438" w:type="dxa"/>
                </w:tcPr>
                <w:p w14:paraId="130E7871" w14:textId="48140A71" w:rsidR="004B13ED" w:rsidRPr="00B64995" w:rsidRDefault="00984988" w:rsidP="00A97704">
                  <w:pPr>
                    <w:spacing w:before="60"/>
                    <w:jc w:val="both"/>
                    <w:rPr>
                      <w:rFonts w:eastAsia="Calibri"/>
                    </w:rPr>
                  </w:pPr>
                  <w:proofErr w:type="spellStart"/>
                  <w:r w:rsidRPr="00B64995">
                    <w:rPr>
                      <w:rFonts w:eastAsia="Calibri"/>
                    </w:rPr>
                    <w:t>SensorThings</w:t>
                  </w:r>
                  <w:proofErr w:type="spellEnd"/>
                  <w:r w:rsidRPr="00B64995">
                    <w:rPr>
                      <w:rFonts w:eastAsia="Calibri"/>
                    </w:rPr>
                    <w:t xml:space="preserve"> API </w:t>
                  </w:r>
                  <w:r w:rsidR="00B62111" w:rsidRPr="00B64995">
                    <w:rPr>
                      <w:rFonts w:eastAsia="Calibri"/>
                    </w:rPr>
                    <w:t>–</w:t>
                  </w:r>
                  <w:r w:rsidRPr="00B64995">
                    <w:rPr>
                      <w:rFonts w:eastAsia="Calibri"/>
                    </w:rPr>
                    <w:t xml:space="preserve"> Sensing</w:t>
                  </w:r>
                </w:p>
              </w:tc>
            </w:tr>
            <w:tr w:rsidR="004B13ED" w:rsidRPr="00B64995" w14:paraId="47D2555F" w14:textId="77777777" w:rsidTr="478B1C36">
              <w:tc>
                <w:tcPr>
                  <w:tcW w:w="4438" w:type="dxa"/>
                </w:tcPr>
                <w:p w14:paraId="5FE7940B" w14:textId="393E2FB5" w:rsidR="004B13ED" w:rsidRPr="00A060FE" w:rsidRDefault="00570F0C" w:rsidP="00A97704">
                  <w:pPr>
                    <w:spacing w:before="60"/>
                    <w:jc w:val="both"/>
                  </w:pPr>
                  <w:hyperlink r:id="rId529" w:tooltip="See more details" w:history="1">
                    <w:r w:rsidR="008C7633" w:rsidRPr="00B64995">
                      <w:rPr>
                        <w:rStyle w:val="Hyperlink"/>
                        <w:rFonts w:asciiTheme="minorHAnsi" w:eastAsia="Times New Roman" w:hAnsiTheme="minorHAnsi" w:cstheme="minorHAnsi"/>
                      </w:rPr>
                      <w:t>Y.4474</w:t>
                    </w:r>
                  </w:hyperlink>
                </w:p>
              </w:tc>
              <w:tc>
                <w:tcPr>
                  <w:tcW w:w="4438" w:type="dxa"/>
                </w:tcPr>
                <w:p w14:paraId="522746C2" w14:textId="633D447E" w:rsidR="004B13ED" w:rsidRPr="00B64995" w:rsidRDefault="008B4386" w:rsidP="00A97704">
                  <w:pPr>
                    <w:spacing w:before="60"/>
                    <w:jc w:val="both"/>
                    <w:rPr>
                      <w:rFonts w:eastAsia="Calibri"/>
                    </w:rPr>
                  </w:pPr>
                  <w:r w:rsidRPr="00B64995">
                    <w:rPr>
                      <w:rFonts w:eastAsia="Calibri"/>
                    </w:rPr>
                    <w:t>Functional architecture for IoT services based on Visible Light Communications</w:t>
                  </w:r>
                </w:p>
              </w:tc>
            </w:tr>
            <w:tr w:rsidR="004B13ED" w:rsidRPr="00B64995" w14:paraId="1ADFF11E" w14:textId="77777777" w:rsidTr="478B1C36">
              <w:tc>
                <w:tcPr>
                  <w:tcW w:w="4438" w:type="dxa"/>
                </w:tcPr>
                <w:p w14:paraId="27C22AD9" w14:textId="6BF906C9" w:rsidR="004B13ED" w:rsidRPr="00A060FE" w:rsidRDefault="00570F0C" w:rsidP="00A97704">
                  <w:pPr>
                    <w:spacing w:before="60"/>
                    <w:jc w:val="both"/>
                  </w:pPr>
                  <w:hyperlink r:id="rId530" w:tooltip="See more details" w:history="1">
                    <w:r w:rsidR="00B96870" w:rsidRPr="00B64995">
                      <w:rPr>
                        <w:rStyle w:val="Hyperlink"/>
                        <w:rFonts w:asciiTheme="minorHAnsi" w:eastAsia="Times New Roman" w:hAnsiTheme="minorHAnsi" w:cstheme="minorHAnsi"/>
                      </w:rPr>
                      <w:t>Y.4475</w:t>
                    </w:r>
                  </w:hyperlink>
                </w:p>
              </w:tc>
              <w:tc>
                <w:tcPr>
                  <w:tcW w:w="4438" w:type="dxa"/>
                </w:tcPr>
                <w:p w14:paraId="5EF29235" w14:textId="77E36D7A" w:rsidR="004B13ED" w:rsidRPr="00B64995" w:rsidRDefault="005B3A2F" w:rsidP="00A97704">
                  <w:pPr>
                    <w:spacing w:before="60"/>
                    <w:jc w:val="both"/>
                    <w:rPr>
                      <w:rFonts w:eastAsia="Calibri"/>
                    </w:rPr>
                  </w:pPr>
                  <w:r w:rsidRPr="00B64995">
                    <w:rPr>
                      <w:rFonts w:eastAsia="Calibri"/>
                    </w:rPr>
                    <w:t>Lightweight intelligent software framework for IoT devices</w:t>
                  </w:r>
                </w:p>
              </w:tc>
            </w:tr>
            <w:tr w:rsidR="478B1C36" w:rsidRPr="00B64995" w14:paraId="31FFD392" w14:textId="77777777" w:rsidTr="478B1C36">
              <w:tc>
                <w:tcPr>
                  <w:tcW w:w="4438" w:type="dxa"/>
                </w:tcPr>
                <w:p w14:paraId="2DF68375" w14:textId="37A0D797" w:rsidR="478B1C36" w:rsidRPr="00A060FE" w:rsidRDefault="00570F0C" w:rsidP="00A97704">
                  <w:pPr>
                    <w:spacing w:before="60"/>
                    <w:jc w:val="both"/>
                  </w:pPr>
                  <w:hyperlink r:id="rId531">
                    <w:r w:rsidR="478B1C36" w:rsidRPr="00B64995">
                      <w:rPr>
                        <w:rStyle w:val="Hyperlink"/>
                        <w:rFonts w:eastAsia="Calibri"/>
                      </w:rPr>
                      <w:t xml:space="preserve">Y.4556 </w:t>
                    </w:r>
                  </w:hyperlink>
                </w:p>
              </w:tc>
              <w:tc>
                <w:tcPr>
                  <w:tcW w:w="4438" w:type="dxa"/>
                </w:tcPr>
                <w:p w14:paraId="10479D97" w14:textId="36506288" w:rsidR="478B1C36" w:rsidRPr="00B64995" w:rsidRDefault="478B1C36" w:rsidP="00A97704">
                  <w:pPr>
                    <w:spacing w:before="60"/>
                    <w:jc w:val="both"/>
                  </w:pPr>
                  <w:r w:rsidRPr="00B64995">
                    <w:rPr>
                      <w:rFonts w:eastAsia="Calibri"/>
                    </w:rPr>
                    <w:t>Requirements and functional architecture of smart residential community</w:t>
                  </w:r>
                </w:p>
              </w:tc>
            </w:tr>
            <w:tr w:rsidR="478B1C36" w:rsidRPr="00B64995" w14:paraId="2F23A5DE" w14:textId="77777777" w:rsidTr="478B1C36">
              <w:tc>
                <w:tcPr>
                  <w:tcW w:w="4438" w:type="dxa"/>
                </w:tcPr>
                <w:p w14:paraId="2482982B" w14:textId="307B8F1A" w:rsidR="478B1C36" w:rsidRPr="00A060FE" w:rsidRDefault="00570F0C" w:rsidP="00A97704">
                  <w:pPr>
                    <w:spacing w:before="60"/>
                    <w:jc w:val="both"/>
                  </w:pPr>
                  <w:hyperlink r:id="rId532">
                    <w:r w:rsidR="478B1C36" w:rsidRPr="00B64995">
                      <w:rPr>
                        <w:rStyle w:val="Hyperlink"/>
                        <w:rFonts w:eastAsia="Calibri"/>
                      </w:rPr>
                      <w:t xml:space="preserve">Y.Suppl.57 to ITU-T Y.4409 </w:t>
                    </w:r>
                  </w:hyperlink>
                </w:p>
              </w:tc>
              <w:tc>
                <w:tcPr>
                  <w:tcW w:w="4438" w:type="dxa"/>
                </w:tcPr>
                <w:p w14:paraId="1C287ED1" w14:textId="6D11D852" w:rsidR="478B1C36" w:rsidRPr="00B64995" w:rsidRDefault="478B1C36" w:rsidP="00A97704">
                  <w:pPr>
                    <w:spacing w:before="60"/>
                    <w:jc w:val="both"/>
                  </w:pPr>
                  <w:r w:rsidRPr="00B64995">
                    <w:rPr>
                      <w:rFonts w:eastAsia="Calibri"/>
                    </w:rPr>
                    <w:t>Implementation Guidelines to Recommendation ITU-T Y.4409</w:t>
                  </w:r>
                </w:p>
              </w:tc>
            </w:tr>
            <w:tr w:rsidR="005B3A2F" w:rsidRPr="00B64995" w14:paraId="16C02982" w14:textId="77777777" w:rsidTr="478B1C36">
              <w:tc>
                <w:tcPr>
                  <w:tcW w:w="4438" w:type="dxa"/>
                </w:tcPr>
                <w:p w14:paraId="69D34099" w14:textId="322CDEBA" w:rsidR="005B3A2F" w:rsidRPr="00A060FE" w:rsidRDefault="00570F0C" w:rsidP="00A97704">
                  <w:pPr>
                    <w:spacing w:before="60"/>
                    <w:jc w:val="both"/>
                  </w:pPr>
                  <w:hyperlink r:id="rId533" w:tooltip="See more details" w:history="1">
                    <w:r w:rsidR="009C5232" w:rsidRPr="00B64995">
                      <w:rPr>
                        <w:rStyle w:val="Hyperlink"/>
                        <w:rFonts w:asciiTheme="minorHAnsi" w:eastAsia="Times New Roman" w:hAnsiTheme="minorHAnsi" w:cstheme="minorHAnsi"/>
                      </w:rPr>
                      <w:t>Y.Suppl.62 to ITU-T Y.4000 series</w:t>
                    </w:r>
                  </w:hyperlink>
                </w:p>
              </w:tc>
              <w:tc>
                <w:tcPr>
                  <w:tcW w:w="4438" w:type="dxa"/>
                </w:tcPr>
                <w:p w14:paraId="68621B5A" w14:textId="291F6ED4" w:rsidR="005B3A2F" w:rsidRPr="00B64995" w:rsidRDefault="00F8220F" w:rsidP="00A97704">
                  <w:pPr>
                    <w:spacing w:before="60"/>
                    <w:jc w:val="both"/>
                    <w:rPr>
                      <w:rFonts w:eastAsia="Calibri"/>
                    </w:rPr>
                  </w:pPr>
                  <w:r w:rsidRPr="00B64995">
                    <w:rPr>
                      <w:rFonts w:eastAsia="Calibri"/>
                    </w:rPr>
                    <w:t>Overview of blockchain for supporting Internet of things and smart cities and communities in data processing and management aspects</w:t>
                  </w:r>
                </w:p>
              </w:tc>
            </w:tr>
            <w:tr w:rsidR="478B1C36" w:rsidRPr="00B64995" w14:paraId="245E376F" w14:textId="77777777" w:rsidTr="478B1C36">
              <w:tc>
                <w:tcPr>
                  <w:tcW w:w="4438" w:type="dxa"/>
                </w:tcPr>
                <w:p w14:paraId="5BC16376" w14:textId="0F2DAAB8" w:rsidR="478B1C36" w:rsidRPr="00A060FE" w:rsidRDefault="00570F0C" w:rsidP="00A97704">
                  <w:pPr>
                    <w:spacing w:before="60"/>
                    <w:jc w:val="both"/>
                  </w:pPr>
                  <w:hyperlink r:id="rId534">
                    <w:r w:rsidR="478B1C36" w:rsidRPr="00B64995">
                      <w:rPr>
                        <w:rStyle w:val="Hyperlink"/>
                        <w:rFonts w:eastAsia="Calibri"/>
                      </w:rPr>
                      <w:t xml:space="preserve">Y.4051 </w:t>
                    </w:r>
                  </w:hyperlink>
                </w:p>
              </w:tc>
              <w:tc>
                <w:tcPr>
                  <w:tcW w:w="4438" w:type="dxa"/>
                </w:tcPr>
                <w:p w14:paraId="32511C4E" w14:textId="4F1919D0" w:rsidR="478B1C36" w:rsidRPr="00B64995" w:rsidRDefault="478B1C36" w:rsidP="00A97704">
                  <w:pPr>
                    <w:spacing w:before="60"/>
                    <w:jc w:val="both"/>
                  </w:pPr>
                  <w:r w:rsidRPr="00B64995">
                    <w:rPr>
                      <w:rFonts w:eastAsia="Calibri"/>
                    </w:rPr>
                    <w:t>Vocabulary for smart cities and communities</w:t>
                  </w:r>
                </w:p>
              </w:tc>
            </w:tr>
            <w:tr w:rsidR="478B1C36" w:rsidRPr="00B64995" w14:paraId="2B008D73" w14:textId="77777777" w:rsidTr="478B1C36">
              <w:tc>
                <w:tcPr>
                  <w:tcW w:w="4438" w:type="dxa"/>
                </w:tcPr>
                <w:p w14:paraId="007429B8" w14:textId="65FB1940" w:rsidR="478B1C36" w:rsidRPr="00A060FE" w:rsidRDefault="00570F0C" w:rsidP="00A97704">
                  <w:pPr>
                    <w:spacing w:before="60"/>
                    <w:jc w:val="both"/>
                  </w:pPr>
                  <w:hyperlink r:id="rId535">
                    <w:proofErr w:type="gramStart"/>
                    <w:r w:rsidR="478B1C36" w:rsidRPr="00B64995">
                      <w:rPr>
                        <w:rStyle w:val="Hyperlink"/>
                        <w:rFonts w:eastAsia="Calibri"/>
                      </w:rPr>
                      <w:t>Y.Sup</w:t>
                    </w:r>
                    <w:proofErr w:type="gramEnd"/>
                    <w:r w:rsidR="478B1C36" w:rsidRPr="00B64995">
                      <w:rPr>
                        <w:rStyle w:val="Hyperlink"/>
                        <w:rFonts w:eastAsia="Calibri"/>
                      </w:rPr>
                      <w:t>.54 to ITU-T Y.4000-series</w:t>
                    </w:r>
                  </w:hyperlink>
                </w:p>
              </w:tc>
              <w:tc>
                <w:tcPr>
                  <w:tcW w:w="4438" w:type="dxa"/>
                </w:tcPr>
                <w:p w14:paraId="278955BB" w14:textId="5A8B5445" w:rsidR="478B1C36" w:rsidRPr="00B64995" w:rsidRDefault="478B1C36" w:rsidP="00A97704">
                  <w:pPr>
                    <w:spacing w:before="60"/>
                    <w:jc w:val="both"/>
                  </w:pPr>
                  <w:r w:rsidRPr="00B64995">
                    <w:rPr>
                      <w:rFonts w:eastAsia="Calibri"/>
                    </w:rPr>
                    <w:t>Framework for home environment profiles and levels of IoT systems</w:t>
                  </w:r>
                </w:p>
              </w:tc>
            </w:tr>
            <w:tr w:rsidR="00F8220F" w:rsidRPr="00B64995" w14:paraId="53BD7565" w14:textId="77777777" w:rsidTr="478B1C36">
              <w:tc>
                <w:tcPr>
                  <w:tcW w:w="4438" w:type="dxa"/>
                </w:tcPr>
                <w:p w14:paraId="4DC743ED" w14:textId="7D17C57C" w:rsidR="00F8220F" w:rsidRPr="00A060FE" w:rsidRDefault="00570F0C" w:rsidP="00A97704">
                  <w:pPr>
                    <w:spacing w:before="60"/>
                    <w:jc w:val="both"/>
                  </w:pPr>
                  <w:hyperlink r:id="rId536" w:tooltip="See more details" w:history="1">
                    <w:r w:rsidR="00530AD0" w:rsidRPr="00B64995">
                      <w:rPr>
                        <w:rStyle w:val="Hyperlink"/>
                        <w:rFonts w:asciiTheme="minorHAnsi" w:eastAsia="Times New Roman" w:hAnsiTheme="minorHAnsi" w:cstheme="minorHAnsi"/>
                      </w:rPr>
                      <w:t>Y.Suppl.63 to ITU-T Y.4000 series</w:t>
                    </w:r>
                  </w:hyperlink>
                </w:p>
              </w:tc>
              <w:tc>
                <w:tcPr>
                  <w:tcW w:w="4438" w:type="dxa"/>
                </w:tcPr>
                <w:p w14:paraId="7085AFFD" w14:textId="39FF89CD" w:rsidR="00F8220F" w:rsidRPr="00B64995" w:rsidRDefault="00275FF0" w:rsidP="00A97704">
                  <w:pPr>
                    <w:spacing w:before="60"/>
                    <w:jc w:val="both"/>
                    <w:rPr>
                      <w:rFonts w:eastAsia="Calibri"/>
                    </w:rPr>
                  </w:pPr>
                  <w:r w:rsidRPr="00B64995">
                    <w:rPr>
                      <w:rFonts w:eastAsia="Calibri"/>
                    </w:rPr>
                    <w:t>Unlocking Internet of things with artificial intelligence</w:t>
                  </w:r>
                </w:p>
              </w:tc>
            </w:tr>
            <w:tr w:rsidR="478B1C36" w:rsidRPr="00B64995" w14:paraId="6BDB59E8" w14:textId="77777777" w:rsidTr="478B1C36">
              <w:tc>
                <w:tcPr>
                  <w:tcW w:w="4438" w:type="dxa"/>
                </w:tcPr>
                <w:p w14:paraId="5419A41E" w14:textId="6D04A63B" w:rsidR="478B1C36" w:rsidRPr="00A060FE" w:rsidRDefault="00570F0C" w:rsidP="00A97704">
                  <w:pPr>
                    <w:spacing w:before="60"/>
                    <w:jc w:val="both"/>
                  </w:pPr>
                  <w:hyperlink r:id="rId537">
                    <w:r w:rsidR="478B1C36" w:rsidRPr="00B64995">
                      <w:rPr>
                        <w:rStyle w:val="Hyperlink"/>
                        <w:rFonts w:eastAsia="Calibri"/>
                      </w:rPr>
                      <w:t xml:space="preserve">Y.4459 </w:t>
                    </w:r>
                  </w:hyperlink>
                </w:p>
              </w:tc>
              <w:tc>
                <w:tcPr>
                  <w:tcW w:w="4438" w:type="dxa"/>
                </w:tcPr>
                <w:p w14:paraId="30313B15" w14:textId="44494E8C" w:rsidR="478B1C36" w:rsidRPr="00B64995" w:rsidRDefault="478B1C36" w:rsidP="00A97704">
                  <w:pPr>
                    <w:spacing w:before="60"/>
                    <w:jc w:val="both"/>
                  </w:pPr>
                  <w:r w:rsidRPr="00B64995">
                    <w:rPr>
                      <w:rFonts w:eastAsia="Calibri"/>
                    </w:rPr>
                    <w:t>Digital entity architecture framework for IoT interoperability</w:t>
                  </w:r>
                </w:p>
              </w:tc>
            </w:tr>
            <w:tr w:rsidR="478B1C36" w:rsidRPr="00B64995" w14:paraId="6988216A" w14:textId="77777777" w:rsidTr="478B1C36">
              <w:tc>
                <w:tcPr>
                  <w:tcW w:w="4438" w:type="dxa"/>
                </w:tcPr>
                <w:p w14:paraId="02B310B2" w14:textId="0F89431B" w:rsidR="478B1C36" w:rsidRPr="00A060FE" w:rsidRDefault="00570F0C" w:rsidP="00A97704">
                  <w:pPr>
                    <w:spacing w:before="60"/>
                    <w:jc w:val="both"/>
                  </w:pPr>
                  <w:hyperlink r:id="rId538" w:history="1">
                    <w:r w:rsidR="00E40236" w:rsidRPr="00B64995">
                      <w:rPr>
                        <w:rStyle w:val="Hyperlink"/>
                      </w:rPr>
                      <w:t xml:space="preserve">Y.4807 </w:t>
                    </w:r>
                  </w:hyperlink>
                </w:p>
              </w:tc>
              <w:tc>
                <w:tcPr>
                  <w:tcW w:w="4438" w:type="dxa"/>
                </w:tcPr>
                <w:p w14:paraId="715A87D3" w14:textId="29808E76" w:rsidR="478B1C36" w:rsidRPr="00B64995" w:rsidRDefault="478B1C36" w:rsidP="00A97704">
                  <w:pPr>
                    <w:spacing w:before="60"/>
                    <w:jc w:val="both"/>
                  </w:pPr>
                  <w:r w:rsidRPr="00B64995">
                    <w:rPr>
                      <w:rFonts w:eastAsia="Calibri"/>
                    </w:rPr>
                    <w:t xml:space="preserve">Agility by design for Telecommunications/ICT Systems Security used </w:t>
                  </w:r>
                  <w:proofErr w:type="gramStart"/>
                  <w:r w:rsidRPr="00B64995">
                    <w:rPr>
                      <w:rFonts w:eastAsia="Calibri"/>
                    </w:rPr>
                    <w:t>in</w:t>
                  </w:r>
                  <w:proofErr w:type="gramEnd"/>
                  <w:r w:rsidRPr="00B64995">
                    <w:rPr>
                      <w:rFonts w:eastAsia="Calibri"/>
                    </w:rPr>
                    <w:t xml:space="preserve"> the </w:t>
                  </w:r>
                  <w:r w:rsidR="00614D53" w:rsidRPr="00B64995">
                    <w:rPr>
                      <w:rFonts w:eastAsia="Calibri"/>
                    </w:rPr>
                    <w:t>Internet</w:t>
                  </w:r>
                  <w:r w:rsidRPr="00B64995">
                    <w:rPr>
                      <w:rFonts w:eastAsia="Calibri"/>
                    </w:rPr>
                    <w:t xml:space="preserve"> of Things</w:t>
                  </w:r>
                </w:p>
              </w:tc>
            </w:tr>
            <w:tr w:rsidR="00275FF0" w:rsidRPr="00B64995" w14:paraId="56665D51" w14:textId="77777777" w:rsidTr="478B1C36">
              <w:tc>
                <w:tcPr>
                  <w:tcW w:w="4438" w:type="dxa"/>
                </w:tcPr>
                <w:p w14:paraId="78FE92E3" w14:textId="541FEBA4" w:rsidR="00275FF0" w:rsidRPr="00A060FE" w:rsidRDefault="00570F0C" w:rsidP="00A97704">
                  <w:pPr>
                    <w:spacing w:before="60"/>
                    <w:jc w:val="both"/>
                  </w:pPr>
                  <w:hyperlink r:id="rId539" w:tooltip="See more details" w:history="1">
                    <w:r w:rsidR="000D5FFA" w:rsidRPr="00B64995">
                      <w:rPr>
                        <w:rStyle w:val="Hyperlink"/>
                        <w:rFonts w:asciiTheme="minorHAnsi" w:eastAsia="Times New Roman" w:hAnsiTheme="minorHAnsi" w:cstheme="minorHAnsi"/>
                      </w:rPr>
                      <w:t>Y.4808</w:t>
                    </w:r>
                  </w:hyperlink>
                </w:p>
              </w:tc>
              <w:tc>
                <w:tcPr>
                  <w:tcW w:w="4438" w:type="dxa"/>
                </w:tcPr>
                <w:p w14:paraId="595614BC" w14:textId="66F790B7" w:rsidR="00275FF0" w:rsidRPr="00B64995" w:rsidRDefault="001B2626" w:rsidP="00A97704">
                  <w:pPr>
                    <w:spacing w:before="60"/>
                    <w:jc w:val="both"/>
                    <w:rPr>
                      <w:rFonts w:eastAsia="Calibri"/>
                    </w:rPr>
                  </w:pPr>
                  <w:r w:rsidRPr="00B64995">
                    <w:rPr>
                      <w:rFonts w:eastAsia="Calibri"/>
                    </w:rPr>
                    <w:t>Digital entity architecture framework to combat counterfeiting in IoT</w:t>
                  </w:r>
                </w:p>
              </w:tc>
            </w:tr>
            <w:tr w:rsidR="000D5FFA" w:rsidRPr="00B64995" w14:paraId="55E45587" w14:textId="77777777" w:rsidTr="478B1C36">
              <w:tc>
                <w:tcPr>
                  <w:tcW w:w="4438" w:type="dxa"/>
                </w:tcPr>
                <w:p w14:paraId="76733FDA" w14:textId="1FFCE89D" w:rsidR="000D5FFA" w:rsidRPr="00A060FE" w:rsidRDefault="00570F0C" w:rsidP="00A97704">
                  <w:pPr>
                    <w:spacing w:before="60"/>
                    <w:jc w:val="both"/>
                    <w:rPr>
                      <w:rFonts w:asciiTheme="minorHAnsi" w:eastAsia="Times New Roman" w:hAnsiTheme="minorHAnsi" w:cstheme="minorHAnsi"/>
                      <w:color w:val="000066"/>
                      <w:highlight w:val="yellow"/>
                    </w:rPr>
                  </w:pPr>
                  <w:hyperlink r:id="rId540" w:history="1">
                    <w:r w:rsidR="00CF6FF7" w:rsidRPr="00B64995">
                      <w:rPr>
                        <w:rStyle w:val="Hyperlink"/>
                        <w:rFonts w:asciiTheme="minorHAnsi" w:eastAsia="Times New Roman" w:hAnsiTheme="minorHAnsi" w:cstheme="minorHAnsi"/>
                      </w:rPr>
                      <w:t>Y.Suppl.61 to ITU-T Y.4400 series</w:t>
                    </w:r>
                  </w:hyperlink>
                </w:p>
              </w:tc>
              <w:tc>
                <w:tcPr>
                  <w:tcW w:w="4438" w:type="dxa"/>
                </w:tcPr>
                <w:p w14:paraId="3E65791E" w14:textId="5EB254E1" w:rsidR="000D5FFA" w:rsidRPr="00B64995" w:rsidRDefault="00667621" w:rsidP="00A97704">
                  <w:pPr>
                    <w:spacing w:before="60"/>
                    <w:jc w:val="both"/>
                    <w:rPr>
                      <w:rFonts w:eastAsia="Calibri"/>
                    </w:rPr>
                  </w:pPr>
                  <w:r w:rsidRPr="00B64995">
                    <w:rPr>
                      <w:rFonts w:eastAsia="Calibri"/>
                    </w:rPr>
                    <w:t>Features of application programming interface (APIs) for IoT data in smart cities and communities</w:t>
                  </w:r>
                </w:p>
              </w:tc>
            </w:tr>
            <w:tr w:rsidR="478B1C36" w:rsidRPr="00B64995" w14:paraId="2C6C655B" w14:textId="77777777" w:rsidTr="478B1C36">
              <w:tc>
                <w:tcPr>
                  <w:tcW w:w="4438" w:type="dxa"/>
                </w:tcPr>
                <w:p w14:paraId="4AA95649" w14:textId="1FE018E9" w:rsidR="478B1C36" w:rsidRPr="00A060FE" w:rsidRDefault="00570F0C" w:rsidP="00A97704">
                  <w:pPr>
                    <w:spacing w:before="60"/>
                    <w:jc w:val="both"/>
                  </w:pPr>
                  <w:hyperlink r:id="rId541">
                    <w:r w:rsidR="478B1C36" w:rsidRPr="00B64995">
                      <w:rPr>
                        <w:rStyle w:val="Hyperlink"/>
                        <w:rFonts w:eastAsia="Calibri"/>
                      </w:rPr>
                      <w:t>Y.4904</w:t>
                    </w:r>
                  </w:hyperlink>
                </w:p>
              </w:tc>
              <w:tc>
                <w:tcPr>
                  <w:tcW w:w="4438" w:type="dxa"/>
                </w:tcPr>
                <w:p w14:paraId="66B3ECD5" w14:textId="289914E3" w:rsidR="478B1C36" w:rsidRPr="00B64995" w:rsidRDefault="478B1C36" w:rsidP="00A97704">
                  <w:pPr>
                    <w:spacing w:before="60"/>
                    <w:jc w:val="both"/>
                  </w:pPr>
                  <w:r w:rsidRPr="00B64995">
                    <w:rPr>
                      <w:rFonts w:eastAsia="Calibri"/>
                    </w:rPr>
                    <w:t>Smart sustainable cities maturity model</w:t>
                  </w:r>
                </w:p>
              </w:tc>
            </w:tr>
            <w:tr w:rsidR="478B1C36" w:rsidRPr="00B64995" w14:paraId="267796C7" w14:textId="77777777" w:rsidTr="478B1C36">
              <w:tc>
                <w:tcPr>
                  <w:tcW w:w="4438" w:type="dxa"/>
                </w:tcPr>
                <w:p w14:paraId="1B1BE839" w14:textId="73285BAA" w:rsidR="478B1C36" w:rsidRPr="00A060FE" w:rsidRDefault="00570F0C" w:rsidP="00A97704">
                  <w:pPr>
                    <w:spacing w:before="60"/>
                    <w:jc w:val="both"/>
                  </w:pPr>
                  <w:hyperlink r:id="rId542">
                    <w:r w:rsidR="478B1C36" w:rsidRPr="00B64995">
                      <w:rPr>
                        <w:rStyle w:val="Hyperlink"/>
                        <w:rFonts w:eastAsia="Calibri"/>
                      </w:rPr>
                      <w:t>Y.4906</w:t>
                    </w:r>
                  </w:hyperlink>
                </w:p>
              </w:tc>
              <w:tc>
                <w:tcPr>
                  <w:tcW w:w="4438" w:type="dxa"/>
                </w:tcPr>
                <w:p w14:paraId="2A21E133" w14:textId="5C4E5107" w:rsidR="478B1C36" w:rsidRPr="00B64995" w:rsidRDefault="478B1C36" w:rsidP="00A97704">
                  <w:pPr>
                    <w:spacing w:before="60"/>
                    <w:jc w:val="both"/>
                  </w:pPr>
                  <w:r w:rsidRPr="00B64995">
                    <w:rPr>
                      <w:rFonts w:eastAsia="Calibri"/>
                    </w:rPr>
                    <w:t>Assessment framework for digital transformation of sectors in smart cities</w:t>
                  </w:r>
                </w:p>
              </w:tc>
            </w:tr>
            <w:tr w:rsidR="00075D3A" w:rsidRPr="00B64995" w14:paraId="64732429" w14:textId="77777777" w:rsidTr="478B1C36">
              <w:tc>
                <w:tcPr>
                  <w:tcW w:w="4438" w:type="dxa"/>
                </w:tcPr>
                <w:p w14:paraId="0BE398A9" w14:textId="222F889B" w:rsidR="00075D3A" w:rsidRPr="00A060FE" w:rsidRDefault="00570F0C" w:rsidP="00A97704">
                  <w:pPr>
                    <w:spacing w:before="60"/>
                    <w:jc w:val="both"/>
                  </w:pPr>
                  <w:hyperlink r:id="rId543" w:tooltip="See more details" w:history="1">
                    <w:r w:rsidR="000107B7" w:rsidRPr="00B64995">
                      <w:rPr>
                        <w:rStyle w:val="Hyperlink"/>
                        <w:rFonts w:asciiTheme="minorHAnsi" w:eastAsia="Times New Roman" w:hAnsiTheme="minorHAnsi" w:cstheme="minorHAnsi"/>
                      </w:rPr>
                      <w:t>Y.4907</w:t>
                    </w:r>
                  </w:hyperlink>
                </w:p>
              </w:tc>
              <w:tc>
                <w:tcPr>
                  <w:tcW w:w="4438" w:type="dxa"/>
                </w:tcPr>
                <w:p w14:paraId="3564508E" w14:textId="4AF86AD0" w:rsidR="00075D3A" w:rsidRPr="00B64995" w:rsidRDefault="000A3FDE" w:rsidP="00A97704">
                  <w:pPr>
                    <w:spacing w:before="60"/>
                    <w:jc w:val="both"/>
                    <w:rPr>
                      <w:rFonts w:eastAsia="Calibri"/>
                    </w:rPr>
                  </w:pPr>
                  <w:r w:rsidRPr="00B64995">
                    <w:rPr>
                      <w:rFonts w:eastAsia="Calibri"/>
                    </w:rPr>
                    <w:t>Reference architecture of blockchain-based unified KPI data management for smart sustainable cities</w:t>
                  </w:r>
                </w:p>
              </w:tc>
            </w:tr>
            <w:tr w:rsidR="00075D3A" w:rsidRPr="00B64995" w14:paraId="677A06DE" w14:textId="77777777" w:rsidTr="478B1C36">
              <w:tc>
                <w:tcPr>
                  <w:tcW w:w="4438" w:type="dxa"/>
                </w:tcPr>
                <w:p w14:paraId="2414242D" w14:textId="191E9DD9" w:rsidR="00075D3A" w:rsidRPr="00A060FE" w:rsidRDefault="00570F0C" w:rsidP="00A97704">
                  <w:pPr>
                    <w:spacing w:before="60"/>
                    <w:jc w:val="both"/>
                  </w:pPr>
                  <w:hyperlink r:id="rId544" w:tooltip="See more details" w:history="1">
                    <w:r w:rsidR="00383670" w:rsidRPr="00B64995">
                      <w:rPr>
                        <w:rStyle w:val="Hyperlink"/>
                        <w:rFonts w:asciiTheme="minorHAnsi" w:eastAsia="Times New Roman" w:hAnsiTheme="minorHAnsi" w:cstheme="minorHAnsi"/>
                      </w:rPr>
                      <w:t>Y.4908</w:t>
                    </w:r>
                  </w:hyperlink>
                </w:p>
              </w:tc>
              <w:tc>
                <w:tcPr>
                  <w:tcW w:w="4438" w:type="dxa"/>
                </w:tcPr>
                <w:p w14:paraId="33BCA7B1" w14:textId="36464CD0" w:rsidR="00075D3A" w:rsidRPr="00B64995" w:rsidRDefault="0045159C" w:rsidP="00A97704">
                  <w:pPr>
                    <w:spacing w:before="60"/>
                    <w:jc w:val="both"/>
                    <w:rPr>
                      <w:rFonts w:eastAsia="Calibri"/>
                    </w:rPr>
                  </w:pPr>
                  <w:r w:rsidRPr="00B64995">
                    <w:rPr>
                      <w:rFonts w:eastAsia="Calibri"/>
                    </w:rPr>
                    <w:t>Performance evaluation frameworks of e-health systems in the IoT</w:t>
                  </w:r>
                </w:p>
              </w:tc>
            </w:tr>
            <w:tr w:rsidR="00075D3A" w:rsidRPr="00B64995" w14:paraId="7AB8104F" w14:textId="77777777" w:rsidTr="478B1C36">
              <w:tc>
                <w:tcPr>
                  <w:tcW w:w="4438" w:type="dxa"/>
                </w:tcPr>
                <w:p w14:paraId="613E48B6" w14:textId="2975C4A9" w:rsidR="00075D3A" w:rsidRPr="00A060FE" w:rsidRDefault="00570F0C" w:rsidP="00A97704">
                  <w:pPr>
                    <w:spacing w:before="60"/>
                    <w:jc w:val="both"/>
                  </w:pPr>
                  <w:hyperlink r:id="rId545" w:tooltip="See more details" w:history="1">
                    <w:r w:rsidR="009977F7" w:rsidRPr="00B64995">
                      <w:rPr>
                        <w:rStyle w:val="Hyperlink"/>
                        <w:rFonts w:asciiTheme="minorHAnsi" w:eastAsia="Times New Roman" w:hAnsiTheme="minorHAnsi" w:cstheme="minorHAnsi"/>
                      </w:rPr>
                      <w:t>Y.Suppl.32 to ITU-T Y.4000 series</w:t>
                    </w:r>
                  </w:hyperlink>
                </w:p>
              </w:tc>
              <w:tc>
                <w:tcPr>
                  <w:tcW w:w="4438" w:type="dxa"/>
                </w:tcPr>
                <w:p w14:paraId="2D7849E8" w14:textId="6E516B5C" w:rsidR="00075D3A" w:rsidRPr="00B64995" w:rsidRDefault="005B029F" w:rsidP="00A97704">
                  <w:pPr>
                    <w:spacing w:before="60"/>
                    <w:jc w:val="both"/>
                    <w:rPr>
                      <w:rFonts w:eastAsia="Calibri"/>
                    </w:rPr>
                  </w:pPr>
                  <w:r w:rsidRPr="00B64995">
                    <w:rPr>
                      <w:rFonts w:eastAsia="Calibri"/>
                    </w:rPr>
                    <w:t xml:space="preserve">Smart sustainable cities </w:t>
                  </w:r>
                  <w:r w:rsidR="00A92ED1" w:rsidRPr="00B64995">
                    <w:rPr>
                      <w:rFonts w:eastAsia="Calibri"/>
                    </w:rPr>
                    <w:t>–</w:t>
                  </w:r>
                  <w:r w:rsidRPr="00B64995">
                    <w:rPr>
                      <w:rFonts w:eastAsia="Calibri"/>
                    </w:rPr>
                    <w:t xml:space="preserve"> A guide for city leaders</w:t>
                  </w:r>
                </w:p>
              </w:tc>
            </w:tr>
            <w:tr w:rsidR="00075D3A" w:rsidRPr="00B64995" w14:paraId="0AF90D71" w14:textId="77777777" w:rsidTr="478B1C36">
              <w:tc>
                <w:tcPr>
                  <w:tcW w:w="4438" w:type="dxa"/>
                </w:tcPr>
                <w:p w14:paraId="08813026" w14:textId="7FF9618B" w:rsidR="00075D3A" w:rsidRPr="00A060FE" w:rsidRDefault="00570F0C" w:rsidP="00A97704">
                  <w:pPr>
                    <w:spacing w:before="60"/>
                    <w:jc w:val="both"/>
                  </w:pPr>
                  <w:hyperlink r:id="rId546" w:tooltip="See more details" w:history="1">
                    <w:r w:rsidR="002C1A0A" w:rsidRPr="00B64995">
                      <w:rPr>
                        <w:rStyle w:val="Hyperlink"/>
                        <w:rFonts w:asciiTheme="minorHAnsi" w:eastAsia="Times New Roman" w:hAnsiTheme="minorHAnsi" w:cstheme="minorHAnsi"/>
                      </w:rPr>
                      <w:t>Y.Suppl.33 to ITU-T Y.4000 series</w:t>
                    </w:r>
                  </w:hyperlink>
                </w:p>
              </w:tc>
              <w:tc>
                <w:tcPr>
                  <w:tcW w:w="4438" w:type="dxa"/>
                </w:tcPr>
                <w:p w14:paraId="5F20DE32" w14:textId="4490AA1F" w:rsidR="00075D3A" w:rsidRPr="00B64995" w:rsidRDefault="007C2C50" w:rsidP="00A97704">
                  <w:pPr>
                    <w:spacing w:before="60"/>
                    <w:jc w:val="both"/>
                    <w:rPr>
                      <w:rFonts w:eastAsia="Calibri"/>
                    </w:rPr>
                  </w:pPr>
                  <w:r w:rsidRPr="00B64995">
                    <w:rPr>
                      <w:rFonts w:eastAsia="Calibri"/>
                    </w:rPr>
                    <w:t xml:space="preserve">Smart sustainable cities </w:t>
                  </w:r>
                  <w:r w:rsidR="00A92ED1" w:rsidRPr="00B64995">
                    <w:rPr>
                      <w:rFonts w:eastAsia="Calibri"/>
                    </w:rPr>
                    <w:t>–</w:t>
                  </w:r>
                  <w:r w:rsidRPr="00B64995">
                    <w:rPr>
                      <w:rFonts w:eastAsia="Calibri"/>
                    </w:rPr>
                    <w:t xml:space="preserve"> Master plan</w:t>
                  </w:r>
                </w:p>
              </w:tc>
            </w:tr>
            <w:tr w:rsidR="00075D3A" w:rsidRPr="00B64995" w14:paraId="3ECA8A10" w14:textId="77777777" w:rsidTr="478B1C36">
              <w:tc>
                <w:tcPr>
                  <w:tcW w:w="4438" w:type="dxa"/>
                </w:tcPr>
                <w:p w14:paraId="499B5170" w14:textId="27E923BD" w:rsidR="00075D3A" w:rsidRPr="00A060FE" w:rsidRDefault="00570F0C" w:rsidP="00A97704">
                  <w:pPr>
                    <w:spacing w:before="60"/>
                    <w:jc w:val="both"/>
                  </w:pPr>
                  <w:hyperlink r:id="rId547" w:tooltip="See more details" w:history="1">
                    <w:r w:rsidR="00332B9C" w:rsidRPr="00B64995">
                      <w:rPr>
                        <w:rStyle w:val="Hyperlink"/>
                        <w:rFonts w:asciiTheme="minorHAnsi" w:eastAsia="Times New Roman" w:hAnsiTheme="minorHAnsi" w:cstheme="minorHAnsi"/>
                      </w:rPr>
                      <w:t>Y.Suppl.34 to ITU-T Y.4000 series</w:t>
                    </w:r>
                  </w:hyperlink>
                </w:p>
              </w:tc>
              <w:tc>
                <w:tcPr>
                  <w:tcW w:w="4438" w:type="dxa"/>
                </w:tcPr>
                <w:p w14:paraId="66900988" w14:textId="04CA3830" w:rsidR="00075D3A" w:rsidRPr="00B64995" w:rsidRDefault="008F0EF0" w:rsidP="00A97704">
                  <w:pPr>
                    <w:spacing w:before="60"/>
                    <w:jc w:val="both"/>
                    <w:rPr>
                      <w:rFonts w:eastAsia="Calibri"/>
                    </w:rPr>
                  </w:pPr>
                  <w:r w:rsidRPr="00B64995">
                    <w:rPr>
                      <w:rFonts w:eastAsia="Calibri"/>
                    </w:rPr>
                    <w:t xml:space="preserve">Smart sustainable cities </w:t>
                  </w:r>
                  <w:r w:rsidR="00A92ED1" w:rsidRPr="00B64995">
                    <w:rPr>
                      <w:rFonts w:eastAsia="Calibri"/>
                    </w:rPr>
                    <w:t>–</w:t>
                  </w:r>
                  <w:r w:rsidRPr="00B64995">
                    <w:rPr>
                      <w:rFonts w:eastAsia="Calibri"/>
                    </w:rPr>
                    <w:t xml:space="preserve"> Setting the stage for stakeholders</w:t>
                  </w:r>
                  <w:r w:rsidR="00A92ED1" w:rsidRPr="00B64995">
                    <w:rPr>
                      <w:rFonts w:eastAsia="Calibri"/>
                    </w:rPr>
                    <w:t>’</w:t>
                  </w:r>
                  <w:r w:rsidRPr="00B64995">
                    <w:rPr>
                      <w:rFonts w:eastAsia="Calibri"/>
                    </w:rPr>
                    <w:t xml:space="preserve"> engagement</w:t>
                  </w:r>
                </w:p>
              </w:tc>
            </w:tr>
          </w:tbl>
          <w:p w14:paraId="68ADB32F" w14:textId="77777777" w:rsidR="008F0EF0" w:rsidRPr="00B87922" w:rsidRDefault="008F0EF0" w:rsidP="006459A3">
            <w:pPr>
              <w:spacing w:before="60" w:after="60"/>
              <w:jc w:val="both"/>
              <w:rPr>
                <w:rFonts w:eastAsia="Calibri"/>
                <w:lang w:val="en-GB"/>
              </w:rPr>
            </w:pPr>
          </w:p>
          <w:p w14:paraId="07DE27B7" w14:textId="5CDA34D2" w:rsidR="478B1C36" w:rsidRPr="00E0255C" w:rsidRDefault="478B1C36" w:rsidP="006459A3">
            <w:pPr>
              <w:spacing w:before="60" w:after="60"/>
              <w:jc w:val="both"/>
              <w:rPr>
                <w:lang w:val="en-GB"/>
              </w:rPr>
            </w:pPr>
            <w:r w:rsidRPr="00E0255C">
              <w:rPr>
                <w:rFonts w:eastAsia="Calibri"/>
              </w:rPr>
              <w:t>In October 2019, Recommendations ITU-T Y.4200 “Requirements for the interoperability of smart city platforms” and ITU-T Y.4201 “High-level requirements and reference framework of smart city platforms” were named as 2019 Catalyst Awards finalists of the Green Electronics Council.</w:t>
            </w:r>
            <w:r w:rsidRPr="00E0255C">
              <w:br/>
            </w:r>
            <w:r w:rsidRPr="00E0255C">
              <w:rPr>
                <w:rFonts w:eastAsia="Calibri"/>
              </w:rPr>
              <w:t xml:space="preserve"> A Joint IEC-ISO-ITU Smart Cities Task force</w:t>
            </w:r>
            <w:r w:rsidR="00DE504E" w:rsidRPr="00E0255C">
              <w:rPr>
                <w:rFonts w:eastAsia="Calibri"/>
              </w:rPr>
              <w:t xml:space="preserve">  (J-SCTF) </w:t>
            </w:r>
            <w:r w:rsidRPr="00E0255C">
              <w:rPr>
                <w:rFonts w:eastAsia="Calibri"/>
              </w:rPr>
              <w:t xml:space="preserve"> was created with the objective to build synergies on ongoing work in ITU-T, IEC and ISO related to smart cities and communities; to maximize efforts in order to identify new areas of cooperation related to smart cities and communities; and to develop a holistic view on smart cities and communities taking into consideration the scope, areas of work and expertise of ITU-T, IEC and ISO to support smart cities and communities development.</w:t>
            </w:r>
            <w:r w:rsidR="00527F55" w:rsidRPr="00E0255C">
              <w:rPr>
                <w:rFonts w:eastAsia="Calibri"/>
              </w:rPr>
              <w:t xml:space="preserve"> The first meeting of the Joint IEC-ISO-ITU Smart Cities Task force (J-SCTF) took place virtually on 7 October 2020. The next meeting </w:t>
            </w:r>
            <w:r w:rsidR="000E1537" w:rsidRPr="00E0255C">
              <w:rPr>
                <w:rFonts w:eastAsia="Calibri"/>
              </w:rPr>
              <w:t xml:space="preserve">was scheduled for </w:t>
            </w:r>
            <w:r w:rsidR="00527F55" w:rsidRPr="00E0255C">
              <w:rPr>
                <w:rFonts w:eastAsia="Calibri"/>
              </w:rPr>
              <w:t>24 February 2021</w:t>
            </w:r>
            <w:r w:rsidR="000E1537" w:rsidRPr="00E0255C">
              <w:rPr>
                <w:rFonts w:eastAsia="Calibri"/>
              </w:rPr>
              <w:t>.</w:t>
            </w:r>
          </w:p>
          <w:p w14:paraId="37ED529C" w14:textId="5B087668" w:rsidR="478B1C36" w:rsidRPr="00E0255C" w:rsidRDefault="478B1C36" w:rsidP="006459A3">
            <w:pPr>
              <w:spacing w:before="60" w:after="60"/>
              <w:jc w:val="both"/>
              <w:rPr>
                <w:lang w:val="en-GB"/>
              </w:rPr>
            </w:pPr>
            <w:r w:rsidRPr="00E0255C">
              <w:rPr>
                <w:rFonts w:eastAsia="Calibri"/>
              </w:rPr>
              <w:t xml:space="preserve">ITU-T </w:t>
            </w:r>
            <w:r w:rsidR="006D38B9" w:rsidRPr="00E0255C">
              <w:rPr>
                <w:rFonts w:eastAsia="Calibri"/>
              </w:rPr>
              <w:t>SG 2</w:t>
            </w:r>
            <w:r w:rsidRPr="00E0255C">
              <w:rPr>
                <w:rFonts w:eastAsia="Calibri"/>
              </w:rPr>
              <w:t xml:space="preserve">0 continues to collaborate closely with oneM2M. </w:t>
            </w:r>
            <w:r w:rsidR="00527F55" w:rsidRPr="00E0255C">
              <w:rPr>
                <w:rFonts w:eastAsia="Calibri"/>
              </w:rPr>
              <w:t>During the</w:t>
            </w:r>
            <w:r w:rsidRPr="00E0255C">
              <w:rPr>
                <w:rFonts w:eastAsia="Calibri"/>
              </w:rPr>
              <w:t xml:space="preserve"> </w:t>
            </w:r>
            <w:r w:rsidR="006D38B9" w:rsidRPr="00E0255C">
              <w:rPr>
                <w:rFonts w:eastAsia="Calibri"/>
              </w:rPr>
              <w:t>SG 2</w:t>
            </w:r>
            <w:r w:rsidRPr="00E0255C">
              <w:rPr>
                <w:rFonts w:eastAsia="Calibri"/>
              </w:rPr>
              <w:t xml:space="preserve">0 meeting </w:t>
            </w:r>
            <w:r w:rsidR="00E50035" w:rsidRPr="00E0255C">
              <w:rPr>
                <w:rFonts w:eastAsia="Calibri"/>
              </w:rPr>
              <w:t xml:space="preserve">that took place virtually from 6-16 July 2020, an ad-hoc session was held between </w:t>
            </w:r>
            <w:r w:rsidR="006D38B9" w:rsidRPr="00E0255C">
              <w:rPr>
                <w:rFonts w:eastAsia="Calibri"/>
              </w:rPr>
              <w:t>SG 2</w:t>
            </w:r>
            <w:r w:rsidR="00E50035" w:rsidRPr="00E0255C">
              <w:rPr>
                <w:rFonts w:eastAsia="Calibri"/>
              </w:rPr>
              <w:t>0 and oneM2M.</w:t>
            </w:r>
          </w:p>
          <w:p w14:paraId="23D45DBC" w14:textId="3F74EA5D" w:rsidR="478B1C36" w:rsidRPr="00E0255C" w:rsidRDefault="478B1C36" w:rsidP="00A97704">
            <w:pPr>
              <w:spacing w:before="120" w:after="60"/>
              <w:jc w:val="both"/>
              <w:rPr>
                <w:lang w:val="en-GB"/>
              </w:rPr>
            </w:pPr>
            <w:r w:rsidRPr="00E0255C">
              <w:rPr>
                <w:rFonts w:eastAsia="Calibri"/>
              </w:rPr>
              <w:t xml:space="preserve">The </w:t>
            </w:r>
            <w:hyperlink r:id="rId548">
              <w:r w:rsidRPr="00E0255C">
                <w:rPr>
                  <w:rStyle w:val="Hyperlink"/>
                  <w:rFonts w:eastAsia="Calibri"/>
                </w:rPr>
                <w:t xml:space="preserve">Joint Coordination Activity on </w:t>
              </w:r>
              <w:r w:rsidR="00614D53" w:rsidRPr="00E0255C">
                <w:rPr>
                  <w:rStyle w:val="Hyperlink"/>
                  <w:rFonts w:eastAsia="Calibri"/>
                </w:rPr>
                <w:t>Internet</w:t>
              </w:r>
              <w:r w:rsidRPr="00E0255C">
                <w:rPr>
                  <w:rStyle w:val="Hyperlink"/>
                  <w:rFonts w:eastAsia="Calibri"/>
                </w:rPr>
                <w:t xml:space="preserve"> of Things and Smart Cities and Communities (JCA-IoT and SC&amp;C)</w:t>
              </w:r>
            </w:hyperlink>
            <w:r w:rsidRPr="00E0255C">
              <w:rPr>
                <w:rFonts w:eastAsia="Calibri"/>
                <w:color w:val="0000FF"/>
                <w:u w:val="single"/>
                <w:lang w:val="en-GB" w:eastAsia="en-US"/>
              </w:rPr>
              <w:t xml:space="preserve"> </w:t>
            </w:r>
            <w:r w:rsidRPr="00E0255C">
              <w:rPr>
                <w:rFonts w:eastAsia="Calibri"/>
                <w:lang w:val="en-GB" w:eastAsia="en-US"/>
              </w:rPr>
              <w:t xml:space="preserve">held </w:t>
            </w:r>
            <w:r w:rsidR="00E50035" w:rsidRPr="00E0255C">
              <w:rPr>
                <w:rFonts w:eastAsia="Calibri"/>
                <w:lang w:val="en-GB" w:eastAsia="en-US"/>
              </w:rPr>
              <w:t xml:space="preserve">three </w:t>
            </w:r>
            <w:r w:rsidRPr="00E0255C">
              <w:rPr>
                <w:rFonts w:eastAsia="Calibri"/>
                <w:lang w:val="en-GB" w:eastAsia="en-US"/>
              </w:rPr>
              <w:t>meetings</w:t>
            </w:r>
            <w:r w:rsidR="000E1537" w:rsidRPr="00E0255C">
              <w:rPr>
                <w:rFonts w:eastAsia="Calibri"/>
                <w:lang w:val="en-GB" w:eastAsia="en-US"/>
              </w:rPr>
              <w:t>,</w:t>
            </w:r>
            <w:r w:rsidRPr="00E0255C">
              <w:rPr>
                <w:rFonts w:eastAsia="Calibri"/>
                <w:lang w:val="en-GB" w:eastAsia="en-US"/>
              </w:rPr>
              <w:t xml:space="preserve"> on 10 April 2019</w:t>
            </w:r>
            <w:r w:rsidR="00E50035" w:rsidRPr="00E0255C">
              <w:rPr>
                <w:rFonts w:eastAsia="Calibri"/>
                <w:lang w:val="en-GB" w:eastAsia="en-US"/>
              </w:rPr>
              <w:t>,</w:t>
            </w:r>
            <w:r w:rsidRPr="00E0255C">
              <w:rPr>
                <w:rFonts w:eastAsia="Calibri"/>
                <w:lang w:val="en-GB" w:eastAsia="en-US"/>
              </w:rPr>
              <w:t xml:space="preserve"> 28 November </w:t>
            </w:r>
            <w:proofErr w:type="gramStart"/>
            <w:r w:rsidRPr="00E0255C">
              <w:rPr>
                <w:rFonts w:eastAsia="Calibri"/>
                <w:lang w:val="en-GB" w:eastAsia="en-US"/>
              </w:rPr>
              <w:t>2019</w:t>
            </w:r>
            <w:proofErr w:type="gramEnd"/>
            <w:r w:rsidR="00E70DB5" w:rsidRPr="00E0255C">
              <w:rPr>
                <w:rFonts w:eastAsia="Calibri"/>
                <w:lang w:val="en-GB" w:eastAsia="en-US"/>
              </w:rPr>
              <w:t xml:space="preserve"> and 26 June 2020</w:t>
            </w:r>
            <w:r w:rsidRPr="00E0255C">
              <w:rPr>
                <w:rFonts w:eastAsia="Calibri"/>
                <w:lang w:val="en-GB" w:eastAsia="en-US"/>
              </w:rPr>
              <w:t xml:space="preserve">. The next JCA-IoT and SC&amp;C meeting will take place </w:t>
            </w:r>
            <w:r w:rsidR="00541BE6" w:rsidRPr="00E0255C">
              <w:rPr>
                <w:rFonts w:eastAsia="Calibri"/>
                <w:lang w:val="en-GB" w:eastAsia="en-US"/>
              </w:rPr>
              <w:t xml:space="preserve">virtually </w:t>
            </w:r>
            <w:r w:rsidRPr="00E0255C">
              <w:rPr>
                <w:rFonts w:eastAsia="Calibri"/>
                <w:lang w:val="en-GB" w:eastAsia="en-US"/>
              </w:rPr>
              <w:t xml:space="preserve">on </w:t>
            </w:r>
            <w:r w:rsidR="00541BE6" w:rsidRPr="00E0255C">
              <w:rPr>
                <w:rFonts w:eastAsia="Calibri"/>
                <w:lang w:val="en-GB" w:eastAsia="en-US"/>
              </w:rPr>
              <w:t>23 April</w:t>
            </w:r>
            <w:r w:rsidRPr="00E0255C">
              <w:rPr>
                <w:rFonts w:eastAsia="Calibri"/>
                <w:lang w:val="en-GB" w:eastAsia="en-US"/>
              </w:rPr>
              <w:t xml:space="preserve"> </w:t>
            </w:r>
            <w:r w:rsidR="00541BE6" w:rsidRPr="00E0255C">
              <w:rPr>
                <w:rFonts w:eastAsia="Calibri"/>
                <w:lang w:val="en-GB" w:eastAsia="en-US"/>
              </w:rPr>
              <w:t>2021</w:t>
            </w:r>
            <w:r w:rsidRPr="00E0255C">
              <w:rPr>
                <w:rFonts w:eastAsia="Calibri"/>
                <w:lang w:val="en-GB" w:eastAsia="en-US"/>
              </w:rPr>
              <w:t xml:space="preserve">. As a result of the inputs provided during JCA meetings, the new Supplement </w:t>
            </w:r>
            <w:hyperlink r:id="rId549">
              <w:r w:rsidRPr="00E0255C">
                <w:rPr>
                  <w:rStyle w:val="Hyperlink"/>
                  <w:rFonts w:eastAsia="Calibri"/>
                  <w:lang w:val="en-GB" w:eastAsia="en-US"/>
                </w:rPr>
                <w:t xml:space="preserve">ITU-T Y.Suppl.58: </w:t>
              </w:r>
              <w:r w:rsidR="00614D53" w:rsidRPr="00E0255C">
                <w:rPr>
                  <w:rStyle w:val="Hyperlink"/>
                  <w:rFonts w:eastAsia="Calibri"/>
                  <w:lang w:val="en-GB" w:eastAsia="en-US"/>
                </w:rPr>
                <w:t>Internet</w:t>
              </w:r>
              <w:r w:rsidRPr="00E0255C">
                <w:rPr>
                  <w:rStyle w:val="Hyperlink"/>
                  <w:rFonts w:eastAsia="Calibri"/>
                  <w:lang w:val="en-GB" w:eastAsia="en-US"/>
                </w:rPr>
                <w:t xml:space="preserve"> of Things and smart cities and communities standards roadmap</w:t>
              </w:r>
            </w:hyperlink>
            <w:r w:rsidRPr="00E0255C">
              <w:rPr>
                <w:rFonts w:eastAsia="Calibri"/>
              </w:rPr>
              <w:t xml:space="preserve"> was agreed by ITU-T </w:t>
            </w:r>
            <w:r w:rsidR="006D38B9" w:rsidRPr="00E0255C">
              <w:rPr>
                <w:rFonts w:eastAsia="Calibri"/>
              </w:rPr>
              <w:t>SG 2</w:t>
            </w:r>
            <w:r w:rsidRPr="00E0255C">
              <w:rPr>
                <w:rFonts w:eastAsia="Calibri"/>
              </w:rPr>
              <w:t>0 in December 2019.</w:t>
            </w:r>
          </w:p>
          <w:p w14:paraId="76343820" w14:textId="034FB8AC" w:rsidR="478B1C36" w:rsidRPr="00E0255C" w:rsidRDefault="478B1C36" w:rsidP="00A97704">
            <w:pPr>
              <w:spacing w:before="120" w:after="60"/>
              <w:jc w:val="both"/>
              <w:rPr>
                <w:lang w:val="en-GB"/>
              </w:rPr>
            </w:pPr>
            <w:r w:rsidRPr="00E0255C">
              <w:rPr>
                <w:rFonts w:eastAsia="Calibri"/>
              </w:rPr>
              <w:t>A series of events</w:t>
            </w:r>
            <w:r w:rsidRPr="00E0255C">
              <w:rPr>
                <w:rFonts w:eastAsia="Calibri"/>
                <w:color w:val="0000FF"/>
                <w:u w:val="single"/>
              </w:rPr>
              <w:t xml:space="preserve"> </w:t>
            </w:r>
            <w:r w:rsidRPr="00E0255C">
              <w:rPr>
                <w:rFonts w:eastAsia="Calibri"/>
              </w:rPr>
              <w:t xml:space="preserve">organized by TSB with UN bodies and other partners took place since </w:t>
            </w:r>
            <w:r w:rsidR="00541BE6" w:rsidRPr="00E0255C">
              <w:rPr>
                <w:rFonts w:eastAsia="Calibri"/>
              </w:rPr>
              <w:t xml:space="preserve">April </w:t>
            </w:r>
            <w:r w:rsidRPr="00E0255C">
              <w:rPr>
                <w:rFonts w:eastAsia="Calibri"/>
              </w:rPr>
              <w:t>2019</w:t>
            </w:r>
            <w:r w:rsidR="00E7593A" w:rsidRPr="00E0255C">
              <w:rPr>
                <w:rFonts w:eastAsia="Calibri"/>
              </w:rPr>
              <w:t xml:space="preserve">. See </w:t>
            </w:r>
            <w:hyperlink r:id="rId550" w:history="1">
              <w:r w:rsidR="00E7593A" w:rsidRPr="00E0255C">
                <w:rPr>
                  <w:rStyle w:val="Hyperlink"/>
                  <w:rFonts w:eastAsia="Calibri"/>
                </w:rPr>
                <w:t>here</w:t>
              </w:r>
            </w:hyperlink>
            <w:r w:rsidR="00E7593A" w:rsidRPr="00E0255C">
              <w:rPr>
                <w:rFonts w:eastAsia="Calibri"/>
                <w:lang w:val="en-GB" w:eastAsia="en-US"/>
              </w:rPr>
              <w:t>.</w:t>
            </w:r>
          </w:p>
          <w:p w14:paraId="18E7F3A5" w14:textId="05B96041" w:rsidR="478B1C36" w:rsidRPr="00E0255C" w:rsidRDefault="00570F0C" w:rsidP="00A97704">
            <w:pPr>
              <w:spacing w:before="120" w:after="60"/>
              <w:jc w:val="both"/>
              <w:rPr>
                <w:lang w:val="en-GB"/>
              </w:rPr>
            </w:pPr>
            <w:hyperlink r:id="rId551">
              <w:r w:rsidR="478B1C36" w:rsidRPr="00E0255C">
                <w:rPr>
                  <w:rStyle w:val="Hyperlink"/>
                  <w:rFonts w:eastAsia="Calibri"/>
                </w:rPr>
                <w:t>A Year in Review and Upcoming Activities 2019-2020 Brochure</w:t>
              </w:r>
            </w:hyperlink>
            <w:r w:rsidR="478B1C36" w:rsidRPr="00E0255C">
              <w:rPr>
                <w:rFonts w:eastAsia="Calibri"/>
                <w:color w:val="0000FF"/>
                <w:u w:val="single"/>
                <w:lang w:val="en-GB" w:eastAsia="en-US"/>
              </w:rPr>
              <w:t xml:space="preserve"> </w:t>
            </w:r>
            <w:r w:rsidR="478B1C36" w:rsidRPr="00E0255C">
              <w:rPr>
                <w:rFonts w:eastAsia="Calibri"/>
                <w:lang w:val="en-GB" w:eastAsia="en-US"/>
              </w:rPr>
              <w:t>was published in January 2020.</w:t>
            </w:r>
          </w:p>
          <w:p w14:paraId="157BA79B" w14:textId="3FE5D53C" w:rsidR="478B1C36" w:rsidRPr="00E0255C" w:rsidRDefault="478B1C36" w:rsidP="00A97704">
            <w:pPr>
              <w:spacing w:before="120" w:after="60"/>
              <w:jc w:val="both"/>
              <w:rPr>
                <w:lang w:val="en-GB"/>
              </w:rPr>
            </w:pPr>
            <w:r w:rsidRPr="00E0255C">
              <w:rPr>
                <w:rFonts w:eastAsia="Calibri"/>
              </w:rPr>
              <w:t>The “</w:t>
            </w:r>
            <w:hyperlink r:id="rId552">
              <w:r w:rsidRPr="00E0255C">
                <w:rPr>
                  <w:rStyle w:val="Hyperlink"/>
                  <w:rFonts w:eastAsia="Calibri"/>
                </w:rPr>
                <w:t>United for Smart Sustainable Cities” (U4SSC)</w:t>
              </w:r>
            </w:hyperlink>
            <w:r w:rsidRPr="00E0255C">
              <w:rPr>
                <w:rFonts w:eastAsia="Calibri"/>
                <w:color w:val="0000FF"/>
                <w:u w:val="single"/>
                <w:lang w:val="en-GB" w:eastAsia="en-US"/>
              </w:rPr>
              <w:t xml:space="preserve"> </w:t>
            </w:r>
            <w:r w:rsidRPr="00E0255C">
              <w:rPr>
                <w:rFonts w:eastAsia="Calibri"/>
                <w:lang w:val="en-GB" w:eastAsia="en-US"/>
              </w:rPr>
              <w:t xml:space="preserve">is a UN initiative coordinated by ITU, UNECE and UN-Habitat, and supported by CBD, ECLAC, FAO, ITU, UNDP, UNECA, UNECE, UNESCO, UN </w:t>
            </w:r>
            <w:r w:rsidR="00541BE6" w:rsidRPr="00E0255C">
              <w:rPr>
                <w:rFonts w:eastAsia="Calibri"/>
                <w:lang w:val="en-GB" w:eastAsia="en-US"/>
              </w:rPr>
              <w:t>EP</w:t>
            </w:r>
            <w:r w:rsidRPr="00E0255C">
              <w:rPr>
                <w:rFonts w:eastAsia="Calibri"/>
                <w:lang w:val="en-GB" w:eastAsia="en-US"/>
              </w:rPr>
              <w:t xml:space="preserve">, UNEP-FI, UNFCCC, UNIDO, UNU-EGOV, UN-Women, UNOP and WMO to achieve Sustainable Development Goal 11: </w:t>
            </w:r>
            <w:r w:rsidR="00A92ED1" w:rsidRPr="00E0255C">
              <w:rPr>
                <w:rFonts w:eastAsia="Calibri"/>
                <w:lang w:val="en-GB" w:eastAsia="en-US"/>
              </w:rPr>
              <w:t>“</w:t>
            </w:r>
            <w:r w:rsidRPr="00E0255C">
              <w:rPr>
                <w:rFonts w:eastAsia="Calibri"/>
                <w:lang w:val="en-GB" w:eastAsia="en-US"/>
              </w:rPr>
              <w:t>Make cities and human settlements inclusive, safe, resilient and sustainable</w:t>
            </w:r>
            <w:r w:rsidR="00A92ED1" w:rsidRPr="00E0255C">
              <w:rPr>
                <w:rFonts w:eastAsia="Calibri"/>
                <w:lang w:val="en-GB" w:eastAsia="en-US"/>
              </w:rPr>
              <w:t>”</w:t>
            </w:r>
            <w:r w:rsidRPr="00E0255C">
              <w:rPr>
                <w:rFonts w:eastAsia="Calibri"/>
                <w:lang w:val="en-GB" w:eastAsia="en-US"/>
              </w:rPr>
              <w:t xml:space="preserve">. Since </w:t>
            </w:r>
            <w:r w:rsidR="00541BE6" w:rsidRPr="00E0255C">
              <w:rPr>
                <w:rFonts w:eastAsia="Calibri"/>
                <w:lang w:val="en-GB" w:eastAsia="en-US"/>
              </w:rPr>
              <w:t xml:space="preserve">April </w:t>
            </w:r>
            <w:r w:rsidRPr="00E0255C">
              <w:rPr>
                <w:rFonts w:eastAsia="Calibri"/>
                <w:lang w:val="en-GB" w:eastAsia="en-US"/>
              </w:rPr>
              <w:t xml:space="preserve">2019, U4SSC held over 50 </w:t>
            </w:r>
            <w:proofErr w:type="spellStart"/>
            <w:r w:rsidRPr="00E0255C">
              <w:rPr>
                <w:rFonts w:eastAsia="Calibri"/>
                <w:lang w:val="en-GB" w:eastAsia="en-US"/>
              </w:rPr>
              <w:t>e-meetings</w:t>
            </w:r>
            <w:proofErr w:type="spellEnd"/>
            <w:r w:rsidRPr="00E0255C">
              <w:rPr>
                <w:rFonts w:eastAsia="Calibri"/>
                <w:lang w:val="en-GB" w:eastAsia="en-US"/>
              </w:rPr>
              <w:t xml:space="preserve"> to progress the work carried out in the </w:t>
            </w:r>
            <w:hyperlink r:id="rId553">
              <w:r w:rsidRPr="00E0255C">
                <w:rPr>
                  <w:rStyle w:val="Hyperlink"/>
                  <w:rFonts w:eastAsia="Calibri"/>
                  <w:lang w:val="en-GB" w:eastAsia="en-US"/>
                </w:rPr>
                <w:t>U4SSC Thematic Groups</w:t>
              </w:r>
            </w:hyperlink>
            <w:r w:rsidR="00CD45FA" w:rsidRPr="00E0255C">
              <w:t>.</w:t>
            </w:r>
          </w:p>
          <w:p w14:paraId="1AE7CA3F" w14:textId="2CE1E530" w:rsidR="00A23A6D" w:rsidRPr="00E0255C" w:rsidRDefault="478B1C36" w:rsidP="00A97704">
            <w:pPr>
              <w:spacing w:before="120" w:after="60"/>
              <w:jc w:val="both"/>
              <w:rPr>
                <w:rFonts w:eastAsia="Calibri"/>
                <w:lang w:val="en-GB"/>
              </w:rPr>
            </w:pPr>
            <w:r w:rsidRPr="00E0255C">
              <w:rPr>
                <w:rFonts w:eastAsia="Calibri"/>
              </w:rPr>
              <w:t xml:space="preserve">A </w:t>
            </w:r>
            <w:hyperlink r:id="rId554">
              <w:r w:rsidRPr="00E0255C">
                <w:rPr>
                  <w:rStyle w:val="Hyperlink"/>
                  <w:rFonts w:eastAsia="Calibri"/>
                </w:rPr>
                <w:t>Call for Experts</w:t>
              </w:r>
            </w:hyperlink>
            <w:r w:rsidRPr="00E0255C">
              <w:rPr>
                <w:rFonts w:eastAsia="Calibri"/>
                <w:color w:val="0000FF"/>
                <w:u w:val="single"/>
                <w:lang w:val="en-GB" w:eastAsia="en-US"/>
              </w:rPr>
              <w:t xml:space="preserve"> </w:t>
            </w:r>
            <w:r w:rsidRPr="00E0255C">
              <w:rPr>
                <w:rFonts w:eastAsia="Calibri"/>
                <w:lang w:val="en-GB" w:eastAsia="en-US"/>
              </w:rPr>
              <w:t>to get involved in the United for Smart Sustainable Cities (U4SSC) initiative’s key thematic groups to pinpoint the solutions, technologies and policy tools that will forge smart sustainable cities and communities was launched in March 2020.</w:t>
            </w:r>
          </w:p>
          <w:p w14:paraId="54D19EF6" w14:textId="0C879A34" w:rsidR="00A23A6D" w:rsidRPr="00E0255C" w:rsidRDefault="00A23A6D" w:rsidP="00A97704">
            <w:pPr>
              <w:spacing w:before="120" w:after="60"/>
              <w:jc w:val="both"/>
              <w:rPr>
                <w:rFonts w:asciiTheme="minorHAnsi" w:eastAsia="Calibri" w:hAnsiTheme="minorHAnsi" w:cstheme="minorHAnsi"/>
                <w:lang w:val="en-GB"/>
              </w:rPr>
            </w:pPr>
            <w:r w:rsidRPr="00E0255C">
              <w:rPr>
                <w:rFonts w:asciiTheme="minorHAnsi" w:eastAsia="Calibri" w:hAnsiTheme="minorHAnsi" w:cstheme="minorHAnsi"/>
              </w:rPr>
              <w:lastRenderedPageBreak/>
              <w:t>The U4SSC has published several deliverables.</w:t>
            </w:r>
          </w:p>
          <w:p w14:paraId="08D9CA16" w14:textId="6043CBF3" w:rsidR="478B1C36" w:rsidRPr="00E0255C" w:rsidRDefault="001003AC" w:rsidP="00A97704">
            <w:pPr>
              <w:spacing w:before="120" w:after="60"/>
              <w:jc w:val="both"/>
              <w:rPr>
                <w:rFonts w:eastAsia="Calibri"/>
                <w:lang w:val="en-GB"/>
              </w:rPr>
            </w:pPr>
            <w:r w:rsidRPr="00E0255C">
              <w:rPr>
                <w:rFonts w:eastAsia="Calibri"/>
              </w:rPr>
              <w:t xml:space="preserve">In October 2019, the </w:t>
            </w:r>
            <w:r w:rsidR="478B1C36" w:rsidRPr="00E0255C">
              <w:rPr>
                <w:rFonts w:eastAsia="Calibri"/>
              </w:rPr>
              <w:t xml:space="preserve">U4SSC </w:t>
            </w:r>
            <w:r w:rsidR="000E1537" w:rsidRPr="00E0255C">
              <w:rPr>
                <w:rFonts w:eastAsia="Calibri"/>
              </w:rPr>
              <w:t>“</w:t>
            </w:r>
            <w:hyperlink r:id="rId555">
              <w:r w:rsidR="478B1C36" w:rsidRPr="00E0255C">
                <w:rPr>
                  <w:rStyle w:val="Hyperlink"/>
                  <w:rFonts w:eastAsia="Calibri"/>
                </w:rPr>
                <w:t>City Science Application Framework</w:t>
              </w:r>
            </w:hyperlink>
            <w:r w:rsidR="000E1537" w:rsidRPr="00E0255C">
              <w:rPr>
                <w:rFonts w:eastAsia="Calibri"/>
                <w:lang w:val="en-GB" w:eastAsia="en-US"/>
              </w:rPr>
              <w:t xml:space="preserve">“ was </w:t>
            </w:r>
            <w:r w:rsidR="478B1C36" w:rsidRPr="00E0255C">
              <w:rPr>
                <w:rFonts w:eastAsia="Calibri"/>
                <w:lang w:val="en-GB" w:eastAsia="en-US"/>
              </w:rPr>
              <w:t xml:space="preserve">published together with </w:t>
            </w:r>
            <w:hyperlink r:id="rId556">
              <w:r w:rsidR="000E1537" w:rsidRPr="00E0255C">
                <w:rPr>
                  <w:rStyle w:val="Hyperlink"/>
                  <w:rFonts w:eastAsia="Calibri"/>
                  <w:lang w:val="en-GB" w:eastAsia="en-US"/>
                </w:rPr>
                <w:t xml:space="preserve">eight </w:t>
              </w:r>
              <w:r w:rsidR="478B1C36" w:rsidRPr="00E0255C">
                <w:rPr>
                  <w:rStyle w:val="Hyperlink"/>
                  <w:rFonts w:eastAsia="Calibri"/>
                  <w:lang w:val="en-GB" w:eastAsia="en-US"/>
                </w:rPr>
                <w:t>case studies</w:t>
              </w:r>
            </w:hyperlink>
            <w:r w:rsidR="478B1C36" w:rsidRPr="00E0255C">
              <w:rPr>
                <w:rFonts w:eastAsia="Calibri"/>
              </w:rPr>
              <w:t>. It provides a four-step methodology for cities to solve their pressing urban challenges. By using empirical evidence as the basis for evaluation, the city science application framework offers a reliable and consistent way for cities to assess, prioritize and boost their city applications.</w:t>
            </w:r>
          </w:p>
          <w:p w14:paraId="2679A78F" w14:textId="0B9FDF83" w:rsidR="00877DC4" w:rsidRPr="00E0255C" w:rsidRDefault="00877DC4" w:rsidP="00877DC4">
            <w:pPr>
              <w:spacing w:before="120" w:after="60"/>
              <w:jc w:val="both"/>
              <w:rPr>
                <w:lang w:val="en-GB"/>
              </w:rPr>
            </w:pPr>
            <w:r w:rsidRPr="00E0255C">
              <w:t>In June 2020, U4SSC</w:t>
            </w:r>
            <w:r w:rsidR="000E1537" w:rsidRPr="00E0255C">
              <w:t>’s</w:t>
            </w:r>
            <w:r w:rsidRPr="00E0255C">
              <w:t xml:space="preserve"> </w:t>
            </w:r>
            <w:r w:rsidR="000E1537" w:rsidRPr="00E0255C">
              <w:t>“</w:t>
            </w:r>
            <w:r w:rsidRPr="00E0255C">
              <w:t>Guide to Circular Cities</w:t>
            </w:r>
            <w:r w:rsidR="000E1537" w:rsidRPr="00E0255C">
              <w:t>”</w:t>
            </w:r>
            <w:r w:rsidRPr="00E0255C">
              <w:t xml:space="preserve"> was published together with 8 Case studies. It contains a circular city implementation framework that is designed to improve circularity in cities and support stakeholders in implementing circular actions. The framework consists of a four-step methodology that provides a consistent method for assessing, </w:t>
            </w:r>
            <w:r w:rsidR="00A92ED1" w:rsidRPr="00E0255C">
              <w:pgNum/>
            </w:r>
            <w:r w:rsidR="000E1537" w:rsidRPr="00E0255C">
              <w:t>p</w:t>
            </w:r>
            <w:r w:rsidR="00A92ED1" w:rsidRPr="00E0255C">
              <w:t>rioritizing</w:t>
            </w:r>
            <w:r w:rsidRPr="00E0255C">
              <w:t xml:space="preserve"> and </w:t>
            </w:r>
            <w:proofErr w:type="spellStart"/>
            <w:r w:rsidRPr="00E0255C">
              <w:t>catalysing</w:t>
            </w:r>
            <w:proofErr w:type="spellEnd"/>
            <w:r w:rsidRPr="00E0255C">
              <w:t xml:space="preserve"> different circular actions. This deliverable is developed in response to the growing sustainability challenges that cities are facing and the emergence of the circular economy concept and its applicability and extension in the city setting.</w:t>
            </w:r>
          </w:p>
          <w:p w14:paraId="241DE05C" w14:textId="24A1A028" w:rsidR="00877DC4" w:rsidRPr="00E0255C" w:rsidRDefault="00877DC4" w:rsidP="00877DC4">
            <w:pPr>
              <w:spacing w:before="120" w:after="60"/>
              <w:jc w:val="both"/>
              <w:rPr>
                <w:lang w:val="en-GB"/>
              </w:rPr>
            </w:pPr>
            <w:r w:rsidRPr="00E0255C">
              <w:t xml:space="preserve">In September 2020, the U4SSC </w:t>
            </w:r>
            <w:r w:rsidR="000E1537" w:rsidRPr="00E0255C">
              <w:t>document “</w:t>
            </w:r>
            <w:r w:rsidRPr="00E0255C">
              <w:t>Accelerating city transformation using frontier technologies” was published. It aims to shed light on the impact of frontier technologies in cities and on citizens. This report provides insights into the current urbanization trends and provide an overview of the importance of connecting cities with the sustainable development goals (SDGs).</w:t>
            </w:r>
          </w:p>
          <w:p w14:paraId="08C67A1A" w14:textId="2934F7E0" w:rsidR="00877DC4" w:rsidRPr="00E0255C" w:rsidRDefault="00877DC4" w:rsidP="00877DC4">
            <w:pPr>
              <w:spacing w:before="120" w:after="60"/>
              <w:jc w:val="both"/>
              <w:rPr>
                <w:lang w:val="en-GB"/>
              </w:rPr>
            </w:pPr>
            <w:r w:rsidRPr="00E0255C">
              <w:t xml:space="preserve">In November 2020, the U4SSC Blockchain for smart sustainable cities was published. It contains insights into the multifaceted potential of blockchain technology in building trust in the SSC </w:t>
            </w:r>
            <w:proofErr w:type="spellStart"/>
            <w:r w:rsidRPr="00E0255C">
              <w:t>endeavours</w:t>
            </w:r>
            <w:proofErr w:type="spellEnd"/>
            <w:r w:rsidRPr="00E0255C">
              <w:t xml:space="preserve">, by supporting the creation of an effective, </w:t>
            </w:r>
            <w:proofErr w:type="gramStart"/>
            <w:r w:rsidRPr="00E0255C">
              <w:t>secure</w:t>
            </w:r>
            <w:proofErr w:type="gramEnd"/>
            <w:r w:rsidRPr="00E0255C">
              <w:t xml:space="preserve"> and scalable distributed architecture to tackle challenges related to interoperability, security and privacy, data collection, data sharing and data analytics.</w:t>
            </w:r>
          </w:p>
          <w:p w14:paraId="5508C317" w14:textId="4A6D432B" w:rsidR="478B1C36" w:rsidRPr="00E0255C" w:rsidRDefault="478B1C36" w:rsidP="00A97704">
            <w:pPr>
              <w:spacing w:before="120" w:after="60"/>
              <w:jc w:val="both"/>
              <w:rPr>
                <w:lang w:val="en-GB"/>
              </w:rPr>
            </w:pPr>
            <w:r w:rsidRPr="00E0255C">
              <w:rPr>
                <w:rFonts w:eastAsia="Calibri"/>
              </w:rPr>
              <w:t xml:space="preserve">The </w:t>
            </w:r>
            <w:hyperlink r:id="rId557">
              <w:r w:rsidRPr="00E0255C">
                <w:rPr>
                  <w:rStyle w:val="Hyperlink"/>
                  <w:rFonts w:eastAsia="Calibri"/>
                </w:rPr>
                <w:t xml:space="preserve">U4SSC initiative’s Implementation </w:t>
              </w:r>
              <w:proofErr w:type="spellStart"/>
              <w:r w:rsidRPr="00E0255C">
                <w:rPr>
                  <w:rStyle w:val="Hyperlink"/>
                  <w:rFonts w:eastAsia="Calibri"/>
                </w:rPr>
                <w:t>Programme</w:t>
              </w:r>
              <w:proofErr w:type="spellEnd"/>
            </w:hyperlink>
            <w:r w:rsidRPr="00E0255C">
              <w:rPr>
                <w:rFonts w:eastAsia="Calibri"/>
                <w:color w:val="0000FF"/>
                <w:u w:val="single"/>
                <w:lang w:val="en-GB" w:eastAsia="en-US"/>
              </w:rPr>
              <w:t xml:space="preserve"> </w:t>
            </w:r>
            <w:r w:rsidRPr="00E0255C">
              <w:rPr>
                <w:rFonts w:eastAsia="Calibri"/>
                <w:lang w:val="en-GB" w:eastAsia="en-US"/>
              </w:rPr>
              <w:t>was created in October 2019 with the objective to carry out projects and build partnerships, which aim to build smarter and more sustainable cities worldwide.</w:t>
            </w:r>
            <w:r w:rsidR="003B016F" w:rsidRPr="00E0255C">
              <w:rPr>
                <w:rFonts w:eastAsia="Calibri"/>
                <w:lang w:val="en-GB" w:eastAsia="en-US"/>
              </w:rPr>
              <w:t xml:space="preserve"> </w:t>
            </w:r>
            <w:r w:rsidR="000E1537" w:rsidRPr="00E0255C">
              <w:rPr>
                <w:rFonts w:eastAsia="Calibri"/>
                <w:lang w:val="en-GB" w:eastAsia="en-US"/>
              </w:rPr>
              <w:t xml:space="preserve">Fourteen </w:t>
            </w:r>
            <w:r w:rsidR="003B016F" w:rsidRPr="00E0255C">
              <w:rPr>
                <w:rFonts w:eastAsia="Calibri"/>
                <w:lang w:val="en-GB" w:eastAsia="en-US"/>
              </w:rPr>
              <w:t>projects</w:t>
            </w:r>
            <w:r w:rsidR="000E1537" w:rsidRPr="00E0255C">
              <w:rPr>
                <w:rFonts w:eastAsia="Calibri"/>
                <w:lang w:val="en-GB" w:eastAsia="en-US"/>
              </w:rPr>
              <w:t xml:space="preserve"> are currently in progress</w:t>
            </w:r>
            <w:r w:rsidR="003B016F" w:rsidRPr="00E0255C">
              <w:rPr>
                <w:rFonts w:eastAsia="Calibri"/>
                <w:lang w:val="en-GB" w:eastAsia="en-US"/>
              </w:rPr>
              <w:t>.</w:t>
            </w:r>
          </w:p>
          <w:p w14:paraId="7A1F2EC4" w14:textId="79A65260" w:rsidR="478B1C36" w:rsidRPr="00B87922" w:rsidRDefault="478B1C36" w:rsidP="00A97704">
            <w:pPr>
              <w:spacing w:before="120" w:after="60"/>
              <w:jc w:val="both"/>
              <w:rPr>
                <w:lang w:val="en-GB"/>
              </w:rPr>
            </w:pPr>
            <w:r w:rsidRPr="00E0255C">
              <w:rPr>
                <w:rFonts w:eastAsia="Calibri"/>
              </w:rPr>
              <w:t xml:space="preserve">The U4SSC developed a </w:t>
            </w:r>
            <w:hyperlink r:id="rId558">
              <w:r w:rsidRPr="00E0255C">
                <w:rPr>
                  <w:rStyle w:val="Hyperlink"/>
                  <w:rFonts w:eastAsia="Calibri"/>
                </w:rPr>
                <w:t xml:space="preserve">set of international key performance indicators (KPIs) for </w:t>
              </w:r>
              <w:r w:rsidR="000E1537" w:rsidRPr="00E0255C">
                <w:rPr>
                  <w:rStyle w:val="Hyperlink"/>
                  <w:rFonts w:eastAsia="Calibri"/>
                </w:rPr>
                <w:t>s</w:t>
              </w:r>
              <w:r w:rsidRPr="00E0255C">
                <w:rPr>
                  <w:rStyle w:val="Hyperlink"/>
                  <w:rFonts w:eastAsia="Calibri"/>
                </w:rPr>
                <w:t xml:space="preserve">mart </w:t>
              </w:r>
              <w:r w:rsidR="000E1537" w:rsidRPr="00E0255C">
                <w:rPr>
                  <w:rStyle w:val="Hyperlink"/>
                  <w:rFonts w:eastAsia="Calibri"/>
                </w:rPr>
                <w:t>s</w:t>
              </w:r>
              <w:r w:rsidRPr="00E0255C">
                <w:rPr>
                  <w:rStyle w:val="Hyperlink"/>
                  <w:rFonts w:eastAsia="Calibri"/>
                </w:rPr>
                <w:t xml:space="preserve">ustainable </w:t>
              </w:r>
              <w:r w:rsidR="000E1537" w:rsidRPr="00E0255C">
                <w:rPr>
                  <w:rStyle w:val="Hyperlink"/>
                  <w:rFonts w:eastAsia="Calibri"/>
                </w:rPr>
                <w:t>c</w:t>
              </w:r>
              <w:r w:rsidRPr="00E0255C">
                <w:rPr>
                  <w:rStyle w:val="Hyperlink"/>
                  <w:rFonts w:eastAsia="Calibri"/>
                </w:rPr>
                <w:t>ities</w:t>
              </w:r>
            </w:hyperlink>
            <w:r w:rsidR="000E1537" w:rsidRPr="00E0255C">
              <w:rPr>
                <w:rFonts w:eastAsia="Calibri"/>
                <w:lang w:val="en-GB" w:eastAsia="en-US"/>
              </w:rPr>
              <w:t xml:space="preserve"> (based </w:t>
            </w:r>
            <w:r w:rsidRPr="00E0255C">
              <w:rPr>
                <w:rFonts w:eastAsia="Calibri"/>
                <w:lang w:val="en-GB" w:eastAsia="en-US"/>
              </w:rPr>
              <w:t xml:space="preserve">on Recommendation ITU-T Y.4903) to establish the criteria to evaluate </w:t>
            </w:r>
            <w:r w:rsidR="000E1537" w:rsidRPr="00E0255C">
              <w:rPr>
                <w:rFonts w:eastAsia="Calibri"/>
                <w:lang w:val="en-GB" w:eastAsia="en-US"/>
              </w:rPr>
              <w:t xml:space="preserve">the </w:t>
            </w:r>
            <w:r w:rsidRPr="00E0255C">
              <w:rPr>
                <w:rFonts w:eastAsia="Calibri"/>
                <w:lang w:val="en-GB" w:eastAsia="en-US"/>
              </w:rPr>
              <w:t xml:space="preserve">contributions </w:t>
            </w:r>
            <w:r w:rsidR="000E1537" w:rsidRPr="00E0255C">
              <w:rPr>
                <w:rFonts w:eastAsia="Calibri"/>
                <w:lang w:val="en-GB" w:eastAsia="en-US"/>
              </w:rPr>
              <w:t xml:space="preserve">of ICTs to </w:t>
            </w:r>
            <w:r w:rsidRPr="00E0255C">
              <w:rPr>
                <w:rFonts w:eastAsia="Calibri"/>
                <w:lang w:val="en-GB" w:eastAsia="en-US"/>
              </w:rPr>
              <w:t>making cities smarter and more sustainable, and to provide cities with the means for self-assessments in order to achieve the sustainable development goals (SDGs). Over 100 cities worldwide are already implementing these KPIs</w:t>
            </w:r>
            <w:r w:rsidR="00202FD7" w:rsidRPr="00E0255C">
              <w:rPr>
                <w:rFonts w:eastAsia="Calibri"/>
                <w:lang w:val="en-GB" w:eastAsia="en-US"/>
              </w:rPr>
              <w:t>. I</w:t>
            </w:r>
            <w:r w:rsidRPr="00E0255C">
              <w:rPr>
                <w:rFonts w:eastAsia="Calibri"/>
                <w:lang w:val="en-GB" w:eastAsia="en-US"/>
              </w:rPr>
              <w:t xml:space="preserve">n September 2019, the </w:t>
            </w:r>
            <w:hyperlink r:id="rId559">
              <w:r w:rsidRPr="00E0255C">
                <w:rPr>
                  <w:rStyle w:val="Hyperlink"/>
                  <w:rFonts w:eastAsia="Calibri"/>
                  <w:lang w:val="en-GB" w:eastAsia="en-US"/>
                </w:rPr>
                <w:t>Verification Report: Pully under the microscope</w:t>
              </w:r>
            </w:hyperlink>
            <w:r w:rsidRPr="00E0255C">
              <w:rPr>
                <w:rFonts w:eastAsia="Calibri"/>
                <w:color w:val="0000FF"/>
                <w:u w:val="single"/>
              </w:rPr>
              <w:t xml:space="preserve"> </w:t>
            </w:r>
            <w:r w:rsidRPr="00E0255C">
              <w:rPr>
                <w:rFonts w:eastAsia="Calibri"/>
              </w:rPr>
              <w:t>was published.</w:t>
            </w:r>
            <w:r w:rsidRPr="00E0255C">
              <w:rPr>
                <w:rFonts w:eastAsia="Calibri"/>
                <w:u w:val="single"/>
              </w:rPr>
              <w:t xml:space="preserve"> </w:t>
            </w:r>
            <w:r w:rsidR="00BE5A49" w:rsidRPr="00E0255C">
              <w:rPr>
                <w:rFonts w:eastAsia="Calibri"/>
              </w:rPr>
              <w:t>Since</w:t>
            </w:r>
            <w:r w:rsidRPr="00E0255C">
              <w:rPr>
                <w:rFonts w:eastAsia="Calibri"/>
              </w:rPr>
              <w:t xml:space="preserve"> October 2019, a series of City </w:t>
            </w:r>
            <w:r w:rsidR="00F316D8" w:rsidRPr="00E0255C">
              <w:rPr>
                <w:rFonts w:eastAsia="Calibri"/>
              </w:rPr>
              <w:t>Snapshots</w:t>
            </w:r>
            <w:r w:rsidR="00605217" w:rsidRPr="00E0255C">
              <w:rPr>
                <w:rFonts w:eastAsia="Calibri"/>
              </w:rPr>
              <w:t>, Verification Reports and Factsheets</w:t>
            </w:r>
            <w:r w:rsidR="00F316D8" w:rsidRPr="00E0255C">
              <w:rPr>
                <w:rFonts w:eastAsia="Calibri"/>
              </w:rPr>
              <w:t xml:space="preserve"> </w:t>
            </w:r>
            <w:r w:rsidRPr="00E0255C">
              <w:rPr>
                <w:rFonts w:eastAsia="Calibri"/>
              </w:rPr>
              <w:t>were published</w:t>
            </w:r>
            <w:r w:rsidR="00202FD7" w:rsidRPr="00E0255C">
              <w:rPr>
                <w:rFonts w:eastAsia="Calibri"/>
              </w:rPr>
              <w:t>.</w:t>
            </w:r>
            <w:r w:rsidRPr="00E0255C">
              <w:rPr>
                <w:rFonts w:eastAsia="Calibri"/>
              </w:rPr>
              <w:t xml:space="preserve"> </w:t>
            </w:r>
            <w:r w:rsidR="004A1F91" w:rsidRPr="00E0255C">
              <w:rPr>
                <w:rFonts w:asciiTheme="minorHAnsi" w:eastAsia="Calibri" w:hAnsiTheme="minorHAnsi" w:cstheme="minorHAnsi"/>
              </w:rPr>
              <w:t xml:space="preserve">Find out more </w:t>
            </w:r>
            <w:r w:rsidR="00202FD7" w:rsidRPr="00E0255C">
              <w:rPr>
                <w:rFonts w:asciiTheme="minorHAnsi" w:eastAsia="Calibri" w:hAnsiTheme="minorHAnsi" w:cstheme="minorHAnsi"/>
              </w:rPr>
              <w:t xml:space="preserve">about </w:t>
            </w:r>
            <w:r w:rsidR="004A1F91" w:rsidRPr="00E0255C">
              <w:rPr>
                <w:rFonts w:asciiTheme="minorHAnsi" w:eastAsia="Calibri" w:hAnsiTheme="minorHAnsi" w:cstheme="minorHAnsi"/>
              </w:rPr>
              <w:t xml:space="preserve">ITU’s implementation of the U4SSC KPIs </w:t>
            </w:r>
            <w:hyperlink r:id="rId560" w:history="1">
              <w:r w:rsidR="004A1F91" w:rsidRPr="00E0255C">
                <w:rPr>
                  <w:rStyle w:val="Hyperlink"/>
                  <w:rFonts w:asciiTheme="minorHAnsi" w:hAnsiTheme="minorHAnsi" w:cstheme="minorHAnsi"/>
                </w:rPr>
                <w:t>here</w:t>
              </w:r>
            </w:hyperlink>
            <w:r w:rsidR="004A1F91" w:rsidRPr="00E0255C">
              <w:rPr>
                <w:rFonts w:asciiTheme="minorHAnsi" w:eastAsia="Calibri" w:hAnsiTheme="minorHAnsi" w:cstheme="minorHAnsi"/>
                <w:lang w:val="en-GB" w:eastAsia="en-US"/>
              </w:rPr>
              <w:t>.</w:t>
            </w:r>
            <w:r w:rsidRPr="00B64995">
              <w:rPr>
                <w:rFonts w:eastAsia="Calibri"/>
                <w:b/>
                <w:sz w:val="22"/>
                <w:szCs w:val="22"/>
                <w:lang w:val="en-GB" w:eastAsia="en-US"/>
              </w:rPr>
              <w:t xml:space="preserve"> </w:t>
            </w:r>
          </w:p>
        </w:tc>
      </w:tr>
      <w:tr w:rsidR="478B1C36" w:rsidRPr="00E0255C" w14:paraId="353BE987" w14:textId="77777777" w:rsidTr="09AD7226">
        <w:tc>
          <w:tcPr>
            <w:tcW w:w="9026" w:type="dxa"/>
            <w:shd w:val="clear" w:color="auto" w:fill="FFFFFF" w:themeFill="background1"/>
          </w:tcPr>
          <w:p w14:paraId="41681963" w14:textId="0B4DED1B" w:rsidR="478B1C36" w:rsidRPr="00E0255C" w:rsidRDefault="478B1C36" w:rsidP="00A97704">
            <w:pPr>
              <w:pageBreakBefore/>
              <w:spacing w:before="60" w:after="60"/>
              <w:jc w:val="both"/>
              <w:rPr>
                <w:rFonts w:asciiTheme="minorHAnsi" w:hAnsiTheme="minorHAnsi" w:cstheme="minorHAnsi"/>
                <w:lang w:val="en-GB"/>
              </w:rPr>
            </w:pPr>
            <w:r w:rsidRPr="00E0255C">
              <w:rPr>
                <w:rFonts w:asciiTheme="minorHAnsi" w:eastAsia="Calibri" w:hAnsiTheme="minorHAnsi" w:cstheme="minorHAnsi"/>
                <w:b/>
              </w:rPr>
              <w:lastRenderedPageBreak/>
              <w:t>198 (</w:t>
            </w:r>
            <w:r w:rsidR="00A579C3" w:rsidRPr="00E0255C">
              <w:rPr>
                <w:rFonts w:asciiTheme="minorHAnsi" w:eastAsia="Calibri" w:hAnsiTheme="minorHAnsi" w:cstheme="minorHAnsi"/>
                <w:b/>
              </w:rPr>
              <w:t>R</w:t>
            </w:r>
            <w:r w:rsidRPr="00E0255C">
              <w:rPr>
                <w:rFonts w:asciiTheme="minorHAnsi" w:eastAsia="Calibri" w:hAnsiTheme="minorHAnsi" w:cstheme="minorHAnsi"/>
                <w:b/>
              </w:rPr>
              <w:t>ev. Dubai, 2018) Empowerment of youth through telecommunication/information and communication technology</w:t>
            </w:r>
          </w:p>
          <w:p w14:paraId="1DB83509" w14:textId="4DBBA1A4" w:rsidR="478B1C36" w:rsidRPr="00E0255C" w:rsidRDefault="00872874"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S</w:t>
            </w:r>
            <w:r w:rsidR="478B1C36" w:rsidRPr="00E0255C">
              <w:rPr>
                <w:rFonts w:asciiTheme="minorHAnsi" w:eastAsia="Calibri" w:hAnsiTheme="minorHAnsi" w:cstheme="minorHAnsi"/>
              </w:rPr>
              <w:t xml:space="preserve">ee </w:t>
            </w:r>
            <w:hyperlink w:anchor="Section_1_7" w:history="1">
              <w:r w:rsidR="478B1C36" w:rsidRPr="00E0255C">
                <w:rPr>
                  <w:rStyle w:val="Hyperlink"/>
                  <w:rFonts w:asciiTheme="minorHAnsi" w:eastAsia="Calibri" w:hAnsiTheme="minorHAnsi" w:cstheme="minorHAnsi"/>
                </w:rPr>
                <w:t>section 1.7</w:t>
              </w:r>
            </w:hyperlink>
          </w:p>
        </w:tc>
      </w:tr>
      <w:tr w:rsidR="478B1C36" w:rsidRPr="00E0255C" w14:paraId="6CB0E498" w14:textId="77777777" w:rsidTr="09AD7226">
        <w:tc>
          <w:tcPr>
            <w:tcW w:w="9026" w:type="dxa"/>
            <w:shd w:val="clear" w:color="auto" w:fill="FFFFFF" w:themeFill="background1"/>
          </w:tcPr>
          <w:p w14:paraId="4CA6A079" w14:textId="642E142E"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b/>
              </w:rPr>
              <w:t>200 (</w:t>
            </w:r>
            <w:r w:rsidR="00A579C3" w:rsidRPr="00E0255C">
              <w:rPr>
                <w:rFonts w:asciiTheme="minorHAnsi" w:eastAsia="Calibri" w:hAnsiTheme="minorHAnsi" w:cstheme="minorHAnsi"/>
                <w:b/>
              </w:rPr>
              <w:t>R</w:t>
            </w:r>
            <w:r w:rsidRPr="00E0255C">
              <w:rPr>
                <w:rFonts w:asciiTheme="minorHAnsi" w:eastAsia="Calibri" w:hAnsiTheme="minorHAnsi" w:cstheme="minorHAnsi"/>
                <w:b/>
              </w:rPr>
              <w:t>ev. Dubai, 2018) Connect 2030 Agenda for global telecommunication/information and communication technology, including broadband, for sustainable development</w:t>
            </w:r>
          </w:p>
          <w:p w14:paraId="715E59B7" w14:textId="77777777" w:rsidR="00872874" w:rsidRPr="00E0255C" w:rsidRDefault="00872874" w:rsidP="006459A3">
            <w:p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This report can be considered as a report on the implementation of the Connect 2030 Agenda (see </w:t>
            </w:r>
            <w:hyperlink w:anchor="Section_3" w:history="1">
              <w:r w:rsidRPr="00E0255C">
                <w:rPr>
                  <w:rStyle w:val="Hyperlink"/>
                  <w:rFonts w:asciiTheme="minorHAnsi" w:eastAsia="Calibri" w:hAnsiTheme="minorHAnsi" w:cstheme="minorHAnsi"/>
                </w:rPr>
                <w:t>section 3</w:t>
              </w:r>
            </w:hyperlink>
            <w:r w:rsidRPr="00E0255C">
              <w:rPr>
                <w:rFonts w:asciiTheme="minorHAnsi" w:eastAsia="Calibri" w:hAnsiTheme="minorHAnsi" w:cstheme="minorHAnsi"/>
                <w:lang w:val="en-GB" w:eastAsia="en-US"/>
              </w:rPr>
              <w:t>).</w:t>
            </w:r>
          </w:p>
          <w:p w14:paraId="5B02E2F6" w14:textId="4BA4A4C3" w:rsidR="009168D3" w:rsidRPr="00E0255C" w:rsidRDefault="009168D3" w:rsidP="006459A3">
            <w:pPr>
              <w:spacing w:before="60" w:after="60"/>
              <w:jc w:val="both"/>
              <w:rPr>
                <w:rFonts w:asciiTheme="minorHAnsi" w:hAnsiTheme="minorHAnsi" w:cstheme="minorHAnsi"/>
                <w:lang w:val="en-GB"/>
              </w:rPr>
            </w:pPr>
            <w:r w:rsidRPr="00E0255C">
              <w:rPr>
                <w:rFonts w:asciiTheme="minorHAnsi" w:hAnsiTheme="minorHAnsi" w:cstheme="minorHAnsi"/>
              </w:rPr>
              <w:t>ITU also developed the Connect 2030 Agenda microsite, launched during WTISD 2020.</w:t>
            </w:r>
          </w:p>
        </w:tc>
      </w:tr>
      <w:tr w:rsidR="478B1C36" w:rsidRPr="00E0255C" w14:paraId="521258B8" w14:textId="77777777" w:rsidTr="09AD7226">
        <w:tc>
          <w:tcPr>
            <w:tcW w:w="9026" w:type="dxa"/>
            <w:shd w:val="clear" w:color="auto" w:fill="FFFFFF" w:themeFill="background1"/>
          </w:tcPr>
          <w:p w14:paraId="6D42E5F7" w14:textId="77777777" w:rsidR="0049723A" w:rsidRPr="00E0255C" w:rsidRDefault="478B1C36" w:rsidP="006459A3">
            <w:pPr>
              <w:spacing w:before="60" w:after="60"/>
              <w:jc w:val="both"/>
              <w:rPr>
                <w:rFonts w:asciiTheme="minorHAnsi" w:eastAsia="Calibri" w:hAnsiTheme="minorHAnsi" w:cstheme="minorHAnsi"/>
                <w:b/>
                <w:lang w:val="en-GB"/>
              </w:rPr>
            </w:pPr>
            <w:bookmarkStart w:id="171" w:name="Resolution_204"/>
            <w:r w:rsidRPr="00E0255C">
              <w:rPr>
                <w:rFonts w:asciiTheme="minorHAnsi" w:eastAsia="Calibri" w:hAnsiTheme="minorHAnsi" w:cstheme="minorHAnsi"/>
                <w:b/>
              </w:rPr>
              <w:t>204</w:t>
            </w:r>
            <w:bookmarkEnd w:id="171"/>
            <w:r w:rsidRPr="00E0255C">
              <w:rPr>
                <w:rFonts w:asciiTheme="minorHAnsi" w:eastAsia="Calibri" w:hAnsiTheme="minorHAnsi" w:cstheme="minorHAnsi"/>
                <w:b/>
              </w:rPr>
              <w:t xml:space="preserve"> (</w:t>
            </w:r>
            <w:r w:rsidR="00A579C3" w:rsidRPr="00E0255C">
              <w:rPr>
                <w:rFonts w:asciiTheme="minorHAnsi" w:eastAsia="Calibri" w:hAnsiTheme="minorHAnsi" w:cstheme="minorHAnsi"/>
                <w:b/>
              </w:rPr>
              <w:t xml:space="preserve">Rev. </w:t>
            </w:r>
            <w:r w:rsidRPr="00E0255C">
              <w:rPr>
                <w:rFonts w:asciiTheme="minorHAnsi" w:eastAsia="Calibri" w:hAnsiTheme="minorHAnsi" w:cstheme="minorHAnsi"/>
                <w:b/>
              </w:rPr>
              <w:t>Dubai, 2018) Use of information and communication technologies to bridge the financial inclusion gap</w:t>
            </w:r>
          </w:p>
          <w:p w14:paraId="24D210AB" w14:textId="0C53286F"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Pursuant to WTSA-16 </w:t>
            </w:r>
            <w:hyperlink r:id="rId561">
              <w:r w:rsidRPr="00E0255C">
                <w:rPr>
                  <w:rStyle w:val="Hyperlink"/>
                  <w:rFonts w:asciiTheme="minorHAnsi" w:eastAsia="Calibri" w:hAnsiTheme="minorHAnsi" w:cstheme="minorHAnsi"/>
                </w:rPr>
                <w:t>Resolution 89</w:t>
              </w:r>
            </w:hyperlink>
            <w:r w:rsidRPr="00E0255C">
              <w:rPr>
                <w:rFonts w:asciiTheme="minorHAnsi" w:eastAsia="Calibri" w:hAnsiTheme="minorHAnsi" w:cstheme="minorHAnsi"/>
                <w:color w:val="0000FF"/>
                <w:u w:val="single"/>
                <w:lang w:val="en-GB" w:eastAsia="en-US"/>
              </w:rPr>
              <w:t xml:space="preserve">, </w:t>
            </w:r>
            <w:r w:rsidRPr="00E0255C">
              <w:rPr>
                <w:rFonts w:asciiTheme="minorHAnsi" w:eastAsia="Calibri" w:hAnsiTheme="minorHAnsi" w:cstheme="minorHAnsi"/>
                <w:lang w:val="en-GB" w:eastAsia="en-US"/>
              </w:rPr>
              <w:t xml:space="preserve">ITU has implemented </w:t>
            </w:r>
            <w:proofErr w:type="gramStart"/>
            <w:r w:rsidRPr="00E0255C">
              <w:rPr>
                <w:rFonts w:asciiTheme="minorHAnsi" w:eastAsia="Calibri" w:hAnsiTheme="minorHAnsi" w:cstheme="minorHAnsi"/>
                <w:lang w:val="en-GB" w:eastAsia="en-US"/>
              </w:rPr>
              <w:t>a number of</w:t>
            </w:r>
            <w:proofErr w:type="gramEnd"/>
            <w:r w:rsidRPr="00E0255C">
              <w:rPr>
                <w:rFonts w:asciiTheme="minorHAnsi" w:eastAsia="Calibri" w:hAnsiTheme="minorHAnsi" w:cstheme="minorHAnsi"/>
                <w:lang w:val="en-GB" w:eastAsia="en-US"/>
              </w:rPr>
              <w:t xml:space="preserve"> activities aimed at enhancing the use of ICTs in bridging the financial inclusion gap through the following:</w:t>
            </w:r>
          </w:p>
          <w:p w14:paraId="2396E4DB" w14:textId="420BEB72"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The Financial Inclusion Global Initiative (FIGI)</w:t>
            </w:r>
          </w:p>
          <w:p w14:paraId="174351CF" w14:textId="3F3996B4"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 xml:space="preserve">The ITU-T Study Groups and Focus Groups work </w:t>
            </w:r>
            <w:proofErr w:type="gramStart"/>
            <w:r w:rsidRPr="00E0255C">
              <w:rPr>
                <w:rFonts w:asciiTheme="minorHAnsi" w:hAnsiTheme="minorHAnsi" w:cstheme="minorHAnsi"/>
                <w:lang w:val="en-GB"/>
              </w:rPr>
              <w:t>programme</w:t>
            </w:r>
            <w:proofErr w:type="gramEnd"/>
          </w:p>
          <w:p w14:paraId="1F574E29" w14:textId="71550A24" w:rsidR="004A1F91" w:rsidRPr="00E0255C" w:rsidRDefault="00A05EC9"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eastAsiaTheme="minorEastAsia" w:hAnsiTheme="minorHAnsi" w:cstheme="minorHAnsi"/>
                <w:lang w:val="en-GB"/>
              </w:rPr>
              <w:t>Insights on digital financial services during COVID-19 Webinars</w:t>
            </w:r>
          </w:p>
          <w:p w14:paraId="4A6F56D0" w14:textId="4387C4E8"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ITU- D Policy and Regulation Programme</w:t>
            </w:r>
            <w:r w:rsidR="00AC4914" w:rsidRPr="00E0255C">
              <w:rPr>
                <w:rFonts w:asciiTheme="minorHAnsi" w:hAnsiTheme="minorHAnsi" w:cstheme="minorHAnsi"/>
                <w:lang w:val="en-GB"/>
              </w:rPr>
              <w:t>.</w:t>
            </w:r>
          </w:p>
          <w:p w14:paraId="45625453" w14:textId="00389FAF"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b/>
              </w:rPr>
              <w:t>Financial Inclusion Global Initiative (FIGI)</w:t>
            </w:r>
          </w:p>
          <w:p w14:paraId="3635878F" w14:textId="691425F6"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FIGI was established in 2017 as a three-year </w:t>
            </w:r>
            <w:proofErr w:type="spellStart"/>
            <w:r w:rsidRPr="00E0255C">
              <w:rPr>
                <w:rFonts w:asciiTheme="minorHAnsi" w:eastAsia="Calibri" w:hAnsiTheme="minorHAnsi" w:cstheme="minorHAnsi"/>
              </w:rPr>
              <w:t>programme</w:t>
            </w:r>
            <w:proofErr w:type="spellEnd"/>
            <w:r w:rsidRPr="00E0255C">
              <w:rPr>
                <w:rFonts w:asciiTheme="minorHAnsi" w:eastAsia="Calibri" w:hAnsiTheme="minorHAnsi" w:cstheme="minorHAnsi"/>
              </w:rPr>
              <w:t xml:space="preserve"> of collective action to advance research in digital finance and accelerate digital financial inclusion in developing countries. FIGI is led jointly by ITU, the World Bank Group and the Committee on Payments and Market Infrastructures, with support from the Bill &amp; Melinda Gates Foundation. FIGI funds national implementations in three countries, namely China, </w:t>
            </w:r>
            <w:proofErr w:type="gramStart"/>
            <w:r w:rsidRPr="00E0255C">
              <w:rPr>
                <w:rFonts w:asciiTheme="minorHAnsi" w:eastAsia="Calibri" w:hAnsiTheme="minorHAnsi" w:cstheme="minorHAnsi"/>
              </w:rPr>
              <w:t>Egypt</w:t>
            </w:r>
            <w:proofErr w:type="gramEnd"/>
            <w:r w:rsidRPr="00E0255C">
              <w:rPr>
                <w:rFonts w:asciiTheme="minorHAnsi" w:eastAsia="Calibri" w:hAnsiTheme="minorHAnsi" w:cstheme="minorHAnsi"/>
              </w:rPr>
              <w:t xml:space="preserve"> and Mexico, and has three Working Groups: (1) Electronic Payment Acceptance, (2) Digital ID Working Group led by the World Bank, and (3) Security, Infrastructure and Trust Working Group (SIT WG) led by ITU.</w:t>
            </w:r>
          </w:p>
          <w:p w14:paraId="5A5C5B91" w14:textId="7FC2ABF4"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ITU implemented the following activities under FIGI umbrella in 2019</w:t>
            </w:r>
            <w:r w:rsidR="007A3671" w:rsidRPr="00E0255C">
              <w:rPr>
                <w:rFonts w:asciiTheme="minorHAnsi" w:eastAsia="Calibri" w:hAnsiTheme="minorHAnsi" w:cstheme="minorHAnsi"/>
              </w:rPr>
              <w:t xml:space="preserve"> and 2020</w:t>
            </w:r>
            <w:r w:rsidRPr="00E0255C">
              <w:rPr>
                <w:rFonts w:asciiTheme="minorHAnsi" w:eastAsia="Calibri" w:hAnsiTheme="minorHAnsi" w:cstheme="minorHAnsi"/>
              </w:rPr>
              <w:t>:</w:t>
            </w:r>
          </w:p>
          <w:p w14:paraId="249EF532" w14:textId="74AA0CB8"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Organization of the second edition of FIGI Symposium, in Cairo, Egypt (21-24 January 2019)</w:t>
            </w:r>
          </w:p>
          <w:p w14:paraId="5F86C804" w14:textId="2C2BCC61"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FIGI Hackathon during the FIGI Symposium</w:t>
            </w:r>
          </w:p>
          <w:p w14:paraId="67F1217A" w14:textId="7CB318EB"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 xml:space="preserve">The FIGI SIT WG produced </w:t>
            </w:r>
            <w:r w:rsidR="001F298D" w:rsidRPr="00E0255C">
              <w:rPr>
                <w:rFonts w:asciiTheme="minorHAnsi" w:hAnsiTheme="minorHAnsi" w:cstheme="minorHAnsi"/>
                <w:lang w:val="en-GB"/>
              </w:rPr>
              <w:t xml:space="preserve">12 </w:t>
            </w:r>
            <w:r w:rsidRPr="00E0255C">
              <w:rPr>
                <w:rFonts w:asciiTheme="minorHAnsi" w:hAnsiTheme="minorHAnsi" w:cstheme="minorHAnsi"/>
                <w:lang w:val="en-GB"/>
              </w:rPr>
              <w:t xml:space="preserve">technical reports which were disseminated to the ITU-T Study Groups for incorporation in their standardization </w:t>
            </w:r>
            <w:proofErr w:type="gramStart"/>
            <w:r w:rsidRPr="00E0255C">
              <w:rPr>
                <w:rFonts w:asciiTheme="minorHAnsi" w:hAnsiTheme="minorHAnsi" w:cstheme="minorHAnsi"/>
                <w:lang w:val="en-GB"/>
              </w:rPr>
              <w:t>work</w:t>
            </w:r>
            <w:proofErr w:type="gramEnd"/>
          </w:p>
          <w:p w14:paraId="263F6730" w14:textId="7DCFECDF"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FIGI Security Clinic</w:t>
            </w:r>
            <w:r w:rsidR="00494F5D" w:rsidRPr="00E0255C">
              <w:rPr>
                <w:rFonts w:asciiTheme="minorHAnsi" w:hAnsiTheme="minorHAnsi" w:cstheme="minorHAnsi"/>
                <w:lang w:val="en-GB"/>
              </w:rPr>
              <w:t>s</w:t>
            </w:r>
            <w:r w:rsidRPr="00E0255C">
              <w:rPr>
                <w:rFonts w:asciiTheme="minorHAnsi" w:hAnsiTheme="minorHAnsi" w:cstheme="minorHAnsi"/>
                <w:lang w:val="en-GB"/>
              </w:rPr>
              <w:t>.</w:t>
            </w:r>
          </w:p>
          <w:p w14:paraId="508BAE90" w14:textId="77777777" w:rsidR="001A34D1" w:rsidRPr="00E0255C" w:rsidRDefault="001A34D1" w:rsidP="00A97704">
            <w:pPr>
              <w:spacing w:before="120" w:after="60"/>
              <w:jc w:val="both"/>
              <w:rPr>
                <w:rFonts w:asciiTheme="minorHAnsi" w:eastAsia="Calibri" w:hAnsiTheme="minorHAnsi" w:cstheme="minorHAnsi"/>
                <w:b/>
                <w:lang w:val="en-GB"/>
              </w:rPr>
            </w:pPr>
          </w:p>
          <w:p w14:paraId="540AFB52" w14:textId="77777777" w:rsidR="0049723A" w:rsidRPr="00E0255C" w:rsidRDefault="001A34D1" w:rsidP="001A34D1">
            <w:pPr>
              <w:spacing w:before="60" w:after="60"/>
              <w:jc w:val="both"/>
              <w:rPr>
                <w:rFonts w:asciiTheme="minorHAnsi" w:eastAsia="Calibri" w:hAnsiTheme="minorHAnsi" w:cstheme="minorHAnsi"/>
                <w:b/>
                <w:lang w:val="en-GB"/>
              </w:rPr>
            </w:pPr>
            <w:r w:rsidRPr="00E0255C">
              <w:rPr>
                <w:rFonts w:asciiTheme="minorHAnsi" w:eastAsia="Calibri" w:hAnsiTheme="minorHAnsi" w:cstheme="minorHAnsi"/>
                <w:b/>
              </w:rPr>
              <w:t>FIGI Security, Infrastructure and Trust Working Group</w:t>
            </w:r>
          </w:p>
          <w:p w14:paraId="16F988F6" w14:textId="2CBF30CE" w:rsidR="001A34D1" w:rsidRPr="00E0255C" w:rsidRDefault="001A34D1" w:rsidP="001A34D1">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The FIGI Security, Infrastructure, and Trust Working Group (FIGI SIT WG) held </w:t>
            </w:r>
            <w:r w:rsidR="00202FD7" w:rsidRPr="00E0255C">
              <w:rPr>
                <w:rFonts w:asciiTheme="minorHAnsi" w:eastAsia="Calibri" w:hAnsiTheme="minorHAnsi" w:cstheme="minorHAnsi"/>
              </w:rPr>
              <w:t>2</w:t>
            </w:r>
            <w:r w:rsidRPr="00E0255C">
              <w:rPr>
                <w:rFonts w:asciiTheme="minorHAnsi" w:eastAsia="Calibri" w:hAnsiTheme="minorHAnsi" w:cstheme="minorHAnsi"/>
              </w:rPr>
              <w:t xml:space="preserve"> face-to-face meetings and 28 </w:t>
            </w:r>
            <w:proofErr w:type="spellStart"/>
            <w:r w:rsidRPr="00E0255C">
              <w:rPr>
                <w:rFonts w:asciiTheme="minorHAnsi" w:eastAsia="Calibri" w:hAnsiTheme="minorHAnsi" w:cstheme="minorHAnsi"/>
              </w:rPr>
              <w:t>e-meetings</w:t>
            </w:r>
            <w:proofErr w:type="spellEnd"/>
            <w:r w:rsidRPr="00E0255C">
              <w:rPr>
                <w:rFonts w:asciiTheme="minorHAnsi" w:eastAsia="Calibri" w:hAnsiTheme="minorHAnsi" w:cstheme="minorHAnsi"/>
              </w:rPr>
              <w:t xml:space="preserve"> in 2019.</w:t>
            </w:r>
          </w:p>
          <w:p w14:paraId="7E080A4C" w14:textId="77777777" w:rsidR="001A34D1" w:rsidRPr="00E0255C" w:rsidRDefault="001A34D1" w:rsidP="001A34D1">
            <w:pPr>
              <w:spacing w:before="60" w:after="60"/>
              <w:jc w:val="both"/>
              <w:rPr>
                <w:rFonts w:asciiTheme="minorHAnsi" w:hAnsiTheme="minorHAnsi" w:cstheme="minorHAnsi"/>
                <w:lang w:val="en-GB"/>
              </w:rPr>
            </w:pPr>
            <w:r w:rsidRPr="00E0255C">
              <w:rPr>
                <w:rFonts w:asciiTheme="minorHAnsi" w:eastAsia="Calibri" w:hAnsiTheme="minorHAnsi" w:cstheme="minorHAnsi"/>
              </w:rPr>
              <w:t>SIT WG finalized eight technical reports in 2019 (which are available for download on the</w:t>
            </w:r>
            <w:hyperlink r:id="rId562">
              <w:r w:rsidRPr="00E0255C">
                <w:rPr>
                  <w:rFonts w:asciiTheme="minorHAnsi" w:eastAsia="Calibri" w:hAnsiTheme="minorHAnsi" w:cstheme="minorHAnsi"/>
                  <w:color w:val="0000FF"/>
                  <w:u w:val="single"/>
                </w:rPr>
                <w:t xml:space="preserve"> FIGI SIT Working Group webpage</w:t>
              </w:r>
            </w:hyperlink>
            <w:r w:rsidRPr="00E0255C">
              <w:rPr>
                <w:rFonts w:asciiTheme="minorHAnsi" w:eastAsia="Calibri" w:hAnsiTheme="minorHAnsi" w:cstheme="minorHAnsi"/>
                <w:color w:val="0000FF"/>
                <w:u w:val="single"/>
                <w:lang w:val="en-GB" w:eastAsia="en-US"/>
              </w:rPr>
              <w:t>)</w:t>
            </w:r>
            <w:r w:rsidRPr="00E0255C">
              <w:rPr>
                <w:rFonts w:asciiTheme="minorHAnsi" w:eastAsia="Calibri" w:hAnsiTheme="minorHAnsi" w:cstheme="minorHAnsi"/>
                <w:lang w:val="en-GB" w:eastAsia="en-US"/>
              </w:rPr>
              <w:t>:</w:t>
            </w:r>
          </w:p>
          <w:p w14:paraId="15800A03" w14:textId="363CB2AA" w:rsidR="001A34D1" w:rsidRPr="00E0255C" w:rsidRDefault="001A34D1" w:rsidP="00CA4803">
            <w:pPr>
              <w:numPr>
                <w:ilvl w:val="0"/>
                <w:numId w:val="15"/>
              </w:numPr>
              <w:spacing w:before="60" w:after="60"/>
              <w:rPr>
                <w:rFonts w:asciiTheme="minorHAnsi" w:hAnsiTheme="minorHAnsi" w:cstheme="minorHAnsi"/>
                <w:lang w:val="en-GB" w:eastAsia="zh-TW"/>
              </w:rPr>
            </w:pPr>
            <w:r w:rsidRPr="00E0255C">
              <w:rPr>
                <w:rFonts w:asciiTheme="minorHAnsi" w:eastAsia="PMingLiU" w:hAnsiTheme="minorHAnsi" w:cstheme="minorHAnsi"/>
                <w:lang w:eastAsia="zh-TW"/>
              </w:rPr>
              <w:t>Unlicensed digital investment schemes</w:t>
            </w:r>
          </w:p>
          <w:p w14:paraId="6C0CC711" w14:textId="0F42730A" w:rsidR="001A34D1" w:rsidRPr="00E0255C" w:rsidRDefault="001A34D1" w:rsidP="00CA4803">
            <w:pPr>
              <w:numPr>
                <w:ilvl w:val="0"/>
                <w:numId w:val="15"/>
              </w:numPr>
              <w:spacing w:before="60" w:after="60"/>
              <w:rPr>
                <w:rFonts w:asciiTheme="minorHAnsi" w:hAnsiTheme="minorHAnsi" w:cstheme="minorHAnsi"/>
                <w:lang w:val="en-GB" w:eastAsia="zh-TW"/>
              </w:rPr>
            </w:pPr>
            <w:r w:rsidRPr="00E0255C">
              <w:rPr>
                <w:rFonts w:asciiTheme="minorHAnsi" w:eastAsia="PMingLiU" w:hAnsiTheme="minorHAnsi" w:cstheme="minorHAnsi"/>
                <w:lang w:eastAsia="zh-TW"/>
              </w:rPr>
              <w:t xml:space="preserve">Security aspects of </w:t>
            </w:r>
            <w:r w:rsidR="00202FD7" w:rsidRPr="00E0255C">
              <w:rPr>
                <w:rFonts w:asciiTheme="minorHAnsi" w:eastAsia="PMingLiU" w:hAnsiTheme="minorHAnsi" w:cstheme="minorHAnsi"/>
                <w:lang w:eastAsia="zh-TW"/>
              </w:rPr>
              <w:t>d</w:t>
            </w:r>
            <w:r w:rsidRPr="00E0255C">
              <w:rPr>
                <w:rFonts w:asciiTheme="minorHAnsi" w:eastAsia="PMingLiU" w:hAnsiTheme="minorHAnsi" w:cstheme="minorHAnsi"/>
                <w:lang w:eastAsia="zh-TW"/>
              </w:rPr>
              <w:t xml:space="preserve">istributed </w:t>
            </w:r>
            <w:r w:rsidR="00202FD7" w:rsidRPr="00E0255C">
              <w:rPr>
                <w:rFonts w:asciiTheme="minorHAnsi" w:eastAsia="PMingLiU" w:hAnsiTheme="minorHAnsi" w:cstheme="minorHAnsi"/>
                <w:lang w:eastAsia="zh-TW"/>
              </w:rPr>
              <w:t>l</w:t>
            </w:r>
            <w:r w:rsidRPr="00E0255C">
              <w:rPr>
                <w:rFonts w:asciiTheme="minorHAnsi" w:eastAsia="PMingLiU" w:hAnsiTheme="minorHAnsi" w:cstheme="minorHAnsi"/>
                <w:lang w:eastAsia="zh-TW"/>
              </w:rPr>
              <w:t xml:space="preserve">edger </w:t>
            </w:r>
            <w:r w:rsidR="00202FD7" w:rsidRPr="00E0255C">
              <w:rPr>
                <w:rFonts w:asciiTheme="minorHAnsi" w:eastAsia="PMingLiU" w:hAnsiTheme="minorHAnsi" w:cstheme="minorHAnsi"/>
                <w:lang w:eastAsia="zh-TW"/>
              </w:rPr>
              <w:t>t</w:t>
            </w:r>
            <w:r w:rsidRPr="00E0255C">
              <w:rPr>
                <w:rFonts w:asciiTheme="minorHAnsi" w:eastAsia="PMingLiU" w:hAnsiTheme="minorHAnsi" w:cstheme="minorHAnsi"/>
                <w:lang w:eastAsia="zh-TW"/>
              </w:rPr>
              <w:t>echnologies</w:t>
            </w:r>
          </w:p>
          <w:p w14:paraId="413DB6EF" w14:textId="60B3E34B" w:rsidR="001A34D1" w:rsidRPr="00E0255C" w:rsidRDefault="001A34D1" w:rsidP="00CA4803">
            <w:pPr>
              <w:numPr>
                <w:ilvl w:val="0"/>
                <w:numId w:val="15"/>
              </w:numPr>
              <w:spacing w:before="60" w:after="60"/>
              <w:rPr>
                <w:rFonts w:asciiTheme="minorHAnsi" w:hAnsiTheme="minorHAnsi" w:cstheme="minorHAnsi"/>
                <w:lang w:val="en-GB" w:eastAsia="zh-TW"/>
              </w:rPr>
            </w:pPr>
            <w:r w:rsidRPr="00E0255C">
              <w:rPr>
                <w:rFonts w:asciiTheme="minorHAnsi" w:eastAsia="PMingLiU" w:hAnsiTheme="minorHAnsi" w:cstheme="minorHAnsi"/>
                <w:lang w:eastAsia="zh-TW"/>
              </w:rPr>
              <w:t xml:space="preserve">Mitigating SS7 </w:t>
            </w:r>
            <w:r w:rsidR="00202FD7" w:rsidRPr="00E0255C">
              <w:rPr>
                <w:rFonts w:asciiTheme="minorHAnsi" w:eastAsia="PMingLiU" w:hAnsiTheme="minorHAnsi" w:cstheme="minorHAnsi"/>
                <w:lang w:eastAsia="zh-TW"/>
              </w:rPr>
              <w:t>s</w:t>
            </w:r>
            <w:r w:rsidRPr="00E0255C">
              <w:rPr>
                <w:rFonts w:asciiTheme="minorHAnsi" w:eastAsia="PMingLiU" w:hAnsiTheme="minorHAnsi" w:cstheme="minorHAnsi"/>
                <w:lang w:eastAsia="zh-TW"/>
              </w:rPr>
              <w:t xml:space="preserve">ecurity </w:t>
            </w:r>
            <w:r w:rsidR="00202FD7" w:rsidRPr="00E0255C">
              <w:rPr>
                <w:rFonts w:asciiTheme="minorHAnsi" w:eastAsia="PMingLiU" w:hAnsiTheme="minorHAnsi" w:cstheme="minorHAnsi"/>
                <w:lang w:eastAsia="zh-TW"/>
              </w:rPr>
              <w:t>v</w:t>
            </w:r>
            <w:r w:rsidRPr="00E0255C">
              <w:rPr>
                <w:rFonts w:asciiTheme="minorHAnsi" w:eastAsia="PMingLiU" w:hAnsiTheme="minorHAnsi" w:cstheme="minorHAnsi"/>
                <w:lang w:eastAsia="zh-TW"/>
              </w:rPr>
              <w:t>ulnerabilities</w:t>
            </w:r>
          </w:p>
          <w:p w14:paraId="779FCE0E" w14:textId="11D3A36C" w:rsidR="001A34D1" w:rsidRPr="00E0255C" w:rsidRDefault="001A34D1" w:rsidP="00CA4803">
            <w:pPr>
              <w:numPr>
                <w:ilvl w:val="0"/>
                <w:numId w:val="15"/>
              </w:numPr>
              <w:spacing w:before="60" w:after="60"/>
              <w:rPr>
                <w:rFonts w:asciiTheme="minorHAnsi" w:hAnsiTheme="minorHAnsi" w:cstheme="minorHAnsi"/>
                <w:lang w:val="en-GB" w:eastAsia="zh-TW"/>
              </w:rPr>
            </w:pPr>
            <w:r w:rsidRPr="00E0255C">
              <w:rPr>
                <w:rFonts w:asciiTheme="minorHAnsi" w:eastAsia="PMingLiU" w:hAnsiTheme="minorHAnsi" w:cstheme="minorHAnsi"/>
                <w:lang w:eastAsia="zh-TW"/>
              </w:rPr>
              <w:t>Methodology for measurement of KPIs for QoS for DFS</w:t>
            </w:r>
          </w:p>
          <w:p w14:paraId="48B0EA1E" w14:textId="7023943B" w:rsidR="001A34D1" w:rsidRPr="00E0255C" w:rsidRDefault="001A34D1" w:rsidP="00CA4803">
            <w:pPr>
              <w:numPr>
                <w:ilvl w:val="0"/>
                <w:numId w:val="15"/>
              </w:numPr>
              <w:spacing w:before="60" w:after="60"/>
              <w:rPr>
                <w:rFonts w:asciiTheme="minorHAnsi" w:hAnsiTheme="minorHAnsi" w:cstheme="minorHAnsi"/>
                <w:lang w:val="en-GB" w:eastAsia="zh-TW"/>
              </w:rPr>
            </w:pPr>
            <w:r w:rsidRPr="00E0255C">
              <w:rPr>
                <w:rFonts w:asciiTheme="minorHAnsi" w:eastAsia="PMingLiU" w:hAnsiTheme="minorHAnsi" w:cstheme="minorHAnsi"/>
                <w:lang w:eastAsia="zh-TW"/>
              </w:rPr>
              <w:t xml:space="preserve">Data </w:t>
            </w:r>
            <w:r w:rsidR="00202FD7" w:rsidRPr="00E0255C">
              <w:rPr>
                <w:rFonts w:asciiTheme="minorHAnsi" w:eastAsia="PMingLiU" w:hAnsiTheme="minorHAnsi" w:cstheme="minorHAnsi"/>
                <w:lang w:eastAsia="zh-TW"/>
              </w:rPr>
              <w:t>p</w:t>
            </w:r>
            <w:r w:rsidRPr="00E0255C">
              <w:rPr>
                <w:rFonts w:asciiTheme="minorHAnsi" w:eastAsia="PMingLiU" w:hAnsiTheme="minorHAnsi" w:cstheme="minorHAnsi"/>
                <w:lang w:eastAsia="zh-TW"/>
              </w:rPr>
              <w:t>rivacy issues of emerging technologies for DFS</w:t>
            </w:r>
          </w:p>
          <w:p w14:paraId="67668134" w14:textId="3EE7BEF6" w:rsidR="0049723A" w:rsidRPr="00E0255C" w:rsidRDefault="001A34D1" w:rsidP="00CA4803">
            <w:pPr>
              <w:numPr>
                <w:ilvl w:val="0"/>
                <w:numId w:val="15"/>
              </w:numPr>
              <w:spacing w:before="60" w:after="60"/>
              <w:rPr>
                <w:rFonts w:asciiTheme="minorHAnsi" w:eastAsia="PMingLiU" w:hAnsiTheme="minorHAnsi" w:cstheme="minorHAnsi"/>
                <w:lang w:val="en-GB" w:eastAsia="zh-TW"/>
              </w:rPr>
            </w:pPr>
            <w:r w:rsidRPr="00E0255C">
              <w:rPr>
                <w:rFonts w:asciiTheme="minorHAnsi" w:eastAsia="PMingLiU" w:hAnsiTheme="minorHAnsi" w:cstheme="minorHAnsi"/>
                <w:lang w:eastAsia="zh-TW"/>
              </w:rPr>
              <w:t xml:space="preserve">DFS </w:t>
            </w:r>
            <w:r w:rsidR="00202FD7" w:rsidRPr="00E0255C">
              <w:rPr>
                <w:rFonts w:asciiTheme="minorHAnsi" w:eastAsia="PMingLiU" w:hAnsiTheme="minorHAnsi" w:cstheme="minorHAnsi"/>
                <w:lang w:eastAsia="zh-TW"/>
              </w:rPr>
              <w:t>s</w:t>
            </w:r>
            <w:r w:rsidRPr="00E0255C">
              <w:rPr>
                <w:rFonts w:asciiTheme="minorHAnsi" w:eastAsia="PMingLiU" w:hAnsiTheme="minorHAnsi" w:cstheme="minorHAnsi"/>
                <w:lang w:eastAsia="zh-TW"/>
              </w:rPr>
              <w:t xml:space="preserve">ecurity </w:t>
            </w:r>
            <w:r w:rsidR="00202FD7" w:rsidRPr="00E0255C">
              <w:rPr>
                <w:rFonts w:asciiTheme="minorHAnsi" w:eastAsia="PMingLiU" w:hAnsiTheme="minorHAnsi" w:cstheme="minorHAnsi"/>
                <w:lang w:eastAsia="zh-TW"/>
              </w:rPr>
              <w:t>a</w:t>
            </w:r>
            <w:r w:rsidRPr="00E0255C">
              <w:rPr>
                <w:rFonts w:asciiTheme="minorHAnsi" w:eastAsia="PMingLiU" w:hAnsiTheme="minorHAnsi" w:cstheme="minorHAnsi"/>
                <w:lang w:eastAsia="zh-TW"/>
              </w:rPr>
              <w:t xml:space="preserve">ssurance </w:t>
            </w:r>
            <w:r w:rsidR="00202FD7" w:rsidRPr="00E0255C">
              <w:rPr>
                <w:rFonts w:asciiTheme="minorHAnsi" w:eastAsia="PMingLiU" w:hAnsiTheme="minorHAnsi" w:cstheme="minorHAnsi"/>
                <w:lang w:eastAsia="zh-TW"/>
              </w:rPr>
              <w:t>f</w:t>
            </w:r>
            <w:r w:rsidRPr="00E0255C">
              <w:rPr>
                <w:rFonts w:asciiTheme="minorHAnsi" w:eastAsia="PMingLiU" w:hAnsiTheme="minorHAnsi" w:cstheme="minorHAnsi"/>
                <w:lang w:eastAsia="zh-TW"/>
              </w:rPr>
              <w:t>ramework</w:t>
            </w:r>
          </w:p>
          <w:p w14:paraId="4AAB4543" w14:textId="1A82AC30" w:rsidR="001A34D1" w:rsidRPr="00E0255C" w:rsidRDefault="001A34D1" w:rsidP="00CA4803">
            <w:pPr>
              <w:numPr>
                <w:ilvl w:val="0"/>
                <w:numId w:val="15"/>
              </w:numPr>
              <w:spacing w:before="60" w:after="60"/>
              <w:rPr>
                <w:rFonts w:asciiTheme="minorHAnsi" w:hAnsiTheme="minorHAnsi" w:cstheme="minorHAnsi"/>
                <w:lang w:val="en-GB" w:eastAsia="zh-TW"/>
              </w:rPr>
            </w:pPr>
            <w:r w:rsidRPr="00E0255C">
              <w:rPr>
                <w:rFonts w:asciiTheme="minorHAnsi" w:eastAsia="PMingLiU" w:hAnsiTheme="minorHAnsi" w:cstheme="minorHAnsi"/>
                <w:lang w:eastAsia="zh-TW"/>
              </w:rPr>
              <w:t xml:space="preserve">Strong </w:t>
            </w:r>
            <w:r w:rsidR="00202FD7" w:rsidRPr="00E0255C">
              <w:rPr>
                <w:rFonts w:asciiTheme="minorHAnsi" w:eastAsia="PMingLiU" w:hAnsiTheme="minorHAnsi" w:cstheme="minorHAnsi"/>
                <w:lang w:eastAsia="zh-TW"/>
              </w:rPr>
              <w:t>a</w:t>
            </w:r>
            <w:r w:rsidRPr="00E0255C">
              <w:rPr>
                <w:rFonts w:asciiTheme="minorHAnsi" w:eastAsia="PMingLiU" w:hAnsiTheme="minorHAnsi" w:cstheme="minorHAnsi"/>
                <w:lang w:eastAsia="zh-TW"/>
              </w:rPr>
              <w:t xml:space="preserve">uthentication </w:t>
            </w:r>
            <w:r w:rsidR="00202FD7" w:rsidRPr="00E0255C">
              <w:rPr>
                <w:rFonts w:asciiTheme="minorHAnsi" w:eastAsia="PMingLiU" w:hAnsiTheme="minorHAnsi" w:cstheme="minorHAnsi"/>
                <w:lang w:eastAsia="zh-TW"/>
              </w:rPr>
              <w:t>t</w:t>
            </w:r>
            <w:r w:rsidRPr="00E0255C">
              <w:rPr>
                <w:rFonts w:asciiTheme="minorHAnsi" w:eastAsia="PMingLiU" w:hAnsiTheme="minorHAnsi" w:cstheme="minorHAnsi"/>
                <w:lang w:eastAsia="zh-TW"/>
              </w:rPr>
              <w:t>echnologies for DFS</w:t>
            </w:r>
          </w:p>
          <w:p w14:paraId="278CEDD6" w14:textId="50926B3B" w:rsidR="001A34D1" w:rsidRPr="00E0255C" w:rsidRDefault="001A34D1" w:rsidP="00CA4803">
            <w:pPr>
              <w:numPr>
                <w:ilvl w:val="0"/>
                <w:numId w:val="15"/>
              </w:numPr>
              <w:spacing w:before="60" w:after="60"/>
              <w:rPr>
                <w:rFonts w:asciiTheme="minorHAnsi" w:hAnsiTheme="minorHAnsi" w:cstheme="minorHAnsi"/>
                <w:lang w:val="en-GB" w:eastAsia="zh-TW"/>
              </w:rPr>
            </w:pPr>
            <w:r w:rsidRPr="00E0255C">
              <w:rPr>
                <w:rFonts w:asciiTheme="minorHAnsi" w:eastAsia="PMingLiU" w:hAnsiTheme="minorHAnsi" w:cstheme="minorHAnsi"/>
                <w:lang w:eastAsia="zh-TW"/>
              </w:rPr>
              <w:t xml:space="preserve">Developer resources for implementation of FIDO </w:t>
            </w:r>
            <w:r w:rsidR="00202FD7" w:rsidRPr="00E0255C">
              <w:rPr>
                <w:rFonts w:asciiTheme="minorHAnsi" w:eastAsia="PMingLiU" w:hAnsiTheme="minorHAnsi" w:cstheme="minorHAnsi"/>
                <w:lang w:eastAsia="zh-TW"/>
              </w:rPr>
              <w:t>u</w:t>
            </w:r>
            <w:r w:rsidRPr="00E0255C">
              <w:rPr>
                <w:rFonts w:asciiTheme="minorHAnsi" w:eastAsia="PMingLiU" w:hAnsiTheme="minorHAnsi" w:cstheme="minorHAnsi"/>
                <w:lang w:eastAsia="zh-TW"/>
              </w:rPr>
              <w:t xml:space="preserve">niversal </w:t>
            </w:r>
            <w:r w:rsidR="00202FD7" w:rsidRPr="00E0255C">
              <w:rPr>
                <w:rFonts w:asciiTheme="minorHAnsi" w:eastAsia="PMingLiU" w:hAnsiTheme="minorHAnsi" w:cstheme="minorHAnsi"/>
                <w:lang w:eastAsia="zh-TW"/>
              </w:rPr>
              <w:t>a</w:t>
            </w:r>
            <w:r w:rsidRPr="00E0255C">
              <w:rPr>
                <w:rFonts w:asciiTheme="minorHAnsi" w:eastAsia="PMingLiU" w:hAnsiTheme="minorHAnsi" w:cstheme="minorHAnsi"/>
                <w:lang w:eastAsia="zh-TW"/>
              </w:rPr>
              <w:t xml:space="preserve">uthentication </w:t>
            </w:r>
            <w:r w:rsidR="00202FD7" w:rsidRPr="00E0255C">
              <w:rPr>
                <w:rFonts w:asciiTheme="minorHAnsi" w:eastAsia="PMingLiU" w:hAnsiTheme="minorHAnsi" w:cstheme="minorHAnsi"/>
                <w:lang w:eastAsia="zh-TW"/>
              </w:rPr>
              <w:t>f</w:t>
            </w:r>
            <w:r w:rsidRPr="00E0255C">
              <w:rPr>
                <w:rFonts w:asciiTheme="minorHAnsi" w:eastAsia="PMingLiU" w:hAnsiTheme="minorHAnsi" w:cstheme="minorHAnsi"/>
                <w:lang w:eastAsia="zh-TW"/>
              </w:rPr>
              <w:t>ramework (UAF) in DFS.</w:t>
            </w:r>
          </w:p>
          <w:p w14:paraId="648D040E" w14:textId="1C6CCE78" w:rsidR="001A34D1" w:rsidRPr="00E0255C" w:rsidRDefault="001A34D1" w:rsidP="001A34D1">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The methodology for measurement of KPIs for QoS for DFS was submitted to ITU-T Study Group 12 and was subsequently approved as an ITU-T Recommendation in December 2019. The report </w:t>
            </w:r>
            <w:r w:rsidR="00202FD7" w:rsidRPr="00E0255C">
              <w:rPr>
                <w:rFonts w:asciiTheme="minorHAnsi" w:eastAsia="Calibri" w:hAnsiTheme="minorHAnsi" w:cstheme="minorHAnsi"/>
              </w:rPr>
              <w:t>“</w:t>
            </w:r>
            <w:r w:rsidRPr="00E0255C">
              <w:rPr>
                <w:rFonts w:asciiTheme="minorHAnsi" w:eastAsia="Calibri" w:hAnsiTheme="minorHAnsi" w:cstheme="minorHAnsi"/>
              </w:rPr>
              <w:t>Mitigating SS7 Security Vulnerabilities</w:t>
            </w:r>
            <w:r w:rsidR="00202FD7" w:rsidRPr="00E0255C">
              <w:rPr>
                <w:rFonts w:asciiTheme="minorHAnsi" w:eastAsia="Calibri" w:hAnsiTheme="minorHAnsi" w:cstheme="minorHAnsi"/>
              </w:rPr>
              <w:t>”</w:t>
            </w:r>
            <w:r w:rsidRPr="00E0255C">
              <w:rPr>
                <w:rFonts w:asciiTheme="minorHAnsi" w:eastAsia="Calibri" w:hAnsiTheme="minorHAnsi" w:cstheme="minorHAnsi"/>
              </w:rPr>
              <w:t xml:space="preserve"> was submitted to ITU-T Study Group 11 and led to the creation of a work item on this topic. Work is now under</w:t>
            </w:r>
            <w:r w:rsidR="00202FD7" w:rsidRPr="00E0255C">
              <w:rPr>
                <w:rFonts w:asciiTheme="minorHAnsi" w:eastAsia="Calibri" w:hAnsiTheme="minorHAnsi" w:cstheme="minorHAnsi"/>
              </w:rPr>
              <w:t xml:space="preserve"> </w:t>
            </w:r>
            <w:r w:rsidRPr="00E0255C">
              <w:rPr>
                <w:rFonts w:asciiTheme="minorHAnsi" w:eastAsia="Calibri" w:hAnsiTheme="minorHAnsi" w:cstheme="minorHAnsi"/>
              </w:rPr>
              <w:t xml:space="preserve">way to develop a technical standard on mitigating SS7 vulnerabilities for DFS in ITU-T Study </w:t>
            </w:r>
            <w:r w:rsidRPr="00E0255C">
              <w:rPr>
                <w:rFonts w:asciiTheme="minorHAnsi" w:eastAsia="Calibri" w:hAnsiTheme="minorHAnsi" w:cstheme="minorHAnsi"/>
              </w:rPr>
              <w:lastRenderedPageBreak/>
              <w:t>Group 11. The reports on DLT Security, DFS Security Assurance Framework and Strong Authentication Technologies have been transferred to ITU-T Study Group 17 where they will be incorporated as technical reports in the standards being developed by the Study Group.</w:t>
            </w:r>
          </w:p>
          <w:p w14:paraId="10E17AB6" w14:textId="77777777" w:rsidR="001A34D1" w:rsidRPr="00E0255C" w:rsidRDefault="001A34D1" w:rsidP="001A34D1">
            <w:pPr>
              <w:rPr>
                <w:rFonts w:asciiTheme="minorHAnsi" w:hAnsiTheme="minorHAnsi" w:cstheme="minorHAnsi"/>
                <w:lang w:val="en-GB" w:eastAsia="en-GB"/>
              </w:rPr>
            </w:pPr>
            <w:r w:rsidRPr="00E0255C">
              <w:rPr>
                <w:rFonts w:asciiTheme="minorHAnsi" w:hAnsiTheme="minorHAnsi" w:cstheme="minorHAnsi"/>
                <w:lang w:eastAsia="en-GB"/>
              </w:rPr>
              <w:t xml:space="preserve">The FIGI SIT WG held nine </w:t>
            </w:r>
            <w:proofErr w:type="spellStart"/>
            <w:r w:rsidRPr="00E0255C">
              <w:rPr>
                <w:rFonts w:asciiTheme="minorHAnsi" w:hAnsiTheme="minorHAnsi" w:cstheme="minorHAnsi"/>
                <w:lang w:eastAsia="en-GB"/>
              </w:rPr>
              <w:t>e-meetings</w:t>
            </w:r>
            <w:proofErr w:type="spellEnd"/>
            <w:r w:rsidRPr="00E0255C">
              <w:rPr>
                <w:rFonts w:asciiTheme="minorHAnsi" w:hAnsiTheme="minorHAnsi" w:cstheme="minorHAnsi"/>
                <w:lang w:eastAsia="en-GB"/>
              </w:rPr>
              <w:t xml:space="preserve"> in 2020. Following the eight technical reports developed in 2019, four additional technical reports were developed and finalized by the SIT Working Group in the reporting period:</w:t>
            </w:r>
          </w:p>
          <w:p w14:paraId="352D41A1" w14:textId="77777777" w:rsidR="001A34D1" w:rsidRPr="00E0255C" w:rsidRDefault="001A34D1" w:rsidP="00CA4803">
            <w:pPr>
              <w:numPr>
                <w:ilvl w:val="0"/>
                <w:numId w:val="15"/>
              </w:numPr>
              <w:spacing w:before="120"/>
              <w:textAlignment w:val="baseline"/>
              <w:rPr>
                <w:rFonts w:asciiTheme="minorHAnsi" w:hAnsiTheme="minorHAnsi" w:cstheme="minorHAnsi"/>
                <w:lang w:val="en-GB" w:eastAsia="en-GB"/>
              </w:rPr>
            </w:pPr>
            <w:r w:rsidRPr="00E0255C">
              <w:rPr>
                <w:rFonts w:asciiTheme="minorHAnsi" w:hAnsiTheme="minorHAnsi" w:cstheme="minorHAnsi"/>
                <w:lang w:eastAsia="en-GB"/>
              </w:rPr>
              <w:t>Best practices for mitigating vulnerabilities of DFS applications operating in USSD and STK environments</w:t>
            </w:r>
          </w:p>
          <w:p w14:paraId="243B8918" w14:textId="77777777" w:rsidR="001A34D1" w:rsidRPr="00E0255C" w:rsidRDefault="001A34D1" w:rsidP="00CA4803">
            <w:pPr>
              <w:numPr>
                <w:ilvl w:val="0"/>
                <w:numId w:val="15"/>
              </w:numPr>
              <w:spacing w:before="120"/>
              <w:textAlignment w:val="baseline"/>
              <w:rPr>
                <w:rFonts w:asciiTheme="minorHAnsi" w:hAnsiTheme="minorHAnsi" w:cstheme="minorHAnsi"/>
                <w:lang w:val="en-GB" w:eastAsia="en-GB"/>
              </w:rPr>
            </w:pPr>
            <w:r w:rsidRPr="00E0255C">
              <w:rPr>
                <w:rFonts w:asciiTheme="minorHAnsi" w:hAnsiTheme="minorHAnsi" w:cstheme="minorHAnsi"/>
                <w:lang w:eastAsia="en-GB"/>
              </w:rPr>
              <w:t xml:space="preserve">Methodology for measurement of QoS parameters for interoperability and cross-border mobile money payment use </w:t>
            </w:r>
            <w:proofErr w:type="gramStart"/>
            <w:r w:rsidRPr="00E0255C">
              <w:rPr>
                <w:rFonts w:asciiTheme="minorHAnsi" w:hAnsiTheme="minorHAnsi" w:cstheme="minorHAnsi"/>
                <w:lang w:eastAsia="en-GB"/>
              </w:rPr>
              <w:t>cases</w:t>
            </w:r>
            <w:proofErr w:type="gramEnd"/>
          </w:p>
          <w:p w14:paraId="1B071BC3" w14:textId="77777777" w:rsidR="001A34D1" w:rsidRPr="00E0255C" w:rsidRDefault="001A34D1" w:rsidP="00CA4803">
            <w:pPr>
              <w:numPr>
                <w:ilvl w:val="0"/>
                <w:numId w:val="15"/>
              </w:numPr>
              <w:spacing w:before="120"/>
              <w:textAlignment w:val="baseline"/>
              <w:rPr>
                <w:rFonts w:asciiTheme="minorHAnsi" w:hAnsiTheme="minorHAnsi" w:cstheme="minorHAnsi"/>
                <w:lang w:val="en-GB" w:eastAsia="en-GB"/>
              </w:rPr>
            </w:pPr>
            <w:r w:rsidRPr="00E0255C">
              <w:rPr>
                <w:rFonts w:asciiTheme="minorHAnsi" w:hAnsiTheme="minorHAnsi" w:cstheme="minorHAnsi"/>
                <w:lang w:eastAsia="en-GB"/>
              </w:rPr>
              <w:t>DFS consumer competency framework</w:t>
            </w:r>
          </w:p>
          <w:p w14:paraId="7AC0CA99" w14:textId="29532E1B" w:rsidR="001A34D1" w:rsidRPr="00E0255C" w:rsidRDefault="001A34D1" w:rsidP="00CA4803">
            <w:pPr>
              <w:numPr>
                <w:ilvl w:val="0"/>
                <w:numId w:val="15"/>
              </w:numPr>
              <w:spacing w:before="120"/>
              <w:textAlignment w:val="baseline"/>
              <w:rPr>
                <w:rFonts w:asciiTheme="minorHAnsi" w:hAnsiTheme="minorHAnsi" w:cstheme="minorHAnsi"/>
                <w:lang w:val="en-GB" w:eastAsia="en-GB"/>
              </w:rPr>
            </w:pPr>
            <w:r w:rsidRPr="00E0255C">
              <w:rPr>
                <w:rFonts w:asciiTheme="minorHAnsi" w:hAnsiTheme="minorHAnsi" w:cstheme="minorHAnsi"/>
                <w:lang w:eastAsia="en-GB"/>
              </w:rPr>
              <w:t>Security audit of DFS applications under Android</w:t>
            </w:r>
            <w:r w:rsidR="00AC4914" w:rsidRPr="00E0255C">
              <w:rPr>
                <w:rFonts w:asciiTheme="minorHAnsi" w:hAnsiTheme="minorHAnsi" w:cstheme="minorHAnsi"/>
                <w:lang w:eastAsia="en-GB"/>
              </w:rPr>
              <w:t>.</w:t>
            </w:r>
          </w:p>
          <w:p w14:paraId="512949B7" w14:textId="77777777" w:rsidR="001A34D1" w:rsidRPr="00E0255C" w:rsidRDefault="001A34D1" w:rsidP="001A34D1">
            <w:pPr>
              <w:spacing w:before="240"/>
              <w:rPr>
                <w:rFonts w:asciiTheme="minorHAnsi" w:hAnsiTheme="minorHAnsi" w:cstheme="minorHAnsi"/>
                <w:lang w:val="en-GB" w:eastAsia="en-GB"/>
              </w:rPr>
            </w:pPr>
            <w:r w:rsidRPr="00E0255C">
              <w:rPr>
                <w:rFonts w:asciiTheme="minorHAnsi" w:hAnsiTheme="minorHAnsi" w:cstheme="minorHAnsi"/>
                <w:lang w:eastAsia="en-GB"/>
              </w:rPr>
              <w:t>Three additional reports are expected to be completed in first quarter of 2021:</w:t>
            </w:r>
          </w:p>
          <w:p w14:paraId="37FDCE51" w14:textId="1C288543" w:rsidR="001A34D1" w:rsidRPr="00E0255C" w:rsidRDefault="001A34D1" w:rsidP="00CA4803">
            <w:pPr>
              <w:numPr>
                <w:ilvl w:val="0"/>
                <w:numId w:val="15"/>
              </w:numPr>
              <w:spacing w:before="120"/>
              <w:textAlignment w:val="baseline"/>
              <w:rPr>
                <w:rFonts w:asciiTheme="minorHAnsi" w:hAnsiTheme="minorHAnsi" w:cstheme="minorHAnsi"/>
                <w:lang w:val="en-GB" w:eastAsia="en-GB"/>
              </w:rPr>
            </w:pPr>
            <w:r w:rsidRPr="00E0255C">
              <w:rPr>
                <w:rFonts w:asciiTheme="minorHAnsi" w:hAnsiTheme="minorHAnsi" w:cstheme="minorHAnsi"/>
                <w:lang w:eastAsia="en-GB"/>
              </w:rPr>
              <w:t xml:space="preserve">Legal aspects of </w:t>
            </w:r>
            <w:r w:rsidR="00202FD7" w:rsidRPr="00E0255C">
              <w:rPr>
                <w:rFonts w:asciiTheme="minorHAnsi" w:eastAsia="PMingLiU" w:hAnsiTheme="minorHAnsi" w:cstheme="minorHAnsi"/>
                <w:lang w:eastAsia="zh-TW"/>
              </w:rPr>
              <w:t>distributed ledger technologies</w:t>
            </w:r>
          </w:p>
          <w:p w14:paraId="1EE0D54A" w14:textId="77777777" w:rsidR="001A34D1" w:rsidRPr="00E0255C" w:rsidRDefault="001A34D1" w:rsidP="00CA4803">
            <w:pPr>
              <w:numPr>
                <w:ilvl w:val="0"/>
                <w:numId w:val="15"/>
              </w:numPr>
              <w:spacing w:before="120"/>
              <w:textAlignment w:val="baseline"/>
              <w:rPr>
                <w:rFonts w:asciiTheme="minorHAnsi" w:hAnsiTheme="minorHAnsi" w:cstheme="minorHAnsi"/>
                <w:lang w:val="en-GB" w:eastAsia="en-GB"/>
              </w:rPr>
            </w:pPr>
            <w:r w:rsidRPr="00E0255C">
              <w:rPr>
                <w:rFonts w:asciiTheme="minorHAnsi" w:hAnsiTheme="minorHAnsi" w:cstheme="minorHAnsi"/>
                <w:lang w:eastAsia="en-GB"/>
              </w:rPr>
              <w:t xml:space="preserve">Use of telecom </w:t>
            </w:r>
            <w:proofErr w:type="gramStart"/>
            <w:r w:rsidRPr="00E0255C">
              <w:rPr>
                <w:rFonts w:asciiTheme="minorHAnsi" w:hAnsiTheme="minorHAnsi" w:cstheme="minorHAnsi"/>
                <w:lang w:eastAsia="en-GB"/>
              </w:rPr>
              <w:t>data</w:t>
            </w:r>
            <w:proofErr w:type="gramEnd"/>
          </w:p>
          <w:p w14:paraId="326345E2" w14:textId="13FCB3E9" w:rsidR="001A34D1" w:rsidRPr="00E0255C" w:rsidRDefault="001A34D1" w:rsidP="00CA4803">
            <w:pPr>
              <w:numPr>
                <w:ilvl w:val="0"/>
                <w:numId w:val="15"/>
              </w:numPr>
              <w:spacing w:before="120"/>
              <w:textAlignment w:val="baseline"/>
              <w:rPr>
                <w:rFonts w:asciiTheme="minorHAnsi" w:hAnsiTheme="minorHAnsi" w:cstheme="minorHAnsi"/>
                <w:lang w:val="en-GB" w:eastAsia="en-GB"/>
              </w:rPr>
            </w:pPr>
            <w:r w:rsidRPr="00E0255C">
              <w:rPr>
                <w:rFonts w:asciiTheme="minorHAnsi" w:hAnsiTheme="minorHAnsi" w:cstheme="minorHAnsi"/>
                <w:lang w:eastAsia="en-GB"/>
              </w:rPr>
              <w:t xml:space="preserve">Application </w:t>
            </w:r>
            <w:r w:rsidR="00202FD7" w:rsidRPr="00E0255C">
              <w:rPr>
                <w:rFonts w:asciiTheme="minorHAnsi" w:hAnsiTheme="minorHAnsi" w:cstheme="minorHAnsi"/>
                <w:lang w:eastAsia="en-GB"/>
              </w:rPr>
              <w:t>p</w:t>
            </w:r>
            <w:r w:rsidRPr="00E0255C">
              <w:rPr>
                <w:rFonts w:asciiTheme="minorHAnsi" w:hAnsiTheme="minorHAnsi" w:cstheme="minorHAnsi"/>
                <w:lang w:eastAsia="en-GB"/>
              </w:rPr>
              <w:t xml:space="preserve">rogramming </w:t>
            </w:r>
            <w:r w:rsidR="00202FD7" w:rsidRPr="00E0255C">
              <w:rPr>
                <w:rFonts w:asciiTheme="minorHAnsi" w:hAnsiTheme="minorHAnsi" w:cstheme="minorHAnsi"/>
                <w:lang w:eastAsia="en-GB"/>
              </w:rPr>
              <w:t>i</w:t>
            </w:r>
            <w:r w:rsidRPr="00E0255C">
              <w:rPr>
                <w:rFonts w:asciiTheme="minorHAnsi" w:hAnsiTheme="minorHAnsi" w:cstheme="minorHAnsi"/>
                <w:lang w:eastAsia="en-GB"/>
              </w:rPr>
              <w:t>nterfaces in digital finance</w:t>
            </w:r>
            <w:r w:rsidR="00AC4914" w:rsidRPr="00E0255C">
              <w:rPr>
                <w:rFonts w:asciiTheme="minorHAnsi" w:hAnsiTheme="minorHAnsi" w:cstheme="minorHAnsi"/>
                <w:lang w:eastAsia="en-GB"/>
              </w:rPr>
              <w:t>.</w:t>
            </w:r>
          </w:p>
          <w:p w14:paraId="41638557" w14:textId="6CC95199" w:rsidR="001A34D1" w:rsidRPr="00E0255C" w:rsidRDefault="00202FD7" w:rsidP="001A34D1">
            <w:pPr>
              <w:spacing w:before="120" w:after="60"/>
              <w:jc w:val="both"/>
              <w:rPr>
                <w:rFonts w:asciiTheme="minorHAnsi" w:eastAsia="Calibri" w:hAnsiTheme="minorHAnsi" w:cstheme="minorHAnsi"/>
                <w:b/>
                <w:lang w:val="en-GB"/>
              </w:rPr>
            </w:pPr>
            <w:r w:rsidRPr="00E0255C">
              <w:rPr>
                <w:rFonts w:asciiTheme="minorHAnsi" w:hAnsiTheme="minorHAnsi" w:cstheme="minorHAnsi"/>
                <w:lang w:eastAsia="en-GB"/>
              </w:rPr>
              <w:t xml:space="preserve">In </w:t>
            </w:r>
            <w:proofErr w:type="gramStart"/>
            <w:r w:rsidRPr="00E0255C">
              <w:rPr>
                <w:rFonts w:asciiTheme="minorHAnsi" w:hAnsiTheme="minorHAnsi" w:cstheme="minorHAnsi"/>
                <w:lang w:eastAsia="en-GB"/>
              </w:rPr>
              <w:t>November 2020</w:t>
            </w:r>
            <w:proofErr w:type="gramEnd"/>
            <w:r w:rsidRPr="00E0255C">
              <w:rPr>
                <w:rFonts w:asciiTheme="minorHAnsi" w:hAnsiTheme="minorHAnsi" w:cstheme="minorHAnsi"/>
                <w:lang w:eastAsia="en-GB"/>
              </w:rPr>
              <w:t xml:space="preserve"> t</w:t>
            </w:r>
            <w:r w:rsidR="001A34D1" w:rsidRPr="00E0255C">
              <w:rPr>
                <w:rFonts w:asciiTheme="minorHAnsi" w:hAnsiTheme="minorHAnsi" w:cstheme="minorHAnsi"/>
                <w:lang w:eastAsia="en-GB"/>
              </w:rPr>
              <w:t xml:space="preserve">he FIGI SIT Working Group </w:t>
            </w:r>
            <w:r w:rsidRPr="00E0255C">
              <w:rPr>
                <w:rFonts w:asciiTheme="minorHAnsi" w:hAnsiTheme="minorHAnsi" w:cstheme="minorHAnsi"/>
                <w:lang w:eastAsia="en-GB"/>
              </w:rPr>
              <w:t xml:space="preserve">completed the work of setting up </w:t>
            </w:r>
            <w:r w:rsidR="001A34D1" w:rsidRPr="00E0255C">
              <w:rPr>
                <w:rFonts w:asciiTheme="minorHAnsi" w:hAnsiTheme="minorHAnsi" w:cstheme="minorHAnsi"/>
                <w:lang w:eastAsia="en-GB"/>
              </w:rPr>
              <w:t>the DFS Security Lab at ITU for conducting security audits on DFS applications based on USSD, STK and Android environments. The Lab is now fully operational</w:t>
            </w:r>
            <w:r w:rsidR="00AC4914" w:rsidRPr="00E0255C">
              <w:rPr>
                <w:rFonts w:asciiTheme="minorHAnsi" w:hAnsiTheme="minorHAnsi" w:cstheme="minorHAnsi"/>
                <w:lang w:eastAsia="en-GB"/>
              </w:rPr>
              <w:t>.</w:t>
            </w:r>
          </w:p>
          <w:p w14:paraId="147E51FC" w14:textId="19B49FCF"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b/>
              </w:rPr>
              <w:t>FIGI Symposium and Hackathon</w:t>
            </w:r>
          </w:p>
          <w:p w14:paraId="49DECA16" w14:textId="728D5AD0" w:rsidR="478B1C36" w:rsidRPr="00E0255C" w:rsidRDefault="478B1C36" w:rsidP="006459A3">
            <w:p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The </w:t>
            </w:r>
            <w:hyperlink r:id="rId563">
              <w:r w:rsidRPr="00E0255C">
                <w:rPr>
                  <w:rStyle w:val="Hyperlink"/>
                  <w:rFonts w:asciiTheme="minorHAnsi" w:eastAsia="Calibri" w:hAnsiTheme="minorHAnsi" w:cstheme="minorHAnsi"/>
                </w:rPr>
                <w:t>FIGI Symposium</w:t>
              </w:r>
            </w:hyperlink>
            <w:r w:rsidRPr="00E0255C">
              <w:rPr>
                <w:rFonts w:asciiTheme="minorHAnsi" w:eastAsia="Calibri" w:hAnsiTheme="minorHAnsi" w:cstheme="minorHAnsi"/>
                <w:color w:val="0000FF"/>
                <w:u w:val="single"/>
                <w:lang w:val="en-GB" w:eastAsia="en-US"/>
              </w:rPr>
              <w:t xml:space="preserve"> and </w:t>
            </w:r>
            <w:hyperlink r:id="rId564">
              <w:r w:rsidRPr="00E0255C">
                <w:rPr>
                  <w:rStyle w:val="Hyperlink"/>
                  <w:rFonts w:asciiTheme="minorHAnsi" w:eastAsia="Calibri" w:hAnsiTheme="minorHAnsi" w:cstheme="minorHAnsi"/>
                  <w:lang w:val="en-GB" w:eastAsia="en-US"/>
                </w:rPr>
                <w:t>Hackathon</w:t>
              </w:r>
            </w:hyperlink>
            <w:r w:rsidRPr="00E0255C">
              <w:rPr>
                <w:rFonts w:asciiTheme="minorHAnsi" w:eastAsia="Calibri" w:hAnsiTheme="minorHAnsi" w:cstheme="minorHAnsi"/>
                <w:color w:val="0000FF"/>
                <w:u w:val="single"/>
              </w:rPr>
              <w:t xml:space="preserve"> </w:t>
            </w:r>
            <w:r w:rsidRPr="00E0255C">
              <w:rPr>
                <w:rFonts w:asciiTheme="minorHAnsi" w:eastAsia="Calibri" w:hAnsiTheme="minorHAnsi" w:cstheme="minorHAnsi"/>
              </w:rPr>
              <w:t>were held on 21-24 January 2019, in Cairo, Egypt. The event attracted some 289 participants from Central Banks, telecom regulators, DFS providers, payment service providers and fintech companies. Most participants were from developing countries. The theme of the second edition of the FIGI Symposium, was</w:t>
            </w:r>
            <w:r w:rsidR="00AC4914" w:rsidRPr="00E0255C">
              <w:rPr>
                <w:rFonts w:asciiTheme="minorHAnsi" w:eastAsia="Calibri" w:hAnsiTheme="minorHAnsi" w:cstheme="minorHAnsi"/>
              </w:rPr>
              <w:t xml:space="preserve"> </w:t>
            </w:r>
            <w:r w:rsidRPr="00E0255C">
              <w:rPr>
                <w:rFonts w:asciiTheme="minorHAnsi" w:eastAsia="Calibri" w:hAnsiTheme="minorHAnsi" w:cstheme="minorHAnsi"/>
                <w:b/>
              </w:rPr>
              <w:t>Enabling an Inclusive DFS Ecosystem: National and Thematic Insights</w:t>
            </w:r>
            <w:r w:rsidR="00CD45FA" w:rsidRPr="00E0255C">
              <w:rPr>
                <w:rFonts w:asciiTheme="minorHAnsi" w:eastAsia="Calibri" w:hAnsiTheme="minorHAnsi" w:cstheme="minorHAnsi"/>
              </w:rPr>
              <w:t>.</w:t>
            </w:r>
          </w:p>
          <w:p w14:paraId="7202765E" w14:textId="305B2A00" w:rsidR="004D552B" w:rsidRPr="00E0255C" w:rsidRDefault="004D552B" w:rsidP="006459A3">
            <w:p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The third and final edition of the FIGI Symposium, initially planned for June 2020, has been rescheduled to 18 May – 24 June 2021 and will be held as a virtual event due to the COVID-19 </w:t>
            </w:r>
            <w:proofErr w:type="gramStart"/>
            <w:r w:rsidRPr="00E0255C">
              <w:rPr>
                <w:rFonts w:asciiTheme="minorHAnsi" w:eastAsia="Calibri" w:hAnsiTheme="minorHAnsi" w:cstheme="minorHAnsi"/>
              </w:rPr>
              <w:t>pandemic</w:t>
            </w:r>
            <w:proofErr w:type="gramEnd"/>
          </w:p>
          <w:p w14:paraId="02BD184D" w14:textId="3C2CD480"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b/>
              </w:rPr>
              <w:t>FIGI Security Clinic</w:t>
            </w:r>
          </w:p>
          <w:p w14:paraId="4C64AE47" w14:textId="4671A0B2" w:rsidR="00A97704"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A </w:t>
            </w:r>
            <w:hyperlink r:id="rId565">
              <w:r w:rsidRPr="00E0255C">
                <w:rPr>
                  <w:rStyle w:val="Hyperlink"/>
                  <w:rFonts w:asciiTheme="minorHAnsi" w:eastAsia="Calibri" w:hAnsiTheme="minorHAnsi" w:cstheme="minorHAnsi"/>
                </w:rPr>
                <w:t>FIGI Security Clinic</w:t>
              </w:r>
            </w:hyperlink>
            <w:r w:rsidRPr="00E0255C">
              <w:rPr>
                <w:rFonts w:asciiTheme="minorHAnsi" w:eastAsia="Calibri" w:hAnsiTheme="minorHAnsi" w:cstheme="minorHAnsi"/>
                <w:color w:val="0000FF"/>
                <w:u w:val="single"/>
              </w:rPr>
              <w:t xml:space="preserve"> </w:t>
            </w:r>
            <w:r w:rsidRPr="00E0255C">
              <w:rPr>
                <w:rFonts w:asciiTheme="minorHAnsi" w:eastAsia="Calibri" w:hAnsiTheme="minorHAnsi" w:cstheme="minorHAnsi"/>
              </w:rPr>
              <w:t>was held on 4-5 December 2019 at ITU Headquarters to present the outputs of the FIGI SIT WG and provide some deep dive sessions on the implementation of the findings from the working group reports. Over 80 participants, mainly IT Security professionals, attended the event.</w:t>
            </w:r>
          </w:p>
          <w:p w14:paraId="671D646F" w14:textId="19CA57F2" w:rsidR="0049723A" w:rsidRPr="00E0255C" w:rsidRDefault="478B1C36" w:rsidP="006459A3">
            <w:p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The first day sessions focused on the presentations of the reports of the Security, Infrastructure and Trust Working Group. The second day of the event consisted of a series of security clinics targeting mainly those who are actively involved in technical security implementation </w:t>
            </w:r>
            <w:proofErr w:type="gramStart"/>
            <w:r w:rsidRPr="00E0255C">
              <w:rPr>
                <w:rFonts w:asciiTheme="minorHAnsi" w:eastAsia="Calibri" w:hAnsiTheme="minorHAnsi" w:cstheme="minorHAnsi"/>
              </w:rPr>
              <w:t>in the area of</w:t>
            </w:r>
            <w:proofErr w:type="gramEnd"/>
            <w:r w:rsidRPr="00E0255C">
              <w:rPr>
                <w:rFonts w:asciiTheme="minorHAnsi" w:eastAsia="Calibri" w:hAnsiTheme="minorHAnsi" w:cstheme="minorHAnsi"/>
              </w:rPr>
              <w:t xml:space="preserve"> digital financial services</w:t>
            </w:r>
            <w:r w:rsidR="00202FD7" w:rsidRPr="00E0255C">
              <w:rPr>
                <w:rFonts w:asciiTheme="minorHAnsi" w:eastAsia="Calibri" w:hAnsiTheme="minorHAnsi" w:cstheme="minorHAnsi"/>
              </w:rPr>
              <w:t xml:space="preserve"> (DFS)</w:t>
            </w:r>
            <w:r w:rsidRPr="00E0255C">
              <w:rPr>
                <w:rFonts w:asciiTheme="minorHAnsi" w:eastAsia="Calibri" w:hAnsiTheme="minorHAnsi" w:cstheme="minorHAnsi"/>
              </w:rPr>
              <w:t>.</w:t>
            </w:r>
          </w:p>
          <w:p w14:paraId="4C1A843E" w14:textId="16DF0F93" w:rsidR="00230E60" w:rsidRPr="00E0255C" w:rsidRDefault="00202FD7" w:rsidP="006459A3">
            <w:pPr>
              <w:spacing w:before="60" w:after="60"/>
              <w:jc w:val="both"/>
              <w:rPr>
                <w:rFonts w:asciiTheme="minorHAnsi" w:hAnsiTheme="minorHAnsi" w:cstheme="minorHAnsi"/>
                <w:lang w:val="en-GB"/>
              </w:rPr>
            </w:pPr>
            <w:r w:rsidRPr="00E0255C">
              <w:rPr>
                <w:rFonts w:asciiTheme="minorHAnsi" w:hAnsiTheme="minorHAnsi" w:cstheme="minorHAnsi"/>
              </w:rPr>
              <w:t>In November 2020 t</w:t>
            </w:r>
            <w:r w:rsidR="00230E60" w:rsidRPr="00E0255C">
              <w:rPr>
                <w:rFonts w:asciiTheme="minorHAnsi" w:hAnsiTheme="minorHAnsi" w:cstheme="minorHAnsi"/>
              </w:rPr>
              <w:t xml:space="preserve">wo regional Security Clinics were held as virtual events for Egypt and Mexico, with the support of the ITU Regional Offices in the region. </w:t>
            </w:r>
            <w:r w:rsidRPr="00E0255C">
              <w:rPr>
                <w:rFonts w:asciiTheme="minorHAnsi" w:hAnsiTheme="minorHAnsi" w:cstheme="minorHAnsi"/>
              </w:rPr>
              <w:t xml:space="preserve">In </w:t>
            </w:r>
            <w:proofErr w:type="gramStart"/>
            <w:r w:rsidRPr="00E0255C">
              <w:rPr>
                <w:rFonts w:asciiTheme="minorHAnsi" w:hAnsiTheme="minorHAnsi" w:cstheme="minorHAnsi"/>
              </w:rPr>
              <w:t>December 2020</w:t>
            </w:r>
            <w:proofErr w:type="gramEnd"/>
            <w:r w:rsidRPr="00E0255C">
              <w:rPr>
                <w:rFonts w:asciiTheme="minorHAnsi" w:hAnsiTheme="minorHAnsi" w:cstheme="minorHAnsi"/>
              </w:rPr>
              <w:t xml:space="preserve"> a</w:t>
            </w:r>
            <w:r w:rsidR="00230E60" w:rsidRPr="00E0255C">
              <w:rPr>
                <w:rFonts w:asciiTheme="minorHAnsi" w:hAnsiTheme="minorHAnsi" w:cstheme="minorHAnsi"/>
              </w:rPr>
              <w:t xml:space="preserve"> virtual Security Clinic was organized for </w:t>
            </w:r>
            <w:r w:rsidRPr="00E0255C">
              <w:rPr>
                <w:rFonts w:asciiTheme="minorHAnsi" w:hAnsiTheme="minorHAnsi" w:cstheme="minorHAnsi"/>
              </w:rPr>
              <w:t>b</w:t>
            </w:r>
            <w:r w:rsidR="00230E60" w:rsidRPr="00E0255C">
              <w:rPr>
                <w:rFonts w:asciiTheme="minorHAnsi" w:hAnsiTheme="minorHAnsi" w:cstheme="minorHAnsi"/>
              </w:rPr>
              <w:t>anks and DFS providers in Indonesia</w:t>
            </w:r>
            <w:r w:rsidRPr="00E0255C">
              <w:rPr>
                <w:rFonts w:asciiTheme="minorHAnsi" w:hAnsiTheme="minorHAnsi" w:cstheme="minorHAnsi"/>
              </w:rPr>
              <w:t>,</w:t>
            </w:r>
            <w:r w:rsidR="00230E60" w:rsidRPr="00E0255C">
              <w:rPr>
                <w:rFonts w:asciiTheme="minorHAnsi" w:hAnsiTheme="minorHAnsi" w:cstheme="minorHAnsi"/>
              </w:rPr>
              <w:t xml:space="preserve"> at the request of Bank Indonesia and the Indonesia Payment System Association</w:t>
            </w:r>
            <w:r w:rsidRPr="00E0255C">
              <w:rPr>
                <w:rFonts w:asciiTheme="minorHAnsi" w:hAnsiTheme="minorHAnsi" w:cstheme="minorHAnsi"/>
              </w:rPr>
              <w:t>. That clinic</w:t>
            </w:r>
            <w:r w:rsidR="00230E60" w:rsidRPr="00E0255C">
              <w:rPr>
                <w:rFonts w:asciiTheme="minorHAnsi" w:hAnsiTheme="minorHAnsi" w:cstheme="minorHAnsi"/>
              </w:rPr>
              <w:t xml:space="preserve"> focused on security best practices on SS7 </w:t>
            </w:r>
            <w:r w:rsidRPr="00E0255C">
              <w:rPr>
                <w:rFonts w:asciiTheme="minorHAnsi" w:hAnsiTheme="minorHAnsi" w:cstheme="minorHAnsi"/>
              </w:rPr>
              <w:t>s</w:t>
            </w:r>
            <w:r w:rsidR="00230E60" w:rsidRPr="00E0255C">
              <w:rPr>
                <w:rFonts w:asciiTheme="minorHAnsi" w:hAnsiTheme="minorHAnsi" w:cstheme="minorHAnsi"/>
              </w:rPr>
              <w:t xml:space="preserve">ecurity vulnerability, addressing SIM swap and </w:t>
            </w:r>
            <w:proofErr w:type="spellStart"/>
            <w:r w:rsidR="00230E60" w:rsidRPr="00E0255C">
              <w:rPr>
                <w:rFonts w:asciiTheme="minorHAnsi" w:hAnsiTheme="minorHAnsi" w:cstheme="minorHAnsi"/>
              </w:rPr>
              <w:t>SIMjacker</w:t>
            </w:r>
            <w:proofErr w:type="spellEnd"/>
            <w:r w:rsidR="00230E60" w:rsidRPr="00E0255C">
              <w:rPr>
                <w:rFonts w:asciiTheme="minorHAnsi" w:hAnsiTheme="minorHAnsi" w:cstheme="minorHAnsi"/>
              </w:rPr>
              <w:t xml:space="preserve"> vulnerability in DFS and </w:t>
            </w:r>
            <w:r w:rsidRPr="00E0255C">
              <w:rPr>
                <w:rFonts w:asciiTheme="minorHAnsi" w:hAnsiTheme="minorHAnsi" w:cstheme="minorHAnsi"/>
              </w:rPr>
              <w:t xml:space="preserve">the </w:t>
            </w:r>
            <w:r w:rsidR="00230E60" w:rsidRPr="00E0255C">
              <w:rPr>
                <w:rFonts w:asciiTheme="minorHAnsi" w:hAnsiTheme="minorHAnsi" w:cstheme="minorHAnsi"/>
              </w:rPr>
              <w:t xml:space="preserve">security of </w:t>
            </w:r>
            <w:r w:rsidRPr="00E0255C">
              <w:rPr>
                <w:rFonts w:asciiTheme="minorHAnsi" w:hAnsiTheme="minorHAnsi" w:cstheme="minorHAnsi"/>
              </w:rPr>
              <w:t xml:space="preserve">the </w:t>
            </w:r>
            <w:r w:rsidR="00230E60" w:rsidRPr="00E0255C">
              <w:rPr>
                <w:rFonts w:asciiTheme="minorHAnsi" w:hAnsiTheme="minorHAnsi" w:cstheme="minorHAnsi"/>
              </w:rPr>
              <w:t>mobile payment system based on QR codes.</w:t>
            </w:r>
          </w:p>
          <w:p w14:paraId="0D3472B7" w14:textId="402900AD"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b/>
              </w:rPr>
              <w:t xml:space="preserve">Country </w:t>
            </w:r>
            <w:r w:rsidR="00202FD7" w:rsidRPr="00E0255C">
              <w:rPr>
                <w:rFonts w:asciiTheme="minorHAnsi" w:eastAsia="Calibri" w:hAnsiTheme="minorHAnsi" w:cstheme="minorHAnsi"/>
                <w:b/>
              </w:rPr>
              <w:t>i</w:t>
            </w:r>
            <w:r w:rsidRPr="00E0255C">
              <w:rPr>
                <w:rFonts w:asciiTheme="minorHAnsi" w:eastAsia="Calibri" w:hAnsiTheme="minorHAnsi" w:cstheme="minorHAnsi"/>
                <w:b/>
              </w:rPr>
              <w:t>mplementation</w:t>
            </w:r>
          </w:p>
          <w:p w14:paraId="2A43C05F" w14:textId="3912576C"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Country implementation focuses on the implementation of enabling policy and regulatory frameworks to leverage ICTs for Digital Financial Inclusion, integrating ITU-T FG DFS Recommendations, Payment Aspects of Financial Inclusion (PAFI) recommendations, and Level One Principles. Country implementation is currently taking place in Mexico, </w:t>
            </w:r>
            <w:proofErr w:type="gramStart"/>
            <w:r w:rsidRPr="00E0255C">
              <w:rPr>
                <w:rFonts w:asciiTheme="minorHAnsi" w:eastAsia="Calibri" w:hAnsiTheme="minorHAnsi" w:cstheme="minorHAnsi"/>
              </w:rPr>
              <w:t>Egypt</w:t>
            </w:r>
            <w:proofErr w:type="gramEnd"/>
            <w:r w:rsidRPr="00E0255C">
              <w:rPr>
                <w:rFonts w:asciiTheme="minorHAnsi" w:eastAsia="Calibri" w:hAnsiTheme="minorHAnsi" w:cstheme="minorHAnsi"/>
              </w:rPr>
              <w:t xml:space="preserve"> and China.</w:t>
            </w:r>
          </w:p>
          <w:p w14:paraId="3AFB4758" w14:textId="117B12AB" w:rsidR="478B1C36" w:rsidRPr="00E0255C" w:rsidRDefault="478B1C36" w:rsidP="00EC25A0">
            <w:pPr>
              <w:spacing w:before="60" w:after="60"/>
              <w:jc w:val="both"/>
              <w:rPr>
                <w:rFonts w:asciiTheme="minorHAnsi" w:hAnsiTheme="minorHAnsi" w:cstheme="minorHAnsi"/>
                <w:lang w:val="en-GB"/>
              </w:rPr>
            </w:pPr>
            <w:r w:rsidRPr="00E0255C">
              <w:rPr>
                <w:rFonts w:asciiTheme="minorHAnsi" w:eastAsia="Calibri" w:hAnsiTheme="minorHAnsi" w:cstheme="minorHAnsi"/>
                <w:b/>
              </w:rPr>
              <w:t xml:space="preserve">Standardization </w:t>
            </w:r>
            <w:r w:rsidR="00202FD7" w:rsidRPr="00E0255C">
              <w:rPr>
                <w:rFonts w:asciiTheme="minorHAnsi" w:eastAsia="Calibri" w:hAnsiTheme="minorHAnsi" w:cstheme="minorHAnsi"/>
                <w:b/>
              </w:rPr>
              <w:t>a</w:t>
            </w:r>
            <w:r w:rsidRPr="00E0255C">
              <w:rPr>
                <w:rFonts w:asciiTheme="minorHAnsi" w:eastAsia="Calibri" w:hAnsiTheme="minorHAnsi" w:cstheme="minorHAnsi"/>
                <w:b/>
              </w:rPr>
              <w:t xml:space="preserve">ctivities in ITU-T </w:t>
            </w:r>
            <w:r w:rsidR="00202FD7" w:rsidRPr="00E0255C">
              <w:rPr>
                <w:rFonts w:asciiTheme="minorHAnsi" w:eastAsia="Calibri" w:hAnsiTheme="minorHAnsi" w:cstheme="minorHAnsi"/>
                <w:b/>
              </w:rPr>
              <w:t>s</w:t>
            </w:r>
            <w:r w:rsidRPr="00E0255C">
              <w:rPr>
                <w:rFonts w:asciiTheme="minorHAnsi" w:eastAsia="Calibri" w:hAnsiTheme="minorHAnsi" w:cstheme="minorHAnsi"/>
                <w:b/>
              </w:rPr>
              <w:t xml:space="preserve">tudy </w:t>
            </w:r>
            <w:r w:rsidR="00202FD7" w:rsidRPr="00E0255C">
              <w:rPr>
                <w:rFonts w:asciiTheme="minorHAnsi" w:eastAsia="Calibri" w:hAnsiTheme="minorHAnsi" w:cstheme="minorHAnsi"/>
                <w:b/>
              </w:rPr>
              <w:t>g</w:t>
            </w:r>
            <w:r w:rsidRPr="00E0255C">
              <w:rPr>
                <w:rFonts w:asciiTheme="minorHAnsi" w:eastAsia="Calibri" w:hAnsiTheme="minorHAnsi" w:cstheme="minorHAnsi"/>
                <w:b/>
              </w:rPr>
              <w:t xml:space="preserve">roups and </w:t>
            </w:r>
            <w:r w:rsidR="00202FD7" w:rsidRPr="00E0255C">
              <w:rPr>
                <w:rFonts w:asciiTheme="minorHAnsi" w:eastAsia="Calibri" w:hAnsiTheme="minorHAnsi" w:cstheme="minorHAnsi"/>
                <w:b/>
              </w:rPr>
              <w:t>f</w:t>
            </w:r>
            <w:r w:rsidRPr="00E0255C">
              <w:rPr>
                <w:rFonts w:asciiTheme="minorHAnsi" w:eastAsia="Calibri" w:hAnsiTheme="minorHAnsi" w:cstheme="minorHAnsi"/>
                <w:b/>
              </w:rPr>
              <w:t xml:space="preserve">ocus </w:t>
            </w:r>
            <w:r w:rsidR="00202FD7" w:rsidRPr="00E0255C">
              <w:rPr>
                <w:rFonts w:asciiTheme="minorHAnsi" w:eastAsia="Calibri" w:hAnsiTheme="minorHAnsi" w:cstheme="minorHAnsi"/>
                <w:b/>
              </w:rPr>
              <w:t>g</w:t>
            </w:r>
            <w:r w:rsidRPr="00E0255C">
              <w:rPr>
                <w:rFonts w:asciiTheme="minorHAnsi" w:eastAsia="Calibri" w:hAnsiTheme="minorHAnsi" w:cstheme="minorHAnsi"/>
                <w:b/>
              </w:rPr>
              <w:t xml:space="preserve">roups related to </w:t>
            </w:r>
            <w:proofErr w:type="gramStart"/>
            <w:r w:rsidRPr="00E0255C">
              <w:rPr>
                <w:rFonts w:asciiTheme="minorHAnsi" w:eastAsia="Calibri" w:hAnsiTheme="minorHAnsi" w:cstheme="minorHAnsi"/>
                <w:b/>
              </w:rPr>
              <w:t>DFS</w:t>
            </w:r>
            <w:proofErr w:type="gramEnd"/>
          </w:p>
          <w:p w14:paraId="19AB5913" w14:textId="6F762E56" w:rsidR="478B1C36" w:rsidRPr="00E0255C" w:rsidRDefault="478B1C36" w:rsidP="00B87922">
            <w:pPr>
              <w:spacing w:before="60" w:after="60"/>
              <w:jc w:val="both"/>
              <w:rPr>
                <w:rFonts w:asciiTheme="minorHAnsi" w:hAnsiTheme="minorHAnsi" w:cstheme="minorHAnsi"/>
                <w:lang w:val="en-GB"/>
              </w:rPr>
            </w:pPr>
            <w:r w:rsidRPr="00E0255C">
              <w:rPr>
                <w:rFonts w:asciiTheme="minorHAnsi" w:eastAsia="Calibri" w:hAnsiTheme="minorHAnsi" w:cstheme="minorHAnsi"/>
                <w:b/>
              </w:rPr>
              <w:t>ITU-T Study Group 3</w:t>
            </w:r>
          </w:p>
          <w:p w14:paraId="62A68B1F" w14:textId="20CB3B99"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During the ITU-T </w:t>
            </w:r>
            <w:r w:rsidR="006D38B9" w:rsidRPr="00E0255C">
              <w:rPr>
                <w:rFonts w:asciiTheme="minorHAnsi" w:eastAsia="Calibri" w:hAnsiTheme="minorHAnsi" w:cstheme="minorHAnsi"/>
              </w:rPr>
              <w:t>SG 3</w:t>
            </w:r>
            <w:r w:rsidRPr="00E0255C">
              <w:rPr>
                <w:rFonts w:asciiTheme="minorHAnsi" w:eastAsia="Calibri" w:hAnsiTheme="minorHAnsi" w:cstheme="minorHAnsi"/>
              </w:rPr>
              <w:t xml:space="preserve"> meeting in April-May 2019, </w:t>
            </w:r>
            <w:hyperlink r:id="rId566">
              <w:r w:rsidRPr="00E0255C">
                <w:rPr>
                  <w:rStyle w:val="Hyperlink"/>
                  <w:rFonts w:asciiTheme="minorHAnsi" w:eastAsia="Calibri" w:hAnsiTheme="minorHAnsi" w:cstheme="minorHAnsi"/>
                </w:rPr>
                <w:t>Recommendation ITU-T D.263</w:t>
              </w:r>
            </w:hyperlink>
            <w:r w:rsidRPr="00E0255C">
              <w:rPr>
                <w:rFonts w:asciiTheme="minorHAnsi" w:eastAsia="Calibri" w:hAnsiTheme="minorHAnsi" w:cstheme="minorHAnsi"/>
                <w:lang w:val="en-GB" w:eastAsia="en-US"/>
              </w:rPr>
              <w:t>, “Costs, charges and competition for mobile financial services (MFSs)” was approved.</w:t>
            </w:r>
          </w:p>
          <w:p w14:paraId="333A3438" w14:textId="28CD1483"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lastRenderedPageBreak/>
              <w:t xml:space="preserve">Additionally, </w:t>
            </w:r>
            <w:r w:rsidR="00C92DF5" w:rsidRPr="00E0255C">
              <w:rPr>
                <w:rFonts w:asciiTheme="minorHAnsi" w:eastAsia="Calibri" w:hAnsiTheme="minorHAnsi" w:cstheme="minorHAnsi"/>
              </w:rPr>
              <w:t>a series of</w:t>
            </w:r>
            <w:r w:rsidRPr="00E0255C">
              <w:rPr>
                <w:rFonts w:asciiTheme="minorHAnsi" w:eastAsia="Calibri" w:hAnsiTheme="minorHAnsi" w:cstheme="minorHAnsi"/>
              </w:rPr>
              <w:t xml:space="preserve"> reports of the Focus Group on Digital Financial Services (FG-DFS) w</w:t>
            </w:r>
            <w:r w:rsidR="00C92DF5" w:rsidRPr="00E0255C">
              <w:rPr>
                <w:rFonts w:asciiTheme="minorHAnsi" w:eastAsia="Calibri" w:hAnsiTheme="minorHAnsi" w:cstheme="minorHAnsi"/>
              </w:rPr>
              <w:t>ere</w:t>
            </w:r>
            <w:r w:rsidRPr="00E0255C">
              <w:rPr>
                <w:rFonts w:asciiTheme="minorHAnsi" w:eastAsia="Calibri" w:hAnsiTheme="minorHAnsi" w:cstheme="minorHAnsi"/>
              </w:rPr>
              <w:t xml:space="preserve"> approved to be published as </w:t>
            </w:r>
            <w:r w:rsidR="006D38B9" w:rsidRPr="00E0255C">
              <w:rPr>
                <w:rFonts w:asciiTheme="minorHAnsi" w:eastAsia="Calibri" w:hAnsiTheme="minorHAnsi" w:cstheme="minorHAnsi"/>
              </w:rPr>
              <w:t>SG 3</w:t>
            </w:r>
            <w:r w:rsidRPr="00E0255C">
              <w:rPr>
                <w:rFonts w:asciiTheme="minorHAnsi" w:eastAsia="Calibri" w:hAnsiTheme="minorHAnsi" w:cstheme="minorHAnsi"/>
              </w:rPr>
              <w:t xml:space="preserve"> Technical Reports</w:t>
            </w:r>
            <w:r w:rsidR="00C92DF5" w:rsidRPr="00E0255C">
              <w:rPr>
                <w:rFonts w:asciiTheme="minorHAnsi" w:eastAsia="Calibri" w:hAnsiTheme="minorHAnsi" w:cstheme="minorHAnsi"/>
              </w:rPr>
              <w:t>.</w:t>
            </w:r>
          </w:p>
          <w:p w14:paraId="5369E75C" w14:textId="26481DA9"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b/>
              </w:rPr>
              <w:t>ITU-T Study Group 11</w:t>
            </w:r>
          </w:p>
          <w:p w14:paraId="3D430440" w14:textId="18935F6A" w:rsidR="478B1C36" w:rsidRPr="00E0255C" w:rsidRDefault="006D38B9"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SG 11</w:t>
            </w:r>
            <w:r w:rsidR="478B1C36" w:rsidRPr="00E0255C">
              <w:rPr>
                <w:rFonts w:asciiTheme="minorHAnsi" w:eastAsia="Calibri" w:hAnsiTheme="minorHAnsi" w:cstheme="minorHAnsi"/>
              </w:rPr>
              <w:t xml:space="preserve"> agreed the Technical report ITU-T TR-SS7-DFS “SS7 vulnerabilities and mitigation measures for digital financial services transactions” which is based on the report approved by FIGI.</w:t>
            </w:r>
          </w:p>
          <w:p w14:paraId="1E787B11" w14:textId="2F42EDEC" w:rsidR="00371DEE"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In October 2019, </w:t>
            </w:r>
            <w:r w:rsidR="006D38B9" w:rsidRPr="00E0255C">
              <w:rPr>
                <w:rFonts w:asciiTheme="minorHAnsi" w:eastAsia="Calibri" w:hAnsiTheme="minorHAnsi" w:cstheme="minorHAnsi"/>
              </w:rPr>
              <w:t>SG 11</w:t>
            </w:r>
            <w:r w:rsidRPr="00E0255C">
              <w:rPr>
                <w:rFonts w:asciiTheme="minorHAnsi" w:eastAsia="Calibri" w:hAnsiTheme="minorHAnsi" w:cstheme="minorHAnsi"/>
              </w:rPr>
              <w:t xml:space="preserve"> organized a </w:t>
            </w:r>
            <w:hyperlink r:id="rId567">
              <w:r w:rsidRPr="00E0255C">
                <w:rPr>
                  <w:rStyle w:val="Hyperlink"/>
                  <w:rFonts w:asciiTheme="minorHAnsi" w:eastAsia="Calibri" w:hAnsiTheme="minorHAnsi" w:cstheme="minorHAnsi"/>
                </w:rPr>
                <w:t>Brainstorming session</w:t>
              </w:r>
            </w:hyperlink>
            <w:r w:rsidRPr="00E0255C">
              <w:rPr>
                <w:rFonts w:asciiTheme="minorHAnsi" w:eastAsia="Calibri" w:hAnsiTheme="minorHAnsi" w:cstheme="minorHAnsi"/>
                <w:color w:val="3789BD"/>
                <w:u w:val="single"/>
              </w:rPr>
              <w:t xml:space="preserve"> </w:t>
            </w:r>
            <w:r w:rsidRPr="00E0255C">
              <w:rPr>
                <w:rFonts w:asciiTheme="minorHAnsi" w:eastAsia="Calibri" w:hAnsiTheme="minorHAnsi" w:cstheme="minorHAnsi"/>
              </w:rPr>
              <w:t xml:space="preserve">on SS7 vulnerabilities and the impact on different industries including digital financial services. The objective of the event was to discuss the potential way forward to enhance the security mechanisms of existing protocols and its adoption rate among telecom operators </w:t>
            </w:r>
            <w:proofErr w:type="gramStart"/>
            <w:r w:rsidRPr="00E0255C">
              <w:rPr>
                <w:rFonts w:asciiTheme="minorHAnsi" w:eastAsia="Calibri" w:hAnsiTheme="minorHAnsi" w:cstheme="minorHAnsi"/>
              </w:rPr>
              <w:t>in order to</w:t>
            </w:r>
            <w:proofErr w:type="gramEnd"/>
            <w:r w:rsidRPr="00E0255C">
              <w:rPr>
                <w:rFonts w:asciiTheme="minorHAnsi" w:eastAsia="Calibri" w:hAnsiTheme="minorHAnsi" w:cstheme="minorHAnsi"/>
              </w:rPr>
              <w:t xml:space="preserve"> defend all stakeholders such as Telco operators, banks, operators of financial services, regulators and individual clients from related attacks.</w:t>
            </w:r>
          </w:p>
          <w:p w14:paraId="3F56636B" w14:textId="0C68CAA1" w:rsidR="478B1C36" w:rsidRPr="00E0255C" w:rsidRDefault="478B1C36" w:rsidP="006459A3">
            <w:p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In March 2020, </w:t>
            </w:r>
            <w:r w:rsidR="006D38B9" w:rsidRPr="00E0255C">
              <w:rPr>
                <w:rFonts w:asciiTheme="minorHAnsi" w:eastAsia="Calibri" w:hAnsiTheme="minorHAnsi" w:cstheme="minorHAnsi"/>
              </w:rPr>
              <w:t>SG 11</w:t>
            </w:r>
            <w:r w:rsidRPr="00E0255C">
              <w:rPr>
                <w:rFonts w:asciiTheme="minorHAnsi" w:eastAsia="Calibri" w:hAnsiTheme="minorHAnsi" w:cstheme="minorHAnsi"/>
              </w:rPr>
              <w:t xml:space="preserve"> finalized and consented the baseline text of ITU-T Q.3057 (ex. Q.SR-Trust) “</w:t>
            </w:r>
            <w:proofErr w:type="spellStart"/>
            <w:r w:rsidRPr="00E0255C">
              <w:rPr>
                <w:rFonts w:asciiTheme="minorHAnsi" w:eastAsia="Calibri" w:hAnsiTheme="minorHAnsi" w:cstheme="minorHAnsi"/>
              </w:rPr>
              <w:t>Signalling</w:t>
            </w:r>
            <w:proofErr w:type="spellEnd"/>
            <w:r w:rsidRPr="00E0255C">
              <w:rPr>
                <w:rFonts w:asciiTheme="minorHAnsi" w:eastAsia="Calibri" w:hAnsiTheme="minorHAnsi" w:cstheme="minorHAnsi"/>
              </w:rPr>
              <w:t xml:space="preserve"> requirements and architecture for interconnection between trustable network entities”.</w:t>
            </w:r>
          </w:p>
          <w:p w14:paraId="56D234C0" w14:textId="0313E80A" w:rsidR="0058711F" w:rsidRPr="00E0255C" w:rsidRDefault="0058711F" w:rsidP="006459A3">
            <w:pPr>
              <w:spacing w:before="60" w:after="60"/>
              <w:jc w:val="both"/>
              <w:rPr>
                <w:rFonts w:asciiTheme="minorHAnsi" w:hAnsiTheme="minorHAnsi" w:cstheme="minorHAnsi"/>
                <w:lang w:val="en-GB"/>
              </w:rPr>
            </w:pPr>
            <w:r w:rsidRPr="00E0255C">
              <w:rPr>
                <w:rFonts w:asciiTheme="minorHAnsi" w:hAnsiTheme="minorHAnsi" w:cstheme="minorHAnsi"/>
              </w:rPr>
              <w:t xml:space="preserve">Following the approval of ITU-T Q.3057, </w:t>
            </w:r>
            <w:r w:rsidR="006D38B9" w:rsidRPr="00E0255C">
              <w:rPr>
                <w:rFonts w:asciiTheme="minorHAnsi" w:hAnsiTheme="minorHAnsi" w:cstheme="minorHAnsi"/>
              </w:rPr>
              <w:t>SG 11</w:t>
            </w:r>
            <w:r w:rsidRPr="00E0255C">
              <w:rPr>
                <w:rFonts w:asciiTheme="minorHAnsi" w:hAnsiTheme="minorHAnsi" w:cstheme="minorHAnsi"/>
              </w:rPr>
              <w:t xml:space="preserve"> started </w:t>
            </w:r>
            <w:r w:rsidR="00202FD7" w:rsidRPr="00E0255C">
              <w:rPr>
                <w:rFonts w:asciiTheme="minorHAnsi" w:hAnsiTheme="minorHAnsi" w:cstheme="minorHAnsi"/>
              </w:rPr>
              <w:t xml:space="preserve">a </w:t>
            </w:r>
            <w:r w:rsidRPr="00E0255C">
              <w:rPr>
                <w:rFonts w:asciiTheme="minorHAnsi" w:hAnsiTheme="minorHAnsi" w:cstheme="minorHAnsi"/>
              </w:rPr>
              <w:t>new work item</w:t>
            </w:r>
            <w:r w:rsidR="00202FD7" w:rsidRPr="00E0255C">
              <w:rPr>
                <w:rFonts w:asciiTheme="minorHAnsi" w:hAnsiTheme="minorHAnsi" w:cstheme="minorHAnsi"/>
              </w:rPr>
              <w:t>,</w:t>
            </w:r>
            <w:r w:rsidRPr="00E0255C">
              <w:rPr>
                <w:rFonts w:asciiTheme="minorHAnsi" w:hAnsiTheme="minorHAnsi" w:cstheme="minorHAnsi"/>
              </w:rPr>
              <w:t xml:space="preserve"> </w:t>
            </w:r>
            <w:proofErr w:type="spellStart"/>
            <w:proofErr w:type="gramStart"/>
            <w:r w:rsidRPr="00E0255C">
              <w:rPr>
                <w:rFonts w:asciiTheme="minorHAnsi" w:hAnsiTheme="minorHAnsi" w:cstheme="minorHAnsi"/>
              </w:rPr>
              <w:t>Q.Pro</w:t>
            </w:r>
            <w:proofErr w:type="spellEnd"/>
            <w:proofErr w:type="gramEnd"/>
            <w:r w:rsidRPr="00E0255C">
              <w:rPr>
                <w:rFonts w:asciiTheme="minorHAnsi" w:hAnsiTheme="minorHAnsi" w:cstheme="minorHAnsi"/>
              </w:rPr>
              <w:t>-Trust</w:t>
            </w:r>
            <w:r w:rsidR="00202FD7" w:rsidRPr="00E0255C">
              <w:rPr>
                <w:rFonts w:asciiTheme="minorHAnsi" w:hAnsiTheme="minorHAnsi" w:cstheme="minorHAnsi"/>
              </w:rPr>
              <w:t>:</w:t>
            </w:r>
            <w:r w:rsidRPr="00E0255C">
              <w:rPr>
                <w:rFonts w:asciiTheme="minorHAnsi" w:hAnsiTheme="minorHAnsi" w:cstheme="minorHAnsi"/>
              </w:rPr>
              <w:t xml:space="preserve"> “</w:t>
            </w:r>
            <w:proofErr w:type="spellStart"/>
            <w:r w:rsidRPr="00E0255C">
              <w:rPr>
                <w:rFonts w:asciiTheme="minorHAnsi" w:hAnsiTheme="minorHAnsi" w:cstheme="minorHAnsi"/>
              </w:rPr>
              <w:t>Signalling</w:t>
            </w:r>
            <w:proofErr w:type="spellEnd"/>
            <w:r w:rsidRPr="00E0255C">
              <w:rPr>
                <w:rFonts w:asciiTheme="minorHAnsi" w:hAnsiTheme="minorHAnsi" w:cstheme="minorHAnsi"/>
              </w:rPr>
              <w:t xml:space="preserve"> procedures and protocols for enabling interconnection between trustable network entities in support of existing and emerging networks”. It defines the </w:t>
            </w:r>
            <w:proofErr w:type="spellStart"/>
            <w:r w:rsidRPr="00E0255C">
              <w:rPr>
                <w:rFonts w:asciiTheme="minorHAnsi" w:hAnsiTheme="minorHAnsi" w:cstheme="minorHAnsi"/>
              </w:rPr>
              <w:t>signalling</w:t>
            </w:r>
            <w:proofErr w:type="spellEnd"/>
            <w:r w:rsidRPr="00E0255C">
              <w:rPr>
                <w:rFonts w:asciiTheme="minorHAnsi" w:hAnsiTheme="minorHAnsi" w:cstheme="minorHAnsi"/>
              </w:rPr>
              <w:t xml:space="preserve"> procedures and protocols involved in the application of the </w:t>
            </w:r>
            <w:proofErr w:type="spellStart"/>
            <w:r w:rsidRPr="00E0255C">
              <w:rPr>
                <w:rFonts w:asciiTheme="minorHAnsi" w:hAnsiTheme="minorHAnsi" w:cstheme="minorHAnsi"/>
              </w:rPr>
              <w:t>signalling</w:t>
            </w:r>
            <w:proofErr w:type="spellEnd"/>
            <w:r w:rsidRPr="00E0255C">
              <w:rPr>
                <w:rFonts w:asciiTheme="minorHAnsi" w:hAnsiTheme="minorHAnsi" w:cstheme="minorHAnsi"/>
              </w:rPr>
              <w:t xml:space="preserve"> requirements and architecture, </w:t>
            </w:r>
            <w:proofErr w:type="spellStart"/>
            <w:r w:rsidRPr="00E0255C">
              <w:rPr>
                <w:rFonts w:asciiTheme="minorHAnsi" w:hAnsiTheme="minorHAnsi" w:cstheme="minorHAnsi"/>
              </w:rPr>
              <w:t>T</w:t>
            </w:r>
            <w:r w:rsidR="00A92ED1" w:rsidRPr="00E0255C">
              <w:rPr>
                <w:rFonts w:asciiTheme="minorHAnsi" w:hAnsiTheme="minorHAnsi" w:cstheme="minorHAnsi"/>
              </w:rPr>
              <w:t>s</w:t>
            </w:r>
            <w:r w:rsidRPr="00E0255C">
              <w:rPr>
                <w:rFonts w:asciiTheme="minorHAnsi" w:hAnsiTheme="minorHAnsi" w:cstheme="minorHAnsi"/>
              </w:rPr>
              <w:t>a</w:t>
            </w:r>
            <w:proofErr w:type="spellEnd"/>
            <w:r w:rsidRPr="00E0255C">
              <w:rPr>
                <w:rFonts w:asciiTheme="minorHAnsi" w:hAnsiTheme="minorHAnsi" w:cstheme="minorHAnsi"/>
              </w:rPr>
              <w:t xml:space="preserve">, Sa and Sc defined in ITU-T Q.3057 for interconnection between trustable network entities in support of existing and emerging </w:t>
            </w:r>
            <w:proofErr w:type="gramStart"/>
            <w:r w:rsidRPr="00E0255C">
              <w:rPr>
                <w:rFonts w:asciiTheme="minorHAnsi" w:hAnsiTheme="minorHAnsi" w:cstheme="minorHAnsi"/>
              </w:rPr>
              <w:t>networks</w:t>
            </w:r>
            <w:proofErr w:type="gramEnd"/>
          </w:p>
          <w:p w14:paraId="016977B4" w14:textId="54810E6B"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Also, following </w:t>
            </w:r>
            <w:r w:rsidR="006D38B9" w:rsidRPr="00E0255C">
              <w:rPr>
                <w:rFonts w:asciiTheme="minorHAnsi" w:eastAsia="Calibri" w:hAnsiTheme="minorHAnsi" w:cstheme="minorHAnsi"/>
              </w:rPr>
              <w:t>SG 11</w:t>
            </w:r>
            <w:r w:rsidRPr="00E0255C">
              <w:rPr>
                <w:rFonts w:asciiTheme="minorHAnsi" w:eastAsia="Calibri" w:hAnsiTheme="minorHAnsi" w:cstheme="minorHAnsi"/>
              </w:rPr>
              <w:t xml:space="preserve"> Brainstorming session on SS7 vulnerabilities, </w:t>
            </w:r>
            <w:r w:rsidR="006D38B9" w:rsidRPr="00E0255C">
              <w:rPr>
                <w:rFonts w:asciiTheme="minorHAnsi" w:eastAsia="Calibri" w:hAnsiTheme="minorHAnsi" w:cstheme="minorHAnsi"/>
              </w:rPr>
              <w:t>SG 11</w:t>
            </w:r>
            <w:r w:rsidRPr="00E0255C">
              <w:rPr>
                <w:rFonts w:asciiTheme="minorHAnsi" w:eastAsia="Calibri" w:hAnsiTheme="minorHAnsi" w:cstheme="minorHAnsi"/>
              </w:rPr>
              <w:t xml:space="preserve"> started draft technical report on Low resource requirement, quantum resistant, encryption of USSD messages for use in financial services, which purpose is to examine new technologies for encryption of USSD in End-to-End manner and estimate its applicability to be integrated into existing USSD technology, suggesting new recommendation and </w:t>
            </w:r>
            <w:proofErr w:type="spellStart"/>
            <w:r w:rsidRPr="00E0255C">
              <w:rPr>
                <w:rFonts w:asciiTheme="minorHAnsi" w:eastAsia="Calibri" w:hAnsiTheme="minorHAnsi" w:cstheme="minorHAnsi"/>
              </w:rPr>
              <w:t>signalling</w:t>
            </w:r>
            <w:proofErr w:type="spellEnd"/>
            <w:r w:rsidRPr="00E0255C">
              <w:rPr>
                <w:rFonts w:asciiTheme="minorHAnsi" w:eastAsia="Calibri" w:hAnsiTheme="minorHAnsi" w:cstheme="minorHAnsi"/>
              </w:rPr>
              <w:t xml:space="preserve"> requirements for the integration of such technology into the existing reference architecture.</w:t>
            </w:r>
          </w:p>
          <w:p w14:paraId="7615FE1B" w14:textId="7647F3DD"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b/>
              </w:rPr>
              <w:t>ITU-T Study Group 12</w:t>
            </w:r>
          </w:p>
          <w:p w14:paraId="4ADC20BA" w14:textId="2B169A3E"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Two new ITU-T Recommendations were approved </w:t>
            </w:r>
            <w:r w:rsidR="007B69ED" w:rsidRPr="00E0255C">
              <w:rPr>
                <w:rFonts w:asciiTheme="minorHAnsi" w:eastAsia="Calibri" w:hAnsiTheme="minorHAnsi" w:cstheme="minorHAnsi"/>
              </w:rPr>
              <w:t xml:space="preserve">in 2020 </w:t>
            </w:r>
            <w:r w:rsidRPr="00E0255C">
              <w:rPr>
                <w:rFonts w:asciiTheme="minorHAnsi" w:eastAsia="Calibri" w:hAnsiTheme="minorHAnsi" w:cstheme="minorHAnsi"/>
              </w:rPr>
              <w:t>on digital financial services:</w:t>
            </w:r>
          </w:p>
          <w:p w14:paraId="6287AF16" w14:textId="7A70A011"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 xml:space="preserve">New </w:t>
            </w:r>
            <w:hyperlink r:id="rId568">
              <w:r w:rsidRPr="00E0255C">
                <w:rPr>
                  <w:rStyle w:val="Hyperlink"/>
                  <w:rFonts w:asciiTheme="minorHAnsi" w:hAnsiTheme="minorHAnsi" w:cstheme="minorHAnsi"/>
                  <w:lang w:val="en-GB"/>
                </w:rPr>
                <w:t>Recommendation ITU-T G.1033</w:t>
              </w:r>
            </w:hyperlink>
            <w:r w:rsidRPr="00E0255C">
              <w:rPr>
                <w:rFonts w:asciiTheme="minorHAnsi" w:hAnsiTheme="minorHAnsi" w:cstheme="minorHAnsi"/>
                <w:color w:val="0000FF"/>
                <w:u w:val="single"/>
                <w:lang w:val="en-GB"/>
              </w:rPr>
              <w:t xml:space="preserve"> </w:t>
            </w:r>
            <w:r w:rsidRPr="00E0255C">
              <w:rPr>
                <w:rFonts w:asciiTheme="minorHAnsi" w:hAnsiTheme="minorHAnsi" w:cstheme="minorHAnsi"/>
                <w:lang w:val="en-GB"/>
              </w:rPr>
              <w:t>highlights important aspects related to quality of service (QoS) and quality of experience (</w:t>
            </w:r>
            <w:proofErr w:type="spellStart"/>
            <w:r w:rsidRPr="00E0255C">
              <w:rPr>
                <w:rFonts w:asciiTheme="minorHAnsi" w:hAnsiTheme="minorHAnsi" w:cstheme="minorHAnsi"/>
                <w:lang w:val="en-GB"/>
              </w:rPr>
              <w:t>QoE</w:t>
            </w:r>
            <w:proofErr w:type="spellEnd"/>
            <w:r w:rsidRPr="00E0255C">
              <w:rPr>
                <w:rFonts w:asciiTheme="minorHAnsi" w:hAnsiTheme="minorHAnsi" w:cstheme="minorHAnsi"/>
                <w:lang w:val="en-GB"/>
              </w:rPr>
              <w:t>) that require consideration in the context of digital financial services.</w:t>
            </w:r>
          </w:p>
          <w:p w14:paraId="426B7C39" w14:textId="0A4FA5DF" w:rsidR="478B1C36" w:rsidRPr="00E0255C" w:rsidRDefault="478B1C36" w:rsidP="00CA4803">
            <w:pPr>
              <w:pStyle w:val="ListParagraph"/>
              <w:numPr>
                <w:ilvl w:val="0"/>
                <w:numId w:val="15"/>
              </w:numPr>
              <w:spacing w:before="60" w:after="60"/>
              <w:rPr>
                <w:rFonts w:asciiTheme="minorHAnsi" w:eastAsiaTheme="minorEastAsia" w:hAnsiTheme="minorHAnsi" w:cstheme="minorHAnsi"/>
                <w:lang w:val="en-GB"/>
              </w:rPr>
            </w:pPr>
            <w:r w:rsidRPr="00E0255C">
              <w:rPr>
                <w:rFonts w:asciiTheme="minorHAnsi" w:hAnsiTheme="minorHAnsi" w:cstheme="minorHAnsi"/>
                <w:lang w:val="en-GB"/>
              </w:rPr>
              <w:t xml:space="preserve">New </w:t>
            </w:r>
            <w:hyperlink r:id="rId569">
              <w:r w:rsidRPr="00E0255C">
                <w:rPr>
                  <w:rStyle w:val="Hyperlink"/>
                  <w:rFonts w:asciiTheme="minorHAnsi" w:hAnsiTheme="minorHAnsi" w:cstheme="minorHAnsi"/>
                  <w:lang w:val="en-GB"/>
                </w:rPr>
                <w:t>Recommendation ITU-T P.1502</w:t>
              </w:r>
            </w:hyperlink>
            <w:r w:rsidRPr="00E0255C">
              <w:rPr>
                <w:rFonts w:asciiTheme="minorHAnsi" w:hAnsiTheme="minorHAnsi" w:cstheme="minorHAnsi"/>
                <w:color w:val="0000FF"/>
                <w:u w:val="single"/>
                <w:lang w:val="en-GB"/>
              </w:rPr>
              <w:t xml:space="preserve"> </w:t>
            </w:r>
            <w:r w:rsidRPr="00E0255C">
              <w:rPr>
                <w:rFonts w:asciiTheme="minorHAnsi" w:hAnsiTheme="minorHAnsi" w:cstheme="minorHAnsi"/>
                <w:lang w:val="en-GB"/>
              </w:rPr>
              <w:t>introduces a methodology for testing the quality of experience (</w:t>
            </w:r>
            <w:proofErr w:type="spellStart"/>
            <w:r w:rsidRPr="00E0255C">
              <w:rPr>
                <w:rFonts w:asciiTheme="minorHAnsi" w:hAnsiTheme="minorHAnsi" w:cstheme="minorHAnsi"/>
                <w:lang w:val="en-GB"/>
              </w:rPr>
              <w:t>QoE</w:t>
            </w:r>
            <w:proofErr w:type="spellEnd"/>
            <w:r w:rsidRPr="00E0255C">
              <w:rPr>
                <w:rFonts w:asciiTheme="minorHAnsi" w:hAnsiTheme="minorHAnsi" w:cstheme="minorHAnsi"/>
                <w:lang w:val="en-GB"/>
              </w:rPr>
              <w:t>) of digital financial services.</w:t>
            </w:r>
          </w:p>
          <w:p w14:paraId="6A0D3C69" w14:textId="2DE04DFB"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The Recommendations are based on the results of the ITU-T Focus Group on Digital Financial Services and the FIGI Security, Infrastructure and Trust Working Group.</w:t>
            </w:r>
          </w:p>
          <w:p w14:paraId="1591C765" w14:textId="5472BCB6"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b/>
              </w:rPr>
              <w:t>ITU-T Study Group 16</w:t>
            </w:r>
          </w:p>
          <w:p w14:paraId="21A0E6B3" w14:textId="35AE5046"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The new </w:t>
            </w:r>
            <w:hyperlink r:id="rId570">
              <w:r w:rsidRPr="00E0255C">
                <w:rPr>
                  <w:rStyle w:val="Hyperlink"/>
                  <w:rFonts w:asciiTheme="minorHAnsi" w:eastAsia="Calibri" w:hAnsiTheme="minorHAnsi" w:cstheme="minorHAnsi"/>
                </w:rPr>
                <w:t>Question 22/16</w:t>
              </w:r>
            </w:hyperlink>
            <w:r w:rsidRPr="00E0255C">
              <w:rPr>
                <w:rFonts w:asciiTheme="minorHAnsi" w:eastAsia="Calibri" w:hAnsiTheme="minorHAnsi" w:cstheme="minorHAnsi"/>
                <w:color w:val="0000FF"/>
                <w:u w:val="single"/>
                <w:lang w:val="en-GB" w:eastAsia="en-US"/>
              </w:rPr>
              <w:t xml:space="preserve"> </w:t>
            </w:r>
            <w:r w:rsidRPr="00E0255C">
              <w:rPr>
                <w:rFonts w:asciiTheme="minorHAnsi" w:eastAsia="Calibri" w:hAnsiTheme="minorHAnsi" w:cstheme="minorHAnsi"/>
                <w:lang w:val="en-GB" w:eastAsia="en-US"/>
              </w:rPr>
              <w:t xml:space="preserve">on </w:t>
            </w:r>
            <w:r w:rsidR="00A06C50" w:rsidRPr="00E0255C">
              <w:rPr>
                <w:rFonts w:asciiTheme="minorHAnsi" w:eastAsia="Calibri" w:hAnsiTheme="minorHAnsi" w:cstheme="minorHAnsi"/>
                <w:lang w:val="en-GB" w:eastAsia="en-US"/>
              </w:rPr>
              <w:t>d</w:t>
            </w:r>
            <w:r w:rsidRPr="00E0255C">
              <w:rPr>
                <w:rFonts w:asciiTheme="minorHAnsi" w:eastAsia="Calibri" w:hAnsiTheme="minorHAnsi" w:cstheme="minorHAnsi"/>
                <w:lang w:val="en-GB" w:eastAsia="en-US"/>
              </w:rPr>
              <w:t xml:space="preserve">istributed ledger technologies (DLT) and e-services continues part of the work of the now closed </w:t>
            </w:r>
            <w:hyperlink r:id="rId571">
              <w:r w:rsidRPr="00E0255C">
                <w:rPr>
                  <w:rStyle w:val="Hyperlink"/>
                  <w:rFonts w:asciiTheme="minorHAnsi" w:eastAsia="Calibri" w:hAnsiTheme="minorHAnsi" w:cstheme="minorHAnsi"/>
                  <w:color w:val="auto"/>
                  <w:u w:val="none"/>
                  <w:lang w:val="en-GB" w:eastAsia="en-US"/>
                </w:rPr>
                <w:t>ITU-T Focus Group on distributed ledger technologies</w:t>
              </w:r>
            </w:hyperlink>
            <w:r w:rsidRPr="00E0255C">
              <w:rPr>
                <w:rFonts w:asciiTheme="minorHAnsi" w:eastAsia="Calibri" w:hAnsiTheme="minorHAnsi" w:cstheme="minorHAnsi"/>
              </w:rPr>
              <w:t>.</w:t>
            </w:r>
          </w:p>
          <w:p w14:paraId="194C654D" w14:textId="62BC9526"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rPr>
              <w:t xml:space="preserve">DLT are building blocks to many verticals, there included digital financial services, </w:t>
            </w:r>
            <w:proofErr w:type="gramStart"/>
            <w:r w:rsidRPr="00E0255C">
              <w:rPr>
                <w:rFonts w:asciiTheme="minorHAnsi" w:eastAsia="Calibri" w:hAnsiTheme="minorHAnsi" w:cstheme="minorHAnsi"/>
              </w:rPr>
              <w:t>in particular when</w:t>
            </w:r>
            <w:proofErr w:type="gramEnd"/>
            <w:r w:rsidRPr="00E0255C">
              <w:rPr>
                <w:rFonts w:asciiTheme="minorHAnsi" w:eastAsia="Calibri" w:hAnsiTheme="minorHAnsi" w:cstheme="minorHAnsi"/>
              </w:rPr>
              <w:t xml:space="preserve"> a trusted third party is not involved. Topics of interest for DFS that are being studied by Q22/16 include digital evidence services, digital </w:t>
            </w:r>
            <w:proofErr w:type="gramStart"/>
            <w:r w:rsidRPr="00E0255C">
              <w:rPr>
                <w:rFonts w:asciiTheme="minorHAnsi" w:eastAsia="Calibri" w:hAnsiTheme="minorHAnsi" w:cstheme="minorHAnsi"/>
              </w:rPr>
              <w:t>invoices</w:t>
            </w:r>
            <w:proofErr w:type="gramEnd"/>
            <w:r w:rsidRPr="00E0255C">
              <w:rPr>
                <w:rFonts w:asciiTheme="minorHAnsi" w:eastAsia="Calibri" w:hAnsiTheme="minorHAnsi" w:cstheme="minorHAnsi"/>
              </w:rPr>
              <w:t xml:space="preserve"> and smart contracts.</w:t>
            </w:r>
          </w:p>
          <w:p w14:paraId="5DCED197" w14:textId="70C1AFBA" w:rsidR="00CA4803" w:rsidRPr="00E0255C" w:rsidRDefault="00CA4803" w:rsidP="00CA4803">
            <w:p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Three DLT </w:t>
            </w:r>
            <w:r w:rsidR="00C664A4" w:rsidRPr="00E0255C">
              <w:rPr>
                <w:rFonts w:asciiTheme="minorHAnsi" w:eastAsia="Calibri" w:hAnsiTheme="minorHAnsi" w:cstheme="minorHAnsi"/>
              </w:rPr>
              <w:t>R</w:t>
            </w:r>
            <w:r w:rsidRPr="00E0255C">
              <w:rPr>
                <w:rFonts w:asciiTheme="minorHAnsi" w:eastAsia="Calibri" w:hAnsiTheme="minorHAnsi" w:cstheme="minorHAnsi"/>
              </w:rPr>
              <w:t>ecommendations (originally developed at the now closed </w:t>
            </w:r>
            <w:hyperlink r:id="rId572" w:history="1">
              <w:r w:rsidRPr="00E0255C">
                <w:rPr>
                  <w:rStyle w:val="Hyperlink"/>
                  <w:rFonts w:asciiTheme="minorHAnsi" w:eastAsia="Calibri" w:hAnsiTheme="minorHAnsi" w:cstheme="minorHAnsi"/>
                </w:rPr>
                <w:t>FG-DLT</w:t>
              </w:r>
            </w:hyperlink>
            <w:r w:rsidRPr="00E0255C">
              <w:rPr>
                <w:rFonts w:asciiTheme="minorHAnsi" w:eastAsia="Calibri" w:hAnsiTheme="minorHAnsi" w:cstheme="minorHAnsi"/>
                <w:lang w:val="en-GB" w:eastAsia="en-US"/>
              </w:rPr>
              <w:t>) were completed:</w:t>
            </w:r>
          </w:p>
          <w:p w14:paraId="624B64B2" w14:textId="1F6EBE2E" w:rsidR="00CA4803" w:rsidRPr="00E0255C" w:rsidRDefault="00CA4803" w:rsidP="00CA4803">
            <w:pPr>
              <w:numPr>
                <w:ilvl w:val="0"/>
                <w:numId w:val="15"/>
              </w:num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ITU-T </w:t>
            </w:r>
            <w:hyperlink r:id="rId573" w:tgtFrame="_blank" w:history="1">
              <w:r w:rsidRPr="00E0255C">
                <w:rPr>
                  <w:rFonts w:asciiTheme="minorHAnsi" w:hAnsiTheme="minorHAnsi" w:cstheme="minorHAnsi"/>
                  <w:color w:val="0000FF"/>
                  <w:u w:val="single"/>
                  <w:lang w:eastAsia="en-GB"/>
                </w:rPr>
                <w:t>F.751.0</w:t>
              </w:r>
            </w:hyperlink>
            <w:r w:rsidRPr="00E0255C">
              <w:rPr>
                <w:rFonts w:asciiTheme="minorHAnsi" w:eastAsia="Calibri" w:hAnsiTheme="minorHAnsi" w:cstheme="minorHAnsi"/>
                <w:lang w:val="en-GB" w:eastAsia="en-US"/>
              </w:rPr>
              <w:t xml:space="preserve"> </w:t>
            </w:r>
            <w:r w:rsidR="00A92ED1" w:rsidRPr="00E0255C">
              <w:rPr>
                <w:rFonts w:asciiTheme="minorHAnsi" w:eastAsia="Calibri" w:hAnsiTheme="minorHAnsi" w:cstheme="minorHAnsi"/>
                <w:lang w:val="en-GB" w:eastAsia="en-US"/>
              </w:rPr>
              <w:t>“</w:t>
            </w:r>
            <w:r w:rsidRPr="00E0255C">
              <w:rPr>
                <w:rFonts w:asciiTheme="minorHAnsi" w:eastAsia="Calibri" w:hAnsiTheme="minorHAnsi" w:cstheme="minorHAnsi"/>
                <w:lang w:val="en-GB" w:eastAsia="en-US"/>
              </w:rPr>
              <w:t>Requirements for distributed ledger systems</w:t>
            </w:r>
            <w:r w:rsidR="00A92ED1" w:rsidRPr="00E0255C">
              <w:rPr>
                <w:rFonts w:asciiTheme="minorHAnsi" w:eastAsia="Calibri" w:hAnsiTheme="minorHAnsi" w:cstheme="minorHAnsi"/>
                <w:lang w:val="en-GB" w:eastAsia="en-US"/>
              </w:rPr>
              <w:t>”</w:t>
            </w:r>
          </w:p>
          <w:p w14:paraId="0162EE83" w14:textId="10EF1014" w:rsidR="00CA4803" w:rsidRPr="00E0255C" w:rsidRDefault="00CA4803" w:rsidP="00CA4803">
            <w:pPr>
              <w:numPr>
                <w:ilvl w:val="0"/>
                <w:numId w:val="15"/>
              </w:num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ITU-T </w:t>
            </w:r>
            <w:hyperlink r:id="rId574" w:tgtFrame="_blank" w:history="1">
              <w:r w:rsidRPr="00E0255C">
                <w:rPr>
                  <w:rFonts w:asciiTheme="minorHAnsi" w:hAnsiTheme="minorHAnsi" w:cstheme="minorHAnsi"/>
                  <w:color w:val="0000FF"/>
                  <w:u w:val="single"/>
                  <w:lang w:eastAsia="en-GB"/>
                </w:rPr>
                <w:t>F.751.1</w:t>
              </w:r>
            </w:hyperlink>
            <w:r w:rsidRPr="00E0255C">
              <w:rPr>
                <w:rFonts w:asciiTheme="minorHAnsi" w:eastAsia="Calibri" w:hAnsiTheme="minorHAnsi" w:cstheme="minorHAnsi"/>
                <w:lang w:val="en-GB" w:eastAsia="en-US"/>
              </w:rPr>
              <w:t xml:space="preserve"> </w:t>
            </w:r>
            <w:r w:rsidR="00A92ED1" w:rsidRPr="00E0255C">
              <w:rPr>
                <w:rFonts w:asciiTheme="minorHAnsi" w:eastAsia="Calibri" w:hAnsiTheme="minorHAnsi" w:cstheme="minorHAnsi"/>
                <w:lang w:val="en-GB" w:eastAsia="en-US"/>
              </w:rPr>
              <w:t>“</w:t>
            </w:r>
            <w:r w:rsidRPr="00E0255C">
              <w:rPr>
                <w:rFonts w:asciiTheme="minorHAnsi" w:eastAsia="Calibri" w:hAnsiTheme="minorHAnsi" w:cstheme="minorHAnsi"/>
                <w:lang w:val="en-GB" w:eastAsia="en-US"/>
              </w:rPr>
              <w:t>Assessment criteria for distributed ledger technologies</w:t>
            </w:r>
            <w:r w:rsidR="00A92ED1" w:rsidRPr="00E0255C">
              <w:rPr>
                <w:rFonts w:asciiTheme="minorHAnsi" w:eastAsia="Calibri" w:hAnsiTheme="minorHAnsi" w:cstheme="minorHAnsi"/>
                <w:lang w:val="en-GB" w:eastAsia="en-US"/>
              </w:rPr>
              <w:t>”</w:t>
            </w:r>
          </w:p>
          <w:p w14:paraId="4B64D601" w14:textId="3E489A6B" w:rsidR="00CA4803" w:rsidRPr="00E0255C" w:rsidRDefault="00CA4803" w:rsidP="00CA4803">
            <w:pPr>
              <w:numPr>
                <w:ilvl w:val="0"/>
                <w:numId w:val="15"/>
              </w:num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ITU-T </w:t>
            </w:r>
            <w:hyperlink r:id="rId575" w:tgtFrame="_blank" w:history="1">
              <w:r w:rsidRPr="00E0255C">
                <w:rPr>
                  <w:rStyle w:val="Hyperlink"/>
                  <w:rFonts w:asciiTheme="minorHAnsi" w:hAnsiTheme="minorHAnsi" w:cstheme="minorHAnsi"/>
                </w:rPr>
                <w:t>F.751.2</w:t>
              </w:r>
            </w:hyperlink>
            <w:r w:rsidRPr="00E0255C">
              <w:rPr>
                <w:rFonts w:asciiTheme="minorHAnsi" w:eastAsia="Calibri" w:hAnsiTheme="minorHAnsi" w:cstheme="minorHAnsi"/>
                <w:lang w:val="en-GB" w:eastAsia="en-US"/>
              </w:rPr>
              <w:t xml:space="preserve"> </w:t>
            </w:r>
            <w:r w:rsidR="00A92ED1" w:rsidRPr="00E0255C">
              <w:rPr>
                <w:rFonts w:asciiTheme="minorHAnsi" w:eastAsia="Calibri" w:hAnsiTheme="minorHAnsi" w:cstheme="minorHAnsi"/>
                <w:lang w:val="en-GB" w:eastAsia="en-US"/>
              </w:rPr>
              <w:t>“</w:t>
            </w:r>
            <w:r w:rsidRPr="00E0255C">
              <w:rPr>
                <w:rFonts w:asciiTheme="minorHAnsi" w:eastAsia="Calibri" w:hAnsiTheme="minorHAnsi" w:cstheme="minorHAnsi"/>
                <w:lang w:val="en-GB" w:eastAsia="en-US"/>
              </w:rPr>
              <w:t>Reference framework for distributed ledger technologies</w:t>
            </w:r>
            <w:r w:rsidR="00AC4914" w:rsidRPr="00E0255C">
              <w:rPr>
                <w:rFonts w:asciiTheme="minorHAnsi" w:eastAsia="Calibri" w:hAnsiTheme="minorHAnsi" w:cstheme="minorHAnsi"/>
                <w:lang w:val="en-GB" w:eastAsia="en-US"/>
              </w:rPr>
              <w:t>.</w:t>
            </w:r>
          </w:p>
          <w:p w14:paraId="04C8A62D" w14:textId="435195C9" w:rsidR="478B1C36" w:rsidRPr="00E0255C" w:rsidRDefault="478B1C36" w:rsidP="00AC4914">
            <w:pPr>
              <w:rPr>
                <w:rFonts w:asciiTheme="minorHAnsi" w:eastAsia="Calibri" w:hAnsiTheme="minorHAnsi" w:cstheme="minorHAnsi"/>
                <w:lang w:val="en-GB"/>
              </w:rPr>
            </w:pPr>
            <w:r w:rsidRPr="00E0255C">
              <w:rPr>
                <w:rFonts w:asciiTheme="minorHAnsi" w:eastAsia="Calibri" w:hAnsiTheme="minorHAnsi" w:cstheme="minorHAnsi"/>
                <w:lang w:val="en-GB" w:eastAsia="en-US"/>
              </w:rPr>
              <w:t xml:space="preserve">Updated information can be found </w:t>
            </w:r>
            <w:hyperlink r:id="rId576" w:history="1">
              <w:r w:rsidR="00CD45FA" w:rsidRPr="00E0255C">
                <w:rPr>
                  <w:rStyle w:val="Hyperlink"/>
                  <w:rFonts w:asciiTheme="minorHAnsi" w:eastAsia="Calibri" w:hAnsiTheme="minorHAnsi" w:cstheme="minorHAnsi"/>
                  <w:lang w:val="en-GB" w:eastAsia="en-US"/>
                </w:rPr>
                <w:t>here</w:t>
              </w:r>
            </w:hyperlink>
            <w:r w:rsidR="00CD45FA" w:rsidRPr="00E0255C">
              <w:rPr>
                <w:rFonts w:asciiTheme="minorHAnsi" w:eastAsia="Calibri" w:hAnsiTheme="minorHAnsi" w:cstheme="minorHAnsi"/>
              </w:rPr>
              <w:t>.</w:t>
            </w:r>
          </w:p>
          <w:p w14:paraId="04913687" w14:textId="50ECAE10"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b/>
              </w:rPr>
              <w:t>ITU-T Study Group 17</w:t>
            </w:r>
          </w:p>
          <w:p w14:paraId="21AFA768" w14:textId="2BEC19C9"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 xml:space="preserve">FinTech revolution has disrupted the status quo, modernized old institutions, and changed the way for consumers to access financial products and services. Interfaces between FinTech </w:t>
            </w:r>
            <w:r w:rsidR="00F2405D" w:rsidRPr="00E0255C">
              <w:rPr>
                <w:rFonts w:asciiTheme="minorHAnsi" w:eastAsia="Calibri" w:hAnsiTheme="minorHAnsi" w:cstheme="minorHAnsi"/>
              </w:rPr>
              <w:t>start-ups</w:t>
            </w:r>
            <w:r w:rsidRPr="00E0255C">
              <w:rPr>
                <w:rFonts w:asciiTheme="minorHAnsi" w:eastAsia="Calibri" w:hAnsiTheme="minorHAnsi" w:cstheme="minorHAnsi"/>
              </w:rPr>
              <w:t xml:space="preserve"> and traditional providers are a common source of cyber vulnerabilities. ITU-T </w:t>
            </w:r>
            <w:r w:rsidR="006D38B9" w:rsidRPr="00E0255C">
              <w:rPr>
                <w:rFonts w:asciiTheme="minorHAnsi" w:eastAsia="Calibri" w:hAnsiTheme="minorHAnsi" w:cstheme="minorHAnsi"/>
              </w:rPr>
              <w:t>SG 17</w:t>
            </w:r>
            <w:r w:rsidRPr="00E0255C">
              <w:rPr>
                <w:rFonts w:asciiTheme="minorHAnsi" w:eastAsia="Calibri" w:hAnsiTheme="minorHAnsi" w:cstheme="minorHAnsi"/>
              </w:rPr>
              <w:t xml:space="preserve"> is developing technical and procedural specifications to ensure risk-based security management are implemented in every lifecycle stage, </w:t>
            </w:r>
            <w:proofErr w:type="gramStart"/>
            <w:r w:rsidRPr="00E0255C">
              <w:rPr>
                <w:rFonts w:asciiTheme="minorHAnsi" w:eastAsia="Calibri" w:hAnsiTheme="minorHAnsi" w:cstheme="minorHAnsi"/>
              </w:rPr>
              <w:t>component</w:t>
            </w:r>
            <w:proofErr w:type="gramEnd"/>
            <w:r w:rsidRPr="00E0255C">
              <w:rPr>
                <w:rFonts w:asciiTheme="minorHAnsi" w:eastAsia="Calibri" w:hAnsiTheme="minorHAnsi" w:cstheme="minorHAnsi"/>
              </w:rPr>
              <w:t xml:space="preserve"> and interface of FinTech systems and services.</w:t>
            </w:r>
          </w:p>
          <w:p w14:paraId="548D96BF" w14:textId="1BA5FEBA" w:rsidR="478B1C36" w:rsidRPr="00E0255C" w:rsidRDefault="006D38B9"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lastRenderedPageBreak/>
              <w:t>SG 17</w:t>
            </w:r>
            <w:r w:rsidR="00841BA7" w:rsidRPr="00E0255C">
              <w:rPr>
                <w:rFonts w:asciiTheme="minorHAnsi" w:eastAsia="Calibri" w:hAnsiTheme="minorHAnsi" w:cstheme="minorHAnsi"/>
              </w:rPr>
              <w:t xml:space="preserve"> approved Recommendation ITU-T X.1149: Security framework of open platform for FinTech services and continues working on</w:t>
            </w:r>
            <w:r w:rsidR="478B1C36" w:rsidRPr="00E0255C">
              <w:rPr>
                <w:rFonts w:asciiTheme="minorHAnsi" w:eastAsia="Calibri" w:hAnsiTheme="minorHAnsi" w:cstheme="minorHAnsi"/>
              </w:rPr>
              <w:t>:</w:t>
            </w:r>
          </w:p>
          <w:p w14:paraId="77E3CC4B" w14:textId="1B9375EB" w:rsidR="478B1C36" w:rsidRPr="00E0255C" w:rsidRDefault="00570F0C" w:rsidP="00CA4803">
            <w:pPr>
              <w:pStyle w:val="ListParagraph"/>
              <w:numPr>
                <w:ilvl w:val="0"/>
                <w:numId w:val="15"/>
              </w:numPr>
              <w:spacing w:before="60" w:after="60"/>
              <w:rPr>
                <w:rFonts w:asciiTheme="minorHAnsi" w:hAnsiTheme="minorHAnsi" w:cstheme="minorHAnsi"/>
                <w:lang w:val="en-GB"/>
              </w:rPr>
            </w:pPr>
            <w:hyperlink r:id="rId577">
              <w:proofErr w:type="spellStart"/>
              <w:r w:rsidR="478B1C36" w:rsidRPr="00E0255C">
                <w:rPr>
                  <w:rStyle w:val="Hyperlink"/>
                  <w:rFonts w:asciiTheme="minorHAnsi" w:hAnsiTheme="minorHAnsi" w:cstheme="minorHAnsi"/>
                  <w:lang w:val="en-GB"/>
                </w:rPr>
                <w:t>X.str-dlt</w:t>
              </w:r>
              <w:proofErr w:type="spellEnd"/>
            </w:hyperlink>
            <w:r w:rsidR="478B1C36" w:rsidRPr="00E0255C">
              <w:rPr>
                <w:rFonts w:asciiTheme="minorHAnsi" w:hAnsiTheme="minorHAnsi" w:cstheme="minorHAnsi"/>
                <w:lang w:val="en-GB"/>
              </w:rPr>
              <w:t>: Security requirements for digital payment services using distributed ledger technology.</w:t>
            </w:r>
          </w:p>
          <w:p w14:paraId="031F687B" w14:textId="37CA10F5" w:rsidR="00573DA9" w:rsidRPr="00E0255C" w:rsidRDefault="00A362C4" w:rsidP="00CA4803">
            <w:pPr>
              <w:pStyle w:val="ListParagraph"/>
              <w:numPr>
                <w:ilvl w:val="0"/>
                <w:numId w:val="15"/>
              </w:numPr>
              <w:spacing w:before="60" w:after="60"/>
              <w:rPr>
                <w:rFonts w:asciiTheme="minorHAnsi" w:eastAsia="Calibri" w:hAnsiTheme="minorHAnsi" w:cstheme="minorHAnsi"/>
                <w:lang w:val="en-GB" w:eastAsia="zh-CN"/>
              </w:rPr>
            </w:pPr>
            <w:proofErr w:type="spellStart"/>
            <w:r w:rsidRPr="00E0255C">
              <w:rPr>
                <w:rFonts w:asciiTheme="minorHAnsi" w:eastAsia="Calibri" w:hAnsiTheme="minorHAnsi" w:cstheme="minorHAnsi"/>
                <w:lang w:val="en-GB" w:eastAsia="zh-CN"/>
              </w:rPr>
              <w:t>X.srcsm-dlt</w:t>
            </w:r>
            <w:proofErr w:type="spellEnd"/>
            <w:r w:rsidRPr="00E0255C">
              <w:rPr>
                <w:rFonts w:asciiTheme="minorHAnsi" w:eastAsia="Calibri" w:hAnsiTheme="minorHAnsi" w:cstheme="minorHAnsi"/>
                <w:lang w:val="en-GB" w:eastAsia="zh-CN"/>
              </w:rPr>
              <w:t xml:space="preserve">: Security requirements for smart contract management using </w:t>
            </w:r>
            <w:proofErr w:type="gramStart"/>
            <w:r w:rsidRPr="00E0255C">
              <w:rPr>
                <w:rFonts w:asciiTheme="minorHAnsi" w:eastAsia="Calibri" w:hAnsiTheme="minorHAnsi" w:cstheme="minorHAnsi"/>
                <w:lang w:val="en-GB" w:eastAsia="zh-CN"/>
              </w:rPr>
              <w:t>DLT</w:t>
            </w:r>
            <w:proofErr w:type="gramEnd"/>
          </w:p>
          <w:p w14:paraId="649239D5" w14:textId="77777777" w:rsidR="003F13D6" w:rsidRPr="00E0255C" w:rsidRDefault="003F13D6" w:rsidP="003F13D6">
            <w:pPr>
              <w:spacing w:before="120" w:after="60"/>
              <w:jc w:val="both"/>
              <w:rPr>
                <w:rFonts w:asciiTheme="minorHAnsi" w:eastAsia="Calibri" w:hAnsiTheme="minorHAnsi" w:cstheme="minorHAnsi"/>
                <w:b/>
                <w:lang w:val="en-GB"/>
              </w:rPr>
            </w:pPr>
            <w:r w:rsidRPr="00E0255C">
              <w:rPr>
                <w:rFonts w:asciiTheme="minorHAnsi" w:eastAsia="Calibri" w:hAnsiTheme="minorHAnsi" w:cstheme="minorHAnsi"/>
                <w:b/>
              </w:rPr>
              <w:t>Digital Currency Global Initiative</w:t>
            </w:r>
          </w:p>
          <w:p w14:paraId="58C19172" w14:textId="43054CB2" w:rsidR="003F13D6" w:rsidRPr="00E0255C" w:rsidRDefault="003F13D6" w:rsidP="003F13D6">
            <w:pPr>
              <w:rPr>
                <w:rFonts w:asciiTheme="minorHAnsi" w:hAnsiTheme="minorHAnsi" w:cstheme="minorHAnsi"/>
                <w:lang w:val="en-GB" w:eastAsia="en-GB"/>
              </w:rPr>
            </w:pPr>
            <w:r w:rsidRPr="00E0255C">
              <w:rPr>
                <w:rFonts w:asciiTheme="minorHAnsi" w:hAnsiTheme="minorHAnsi" w:cstheme="minorHAnsi"/>
                <w:lang w:eastAsia="en-GB"/>
              </w:rPr>
              <w:t xml:space="preserve">The </w:t>
            </w:r>
            <w:hyperlink r:id="rId578" w:tgtFrame="_blank" w:history="1">
              <w:r w:rsidRPr="00E0255C">
                <w:rPr>
                  <w:rFonts w:asciiTheme="minorHAnsi" w:hAnsiTheme="minorHAnsi" w:cstheme="minorHAnsi"/>
                  <w:color w:val="0000FF"/>
                  <w:u w:val="single"/>
                  <w:lang w:eastAsia="en-GB"/>
                </w:rPr>
                <w:t>Digital Currency Global Initiative</w:t>
              </w:r>
            </w:hyperlink>
            <w:r w:rsidRPr="00E0255C">
              <w:rPr>
                <w:rFonts w:asciiTheme="minorHAnsi" w:eastAsiaTheme="minorHAnsi" w:hAnsiTheme="minorHAnsi" w:cstheme="minorHAnsi"/>
                <w:lang w:val="en-GB" w:eastAsia="en-GB"/>
              </w:rPr>
              <w:t xml:space="preserve"> is a collaboration between ITU and Stanford University which was established in July 2020</w:t>
            </w:r>
            <w:r w:rsidR="00202FD7" w:rsidRPr="00E0255C">
              <w:rPr>
                <w:rFonts w:asciiTheme="minorHAnsi" w:eastAsiaTheme="minorHAnsi" w:hAnsiTheme="minorHAnsi" w:cstheme="minorHAnsi"/>
                <w:lang w:val="en-GB" w:eastAsia="en-GB"/>
              </w:rPr>
              <w:t xml:space="preserve">. Its </w:t>
            </w:r>
            <w:r w:rsidRPr="00E0255C">
              <w:rPr>
                <w:rFonts w:asciiTheme="minorHAnsi" w:eastAsiaTheme="minorHAnsi" w:hAnsiTheme="minorHAnsi" w:cstheme="minorHAnsi"/>
                <w:lang w:val="en-GB" w:eastAsia="en-GB"/>
              </w:rPr>
              <w:t xml:space="preserve">main objectives </w:t>
            </w:r>
            <w:r w:rsidR="00202FD7" w:rsidRPr="00E0255C">
              <w:rPr>
                <w:rFonts w:asciiTheme="minorHAnsi" w:eastAsiaTheme="minorHAnsi" w:hAnsiTheme="minorHAnsi" w:cstheme="minorHAnsi"/>
                <w:lang w:val="en-GB" w:eastAsia="en-GB"/>
              </w:rPr>
              <w:t>are to</w:t>
            </w:r>
            <w:r w:rsidRPr="00E0255C">
              <w:rPr>
                <w:rFonts w:asciiTheme="minorHAnsi" w:eastAsiaTheme="minorHAnsi" w:hAnsiTheme="minorHAnsi" w:cstheme="minorHAnsi"/>
                <w:lang w:val="en-GB" w:eastAsia="en-GB"/>
              </w:rPr>
              <w:t>:</w:t>
            </w:r>
          </w:p>
          <w:p w14:paraId="14F59FED" w14:textId="6743955F" w:rsidR="003F13D6" w:rsidRPr="00E0255C" w:rsidRDefault="003F13D6" w:rsidP="003F13D6">
            <w:pPr>
              <w:numPr>
                <w:ilvl w:val="0"/>
                <w:numId w:val="60"/>
              </w:numPr>
              <w:contextualSpacing/>
              <w:rPr>
                <w:rFonts w:asciiTheme="minorHAnsi" w:eastAsia="PMingLiU" w:hAnsiTheme="minorHAnsi" w:cstheme="minorHAnsi"/>
                <w:lang w:val="en-GB" w:eastAsia="en-GB"/>
              </w:rPr>
            </w:pPr>
            <w:r w:rsidRPr="00E0255C">
              <w:rPr>
                <w:rFonts w:asciiTheme="minorHAnsi" w:eastAsia="PMingLiU" w:hAnsiTheme="minorHAnsi" w:cstheme="minorHAnsi"/>
                <w:lang w:eastAsia="en-GB"/>
              </w:rPr>
              <w:t xml:space="preserve">Conduct further research on technical architecture, security, the technical </w:t>
            </w:r>
            <w:proofErr w:type="gramStart"/>
            <w:r w:rsidRPr="00E0255C">
              <w:rPr>
                <w:rFonts w:asciiTheme="minorHAnsi" w:eastAsia="PMingLiU" w:hAnsiTheme="minorHAnsi" w:cstheme="minorHAnsi"/>
                <w:lang w:eastAsia="en-GB"/>
              </w:rPr>
              <w:t>implications</w:t>
            </w:r>
            <w:proofErr w:type="gramEnd"/>
            <w:r w:rsidRPr="00E0255C">
              <w:rPr>
                <w:rFonts w:asciiTheme="minorHAnsi" w:eastAsia="PMingLiU" w:hAnsiTheme="minorHAnsi" w:cstheme="minorHAnsi"/>
                <w:lang w:eastAsia="en-GB"/>
              </w:rPr>
              <w:t xml:space="preserve"> and challenges in deployment caused by regulatory and policy requirements for central bank digital currency and other digital currencies, technology trends in digital currency and the use cases related to financial inclusion, operational efficiency and interoperability</w:t>
            </w:r>
            <w:r w:rsidR="00AC4914" w:rsidRPr="00E0255C">
              <w:rPr>
                <w:rFonts w:asciiTheme="minorHAnsi" w:eastAsia="PMingLiU" w:hAnsiTheme="minorHAnsi" w:cstheme="minorHAnsi"/>
                <w:lang w:eastAsia="en-GB"/>
              </w:rPr>
              <w:t>.</w:t>
            </w:r>
          </w:p>
          <w:p w14:paraId="2E0514F3" w14:textId="77777777" w:rsidR="003F13D6" w:rsidRPr="00E0255C" w:rsidRDefault="003F13D6" w:rsidP="003F13D6">
            <w:pPr>
              <w:numPr>
                <w:ilvl w:val="0"/>
                <w:numId w:val="60"/>
              </w:numPr>
              <w:contextualSpacing/>
              <w:rPr>
                <w:rFonts w:asciiTheme="minorHAnsi" w:eastAsia="PMingLiU" w:hAnsiTheme="minorHAnsi" w:cstheme="minorHAnsi"/>
                <w:lang w:val="en-GB" w:eastAsia="en-GB"/>
              </w:rPr>
            </w:pPr>
            <w:r w:rsidRPr="00E0255C">
              <w:rPr>
                <w:rFonts w:asciiTheme="minorHAnsi" w:eastAsia="PMingLiU" w:hAnsiTheme="minorHAnsi" w:cstheme="minorHAnsi"/>
                <w:lang w:eastAsia="en-GB"/>
              </w:rPr>
              <w:t>Develop a set of metrics by which to evaluate the robustness of various digital currency technologies against the requirements set by various stakeholders.</w:t>
            </w:r>
          </w:p>
          <w:p w14:paraId="14017D8E" w14:textId="301CE579" w:rsidR="003F13D6" w:rsidRPr="00E0255C" w:rsidRDefault="003F13D6" w:rsidP="003F13D6">
            <w:pPr>
              <w:numPr>
                <w:ilvl w:val="0"/>
                <w:numId w:val="60"/>
              </w:numPr>
              <w:contextualSpacing/>
              <w:rPr>
                <w:rFonts w:asciiTheme="minorHAnsi" w:eastAsia="PMingLiU" w:hAnsiTheme="minorHAnsi" w:cstheme="minorHAnsi"/>
                <w:lang w:val="en-GB" w:eastAsia="en-GB"/>
              </w:rPr>
            </w:pPr>
            <w:r w:rsidRPr="00E0255C">
              <w:rPr>
                <w:rFonts w:asciiTheme="minorHAnsi" w:eastAsia="PMingLiU" w:hAnsiTheme="minorHAnsi" w:cstheme="minorHAnsi"/>
                <w:lang w:eastAsia="en-GB"/>
              </w:rPr>
              <w:t>Identify areas for standardization to enable implementation of digital currency</w:t>
            </w:r>
            <w:r w:rsidR="00AC4914" w:rsidRPr="00E0255C">
              <w:rPr>
                <w:rFonts w:asciiTheme="minorHAnsi" w:eastAsia="PMingLiU" w:hAnsiTheme="minorHAnsi" w:cstheme="minorHAnsi"/>
                <w:lang w:eastAsia="en-GB"/>
              </w:rPr>
              <w:t>.</w:t>
            </w:r>
          </w:p>
          <w:p w14:paraId="183A6ACF" w14:textId="77777777" w:rsidR="003F13D6" w:rsidRPr="00E0255C" w:rsidRDefault="003F13D6" w:rsidP="003F13D6">
            <w:pPr>
              <w:numPr>
                <w:ilvl w:val="0"/>
                <w:numId w:val="60"/>
              </w:numPr>
              <w:contextualSpacing/>
              <w:rPr>
                <w:rFonts w:asciiTheme="minorHAnsi" w:eastAsia="PMingLiU" w:hAnsiTheme="minorHAnsi" w:cstheme="minorHAnsi"/>
                <w:lang w:val="en-GB" w:eastAsia="en-GB"/>
              </w:rPr>
            </w:pPr>
            <w:r w:rsidRPr="00E0255C">
              <w:rPr>
                <w:rFonts w:asciiTheme="minorHAnsi" w:eastAsia="PMingLiU" w:hAnsiTheme="minorHAnsi" w:cstheme="minorHAnsi"/>
                <w:lang w:eastAsia="en-GB"/>
              </w:rPr>
              <w:t>Organize a conference on an annual basis to share information on best practices, technical standards and lessons learned on digital currency implementation.</w:t>
            </w:r>
          </w:p>
          <w:p w14:paraId="14203FD9" w14:textId="77777777" w:rsidR="003F13D6" w:rsidRPr="00E0255C" w:rsidRDefault="003F13D6" w:rsidP="003F13D6">
            <w:pPr>
              <w:spacing w:before="240"/>
              <w:rPr>
                <w:rFonts w:asciiTheme="minorHAnsi" w:hAnsiTheme="minorHAnsi" w:cstheme="minorHAnsi"/>
                <w:color w:val="201F1E"/>
                <w:lang w:val="en-GB" w:eastAsia="en-GB"/>
              </w:rPr>
            </w:pPr>
            <w:r w:rsidRPr="00E0255C">
              <w:rPr>
                <w:rFonts w:asciiTheme="minorHAnsi" w:hAnsiTheme="minorHAnsi" w:cstheme="minorHAnsi"/>
                <w:color w:val="201F1E"/>
                <w:lang w:eastAsia="en-GB"/>
              </w:rPr>
              <w:t>The Digital Currency Global Initiative will continue the dialogue and research initiated by the ITU-T Focus Group on Digital Currency including Digital Fiat Currency on pilot implementations, use cases, applications and developing specifications for technical standards that will foster adoption, universal access, and ultimately financial inclusion.</w:t>
            </w:r>
          </w:p>
          <w:p w14:paraId="343E2799" w14:textId="77777777" w:rsidR="003F13D6" w:rsidRPr="00E0255C" w:rsidRDefault="003F13D6" w:rsidP="003F13D6">
            <w:pPr>
              <w:rPr>
                <w:rFonts w:asciiTheme="minorHAnsi" w:hAnsiTheme="minorHAnsi" w:cstheme="minorHAnsi"/>
                <w:lang w:val="en-GB" w:eastAsia="en-GB"/>
              </w:rPr>
            </w:pPr>
            <w:r w:rsidRPr="00E0255C">
              <w:rPr>
                <w:rFonts w:asciiTheme="minorHAnsi" w:hAnsiTheme="minorHAnsi" w:cstheme="minorHAnsi"/>
                <w:lang w:eastAsia="en-GB"/>
              </w:rPr>
              <w:t>Participation is open to all interested parties.</w:t>
            </w:r>
          </w:p>
          <w:p w14:paraId="4F81E229" w14:textId="77777777" w:rsidR="003F13D6" w:rsidRPr="00E0255C" w:rsidRDefault="003F13D6" w:rsidP="003F13D6">
            <w:pPr>
              <w:rPr>
                <w:rFonts w:asciiTheme="minorHAnsi" w:hAnsiTheme="minorHAnsi" w:cstheme="minorHAnsi"/>
                <w:lang w:val="en-GB" w:eastAsia="en-GB"/>
              </w:rPr>
            </w:pPr>
            <w:r w:rsidRPr="00E0255C">
              <w:rPr>
                <w:rFonts w:asciiTheme="minorHAnsi" w:hAnsiTheme="minorHAnsi" w:cstheme="minorHAnsi"/>
                <w:lang w:eastAsia="en-GB"/>
              </w:rPr>
              <w:t xml:space="preserve">The activities of the Digital Currency Global Initiative are focused around three main pillars: engagement, innovative </w:t>
            </w:r>
            <w:proofErr w:type="gramStart"/>
            <w:r w:rsidRPr="00E0255C">
              <w:rPr>
                <w:rFonts w:asciiTheme="minorHAnsi" w:hAnsiTheme="minorHAnsi" w:cstheme="minorHAnsi"/>
                <w:lang w:eastAsia="en-GB"/>
              </w:rPr>
              <w:t>use</w:t>
            </w:r>
            <w:proofErr w:type="gramEnd"/>
            <w:r w:rsidRPr="00E0255C">
              <w:rPr>
                <w:rFonts w:asciiTheme="minorHAnsi" w:hAnsiTheme="minorHAnsi" w:cstheme="minorHAnsi"/>
                <w:lang w:eastAsia="en-GB"/>
              </w:rPr>
              <w:t xml:space="preserve"> and standardization. Three working groups were set up under the Standardization pillar during the first meeting:</w:t>
            </w:r>
          </w:p>
          <w:p w14:paraId="44CE26F8" w14:textId="77777777" w:rsidR="003F13D6" w:rsidRPr="00E0255C" w:rsidRDefault="003F13D6" w:rsidP="003F13D6">
            <w:pPr>
              <w:numPr>
                <w:ilvl w:val="0"/>
                <w:numId w:val="61"/>
              </w:numPr>
              <w:contextualSpacing/>
              <w:rPr>
                <w:rFonts w:asciiTheme="minorHAnsi" w:eastAsia="PMingLiU" w:hAnsiTheme="minorHAnsi" w:cstheme="minorHAnsi"/>
                <w:lang w:val="en-GB" w:eastAsia="en-GB"/>
              </w:rPr>
            </w:pPr>
            <w:r w:rsidRPr="00E0255C">
              <w:rPr>
                <w:rFonts w:asciiTheme="minorHAnsi" w:eastAsia="PMingLiU" w:hAnsiTheme="minorHAnsi" w:cstheme="minorHAnsi"/>
                <w:lang w:eastAsia="en-GB"/>
              </w:rPr>
              <w:t>Architecture, Interoperability Requirements and Use Cases (AIRU)</w:t>
            </w:r>
          </w:p>
          <w:p w14:paraId="33B9DD66" w14:textId="77777777" w:rsidR="003F13D6" w:rsidRPr="00E0255C" w:rsidRDefault="003F13D6" w:rsidP="003F13D6">
            <w:pPr>
              <w:numPr>
                <w:ilvl w:val="0"/>
                <w:numId w:val="61"/>
              </w:numPr>
              <w:contextualSpacing/>
              <w:rPr>
                <w:rFonts w:asciiTheme="minorHAnsi" w:eastAsia="PMingLiU" w:hAnsiTheme="minorHAnsi" w:cstheme="minorHAnsi"/>
                <w:lang w:val="en-GB" w:eastAsia="en-GB"/>
              </w:rPr>
            </w:pPr>
            <w:r w:rsidRPr="00E0255C">
              <w:rPr>
                <w:rFonts w:asciiTheme="minorHAnsi" w:eastAsia="PMingLiU" w:hAnsiTheme="minorHAnsi" w:cstheme="minorHAnsi"/>
                <w:lang w:eastAsia="en-GB"/>
              </w:rPr>
              <w:t>Policy and Governance (PG)</w:t>
            </w:r>
          </w:p>
          <w:p w14:paraId="571E1DCC" w14:textId="1D1FFE9A" w:rsidR="003F13D6" w:rsidRPr="00E0255C" w:rsidRDefault="003F13D6" w:rsidP="008459CA">
            <w:pPr>
              <w:numPr>
                <w:ilvl w:val="0"/>
                <w:numId w:val="61"/>
              </w:numPr>
              <w:contextualSpacing/>
              <w:rPr>
                <w:rFonts w:asciiTheme="minorHAnsi" w:eastAsia="PMingLiU" w:hAnsiTheme="minorHAnsi" w:cstheme="minorHAnsi"/>
                <w:lang w:val="en-GB" w:eastAsia="en-GB"/>
              </w:rPr>
            </w:pPr>
            <w:r w:rsidRPr="00E0255C">
              <w:rPr>
                <w:rFonts w:asciiTheme="minorHAnsi" w:eastAsia="PMingLiU" w:hAnsiTheme="minorHAnsi" w:cstheme="minorHAnsi"/>
                <w:lang w:eastAsia="en-GB"/>
              </w:rPr>
              <w:t>Security and Assurance (SA).</w:t>
            </w:r>
          </w:p>
          <w:p w14:paraId="3969FC71" w14:textId="2F398388" w:rsidR="003F13D6" w:rsidRPr="00E0255C" w:rsidRDefault="003F13D6" w:rsidP="003F13D6">
            <w:pPr>
              <w:spacing w:before="120"/>
              <w:rPr>
                <w:rFonts w:asciiTheme="minorHAnsi" w:hAnsiTheme="minorHAnsi" w:cstheme="minorHAnsi"/>
                <w:lang w:val="en-GB" w:eastAsia="en-GB"/>
              </w:rPr>
            </w:pPr>
            <w:r w:rsidRPr="00E0255C">
              <w:rPr>
                <w:rFonts w:asciiTheme="minorHAnsi" w:hAnsiTheme="minorHAnsi" w:cstheme="minorHAnsi"/>
                <w:lang w:eastAsia="en-GB"/>
              </w:rPr>
              <w:t>The first e-meeting of the Digital Currency Global Initiative was held 22-23 July 2020 and some 157 participants from 40 countries participated in the event. The participants include</w:t>
            </w:r>
            <w:r w:rsidR="00202FD7" w:rsidRPr="00E0255C">
              <w:rPr>
                <w:rFonts w:asciiTheme="minorHAnsi" w:hAnsiTheme="minorHAnsi" w:cstheme="minorHAnsi"/>
                <w:lang w:eastAsia="en-GB"/>
              </w:rPr>
              <w:t>d</w:t>
            </w:r>
            <w:r w:rsidRPr="00E0255C">
              <w:rPr>
                <w:rFonts w:asciiTheme="minorHAnsi" w:hAnsiTheme="minorHAnsi" w:cstheme="minorHAnsi"/>
                <w:lang w:eastAsia="en-GB"/>
              </w:rPr>
              <w:t xml:space="preserve"> </w:t>
            </w:r>
            <w:r w:rsidR="00202FD7" w:rsidRPr="00E0255C">
              <w:rPr>
                <w:rFonts w:asciiTheme="minorHAnsi" w:hAnsiTheme="minorHAnsi" w:cstheme="minorHAnsi"/>
                <w:lang w:eastAsia="en-GB"/>
              </w:rPr>
              <w:t>c</w:t>
            </w:r>
            <w:r w:rsidRPr="00E0255C">
              <w:rPr>
                <w:rFonts w:asciiTheme="minorHAnsi" w:hAnsiTheme="minorHAnsi" w:cstheme="minorHAnsi"/>
                <w:lang w:eastAsia="en-GB"/>
              </w:rPr>
              <w:t xml:space="preserve">entral </w:t>
            </w:r>
            <w:r w:rsidR="00202FD7" w:rsidRPr="00E0255C">
              <w:rPr>
                <w:rFonts w:asciiTheme="minorHAnsi" w:hAnsiTheme="minorHAnsi" w:cstheme="minorHAnsi"/>
                <w:lang w:eastAsia="en-GB"/>
              </w:rPr>
              <w:t>b</w:t>
            </w:r>
            <w:r w:rsidRPr="00E0255C">
              <w:rPr>
                <w:rFonts w:asciiTheme="minorHAnsi" w:hAnsiTheme="minorHAnsi" w:cstheme="minorHAnsi"/>
                <w:lang w:eastAsia="en-GB"/>
              </w:rPr>
              <w:t xml:space="preserve">anks, digital currency platform providers, fintech companies, payment service providers, </w:t>
            </w:r>
            <w:proofErr w:type="gramStart"/>
            <w:r w:rsidRPr="00E0255C">
              <w:rPr>
                <w:rFonts w:asciiTheme="minorHAnsi" w:hAnsiTheme="minorHAnsi" w:cstheme="minorHAnsi"/>
                <w:lang w:eastAsia="en-GB"/>
              </w:rPr>
              <w:t>academia</w:t>
            </w:r>
            <w:proofErr w:type="gramEnd"/>
            <w:r w:rsidRPr="00E0255C">
              <w:rPr>
                <w:rFonts w:asciiTheme="minorHAnsi" w:hAnsiTheme="minorHAnsi" w:cstheme="minorHAnsi"/>
                <w:lang w:eastAsia="en-GB"/>
              </w:rPr>
              <w:t xml:space="preserve"> and international organizations. Its various working groups and work streams held some 20 virtual meetings in the period July–December 2020.</w:t>
            </w:r>
          </w:p>
          <w:p w14:paraId="32065305" w14:textId="4C77C1FC" w:rsidR="003F13D6" w:rsidRPr="00E0255C" w:rsidRDefault="003F13D6" w:rsidP="003F13D6">
            <w:pPr>
              <w:spacing w:before="240"/>
              <w:rPr>
                <w:rFonts w:asciiTheme="minorHAnsi" w:hAnsiTheme="minorHAnsi" w:cstheme="minorHAnsi"/>
                <w:b/>
                <w:bCs/>
                <w:lang w:val="en-GB" w:eastAsia="en-GB"/>
              </w:rPr>
            </w:pPr>
            <w:r w:rsidRPr="00E0255C">
              <w:rPr>
                <w:rFonts w:asciiTheme="minorHAnsi" w:hAnsiTheme="minorHAnsi" w:cstheme="minorHAnsi"/>
                <w:b/>
                <w:lang w:eastAsia="en-GB"/>
              </w:rPr>
              <w:t>Insights on Digital Financial Services during COVID-19 Webinar Series</w:t>
            </w:r>
          </w:p>
          <w:p w14:paraId="4085FA4F" w14:textId="2DD60681" w:rsidR="003F13D6" w:rsidRPr="00E0255C" w:rsidRDefault="003F13D6" w:rsidP="00A97704">
            <w:pPr>
              <w:spacing w:before="120" w:after="60"/>
              <w:jc w:val="both"/>
              <w:rPr>
                <w:rFonts w:asciiTheme="minorHAnsi" w:eastAsia="Calibri" w:hAnsiTheme="minorHAnsi" w:cstheme="minorHAnsi"/>
                <w:b/>
                <w:lang w:val="en-GB"/>
              </w:rPr>
            </w:pPr>
            <w:r w:rsidRPr="00E0255C">
              <w:rPr>
                <w:rFonts w:asciiTheme="minorHAnsi" w:hAnsiTheme="minorHAnsi" w:cstheme="minorHAnsi"/>
                <w:lang w:eastAsia="en-GB"/>
              </w:rPr>
              <w:t xml:space="preserve">TSB organized the </w:t>
            </w:r>
            <w:hyperlink r:id="rId579" w:tgtFrame="_blank" w:history="1">
              <w:r w:rsidRPr="00E0255C">
                <w:rPr>
                  <w:rFonts w:asciiTheme="minorHAnsi" w:hAnsiTheme="minorHAnsi" w:cstheme="minorHAnsi"/>
                  <w:color w:val="0000FF"/>
                  <w:u w:val="single"/>
                  <w:lang w:eastAsia="en-GB"/>
                </w:rPr>
                <w:t>Insights on DFS webinar series</w:t>
              </w:r>
            </w:hyperlink>
            <w:r w:rsidRPr="00E0255C">
              <w:rPr>
                <w:rFonts w:asciiTheme="minorHAnsi" w:eastAsiaTheme="minorHAnsi" w:hAnsiTheme="minorHAnsi" w:cstheme="minorHAnsi"/>
                <w:lang w:val="en-GB" w:eastAsia="en-GB"/>
              </w:rPr>
              <w:t xml:space="preserve"> focusing on digital financial services </w:t>
            </w:r>
            <w:r w:rsidR="00613103" w:rsidRPr="00E0255C">
              <w:rPr>
                <w:rFonts w:asciiTheme="minorHAnsi" w:eastAsiaTheme="minorHAnsi" w:hAnsiTheme="minorHAnsi" w:cstheme="minorHAnsi"/>
                <w:lang w:val="en-GB" w:eastAsia="en-GB"/>
              </w:rPr>
              <w:t xml:space="preserve">(DFS) </w:t>
            </w:r>
            <w:r w:rsidRPr="00E0255C">
              <w:rPr>
                <w:rFonts w:asciiTheme="minorHAnsi" w:eastAsiaTheme="minorHAnsi" w:hAnsiTheme="minorHAnsi" w:cstheme="minorHAnsi"/>
                <w:lang w:val="en-GB" w:eastAsia="en-GB"/>
              </w:rPr>
              <w:t xml:space="preserve">with the objective of providing insights on the innovative applications of telecommunication services, digital payments and fintech in addressing </w:t>
            </w:r>
            <w:r w:rsidR="00613103" w:rsidRPr="00E0255C">
              <w:rPr>
                <w:rFonts w:asciiTheme="minorHAnsi" w:eastAsiaTheme="minorHAnsi" w:hAnsiTheme="minorHAnsi" w:cstheme="minorHAnsi"/>
                <w:lang w:val="en-GB" w:eastAsia="en-GB"/>
              </w:rPr>
              <w:t xml:space="preserve">the introduction of </w:t>
            </w:r>
            <w:r w:rsidRPr="00E0255C">
              <w:rPr>
                <w:rFonts w:asciiTheme="minorHAnsi" w:eastAsiaTheme="minorHAnsi" w:hAnsiTheme="minorHAnsi" w:cstheme="minorHAnsi"/>
                <w:lang w:val="en-GB" w:eastAsia="en-GB"/>
              </w:rPr>
              <w:t xml:space="preserve">social distancing and lockdown </w:t>
            </w:r>
            <w:r w:rsidR="00613103" w:rsidRPr="00E0255C">
              <w:rPr>
                <w:rFonts w:asciiTheme="minorHAnsi" w:eastAsiaTheme="minorHAnsi" w:hAnsiTheme="minorHAnsi" w:cstheme="minorHAnsi"/>
                <w:lang w:val="en-GB" w:eastAsia="en-GB"/>
              </w:rPr>
              <w:t xml:space="preserve">in response to the COVID-19 pandemic </w:t>
            </w:r>
            <w:r w:rsidRPr="00E0255C">
              <w:rPr>
                <w:rFonts w:asciiTheme="minorHAnsi" w:eastAsiaTheme="minorHAnsi" w:hAnsiTheme="minorHAnsi" w:cstheme="minorHAnsi"/>
                <w:lang w:val="en-GB" w:eastAsia="en-GB"/>
              </w:rPr>
              <w:t>and shar</w:t>
            </w:r>
            <w:r w:rsidR="00613103" w:rsidRPr="00E0255C">
              <w:rPr>
                <w:rFonts w:asciiTheme="minorHAnsi" w:eastAsiaTheme="minorHAnsi" w:hAnsiTheme="minorHAnsi" w:cstheme="minorHAnsi"/>
                <w:lang w:val="en-GB" w:eastAsia="en-GB"/>
              </w:rPr>
              <w:t>ing</w:t>
            </w:r>
            <w:r w:rsidRPr="00E0255C">
              <w:rPr>
                <w:rFonts w:asciiTheme="minorHAnsi" w:eastAsiaTheme="minorHAnsi" w:hAnsiTheme="minorHAnsi" w:cstheme="minorHAnsi"/>
                <w:lang w:val="en-GB" w:eastAsia="en-GB"/>
              </w:rPr>
              <w:t xml:space="preserve"> lessons learned </w:t>
            </w:r>
            <w:r w:rsidR="00613103" w:rsidRPr="00E0255C">
              <w:rPr>
                <w:rFonts w:asciiTheme="minorHAnsi" w:eastAsiaTheme="minorHAnsi" w:hAnsiTheme="minorHAnsi" w:cstheme="minorHAnsi"/>
                <w:lang w:val="en-GB" w:eastAsia="en-GB"/>
              </w:rPr>
              <w:t xml:space="preserve">by </w:t>
            </w:r>
            <w:r w:rsidRPr="00E0255C">
              <w:rPr>
                <w:rFonts w:asciiTheme="minorHAnsi" w:eastAsiaTheme="minorHAnsi" w:hAnsiTheme="minorHAnsi" w:cstheme="minorHAnsi"/>
                <w:lang w:val="en-GB" w:eastAsia="en-GB"/>
              </w:rPr>
              <w:t>governments and DFS stakeholders on the measures that they are implementing. Twelve webinars were held between May and December 2020 attracting over 1</w:t>
            </w:r>
            <w:r w:rsidR="00A060FE" w:rsidRPr="00E0255C">
              <w:rPr>
                <w:rFonts w:asciiTheme="minorHAnsi" w:hAnsiTheme="minorHAnsi" w:cstheme="minorHAnsi"/>
                <w:lang w:val="en-GB" w:eastAsia="en-GB"/>
              </w:rPr>
              <w:t> </w:t>
            </w:r>
            <w:r w:rsidRPr="00E0255C">
              <w:rPr>
                <w:rFonts w:asciiTheme="minorHAnsi" w:eastAsiaTheme="minorHAnsi" w:hAnsiTheme="minorHAnsi" w:cstheme="minorHAnsi"/>
                <w:lang w:val="en-GB" w:eastAsia="en-GB"/>
              </w:rPr>
              <w:t>000 unique participants from 105 countries. The webinars focused on topics such as digital identity, strong authentication technologies, security of digital financial transactions, handling fraud and scams, tracking digital financial crimes and fraud, digital credit technologies, mitigating telecom infrastructure vulnerabilities for digital finance and central bank digital currency.</w:t>
            </w:r>
          </w:p>
          <w:p w14:paraId="1503D1DA" w14:textId="2F53E507" w:rsidR="478B1C36" w:rsidRPr="00E0255C" w:rsidRDefault="478B1C36" w:rsidP="00A97704">
            <w:pPr>
              <w:spacing w:before="120" w:after="60"/>
              <w:jc w:val="both"/>
              <w:rPr>
                <w:rFonts w:asciiTheme="minorHAnsi" w:hAnsiTheme="minorHAnsi" w:cstheme="minorHAnsi"/>
                <w:lang w:val="en-GB"/>
              </w:rPr>
            </w:pPr>
            <w:r w:rsidRPr="00E0255C">
              <w:rPr>
                <w:rFonts w:asciiTheme="minorHAnsi" w:eastAsia="Calibri" w:hAnsiTheme="minorHAnsi" w:cstheme="minorHAnsi"/>
                <w:b/>
              </w:rPr>
              <w:t xml:space="preserve">ITU- D Policy and Regulation </w:t>
            </w:r>
            <w:proofErr w:type="spellStart"/>
            <w:r w:rsidRPr="00E0255C">
              <w:rPr>
                <w:rFonts w:asciiTheme="minorHAnsi" w:eastAsia="Calibri" w:hAnsiTheme="minorHAnsi" w:cstheme="minorHAnsi"/>
                <w:b/>
              </w:rPr>
              <w:t>Programme</w:t>
            </w:r>
            <w:proofErr w:type="spellEnd"/>
          </w:p>
          <w:p w14:paraId="0118BF1E" w14:textId="332E5935" w:rsidR="0049723A" w:rsidRPr="00E0255C" w:rsidRDefault="478B1C36" w:rsidP="006459A3">
            <w:pPr>
              <w:spacing w:before="60" w:after="60"/>
              <w:jc w:val="both"/>
              <w:rPr>
                <w:rFonts w:asciiTheme="minorHAnsi" w:eastAsia="Calibri" w:hAnsiTheme="minorHAnsi" w:cstheme="minorHAnsi"/>
                <w:lang w:val="en-GB"/>
              </w:rPr>
            </w:pPr>
            <w:r w:rsidRPr="00E0255C">
              <w:rPr>
                <w:rFonts w:asciiTheme="minorHAnsi" w:eastAsia="Calibri" w:hAnsiTheme="minorHAnsi" w:cstheme="minorHAnsi"/>
              </w:rPr>
              <w:t xml:space="preserve">ITU-D provides country assistance to build capacity and guide countries through digital financial inclusion, focusing in particular on leveraging ICTs for digital financial </w:t>
            </w:r>
            <w:proofErr w:type="gramStart"/>
            <w:r w:rsidRPr="00E0255C">
              <w:rPr>
                <w:rFonts w:asciiTheme="minorHAnsi" w:eastAsia="Calibri" w:hAnsiTheme="minorHAnsi" w:cstheme="minorHAnsi"/>
              </w:rPr>
              <w:t>inclusion..</w:t>
            </w:r>
            <w:proofErr w:type="gramEnd"/>
          </w:p>
          <w:p w14:paraId="4CCBD2E8" w14:textId="53EAF649"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rPr>
              <w:t>In addition, the Global Dialogue on Digital Financial Inclusion (GDDFI) is part ITU’s activities to foster and strengthen collaborative regulation between ICT regulators and regulators from other sectors, focusing on the financial sector</w:t>
            </w:r>
            <w:r w:rsidRPr="00E0255C">
              <w:rPr>
                <w:rFonts w:asciiTheme="minorHAnsi" w:eastAsia="Calibri" w:hAnsiTheme="minorHAnsi" w:cstheme="minorHAnsi"/>
                <w:b/>
              </w:rPr>
              <w:t xml:space="preserve">. </w:t>
            </w:r>
            <w:r w:rsidRPr="00E0255C">
              <w:rPr>
                <w:rFonts w:asciiTheme="minorHAnsi" w:eastAsia="Calibri" w:hAnsiTheme="minorHAnsi" w:cstheme="minorHAnsi"/>
              </w:rPr>
              <w:t xml:space="preserve">Launched during the Global Symposium for Regulators (GSR) in 2016, GDDFI brought together telecom/ICT and financial regulators from around the world to establish a constructive global dialogue on topical issues of relevance to stakeholders from both sectors. GDDFI identified the following </w:t>
            </w:r>
            <w:r w:rsidRPr="00E0255C">
              <w:rPr>
                <w:rFonts w:asciiTheme="minorHAnsi" w:eastAsia="Calibri" w:hAnsiTheme="minorHAnsi" w:cstheme="minorHAnsi"/>
              </w:rPr>
              <w:lastRenderedPageBreak/>
              <w:t xml:space="preserve">policy, regulatory, and business collaborative guiding measures to move forward the digital financial inclusion agenda by building synergies at the national, regional and global levels (available </w:t>
            </w:r>
            <w:hyperlink r:id="rId580">
              <w:r w:rsidRPr="00E0255C">
                <w:rPr>
                  <w:rStyle w:val="Hyperlink"/>
                  <w:rFonts w:asciiTheme="minorHAnsi" w:eastAsia="Calibri" w:hAnsiTheme="minorHAnsi" w:cstheme="minorHAnsi"/>
                </w:rPr>
                <w:t>here</w:t>
              </w:r>
            </w:hyperlink>
            <w:r w:rsidRPr="00E0255C">
              <w:rPr>
                <w:rFonts w:asciiTheme="minorHAnsi" w:eastAsia="Calibri" w:hAnsiTheme="minorHAnsi" w:cstheme="minorHAnsi"/>
                <w:color w:val="0000FF"/>
                <w:u w:val="single"/>
                <w:lang w:val="en-GB" w:eastAsia="en-US"/>
              </w:rPr>
              <w:t xml:space="preserve"> </w:t>
            </w:r>
            <w:r w:rsidRPr="00E0255C">
              <w:rPr>
                <w:rFonts w:asciiTheme="minorHAnsi" w:eastAsia="Calibri" w:hAnsiTheme="minorHAnsi" w:cstheme="minorHAnsi"/>
                <w:lang w:val="en-GB" w:eastAsia="en-US"/>
              </w:rPr>
              <w:t>and report available</w:t>
            </w:r>
            <w:r w:rsidRPr="00E0255C">
              <w:rPr>
                <w:rFonts w:asciiTheme="minorHAnsi" w:eastAsia="Calibri" w:hAnsiTheme="minorHAnsi" w:cstheme="minorHAnsi"/>
                <w:u w:val="single"/>
                <w:lang w:val="en-GB" w:eastAsia="en-US"/>
              </w:rPr>
              <w:t xml:space="preserve"> </w:t>
            </w:r>
            <w:hyperlink r:id="rId581">
              <w:r w:rsidRPr="00E0255C">
                <w:rPr>
                  <w:rStyle w:val="Hyperlink"/>
                  <w:rFonts w:asciiTheme="minorHAnsi" w:eastAsia="Calibri" w:hAnsiTheme="minorHAnsi" w:cstheme="minorHAnsi"/>
                  <w:lang w:val="en-GB" w:eastAsia="en-US"/>
                </w:rPr>
                <w:t>here</w:t>
              </w:r>
            </w:hyperlink>
            <w:r w:rsidRPr="00E0255C">
              <w:rPr>
                <w:rFonts w:asciiTheme="minorHAnsi" w:eastAsia="Calibri" w:hAnsiTheme="minorHAnsi" w:cstheme="minorHAnsi"/>
                <w:color w:val="0000FF"/>
                <w:u w:val="single"/>
              </w:rPr>
              <w:t>).</w:t>
            </w:r>
            <w:r w:rsidRPr="00E0255C">
              <w:rPr>
                <w:rFonts w:asciiTheme="minorHAnsi" w:eastAsia="Calibri" w:hAnsiTheme="minorHAnsi" w:cstheme="minorHAnsi"/>
                <w:b/>
              </w:rPr>
              <w:t xml:space="preserve"> </w:t>
            </w:r>
          </w:p>
        </w:tc>
      </w:tr>
      <w:tr w:rsidR="478B1C36" w:rsidRPr="00B64995" w14:paraId="2B0D4A8C" w14:textId="77777777" w:rsidTr="09AD7226">
        <w:tc>
          <w:tcPr>
            <w:tcW w:w="9026" w:type="dxa"/>
            <w:shd w:val="clear" w:color="auto" w:fill="FFFFFF" w:themeFill="background1"/>
          </w:tcPr>
          <w:p w14:paraId="3EC15E3A" w14:textId="54E08F0B" w:rsidR="478B1C36" w:rsidRPr="00E0255C" w:rsidRDefault="478B1C36" w:rsidP="006459A3">
            <w:pPr>
              <w:spacing w:before="60" w:after="60"/>
              <w:jc w:val="both"/>
              <w:rPr>
                <w:lang w:val="en-GB"/>
              </w:rPr>
            </w:pPr>
            <w:r w:rsidRPr="00E0255C">
              <w:rPr>
                <w:rFonts w:eastAsia="Calibri"/>
                <w:b/>
              </w:rPr>
              <w:lastRenderedPageBreak/>
              <w:t>206 (Dubai, 2018) OTTs</w:t>
            </w:r>
          </w:p>
          <w:p w14:paraId="104D62CC" w14:textId="034126DB" w:rsidR="478B1C36" w:rsidRPr="00E0255C" w:rsidRDefault="478B1C36" w:rsidP="006459A3">
            <w:pPr>
              <w:spacing w:before="60" w:after="60"/>
              <w:jc w:val="both"/>
              <w:rPr>
                <w:lang w:val="en-GB"/>
              </w:rPr>
            </w:pPr>
            <w:r w:rsidRPr="00E0255C">
              <w:rPr>
                <w:rFonts w:eastAsia="Calibri"/>
              </w:rPr>
              <w:t xml:space="preserve">ITU-T Study Group 3 approved </w:t>
            </w:r>
            <w:r w:rsidR="000053AE" w:rsidRPr="00E0255C">
              <w:rPr>
                <w:rFonts w:eastAsia="Calibri"/>
              </w:rPr>
              <w:t xml:space="preserve">Recommendation ITU-T D.1101, “Enabling environment for voluntary commercial arrangements between telecommunication network operators and OTT providers”. ITU-T D.1101 encourages relevant stakeholders to work towards an enabling regulatory environment that supports and encourages the development of innovative business models in line with the advancement of technology and innovations, which are changing faster than ever. </w:t>
            </w:r>
            <w:r w:rsidR="008B3DE2" w:rsidRPr="00E0255C">
              <w:rPr>
                <w:rFonts w:eastAsia="Calibri"/>
              </w:rPr>
              <w:t xml:space="preserve">Recommendation </w:t>
            </w:r>
            <w:r w:rsidRPr="00E0255C">
              <w:rPr>
                <w:rFonts w:eastAsia="Calibri"/>
              </w:rPr>
              <w:t xml:space="preserve">ITU-T D.262 </w:t>
            </w:r>
            <w:r w:rsidR="0076507E" w:rsidRPr="00E0255C">
              <w:rPr>
                <w:rFonts w:eastAsia="Calibri"/>
              </w:rPr>
              <w:t>“</w:t>
            </w:r>
            <w:r w:rsidRPr="00E0255C">
              <w:rPr>
                <w:rFonts w:eastAsia="Calibri"/>
              </w:rPr>
              <w:t>Collaborative Framework for OTTs</w:t>
            </w:r>
            <w:r w:rsidR="0076507E" w:rsidRPr="00E0255C">
              <w:rPr>
                <w:rFonts w:eastAsia="Calibri"/>
              </w:rPr>
              <w:t>”</w:t>
            </w:r>
            <w:r w:rsidR="00F125EB" w:rsidRPr="00E0255C">
              <w:rPr>
                <w:rFonts w:eastAsia="Calibri"/>
              </w:rPr>
              <w:t xml:space="preserve"> provides a collaborative framework </w:t>
            </w:r>
            <w:proofErr w:type="gramStart"/>
            <w:r w:rsidR="00F125EB" w:rsidRPr="00E0255C">
              <w:rPr>
                <w:rFonts w:eastAsia="Calibri"/>
              </w:rPr>
              <w:t>in order to</w:t>
            </w:r>
            <w:proofErr w:type="gramEnd"/>
            <w:r w:rsidR="00F125EB" w:rsidRPr="00E0255C">
              <w:rPr>
                <w:rFonts w:eastAsia="Calibri"/>
              </w:rPr>
              <w:t xml:space="preserve"> promote competition, consumer protection, consumer benefits, dynamic innovation, sustainable investment and infrastructure development, accessibility and affordability in relation to the global growth of over</w:t>
            </w:r>
            <w:r w:rsidR="00A77292" w:rsidRPr="00E0255C">
              <w:rPr>
                <w:rFonts w:eastAsia="Calibri"/>
              </w:rPr>
              <w:t>-</w:t>
            </w:r>
            <w:r w:rsidR="00F125EB" w:rsidRPr="00E0255C">
              <w:rPr>
                <w:rFonts w:eastAsia="Calibri"/>
              </w:rPr>
              <w:t>the</w:t>
            </w:r>
            <w:r w:rsidR="00A77292" w:rsidRPr="00E0255C">
              <w:rPr>
                <w:rFonts w:eastAsia="Calibri"/>
              </w:rPr>
              <w:t>-</w:t>
            </w:r>
            <w:r w:rsidR="00F125EB" w:rsidRPr="00E0255C">
              <w:rPr>
                <w:rFonts w:eastAsia="Calibri"/>
              </w:rPr>
              <w:t>top (OTT) applications</w:t>
            </w:r>
            <w:r w:rsidRPr="00E0255C">
              <w:rPr>
                <w:rFonts w:eastAsia="Calibri"/>
              </w:rPr>
              <w:t xml:space="preserve">. </w:t>
            </w:r>
            <w:r w:rsidR="00A77292" w:rsidRPr="00E0255C">
              <w:rPr>
                <w:rFonts w:eastAsia="Calibri"/>
              </w:rPr>
              <w:t xml:space="preserve">ITU-T </w:t>
            </w:r>
            <w:r w:rsidR="006D38B9" w:rsidRPr="00E0255C">
              <w:rPr>
                <w:rFonts w:eastAsia="Calibri"/>
              </w:rPr>
              <w:t>SG 3</w:t>
            </w:r>
            <w:r w:rsidRPr="00E0255C">
              <w:rPr>
                <w:rFonts w:eastAsia="Calibri"/>
              </w:rPr>
              <w:t xml:space="preserve"> is studying OTT</w:t>
            </w:r>
            <w:r w:rsidR="00A77292" w:rsidRPr="00E0255C">
              <w:rPr>
                <w:rFonts w:eastAsia="Calibri"/>
              </w:rPr>
              <w:t xml:space="preserve"> application</w:t>
            </w:r>
            <w:r w:rsidRPr="00E0255C">
              <w:rPr>
                <w:rFonts w:eastAsia="Calibri"/>
              </w:rPr>
              <w:t>s within several work items</w:t>
            </w:r>
            <w:r w:rsidR="00A77292" w:rsidRPr="00E0255C">
              <w:rPr>
                <w:rFonts w:eastAsia="Calibri"/>
              </w:rPr>
              <w:t xml:space="preserve">, and </w:t>
            </w:r>
            <w:r w:rsidR="006D38B9" w:rsidRPr="00E0255C">
              <w:rPr>
                <w:rFonts w:eastAsia="Calibri"/>
              </w:rPr>
              <w:t>SG 2</w:t>
            </w:r>
            <w:r w:rsidRPr="00E0255C">
              <w:rPr>
                <w:rFonts w:eastAsia="Calibri"/>
              </w:rPr>
              <w:t xml:space="preserve"> is progressing two work items on OTTs.</w:t>
            </w:r>
            <w:r w:rsidR="00683671" w:rsidRPr="00E0255C">
              <w:rPr>
                <w:rFonts w:eastAsia="Calibri"/>
              </w:rPr>
              <w:t xml:space="preserve"> Quality assessment methods developed by ITU-T </w:t>
            </w:r>
            <w:r w:rsidR="006D38B9" w:rsidRPr="00E0255C">
              <w:rPr>
                <w:rFonts w:eastAsia="Calibri"/>
              </w:rPr>
              <w:t>SG 12</w:t>
            </w:r>
            <w:r w:rsidR="00683671" w:rsidRPr="00E0255C">
              <w:rPr>
                <w:rFonts w:eastAsia="Calibri"/>
              </w:rPr>
              <w:t xml:space="preserve"> are applicable to OTTs.</w:t>
            </w:r>
          </w:p>
          <w:p w14:paraId="4F8C7874" w14:textId="6AB6E3BC" w:rsidR="478B1C36" w:rsidRPr="00E0255C" w:rsidRDefault="00F23A8A" w:rsidP="006459A3">
            <w:pPr>
              <w:spacing w:before="60" w:after="60"/>
              <w:jc w:val="both"/>
              <w:rPr>
                <w:lang w:val="en-GB"/>
              </w:rPr>
            </w:pPr>
            <w:r w:rsidRPr="00E0255C">
              <w:rPr>
                <w:rFonts w:eastAsia="Calibri"/>
              </w:rPr>
              <w:t xml:space="preserve">ITU-T </w:t>
            </w:r>
            <w:r w:rsidR="006D38B9" w:rsidRPr="00E0255C">
              <w:rPr>
                <w:rFonts w:eastAsia="Calibri"/>
              </w:rPr>
              <w:t>SG 3</w:t>
            </w:r>
            <w:r w:rsidRPr="00E0255C">
              <w:rPr>
                <w:rFonts w:eastAsia="Calibri"/>
              </w:rPr>
              <w:t xml:space="preserve"> collaborated with ITU-T </w:t>
            </w:r>
            <w:r w:rsidR="006D38B9" w:rsidRPr="00E0255C">
              <w:rPr>
                <w:rFonts w:eastAsia="Calibri"/>
              </w:rPr>
              <w:t>SG 2</w:t>
            </w:r>
            <w:r w:rsidRPr="00E0255C">
              <w:rPr>
                <w:rFonts w:eastAsia="Calibri"/>
              </w:rPr>
              <w:t xml:space="preserve"> on the</w:t>
            </w:r>
            <w:r w:rsidR="478B1C36" w:rsidRPr="00E0255C">
              <w:rPr>
                <w:rFonts w:eastAsia="Calibri"/>
              </w:rPr>
              <w:t xml:space="preserve"> </w:t>
            </w:r>
            <w:hyperlink r:id="rId582">
              <w:r w:rsidR="478B1C36" w:rsidRPr="00E0255C">
                <w:rPr>
                  <w:rStyle w:val="Hyperlink"/>
                  <w:rFonts w:eastAsia="Calibri"/>
                </w:rPr>
                <w:t>ITU Inter-regional Standardization Forum on “Operational issues on numbering, emergency service and OTTs”</w:t>
              </w:r>
            </w:hyperlink>
            <w:r w:rsidR="478B1C36" w:rsidRPr="00E0255C">
              <w:rPr>
                <w:rFonts w:eastAsia="Calibri"/>
                <w:lang w:val="en-GB" w:eastAsia="en-US"/>
              </w:rPr>
              <w:t xml:space="preserve">, Dubai, United </w:t>
            </w:r>
            <w:r w:rsidR="00A77292" w:rsidRPr="00E0255C">
              <w:rPr>
                <w:rFonts w:eastAsia="Calibri"/>
                <w:lang w:val="en-GB" w:eastAsia="en-US"/>
              </w:rPr>
              <w:t xml:space="preserve">Arab </w:t>
            </w:r>
            <w:r w:rsidR="478B1C36" w:rsidRPr="00E0255C">
              <w:rPr>
                <w:rFonts w:eastAsia="Calibri"/>
                <w:lang w:val="en-GB" w:eastAsia="en-US"/>
              </w:rPr>
              <w:t>Emirates</w:t>
            </w:r>
            <w:r w:rsidRPr="00E0255C">
              <w:rPr>
                <w:rFonts w:eastAsia="Calibri"/>
                <w:lang w:val="en-GB" w:eastAsia="en-US"/>
              </w:rPr>
              <w:t>,</w:t>
            </w:r>
            <w:r w:rsidR="478B1C36" w:rsidRPr="00E0255C">
              <w:rPr>
                <w:rFonts w:eastAsia="Calibri"/>
                <w:lang w:val="en-GB" w:eastAsia="en-US"/>
              </w:rPr>
              <w:t xml:space="preserve"> 22 October 2019.</w:t>
            </w:r>
          </w:p>
        </w:tc>
      </w:tr>
      <w:tr w:rsidR="478B1C36" w:rsidRPr="00B64995" w14:paraId="165B8282" w14:textId="77777777" w:rsidTr="09AD7226">
        <w:tc>
          <w:tcPr>
            <w:tcW w:w="9026" w:type="dxa"/>
            <w:shd w:val="clear" w:color="auto" w:fill="FFFFFF" w:themeFill="background1"/>
          </w:tcPr>
          <w:p w14:paraId="37EC148F" w14:textId="1B02C8EF" w:rsidR="478B1C36" w:rsidRPr="00E0255C" w:rsidRDefault="478B1C36" w:rsidP="00A97704">
            <w:pPr>
              <w:spacing w:before="120" w:after="60"/>
              <w:jc w:val="both"/>
              <w:rPr>
                <w:lang w:val="en-GB"/>
              </w:rPr>
            </w:pPr>
            <w:r w:rsidRPr="00E0255C">
              <w:rPr>
                <w:rFonts w:eastAsia="Calibri"/>
                <w:b/>
              </w:rPr>
              <w:t xml:space="preserve">207 (Dubai, 2018) ITU Journal: </w:t>
            </w:r>
            <w:r w:rsidRPr="00E0255C">
              <w:rPr>
                <w:rFonts w:eastAsia="Calibri"/>
                <w:b/>
                <w:i/>
                <w:iCs/>
              </w:rPr>
              <w:t>ICT Discoveries</w:t>
            </w:r>
          </w:p>
          <w:p w14:paraId="3F5C8E81" w14:textId="19916C76" w:rsidR="00C129A3" w:rsidRPr="00E0255C" w:rsidRDefault="00C97595" w:rsidP="006459A3">
            <w:pPr>
              <w:spacing w:before="60" w:after="60"/>
              <w:jc w:val="both"/>
              <w:rPr>
                <w:rFonts w:eastAsia="Calibri"/>
                <w:lang w:val="en-GB"/>
              </w:rPr>
            </w:pPr>
            <w:bookmarkStart w:id="172" w:name="here"/>
            <w:r w:rsidRPr="00E0255C">
              <w:rPr>
                <w:rFonts w:eastAsia="Calibri"/>
              </w:rPr>
              <w:t xml:space="preserve">The </w:t>
            </w:r>
            <w:r w:rsidR="00A77292" w:rsidRPr="00E0255C">
              <w:rPr>
                <w:rFonts w:eastAsia="Calibri"/>
              </w:rPr>
              <w:t xml:space="preserve">most recent </w:t>
            </w:r>
            <w:r w:rsidRPr="00E0255C">
              <w:rPr>
                <w:rFonts w:eastAsia="Calibri"/>
              </w:rPr>
              <w:t>special issue of ITU Journal</w:t>
            </w:r>
            <w:r w:rsidR="00A77292" w:rsidRPr="00E0255C">
              <w:rPr>
                <w:rFonts w:eastAsia="Calibri"/>
              </w:rPr>
              <w:t>,</w:t>
            </w:r>
            <w:r w:rsidRPr="00E0255C">
              <w:rPr>
                <w:rFonts w:eastAsia="Calibri"/>
              </w:rPr>
              <w:t xml:space="preserve"> </w:t>
            </w:r>
            <w:r w:rsidRPr="00E0255C">
              <w:rPr>
                <w:rFonts w:eastAsia="Calibri"/>
                <w:i/>
                <w:iCs/>
              </w:rPr>
              <w:t xml:space="preserve">ICT Discoveries, </w:t>
            </w:r>
            <w:r w:rsidRPr="00E0255C">
              <w:rPr>
                <w:rFonts w:eastAsia="Calibri"/>
              </w:rPr>
              <w:t>“</w:t>
            </w:r>
            <w:hyperlink r:id="rId583">
              <w:r w:rsidRPr="00E0255C">
                <w:rPr>
                  <w:rStyle w:val="Hyperlink"/>
                  <w:rFonts w:eastAsia="Calibri"/>
                </w:rPr>
                <w:t>The future of video and immersive media</w:t>
              </w:r>
            </w:hyperlink>
            <w:r w:rsidRPr="00E0255C">
              <w:rPr>
                <w:rStyle w:val="Hyperlink"/>
                <w:rFonts w:eastAsia="Calibri"/>
                <w:lang w:val="en-GB" w:eastAsia="en-US"/>
              </w:rPr>
              <w:t>”,</w:t>
            </w:r>
            <w:r w:rsidRPr="00E0255C">
              <w:rPr>
                <w:rFonts w:eastAsia="Calibri"/>
                <w:lang w:val="en-GB" w:eastAsia="en-US"/>
              </w:rPr>
              <w:t xml:space="preserve"> July 2020, followed a</w:t>
            </w:r>
            <w:bookmarkEnd w:id="172"/>
            <w:r w:rsidRPr="00E0255C">
              <w:rPr>
                <w:rFonts w:eastAsia="Calibri"/>
              </w:rPr>
              <w:t xml:space="preserve"> special issue of the ITU Journal on “</w:t>
            </w:r>
            <w:hyperlink r:id="rId584">
              <w:r w:rsidRPr="00E0255C">
                <w:rPr>
                  <w:rFonts w:asciiTheme="minorHAnsi" w:hAnsiTheme="minorHAnsi" w:cstheme="minorHAnsi"/>
                  <w:color w:val="0000FF"/>
                  <w:u w:val="single"/>
                </w:rPr>
                <w:t>Propagation modelling for advanced future radio systems – Challenges for a congested radio spectrum</w:t>
              </w:r>
            </w:hyperlink>
            <w:r w:rsidR="00A77292" w:rsidRPr="00E0255C">
              <w:rPr>
                <w:rFonts w:eastAsia="Calibri"/>
                <w:lang w:val="en-GB" w:eastAsia="en-US"/>
              </w:rPr>
              <w:t xml:space="preserve">“ in </w:t>
            </w:r>
            <w:r w:rsidRPr="00E0255C">
              <w:rPr>
                <w:rFonts w:eastAsia="Calibri"/>
                <w:lang w:val="en-GB" w:eastAsia="en-US"/>
              </w:rPr>
              <w:t>November 2019.</w:t>
            </w:r>
            <w:r w:rsidRPr="00E0255C">
              <w:rPr>
                <w:rFonts w:eastAsiaTheme="minorHAnsi"/>
                <w:lang w:val="en-GB" w:eastAsia="en-US"/>
              </w:rPr>
              <w:t xml:space="preserve">The new </w:t>
            </w:r>
            <w:hyperlink r:id="rId585" w:history="1">
              <w:r w:rsidRPr="00E0255C">
                <w:rPr>
                  <w:rStyle w:val="Hyperlink"/>
                  <w:rFonts w:eastAsiaTheme="minorHAnsi"/>
                  <w:lang w:val="en-GB" w:eastAsia="en-US"/>
                </w:rPr>
                <w:t>ITU Journal on Future and Evolving Technologies (ITU J-FET)</w:t>
              </w:r>
            </w:hyperlink>
            <w:r w:rsidRPr="00E0255C">
              <w:rPr>
                <w:rFonts w:eastAsiaTheme="minorHAnsi"/>
                <w:lang w:val="en-GB" w:eastAsia="en-US"/>
              </w:rPr>
              <w:t xml:space="preserve"> published its </w:t>
            </w:r>
            <w:hyperlink r:id="rId586" w:history="1">
              <w:r w:rsidRPr="00E0255C">
                <w:rPr>
                  <w:rStyle w:val="Hyperlink"/>
                  <w:rFonts w:eastAsiaTheme="minorHAnsi"/>
                  <w:lang w:val="en-GB" w:eastAsia="en-US"/>
                </w:rPr>
                <w:t>first issue</w:t>
              </w:r>
            </w:hyperlink>
            <w:r w:rsidRPr="00E0255C">
              <w:rPr>
                <w:rFonts w:eastAsiaTheme="minorHAnsi"/>
                <w:lang w:val="en-GB" w:eastAsia="en-US"/>
              </w:rPr>
              <w:t xml:space="preserve"> in December 2020. It shared research in signal processing, communications in high-mobility scenarios, the Internet of Things, vehicular communications, pandemic mitigation, and AI and machine learning for 5G and beyond. It also discussed the evolution of infrastructure sharing and why sharing has become a commercial reality in the 5G context. Five special issues in 2021 will address Bio-</w:t>
            </w:r>
            <w:proofErr w:type="spellStart"/>
            <w:r w:rsidRPr="00E0255C">
              <w:rPr>
                <w:rFonts w:eastAsiaTheme="minorHAnsi"/>
                <w:lang w:val="en-GB" w:eastAsia="en-US"/>
              </w:rPr>
              <w:t>NanoThings</w:t>
            </w:r>
            <w:proofErr w:type="spellEnd"/>
            <w:r w:rsidRPr="00E0255C">
              <w:rPr>
                <w:rFonts w:eastAsiaTheme="minorHAnsi"/>
                <w:lang w:val="en-GB" w:eastAsia="en-US"/>
              </w:rPr>
              <w:t xml:space="preserve"> for health</w:t>
            </w:r>
            <w:r w:rsidR="00A77292" w:rsidRPr="00E0255C">
              <w:rPr>
                <w:rFonts w:eastAsiaTheme="minorHAnsi"/>
                <w:lang w:val="en-GB" w:eastAsia="en-US"/>
              </w:rPr>
              <w:t xml:space="preserve"> </w:t>
            </w:r>
            <w:r w:rsidRPr="00E0255C">
              <w:rPr>
                <w:rFonts w:eastAsiaTheme="minorHAnsi"/>
                <w:lang w:val="en-GB" w:eastAsia="en-US"/>
              </w:rPr>
              <w:t xml:space="preserve">care, </w:t>
            </w:r>
            <w:r w:rsidR="00A77292" w:rsidRPr="00E0255C">
              <w:rPr>
                <w:rFonts w:eastAsiaTheme="minorHAnsi"/>
                <w:lang w:val="en-GB" w:eastAsia="en-US"/>
              </w:rPr>
              <w:t xml:space="preserve">the </w:t>
            </w:r>
            <w:r w:rsidRPr="00E0255C">
              <w:rPr>
                <w:rFonts w:eastAsiaTheme="minorHAnsi"/>
                <w:lang w:val="en-GB" w:eastAsia="en-US"/>
              </w:rPr>
              <w:t xml:space="preserve">Internet of Everything, terahertz communications, </w:t>
            </w:r>
            <w:proofErr w:type="gramStart"/>
            <w:r w:rsidRPr="00E0255C">
              <w:rPr>
                <w:rFonts w:eastAsiaTheme="minorHAnsi"/>
                <w:lang w:val="en-GB" w:eastAsia="en-US"/>
              </w:rPr>
              <w:t>AI</w:t>
            </w:r>
            <w:proofErr w:type="gramEnd"/>
            <w:r w:rsidRPr="00E0255C">
              <w:rPr>
                <w:rFonts w:eastAsiaTheme="minorHAnsi"/>
                <w:lang w:val="en-GB" w:eastAsia="en-US"/>
              </w:rPr>
              <w:t xml:space="preserve"> and machine learning for 5G, and wireless communication systems beyond 5G. The ITU Journal is led by</w:t>
            </w:r>
            <w:r w:rsidR="00C129A3" w:rsidRPr="00E0255C">
              <w:rPr>
                <w:rFonts w:eastAsiaTheme="minorHAnsi"/>
                <w:lang w:val="en-GB" w:eastAsia="en-US"/>
              </w:rPr>
              <w:t xml:space="preserve"> </w:t>
            </w:r>
            <w:r w:rsidR="00C65AC5" w:rsidRPr="00E0255C">
              <w:rPr>
                <w:rFonts w:eastAsiaTheme="minorHAnsi"/>
                <w:lang w:val="en-GB" w:eastAsia="en-US"/>
              </w:rPr>
              <w:t xml:space="preserve">its </w:t>
            </w:r>
            <w:r w:rsidR="00C129A3" w:rsidRPr="00E0255C">
              <w:rPr>
                <w:rFonts w:eastAsiaTheme="minorHAnsi"/>
                <w:lang w:val="en-GB" w:eastAsia="en-US"/>
              </w:rPr>
              <w:t xml:space="preserve">Editor-in-Chief, Ian F. </w:t>
            </w:r>
            <w:proofErr w:type="spellStart"/>
            <w:r w:rsidR="00C129A3" w:rsidRPr="00E0255C">
              <w:rPr>
                <w:rFonts w:eastAsiaTheme="minorHAnsi"/>
                <w:lang w:val="en-GB" w:eastAsia="en-US"/>
              </w:rPr>
              <w:t>Akyildiz</w:t>
            </w:r>
            <w:proofErr w:type="spellEnd"/>
            <w:r w:rsidR="00C129A3" w:rsidRPr="00E0255C">
              <w:rPr>
                <w:rFonts w:eastAsiaTheme="minorHAnsi"/>
                <w:lang w:val="en-GB" w:eastAsia="en-US"/>
              </w:rPr>
              <w:t xml:space="preserve"> from the Georgia Institute of Technology</w:t>
            </w:r>
            <w:r w:rsidR="0064759D" w:rsidRPr="00E0255C">
              <w:rPr>
                <w:rFonts w:eastAsiaTheme="minorHAnsi"/>
                <w:lang w:val="en-GB" w:eastAsia="en-US"/>
              </w:rPr>
              <w:t xml:space="preserve"> in the</w:t>
            </w:r>
            <w:r w:rsidR="00C129A3" w:rsidRPr="00E0255C">
              <w:rPr>
                <w:rFonts w:eastAsiaTheme="minorHAnsi"/>
                <w:lang w:val="en-GB" w:eastAsia="en-US"/>
              </w:rPr>
              <w:t xml:space="preserve"> United States</w:t>
            </w:r>
            <w:r w:rsidR="00C129A3" w:rsidRPr="00E0255C" w:rsidDel="00C97595">
              <w:rPr>
                <w:rFonts w:eastAsiaTheme="minorHAnsi"/>
                <w:lang w:val="en-GB" w:eastAsia="en-US"/>
              </w:rPr>
              <w:t xml:space="preserve"> </w:t>
            </w:r>
            <w:r w:rsidR="0064759D" w:rsidRPr="00E0255C">
              <w:rPr>
                <w:rFonts w:eastAsiaTheme="minorHAnsi"/>
                <w:lang w:val="en-GB" w:eastAsia="en-US"/>
              </w:rPr>
              <w:t>of America, an ITU Academia organization.</w:t>
            </w:r>
          </w:p>
          <w:p w14:paraId="18BFE9A3" w14:textId="4D76743F" w:rsidR="478B1C36" w:rsidRPr="00E0255C" w:rsidRDefault="478B1C36" w:rsidP="006459A3">
            <w:pPr>
              <w:spacing w:before="60" w:after="60"/>
              <w:jc w:val="both"/>
              <w:rPr>
                <w:lang w:val="en-GB"/>
              </w:rPr>
            </w:pPr>
            <w:r w:rsidRPr="00E0255C">
              <w:rPr>
                <w:rFonts w:eastAsia="Calibri"/>
              </w:rPr>
              <w:t xml:space="preserve">Building on the co-publishing agreement signed in 2018, ITU Journal and Tsinghua University Press launched </w:t>
            </w:r>
            <w:r w:rsidR="007A7B88" w:rsidRPr="00E0255C">
              <w:rPr>
                <w:rFonts w:eastAsia="Calibri"/>
              </w:rPr>
              <w:t xml:space="preserve">a </w:t>
            </w:r>
            <w:r w:rsidRPr="00E0255C">
              <w:rPr>
                <w:rFonts w:eastAsia="Calibri"/>
              </w:rPr>
              <w:t xml:space="preserve">new joint </w:t>
            </w:r>
            <w:r w:rsidR="00680EC2" w:rsidRPr="00E0255C">
              <w:rPr>
                <w:rFonts w:eastAsia="Calibri"/>
              </w:rPr>
              <w:t xml:space="preserve">publication titled </w:t>
            </w:r>
            <w:r w:rsidR="007A7B88" w:rsidRPr="00E0255C">
              <w:rPr>
                <w:rFonts w:eastAsia="Calibri"/>
              </w:rPr>
              <w:t>“</w:t>
            </w:r>
            <w:r w:rsidR="00680EC2" w:rsidRPr="00E0255C">
              <w:rPr>
                <w:rFonts w:eastAsia="Calibri"/>
              </w:rPr>
              <w:t>Intelligent and Converged Networks</w:t>
            </w:r>
            <w:r w:rsidR="007A7B88" w:rsidRPr="00E0255C">
              <w:rPr>
                <w:rFonts w:eastAsia="Calibri"/>
              </w:rPr>
              <w:t>”</w:t>
            </w:r>
            <w:r w:rsidR="00680EC2" w:rsidRPr="00E0255C">
              <w:rPr>
                <w:rFonts w:eastAsia="Calibri"/>
              </w:rPr>
              <w:t xml:space="preserve"> (ICN) in 2019. Its first special issue was published in June 2020</w:t>
            </w:r>
            <w:r w:rsidR="007A7B88" w:rsidRPr="00E0255C">
              <w:rPr>
                <w:rFonts w:eastAsia="Calibri"/>
              </w:rPr>
              <w:t>.</w:t>
            </w:r>
            <w:r w:rsidR="00680EC2" w:rsidRPr="00E0255C">
              <w:rPr>
                <w:rFonts w:eastAsia="Calibri"/>
              </w:rPr>
              <w:t xml:space="preserve"> Series on </w:t>
            </w:r>
            <w:r w:rsidR="007A7B88" w:rsidRPr="00E0255C">
              <w:rPr>
                <w:rFonts w:eastAsia="Calibri"/>
              </w:rPr>
              <w:t>d</w:t>
            </w:r>
            <w:r w:rsidR="00680EC2" w:rsidRPr="00E0255C">
              <w:rPr>
                <w:rFonts w:eastAsia="Calibri"/>
              </w:rPr>
              <w:t>ata</w:t>
            </w:r>
            <w:r w:rsidR="007A7B88" w:rsidRPr="00E0255C">
              <w:rPr>
                <w:rFonts w:eastAsia="Calibri"/>
              </w:rPr>
              <w:t>-d</w:t>
            </w:r>
            <w:r w:rsidR="00680EC2" w:rsidRPr="00E0255C">
              <w:rPr>
                <w:rFonts w:eastAsia="Calibri"/>
              </w:rPr>
              <w:t xml:space="preserve">riven </w:t>
            </w:r>
            <w:r w:rsidR="007A7B88" w:rsidRPr="00E0255C">
              <w:rPr>
                <w:rFonts w:eastAsia="Calibri"/>
              </w:rPr>
              <w:t>i</w:t>
            </w:r>
            <w:r w:rsidR="00680EC2" w:rsidRPr="00E0255C">
              <w:rPr>
                <w:rFonts w:eastAsia="Calibri"/>
              </w:rPr>
              <w:t xml:space="preserve">ntelligence, </w:t>
            </w:r>
            <w:r w:rsidR="007A7B88" w:rsidRPr="00E0255C">
              <w:rPr>
                <w:rFonts w:eastAsia="Calibri"/>
              </w:rPr>
              <w:t>s</w:t>
            </w:r>
            <w:r w:rsidR="00680EC2" w:rsidRPr="00E0255C">
              <w:rPr>
                <w:rFonts w:eastAsia="Calibri"/>
              </w:rPr>
              <w:t xml:space="preserve">ustainability, and </w:t>
            </w:r>
            <w:r w:rsidR="007A7B88" w:rsidRPr="00E0255C">
              <w:rPr>
                <w:rFonts w:eastAsia="Calibri"/>
              </w:rPr>
              <w:t>s</w:t>
            </w:r>
            <w:r w:rsidR="00680EC2" w:rsidRPr="00E0255C">
              <w:rPr>
                <w:rFonts w:eastAsia="Calibri"/>
              </w:rPr>
              <w:t xml:space="preserve">ystems and a special Issue on </w:t>
            </w:r>
            <w:r w:rsidR="007A7B88" w:rsidRPr="00E0255C">
              <w:rPr>
                <w:rFonts w:eastAsia="Calibri"/>
              </w:rPr>
              <w:t>AI-a</w:t>
            </w:r>
            <w:r w:rsidR="00680EC2" w:rsidRPr="00E0255C">
              <w:rPr>
                <w:rFonts w:eastAsia="Calibri"/>
              </w:rPr>
              <w:t xml:space="preserve">ided 6G </w:t>
            </w:r>
            <w:r w:rsidR="007A7B88" w:rsidRPr="00E0255C">
              <w:rPr>
                <w:rFonts w:eastAsia="Calibri"/>
              </w:rPr>
              <w:t>c</w:t>
            </w:r>
            <w:r w:rsidR="00680EC2" w:rsidRPr="00E0255C">
              <w:rPr>
                <w:rFonts w:eastAsia="Calibri"/>
              </w:rPr>
              <w:t>ommunications are under preparation</w:t>
            </w:r>
            <w:r w:rsidRPr="00E0255C">
              <w:rPr>
                <w:rFonts w:eastAsia="Calibri"/>
              </w:rPr>
              <w:t>.</w:t>
            </w:r>
          </w:p>
        </w:tc>
      </w:tr>
      <w:tr w:rsidR="478B1C36" w:rsidRPr="00B64995" w14:paraId="157E38EA" w14:textId="77777777" w:rsidTr="09AD7226">
        <w:tc>
          <w:tcPr>
            <w:tcW w:w="9026" w:type="dxa"/>
            <w:shd w:val="clear" w:color="auto" w:fill="FFFFFF" w:themeFill="background1"/>
          </w:tcPr>
          <w:p w14:paraId="7DAC1CFB" w14:textId="43BACA42" w:rsidR="478B1C36" w:rsidRPr="00E0255C" w:rsidRDefault="478B1C36" w:rsidP="006459A3">
            <w:pPr>
              <w:spacing w:before="60" w:after="60"/>
              <w:jc w:val="both"/>
              <w:rPr>
                <w:rFonts w:asciiTheme="minorHAnsi" w:hAnsiTheme="minorHAnsi" w:cstheme="minorHAnsi"/>
                <w:lang w:val="en-GB"/>
              </w:rPr>
            </w:pPr>
            <w:r w:rsidRPr="00E0255C">
              <w:rPr>
                <w:rFonts w:asciiTheme="minorHAnsi" w:eastAsia="Calibri" w:hAnsiTheme="minorHAnsi" w:cstheme="minorHAnsi"/>
                <w:b/>
              </w:rPr>
              <w:t>211</w:t>
            </w:r>
            <w:r w:rsidR="00A77292" w:rsidRPr="00E0255C">
              <w:rPr>
                <w:rFonts w:asciiTheme="minorHAnsi" w:eastAsia="Calibri" w:hAnsiTheme="minorHAnsi" w:cstheme="minorHAnsi"/>
                <w:b/>
              </w:rPr>
              <w:t xml:space="preserve"> </w:t>
            </w:r>
            <w:r w:rsidRPr="00E0255C">
              <w:rPr>
                <w:rFonts w:asciiTheme="minorHAnsi" w:eastAsia="Calibri" w:hAnsiTheme="minorHAnsi" w:cstheme="minorHAnsi"/>
                <w:b/>
              </w:rPr>
              <w:t>(Dubai, 2018) Support for the Iraqi Du3M 2025 initiative for advancement of the telecommunication and information technology sectors</w:t>
            </w:r>
          </w:p>
          <w:p w14:paraId="68488B68" w14:textId="77777777" w:rsidR="009948D5" w:rsidRPr="00E0255C" w:rsidRDefault="009948D5" w:rsidP="006459A3">
            <w:pPr>
              <w:spacing w:before="60" w:after="60"/>
              <w:jc w:val="both"/>
              <w:rPr>
                <w:rFonts w:asciiTheme="minorHAnsi" w:hAnsiTheme="minorHAnsi" w:cstheme="minorHAnsi"/>
                <w:lang w:val="en-GB"/>
              </w:rPr>
            </w:pPr>
            <w:r w:rsidRPr="00E0255C">
              <w:rPr>
                <w:rFonts w:asciiTheme="minorHAnsi" w:hAnsiTheme="minorHAnsi" w:cstheme="minorHAnsi"/>
              </w:rPr>
              <w:t>The ICT Accessibility Policy for Iraq was developed for Iraq in 2019.  Furthermore, a series of four events were organized in Iraq as part of ITU-UNESCO Digital Inclusion Week that took place in Baghdad, Iraq from 22-25 September 2019.  These events were as follows:</w:t>
            </w:r>
          </w:p>
          <w:p w14:paraId="4218FAD5" w14:textId="77777777" w:rsidR="009948D5" w:rsidRPr="00E0255C" w:rsidRDefault="009948D5" w:rsidP="006459A3">
            <w:pPr>
              <w:pStyle w:val="ListParagraph"/>
              <w:numPr>
                <w:ilvl w:val="0"/>
                <w:numId w:val="37"/>
              </w:numPr>
              <w:spacing w:before="60" w:after="60"/>
              <w:rPr>
                <w:rFonts w:asciiTheme="minorHAnsi" w:hAnsiTheme="minorHAnsi" w:cstheme="minorHAnsi"/>
                <w:color w:val="000000"/>
                <w:lang w:val="en-GB" w:eastAsia="en-GB"/>
              </w:rPr>
            </w:pPr>
            <w:r w:rsidRPr="00E0255C">
              <w:rPr>
                <w:rFonts w:asciiTheme="minorHAnsi" w:hAnsiTheme="minorHAnsi" w:cstheme="minorHAnsi"/>
                <w:color w:val="000000"/>
                <w:lang w:val="en-GB"/>
              </w:rPr>
              <w:t>Digital Inclusion Forum in collaboration with UNESCO (22/9): the forum shed light on interesting projects and activities by key stakeholders from the Arab region.  Around 150 participants participated.</w:t>
            </w:r>
          </w:p>
          <w:p w14:paraId="535BA65A" w14:textId="77777777" w:rsidR="009948D5" w:rsidRPr="00E0255C" w:rsidRDefault="009948D5" w:rsidP="006459A3">
            <w:pPr>
              <w:pStyle w:val="ListParagraph"/>
              <w:numPr>
                <w:ilvl w:val="0"/>
                <w:numId w:val="37"/>
              </w:numPr>
              <w:spacing w:before="60" w:after="60"/>
              <w:rPr>
                <w:rFonts w:asciiTheme="minorHAnsi" w:hAnsiTheme="minorHAnsi" w:cstheme="minorHAnsi"/>
                <w:color w:val="000000"/>
                <w:lang w:val="en-GB"/>
              </w:rPr>
            </w:pPr>
            <w:r w:rsidRPr="00E0255C">
              <w:rPr>
                <w:rFonts w:asciiTheme="minorHAnsi" w:hAnsiTheme="minorHAnsi" w:cstheme="minorHAnsi"/>
                <w:color w:val="000000"/>
                <w:lang w:val="en-GB"/>
              </w:rPr>
              <w:t>National workshop on ICT Accessibility for Persons with Disabilities (23/9): the workshop was organized to present ITU’s draft proposal for Iraq’s national ICT Accessibility Policy.  Around 30 participants participated.</w:t>
            </w:r>
          </w:p>
          <w:p w14:paraId="7E09B6E3" w14:textId="77777777" w:rsidR="009948D5" w:rsidRPr="00E0255C" w:rsidRDefault="009948D5" w:rsidP="006459A3">
            <w:pPr>
              <w:pStyle w:val="ListParagraph"/>
              <w:numPr>
                <w:ilvl w:val="0"/>
                <w:numId w:val="37"/>
              </w:numPr>
              <w:spacing w:before="60" w:after="60"/>
              <w:rPr>
                <w:rFonts w:asciiTheme="minorHAnsi" w:hAnsiTheme="minorHAnsi" w:cstheme="minorHAnsi"/>
                <w:color w:val="000000"/>
                <w:lang w:val="en-GB"/>
              </w:rPr>
            </w:pPr>
            <w:r w:rsidRPr="00E0255C">
              <w:rPr>
                <w:rFonts w:asciiTheme="minorHAnsi" w:hAnsiTheme="minorHAnsi" w:cstheme="minorHAnsi"/>
                <w:color w:val="000000"/>
                <w:lang w:val="en-GB"/>
              </w:rPr>
              <w:t>National workshop on Smart Learning Policies in collaboration with UNESCO (24/9): the workshop was organized to shed light on key issues pertaining to smart learning policies.  Around 30 participants participated.</w:t>
            </w:r>
          </w:p>
          <w:p w14:paraId="55BA2DC1" w14:textId="77777777" w:rsidR="009948D5" w:rsidRPr="00E0255C" w:rsidRDefault="009948D5" w:rsidP="006459A3">
            <w:pPr>
              <w:pStyle w:val="ListParagraph"/>
              <w:numPr>
                <w:ilvl w:val="0"/>
                <w:numId w:val="37"/>
              </w:numPr>
              <w:spacing w:before="60" w:after="60"/>
              <w:rPr>
                <w:rFonts w:asciiTheme="minorHAnsi" w:hAnsiTheme="minorHAnsi" w:cstheme="minorHAnsi"/>
                <w:color w:val="000000"/>
                <w:lang w:val="en-GB"/>
              </w:rPr>
            </w:pPr>
            <w:r w:rsidRPr="00E0255C">
              <w:rPr>
                <w:rFonts w:asciiTheme="minorHAnsi" w:hAnsiTheme="minorHAnsi" w:cstheme="minorHAnsi"/>
                <w:color w:val="000000"/>
                <w:lang w:val="en-GB"/>
              </w:rPr>
              <w:t>National workshop on cybersecurity for financial institutions (25/9): This capacity building workshop shed light on key issues that financial institutions should take care of in their mission to protect their critical ICT infrastructure.  Around 50 participants participated.</w:t>
            </w:r>
          </w:p>
          <w:p w14:paraId="242432C3" w14:textId="0B622DA9" w:rsidR="009948D5" w:rsidRPr="00E0255C" w:rsidRDefault="009948D5" w:rsidP="006459A3">
            <w:pPr>
              <w:spacing w:before="60" w:after="60"/>
              <w:jc w:val="both"/>
              <w:rPr>
                <w:rFonts w:asciiTheme="minorHAnsi" w:eastAsia="Calibri" w:hAnsiTheme="minorHAnsi" w:cstheme="minorHAnsi"/>
                <w:bCs/>
                <w:lang w:val="en-GB"/>
              </w:rPr>
            </w:pPr>
            <w:r w:rsidRPr="00E0255C">
              <w:rPr>
                <w:rFonts w:asciiTheme="minorHAnsi" w:hAnsiTheme="minorHAnsi" w:cstheme="minorHAnsi"/>
              </w:rPr>
              <w:t xml:space="preserve">In addition to the above, there are </w:t>
            </w:r>
            <w:proofErr w:type="gramStart"/>
            <w:r w:rsidRPr="00E0255C">
              <w:rPr>
                <w:rFonts w:asciiTheme="minorHAnsi" w:hAnsiTheme="minorHAnsi" w:cstheme="minorHAnsi"/>
              </w:rPr>
              <w:t>a number of</w:t>
            </w:r>
            <w:proofErr w:type="gramEnd"/>
            <w:r w:rsidRPr="00E0255C">
              <w:rPr>
                <w:rFonts w:asciiTheme="minorHAnsi" w:hAnsiTheme="minorHAnsi" w:cstheme="minorHAnsi"/>
              </w:rPr>
              <w:t xml:space="preserve"> ongoing areas of assistance that have been stalled due to the instability in the region and globally. These include, development of a national cybersecurity strategy, raising </w:t>
            </w:r>
            <w:r w:rsidRPr="00E0255C">
              <w:rPr>
                <w:rFonts w:asciiTheme="minorHAnsi" w:hAnsiTheme="minorHAnsi" w:cstheme="minorHAnsi"/>
              </w:rPr>
              <w:lastRenderedPageBreak/>
              <w:t xml:space="preserve">awareness on child online protection, digital broadcasting, and e-waste statistics. This was all in line with the agreed implementation plan for the implementation of </w:t>
            </w:r>
            <w:r w:rsidR="00A579C3" w:rsidRPr="00E0255C">
              <w:rPr>
                <w:rFonts w:asciiTheme="minorHAnsi" w:hAnsiTheme="minorHAnsi" w:cstheme="minorHAnsi"/>
              </w:rPr>
              <w:t>R</w:t>
            </w:r>
            <w:r w:rsidRPr="00E0255C">
              <w:rPr>
                <w:rFonts w:asciiTheme="minorHAnsi" w:hAnsiTheme="minorHAnsi" w:cstheme="minorHAnsi"/>
              </w:rPr>
              <w:t>esolution 211 with Iraq.</w:t>
            </w:r>
          </w:p>
        </w:tc>
      </w:tr>
      <w:tr w:rsidR="478B1C36" w:rsidRPr="00B64995" w14:paraId="7164D05D" w14:textId="77777777" w:rsidTr="09AD7226">
        <w:tc>
          <w:tcPr>
            <w:tcW w:w="9026" w:type="dxa"/>
            <w:shd w:val="clear" w:color="auto" w:fill="FFFFFF" w:themeFill="background1"/>
          </w:tcPr>
          <w:p w14:paraId="5AA94738" w14:textId="50B7EE72" w:rsidR="478B1C36" w:rsidRPr="00E0255C" w:rsidRDefault="478B1C36" w:rsidP="006459A3">
            <w:pPr>
              <w:spacing w:before="60" w:after="60"/>
              <w:jc w:val="both"/>
              <w:rPr>
                <w:lang w:val="en-GB"/>
              </w:rPr>
            </w:pPr>
            <w:r w:rsidRPr="00E0255C">
              <w:rPr>
                <w:rFonts w:eastAsia="Calibri"/>
                <w:b/>
              </w:rPr>
              <w:lastRenderedPageBreak/>
              <w:t>213 (Dubai, 2018) Measures to improve, promote and strengthen ITU fellowships</w:t>
            </w:r>
          </w:p>
          <w:p w14:paraId="0BF738AB" w14:textId="1FEB9C18" w:rsidR="6AE22C4E" w:rsidRPr="00E0255C" w:rsidRDefault="6AE22C4E" w:rsidP="006459A3">
            <w:pPr>
              <w:spacing w:before="60" w:after="60"/>
              <w:jc w:val="both"/>
              <w:rPr>
                <w:rFonts w:eastAsia="Calibri"/>
                <w:lang w:val="en-GB"/>
              </w:rPr>
            </w:pPr>
            <w:r w:rsidRPr="00E0255C">
              <w:rPr>
                <w:rFonts w:eastAsia="Calibri"/>
              </w:rPr>
              <w:t>A Draft revised policy for awarding fellowships for events and activities funded through the ITU regular budget and revised list of eligible countrie</w:t>
            </w:r>
            <w:r w:rsidRPr="00E0255C">
              <w:rPr>
                <w:rFonts w:eastAsia="Calibri"/>
                <w:b/>
              </w:rPr>
              <w:t>s</w:t>
            </w:r>
            <w:r w:rsidRPr="00E0255C">
              <w:rPr>
                <w:rFonts w:eastAsia="Calibri"/>
              </w:rPr>
              <w:t xml:space="preserve"> were presented to the CWG-FHR</w:t>
            </w:r>
            <w:r w:rsidR="0FB14397" w:rsidRPr="00E0255C">
              <w:rPr>
                <w:rFonts w:eastAsia="Calibri"/>
              </w:rPr>
              <w:t xml:space="preserve"> (see </w:t>
            </w:r>
            <w:hyperlink r:id="rId587" w:history="1">
              <w:r w:rsidR="0FB14397" w:rsidRPr="00E0255C">
                <w:rPr>
                  <w:rStyle w:val="Hyperlink"/>
                  <w:rFonts w:eastAsia="Calibri"/>
                </w:rPr>
                <w:t>here</w:t>
              </w:r>
            </w:hyperlink>
            <w:r w:rsidR="0FB14397" w:rsidRPr="00E0255C">
              <w:rPr>
                <w:rFonts w:eastAsia="Calibri"/>
                <w:lang w:val="en-GB" w:eastAsia="en-US"/>
              </w:rPr>
              <w:t>)</w:t>
            </w:r>
            <w:r w:rsidRPr="00E0255C">
              <w:rPr>
                <w:rFonts w:eastAsia="Calibri"/>
                <w:lang w:val="en-GB" w:eastAsia="en-US"/>
              </w:rPr>
              <w:t xml:space="preserve">. Service Order No. 07/05 had been revised as well as its related list of eligible countries which is adapted from the United Nations annual report, </w:t>
            </w:r>
            <w:r w:rsidRPr="00E0255C">
              <w:rPr>
                <w:rFonts w:eastAsia="Calibri"/>
                <w:i/>
                <w:lang w:val="en-GB" w:eastAsia="en-US"/>
              </w:rPr>
              <w:t>World Economic Situation and Prospects 2019</w:t>
            </w:r>
            <w:r w:rsidRPr="00E0255C">
              <w:rPr>
                <w:rFonts w:eastAsia="Calibri"/>
                <w:lang w:val="en-GB" w:eastAsia="en-US"/>
              </w:rPr>
              <w:t xml:space="preserve">. </w:t>
            </w:r>
            <w:r w:rsidR="7897C3D8" w:rsidRPr="00E0255C">
              <w:rPr>
                <w:rFonts w:eastAsia="Calibri"/>
                <w:lang w:val="en-GB" w:eastAsia="en-US"/>
              </w:rPr>
              <w:t>Th</w:t>
            </w:r>
            <w:r w:rsidRPr="00E0255C">
              <w:rPr>
                <w:rFonts w:eastAsia="Calibri"/>
                <w:lang w:val="en-GB" w:eastAsia="en-US"/>
              </w:rPr>
              <w:t xml:space="preserve">e United Nations report 2020 was released on 16 January 2020, way after this document was posted on the Council Working Group website. In view of this, the changes noted in the UN report 2020 will be reflected in the list to be presented to the Council in </w:t>
            </w:r>
            <w:proofErr w:type="gramStart"/>
            <w:r w:rsidRPr="00E0255C">
              <w:rPr>
                <w:rFonts w:eastAsia="Calibri"/>
                <w:lang w:val="en-GB" w:eastAsia="en-US"/>
              </w:rPr>
              <w:t>June</w:t>
            </w:r>
            <w:proofErr w:type="gramEnd"/>
          </w:p>
          <w:p w14:paraId="0E4623C9" w14:textId="426432CF" w:rsidR="478B1C36" w:rsidRPr="00E0255C" w:rsidRDefault="478B1C36" w:rsidP="006459A3">
            <w:pPr>
              <w:spacing w:before="60" w:after="60"/>
              <w:jc w:val="both"/>
              <w:rPr>
                <w:rFonts w:eastAsia="Calibri"/>
                <w:bCs/>
                <w:lang w:val="en-GB"/>
              </w:rPr>
            </w:pPr>
            <w:r w:rsidRPr="00E0255C">
              <w:rPr>
                <w:rFonts w:eastAsia="Calibri"/>
                <w:bCs/>
              </w:rPr>
              <w:t>From March 2019 to March 2020, TSB provided 199 fellowships for the following meetings:</w:t>
            </w:r>
          </w:p>
          <w:p w14:paraId="39C754D3" w14:textId="5F1CAD4B" w:rsidR="478B1C36" w:rsidRPr="00E0255C" w:rsidRDefault="478B1C36" w:rsidP="006459A3">
            <w:pPr>
              <w:pStyle w:val="ListParagraph"/>
              <w:numPr>
                <w:ilvl w:val="0"/>
                <w:numId w:val="13"/>
              </w:numPr>
              <w:spacing w:before="60" w:after="60"/>
              <w:jc w:val="both"/>
              <w:rPr>
                <w:rFonts w:eastAsiaTheme="minorEastAsia" w:cs="Calibri"/>
                <w:lang w:val="en-GB"/>
              </w:rPr>
            </w:pPr>
            <w:r w:rsidRPr="00E0255C">
              <w:rPr>
                <w:rFonts w:cs="Calibri"/>
                <w:lang w:val="en-GB"/>
              </w:rPr>
              <w:t>In Geneva: ITU-T Study Groups 2, 3, 5, 9, 11, 12, 13, 15, 16, 17, 20 and TSAG.</w:t>
            </w:r>
          </w:p>
          <w:p w14:paraId="2FFF46FE" w14:textId="39DDEF0F" w:rsidR="478B1C36" w:rsidRPr="00E0255C" w:rsidRDefault="478B1C36" w:rsidP="006459A3">
            <w:pPr>
              <w:pStyle w:val="ListParagraph"/>
              <w:numPr>
                <w:ilvl w:val="0"/>
                <w:numId w:val="13"/>
              </w:numPr>
              <w:spacing w:before="60" w:after="60"/>
              <w:jc w:val="both"/>
              <w:rPr>
                <w:rFonts w:eastAsiaTheme="minorEastAsia" w:cs="Calibri"/>
                <w:lang w:val="en-GB"/>
              </w:rPr>
            </w:pPr>
            <w:r w:rsidRPr="00E0255C">
              <w:rPr>
                <w:rFonts w:cs="Calibri"/>
                <w:lang w:val="en-GB"/>
              </w:rPr>
              <w:t xml:space="preserve">Outside Geneva: SG12RG-AFR (Kigali), </w:t>
            </w:r>
            <w:r w:rsidR="006D38B9" w:rsidRPr="00E0255C">
              <w:rPr>
                <w:rFonts w:cs="Calibri"/>
                <w:lang w:val="en-GB"/>
              </w:rPr>
              <w:t>SG 13</w:t>
            </w:r>
            <w:r w:rsidRPr="00E0255C">
              <w:rPr>
                <w:rFonts w:cs="Calibri"/>
                <w:lang w:val="en-GB"/>
              </w:rPr>
              <w:t xml:space="preserve"> (Zimbabwe), SG2RG-AMR and SG3RG-LAC (Nicaragua), SG17RG-AFR and SG17RG-ARB (Tunis), SG3RG-EECAT and SG11RG-EECAT and SG13RG-EECAT (Russia), SG5RG-AFR and SG20RG-AFR (Nigeria), SG11RG-AFR (Tunis), SG3RG-AO (Sri Lanka), SG2RG-ARB and SG2RG-AFR and SG3RG-ARB (UAE), C&amp;I Training for Africa Region (Ghana), SG13RG-AFR (Nigeria).</w:t>
            </w:r>
          </w:p>
          <w:p w14:paraId="24EF7B53" w14:textId="76B12992" w:rsidR="478B1C36" w:rsidRPr="00E0255C" w:rsidRDefault="478B1C36" w:rsidP="006459A3">
            <w:pPr>
              <w:spacing w:before="60" w:after="60"/>
              <w:jc w:val="both"/>
              <w:rPr>
                <w:lang w:val="en-GB"/>
              </w:rPr>
            </w:pPr>
            <w:r w:rsidRPr="00E0255C">
              <w:rPr>
                <w:rFonts w:eastAsia="Times New Roman"/>
              </w:rPr>
              <w:t>TSB received 377 requests. A total of 247 fellowships were awarded. Of that amount, 199 were used for a total of CHF 434’000.</w:t>
            </w:r>
            <w:r w:rsidRPr="00E0255C">
              <w:rPr>
                <w:rFonts w:eastAsia="Calibri"/>
              </w:rPr>
              <w:t xml:space="preserve"> </w:t>
            </w:r>
          </w:p>
        </w:tc>
      </w:tr>
      <w:tr w:rsidR="478B1C36" w:rsidRPr="00B64995" w14:paraId="68BF7419" w14:textId="77777777" w:rsidTr="09AD7226">
        <w:tc>
          <w:tcPr>
            <w:tcW w:w="9026" w:type="dxa"/>
            <w:shd w:val="clear" w:color="auto" w:fill="FFFFFF" w:themeFill="background1"/>
          </w:tcPr>
          <w:p w14:paraId="22CCBDC2" w14:textId="386430CE" w:rsidR="478B1C36" w:rsidRPr="00E0255C" w:rsidRDefault="478B1C36" w:rsidP="006459A3">
            <w:pPr>
              <w:spacing w:before="60" w:after="60"/>
              <w:jc w:val="both"/>
              <w:rPr>
                <w:lang w:val="en-GB"/>
              </w:rPr>
            </w:pPr>
            <w:r w:rsidRPr="00E0255C">
              <w:rPr>
                <w:rFonts w:eastAsia="Calibri"/>
                <w:b/>
              </w:rPr>
              <w:t>Decision 5 (</w:t>
            </w:r>
            <w:r w:rsidR="00A579C3" w:rsidRPr="00E0255C">
              <w:rPr>
                <w:rFonts w:eastAsia="Calibri"/>
                <w:b/>
              </w:rPr>
              <w:t>R</w:t>
            </w:r>
            <w:r w:rsidRPr="00E0255C">
              <w:rPr>
                <w:rFonts w:eastAsia="Calibri"/>
                <w:b/>
              </w:rPr>
              <w:t>ev. Dubai, 2018) Revenue and expenses for the Union for the period 2020-2023</w:t>
            </w:r>
          </w:p>
          <w:p w14:paraId="5D1A1EDF" w14:textId="12212BA0" w:rsidR="478B1C36" w:rsidRPr="00E0255C" w:rsidRDefault="00C92DF5" w:rsidP="006459A3">
            <w:pPr>
              <w:spacing w:before="60" w:after="60"/>
              <w:jc w:val="both"/>
              <w:rPr>
                <w:lang w:val="en-GB"/>
              </w:rPr>
            </w:pPr>
            <w:r w:rsidRPr="00E0255C">
              <w:rPr>
                <w:rFonts w:eastAsia="Calibri"/>
              </w:rPr>
              <w:t>S</w:t>
            </w:r>
            <w:r w:rsidR="478B1C36" w:rsidRPr="00E0255C">
              <w:rPr>
                <w:rFonts w:eastAsia="Calibri"/>
              </w:rPr>
              <w:t>ee report to Council (</w:t>
            </w:r>
            <w:r w:rsidR="00A579C3" w:rsidRPr="00E0255C">
              <w:rPr>
                <w:rFonts w:eastAsia="Calibri"/>
              </w:rPr>
              <w:t xml:space="preserve">Doc. </w:t>
            </w:r>
            <w:hyperlink r:id="rId588" w:history="1">
              <w:r w:rsidR="00A579C3" w:rsidRPr="00E0255C">
                <w:rPr>
                  <w:rStyle w:val="Hyperlink"/>
                  <w:rFonts w:eastAsia="Calibri"/>
                </w:rPr>
                <w:t>C20/9</w:t>
              </w:r>
            </w:hyperlink>
            <w:r w:rsidR="478B1C36" w:rsidRPr="00E0255C">
              <w:rPr>
                <w:rFonts w:eastAsia="Calibri"/>
                <w:lang w:val="en-GB" w:eastAsia="en-US"/>
              </w:rPr>
              <w:t xml:space="preserve">) </w:t>
            </w:r>
            <w:r w:rsidRPr="00E0255C">
              <w:rPr>
                <w:rFonts w:eastAsia="Calibri"/>
                <w:lang w:val="en-GB" w:eastAsia="en-US"/>
              </w:rPr>
              <w:t>and</w:t>
            </w:r>
            <w:r w:rsidR="478B1C36" w:rsidRPr="00E0255C">
              <w:rPr>
                <w:rFonts w:eastAsia="Calibri"/>
                <w:lang w:val="en-GB" w:eastAsia="en-US"/>
              </w:rPr>
              <w:t xml:space="preserve"> </w:t>
            </w:r>
            <w:hyperlink r:id="rId589" w:history="1">
              <w:r w:rsidR="478B1C36" w:rsidRPr="00E0255C">
                <w:rPr>
                  <w:rStyle w:val="Hyperlink"/>
                  <w:rFonts w:eastAsia="Calibri"/>
                  <w:lang w:val="en-GB" w:eastAsia="en-US"/>
                </w:rPr>
                <w:t>report from</w:t>
              </w:r>
              <w:r w:rsidR="00D325AE" w:rsidRPr="00E0255C">
                <w:rPr>
                  <w:rStyle w:val="Hyperlink"/>
                  <w:rFonts w:eastAsia="Calibri"/>
                  <w:lang w:val="en-GB" w:eastAsia="en-US"/>
                </w:rPr>
                <w:t xml:space="preserve"> </w:t>
              </w:r>
              <w:r w:rsidR="00A579C3" w:rsidRPr="00E0255C">
                <w:rPr>
                  <w:rStyle w:val="Hyperlink"/>
                  <w:rFonts w:eastAsia="Calibri"/>
                  <w:lang w:val="en-GB" w:eastAsia="en-US"/>
                </w:rPr>
                <w:t xml:space="preserve">the </w:t>
              </w:r>
              <w:r w:rsidR="478B1C36" w:rsidRPr="00E0255C">
                <w:rPr>
                  <w:rStyle w:val="Hyperlink"/>
                  <w:rFonts w:eastAsia="Calibri"/>
                  <w:lang w:val="en-GB" w:eastAsia="en-US"/>
                </w:rPr>
                <w:t>Chair of CWG-FHR</w:t>
              </w:r>
            </w:hyperlink>
          </w:p>
        </w:tc>
      </w:tr>
    </w:tbl>
    <w:p w14:paraId="350B4548" w14:textId="2551CC7F" w:rsidR="00AA47DC" w:rsidRPr="00B64995" w:rsidRDefault="00AA47DC" w:rsidP="005C693B">
      <w:pPr>
        <w:spacing w:after="160"/>
      </w:pPr>
      <w:r w:rsidRPr="00B64995">
        <w:br w:type="page"/>
      </w:r>
    </w:p>
    <w:p w14:paraId="4E1EF356" w14:textId="16637EE5" w:rsidR="478B1C36" w:rsidRPr="00B64995" w:rsidRDefault="00AA47DC" w:rsidP="000F67B0">
      <w:pPr>
        <w:pStyle w:val="Heading1"/>
        <w:ind w:left="1276" w:hanging="1276"/>
        <w:rPr>
          <w:szCs w:val="22"/>
        </w:rPr>
      </w:pPr>
      <w:bookmarkStart w:id="173" w:name="_Toc68811436"/>
      <w:bookmarkStart w:id="174" w:name="Annex_2"/>
      <w:r w:rsidRPr="00B64995">
        <w:rPr>
          <w:szCs w:val="22"/>
        </w:rPr>
        <w:lastRenderedPageBreak/>
        <w:t>Annex 2</w:t>
      </w:r>
      <w:r w:rsidR="143A1AA2" w:rsidRPr="00B64995">
        <w:rPr>
          <w:szCs w:val="22"/>
        </w:rPr>
        <w:t xml:space="preserve"> </w:t>
      </w:r>
      <w:r w:rsidR="00727F40" w:rsidRPr="00B64995">
        <w:rPr>
          <w:szCs w:val="22"/>
        </w:rPr>
        <w:tab/>
        <w:t xml:space="preserve">Outcomes of the work of the Union / </w:t>
      </w:r>
      <w:r w:rsidR="000C0C46" w:rsidRPr="00B64995">
        <w:rPr>
          <w:szCs w:val="22"/>
        </w:rPr>
        <w:t>e</w:t>
      </w:r>
      <w:r w:rsidR="00727F40" w:rsidRPr="00B64995">
        <w:rPr>
          <w:szCs w:val="22"/>
        </w:rPr>
        <w:t xml:space="preserve">fficiency of </w:t>
      </w:r>
      <w:r w:rsidR="000C0C46" w:rsidRPr="00B64995">
        <w:rPr>
          <w:szCs w:val="22"/>
        </w:rPr>
        <w:t>e</w:t>
      </w:r>
      <w:r w:rsidR="00727F40" w:rsidRPr="00B64995">
        <w:rPr>
          <w:szCs w:val="22"/>
        </w:rPr>
        <w:t>nablers</w:t>
      </w:r>
      <w:bookmarkEnd w:id="173"/>
    </w:p>
    <w:p w14:paraId="16626582" w14:textId="504ACC5D" w:rsidR="00AA47DC" w:rsidRPr="00B64995" w:rsidRDefault="00AA47DC" w:rsidP="00AA47DC">
      <w:pPr>
        <w:pStyle w:val="Heading2"/>
      </w:pPr>
      <w:bookmarkStart w:id="175" w:name="_Toc37860479"/>
      <w:bookmarkStart w:id="176" w:name="_Toc37861239"/>
      <w:bookmarkStart w:id="177" w:name="_Toc37943363"/>
      <w:bookmarkStart w:id="178" w:name="_Toc68811437"/>
      <w:bookmarkEnd w:id="174"/>
      <w:r w:rsidRPr="00B64995">
        <w:t xml:space="preserve">ITU-R </w:t>
      </w:r>
      <w:r w:rsidR="5620EE07" w:rsidRPr="00B64995">
        <w:t>Objectives</w:t>
      </w:r>
      <w:bookmarkEnd w:id="175"/>
      <w:bookmarkEnd w:id="176"/>
      <w:bookmarkEnd w:id="177"/>
      <w:bookmarkEnd w:id="178"/>
    </w:p>
    <w:p w14:paraId="14883BB2" w14:textId="77777777" w:rsidR="0049723A" w:rsidRPr="00B64995" w:rsidRDefault="00503BCD" w:rsidP="00AB5FA4">
      <w:pPr>
        <w:spacing w:before="120"/>
        <w:jc w:val="both"/>
      </w:pPr>
      <w:bookmarkStart w:id="179" w:name="_Toc37943364"/>
      <w:r w:rsidRPr="00B64995">
        <w:rPr>
          <w:b/>
          <w:bCs/>
        </w:rPr>
        <w:t>Objective R.1</w:t>
      </w:r>
      <w:r w:rsidRPr="00B64995">
        <w:t xml:space="preserve">: Meet, in a rational, equitable, efficient, </w:t>
      </w:r>
      <w:proofErr w:type="gramStart"/>
      <w:r w:rsidRPr="00B64995">
        <w:t>economical</w:t>
      </w:r>
      <w:proofErr w:type="gramEnd"/>
      <w:r w:rsidRPr="00B64995">
        <w:t xml:space="preserve"> and timely way, the ITU membership’s requirements for radio-frequency spectrum and satellite-orbit resources, while avoiding harmful interference</w:t>
      </w:r>
    </w:p>
    <w:p w14:paraId="06A5D123" w14:textId="510A55BE"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F5DC919" w14:textId="77777777" w:rsidTr="00C92451">
        <w:tc>
          <w:tcPr>
            <w:tcW w:w="9016" w:type="dxa"/>
            <w:shd w:val="clear" w:color="auto" w:fill="DCE5F4"/>
          </w:tcPr>
          <w:p w14:paraId="2254F12D" w14:textId="77777777" w:rsidR="00503BCD" w:rsidRPr="00B87922" w:rsidRDefault="00503BCD" w:rsidP="0080338C">
            <w:pPr>
              <w:pStyle w:val="tabletext"/>
              <w:rPr>
                <w:lang w:val="en-GB"/>
              </w:rPr>
            </w:pPr>
            <w:r w:rsidRPr="00B64995">
              <w:t>R.1-a: Increased number of countries having satellite networks and earth stations recorded in the Master International Frequency Register (MIFR)</w:t>
            </w:r>
          </w:p>
          <w:p w14:paraId="2FB50D70" w14:textId="77777777" w:rsidR="00503BCD" w:rsidRPr="00B87922" w:rsidRDefault="00503BCD" w:rsidP="0080338C">
            <w:pPr>
              <w:pStyle w:val="tabletext"/>
              <w:rPr>
                <w:lang w:val="en-GB"/>
              </w:rPr>
            </w:pPr>
            <w:r w:rsidRPr="00B64995">
              <w:t xml:space="preserve">R.1-b: Increased number of countries having terrestrial frequency assignments recorded in the </w:t>
            </w:r>
            <w:proofErr w:type="gramStart"/>
            <w:r w:rsidRPr="00B64995">
              <w:t>MIFR</w:t>
            </w:r>
            <w:proofErr w:type="gramEnd"/>
          </w:p>
          <w:p w14:paraId="4FD13D1B" w14:textId="77777777" w:rsidR="00503BCD" w:rsidRPr="00B87922" w:rsidRDefault="00503BCD" w:rsidP="0080338C">
            <w:pPr>
              <w:pStyle w:val="tabletext"/>
              <w:rPr>
                <w:lang w:val="en-GB"/>
              </w:rPr>
            </w:pPr>
            <w:r w:rsidRPr="00B64995">
              <w:t xml:space="preserve">R.1-c: Increased percentage of assignments recorded in the MIFR with a </w:t>
            </w:r>
            <w:proofErr w:type="spellStart"/>
            <w:r w:rsidRPr="00B64995">
              <w:t>favourable</w:t>
            </w:r>
            <w:proofErr w:type="spellEnd"/>
            <w:r w:rsidRPr="00B64995">
              <w:t xml:space="preserve"> </w:t>
            </w:r>
            <w:proofErr w:type="gramStart"/>
            <w:r w:rsidRPr="00B64995">
              <w:t>finding</w:t>
            </w:r>
            <w:proofErr w:type="gramEnd"/>
          </w:p>
          <w:p w14:paraId="29221039" w14:textId="77777777" w:rsidR="00503BCD" w:rsidRPr="00B87922" w:rsidRDefault="00503BCD" w:rsidP="0080338C">
            <w:pPr>
              <w:pStyle w:val="tabletext"/>
              <w:rPr>
                <w:lang w:val="en-GB"/>
              </w:rPr>
            </w:pPr>
            <w:r w:rsidRPr="00B64995">
              <w:t xml:space="preserve">R.1-d: Increased percentage of countries which have completed the transition to digital terrestrial television </w:t>
            </w:r>
            <w:proofErr w:type="gramStart"/>
            <w:r w:rsidRPr="00B64995">
              <w:t>broadcasting</w:t>
            </w:r>
            <w:proofErr w:type="gramEnd"/>
          </w:p>
          <w:p w14:paraId="1AD52543" w14:textId="77777777" w:rsidR="00503BCD" w:rsidRPr="00B87922" w:rsidRDefault="00503BCD" w:rsidP="0080338C">
            <w:pPr>
              <w:pStyle w:val="tabletext"/>
              <w:rPr>
                <w:lang w:val="en-GB"/>
              </w:rPr>
            </w:pPr>
            <w:r w:rsidRPr="00B64995">
              <w:t xml:space="preserve">R.1-e: Increased percentage of spectrum assigned to satellite networks which is free from harmful </w:t>
            </w:r>
            <w:proofErr w:type="gramStart"/>
            <w:r w:rsidRPr="00B64995">
              <w:t>interference</w:t>
            </w:r>
            <w:proofErr w:type="gramEnd"/>
          </w:p>
          <w:p w14:paraId="7E034AE9" w14:textId="77777777" w:rsidR="00503BCD" w:rsidRPr="00B87922" w:rsidRDefault="00503BCD" w:rsidP="0080338C">
            <w:pPr>
              <w:pStyle w:val="tabletext"/>
              <w:rPr>
                <w:lang w:val="en-GB"/>
              </w:rPr>
            </w:pPr>
            <w:r w:rsidRPr="00B64995">
              <w:t>R.1-f: Increased percentage of assignments to terrestrial services recorded in the MIFR which are free from harmful interference</w:t>
            </w:r>
          </w:p>
        </w:tc>
      </w:tr>
    </w:tbl>
    <w:p w14:paraId="748E0E04" w14:textId="77777777" w:rsidR="006459A3" w:rsidRPr="00B64995" w:rsidRDefault="006459A3" w:rsidP="006459A3"/>
    <w:p w14:paraId="2BF8B90C" w14:textId="0F741D20" w:rsidR="00503BCD" w:rsidRPr="00B64995" w:rsidRDefault="00503BCD" w:rsidP="00A83DAA">
      <w:pPr>
        <w:pStyle w:val="Heading5"/>
      </w:pPr>
      <w:r w:rsidRPr="00B64995">
        <w:t xml:space="preserve">Progress </w:t>
      </w:r>
      <w:proofErr w:type="gramStart"/>
      <w:r w:rsidRPr="00B64995">
        <w:t>achieved</w:t>
      </w:r>
      <w:proofErr w:type="gramEnd"/>
    </w:p>
    <w:p w14:paraId="7FDFC996" w14:textId="77777777" w:rsidR="00503BCD" w:rsidRPr="00B64995" w:rsidRDefault="00503BCD" w:rsidP="00503B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36"/>
      </w:tblGrid>
      <w:tr w:rsidR="007F01AB" w:rsidRPr="00B64995" w14:paraId="40CA9BD1" w14:textId="77777777" w:rsidTr="6844BCB7">
        <w:tc>
          <w:tcPr>
            <w:tcW w:w="4508" w:type="dxa"/>
          </w:tcPr>
          <w:p w14:paraId="47458397" w14:textId="2C000435" w:rsidR="00503BCD" w:rsidRPr="00B87922" w:rsidRDefault="00503BCD" w:rsidP="00150E96">
            <w:pPr>
              <w:jc w:val="center"/>
              <w:rPr>
                <w:lang w:val="en-GB"/>
              </w:rPr>
            </w:pPr>
          </w:p>
        </w:tc>
        <w:tc>
          <w:tcPr>
            <w:tcW w:w="4508" w:type="dxa"/>
          </w:tcPr>
          <w:p w14:paraId="50D61AAF" w14:textId="17AE1FED" w:rsidR="00503BCD" w:rsidRPr="00B87922" w:rsidRDefault="00503BCD" w:rsidP="00150E96">
            <w:pPr>
              <w:jc w:val="center"/>
              <w:rPr>
                <w:lang w:val="en-GB"/>
              </w:rPr>
            </w:pPr>
          </w:p>
        </w:tc>
      </w:tr>
      <w:tr w:rsidR="007F01AB" w:rsidRPr="00B64995" w14:paraId="1ADC534D" w14:textId="77777777" w:rsidTr="6844BCB7">
        <w:tc>
          <w:tcPr>
            <w:tcW w:w="4508" w:type="dxa"/>
          </w:tcPr>
          <w:p w14:paraId="37C87E83" w14:textId="77777777" w:rsidR="00503BCD" w:rsidRPr="00B87922" w:rsidRDefault="00503BCD" w:rsidP="00150E96">
            <w:pPr>
              <w:jc w:val="center"/>
              <w:rPr>
                <w:lang w:val="en-GB"/>
              </w:rPr>
            </w:pPr>
          </w:p>
        </w:tc>
        <w:tc>
          <w:tcPr>
            <w:tcW w:w="4508" w:type="dxa"/>
          </w:tcPr>
          <w:p w14:paraId="21AA3C69" w14:textId="77777777" w:rsidR="00503BCD" w:rsidRPr="00B87922" w:rsidRDefault="00503BCD" w:rsidP="00150E96">
            <w:pPr>
              <w:jc w:val="center"/>
              <w:rPr>
                <w:lang w:val="en-GB"/>
              </w:rPr>
            </w:pPr>
          </w:p>
        </w:tc>
      </w:tr>
      <w:tr w:rsidR="007F01AB" w:rsidRPr="00B64995" w14:paraId="154E9DC8" w14:textId="77777777" w:rsidTr="6844BCB7">
        <w:tc>
          <w:tcPr>
            <w:tcW w:w="4508" w:type="dxa"/>
          </w:tcPr>
          <w:p w14:paraId="11746B92" w14:textId="0E0B8332" w:rsidR="00503BCD" w:rsidRPr="00B87922" w:rsidRDefault="00503BCD" w:rsidP="00150E96">
            <w:pPr>
              <w:jc w:val="center"/>
              <w:rPr>
                <w:lang w:val="en-GB"/>
              </w:rPr>
            </w:pPr>
          </w:p>
        </w:tc>
        <w:tc>
          <w:tcPr>
            <w:tcW w:w="4508" w:type="dxa"/>
          </w:tcPr>
          <w:p w14:paraId="3A4F752A" w14:textId="6AB4BC33" w:rsidR="00503BCD" w:rsidRPr="00B87922" w:rsidRDefault="00503BCD" w:rsidP="00150E96">
            <w:pPr>
              <w:jc w:val="center"/>
              <w:rPr>
                <w:lang w:val="en-GB"/>
              </w:rPr>
            </w:pPr>
          </w:p>
        </w:tc>
      </w:tr>
      <w:tr w:rsidR="007F01AB" w:rsidRPr="00B64995" w14:paraId="56FE3B95" w14:textId="77777777" w:rsidTr="6844BCB7">
        <w:tc>
          <w:tcPr>
            <w:tcW w:w="4508" w:type="dxa"/>
          </w:tcPr>
          <w:p w14:paraId="0407CD1D" w14:textId="77777777" w:rsidR="00503BCD" w:rsidRPr="00B87922" w:rsidRDefault="00503BCD" w:rsidP="00150E96">
            <w:pPr>
              <w:rPr>
                <w:lang w:val="en-GB"/>
              </w:rPr>
            </w:pPr>
          </w:p>
        </w:tc>
        <w:tc>
          <w:tcPr>
            <w:tcW w:w="4508" w:type="dxa"/>
          </w:tcPr>
          <w:p w14:paraId="3A5481A4" w14:textId="77777777" w:rsidR="00503BCD" w:rsidRPr="00B87922" w:rsidRDefault="00503BCD" w:rsidP="00150E96">
            <w:pPr>
              <w:rPr>
                <w:lang w:val="en-GB"/>
              </w:rPr>
            </w:pPr>
          </w:p>
        </w:tc>
      </w:tr>
      <w:tr w:rsidR="007F01AB" w:rsidRPr="00B64995" w14:paraId="00733F9F" w14:textId="77777777" w:rsidTr="6844BCB7">
        <w:tc>
          <w:tcPr>
            <w:tcW w:w="4508" w:type="dxa"/>
          </w:tcPr>
          <w:p w14:paraId="72409626" w14:textId="32A4E2B8" w:rsidR="00503BCD" w:rsidRPr="00B87922" w:rsidRDefault="00503BCD" w:rsidP="00150E96">
            <w:pPr>
              <w:rPr>
                <w:lang w:val="en-GB"/>
              </w:rPr>
            </w:pPr>
          </w:p>
        </w:tc>
        <w:tc>
          <w:tcPr>
            <w:tcW w:w="4508" w:type="dxa"/>
          </w:tcPr>
          <w:p w14:paraId="32CD1389" w14:textId="7A9A7FC9" w:rsidR="00503BCD" w:rsidRPr="00B87922" w:rsidRDefault="00503BCD" w:rsidP="00150E96">
            <w:pPr>
              <w:jc w:val="center"/>
              <w:rPr>
                <w:lang w:val="en-GB"/>
              </w:rPr>
            </w:pPr>
          </w:p>
        </w:tc>
      </w:tr>
      <w:tr w:rsidR="007F01AB" w:rsidRPr="00B64995" w14:paraId="05F5F9C8" w14:textId="77777777" w:rsidTr="6844BCB7">
        <w:tc>
          <w:tcPr>
            <w:tcW w:w="4508" w:type="dxa"/>
          </w:tcPr>
          <w:p w14:paraId="605C69DC" w14:textId="77777777" w:rsidR="00503BCD" w:rsidRPr="00B87922" w:rsidRDefault="00503BCD" w:rsidP="00150E96">
            <w:pPr>
              <w:rPr>
                <w:lang w:val="en-GB"/>
              </w:rPr>
            </w:pPr>
          </w:p>
        </w:tc>
        <w:tc>
          <w:tcPr>
            <w:tcW w:w="4508" w:type="dxa"/>
          </w:tcPr>
          <w:p w14:paraId="5456187B" w14:textId="77777777" w:rsidR="00503BCD" w:rsidRPr="00B87922" w:rsidRDefault="00503BCD" w:rsidP="00150E96">
            <w:pPr>
              <w:rPr>
                <w:lang w:val="en-GB"/>
              </w:rPr>
            </w:pPr>
          </w:p>
        </w:tc>
      </w:tr>
      <w:tr w:rsidR="007F01AB" w:rsidRPr="00B64995" w14:paraId="3201BBF8" w14:textId="77777777" w:rsidTr="6844BCB7">
        <w:tc>
          <w:tcPr>
            <w:tcW w:w="4508" w:type="dxa"/>
          </w:tcPr>
          <w:p w14:paraId="487C31FE" w14:textId="14254526" w:rsidR="00503BCD" w:rsidRPr="00B87922" w:rsidRDefault="00503BCD" w:rsidP="00150E96">
            <w:pPr>
              <w:jc w:val="center"/>
              <w:rPr>
                <w:lang w:val="en-GB"/>
              </w:rPr>
            </w:pPr>
          </w:p>
        </w:tc>
        <w:tc>
          <w:tcPr>
            <w:tcW w:w="4508" w:type="dxa"/>
          </w:tcPr>
          <w:p w14:paraId="5F96A9EC" w14:textId="74DA717B" w:rsidR="00503BCD" w:rsidRPr="00B87922" w:rsidRDefault="00503BCD" w:rsidP="00150E96">
            <w:pPr>
              <w:jc w:val="center"/>
              <w:rPr>
                <w:lang w:val="en-GB"/>
              </w:rPr>
            </w:pPr>
          </w:p>
        </w:tc>
      </w:tr>
      <w:tr w:rsidR="007F01AB" w:rsidRPr="00B64995" w14:paraId="6998676E" w14:textId="77777777" w:rsidTr="6844BCB7">
        <w:tc>
          <w:tcPr>
            <w:tcW w:w="4508" w:type="dxa"/>
          </w:tcPr>
          <w:p w14:paraId="0794EEE4" w14:textId="77777777" w:rsidR="00503BCD" w:rsidRPr="00B87922" w:rsidRDefault="00503BCD" w:rsidP="00150E96">
            <w:pPr>
              <w:rPr>
                <w:lang w:val="en-GB"/>
              </w:rPr>
            </w:pPr>
          </w:p>
        </w:tc>
        <w:tc>
          <w:tcPr>
            <w:tcW w:w="4508" w:type="dxa"/>
          </w:tcPr>
          <w:p w14:paraId="779D537A" w14:textId="77777777" w:rsidR="00503BCD" w:rsidRPr="00B87922" w:rsidRDefault="00503BCD" w:rsidP="00150E96">
            <w:pPr>
              <w:rPr>
                <w:lang w:val="en-GB"/>
              </w:rPr>
            </w:pPr>
          </w:p>
        </w:tc>
      </w:tr>
      <w:tr w:rsidR="007F01AB" w14:paraId="44A67CE1" w14:textId="77777777" w:rsidTr="007F01AB">
        <w:tc>
          <w:tcPr>
            <w:tcW w:w="4508" w:type="dxa"/>
          </w:tcPr>
          <w:p w14:paraId="3A2C30E9" w14:textId="77777777" w:rsidR="00467EDF" w:rsidRDefault="00A74188" w:rsidP="00503BCD">
            <w:r>
              <w:rPr>
                <w:noProof/>
              </w:rPr>
              <w:drawing>
                <wp:inline distT="0" distB="0" distL="0" distR="0" wp14:anchorId="583D3713" wp14:editId="7A2FE016">
                  <wp:extent cx="2709080" cy="1601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718279" cy="1606580"/>
                          </a:xfrm>
                          <a:prstGeom prst="rect">
                            <a:avLst/>
                          </a:prstGeom>
                          <a:noFill/>
                        </pic:spPr>
                      </pic:pic>
                    </a:graphicData>
                  </a:graphic>
                </wp:inline>
              </w:drawing>
            </w:r>
          </w:p>
          <w:p w14:paraId="55F1F091" w14:textId="71CF563C" w:rsidR="00812E0F" w:rsidRDefault="00812E0F" w:rsidP="00503BCD"/>
        </w:tc>
        <w:tc>
          <w:tcPr>
            <w:tcW w:w="4508" w:type="dxa"/>
          </w:tcPr>
          <w:p w14:paraId="3DA6D782" w14:textId="41403AF1" w:rsidR="00467EDF" w:rsidRDefault="00372A4A" w:rsidP="00503BCD">
            <w:r>
              <w:rPr>
                <w:noProof/>
              </w:rPr>
              <w:drawing>
                <wp:inline distT="0" distB="0" distL="0" distR="0" wp14:anchorId="584666EF" wp14:editId="1A91A138">
                  <wp:extent cx="2599899" cy="161887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12339" cy="1626625"/>
                          </a:xfrm>
                          <a:prstGeom prst="rect">
                            <a:avLst/>
                          </a:prstGeom>
                          <a:noFill/>
                        </pic:spPr>
                      </pic:pic>
                    </a:graphicData>
                  </a:graphic>
                </wp:inline>
              </w:drawing>
            </w:r>
          </w:p>
        </w:tc>
      </w:tr>
      <w:tr w:rsidR="007F01AB" w14:paraId="12F7469C" w14:textId="77777777" w:rsidTr="007F01AB">
        <w:tc>
          <w:tcPr>
            <w:tcW w:w="4508" w:type="dxa"/>
          </w:tcPr>
          <w:p w14:paraId="0E3BDD76" w14:textId="77777777" w:rsidR="00467EDF" w:rsidRDefault="00810D2B" w:rsidP="00503BCD">
            <w:r>
              <w:rPr>
                <w:noProof/>
              </w:rPr>
              <w:drawing>
                <wp:inline distT="0" distB="0" distL="0" distR="0" wp14:anchorId="340519D2" wp14:editId="79C76735">
                  <wp:extent cx="2705202" cy="157216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728398" cy="1585646"/>
                          </a:xfrm>
                          <a:prstGeom prst="rect">
                            <a:avLst/>
                          </a:prstGeom>
                          <a:noFill/>
                        </pic:spPr>
                      </pic:pic>
                    </a:graphicData>
                  </a:graphic>
                </wp:inline>
              </w:drawing>
            </w:r>
          </w:p>
          <w:p w14:paraId="421197BC" w14:textId="0FDC3722" w:rsidR="00E43E5C" w:rsidRDefault="00E43E5C" w:rsidP="00503BCD"/>
        </w:tc>
        <w:tc>
          <w:tcPr>
            <w:tcW w:w="4508" w:type="dxa"/>
          </w:tcPr>
          <w:p w14:paraId="37F6D287" w14:textId="43B545A2" w:rsidR="00467EDF" w:rsidRDefault="00026583" w:rsidP="00503BCD">
            <w:r>
              <w:rPr>
                <w:noProof/>
              </w:rPr>
              <w:drawing>
                <wp:inline distT="0" distB="0" distL="0" distR="0" wp14:anchorId="42BB9D05" wp14:editId="1A4D9081">
                  <wp:extent cx="2742349" cy="157162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779760" cy="1593065"/>
                          </a:xfrm>
                          <a:prstGeom prst="rect">
                            <a:avLst/>
                          </a:prstGeom>
                          <a:noFill/>
                        </pic:spPr>
                      </pic:pic>
                    </a:graphicData>
                  </a:graphic>
                </wp:inline>
              </w:drawing>
            </w:r>
          </w:p>
        </w:tc>
      </w:tr>
      <w:tr w:rsidR="007F01AB" w14:paraId="16D32452" w14:textId="77777777" w:rsidTr="007F01AB">
        <w:tc>
          <w:tcPr>
            <w:tcW w:w="4508" w:type="dxa"/>
          </w:tcPr>
          <w:p w14:paraId="31BE1EB2" w14:textId="77777777" w:rsidR="00467EDF" w:rsidRDefault="00AD5F73" w:rsidP="00503BCD">
            <w:r>
              <w:rPr>
                <w:noProof/>
              </w:rPr>
              <w:lastRenderedPageBreak/>
              <w:drawing>
                <wp:inline distT="0" distB="0" distL="0" distR="0" wp14:anchorId="45BDD66F" wp14:editId="26BC2A6E">
                  <wp:extent cx="2679649" cy="1497577"/>
                  <wp:effectExtent l="0" t="0" r="698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702515" cy="1510356"/>
                          </a:xfrm>
                          <a:prstGeom prst="rect">
                            <a:avLst/>
                          </a:prstGeom>
                          <a:noFill/>
                        </pic:spPr>
                      </pic:pic>
                    </a:graphicData>
                  </a:graphic>
                </wp:inline>
              </w:drawing>
            </w:r>
          </w:p>
          <w:p w14:paraId="335C7FAD" w14:textId="3E85E565" w:rsidR="00D43EBE" w:rsidRDefault="00D43EBE" w:rsidP="00503BCD"/>
        </w:tc>
        <w:tc>
          <w:tcPr>
            <w:tcW w:w="4508" w:type="dxa"/>
          </w:tcPr>
          <w:p w14:paraId="7E9AE1BE" w14:textId="24E1F7BE" w:rsidR="00467EDF" w:rsidRDefault="00E43E5C" w:rsidP="00503BCD">
            <w:r>
              <w:rPr>
                <w:noProof/>
              </w:rPr>
              <w:drawing>
                <wp:inline distT="0" distB="0" distL="0" distR="0" wp14:anchorId="3C5A12EC" wp14:editId="292625F8">
                  <wp:extent cx="2663514" cy="1503984"/>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678422" cy="1512402"/>
                          </a:xfrm>
                          <a:prstGeom prst="rect">
                            <a:avLst/>
                          </a:prstGeom>
                          <a:noFill/>
                        </pic:spPr>
                      </pic:pic>
                    </a:graphicData>
                  </a:graphic>
                </wp:inline>
              </w:drawing>
            </w:r>
          </w:p>
        </w:tc>
      </w:tr>
      <w:tr w:rsidR="007F01AB" w14:paraId="2039BA46" w14:textId="77777777" w:rsidTr="007F01AB">
        <w:tc>
          <w:tcPr>
            <w:tcW w:w="4508" w:type="dxa"/>
          </w:tcPr>
          <w:p w14:paraId="3D251FA7" w14:textId="7E7B5409" w:rsidR="00467EDF" w:rsidRDefault="00D43EBE" w:rsidP="00503BCD">
            <w:r>
              <w:rPr>
                <w:noProof/>
              </w:rPr>
              <w:drawing>
                <wp:inline distT="0" distB="0" distL="0" distR="0" wp14:anchorId="55829FAB" wp14:editId="33A1652E">
                  <wp:extent cx="2660689" cy="1490753"/>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668030" cy="1494866"/>
                          </a:xfrm>
                          <a:prstGeom prst="rect">
                            <a:avLst/>
                          </a:prstGeom>
                          <a:noFill/>
                        </pic:spPr>
                      </pic:pic>
                    </a:graphicData>
                  </a:graphic>
                </wp:inline>
              </w:drawing>
            </w:r>
          </w:p>
        </w:tc>
        <w:tc>
          <w:tcPr>
            <w:tcW w:w="4508" w:type="dxa"/>
          </w:tcPr>
          <w:p w14:paraId="543C168B" w14:textId="4B6A0037" w:rsidR="00467EDF" w:rsidRDefault="007F01AB" w:rsidP="00503BCD">
            <w:r>
              <w:rPr>
                <w:noProof/>
              </w:rPr>
              <w:drawing>
                <wp:inline distT="0" distB="0" distL="0" distR="0" wp14:anchorId="6A26DD3B" wp14:editId="12364A34">
                  <wp:extent cx="2553376" cy="1483929"/>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581394" cy="1500212"/>
                          </a:xfrm>
                          <a:prstGeom prst="rect">
                            <a:avLst/>
                          </a:prstGeom>
                          <a:noFill/>
                        </pic:spPr>
                      </pic:pic>
                    </a:graphicData>
                  </a:graphic>
                </wp:inline>
              </w:drawing>
            </w:r>
          </w:p>
        </w:tc>
      </w:tr>
    </w:tbl>
    <w:p w14:paraId="16C4C766" w14:textId="57C69CB5" w:rsidR="00503BCD" w:rsidRPr="00B64995" w:rsidRDefault="00503BCD" w:rsidP="00503BCD"/>
    <w:p w14:paraId="7976ADFB" w14:textId="77777777" w:rsidR="006459A3" w:rsidRPr="00B64995" w:rsidRDefault="006459A3" w:rsidP="00503BCD"/>
    <w:p w14:paraId="16223EC4" w14:textId="77777777" w:rsidR="00503BCD" w:rsidRPr="00B64995" w:rsidRDefault="00503BCD" w:rsidP="00503BCD">
      <w:r w:rsidRPr="00B64995">
        <w:rPr>
          <w:b/>
          <w:bCs/>
        </w:rPr>
        <w:t>Objective R.2</w:t>
      </w:r>
      <w:r w:rsidRPr="00B64995">
        <w:t xml:space="preserve">: (Radiocommunication standards) Provide for worldwide connectivity and interoperability, improved performance, quality, affordability and timeliness of service and overall system economy in radiocommunications, including through the development of international </w:t>
      </w:r>
      <w:proofErr w:type="gramStart"/>
      <w:r w:rsidRPr="00B64995">
        <w:t>standards</w:t>
      </w:r>
      <w:proofErr w:type="gramEnd"/>
    </w:p>
    <w:p w14:paraId="3ACEAD36"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74BA6E67" w14:textId="77777777" w:rsidTr="00C92451">
        <w:tc>
          <w:tcPr>
            <w:tcW w:w="9016" w:type="dxa"/>
            <w:shd w:val="clear" w:color="auto" w:fill="DCE5F4"/>
          </w:tcPr>
          <w:p w14:paraId="25D7B973" w14:textId="7B40821A" w:rsidR="00503BCD" w:rsidRPr="00B87922" w:rsidRDefault="00503BCD" w:rsidP="0080338C">
            <w:pPr>
              <w:pStyle w:val="tabletext"/>
              <w:rPr>
                <w:lang w:val="en-GB"/>
              </w:rPr>
            </w:pPr>
            <w:r w:rsidRPr="00B64995">
              <w:t>R.2-a: Increased mobile</w:t>
            </w:r>
            <w:r w:rsidR="007F05EB" w:rsidRPr="00B64995">
              <w:t xml:space="preserve"> </w:t>
            </w:r>
            <w:r w:rsidRPr="00B64995">
              <w:t>broadband access and use, including in frequency bands identified for international mobile telecommunications (IMT)</w:t>
            </w:r>
          </w:p>
          <w:p w14:paraId="5FF23988" w14:textId="74CC1A8D" w:rsidR="00503BCD" w:rsidRPr="00B87922" w:rsidRDefault="00503BCD" w:rsidP="0080338C">
            <w:pPr>
              <w:pStyle w:val="tabletext"/>
              <w:rPr>
                <w:lang w:val="en-GB"/>
              </w:rPr>
            </w:pPr>
            <w:r w:rsidRPr="00B64995">
              <w:t>R.2-b: Reduced mobile</w:t>
            </w:r>
            <w:r w:rsidR="007F05EB" w:rsidRPr="00B64995">
              <w:t xml:space="preserve"> </w:t>
            </w:r>
            <w:r w:rsidRPr="00B64995">
              <w:t>broadband price basket, as a percentage of gross national income (GNI) per capita</w:t>
            </w:r>
          </w:p>
          <w:p w14:paraId="6A95FE8E" w14:textId="77777777" w:rsidR="00503BCD" w:rsidRPr="00B87922" w:rsidRDefault="00503BCD" w:rsidP="0080338C">
            <w:pPr>
              <w:pStyle w:val="tabletext"/>
              <w:rPr>
                <w:lang w:val="en-GB"/>
              </w:rPr>
            </w:pPr>
            <w:r w:rsidRPr="00B64995">
              <w:t>R.2-c: Increased number of fixed links and increased amount of traffic handled by the fixed service (Tbit/s)</w:t>
            </w:r>
          </w:p>
          <w:p w14:paraId="175379DC" w14:textId="77777777" w:rsidR="00503BCD" w:rsidRPr="00B87922" w:rsidRDefault="00503BCD" w:rsidP="0080338C">
            <w:pPr>
              <w:pStyle w:val="tabletext"/>
              <w:rPr>
                <w:lang w:val="en-GB"/>
              </w:rPr>
            </w:pPr>
            <w:r w:rsidRPr="00B64995">
              <w:t>R.2-d: Increased number of households with digital terrestrial television reception</w:t>
            </w:r>
            <w:r w:rsidRPr="00B64995">
              <w:cr/>
              <w:t>R.2-e: Increased number of satellite transponders (equivalent 36 MHz) on communication satellites in</w:t>
            </w:r>
          </w:p>
          <w:p w14:paraId="7876B274" w14:textId="77777777" w:rsidR="00503BCD" w:rsidRPr="00B87922" w:rsidRDefault="00503BCD" w:rsidP="0080338C">
            <w:pPr>
              <w:pStyle w:val="tabletext"/>
              <w:rPr>
                <w:lang w:val="en-GB"/>
              </w:rPr>
            </w:pPr>
            <w:r w:rsidRPr="00B64995">
              <w:t>operation and corresponding capacity (Tbit/s); Number of VSAT terminals; Number of households with satellite television reception</w:t>
            </w:r>
          </w:p>
          <w:p w14:paraId="7CA8FB8E" w14:textId="77777777" w:rsidR="00503BCD" w:rsidRPr="00B87922" w:rsidRDefault="00503BCD" w:rsidP="0080338C">
            <w:pPr>
              <w:pStyle w:val="tabletext"/>
              <w:rPr>
                <w:lang w:val="en-GB"/>
              </w:rPr>
            </w:pPr>
            <w:r w:rsidRPr="00B64995">
              <w:t>R.2-f: Increased number of devices with radionavigation-satellite reception</w:t>
            </w:r>
          </w:p>
          <w:p w14:paraId="79C77AAE" w14:textId="77777777" w:rsidR="00503BCD" w:rsidRPr="00B87922" w:rsidRDefault="00503BCD" w:rsidP="0080338C">
            <w:pPr>
              <w:pStyle w:val="tabletext"/>
              <w:rPr>
                <w:lang w:val="en-GB"/>
              </w:rPr>
            </w:pPr>
            <w:r w:rsidRPr="00B64995">
              <w:t>R.2-g: Increased number of satellites having Earth exploration payloads in operation, corresponding quantity and resolution of transmitted images and data volume downloaded (</w:t>
            </w:r>
            <w:proofErr w:type="spellStart"/>
            <w:r w:rsidRPr="00B64995">
              <w:t>Tbytes</w:t>
            </w:r>
            <w:proofErr w:type="spellEnd"/>
            <w:r w:rsidRPr="00B64995">
              <w:t>)</w:t>
            </w:r>
          </w:p>
        </w:tc>
      </w:tr>
    </w:tbl>
    <w:p w14:paraId="2F2A55BD" w14:textId="77777777" w:rsidR="00503BCD" w:rsidRPr="00B64995" w:rsidRDefault="00503BCD" w:rsidP="00503BCD"/>
    <w:p w14:paraId="3BC8659F" w14:textId="77777777" w:rsidR="00391B3D" w:rsidRPr="00B64995" w:rsidRDefault="00391B3D" w:rsidP="00A83DAA">
      <w:pPr>
        <w:pStyle w:val="Heading5"/>
      </w:pPr>
      <w:r w:rsidRPr="00B64995">
        <w:br w:type="page"/>
      </w:r>
    </w:p>
    <w:p w14:paraId="0627F1EE" w14:textId="6AF45E09" w:rsidR="00503BCD" w:rsidRPr="00B64995" w:rsidRDefault="00503BCD" w:rsidP="00A83DAA">
      <w:pPr>
        <w:pStyle w:val="Heading5"/>
      </w:pPr>
      <w:r w:rsidRPr="00B64995">
        <w:lastRenderedPageBreak/>
        <w:t xml:space="preserve">Progress </w:t>
      </w:r>
      <w:proofErr w:type="gramStart"/>
      <w:r w:rsidRPr="00B64995">
        <w:t>achieved</w:t>
      </w:r>
      <w:proofErr w:type="gramEnd"/>
    </w:p>
    <w:p w14:paraId="4578E8C4" w14:textId="77777777" w:rsidR="00503BCD" w:rsidRPr="00B64995" w:rsidRDefault="00503BCD" w:rsidP="00503BCD">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413"/>
      </w:tblGrid>
      <w:tr w:rsidR="00503BCD" w:rsidRPr="00B64995" w14:paraId="224E347C" w14:textId="77777777" w:rsidTr="6844BCB7">
        <w:tc>
          <w:tcPr>
            <w:tcW w:w="9016" w:type="dxa"/>
            <w:gridSpan w:val="2"/>
          </w:tcPr>
          <w:p w14:paraId="4A866E9C" w14:textId="77777777" w:rsidR="00503BCD" w:rsidRPr="00B87922" w:rsidRDefault="00503BCD" w:rsidP="00150E96">
            <w:pPr>
              <w:rPr>
                <w:b/>
                <w:bCs/>
                <w:lang w:val="en-GB"/>
              </w:rPr>
            </w:pPr>
            <w:r w:rsidRPr="00B64995">
              <w:rPr>
                <w:b/>
                <w:bCs/>
              </w:rPr>
              <w:t>R.2a</w:t>
            </w:r>
          </w:p>
        </w:tc>
      </w:tr>
      <w:tr w:rsidR="00503BCD" w:rsidRPr="00B64995" w14:paraId="145A46F0" w14:textId="77777777" w:rsidTr="6844BCB7">
        <w:tc>
          <w:tcPr>
            <w:tcW w:w="9016" w:type="dxa"/>
            <w:gridSpan w:val="2"/>
          </w:tcPr>
          <w:p w14:paraId="2D403C69" w14:textId="55237DD8" w:rsidR="00503BCD" w:rsidRPr="00B87922" w:rsidRDefault="002A4C2F" w:rsidP="00150E96">
            <w:pPr>
              <w:jc w:val="center"/>
              <w:rPr>
                <w:b/>
                <w:bCs/>
                <w:lang w:val="en-GB"/>
              </w:rPr>
            </w:pPr>
            <w:r>
              <w:rPr>
                <w:b/>
                <w:bCs/>
                <w:noProof/>
              </w:rPr>
              <w:drawing>
                <wp:inline distT="0" distB="0" distL="0" distR="0" wp14:anchorId="1577B462" wp14:editId="08A4832E">
                  <wp:extent cx="2729552" cy="152364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738617" cy="1528700"/>
                          </a:xfrm>
                          <a:prstGeom prst="rect">
                            <a:avLst/>
                          </a:prstGeom>
                          <a:noFill/>
                        </pic:spPr>
                      </pic:pic>
                    </a:graphicData>
                  </a:graphic>
                </wp:inline>
              </w:drawing>
            </w:r>
          </w:p>
        </w:tc>
      </w:tr>
      <w:tr w:rsidR="00503BCD" w:rsidRPr="00B64995" w14:paraId="10DB3535" w14:textId="77777777" w:rsidTr="6844BCB7">
        <w:tc>
          <w:tcPr>
            <w:tcW w:w="9016" w:type="dxa"/>
            <w:gridSpan w:val="2"/>
          </w:tcPr>
          <w:p w14:paraId="666020E7" w14:textId="77777777" w:rsidR="00503BCD" w:rsidRPr="00B87922" w:rsidRDefault="00503BCD" w:rsidP="00150E96">
            <w:pPr>
              <w:rPr>
                <w:b/>
                <w:bCs/>
                <w:lang w:val="en-GB"/>
              </w:rPr>
            </w:pPr>
          </w:p>
        </w:tc>
      </w:tr>
      <w:tr w:rsidR="00503BCD" w:rsidRPr="00B64995" w14:paraId="203AFD3A" w14:textId="77777777" w:rsidTr="6844BCB7">
        <w:tc>
          <w:tcPr>
            <w:tcW w:w="9016" w:type="dxa"/>
            <w:gridSpan w:val="2"/>
          </w:tcPr>
          <w:p w14:paraId="4494EC53" w14:textId="224F743A" w:rsidR="00503BCD" w:rsidRPr="00B87922" w:rsidRDefault="00503BCD" w:rsidP="00150E96">
            <w:pPr>
              <w:rPr>
                <w:b/>
                <w:bCs/>
                <w:lang w:val="en-GB"/>
              </w:rPr>
            </w:pPr>
            <w:r w:rsidRPr="00B64995">
              <w:rPr>
                <w:b/>
                <w:bCs/>
              </w:rPr>
              <w:t xml:space="preserve">R.2b: </w:t>
            </w:r>
            <w:r w:rsidRPr="00B64995">
              <w:t xml:space="preserve">See results for </w:t>
            </w:r>
            <w:r w:rsidR="007F05EB" w:rsidRPr="00B64995">
              <w:t>s</w:t>
            </w:r>
            <w:r w:rsidRPr="00B64995">
              <w:t xml:space="preserve">trategic </w:t>
            </w:r>
            <w:r w:rsidR="007F05EB" w:rsidRPr="00B64995">
              <w:t>t</w:t>
            </w:r>
            <w:r w:rsidRPr="00B64995">
              <w:t xml:space="preserve">argets 1.3, 2.5 and 2.6 in </w:t>
            </w:r>
            <w:r w:rsidR="007F05EB" w:rsidRPr="00B64995">
              <w:t>section</w:t>
            </w:r>
            <w:r w:rsidRPr="00B64995">
              <w:t xml:space="preserve"> 3.1</w:t>
            </w:r>
          </w:p>
        </w:tc>
      </w:tr>
      <w:tr w:rsidR="00503BCD" w:rsidRPr="00B64995" w14:paraId="3FEC6219" w14:textId="77777777" w:rsidTr="6844BCB7">
        <w:tc>
          <w:tcPr>
            <w:tcW w:w="9016" w:type="dxa"/>
            <w:gridSpan w:val="2"/>
          </w:tcPr>
          <w:p w14:paraId="12116214" w14:textId="77777777" w:rsidR="00503BCD" w:rsidRPr="00B87922" w:rsidRDefault="00503BCD" w:rsidP="00150E96">
            <w:pPr>
              <w:jc w:val="center"/>
              <w:rPr>
                <w:b/>
                <w:bCs/>
                <w:lang w:val="en-GB"/>
              </w:rPr>
            </w:pPr>
          </w:p>
        </w:tc>
      </w:tr>
      <w:tr w:rsidR="008C53B8" w:rsidRPr="00B64995" w14:paraId="064E751A" w14:textId="77777777" w:rsidTr="6844BCB7">
        <w:tc>
          <w:tcPr>
            <w:tcW w:w="4298" w:type="dxa"/>
          </w:tcPr>
          <w:p w14:paraId="6A7C21D6" w14:textId="77777777" w:rsidR="00503BCD" w:rsidRPr="00B87922" w:rsidRDefault="00503BCD" w:rsidP="00150E96">
            <w:pPr>
              <w:rPr>
                <w:b/>
                <w:bCs/>
                <w:lang w:val="en-GB"/>
              </w:rPr>
            </w:pPr>
            <w:r w:rsidRPr="00B64995">
              <w:rPr>
                <w:b/>
                <w:bCs/>
              </w:rPr>
              <w:t>R.2e</w:t>
            </w:r>
          </w:p>
        </w:tc>
        <w:tc>
          <w:tcPr>
            <w:tcW w:w="4718" w:type="dxa"/>
          </w:tcPr>
          <w:p w14:paraId="372AF6E5" w14:textId="77777777" w:rsidR="00503BCD" w:rsidRPr="00B87922" w:rsidRDefault="00503BCD" w:rsidP="00150E96">
            <w:pPr>
              <w:rPr>
                <w:b/>
                <w:bCs/>
                <w:lang w:val="en-GB"/>
              </w:rPr>
            </w:pPr>
          </w:p>
        </w:tc>
      </w:tr>
      <w:tr w:rsidR="008C53B8" w:rsidRPr="00B64995" w14:paraId="3510D2D2" w14:textId="77777777" w:rsidTr="6844BCB7">
        <w:tc>
          <w:tcPr>
            <w:tcW w:w="4298" w:type="dxa"/>
          </w:tcPr>
          <w:p w14:paraId="5FA02ECB" w14:textId="5D2A8B9E" w:rsidR="00F96D67" w:rsidRDefault="00F96D67" w:rsidP="00150E96">
            <w:pPr>
              <w:jc w:val="center"/>
              <w:rPr>
                <w:b/>
                <w:bCs/>
                <w:lang w:val="en-GB"/>
              </w:rPr>
            </w:pPr>
          </w:p>
          <w:p w14:paraId="0AEF2BFB" w14:textId="5D92B114" w:rsidR="00503BCD" w:rsidRPr="00B87922" w:rsidRDefault="00DC58D4" w:rsidP="00150E96">
            <w:pPr>
              <w:jc w:val="center"/>
              <w:rPr>
                <w:b/>
                <w:bCs/>
                <w:lang w:val="en-GB"/>
              </w:rPr>
            </w:pPr>
            <w:r>
              <w:rPr>
                <w:b/>
                <w:bCs/>
                <w:noProof/>
              </w:rPr>
              <w:drawing>
                <wp:inline distT="0" distB="0" distL="0" distR="0" wp14:anchorId="721BAE53" wp14:editId="104A5EF2">
                  <wp:extent cx="2428161" cy="14077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455827" cy="1423835"/>
                          </a:xfrm>
                          <a:prstGeom prst="rect">
                            <a:avLst/>
                          </a:prstGeom>
                          <a:noFill/>
                        </pic:spPr>
                      </pic:pic>
                    </a:graphicData>
                  </a:graphic>
                </wp:inline>
              </w:drawing>
            </w:r>
          </w:p>
        </w:tc>
        <w:tc>
          <w:tcPr>
            <w:tcW w:w="4718" w:type="dxa"/>
          </w:tcPr>
          <w:p w14:paraId="1477053E" w14:textId="443B263B" w:rsidR="00503BCD" w:rsidRPr="00B87922" w:rsidRDefault="00A736DB" w:rsidP="00150E96">
            <w:pPr>
              <w:rPr>
                <w:b/>
                <w:bCs/>
                <w:lang w:val="en-GB"/>
              </w:rPr>
            </w:pPr>
            <w:r>
              <w:rPr>
                <w:b/>
                <w:bCs/>
                <w:noProof/>
              </w:rPr>
              <w:drawing>
                <wp:inline distT="0" distB="0" distL="0" distR="0" wp14:anchorId="6295182C" wp14:editId="2DC52882">
                  <wp:extent cx="2516153" cy="1408079"/>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522085" cy="1411399"/>
                          </a:xfrm>
                          <a:prstGeom prst="rect">
                            <a:avLst/>
                          </a:prstGeom>
                          <a:noFill/>
                        </pic:spPr>
                      </pic:pic>
                    </a:graphicData>
                  </a:graphic>
                </wp:inline>
              </w:drawing>
            </w:r>
          </w:p>
        </w:tc>
      </w:tr>
      <w:tr w:rsidR="008C53B8" w:rsidRPr="00B64995" w14:paraId="466D40F1" w14:textId="77777777" w:rsidTr="6844BCB7">
        <w:tc>
          <w:tcPr>
            <w:tcW w:w="4298" w:type="dxa"/>
          </w:tcPr>
          <w:p w14:paraId="61749E13" w14:textId="77777777" w:rsidR="00503BCD" w:rsidRPr="00B87922" w:rsidRDefault="00503BCD" w:rsidP="00150E96">
            <w:pPr>
              <w:jc w:val="center"/>
              <w:rPr>
                <w:lang w:val="en-GB"/>
              </w:rPr>
            </w:pPr>
          </w:p>
        </w:tc>
        <w:tc>
          <w:tcPr>
            <w:tcW w:w="4718" w:type="dxa"/>
          </w:tcPr>
          <w:p w14:paraId="51E12C4C" w14:textId="77777777" w:rsidR="00503BCD" w:rsidRPr="00B87922" w:rsidRDefault="00503BCD" w:rsidP="00150E96">
            <w:pPr>
              <w:rPr>
                <w:b/>
                <w:bCs/>
                <w:lang w:val="en-GB"/>
              </w:rPr>
            </w:pPr>
          </w:p>
        </w:tc>
      </w:tr>
      <w:tr w:rsidR="008C53B8" w:rsidRPr="00B64995" w14:paraId="12C98720" w14:textId="77777777" w:rsidTr="6844BCB7">
        <w:tc>
          <w:tcPr>
            <w:tcW w:w="4298" w:type="dxa"/>
          </w:tcPr>
          <w:p w14:paraId="68613584" w14:textId="48C4C95F" w:rsidR="00503BCD" w:rsidRPr="00B87922" w:rsidRDefault="00503BCD" w:rsidP="00150E96">
            <w:pPr>
              <w:jc w:val="center"/>
              <w:rPr>
                <w:lang w:val="en-GB"/>
              </w:rPr>
            </w:pPr>
          </w:p>
        </w:tc>
        <w:tc>
          <w:tcPr>
            <w:tcW w:w="4718" w:type="dxa"/>
          </w:tcPr>
          <w:p w14:paraId="744EEC3B" w14:textId="77777777" w:rsidR="00503BCD" w:rsidRPr="00B87922" w:rsidRDefault="00503BCD" w:rsidP="00150E96">
            <w:pPr>
              <w:rPr>
                <w:b/>
                <w:bCs/>
                <w:lang w:val="en-GB"/>
              </w:rPr>
            </w:pPr>
          </w:p>
        </w:tc>
      </w:tr>
      <w:tr w:rsidR="008C53B8" w:rsidRPr="00B64995" w14:paraId="5C0523EC" w14:textId="77777777" w:rsidTr="6844BCB7">
        <w:tc>
          <w:tcPr>
            <w:tcW w:w="4298" w:type="dxa"/>
          </w:tcPr>
          <w:p w14:paraId="5946CE73" w14:textId="406E2C0F" w:rsidR="00503BCD" w:rsidRDefault="00503BCD" w:rsidP="00150E96">
            <w:pPr>
              <w:jc w:val="center"/>
              <w:rPr>
                <w:b/>
                <w:bCs/>
                <w:lang w:val="en-GB"/>
              </w:rPr>
            </w:pPr>
          </w:p>
          <w:p w14:paraId="4F147565" w14:textId="77777777" w:rsidR="00F96D67" w:rsidRDefault="00F96D67" w:rsidP="00BB753B">
            <w:pPr>
              <w:jc w:val="center"/>
              <w:rPr>
                <w:b/>
                <w:bCs/>
                <w:lang w:val="en-GB"/>
              </w:rPr>
            </w:pPr>
            <w:r>
              <w:rPr>
                <w:b/>
                <w:bCs/>
                <w:noProof/>
              </w:rPr>
              <w:drawing>
                <wp:inline distT="0" distB="0" distL="0" distR="0" wp14:anchorId="41EB359D" wp14:editId="1060686C">
                  <wp:extent cx="2722945" cy="1636784"/>
                  <wp:effectExtent l="0" t="0" r="127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725306" cy="1638203"/>
                          </a:xfrm>
                          <a:prstGeom prst="rect">
                            <a:avLst/>
                          </a:prstGeom>
                          <a:noFill/>
                        </pic:spPr>
                      </pic:pic>
                    </a:graphicData>
                  </a:graphic>
                </wp:inline>
              </w:drawing>
            </w:r>
          </w:p>
          <w:p w14:paraId="1A9A1FC2" w14:textId="77777777" w:rsidR="00895B81" w:rsidRDefault="00895B81" w:rsidP="00150E96">
            <w:pPr>
              <w:jc w:val="center"/>
              <w:rPr>
                <w:b/>
                <w:bCs/>
                <w:lang w:val="en-GB"/>
              </w:rPr>
            </w:pPr>
          </w:p>
          <w:p w14:paraId="58519B7C" w14:textId="62388A24" w:rsidR="00895B81" w:rsidRPr="00B87922" w:rsidRDefault="00895B81" w:rsidP="00BB753B">
            <w:pPr>
              <w:jc w:val="center"/>
              <w:rPr>
                <w:b/>
                <w:bCs/>
                <w:lang w:val="en-GB"/>
              </w:rPr>
            </w:pPr>
            <w:r>
              <w:rPr>
                <w:b/>
                <w:bCs/>
                <w:noProof/>
              </w:rPr>
              <w:drawing>
                <wp:inline distT="0" distB="0" distL="0" distR="0" wp14:anchorId="7C2A8BA9" wp14:editId="6B5DCEC1">
                  <wp:extent cx="2722267" cy="1636376"/>
                  <wp:effectExtent l="0" t="0" r="190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28784" cy="1640293"/>
                          </a:xfrm>
                          <a:prstGeom prst="rect">
                            <a:avLst/>
                          </a:prstGeom>
                          <a:noFill/>
                        </pic:spPr>
                      </pic:pic>
                    </a:graphicData>
                  </a:graphic>
                </wp:inline>
              </w:drawing>
            </w:r>
          </w:p>
        </w:tc>
        <w:tc>
          <w:tcPr>
            <w:tcW w:w="4718" w:type="dxa"/>
          </w:tcPr>
          <w:p w14:paraId="4DC6BB1D" w14:textId="77777777" w:rsidR="00503BCD" w:rsidRPr="00B87922" w:rsidRDefault="00503BCD" w:rsidP="00150E96">
            <w:pPr>
              <w:rPr>
                <w:b/>
                <w:bCs/>
                <w:lang w:val="en-GB"/>
              </w:rPr>
            </w:pPr>
          </w:p>
        </w:tc>
      </w:tr>
      <w:tr w:rsidR="008C53B8" w:rsidRPr="00B64995" w14:paraId="0E4EC89F" w14:textId="77777777" w:rsidTr="6844BCB7">
        <w:tc>
          <w:tcPr>
            <w:tcW w:w="4298" w:type="dxa"/>
          </w:tcPr>
          <w:p w14:paraId="4C3FED26" w14:textId="77777777" w:rsidR="00503BCD" w:rsidRPr="00B87922" w:rsidRDefault="00503BCD" w:rsidP="00150E96">
            <w:pPr>
              <w:jc w:val="center"/>
              <w:rPr>
                <w:b/>
                <w:bCs/>
                <w:lang w:val="en-GB"/>
              </w:rPr>
            </w:pPr>
          </w:p>
          <w:p w14:paraId="4B79B188" w14:textId="77777777" w:rsidR="00503BCD" w:rsidRPr="00B87922" w:rsidRDefault="00503BCD" w:rsidP="00150E96">
            <w:pPr>
              <w:rPr>
                <w:b/>
                <w:bCs/>
                <w:lang w:val="en-GB"/>
              </w:rPr>
            </w:pPr>
            <w:r w:rsidRPr="00B64995">
              <w:rPr>
                <w:b/>
                <w:bCs/>
              </w:rPr>
              <w:t>R.2f:</w:t>
            </w:r>
          </w:p>
        </w:tc>
        <w:tc>
          <w:tcPr>
            <w:tcW w:w="4718" w:type="dxa"/>
          </w:tcPr>
          <w:p w14:paraId="169C895F" w14:textId="77777777" w:rsidR="00503BCD" w:rsidRPr="00B87922" w:rsidRDefault="00503BCD" w:rsidP="00150E96">
            <w:pPr>
              <w:rPr>
                <w:b/>
                <w:bCs/>
                <w:lang w:val="en-GB"/>
              </w:rPr>
            </w:pPr>
          </w:p>
        </w:tc>
      </w:tr>
      <w:tr w:rsidR="008C53B8" w:rsidRPr="00B64995" w14:paraId="03BD81BF" w14:textId="77777777" w:rsidTr="6844BCB7">
        <w:tc>
          <w:tcPr>
            <w:tcW w:w="4298" w:type="dxa"/>
          </w:tcPr>
          <w:p w14:paraId="7F733DB2" w14:textId="5D9D2087" w:rsidR="00503BCD" w:rsidRPr="00B87922" w:rsidRDefault="008F1AD6" w:rsidP="00150E96">
            <w:pPr>
              <w:jc w:val="center"/>
              <w:rPr>
                <w:b/>
                <w:bCs/>
                <w:lang w:val="en-GB"/>
              </w:rPr>
            </w:pPr>
            <w:r>
              <w:rPr>
                <w:b/>
                <w:bCs/>
                <w:noProof/>
              </w:rPr>
              <w:lastRenderedPageBreak/>
              <w:drawing>
                <wp:inline distT="0" distB="0" distL="0" distR="0" wp14:anchorId="7A7B1A19" wp14:editId="07193A1E">
                  <wp:extent cx="2879677" cy="17587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894011" cy="1767494"/>
                          </a:xfrm>
                          <a:prstGeom prst="rect">
                            <a:avLst/>
                          </a:prstGeom>
                          <a:noFill/>
                        </pic:spPr>
                      </pic:pic>
                    </a:graphicData>
                  </a:graphic>
                </wp:inline>
              </w:drawing>
            </w:r>
          </w:p>
        </w:tc>
        <w:tc>
          <w:tcPr>
            <w:tcW w:w="4718" w:type="dxa"/>
          </w:tcPr>
          <w:p w14:paraId="0312CFE0" w14:textId="6FF5B627" w:rsidR="00503BCD" w:rsidRPr="00B87922" w:rsidRDefault="00675A51" w:rsidP="00150E96">
            <w:pPr>
              <w:rPr>
                <w:b/>
                <w:bCs/>
                <w:lang w:val="en-GB"/>
              </w:rPr>
            </w:pPr>
            <w:r>
              <w:rPr>
                <w:b/>
                <w:bCs/>
                <w:noProof/>
              </w:rPr>
              <w:drawing>
                <wp:inline distT="0" distB="0" distL="0" distR="0" wp14:anchorId="6D63AB62" wp14:editId="1C30F4CC">
                  <wp:extent cx="2518410" cy="1466028"/>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30401" cy="1473008"/>
                          </a:xfrm>
                          <a:prstGeom prst="rect">
                            <a:avLst/>
                          </a:prstGeom>
                          <a:noFill/>
                        </pic:spPr>
                      </pic:pic>
                    </a:graphicData>
                  </a:graphic>
                </wp:inline>
              </w:drawing>
            </w:r>
          </w:p>
        </w:tc>
      </w:tr>
      <w:tr w:rsidR="008C53B8" w:rsidRPr="00B64995" w14:paraId="25FC59F3" w14:textId="77777777" w:rsidTr="6844BCB7">
        <w:tc>
          <w:tcPr>
            <w:tcW w:w="4298" w:type="dxa"/>
          </w:tcPr>
          <w:p w14:paraId="182726CD" w14:textId="77777777" w:rsidR="00503BCD" w:rsidRPr="00B87922" w:rsidRDefault="00503BCD" w:rsidP="00150E96">
            <w:pPr>
              <w:jc w:val="center"/>
              <w:rPr>
                <w:b/>
                <w:bCs/>
                <w:lang w:val="en-GB"/>
              </w:rPr>
            </w:pPr>
          </w:p>
        </w:tc>
        <w:tc>
          <w:tcPr>
            <w:tcW w:w="4718" w:type="dxa"/>
          </w:tcPr>
          <w:p w14:paraId="3108499A" w14:textId="77777777" w:rsidR="00503BCD" w:rsidRPr="00B87922" w:rsidRDefault="00503BCD" w:rsidP="00150E96">
            <w:pPr>
              <w:rPr>
                <w:b/>
                <w:bCs/>
                <w:lang w:val="en-GB"/>
              </w:rPr>
            </w:pPr>
          </w:p>
        </w:tc>
      </w:tr>
      <w:tr w:rsidR="008C53B8" w:rsidRPr="00B64995" w14:paraId="5021A645" w14:textId="77777777" w:rsidTr="6844BCB7">
        <w:tc>
          <w:tcPr>
            <w:tcW w:w="4298" w:type="dxa"/>
          </w:tcPr>
          <w:p w14:paraId="5D137590" w14:textId="77777777" w:rsidR="00503BCD" w:rsidRPr="00B87922" w:rsidRDefault="00503BCD" w:rsidP="00150E96">
            <w:pPr>
              <w:jc w:val="center"/>
              <w:rPr>
                <w:b/>
                <w:bCs/>
                <w:lang w:val="en-GB"/>
              </w:rPr>
            </w:pPr>
          </w:p>
        </w:tc>
        <w:tc>
          <w:tcPr>
            <w:tcW w:w="4718" w:type="dxa"/>
          </w:tcPr>
          <w:p w14:paraId="4E91F2EF" w14:textId="77777777" w:rsidR="00503BCD" w:rsidRPr="00B87922" w:rsidRDefault="00503BCD" w:rsidP="00150E96">
            <w:pPr>
              <w:rPr>
                <w:b/>
                <w:bCs/>
                <w:lang w:val="en-GB"/>
              </w:rPr>
            </w:pPr>
          </w:p>
        </w:tc>
      </w:tr>
      <w:tr w:rsidR="008C53B8" w:rsidRPr="00B64995" w14:paraId="2A259292" w14:textId="77777777" w:rsidTr="6844BCB7">
        <w:tc>
          <w:tcPr>
            <w:tcW w:w="4298" w:type="dxa"/>
          </w:tcPr>
          <w:p w14:paraId="35F4910A" w14:textId="4059F193" w:rsidR="00503BCD" w:rsidRPr="00B87922" w:rsidRDefault="00426C2D" w:rsidP="00150E96">
            <w:pPr>
              <w:jc w:val="center"/>
              <w:rPr>
                <w:b/>
                <w:bCs/>
                <w:lang w:val="en-GB"/>
              </w:rPr>
            </w:pPr>
            <w:r>
              <w:rPr>
                <w:b/>
                <w:bCs/>
                <w:noProof/>
              </w:rPr>
              <w:drawing>
                <wp:inline distT="0" distB="0" distL="0" distR="0" wp14:anchorId="1F620761" wp14:editId="4305FBA3">
                  <wp:extent cx="2333767" cy="130204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351084" cy="1311703"/>
                          </a:xfrm>
                          <a:prstGeom prst="rect">
                            <a:avLst/>
                          </a:prstGeom>
                          <a:noFill/>
                        </pic:spPr>
                      </pic:pic>
                    </a:graphicData>
                  </a:graphic>
                </wp:inline>
              </w:drawing>
            </w:r>
          </w:p>
        </w:tc>
        <w:tc>
          <w:tcPr>
            <w:tcW w:w="4718" w:type="dxa"/>
          </w:tcPr>
          <w:p w14:paraId="026CFCA9" w14:textId="55957489" w:rsidR="00503BCD" w:rsidRPr="00B87922" w:rsidRDefault="008C53B8" w:rsidP="00150E96">
            <w:pPr>
              <w:rPr>
                <w:b/>
                <w:bCs/>
                <w:lang w:val="en-GB"/>
              </w:rPr>
            </w:pPr>
            <w:r>
              <w:rPr>
                <w:b/>
                <w:bCs/>
                <w:noProof/>
              </w:rPr>
              <w:drawing>
                <wp:inline distT="0" distB="0" distL="0" distR="0" wp14:anchorId="619EC4E3" wp14:editId="49B64AF0">
                  <wp:extent cx="2747962" cy="14899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766943" cy="1500225"/>
                          </a:xfrm>
                          <a:prstGeom prst="rect">
                            <a:avLst/>
                          </a:prstGeom>
                          <a:noFill/>
                        </pic:spPr>
                      </pic:pic>
                    </a:graphicData>
                  </a:graphic>
                </wp:inline>
              </w:drawing>
            </w:r>
          </w:p>
        </w:tc>
      </w:tr>
      <w:tr w:rsidR="008C53B8" w:rsidRPr="00B64995" w14:paraId="7BB58970" w14:textId="77777777" w:rsidTr="6844BCB7">
        <w:tc>
          <w:tcPr>
            <w:tcW w:w="4298" w:type="dxa"/>
          </w:tcPr>
          <w:p w14:paraId="7E74C733" w14:textId="77777777" w:rsidR="00503BCD" w:rsidRPr="00B87922" w:rsidRDefault="00503BCD" w:rsidP="00150E96">
            <w:pPr>
              <w:jc w:val="center"/>
              <w:rPr>
                <w:b/>
                <w:bCs/>
                <w:lang w:val="en-GB"/>
              </w:rPr>
            </w:pPr>
          </w:p>
        </w:tc>
        <w:tc>
          <w:tcPr>
            <w:tcW w:w="4718" w:type="dxa"/>
          </w:tcPr>
          <w:p w14:paraId="610AF067" w14:textId="77777777" w:rsidR="00503BCD" w:rsidRPr="00B87922" w:rsidRDefault="00503BCD" w:rsidP="00150E96">
            <w:pPr>
              <w:rPr>
                <w:b/>
                <w:bCs/>
                <w:lang w:val="en-GB"/>
              </w:rPr>
            </w:pPr>
          </w:p>
        </w:tc>
      </w:tr>
      <w:tr w:rsidR="00503BCD" w:rsidRPr="00B64995" w14:paraId="3F7DD43A" w14:textId="77777777" w:rsidTr="6844BCB7">
        <w:trPr>
          <w:trHeight w:val="75"/>
        </w:trPr>
        <w:tc>
          <w:tcPr>
            <w:tcW w:w="9016" w:type="dxa"/>
            <w:gridSpan w:val="2"/>
          </w:tcPr>
          <w:p w14:paraId="7E668EB6" w14:textId="77777777" w:rsidR="00503BCD" w:rsidRPr="00B87922" w:rsidRDefault="00503BCD" w:rsidP="00150E96">
            <w:pPr>
              <w:jc w:val="center"/>
              <w:rPr>
                <w:b/>
                <w:bCs/>
                <w:lang w:val="en-GB"/>
              </w:rPr>
            </w:pPr>
          </w:p>
        </w:tc>
      </w:tr>
    </w:tbl>
    <w:p w14:paraId="59439580" w14:textId="77777777" w:rsidR="00503BCD" w:rsidRPr="00B64995" w:rsidRDefault="00503BCD" w:rsidP="00503BCD"/>
    <w:p w14:paraId="346B9FFF" w14:textId="77777777" w:rsidR="00503BCD" w:rsidRPr="00B64995" w:rsidRDefault="00503BCD" w:rsidP="00503BCD"/>
    <w:p w14:paraId="1FE5C265" w14:textId="77777777" w:rsidR="00503BCD" w:rsidRPr="00B64995" w:rsidRDefault="00503BCD" w:rsidP="00503BCD">
      <w:r w:rsidRPr="00B64995">
        <w:rPr>
          <w:b/>
          <w:bCs/>
        </w:rPr>
        <w:t>Objective R.3:</w:t>
      </w:r>
      <w:r w:rsidRPr="00B64995">
        <w:t xml:space="preserve"> (Knowledge sharing) Foster the acquisition and sharing of knowledge and know-how on </w:t>
      </w:r>
      <w:proofErr w:type="gramStart"/>
      <w:r w:rsidRPr="00B64995">
        <w:t>radiocommunications</w:t>
      </w:r>
      <w:proofErr w:type="gramEnd"/>
    </w:p>
    <w:p w14:paraId="4C5F5E7A"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80C3B2B" w14:textId="77777777" w:rsidTr="00C92451">
        <w:tc>
          <w:tcPr>
            <w:tcW w:w="9016" w:type="dxa"/>
            <w:shd w:val="clear" w:color="auto" w:fill="DCE5F4"/>
          </w:tcPr>
          <w:p w14:paraId="45865315" w14:textId="77777777" w:rsidR="0049723A" w:rsidRPr="00B87922" w:rsidRDefault="00503BCD" w:rsidP="0080338C">
            <w:pPr>
              <w:pStyle w:val="tabletext"/>
              <w:rPr>
                <w:lang w:val="en-GB"/>
              </w:rPr>
            </w:pPr>
            <w:r w:rsidRPr="00B64995">
              <w:t xml:space="preserve">R.3-a: Increased knowledge and know-how on the Radio Regulations, Rules of Procedure, regional agreements, </w:t>
            </w:r>
            <w:proofErr w:type="gramStart"/>
            <w:r w:rsidRPr="00B64995">
              <w:t>recommendations</w:t>
            </w:r>
            <w:proofErr w:type="gramEnd"/>
            <w:r w:rsidRPr="00B64995">
              <w:t xml:space="preserve"> and best practices on spectrum use</w:t>
            </w:r>
          </w:p>
          <w:p w14:paraId="18783EC1" w14:textId="22056F2A" w:rsidR="00503BCD" w:rsidRPr="00B87922" w:rsidRDefault="00503BCD" w:rsidP="0080338C">
            <w:pPr>
              <w:pStyle w:val="tabletext"/>
              <w:rPr>
                <w:lang w:val="en-GB"/>
              </w:rPr>
            </w:pPr>
            <w:r w:rsidRPr="00B64995">
              <w:t xml:space="preserve">R.3-b: Increased participation in ITU-R activities (including through remote participation), </w:t>
            </w:r>
            <w:proofErr w:type="gramStart"/>
            <w:r w:rsidRPr="00B64995">
              <w:t>in particular by</w:t>
            </w:r>
            <w:proofErr w:type="gramEnd"/>
            <w:r w:rsidRPr="00B64995">
              <w:t xml:space="preserve"> developing countries</w:t>
            </w:r>
          </w:p>
        </w:tc>
      </w:tr>
    </w:tbl>
    <w:p w14:paraId="6846D548" w14:textId="77777777" w:rsidR="00503BCD" w:rsidRPr="00B64995" w:rsidRDefault="00503BCD" w:rsidP="00503BCD"/>
    <w:p w14:paraId="0071243F" w14:textId="77777777" w:rsidR="00503BCD" w:rsidRPr="00B64995" w:rsidRDefault="00503BCD" w:rsidP="00A83DAA">
      <w:pPr>
        <w:pStyle w:val="Heading5"/>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34"/>
      </w:tblGrid>
      <w:tr w:rsidR="00970D78" w:rsidRPr="00B64995" w14:paraId="4AB40903" w14:textId="77777777" w:rsidTr="6844BCB7">
        <w:tc>
          <w:tcPr>
            <w:tcW w:w="4530" w:type="dxa"/>
          </w:tcPr>
          <w:p w14:paraId="7535387E" w14:textId="77777777" w:rsidR="00503BCD" w:rsidRPr="00B87922" w:rsidRDefault="00503BCD" w:rsidP="00150E96">
            <w:pPr>
              <w:jc w:val="center"/>
              <w:rPr>
                <w:lang w:val="en-GB"/>
              </w:rPr>
            </w:pPr>
          </w:p>
        </w:tc>
        <w:tc>
          <w:tcPr>
            <w:tcW w:w="4496" w:type="dxa"/>
          </w:tcPr>
          <w:p w14:paraId="15C53CA3" w14:textId="77777777" w:rsidR="00503BCD" w:rsidRPr="00B87922" w:rsidRDefault="00503BCD" w:rsidP="00150E96">
            <w:pPr>
              <w:jc w:val="center"/>
              <w:rPr>
                <w:lang w:val="en-GB"/>
              </w:rPr>
            </w:pPr>
          </w:p>
        </w:tc>
      </w:tr>
      <w:tr w:rsidR="00970D78" w:rsidRPr="00B64995" w14:paraId="1D2C8FC8" w14:textId="77777777" w:rsidTr="6844BCB7">
        <w:tc>
          <w:tcPr>
            <w:tcW w:w="4530" w:type="dxa"/>
          </w:tcPr>
          <w:p w14:paraId="77CAA316" w14:textId="61A48755" w:rsidR="00503BCD" w:rsidRPr="00B87922" w:rsidRDefault="003C57F4" w:rsidP="00150E96">
            <w:pPr>
              <w:jc w:val="center"/>
              <w:rPr>
                <w:lang w:val="en-GB"/>
              </w:rPr>
            </w:pPr>
            <w:r>
              <w:rPr>
                <w:noProof/>
              </w:rPr>
              <w:drawing>
                <wp:inline distT="0" distB="0" distL="0" distR="0" wp14:anchorId="327C088A" wp14:editId="18F35D0A">
                  <wp:extent cx="2497540" cy="1451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504332" cy="1455426"/>
                          </a:xfrm>
                          <a:prstGeom prst="rect">
                            <a:avLst/>
                          </a:prstGeom>
                          <a:noFill/>
                        </pic:spPr>
                      </pic:pic>
                    </a:graphicData>
                  </a:graphic>
                </wp:inline>
              </w:drawing>
            </w:r>
          </w:p>
        </w:tc>
        <w:tc>
          <w:tcPr>
            <w:tcW w:w="4496" w:type="dxa"/>
          </w:tcPr>
          <w:p w14:paraId="33DF6B85" w14:textId="7FE8A05E" w:rsidR="00503BCD" w:rsidRPr="00B87922" w:rsidRDefault="00B95B22" w:rsidP="00150E96">
            <w:pPr>
              <w:jc w:val="center"/>
              <w:rPr>
                <w:lang w:val="en-GB"/>
              </w:rPr>
            </w:pPr>
            <w:r>
              <w:rPr>
                <w:noProof/>
              </w:rPr>
              <w:drawing>
                <wp:inline distT="0" distB="0" distL="0" distR="0" wp14:anchorId="59308100" wp14:editId="05F5B085">
                  <wp:extent cx="2552131" cy="1483205"/>
                  <wp:effectExtent l="0" t="0" r="63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568080" cy="1492474"/>
                          </a:xfrm>
                          <a:prstGeom prst="rect">
                            <a:avLst/>
                          </a:prstGeom>
                          <a:noFill/>
                        </pic:spPr>
                      </pic:pic>
                    </a:graphicData>
                  </a:graphic>
                </wp:inline>
              </w:drawing>
            </w:r>
          </w:p>
        </w:tc>
      </w:tr>
      <w:tr w:rsidR="00970D78" w:rsidRPr="00B64995" w14:paraId="6B9A001E" w14:textId="77777777" w:rsidTr="6844BCB7">
        <w:tc>
          <w:tcPr>
            <w:tcW w:w="4530" w:type="dxa"/>
          </w:tcPr>
          <w:p w14:paraId="5194A38D" w14:textId="77777777" w:rsidR="00503BCD" w:rsidRPr="00B87922" w:rsidRDefault="00503BCD" w:rsidP="00150E96">
            <w:pPr>
              <w:jc w:val="center"/>
              <w:rPr>
                <w:lang w:val="en-GB"/>
              </w:rPr>
            </w:pPr>
          </w:p>
        </w:tc>
        <w:tc>
          <w:tcPr>
            <w:tcW w:w="4496" w:type="dxa"/>
          </w:tcPr>
          <w:p w14:paraId="4E534565" w14:textId="77777777" w:rsidR="00503BCD" w:rsidRPr="00B87922" w:rsidRDefault="00503BCD" w:rsidP="00150E96">
            <w:pPr>
              <w:jc w:val="center"/>
              <w:rPr>
                <w:lang w:val="en-GB"/>
              </w:rPr>
            </w:pPr>
          </w:p>
        </w:tc>
      </w:tr>
      <w:tr w:rsidR="00970D78" w:rsidRPr="00B64995" w14:paraId="03808AD6" w14:textId="77777777" w:rsidTr="6844BCB7">
        <w:tc>
          <w:tcPr>
            <w:tcW w:w="4530" w:type="dxa"/>
          </w:tcPr>
          <w:p w14:paraId="0E03633B" w14:textId="1A5D23D9" w:rsidR="00503BCD" w:rsidRPr="00B87922" w:rsidRDefault="002228E7" w:rsidP="00150E96">
            <w:pPr>
              <w:jc w:val="center"/>
              <w:rPr>
                <w:lang w:val="en-GB"/>
              </w:rPr>
            </w:pPr>
            <w:r>
              <w:rPr>
                <w:noProof/>
              </w:rPr>
              <w:lastRenderedPageBreak/>
              <w:drawing>
                <wp:inline distT="0" distB="0" distL="0" distR="0" wp14:anchorId="522A435D" wp14:editId="77D689D1">
                  <wp:extent cx="2743200" cy="1616156"/>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762186" cy="1627342"/>
                          </a:xfrm>
                          <a:prstGeom prst="rect">
                            <a:avLst/>
                          </a:prstGeom>
                          <a:noFill/>
                        </pic:spPr>
                      </pic:pic>
                    </a:graphicData>
                  </a:graphic>
                </wp:inline>
              </w:drawing>
            </w:r>
          </w:p>
        </w:tc>
        <w:tc>
          <w:tcPr>
            <w:tcW w:w="4496" w:type="dxa"/>
          </w:tcPr>
          <w:p w14:paraId="33028A4D" w14:textId="0234EC51" w:rsidR="00503BCD" w:rsidRPr="00B87922" w:rsidRDefault="009953C1" w:rsidP="00150E96">
            <w:pPr>
              <w:jc w:val="center"/>
              <w:rPr>
                <w:lang w:val="en-GB"/>
              </w:rPr>
            </w:pPr>
            <w:r>
              <w:rPr>
                <w:noProof/>
              </w:rPr>
              <w:drawing>
                <wp:inline distT="0" distB="0" distL="0" distR="0" wp14:anchorId="6DDADAEB" wp14:editId="6C936678">
                  <wp:extent cx="2771058" cy="185063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784999" cy="1859947"/>
                          </a:xfrm>
                          <a:prstGeom prst="rect">
                            <a:avLst/>
                          </a:prstGeom>
                          <a:noFill/>
                        </pic:spPr>
                      </pic:pic>
                    </a:graphicData>
                  </a:graphic>
                </wp:inline>
              </w:drawing>
            </w:r>
          </w:p>
        </w:tc>
      </w:tr>
      <w:tr w:rsidR="00970D78" w:rsidRPr="00B64995" w14:paraId="37A35640" w14:textId="77777777" w:rsidTr="6844BCB7">
        <w:tc>
          <w:tcPr>
            <w:tcW w:w="4530" w:type="dxa"/>
          </w:tcPr>
          <w:p w14:paraId="755AE591" w14:textId="77777777" w:rsidR="00503BCD" w:rsidRPr="00B87922" w:rsidRDefault="00503BCD" w:rsidP="00150E96">
            <w:pPr>
              <w:jc w:val="center"/>
              <w:rPr>
                <w:lang w:val="en-GB"/>
              </w:rPr>
            </w:pPr>
          </w:p>
        </w:tc>
        <w:tc>
          <w:tcPr>
            <w:tcW w:w="4496" w:type="dxa"/>
          </w:tcPr>
          <w:p w14:paraId="3B25E3DD" w14:textId="77777777" w:rsidR="00503BCD" w:rsidRPr="00B87922" w:rsidRDefault="00503BCD" w:rsidP="00150E96">
            <w:pPr>
              <w:jc w:val="center"/>
              <w:rPr>
                <w:lang w:val="en-GB"/>
              </w:rPr>
            </w:pPr>
          </w:p>
        </w:tc>
      </w:tr>
    </w:tbl>
    <w:p w14:paraId="10309B3C" w14:textId="77777777" w:rsidR="00503BCD" w:rsidRPr="00B64995" w:rsidRDefault="00503BCD" w:rsidP="00503BCD">
      <w:pPr>
        <w:jc w:val="center"/>
      </w:pPr>
    </w:p>
    <w:p w14:paraId="33C0194D" w14:textId="77777777" w:rsidR="00503BCD" w:rsidRPr="00B64995" w:rsidRDefault="00503BCD" w:rsidP="00503BCD"/>
    <w:p w14:paraId="1418DF91" w14:textId="3474B3AC" w:rsidR="00AA47DC" w:rsidRPr="00B64995" w:rsidRDefault="00AA47DC" w:rsidP="00AA47DC">
      <w:pPr>
        <w:pStyle w:val="Heading2"/>
      </w:pPr>
      <w:bookmarkStart w:id="180" w:name="_Toc68811438"/>
      <w:r w:rsidRPr="00B64995">
        <w:t>ITU-T</w:t>
      </w:r>
      <w:bookmarkEnd w:id="179"/>
      <w:r w:rsidR="00F25147" w:rsidRPr="00B64995">
        <w:t xml:space="preserve"> Objectives</w:t>
      </w:r>
      <w:bookmarkEnd w:id="180"/>
    </w:p>
    <w:p w14:paraId="74018A31" w14:textId="25EA28F9" w:rsidR="00503BCD" w:rsidRPr="00B64995" w:rsidRDefault="00503BCD" w:rsidP="006459A3">
      <w:pPr>
        <w:spacing w:before="120"/>
        <w:jc w:val="both"/>
      </w:pPr>
      <w:r w:rsidRPr="00B64995">
        <w:rPr>
          <w:b/>
          <w:bCs/>
        </w:rPr>
        <w:t>Objective T.1</w:t>
      </w:r>
      <w:r w:rsidRPr="00B64995">
        <w:t xml:space="preserve">: (Development of standards) Develop non-discriminatory international telecommunication/ICT standards (ITU-T </w:t>
      </w:r>
      <w:r w:rsidR="00C664A4">
        <w:t>R</w:t>
      </w:r>
      <w:r w:rsidRPr="00B64995">
        <w:t xml:space="preserve">ecommendations), in a timely manner, and foster interoperability and improved performance of equipment, networks, services and </w:t>
      </w:r>
      <w:proofErr w:type="gramStart"/>
      <w:r w:rsidRPr="00B64995">
        <w:t>applications</w:t>
      </w:r>
      <w:proofErr w:type="gramEnd"/>
    </w:p>
    <w:p w14:paraId="7A1F6E3C" w14:textId="77777777" w:rsidR="00503BCD" w:rsidRPr="00B64995" w:rsidRDefault="00503BCD" w:rsidP="00503BCD">
      <w:pPr>
        <w:jc w:val="both"/>
        <w:rPr>
          <w:b/>
          <w:bCs/>
        </w:rPr>
      </w:pPr>
    </w:p>
    <w:p w14:paraId="22D4FE7E"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619D9A8F" w14:textId="77777777" w:rsidTr="00C92451">
        <w:tc>
          <w:tcPr>
            <w:tcW w:w="9016" w:type="dxa"/>
            <w:shd w:val="clear" w:color="auto" w:fill="DCE5F4"/>
          </w:tcPr>
          <w:p w14:paraId="6033E3A4" w14:textId="2332A1F7" w:rsidR="00503BCD" w:rsidRPr="00B87922" w:rsidRDefault="00503BCD" w:rsidP="0080338C">
            <w:pPr>
              <w:pStyle w:val="tabletext"/>
              <w:rPr>
                <w:lang w:val="en-GB"/>
              </w:rPr>
            </w:pPr>
            <w:r w:rsidRPr="00B64995">
              <w:t xml:space="preserve">T.1-a: Increased utilization of ITU-T </w:t>
            </w:r>
            <w:r w:rsidR="00C664A4">
              <w:t>R</w:t>
            </w:r>
            <w:r w:rsidRPr="00B64995">
              <w:t>ecommendations</w:t>
            </w:r>
          </w:p>
          <w:p w14:paraId="41B0E970" w14:textId="687C3B79" w:rsidR="00503BCD" w:rsidRPr="00B87922" w:rsidRDefault="00503BCD" w:rsidP="0080338C">
            <w:pPr>
              <w:pStyle w:val="tabletext"/>
              <w:rPr>
                <w:lang w:val="en-GB"/>
              </w:rPr>
            </w:pPr>
            <w:r w:rsidRPr="00B64995">
              <w:t xml:space="preserve">T.1-b: Improved conformance to ITU-T </w:t>
            </w:r>
            <w:r w:rsidR="00C664A4">
              <w:t>R</w:t>
            </w:r>
            <w:r w:rsidRPr="00B64995">
              <w:t>ecommendations</w:t>
            </w:r>
          </w:p>
          <w:p w14:paraId="3AF845E1" w14:textId="77777777" w:rsidR="00503BCD" w:rsidRPr="00B87922" w:rsidRDefault="00503BCD" w:rsidP="0080338C">
            <w:pPr>
              <w:pStyle w:val="tabletext"/>
              <w:rPr>
                <w:lang w:val="en-GB"/>
              </w:rPr>
            </w:pPr>
            <w:r w:rsidRPr="00B64995">
              <w:t>T.1-c: Enhanced standards in new technologies and services</w:t>
            </w:r>
          </w:p>
        </w:tc>
      </w:tr>
    </w:tbl>
    <w:p w14:paraId="763F4746" w14:textId="77777777" w:rsidR="00503BCD" w:rsidRPr="00B64995" w:rsidRDefault="00503BCD" w:rsidP="00503BCD">
      <w:pPr>
        <w:rPr>
          <w:b/>
          <w:bCs/>
        </w:rPr>
      </w:pPr>
    </w:p>
    <w:p w14:paraId="749E34C6" w14:textId="77777777" w:rsidR="00503BCD" w:rsidRPr="00B64995" w:rsidRDefault="00503BCD" w:rsidP="00A83DAA">
      <w:pPr>
        <w:pStyle w:val="Heading5"/>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87D45" w:rsidRPr="00B64995" w14:paraId="2E19E4C2" w14:textId="77777777" w:rsidTr="6844BCB7">
        <w:tc>
          <w:tcPr>
            <w:tcW w:w="4508" w:type="dxa"/>
          </w:tcPr>
          <w:p w14:paraId="745B82F1" w14:textId="77777777" w:rsidR="00503BCD" w:rsidRPr="00B87922" w:rsidRDefault="00503BCD" w:rsidP="00150E96">
            <w:pPr>
              <w:rPr>
                <w:b/>
                <w:bCs/>
                <w:lang w:val="en-GB"/>
              </w:rPr>
            </w:pPr>
            <w:r w:rsidRPr="00B64995">
              <w:rPr>
                <w:b/>
                <w:bCs/>
              </w:rPr>
              <w:t>T.1-a</w:t>
            </w:r>
          </w:p>
        </w:tc>
        <w:tc>
          <w:tcPr>
            <w:tcW w:w="4508" w:type="dxa"/>
          </w:tcPr>
          <w:p w14:paraId="75BB50DB" w14:textId="77777777" w:rsidR="00503BCD" w:rsidRPr="00B87922" w:rsidRDefault="00503BCD" w:rsidP="00150E96">
            <w:pPr>
              <w:rPr>
                <w:b/>
                <w:bCs/>
                <w:lang w:val="en-GB"/>
              </w:rPr>
            </w:pPr>
          </w:p>
        </w:tc>
      </w:tr>
      <w:tr w:rsidR="00B87D45" w:rsidRPr="00B64995" w14:paraId="1EFAEE6A" w14:textId="77777777" w:rsidTr="6844BCB7">
        <w:tc>
          <w:tcPr>
            <w:tcW w:w="4508" w:type="dxa"/>
          </w:tcPr>
          <w:p w14:paraId="3269C26A" w14:textId="01027A63" w:rsidR="00503BCD" w:rsidRPr="00B87922" w:rsidRDefault="00563887" w:rsidP="00150E96">
            <w:pPr>
              <w:jc w:val="center"/>
              <w:rPr>
                <w:b/>
                <w:bCs/>
                <w:lang w:val="en-GB"/>
              </w:rPr>
            </w:pPr>
            <w:r>
              <w:rPr>
                <w:b/>
                <w:bCs/>
                <w:noProof/>
              </w:rPr>
              <w:drawing>
                <wp:inline distT="0" distB="0" distL="0" distR="0" wp14:anchorId="2B48C905" wp14:editId="17867935">
                  <wp:extent cx="2620370" cy="1603757"/>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29723" cy="1609481"/>
                          </a:xfrm>
                          <a:prstGeom prst="rect">
                            <a:avLst/>
                          </a:prstGeom>
                          <a:noFill/>
                        </pic:spPr>
                      </pic:pic>
                    </a:graphicData>
                  </a:graphic>
                </wp:inline>
              </w:drawing>
            </w:r>
          </w:p>
        </w:tc>
        <w:tc>
          <w:tcPr>
            <w:tcW w:w="4508" w:type="dxa"/>
          </w:tcPr>
          <w:p w14:paraId="1E54317B" w14:textId="58A49059" w:rsidR="00503BCD" w:rsidRPr="00B87922" w:rsidRDefault="00FB59A2" w:rsidP="00150E96">
            <w:pPr>
              <w:jc w:val="center"/>
              <w:rPr>
                <w:b/>
                <w:bCs/>
                <w:lang w:val="en-GB"/>
              </w:rPr>
            </w:pPr>
            <w:r>
              <w:rPr>
                <w:b/>
                <w:bCs/>
                <w:noProof/>
              </w:rPr>
              <w:drawing>
                <wp:inline distT="0" distB="0" distL="0" distR="0" wp14:anchorId="09D1C95B" wp14:editId="10F4F6A2">
                  <wp:extent cx="2592184" cy="152694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600948" cy="1532109"/>
                          </a:xfrm>
                          <a:prstGeom prst="rect">
                            <a:avLst/>
                          </a:prstGeom>
                          <a:noFill/>
                        </pic:spPr>
                      </pic:pic>
                    </a:graphicData>
                  </a:graphic>
                </wp:inline>
              </w:drawing>
            </w:r>
          </w:p>
        </w:tc>
      </w:tr>
      <w:tr w:rsidR="00B87D45" w:rsidRPr="00B64995" w14:paraId="2AD30D2D" w14:textId="77777777" w:rsidTr="6844BCB7">
        <w:tc>
          <w:tcPr>
            <w:tcW w:w="4508" w:type="dxa"/>
          </w:tcPr>
          <w:p w14:paraId="75B94348" w14:textId="77777777" w:rsidR="00581CB4" w:rsidRPr="00B87922" w:rsidRDefault="00581CB4" w:rsidP="00150E96">
            <w:pPr>
              <w:jc w:val="center"/>
              <w:rPr>
                <w:b/>
                <w:bCs/>
                <w:lang w:val="en-GB"/>
              </w:rPr>
            </w:pPr>
          </w:p>
        </w:tc>
        <w:tc>
          <w:tcPr>
            <w:tcW w:w="4508" w:type="dxa"/>
          </w:tcPr>
          <w:p w14:paraId="5F571525" w14:textId="77777777" w:rsidR="00581CB4" w:rsidRPr="00B87922" w:rsidRDefault="00581CB4" w:rsidP="00150E96">
            <w:pPr>
              <w:jc w:val="center"/>
              <w:rPr>
                <w:b/>
                <w:bCs/>
                <w:lang w:val="en-GB"/>
              </w:rPr>
            </w:pPr>
          </w:p>
        </w:tc>
      </w:tr>
      <w:tr w:rsidR="00581CB4" w:rsidRPr="00B64995" w14:paraId="7B4EFAD0" w14:textId="77777777" w:rsidTr="6844BCB7">
        <w:tc>
          <w:tcPr>
            <w:tcW w:w="9016" w:type="dxa"/>
            <w:gridSpan w:val="2"/>
          </w:tcPr>
          <w:p w14:paraId="0CF3AD60" w14:textId="53C2BFD4" w:rsidR="00581CB4" w:rsidRPr="00B87922" w:rsidRDefault="00717B2A" w:rsidP="00150E96">
            <w:pPr>
              <w:jc w:val="center"/>
              <w:rPr>
                <w:b/>
                <w:bCs/>
                <w:lang w:val="en-GB"/>
              </w:rPr>
            </w:pPr>
            <w:r>
              <w:rPr>
                <w:b/>
                <w:bCs/>
                <w:noProof/>
              </w:rPr>
              <w:drawing>
                <wp:inline distT="0" distB="0" distL="0" distR="0" wp14:anchorId="5484F2D3" wp14:editId="2810E88B">
                  <wp:extent cx="3070746" cy="1764372"/>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086401" cy="1773367"/>
                          </a:xfrm>
                          <a:prstGeom prst="rect">
                            <a:avLst/>
                          </a:prstGeom>
                          <a:noFill/>
                        </pic:spPr>
                      </pic:pic>
                    </a:graphicData>
                  </a:graphic>
                </wp:inline>
              </w:drawing>
            </w:r>
          </w:p>
        </w:tc>
      </w:tr>
      <w:tr w:rsidR="00B87D45" w:rsidRPr="00B64995" w14:paraId="65BBCD5F" w14:textId="77777777" w:rsidTr="6844BCB7">
        <w:tc>
          <w:tcPr>
            <w:tcW w:w="4508" w:type="dxa"/>
          </w:tcPr>
          <w:p w14:paraId="1B990ADD" w14:textId="77777777" w:rsidR="00503BCD" w:rsidRPr="00B87922" w:rsidRDefault="00503BCD" w:rsidP="00150E96">
            <w:pPr>
              <w:jc w:val="center"/>
              <w:rPr>
                <w:b/>
                <w:bCs/>
                <w:lang w:val="en-GB"/>
              </w:rPr>
            </w:pPr>
          </w:p>
        </w:tc>
        <w:tc>
          <w:tcPr>
            <w:tcW w:w="4508" w:type="dxa"/>
          </w:tcPr>
          <w:p w14:paraId="59427628" w14:textId="77777777" w:rsidR="00503BCD" w:rsidRPr="00B87922" w:rsidRDefault="00503BCD" w:rsidP="00150E96">
            <w:pPr>
              <w:jc w:val="center"/>
              <w:rPr>
                <w:b/>
                <w:bCs/>
                <w:lang w:val="en-GB"/>
              </w:rPr>
            </w:pPr>
          </w:p>
        </w:tc>
      </w:tr>
      <w:tr w:rsidR="00B87D45" w:rsidRPr="00B64995" w14:paraId="322331B5" w14:textId="77777777" w:rsidTr="6844BCB7">
        <w:tc>
          <w:tcPr>
            <w:tcW w:w="4508" w:type="dxa"/>
          </w:tcPr>
          <w:p w14:paraId="70C2A47A" w14:textId="23230255" w:rsidR="00503BCD" w:rsidRPr="00B87922" w:rsidRDefault="00B572E0" w:rsidP="00150E96">
            <w:pPr>
              <w:jc w:val="center"/>
              <w:rPr>
                <w:b/>
                <w:bCs/>
                <w:lang w:val="en-GB"/>
              </w:rPr>
            </w:pPr>
            <w:r>
              <w:rPr>
                <w:b/>
                <w:bCs/>
                <w:noProof/>
              </w:rPr>
              <w:lastRenderedPageBreak/>
              <w:drawing>
                <wp:inline distT="0" distB="0" distL="0" distR="0" wp14:anchorId="375C2BEC" wp14:editId="259E0A20">
                  <wp:extent cx="2627514" cy="1610436"/>
                  <wp:effectExtent l="0" t="0" r="190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638933" cy="1617435"/>
                          </a:xfrm>
                          <a:prstGeom prst="rect">
                            <a:avLst/>
                          </a:prstGeom>
                          <a:noFill/>
                        </pic:spPr>
                      </pic:pic>
                    </a:graphicData>
                  </a:graphic>
                </wp:inline>
              </w:drawing>
            </w:r>
          </w:p>
        </w:tc>
        <w:tc>
          <w:tcPr>
            <w:tcW w:w="4508" w:type="dxa"/>
          </w:tcPr>
          <w:p w14:paraId="762CDCE5" w14:textId="43B6412C" w:rsidR="00503BCD" w:rsidRPr="00B87922" w:rsidRDefault="00CD3849" w:rsidP="00150E96">
            <w:pPr>
              <w:jc w:val="center"/>
              <w:rPr>
                <w:b/>
                <w:bCs/>
                <w:lang w:val="en-GB"/>
              </w:rPr>
            </w:pPr>
            <w:r>
              <w:rPr>
                <w:b/>
                <w:bCs/>
                <w:noProof/>
              </w:rPr>
              <w:drawing>
                <wp:inline distT="0" distB="0" distL="0" distR="0" wp14:anchorId="6F65463B" wp14:editId="0EE5547C">
                  <wp:extent cx="2641675" cy="1521687"/>
                  <wp:effectExtent l="0" t="0" r="635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665998" cy="1535698"/>
                          </a:xfrm>
                          <a:prstGeom prst="rect">
                            <a:avLst/>
                          </a:prstGeom>
                          <a:noFill/>
                        </pic:spPr>
                      </pic:pic>
                    </a:graphicData>
                  </a:graphic>
                </wp:inline>
              </w:drawing>
            </w:r>
          </w:p>
        </w:tc>
      </w:tr>
      <w:tr w:rsidR="00B87D45" w:rsidRPr="00B64995" w14:paraId="1AD8E0D6" w14:textId="77777777" w:rsidTr="6844BCB7">
        <w:tc>
          <w:tcPr>
            <w:tcW w:w="4508" w:type="dxa"/>
          </w:tcPr>
          <w:p w14:paraId="0B36B19E" w14:textId="77777777" w:rsidR="00503BCD" w:rsidRPr="00B87922" w:rsidRDefault="00503BCD" w:rsidP="00150E96">
            <w:pPr>
              <w:jc w:val="center"/>
              <w:rPr>
                <w:b/>
                <w:bCs/>
                <w:lang w:val="en-GB"/>
              </w:rPr>
            </w:pPr>
          </w:p>
        </w:tc>
        <w:tc>
          <w:tcPr>
            <w:tcW w:w="4508" w:type="dxa"/>
          </w:tcPr>
          <w:p w14:paraId="4C48AB1A" w14:textId="77777777" w:rsidR="00503BCD" w:rsidRPr="00B87922" w:rsidRDefault="00503BCD" w:rsidP="00150E96">
            <w:pPr>
              <w:jc w:val="center"/>
              <w:rPr>
                <w:b/>
                <w:bCs/>
                <w:lang w:val="en-GB"/>
              </w:rPr>
            </w:pPr>
          </w:p>
        </w:tc>
      </w:tr>
      <w:tr w:rsidR="00B87D45" w:rsidRPr="00B64995" w14:paraId="5C6041EB" w14:textId="77777777" w:rsidTr="6844BCB7">
        <w:tc>
          <w:tcPr>
            <w:tcW w:w="4508" w:type="dxa"/>
          </w:tcPr>
          <w:p w14:paraId="0D3623CC" w14:textId="77777777" w:rsidR="00503BCD" w:rsidRPr="00B87922" w:rsidRDefault="00503BCD" w:rsidP="00150E96">
            <w:pPr>
              <w:rPr>
                <w:b/>
                <w:bCs/>
                <w:lang w:val="en-GB"/>
              </w:rPr>
            </w:pPr>
          </w:p>
        </w:tc>
        <w:tc>
          <w:tcPr>
            <w:tcW w:w="4508" w:type="dxa"/>
          </w:tcPr>
          <w:p w14:paraId="71080978" w14:textId="77777777" w:rsidR="00503BCD" w:rsidRPr="00B87922" w:rsidRDefault="00503BCD" w:rsidP="00150E96">
            <w:pPr>
              <w:rPr>
                <w:b/>
                <w:bCs/>
                <w:lang w:val="en-GB"/>
              </w:rPr>
            </w:pPr>
          </w:p>
        </w:tc>
      </w:tr>
      <w:tr w:rsidR="00B87D45" w:rsidRPr="00B64995" w14:paraId="5CD7668E" w14:textId="77777777" w:rsidTr="6844BCB7">
        <w:tc>
          <w:tcPr>
            <w:tcW w:w="4508" w:type="dxa"/>
          </w:tcPr>
          <w:p w14:paraId="73CDC1FD" w14:textId="77777777" w:rsidR="00503BCD" w:rsidRPr="00B87922" w:rsidRDefault="00503BCD" w:rsidP="00391B3D">
            <w:pPr>
              <w:pageBreakBefore/>
              <w:rPr>
                <w:lang w:val="en-GB"/>
              </w:rPr>
            </w:pPr>
            <w:r w:rsidRPr="00B64995">
              <w:rPr>
                <w:b/>
                <w:bCs/>
              </w:rPr>
              <w:lastRenderedPageBreak/>
              <w:t>T.1-b</w:t>
            </w:r>
          </w:p>
        </w:tc>
        <w:tc>
          <w:tcPr>
            <w:tcW w:w="4508" w:type="dxa"/>
          </w:tcPr>
          <w:p w14:paraId="3797FD26" w14:textId="77777777" w:rsidR="00503BCD" w:rsidRPr="00B87922" w:rsidRDefault="00503BCD" w:rsidP="00150E96">
            <w:pPr>
              <w:rPr>
                <w:b/>
                <w:bCs/>
                <w:lang w:val="en-GB"/>
              </w:rPr>
            </w:pPr>
          </w:p>
        </w:tc>
      </w:tr>
      <w:tr w:rsidR="00B87D45" w:rsidRPr="00B64995" w14:paraId="6D7784B3" w14:textId="77777777" w:rsidTr="6844BCB7">
        <w:tc>
          <w:tcPr>
            <w:tcW w:w="4508" w:type="dxa"/>
          </w:tcPr>
          <w:p w14:paraId="4E8647ED" w14:textId="49BA0243" w:rsidR="00503BCD" w:rsidRPr="00B87922" w:rsidRDefault="00217F18" w:rsidP="00150E96">
            <w:pPr>
              <w:jc w:val="center"/>
              <w:rPr>
                <w:b/>
                <w:bCs/>
                <w:lang w:val="en-GB"/>
              </w:rPr>
            </w:pPr>
            <w:r>
              <w:rPr>
                <w:b/>
                <w:bCs/>
                <w:noProof/>
              </w:rPr>
              <w:drawing>
                <wp:inline distT="0" distB="0" distL="0" distR="0" wp14:anchorId="3208B7D4" wp14:editId="00CC4FAA">
                  <wp:extent cx="2629156" cy="1613526"/>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660007" cy="1632459"/>
                          </a:xfrm>
                          <a:prstGeom prst="rect">
                            <a:avLst/>
                          </a:prstGeom>
                          <a:noFill/>
                        </pic:spPr>
                      </pic:pic>
                    </a:graphicData>
                  </a:graphic>
                </wp:inline>
              </w:drawing>
            </w:r>
          </w:p>
        </w:tc>
        <w:tc>
          <w:tcPr>
            <w:tcW w:w="4508" w:type="dxa"/>
          </w:tcPr>
          <w:p w14:paraId="10822FFC" w14:textId="09F31523" w:rsidR="00503BCD" w:rsidRPr="00B87922" w:rsidRDefault="00B87D45" w:rsidP="00150E96">
            <w:pPr>
              <w:jc w:val="center"/>
              <w:rPr>
                <w:b/>
                <w:bCs/>
                <w:lang w:val="en-GB"/>
              </w:rPr>
            </w:pPr>
            <w:r>
              <w:rPr>
                <w:b/>
                <w:bCs/>
                <w:noProof/>
              </w:rPr>
              <w:drawing>
                <wp:inline distT="0" distB="0" distL="0" distR="0" wp14:anchorId="0784793B" wp14:editId="51816AD9">
                  <wp:extent cx="2610497" cy="1594348"/>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26479" cy="1604109"/>
                          </a:xfrm>
                          <a:prstGeom prst="rect">
                            <a:avLst/>
                          </a:prstGeom>
                          <a:noFill/>
                        </pic:spPr>
                      </pic:pic>
                    </a:graphicData>
                  </a:graphic>
                </wp:inline>
              </w:drawing>
            </w:r>
          </w:p>
        </w:tc>
      </w:tr>
      <w:tr w:rsidR="00B87D45" w:rsidRPr="00B64995" w14:paraId="7E223F30" w14:textId="77777777" w:rsidTr="6844BCB7">
        <w:tc>
          <w:tcPr>
            <w:tcW w:w="4508" w:type="dxa"/>
          </w:tcPr>
          <w:p w14:paraId="1D2AC309" w14:textId="77777777" w:rsidR="00503BCD" w:rsidRPr="00B87922" w:rsidRDefault="00503BCD" w:rsidP="00150E96">
            <w:pPr>
              <w:rPr>
                <w:b/>
                <w:bCs/>
                <w:lang w:val="en-GB"/>
              </w:rPr>
            </w:pPr>
          </w:p>
        </w:tc>
        <w:tc>
          <w:tcPr>
            <w:tcW w:w="4508" w:type="dxa"/>
          </w:tcPr>
          <w:p w14:paraId="0C88FB6D" w14:textId="77777777" w:rsidR="00503BCD" w:rsidRPr="00B87922" w:rsidRDefault="00503BCD" w:rsidP="00150E96">
            <w:pPr>
              <w:rPr>
                <w:b/>
                <w:bCs/>
                <w:lang w:val="en-GB"/>
              </w:rPr>
            </w:pPr>
          </w:p>
        </w:tc>
      </w:tr>
      <w:tr w:rsidR="00B87D45" w:rsidRPr="00B64995" w14:paraId="5DA4CF1B" w14:textId="77777777" w:rsidTr="6844BCB7">
        <w:tc>
          <w:tcPr>
            <w:tcW w:w="4508" w:type="dxa"/>
          </w:tcPr>
          <w:p w14:paraId="02DF164B" w14:textId="77777777" w:rsidR="00503BCD" w:rsidRPr="00B87922" w:rsidRDefault="00503BCD" w:rsidP="00150E96">
            <w:pPr>
              <w:rPr>
                <w:b/>
                <w:bCs/>
                <w:lang w:val="en-GB"/>
              </w:rPr>
            </w:pPr>
            <w:r w:rsidRPr="00B64995">
              <w:rPr>
                <w:b/>
                <w:bCs/>
              </w:rPr>
              <w:t>T.1-c</w:t>
            </w:r>
          </w:p>
        </w:tc>
        <w:tc>
          <w:tcPr>
            <w:tcW w:w="4508" w:type="dxa"/>
          </w:tcPr>
          <w:p w14:paraId="4366E67B" w14:textId="77777777" w:rsidR="00503BCD" w:rsidRPr="00B87922" w:rsidRDefault="00503BCD" w:rsidP="00150E96">
            <w:pPr>
              <w:rPr>
                <w:b/>
                <w:bCs/>
                <w:lang w:val="en-GB"/>
              </w:rPr>
            </w:pPr>
          </w:p>
        </w:tc>
      </w:tr>
      <w:tr w:rsidR="00B87D45" w:rsidRPr="00B64995" w14:paraId="025E1495" w14:textId="77777777" w:rsidTr="6844BCB7">
        <w:tc>
          <w:tcPr>
            <w:tcW w:w="4508" w:type="dxa"/>
          </w:tcPr>
          <w:p w14:paraId="16AA2829" w14:textId="685A077C" w:rsidR="00503BCD" w:rsidRPr="00B87922" w:rsidRDefault="00A85421" w:rsidP="00150E96">
            <w:pPr>
              <w:rPr>
                <w:b/>
                <w:bCs/>
                <w:lang w:val="en-GB"/>
              </w:rPr>
            </w:pPr>
            <w:r>
              <w:rPr>
                <w:b/>
                <w:bCs/>
                <w:noProof/>
              </w:rPr>
              <w:drawing>
                <wp:inline distT="0" distB="0" distL="0" distR="0" wp14:anchorId="4CA2CAEE" wp14:editId="368C1597">
                  <wp:extent cx="2588593" cy="1526947"/>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601957" cy="1534830"/>
                          </a:xfrm>
                          <a:prstGeom prst="rect">
                            <a:avLst/>
                          </a:prstGeom>
                          <a:noFill/>
                        </pic:spPr>
                      </pic:pic>
                    </a:graphicData>
                  </a:graphic>
                </wp:inline>
              </w:drawing>
            </w:r>
          </w:p>
        </w:tc>
        <w:tc>
          <w:tcPr>
            <w:tcW w:w="4508" w:type="dxa"/>
          </w:tcPr>
          <w:p w14:paraId="18D36F35" w14:textId="7FE5BEA5" w:rsidR="00503BCD" w:rsidRPr="00B87922" w:rsidRDefault="00256BBF" w:rsidP="00150E96">
            <w:pPr>
              <w:rPr>
                <w:b/>
                <w:bCs/>
                <w:lang w:val="en-GB"/>
              </w:rPr>
            </w:pPr>
            <w:r>
              <w:rPr>
                <w:b/>
                <w:bCs/>
                <w:noProof/>
              </w:rPr>
              <w:drawing>
                <wp:inline distT="0" distB="0" distL="0" distR="0" wp14:anchorId="0A2A99CE" wp14:editId="66B78F15">
                  <wp:extent cx="2591909" cy="1592956"/>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598427" cy="1596962"/>
                          </a:xfrm>
                          <a:prstGeom prst="rect">
                            <a:avLst/>
                          </a:prstGeom>
                          <a:noFill/>
                        </pic:spPr>
                      </pic:pic>
                    </a:graphicData>
                  </a:graphic>
                </wp:inline>
              </w:drawing>
            </w:r>
          </w:p>
        </w:tc>
      </w:tr>
      <w:tr w:rsidR="00B87D45" w:rsidRPr="00B64995" w14:paraId="3472DF66" w14:textId="77777777" w:rsidTr="6844BCB7">
        <w:tc>
          <w:tcPr>
            <w:tcW w:w="4508" w:type="dxa"/>
          </w:tcPr>
          <w:p w14:paraId="6E4840D0" w14:textId="77777777" w:rsidR="00503BCD" w:rsidRPr="00B87922" w:rsidRDefault="00503BCD" w:rsidP="00150E96">
            <w:pPr>
              <w:rPr>
                <w:b/>
                <w:bCs/>
                <w:lang w:val="en-GB"/>
              </w:rPr>
            </w:pPr>
          </w:p>
        </w:tc>
        <w:tc>
          <w:tcPr>
            <w:tcW w:w="4508" w:type="dxa"/>
          </w:tcPr>
          <w:p w14:paraId="64EB5D9B" w14:textId="77777777" w:rsidR="00503BCD" w:rsidRPr="00B87922" w:rsidRDefault="00503BCD" w:rsidP="00150E96">
            <w:pPr>
              <w:rPr>
                <w:b/>
                <w:bCs/>
                <w:lang w:val="en-GB"/>
              </w:rPr>
            </w:pPr>
          </w:p>
        </w:tc>
      </w:tr>
    </w:tbl>
    <w:p w14:paraId="35F10899" w14:textId="77777777" w:rsidR="00503BCD" w:rsidRPr="00B64995" w:rsidRDefault="00503BCD" w:rsidP="00503BCD">
      <w:pPr>
        <w:rPr>
          <w:b/>
          <w:bCs/>
        </w:rPr>
      </w:pPr>
    </w:p>
    <w:p w14:paraId="067EE871" w14:textId="77777777" w:rsidR="00117373" w:rsidRPr="00B64995" w:rsidRDefault="00117373" w:rsidP="00391B3D"/>
    <w:p w14:paraId="37AE61F1" w14:textId="4157C62F" w:rsidR="00503BCD" w:rsidRPr="00B64995" w:rsidRDefault="00503BCD" w:rsidP="00503BCD">
      <w:pPr>
        <w:jc w:val="both"/>
      </w:pPr>
      <w:r w:rsidRPr="00B64995">
        <w:rPr>
          <w:b/>
          <w:bCs/>
        </w:rPr>
        <w:t>Objective T.2</w:t>
      </w:r>
      <w:r w:rsidRPr="00B64995">
        <w:t xml:space="preserve"> (Bridging the standards gap): Promote the active participation of the membership, in particular developing countries, in the definition and adoption of non-discriminatory international telecommunication/ICT standards (ITU-T </w:t>
      </w:r>
      <w:r w:rsidR="00C664A4">
        <w:t>R</w:t>
      </w:r>
      <w:r w:rsidRPr="00B64995">
        <w:t xml:space="preserve">ecommendations) with a view to bridging the standardization </w:t>
      </w:r>
      <w:proofErr w:type="gramStart"/>
      <w:r w:rsidRPr="00B64995">
        <w:t>gap</w:t>
      </w:r>
      <w:proofErr w:type="gramEnd"/>
    </w:p>
    <w:p w14:paraId="37F0301F" w14:textId="77777777" w:rsidR="00503BCD" w:rsidRPr="00B64995" w:rsidRDefault="00503BCD" w:rsidP="00503BCD"/>
    <w:p w14:paraId="1472D960"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15335C4F" w14:textId="77777777" w:rsidTr="00C92451">
        <w:tc>
          <w:tcPr>
            <w:tcW w:w="9016" w:type="dxa"/>
            <w:shd w:val="clear" w:color="auto" w:fill="DCE5F4"/>
          </w:tcPr>
          <w:p w14:paraId="1509EFA0" w14:textId="77777777" w:rsidR="00503BCD" w:rsidRPr="00B87922" w:rsidRDefault="00503BCD" w:rsidP="0080338C">
            <w:pPr>
              <w:pStyle w:val="tabletext"/>
              <w:rPr>
                <w:lang w:val="en-GB"/>
              </w:rPr>
            </w:pPr>
            <w:r w:rsidRPr="00B64995">
              <w:t xml:space="preserve">T.2-a: Increased participation in the ITU-T standardization process, including attendance of meetings, submission of contributions, taking leadership positions and hosting of meetings/workshops, especially from developing </w:t>
            </w:r>
            <w:proofErr w:type="gramStart"/>
            <w:r w:rsidRPr="00B64995">
              <w:t>countries</w:t>
            </w:r>
            <w:proofErr w:type="gramEnd"/>
          </w:p>
          <w:p w14:paraId="393A85FF" w14:textId="77777777" w:rsidR="00503BCD" w:rsidRPr="00B87922" w:rsidRDefault="00503BCD" w:rsidP="0080338C">
            <w:pPr>
              <w:pStyle w:val="tabletext"/>
              <w:rPr>
                <w:lang w:val="en-GB"/>
              </w:rPr>
            </w:pPr>
            <w:r w:rsidRPr="00B64995">
              <w:t>T.2-b: Increase of the ITU-T membership, including Sector Members, Associates and Academia</w:t>
            </w:r>
          </w:p>
        </w:tc>
      </w:tr>
    </w:tbl>
    <w:p w14:paraId="6E68FFEA" w14:textId="77777777" w:rsidR="00503BCD" w:rsidRPr="00B64995" w:rsidRDefault="00503BCD" w:rsidP="00503BCD"/>
    <w:p w14:paraId="4D2E9D35" w14:textId="77777777" w:rsidR="00503BCD" w:rsidRPr="00B64995" w:rsidRDefault="00503BCD" w:rsidP="00A83DAA">
      <w:pPr>
        <w:pStyle w:val="Heading5"/>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558"/>
      </w:tblGrid>
      <w:tr w:rsidR="00997408" w:rsidRPr="00B64995" w14:paraId="2CD4E281" w14:textId="77777777" w:rsidTr="6844BCB7">
        <w:tc>
          <w:tcPr>
            <w:tcW w:w="4441" w:type="dxa"/>
          </w:tcPr>
          <w:p w14:paraId="2E64ECD7" w14:textId="77777777" w:rsidR="00503BCD" w:rsidRPr="00B87922" w:rsidRDefault="00503BCD" w:rsidP="00150E96">
            <w:pPr>
              <w:rPr>
                <w:b/>
                <w:bCs/>
                <w:lang w:val="en-GB"/>
              </w:rPr>
            </w:pPr>
            <w:r w:rsidRPr="00B64995">
              <w:rPr>
                <w:b/>
                <w:bCs/>
              </w:rPr>
              <w:t>T.2-a</w:t>
            </w:r>
          </w:p>
        </w:tc>
        <w:tc>
          <w:tcPr>
            <w:tcW w:w="4585" w:type="dxa"/>
          </w:tcPr>
          <w:p w14:paraId="70DEC267" w14:textId="77777777" w:rsidR="00503BCD" w:rsidRPr="00B87922" w:rsidRDefault="00503BCD" w:rsidP="00150E96">
            <w:pPr>
              <w:rPr>
                <w:b/>
                <w:bCs/>
                <w:lang w:val="en-GB"/>
              </w:rPr>
            </w:pPr>
          </w:p>
        </w:tc>
      </w:tr>
      <w:tr w:rsidR="00997408" w:rsidRPr="00B64995" w14:paraId="55954097" w14:textId="77777777" w:rsidTr="6844BCB7">
        <w:tc>
          <w:tcPr>
            <w:tcW w:w="4441" w:type="dxa"/>
          </w:tcPr>
          <w:p w14:paraId="7E0236B7" w14:textId="5F5AC92C" w:rsidR="00503BCD" w:rsidRPr="00B87922" w:rsidRDefault="00687FA3" w:rsidP="00150E96">
            <w:pPr>
              <w:jc w:val="center"/>
              <w:rPr>
                <w:b/>
                <w:bCs/>
                <w:lang w:val="en-GB"/>
              </w:rPr>
            </w:pPr>
            <w:r>
              <w:rPr>
                <w:b/>
                <w:bCs/>
                <w:noProof/>
              </w:rPr>
              <w:drawing>
                <wp:inline distT="0" distB="0" distL="0" distR="0" wp14:anchorId="4E0BE811" wp14:editId="7F95784D">
                  <wp:extent cx="2573882" cy="1574241"/>
                  <wp:effectExtent l="0" t="0" r="0" b="6985"/>
                  <wp:docPr id="1193504067" name="Picture 119350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90350" cy="1584313"/>
                          </a:xfrm>
                          <a:prstGeom prst="rect">
                            <a:avLst/>
                          </a:prstGeom>
                          <a:noFill/>
                        </pic:spPr>
                      </pic:pic>
                    </a:graphicData>
                  </a:graphic>
                </wp:inline>
              </w:drawing>
            </w:r>
          </w:p>
        </w:tc>
        <w:tc>
          <w:tcPr>
            <w:tcW w:w="4585" w:type="dxa"/>
          </w:tcPr>
          <w:p w14:paraId="35FA121A" w14:textId="79CE1B97" w:rsidR="00503BCD" w:rsidRPr="00B87922" w:rsidRDefault="00251003" w:rsidP="00150E96">
            <w:pPr>
              <w:jc w:val="center"/>
              <w:rPr>
                <w:b/>
                <w:bCs/>
                <w:lang w:val="en-GB"/>
              </w:rPr>
            </w:pPr>
            <w:r>
              <w:rPr>
                <w:b/>
                <w:bCs/>
                <w:noProof/>
              </w:rPr>
              <w:drawing>
                <wp:inline distT="0" distB="0" distL="0" distR="0" wp14:anchorId="72F60FF4" wp14:editId="03CEF611">
                  <wp:extent cx="2611003" cy="1444369"/>
                  <wp:effectExtent l="0" t="0" r="0" b="3810"/>
                  <wp:docPr id="1193504068" name="Picture 119350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630763" cy="1455300"/>
                          </a:xfrm>
                          <a:prstGeom prst="rect">
                            <a:avLst/>
                          </a:prstGeom>
                          <a:noFill/>
                        </pic:spPr>
                      </pic:pic>
                    </a:graphicData>
                  </a:graphic>
                </wp:inline>
              </w:drawing>
            </w:r>
          </w:p>
        </w:tc>
      </w:tr>
      <w:tr w:rsidR="00997408" w:rsidRPr="00B64995" w14:paraId="77EF5A80" w14:textId="77777777" w:rsidTr="6844BCB7">
        <w:tc>
          <w:tcPr>
            <w:tcW w:w="4441" w:type="dxa"/>
          </w:tcPr>
          <w:p w14:paraId="59DBD631" w14:textId="77777777" w:rsidR="00503BCD" w:rsidRPr="00B87922" w:rsidRDefault="00503BCD" w:rsidP="00150E96">
            <w:pPr>
              <w:rPr>
                <w:b/>
                <w:bCs/>
                <w:lang w:val="en-GB"/>
              </w:rPr>
            </w:pPr>
          </w:p>
        </w:tc>
        <w:tc>
          <w:tcPr>
            <w:tcW w:w="4585" w:type="dxa"/>
          </w:tcPr>
          <w:p w14:paraId="61B500DF" w14:textId="77777777" w:rsidR="00503BCD" w:rsidRPr="00B87922" w:rsidRDefault="00503BCD" w:rsidP="00150E96">
            <w:pPr>
              <w:rPr>
                <w:b/>
                <w:bCs/>
                <w:lang w:val="en-GB"/>
              </w:rPr>
            </w:pPr>
          </w:p>
        </w:tc>
      </w:tr>
      <w:tr w:rsidR="00997408" w:rsidRPr="00B64995" w14:paraId="4C7B4E54" w14:textId="77777777" w:rsidTr="6844BCB7">
        <w:tc>
          <w:tcPr>
            <w:tcW w:w="4441" w:type="dxa"/>
          </w:tcPr>
          <w:p w14:paraId="346FEB7E" w14:textId="68D7A227" w:rsidR="00503BCD" w:rsidRPr="00B87922" w:rsidRDefault="00865EDE" w:rsidP="00150E96">
            <w:pPr>
              <w:jc w:val="center"/>
              <w:rPr>
                <w:b/>
                <w:bCs/>
                <w:lang w:val="en-GB"/>
              </w:rPr>
            </w:pPr>
            <w:r>
              <w:rPr>
                <w:b/>
                <w:bCs/>
                <w:noProof/>
              </w:rPr>
              <w:lastRenderedPageBreak/>
              <w:drawing>
                <wp:inline distT="0" distB="0" distL="0" distR="0" wp14:anchorId="6D166F93" wp14:editId="633DBE1A">
                  <wp:extent cx="2717014" cy="1603533"/>
                  <wp:effectExtent l="0" t="0" r="7620" b="0"/>
                  <wp:docPr id="1193504065" name="Picture 119350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729708" cy="1611025"/>
                          </a:xfrm>
                          <a:prstGeom prst="rect">
                            <a:avLst/>
                          </a:prstGeom>
                          <a:noFill/>
                        </pic:spPr>
                      </pic:pic>
                    </a:graphicData>
                  </a:graphic>
                </wp:inline>
              </w:drawing>
            </w:r>
          </w:p>
        </w:tc>
        <w:tc>
          <w:tcPr>
            <w:tcW w:w="4585" w:type="dxa"/>
          </w:tcPr>
          <w:p w14:paraId="44AA1884" w14:textId="2A044368" w:rsidR="00503BCD" w:rsidRPr="00B87922" w:rsidRDefault="00A94370" w:rsidP="00024147">
            <w:pPr>
              <w:jc w:val="center"/>
              <w:rPr>
                <w:lang w:val="en-GB"/>
              </w:rPr>
            </w:pPr>
            <w:r>
              <w:rPr>
                <w:noProof/>
              </w:rPr>
              <w:drawing>
                <wp:inline distT="0" distB="0" distL="0" distR="0" wp14:anchorId="2D86D711" wp14:editId="5F7C8BEC">
                  <wp:extent cx="2702257" cy="1659662"/>
                  <wp:effectExtent l="0" t="0" r="3175" b="0"/>
                  <wp:docPr id="1193504064" name="Picture 119350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719701" cy="1670376"/>
                          </a:xfrm>
                          <a:prstGeom prst="rect">
                            <a:avLst/>
                          </a:prstGeom>
                          <a:noFill/>
                        </pic:spPr>
                      </pic:pic>
                    </a:graphicData>
                  </a:graphic>
                </wp:inline>
              </w:drawing>
            </w:r>
          </w:p>
        </w:tc>
      </w:tr>
      <w:tr w:rsidR="00997408" w:rsidRPr="00B64995" w14:paraId="673C4811" w14:textId="77777777" w:rsidTr="6844BCB7">
        <w:tc>
          <w:tcPr>
            <w:tcW w:w="4441" w:type="dxa"/>
          </w:tcPr>
          <w:p w14:paraId="52E6E533" w14:textId="442ACAC4" w:rsidR="00D4611E" w:rsidRPr="003C5E1A" w:rsidDel="00865EDE" w:rsidRDefault="00D4611E" w:rsidP="00150E96">
            <w:pPr>
              <w:jc w:val="center"/>
              <w:rPr>
                <w:noProof/>
              </w:rPr>
            </w:pPr>
            <w:r>
              <w:rPr>
                <w:noProof/>
              </w:rPr>
              <w:drawing>
                <wp:inline distT="0" distB="0" distL="0" distR="0" wp14:anchorId="02A765B6" wp14:editId="6513FE6A">
                  <wp:extent cx="2592127" cy="1247955"/>
                  <wp:effectExtent l="0" t="0" r="0" b="9525"/>
                  <wp:docPr id="1193504066" name="Picture 119350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601060" cy="1252256"/>
                          </a:xfrm>
                          <a:prstGeom prst="rect">
                            <a:avLst/>
                          </a:prstGeom>
                          <a:noFill/>
                        </pic:spPr>
                      </pic:pic>
                    </a:graphicData>
                  </a:graphic>
                </wp:inline>
              </w:drawing>
            </w:r>
          </w:p>
        </w:tc>
        <w:tc>
          <w:tcPr>
            <w:tcW w:w="4585" w:type="dxa"/>
          </w:tcPr>
          <w:p w14:paraId="7EF3BA3A" w14:textId="77777777" w:rsidR="00D4611E" w:rsidRPr="003C5E1A" w:rsidDel="00A94370" w:rsidRDefault="00D4611E" w:rsidP="00024147">
            <w:pPr>
              <w:jc w:val="center"/>
              <w:rPr>
                <w:noProof/>
              </w:rPr>
            </w:pPr>
          </w:p>
        </w:tc>
      </w:tr>
      <w:tr w:rsidR="00997408" w:rsidRPr="00B64995" w14:paraId="4071A58B" w14:textId="77777777" w:rsidTr="6844BCB7">
        <w:tc>
          <w:tcPr>
            <w:tcW w:w="4441" w:type="dxa"/>
          </w:tcPr>
          <w:p w14:paraId="3178C635" w14:textId="77777777" w:rsidR="00503BCD" w:rsidRPr="00B87922" w:rsidRDefault="00503BCD" w:rsidP="00150E96">
            <w:pPr>
              <w:rPr>
                <w:b/>
                <w:bCs/>
                <w:lang w:val="en-GB"/>
              </w:rPr>
            </w:pPr>
          </w:p>
        </w:tc>
        <w:tc>
          <w:tcPr>
            <w:tcW w:w="4585" w:type="dxa"/>
          </w:tcPr>
          <w:p w14:paraId="0158A2FE" w14:textId="77777777" w:rsidR="00503BCD" w:rsidRPr="00B87922" w:rsidRDefault="00503BCD" w:rsidP="00150E96">
            <w:pPr>
              <w:rPr>
                <w:b/>
                <w:bCs/>
                <w:lang w:val="en-GB"/>
              </w:rPr>
            </w:pPr>
          </w:p>
        </w:tc>
      </w:tr>
      <w:tr w:rsidR="00997408" w:rsidRPr="00B64995" w14:paraId="399BB1A7" w14:textId="77777777" w:rsidTr="6844BCB7">
        <w:tc>
          <w:tcPr>
            <w:tcW w:w="4441" w:type="dxa"/>
          </w:tcPr>
          <w:p w14:paraId="62E892F9" w14:textId="77777777" w:rsidR="00503BCD" w:rsidRPr="00B87922" w:rsidRDefault="00503BCD" w:rsidP="00150E96">
            <w:pPr>
              <w:rPr>
                <w:b/>
                <w:bCs/>
                <w:lang w:val="en-GB"/>
              </w:rPr>
            </w:pPr>
            <w:r w:rsidRPr="00B64995">
              <w:rPr>
                <w:b/>
                <w:bCs/>
              </w:rPr>
              <w:t>T.2-b</w:t>
            </w:r>
          </w:p>
        </w:tc>
        <w:tc>
          <w:tcPr>
            <w:tcW w:w="4585" w:type="dxa"/>
          </w:tcPr>
          <w:p w14:paraId="0F5B38B8" w14:textId="77777777" w:rsidR="00503BCD" w:rsidRPr="00B87922" w:rsidRDefault="00503BCD" w:rsidP="00150E96">
            <w:pPr>
              <w:rPr>
                <w:b/>
                <w:bCs/>
                <w:lang w:val="en-GB"/>
              </w:rPr>
            </w:pPr>
          </w:p>
        </w:tc>
      </w:tr>
      <w:tr w:rsidR="00997408" w:rsidRPr="00B64995" w14:paraId="32663784" w14:textId="77777777" w:rsidTr="6844BCB7">
        <w:tc>
          <w:tcPr>
            <w:tcW w:w="4441" w:type="dxa"/>
          </w:tcPr>
          <w:p w14:paraId="24FB2019" w14:textId="7EA9CEB1" w:rsidR="00503BCD" w:rsidRPr="00B87922" w:rsidRDefault="00503BCD" w:rsidP="00150E96">
            <w:pPr>
              <w:rPr>
                <w:b/>
                <w:bCs/>
                <w:lang w:val="en-GB"/>
              </w:rPr>
            </w:pPr>
          </w:p>
        </w:tc>
        <w:tc>
          <w:tcPr>
            <w:tcW w:w="4585" w:type="dxa"/>
          </w:tcPr>
          <w:p w14:paraId="510B1D0C" w14:textId="26B98E34" w:rsidR="00503BCD" w:rsidRPr="00B87922" w:rsidRDefault="00997408" w:rsidP="00150E96">
            <w:pPr>
              <w:rPr>
                <w:b/>
                <w:bCs/>
                <w:lang w:val="en-GB"/>
              </w:rPr>
            </w:pPr>
            <w:r>
              <w:rPr>
                <w:b/>
                <w:bCs/>
                <w:noProof/>
              </w:rPr>
              <w:drawing>
                <wp:inline distT="0" distB="0" distL="0" distR="0" wp14:anchorId="02260436" wp14:editId="04CCE210">
                  <wp:extent cx="2782290" cy="1637731"/>
                  <wp:effectExtent l="0" t="0" r="0" b="635"/>
                  <wp:docPr id="1193504069" name="Picture 119350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796511" cy="1646102"/>
                          </a:xfrm>
                          <a:prstGeom prst="rect">
                            <a:avLst/>
                          </a:prstGeom>
                          <a:noFill/>
                        </pic:spPr>
                      </pic:pic>
                    </a:graphicData>
                  </a:graphic>
                </wp:inline>
              </w:drawing>
            </w:r>
          </w:p>
        </w:tc>
      </w:tr>
    </w:tbl>
    <w:p w14:paraId="166C9AD9" w14:textId="77777777" w:rsidR="00503BCD" w:rsidRPr="00B64995" w:rsidRDefault="00503BCD" w:rsidP="00503BCD"/>
    <w:p w14:paraId="5F7D2CC7" w14:textId="77777777" w:rsidR="00503BCD" w:rsidRPr="00B64995" w:rsidRDefault="00503BCD" w:rsidP="00503BCD">
      <w:pPr>
        <w:spacing w:after="160"/>
      </w:pPr>
    </w:p>
    <w:p w14:paraId="602BC61A" w14:textId="325A6817" w:rsidR="00503BCD" w:rsidRPr="00B64995" w:rsidRDefault="00503BCD" w:rsidP="00503BCD">
      <w:pPr>
        <w:jc w:val="both"/>
      </w:pPr>
      <w:r w:rsidRPr="00B64995">
        <w:rPr>
          <w:b/>
          <w:bCs/>
        </w:rPr>
        <w:t>Objective T.3</w:t>
      </w:r>
      <w:r w:rsidRPr="00B64995">
        <w:t xml:space="preserve">: (Telecommunication resources) Ensure effective allocation and management of international telecommunication numbering, naming, addressing and identification resources in accordance with ITU-T </w:t>
      </w:r>
      <w:r w:rsidR="00C664A4">
        <w:t>R</w:t>
      </w:r>
      <w:r w:rsidRPr="00B64995">
        <w:t>ecommendations and procedures</w:t>
      </w:r>
    </w:p>
    <w:p w14:paraId="0A5BBE4C" w14:textId="77777777" w:rsidR="00503BCD" w:rsidRPr="00B64995" w:rsidRDefault="00503BCD" w:rsidP="00503BCD"/>
    <w:p w14:paraId="7CA01DD5"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552EC40E" w14:textId="77777777" w:rsidTr="00C92451">
        <w:tc>
          <w:tcPr>
            <w:tcW w:w="9016" w:type="dxa"/>
            <w:shd w:val="clear" w:color="auto" w:fill="DCE5F4"/>
          </w:tcPr>
          <w:p w14:paraId="25A5655F" w14:textId="77777777" w:rsidR="00503BCD" w:rsidRPr="00B87922" w:rsidRDefault="00503BCD" w:rsidP="0080338C">
            <w:pPr>
              <w:pStyle w:val="tabletext"/>
              <w:rPr>
                <w:lang w:val="en-GB"/>
              </w:rPr>
            </w:pPr>
            <w:r w:rsidRPr="00B64995">
              <w:t>T.3-a: Timely and accurate allocation of international telecommunication numbering, naming, addressing and identification resources, as specified in the relevant recommendations</w:t>
            </w:r>
          </w:p>
        </w:tc>
      </w:tr>
    </w:tbl>
    <w:p w14:paraId="7E241F0E" w14:textId="77777777" w:rsidR="00503BCD" w:rsidRPr="00B64995" w:rsidRDefault="00503BCD" w:rsidP="00503BCD"/>
    <w:p w14:paraId="4AC85159" w14:textId="77777777" w:rsidR="00503BCD" w:rsidRPr="00B64995" w:rsidRDefault="00503BCD" w:rsidP="00A83DAA">
      <w:pPr>
        <w:pStyle w:val="Heading5"/>
      </w:pPr>
      <w:r w:rsidRPr="00B64995">
        <w:lastRenderedPageBreak/>
        <w:t xml:space="preserve">Progress </w:t>
      </w:r>
      <w:proofErr w:type="gramStart"/>
      <w:r w:rsidRPr="00B64995">
        <w:t>achieved</w:t>
      </w:r>
      <w:proofErr w:type="gramEnd"/>
    </w:p>
    <w:p w14:paraId="01E5A784" w14:textId="51580702" w:rsidR="00503BCD" w:rsidRPr="00B64995" w:rsidRDefault="00272E83" w:rsidP="00503BCD">
      <w:pPr>
        <w:spacing w:after="160"/>
        <w:jc w:val="center"/>
      </w:pPr>
      <w:r>
        <w:rPr>
          <w:noProof/>
        </w:rPr>
        <w:drawing>
          <wp:inline distT="0" distB="0" distL="0" distR="0" wp14:anchorId="75FE22A3" wp14:editId="4267DF50">
            <wp:extent cx="3316406" cy="2090438"/>
            <wp:effectExtent l="0" t="0" r="0" b="5080"/>
            <wp:docPr id="1193504070" name="Picture 11935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332417" cy="2100530"/>
                    </a:xfrm>
                    <a:prstGeom prst="rect">
                      <a:avLst/>
                    </a:prstGeom>
                    <a:noFill/>
                  </pic:spPr>
                </pic:pic>
              </a:graphicData>
            </a:graphic>
          </wp:inline>
        </w:drawing>
      </w:r>
    </w:p>
    <w:p w14:paraId="155422C5" w14:textId="77777777" w:rsidR="006459A3" w:rsidRPr="00B64995" w:rsidRDefault="006459A3" w:rsidP="00503BCD">
      <w:pPr>
        <w:jc w:val="both"/>
        <w:rPr>
          <w:b/>
          <w:bCs/>
        </w:rPr>
      </w:pPr>
      <w:r w:rsidRPr="00B64995">
        <w:rPr>
          <w:b/>
          <w:bCs/>
        </w:rPr>
        <w:br w:type="page"/>
      </w:r>
    </w:p>
    <w:p w14:paraId="625820CF" w14:textId="307861FE" w:rsidR="00503BCD" w:rsidRPr="00B64995" w:rsidRDefault="00503BCD" w:rsidP="00503BCD">
      <w:pPr>
        <w:jc w:val="both"/>
      </w:pPr>
      <w:r w:rsidRPr="00B64995">
        <w:rPr>
          <w:b/>
          <w:bCs/>
        </w:rPr>
        <w:lastRenderedPageBreak/>
        <w:t>Objective T.4</w:t>
      </w:r>
      <w:r w:rsidRPr="00B64995">
        <w:t>: (Knowledge sharing) Foster the acquisition, awareness, sharing of knowledge and know how on the standardization activities of ITU-</w:t>
      </w:r>
      <w:proofErr w:type="gramStart"/>
      <w:r w:rsidRPr="00B64995">
        <w:t>T</w:t>
      </w:r>
      <w:proofErr w:type="gramEnd"/>
    </w:p>
    <w:p w14:paraId="69EF8555" w14:textId="77777777" w:rsidR="00503BCD" w:rsidRPr="00B64995" w:rsidRDefault="00503BCD" w:rsidP="00503BCD">
      <w:pPr>
        <w:jc w:val="both"/>
        <w:rPr>
          <w:b/>
          <w:bCs/>
        </w:rPr>
      </w:pPr>
    </w:p>
    <w:p w14:paraId="24DB0072"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689C2F2E" w14:textId="77777777" w:rsidTr="00C92451">
        <w:tc>
          <w:tcPr>
            <w:tcW w:w="9016" w:type="dxa"/>
            <w:shd w:val="clear" w:color="auto" w:fill="DCE5F4"/>
          </w:tcPr>
          <w:p w14:paraId="00ACE4D8" w14:textId="77777777" w:rsidR="00503BCD" w:rsidRPr="00B87922" w:rsidRDefault="00503BCD" w:rsidP="0080338C">
            <w:pPr>
              <w:pStyle w:val="tabletext"/>
              <w:rPr>
                <w:lang w:val="en-GB"/>
              </w:rPr>
            </w:pPr>
            <w:r w:rsidRPr="00B64995">
              <w:t>T.4-a: Increased knowledge on ITU-T standards and on best practices in their implementation of ITU-T standards</w:t>
            </w:r>
          </w:p>
          <w:p w14:paraId="03D3D444" w14:textId="77777777" w:rsidR="00503BCD" w:rsidRPr="00B87922" w:rsidRDefault="00503BCD" w:rsidP="0080338C">
            <w:pPr>
              <w:pStyle w:val="tabletext"/>
              <w:rPr>
                <w:lang w:val="en-GB"/>
              </w:rPr>
            </w:pPr>
            <w:r w:rsidRPr="00B64995">
              <w:t>T.4-b: Increased participation in ITU-T’s standardization activities and increased awareness of the relevance of ITU-T standards</w:t>
            </w:r>
          </w:p>
          <w:p w14:paraId="7082E51B" w14:textId="77777777" w:rsidR="00503BCD" w:rsidRPr="00B87922" w:rsidRDefault="00503BCD" w:rsidP="0080338C">
            <w:pPr>
              <w:pStyle w:val="tabletext"/>
              <w:rPr>
                <w:lang w:val="en-GB"/>
              </w:rPr>
            </w:pPr>
            <w:r w:rsidRPr="00B64995">
              <w:t>T.4-c: Increased Sector visibility</w:t>
            </w:r>
          </w:p>
        </w:tc>
      </w:tr>
    </w:tbl>
    <w:p w14:paraId="4ACAE7BA" w14:textId="77777777" w:rsidR="00503BCD" w:rsidRPr="00B64995" w:rsidRDefault="00503BCD" w:rsidP="00503BCD">
      <w:pPr>
        <w:rPr>
          <w:b/>
          <w:bCs/>
        </w:rPr>
      </w:pPr>
    </w:p>
    <w:p w14:paraId="6528B99D" w14:textId="77777777" w:rsidR="00503BCD" w:rsidRPr="00B64995" w:rsidRDefault="00503BCD" w:rsidP="00A83DAA">
      <w:pPr>
        <w:pStyle w:val="Heading5"/>
      </w:pPr>
      <w:r w:rsidRPr="00B64995">
        <w:t xml:space="preserve">Progress </w:t>
      </w:r>
      <w:proofErr w:type="gramStart"/>
      <w:r w:rsidRPr="00B64995">
        <w:t>achieved</w:t>
      </w:r>
      <w:proofErr w:type="gramEnd"/>
    </w:p>
    <w:p w14:paraId="66659D37" w14:textId="40B551CC" w:rsidR="00503BCD" w:rsidRPr="00B64995" w:rsidRDefault="00503BCD" w:rsidP="00391B3D">
      <w:r w:rsidRPr="00B64995">
        <w:t xml:space="preserve">Relevant indicators are </w:t>
      </w:r>
      <w:r w:rsidR="00581CB4" w:rsidRPr="00B64995">
        <w:t xml:space="preserve">already </w:t>
      </w:r>
      <w:r w:rsidRPr="00B64995">
        <w:t>covered under T.1 and T.2 above</w:t>
      </w:r>
    </w:p>
    <w:p w14:paraId="14ABFCFB" w14:textId="77777777" w:rsidR="006459A3" w:rsidRPr="00B64995" w:rsidRDefault="006459A3" w:rsidP="00391B3D"/>
    <w:p w14:paraId="24522309" w14:textId="77777777" w:rsidR="00503BCD" w:rsidRPr="00B64995" w:rsidRDefault="00503BCD" w:rsidP="00503BCD">
      <w:pPr>
        <w:jc w:val="both"/>
      </w:pPr>
      <w:r w:rsidRPr="00B64995">
        <w:rPr>
          <w:b/>
          <w:bCs/>
        </w:rPr>
        <w:t>Objective T.5</w:t>
      </w:r>
      <w:r w:rsidRPr="00B64995">
        <w:t xml:space="preserve">: (Cooperation with standardization bodies) Extend and facilitate cooperation with international, regional and national standardization </w:t>
      </w:r>
      <w:proofErr w:type="gramStart"/>
      <w:r w:rsidRPr="00B64995">
        <w:t>bodies</w:t>
      </w:r>
      <w:proofErr w:type="gramEnd"/>
    </w:p>
    <w:p w14:paraId="7E16DCD8" w14:textId="77777777" w:rsidR="00503BCD" w:rsidRPr="00B64995" w:rsidRDefault="00503BCD" w:rsidP="00503BCD">
      <w:pPr>
        <w:jc w:val="both"/>
        <w:rPr>
          <w:b/>
          <w:bCs/>
        </w:rPr>
      </w:pPr>
    </w:p>
    <w:p w14:paraId="4E233CBC"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309FB939" w14:textId="77777777" w:rsidTr="00C92451">
        <w:tc>
          <w:tcPr>
            <w:tcW w:w="9016" w:type="dxa"/>
            <w:shd w:val="clear" w:color="auto" w:fill="DCE5F4"/>
          </w:tcPr>
          <w:p w14:paraId="38DDD249" w14:textId="77777777" w:rsidR="00503BCD" w:rsidRPr="00B87922" w:rsidRDefault="00503BCD" w:rsidP="0080338C">
            <w:pPr>
              <w:pStyle w:val="tabletext"/>
              <w:rPr>
                <w:lang w:val="en-GB"/>
              </w:rPr>
            </w:pPr>
            <w:r w:rsidRPr="00B64995">
              <w:t>T.5-a: Increased communications with other standards organizations</w:t>
            </w:r>
          </w:p>
          <w:p w14:paraId="30D91A21" w14:textId="77777777" w:rsidR="00503BCD" w:rsidRPr="00B87922" w:rsidRDefault="00503BCD" w:rsidP="0080338C">
            <w:pPr>
              <w:pStyle w:val="tabletext"/>
              <w:rPr>
                <w:lang w:val="en-GB"/>
              </w:rPr>
            </w:pPr>
            <w:r w:rsidRPr="00B64995">
              <w:t>T.5-b: Decreased number of conflicting standards</w:t>
            </w:r>
          </w:p>
          <w:p w14:paraId="13CC3523" w14:textId="77777777" w:rsidR="00503BCD" w:rsidRPr="00B87922" w:rsidRDefault="00503BCD" w:rsidP="0080338C">
            <w:pPr>
              <w:pStyle w:val="tabletext"/>
              <w:rPr>
                <w:lang w:val="en-GB"/>
              </w:rPr>
            </w:pPr>
            <w:r w:rsidRPr="00B64995">
              <w:t>T.5-c: Increased number of memoranda of understanding/collaboration agreements with other organizations</w:t>
            </w:r>
          </w:p>
          <w:p w14:paraId="1C1F4EB1" w14:textId="77777777" w:rsidR="00503BCD" w:rsidRPr="00B87922" w:rsidRDefault="00503BCD" w:rsidP="0080338C">
            <w:pPr>
              <w:pStyle w:val="tabletext"/>
              <w:rPr>
                <w:lang w:val="en-GB"/>
              </w:rPr>
            </w:pPr>
            <w:r w:rsidRPr="00B64995">
              <w:t>T.5-d: Increased number of ITU-T A.4, A.5 and A.6 qualified organizations</w:t>
            </w:r>
          </w:p>
          <w:p w14:paraId="781AA102" w14:textId="77777777" w:rsidR="00503BCD" w:rsidRPr="00B87922" w:rsidRDefault="00503BCD" w:rsidP="0080338C">
            <w:pPr>
              <w:pStyle w:val="tabletext"/>
              <w:rPr>
                <w:lang w:val="en-GB"/>
              </w:rPr>
            </w:pPr>
            <w:r w:rsidRPr="00B64995">
              <w:t>T.5-e: Increased number of workshops/events organized jointly with other organizations</w:t>
            </w:r>
          </w:p>
        </w:tc>
      </w:tr>
    </w:tbl>
    <w:p w14:paraId="7A917DF8" w14:textId="77777777" w:rsidR="00503BCD" w:rsidRPr="00B64995" w:rsidRDefault="00503BCD" w:rsidP="00503BCD">
      <w:pPr>
        <w:rPr>
          <w:b/>
          <w:bCs/>
        </w:rPr>
      </w:pPr>
    </w:p>
    <w:p w14:paraId="3A9A9120" w14:textId="77777777" w:rsidR="00503BCD" w:rsidRPr="00B64995" w:rsidRDefault="00503BCD" w:rsidP="00A83DAA">
      <w:pPr>
        <w:pStyle w:val="Heading5"/>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37BFF" w:rsidRPr="00B64995" w14:paraId="32D139FD" w14:textId="77777777" w:rsidTr="6844BCB7">
        <w:tc>
          <w:tcPr>
            <w:tcW w:w="4508" w:type="dxa"/>
          </w:tcPr>
          <w:p w14:paraId="56BE402E" w14:textId="77777777" w:rsidR="00503BCD" w:rsidRPr="00B87922" w:rsidRDefault="00503BCD" w:rsidP="00150E96">
            <w:pPr>
              <w:rPr>
                <w:b/>
                <w:bCs/>
                <w:lang w:val="en-GB"/>
              </w:rPr>
            </w:pPr>
            <w:r w:rsidRPr="00B64995">
              <w:rPr>
                <w:b/>
                <w:bCs/>
              </w:rPr>
              <w:t>T.5-a</w:t>
            </w:r>
          </w:p>
        </w:tc>
        <w:tc>
          <w:tcPr>
            <w:tcW w:w="4508" w:type="dxa"/>
          </w:tcPr>
          <w:p w14:paraId="5BB11075" w14:textId="77777777" w:rsidR="00503BCD" w:rsidRPr="00B87922" w:rsidRDefault="00503BCD" w:rsidP="00150E96">
            <w:pPr>
              <w:rPr>
                <w:b/>
                <w:bCs/>
                <w:lang w:val="en-GB"/>
              </w:rPr>
            </w:pPr>
            <w:r w:rsidRPr="00B64995">
              <w:rPr>
                <w:b/>
                <w:bCs/>
              </w:rPr>
              <w:t>T.5-b/c</w:t>
            </w:r>
          </w:p>
        </w:tc>
      </w:tr>
      <w:tr w:rsidR="00537BFF" w:rsidRPr="00B64995" w14:paraId="3287EC01" w14:textId="77777777" w:rsidTr="6844BCB7">
        <w:tc>
          <w:tcPr>
            <w:tcW w:w="4508" w:type="dxa"/>
          </w:tcPr>
          <w:p w14:paraId="1FAA5E74" w14:textId="44BAC348" w:rsidR="00503BCD" w:rsidRPr="00B87922" w:rsidRDefault="00642170" w:rsidP="00150E96">
            <w:pPr>
              <w:jc w:val="center"/>
              <w:rPr>
                <w:b/>
                <w:bCs/>
                <w:lang w:val="en-GB"/>
              </w:rPr>
            </w:pPr>
            <w:r>
              <w:rPr>
                <w:b/>
                <w:bCs/>
                <w:noProof/>
              </w:rPr>
              <w:drawing>
                <wp:inline distT="0" distB="0" distL="0" distR="0" wp14:anchorId="7AD50B22" wp14:editId="16730C92">
                  <wp:extent cx="2601481" cy="1547629"/>
                  <wp:effectExtent l="0" t="0" r="8890" b="0"/>
                  <wp:docPr id="1193504071" name="Picture 119350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612483" cy="1554174"/>
                          </a:xfrm>
                          <a:prstGeom prst="rect">
                            <a:avLst/>
                          </a:prstGeom>
                          <a:noFill/>
                        </pic:spPr>
                      </pic:pic>
                    </a:graphicData>
                  </a:graphic>
                </wp:inline>
              </w:drawing>
            </w:r>
          </w:p>
        </w:tc>
        <w:tc>
          <w:tcPr>
            <w:tcW w:w="4508" w:type="dxa"/>
          </w:tcPr>
          <w:p w14:paraId="65F63CD0" w14:textId="3579FD00" w:rsidR="00503BCD" w:rsidRPr="00B87922" w:rsidRDefault="001E0EE8" w:rsidP="00150E96">
            <w:pPr>
              <w:jc w:val="center"/>
              <w:rPr>
                <w:b/>
                <w:bCs/>
                <w:lang w:val="en-GB"/>
              </w:rPr>
            </w:pPr>
            <w:r>
              <w:rPr>
                <w:b/>
                <w:bCs/>
                <w:noProof/>
              </w:rPr>
              <w:drawing>
                <wp:inline distT="0" distB="0" distL="0" distR="0" wp14:anchorId="26C03FF7" wp14:editId="4892357A">
                  <wp:extent cx="2602905" cy="1528530"/>
                  <wp:effectExtent l="0" t="0" r="6985" b="0"/>
                  <wp:docPr id="1193504072" name="Picture 119350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613901" cy="1534987"/>
                          </a:xfrm>
                          <a:prstGeom prst="rect">
                            <a:avLst/>
                          </a:prstGeom>
                          <a:noFill/>
                        </pic:spPr>
                      </pic:pic>
                    </a:graphicData>
                  </a:graphic>
                </wp:inline>
              </w:drawing>
            </w:r>
          </w:p>
        </w:tc>
      </w:tr>
      <w:tr w:rsidR="00537BFF" w:rsidRPr="00B64995" w14:paraId="6D250297" w14:textId="77777777" w:rsidTr="6844BCB7">
        <w:tc>
          <w:tcPr>
            <w:tcW w:w="4508" w:type="dxa"/>
          </w:tcPr>
          <w:p w14:paraId="2375A02E" w14:textId="77777777" w:rsidR="00503BCD" w:rsidRPr="00B87922" w:rsidRDefault="00503BCD" w:rsidP="00150E96">
            <w:pPr>
              <w:rPr>
                <w:b/>
                <w:bCs/>
                <w:lang w:val="en-GB"/>
              </w:rPr>
            </w:pPr>
          </w:p>
        </w:tc>
        <w:tc>
          <w:tcPr>
            <w:tcW w:w="4508" w:type="dxa"/>
          </w:tcPr>
          <w:p w14:paraId="728ED8ED" w14:textId="77777777" w:rsidR="00503BCD" w:rsidRPr="00B87922" w:rsidRDefault="00503BCD" w:rsidP="00150E96">
            <w:pPr>
              <w:rPr>
                <w:b/>
                <w:bCs/>
                <w:lang w:val="en-GB"/>
              </w:rPr>
            </w:pPr>
          </w:p>
        </w:tc>
      </w:tr>
      <w:tr w:rsidR="00537BFF" w:rsidRPr="00B64995" w14:paraId="6FCCEBE5" w14:textId="77777777" w:rsidTr="6844BCB7">
        <w:tc>
          <w:tcPr>
            <w:tcW w:w="4508" w:type="dxa"/>
          </w:tcPr>
          <w:p w14:paraId="3FE15CDB" w14:textId="77777777" w:rsidR="00503BCD" w:rsidRPr="00B87922" w:rsidRDefault="00503BCD" w:rsidP="00150E96">
            <w:pPr>
              <w:rPr>
                <w:b/>
                <w:bCs/>
                <w:lang w:val="en-GB"/>
              </w:rPr>
            </w:pPr>
            <w:r w:rsidRPr="00B64995">
              <w:rPr>
                <w:b/>
                <w:bCs/>
              </w:rPr>
              <w:t>T1.5-d</w:t>
            </w:r>
          </w:p>
        </w:tc>
        <w:tc>
          <w:tcPr>
            <w:tcW w:w="4508" w:type="dxa"/>
          </w:tcPr>
          <w:p w14:paraId="43B41D18" w14:textId="77777777" w:rsidR="00503BCD" w:rsidRPr="00B87922" w:rsidRDefault="00503BCD" w:rsidP="00150E96">
            <w:pPr>
              <w:rPr>
                <w:b/>
                <w:bCs/>
                <w:lang w:val="en-GB"/>
              </w:rPr>
            </w:pPr>
          </w:p>
        </w:tc>
      </w:tr>
      <w:tr w:rsidR="00537BFF" w:rsidRPr="00B64995" w14:paraId="034842E4" w14:textId="77777777" w:rsidTr="6844BCB7">
        <w:tc>
          <w:tcPr>
            <w:tcW w:w="4508" w:type="dxa"/>
          </w:tcPr>
          <w:p w14:paraId="2382A9A7" w14:textId="4F44CA69" w:rsidR="00503BCD" w:rsidRPr="00B87922" w:rsidRDefault="00537BFF" w:rsidP="00150E96">
            <w:pPr>
              <w:rPr>
                <w:b/>
                <w:bCs/>
                <w:lang w:val="en-GB"/>
              </w:rPr>
            </w:pPr>
            <w:r>
              <w:rPr>
                <w:b/>
                <w:bCs/>
                <w:noProof/>
              </w:rPr>
              <w:drawing>
                <wp:inline distT="0" distB="0" distL="0" distR="0" wp14:anchorId="67C75B22" wp14:editId="445A6EE6">
                  <wp:extent cx="2541415" cy="1510769"/>
                  <wp:effectExtent l="0" t="0" r="0" b="0"/>
                  <wp:docPr id="1193504073" name="Picture 119350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550772" cy="1516331"/>
                          </a:xfrm>
                          <a:prstGeom prst="rect">
                            <a:avLst/>
                          </a:prstGeom>
                          <a:noFill/>
                        </pic:spPr>
                      </pic:pic>
                    </a:graphicData>
                  </a:graphic>
                </wp:inline>
              </w:drawing>
            </w:r>
          </w:p>
        </w:tc>
        <w:tc>
          <w:tcPr>
            <w:tcW w:w="4508" w:type="dxa"/>
          </w:tcPr>
          <w:p w14:paraId="66B33013" w14:textId="77777777" w:rsidR="00503BCD" w:rsidRPr="00B87922" w:rsidRDefault="00503BCD" w:rsidP="00150E96">
            <w:pPr>
              <w:rPr>
                <w:b/>
                <w:bCs/>
                <w:lang w:val="en-GB"/>
              </w:rPr>
            </w:pPr>
          </w:p>
        </w:tc>
      </w:tr>
    </w:tbl>
    <w:p w14:paraId="150DA16B" w14:textId="77777777" w:rsidR="00AA47DC" w:rsidRPr="00B64995" w:rsidRDefault="00AA47DC" w:rsidP="00AA47DC">
      <w:pPr>
        <w:spacing w:after="160"/>
      </w:pPr>
      <w:r w:rsidRPr="00B64995">
        <w:br w:type="page"/>
      </w:r>
    </w:p>
    <w:p w14:paraId="46F635AD" w14:textId="0A7BFCE7" w:rsidR="00AA47DC" w:rsidRPr="00B64995" w:rsidRDefault="00AA47DC" w:rsidP="00AA47DC">
      <w:pPr>
        <w:pStyle w:val="Heading2"/>
      </w:pPr>
      <w:bookmarkStart w:id="181" w:name="_Toc37943365"/>
      <w:bookmarkStart w:id="182" w:name="_Toc68811439"/>
      <w:r w:rsidRPr="00B64995">
        <w:lastRenderedPageBreak/>
        <w:t>ITU-D</w:t>
      </w:r>
      <w:bookmarkEnd w:id="181"/>
      <w:r w:rsidRPr="00B64995">
        <w:t xml:space="preserve"> </w:t>
      </w:r>
      <w:r w:rsidR="00F25147" w:rsidRPr="00B64995">
        <w:t>Objectives</w:t>
      </w:r>
      <w:bookmarkEnd w:id="182"/>
    </w:p>
    <w:p w14:paraId="45DB57CA" w14:textId="77777777" w:rsidR="00503BCD" w:rsidRPr="00B64995" w:rsidRDefault="00503BCD" w:rsidP="0099728D">
      <w:pPr>
        <w:spacing w:before="120"/>
      </w:pPr>
      <w:bookmarkStart w:id="183" w:name="_Toc37943366"/>
      <w:r w:rsidRPr="00B64995">
        <w:rPr>
          <w:b/>
          <w:bCs/>
        </w:rPr>
        <w:t>Objective D.1</w:t>
      </w:r>
      <w:r w:rsidRPr="00B64995">
        <w:t>: (Coordination) Foster international cooperation and agreement on telecommunication/ICT development issues</w:t>
      </w:r>
    </w:p>
    <w:p w14:paraId="0AC3C29E"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44EF991C" w14:textId="77777777" w:rsidTr="00C92451">
        <w:tc>
          <w:tcPr>
            <w:tcW w:w="9016" w:type="dxa"/>
            <w:shd w:val="clear" w:color="auto" w:fill="DCE5F4"/>
          </w:tcPr>
          <w:p w14:paraId="130DDFE6" w14:textId="77777777" w:rsidR="00503BCD" w:rsidRPr="00B87922" w:rsidRDefault="00503BCD" w:rsidP="0080338C">
            <w:pPr>
              <w:pStyle w:val="tabletext"/>
              <w:rPr>
                <w:lang w:val="en-GB"/>
              </w:rPr>
            </w:pPr>
            <w:r w:rsidRPr="00B64995">
              <w:t>D.1-a: Enhanced review and increased level of agreement on the draft ITU-D contribution to the draft ITU strategic plan, the World Telecommunication Development Conference (WTDC) Declaration, and the WTDC Action Plan</w:t>
            </w:r>
          </w:p>
          <w:p w14:paraId="16532C63" w14:textId="77777777" w:rsidR="00503BCD" w:rsidRPr="00B87922" w:rsidRDefault="00503BCD" w:rsidP="0080338C">
            <w:pPr>
              <w:pStyle w:val="tabletext"/>
              <w:rPr>
                <w:lang w:val="en-GB"/>
              </w:rPr>
            </w:pPr>
            <w:r w:rsidRPr="00B64995">
              <w:t>D.1-b: Assessment of the implementation of the Action Plan and of the WSIS Plan of Action</w:t>
            </w:r>
          </w:p>
          <w:p w14:paraId="0FDA7D6D" w14:textId="77777777" w:rsidR="00503BCD" w:rsidRPr="00B87922" w:rsidRDefault="00503BCD" w:rsidP="0080338C">
            <w:pPr>
              <w:pStyle w:val="tabletext"/>
              <w:rPr>
                <w:lang w:val="en-GB"/>
              </w:rPr>
            </w:pPr>
            <w:r w:rsidRPr="00B64995">
              <w:t xml:space="preserve">D.1-c: Enhanced knowledge-sharing, </w:t>
            </w:r>
            <w:proofErr w:type="gramStart"/>
            <w:r w:rsidRPr="00B64995">
              <w:t>dialogue</w:t>
            </w:r>
            <w:proofErr w:type="gramEnd"/>
            <w:r w:rsidRPr="00B64995">
              <w:t xml:space="preserve"> and partnership among the ITU membership on telecommunication/ICT issues</w:t>
            </w:r>
          </w:p>
          <w:p w14:paraId="4C0A7F8F" w14:textId="77777777" w:rsidR="00503BCD" w:rsidRPr="00B87922" w:rsidRDefault="00503BCD" w:rsidP="0080338C">
            <w:pPr>
              <w:pStyle w:val="tabletext"/>
              <w:rPr>
                <w:lang w:val="en-GB"/>
              </w:rPr>
            </w:pPr>
            <w:r w:rsidRPr="00B64995">
              <w:t>D.1-d: Enhanced process and implementation of telecommunication/ICT development projects and regional initiatives</w:t>
            </w:r>
          </w:p>
          <w:p w14:paraId="49CC7D4C" w14:textId="77777777" w:rsidR="00503BCD" w:rsidRPr="00B87922" w:rsidRDefault="00503BCD" w:rsidP="0080338C">
            <w:pPr>
              <w:pStyle w:val="tabletext"/>
              <w:rPr>
                <w:lang w:val="en-GB"/>
              </w:rPr>
            </w:pPr>
            <w:r w:rsidRPr="00B64995">
              <w:t xml:space="preserve">D.1.e: Facilitation of agreement to cooperate on telecommunication/ICT development </w:t>
            </w:r>
            <w:proofErr w:type="spellStart"/>
            <w:r w:rsidRPr="00B64995">
              <w:t>programmes</w:t>
            </w:r>
            <w:proofErr w:type="spellEnd"/>
            <w:r w:rsidRPr="00B64995">
              <w:t xml:space="preserve"> between Member States, and between Member States and other stakeholders in the ICT ecosystem, based on requests from ITU Member States involved</w:t>
            </w:r>
          </w:p>
        </w:tc>
      </w:tr>
    </w:tbl>
    <w:p w14:paraId="36D1B278" w14:textId="77777777" w:rsidR="00503BCD" w:rsidRPr="00B64995" w:rsidRDefault="00503BCD" w:rsidP="00503BCD">
      <w:pPr>
        <w:rPr>
          <w:b/>
          <w:bCs/>
        </w:rPr>
      </w:pPr>
    </w:p>
    <w:p w14:paraId="25B883A1" w14:textId="61762A1B" w:rsidR="00503BCD" w:rsidRPr="00B64995" w:rsidRDefault="00503BCD" w:rsidP="00A83DAA">
      <w:pPr>
        <w:pStyle w:val="Heading5"/>
      </w:pPr>
      <w:r w:rsidRPr="00B64995">
        <w:t xml:space="preserve">Progress </w:t>
      </w:r>
      <w:proofErr w:type="gramStart"/>
      <w:r w:rsidRPr="00B64995">
        <w:t>achieved</w:t>
      </w:r>
      <w:proofErr w:type="gramEnd"/>
    </w:p>
    <w:p w14:paraId="28DA8A42" w14:textId="168E4CD3" w:rsidR="04C7EE8D" w:rsidRPr="00B64995" w:rsidRDefault="007E6CA0" w:rsidP="7EE497FD">
      <w:r w:rsidRPr="003C5E1A">
        <w:rPr>
          <w:noProof/>
        </w:rPr>
        <w:drawing>
          <wp:inline distT="0" distB="0" distL="0" distR="0" wp14:anchorId="6C25EBBA" wp14:editId="05D13DCD">
            <wp:extent cx="5724524" cy="3133725"/>
            <wp:effectExtent l="0" t="0" r="0" b="0"/>
            <wp:docPr id="545586555" name="Picture 54558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86555"/>
                    <pic:cNvPicPr/>
                  </pic:nvPicPr>
                  <pic:blipFill>
                    <a:blip r:embed="rId630">
                      <a:extLst>
                        <a:ext uri="{28A0092B-C50C-407E-A947-70E740481C1C}">
                          <a14:useLocalDpi xmlns:a14="http://schemas.microsoft.com/office/drawing/2010/main" val="0"/>
                        </a:ext>
                      </a:extLst>
                    </a:blip>
                    <a:stretch>
                      <a:fillRect/>
                    </a:stretch>
                  </pic:blipFill>
                  <pic:spPr>
                    <a:xfrm>
                      <a:off x="0" y="0"/>
                      <a:ext cx="5724524" cy="31337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03BCD" w:rsidRPr="00B64995" w14:paraId="2B84FC20" w14:textId="77777777" w:rsidTr="56438BC1">
        <w:tc>
          <w:tcPr>
            <w:tcW w:w="4508" w:type="dxa"/>
          </w:tcPr>
          <w:p w14:paraId="329E8FC1" w14:textId="77777777" w:rsidR="00503BCD" w:rsidRPr="00B87922" w:rsidRDefault="00503BCD" w:rsidP="00150E96">
            <w:pPr>
              <w:rPr>
                <w:b/>
                <w:bCs/>
                <w:lang w:val="en-GB"/>
              </w:rPr>
            </w:pPr>
          </w:p>
        </w:tc>
        <w:tc>
          <w:tcPr>
            <w:tcW w:w="4508" w:type="dxa"/>
          </w:tcPr>
          <w:p w14:paraId="07FDB7E8" w14:textId="77777777" w:rsidR="00503BCD" w:rsidRPr="00B87922" w:rsidRDefault="00503BCD" w:rsidP="00150E96">
            <w:pPr>
              <w:rPr>
                <w:b/>
                <w:bCs/>
                <w:lang w:val="en-GB"/>
              </w:rPr>
            </w:pPr>
          </w:p>
        </w:tc>
      </w:tr>
      <w:tr w:rsidR="007E6CA0" w:rsidRPr="00B64995" w14:paraId="04EDAF45" w14:textId="77777777" w:rsidTr="56438BC1">
        <w:tc>
          <w:tcPr>
            <w:tcW w:w="4508" w:type="dxa"/>
          </w:tcPr>
          <w:p w14:paraId="1203EECC" w14:textId="77777777" w:rsidR="007E6CA0" w:rsidRPr="00B87922" w:rsidRDefault="007E6CA0" w:rsidP="00150E96">
            <w:pPr>
              <w:rPr>
                <w:b/>
                <w:bCs/>
                <w:lang w:val="en-GB"/>
              </w:rPr>
            </w:pPr>
          </w:p>
        </w:tc>
        <w:tc>
          <w:tcPr>
            <w:tcW w:w="4508" w:type="dxa"/>
          </w:tcPr>
          <w:p w14:paraId="3BECC27B" w14:textId="77777777" w:rsidR="007E6CA0" w:rsidRPr="00B87922" w:rsidRDefault="007E6CA0" w:rsidP="00150E96">
            <w:pPr>
              <w:rPr>
                <w:b/>
                <w:bCs/>
                <w:lang w:val="en-GB"/>
              </w:rPr>
            </w:pPr>
          </w:p>
        </w:tc>
      </w:tr>
      <w:tr w:rsidR="00503BCD" w:rsidRPr="00B64995" w14:paraId="5796B2BC" w14:textId="77777777" w:rsidTr="56438BC1">
        <w:tc>
          <w:tcPr>
            <w:tcW w:w="4508" w:type="dxa"/>
          </w:tcPr>
          <w:p w14:paraId="27C91DFC" w14:textId="398AC17E" w:rsidR="00503BCD" w:rsidRPr="00B87922" w:rsidRDefault="00503BCD" w:rsidP="00150E96">
            <w:pPr>
              <w:jc w:val="center"/>
              <w:rPr>
                <w:lang w:val="en-GB"/>
              </w:rPr>
            </w:pPr>
          </w:p>
        </w:tc>
        <w:tc>
          <w:tcPr>
            <w:tcW w:w="4508" w:type="dxa"/>
          </w:tcPr>
          <w:p w14:paraId="69901586" w14:textId="47518004" w:rsidR="00503BCD" w:rsidRPr="00B87922" w:rsidRDefault="00503BCD" w:rsidP="00150E96">
            <w:pPr>
              <w:jc w:val="center"/>
              <w:rPr>
                <w:lang w:val="en-GB"/>
              </w:rPr>
            </w:pPr>
          </w:p>
        </w:tc>
      </w:tr>
      <w:tr w:rsidR="00503BCD" w:rsidRPr="00B64995" w14:paraId="40F83080" w14:textId="77777777" w:rsidTr="56438BC1">
        <w:tc>
          <w:tcPr>
            <w:tcW w:w="4508" w:type="dxa"/>
          </w:tcPr>
          <w:p w14:paraId="4B53B634" w14:textId="77777777" w:rsidR="00503BCD" w:rsidRPr="00B87922" w:rsidRDefault="00503BCD" w:rsidP="00150E96">
            <w:pPr>
              <w:rPr>
                <w:b/>
                <w:bCs/>
                <w:lang w:val="en-GB"/>
              </w:rPr>
            </w:pPr>
          </w:p>
        </w:tc>
        <w:tc>
          <w:tcPr>
            <w:tcW w:w="4508" w:type="dxa"/>
          </w:tcPr>
          <w:p w14:paraId="6581D5E9" w14:textId="77777777" w:rsidR="00503BCD" w:rsidRPr="00B87922" w:rsidRDefault="00503BCD" w:rsidP="00150E96">
            <w:pPr>
              <w:rPr>
                <w:b/>
                <w:bCs/>
                <w:lang w:val="en-GB"/>
              </w:rPr>
            </w:pPr>
          </w:p>
        </w:tc>
      </w:tr>
      <w:tr w:rsidR="00503BCD" w:rsidRPr="00B64995" w14:paraId="1254E4D5" w14:textId="77777777" w:rsidTr="56438BC1">
        <w:tc>
          <w:tcPr>
            <w:tcW w:w="4508" w:type="dxa"/>
          </w:tcPr>
          <w:p w14:paraId="0C6964B6" w14:textId="72D606D8" w:rsidR="00503BCD" w:rsidRPr="00B87922" w:rsidRDefault="00503BCD" w:rsidP="00150E96">
            <w:pPr>
              <w:jc w:val="center"/>
              <w:rPr>
                <w:lang w:val="en-GB"/>
              </w:rPr>
            </w:pPr>
          </w:p>
        </w:tc>
        <w:tc>
          <w:tcPr>
            <w:tcW w:w="4508" w:type="dxa"/>
          </w:tcPr>
          <w:p w14:paraId="42495529" w14:textId="0B43B972" w:rsidR="00503BCD" w:rsidRPr="00B87922" w:rsidRDefault="00503BCD" w:rsidP="00150E96">
            <w:pPr>
              <w:jc w:val="center"/>
              <w:rPr>
                <w:lang w:val="en-GB"/>
              </w:rPr>
            </w:pPr>
          </w:p>
        </w:tc>
      </w:tr>
      <w:tr w:rsidR="00503BCD" w:rsidRPr="00B64995" w14:paraId="18D9C810" w14:textId="77777777" w:rsidTr="56438BC1">
        <w:tc>
          <w:tcPr>
            <w:tcW w:w="4508" w:type="dxa"/>
          </w:tcPr>
          <w:p w14:paraId="5DDB782C" w14:textId="77777777" w:rsidR="00503BCD" w:rsidRPr="00B87922" w:rsidRDefault="00503BCD" w:rsidP="00150E96">
            <w:pPr>
              <w:rPr>
                <w:b/>
                <w:bCs/>
                <w:lang w:val="en-GB"/>
              </w:rPr>
            </w:pPr>
          </w:p>
        </w:tc>
        <w:tc>
          <w:tcPr>
            <w:tcW w:w="4508" w:type="dxa"/>
          </w:tcPr>
          <w:p w14:paraId="479E240C" w14:textId="77777777" w:rsidR="00503BCD" w:rsidRPr="00B87922" w:rsidRDefault="00503BCD" w:rsidP="00150E96">
            <w:pPr>
              <w:rPr>
                <w:b/>
                <w:bCs/>
                <w:lang w:val="en-GB"/>
              </w:rPr>
            </w:pPr>
          </w:p>
        </w:tc>
      </w:tr>
    </w:tbl>
    <w:p w14:paraId="75DCD045" w14:textId="77777777" w:rsidR="00503BCD" w:rsidRPr="00B64995" w:rsidRDefault="00503BCD" w:rsidP="00503BCD"/>
    <w:p w14:paraId="0C426F2C" w14:textId="77777777" w:rsidR="00391B3D" w:rsidRPr="00B64995" w:rsidRDefault="00391B3D" w:rsidP="00503BCD">
      <w:pPr>
        <w:rPr>
          <w:b/>
          <w:bCs/>
        </w:rPr>
      </w:pPr>
      <w:r w:rsidRPr="00B64995">
        <w:rPr>
          <w:b/>
          <w:bCs/>
        </w:rPr>
        <w:br w:type="page"/>
      </w:r>
    </w:p>
    <w:p w14:paraId="332EEBB1" w14:textId="41AC5B96" w:rsidR="00503BCD" w:rsidRPr="00B64995" w:rsidRDefault="00503BCD" w:rsidP="00503BCD">
      <w:r w:rsidRPr="00B64995">
        <w:rPr>
          <w:b/>
          <w:bCs/>
        </w:rPr>
        <w:lastRenderedPageBreak/>
        <w:t>Objective D.2</w:t>
      </w:r>
      <w:r w:rsidRPr="00B64995">
        <w:t>: (Modern and secure telecommunication/ICT Infrastructure) Foster the development of infrastructure and services, including building confidence and security in the use of telecommunications/</w:t>
      </w:r>
      <w:proofErr w:type="gramStart"/>
      <w:r w:rsidRPr="00B64995">
        <w:t>ICTs</w:t>
      </w:r>
      <w:proofErr w:type="gramEnd"/>
    </w:p>
    <w:p w14:paraId="2A14AC42"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245AB60D" w14:textId="77777777" w:rsidTr="00C92451">
        <w:tc>
          <w:tcPr>
            <w:tcW w:w="9016" w:type="dxa"/>
            <w:shd w:val="clear" w:color="auto" w:fill="DCE5F4"/>
          </w:tcPr>
          <w:p w14:paraId="76213A56" w14:textId="77777777" w:rsidR="00503BCD" w:rsidRPr="00B87922" w:rsidRDefault="00503BCD" w:rsidP="0080338C">
            <w:pPr>
              <w:pStyle w:val="tabletext"/>
              <w:rPr>
                <w:lang w:val="en-GB"/>
              </w:rPr>
            </w:pPr>
            <w:r w:rsidRPr="00B64995">
              <w:t>D.2-a: Enhanced capacity of the ITU membership to make available resilient telecommunication/ICT infrastructure and services.</w:t>
            </w:r>
          </w:p>
          <w:p w14:paraId="73C7F7B1" w14:textId="77777777" w:rsidR="00503BCD" w:rsidRPr="00B87922" w:rsidRDefault="00503BCD" w:rsidP="0080338C">
            <w:pPr>
              <w:pStyle w:val="tabletext"/>
              <w:rPr>
                <w:lang w:val="en-GB"/>
              </w:rPr>
            </w:pPr>
            <w:r w:rsidRPr="00B64995">
              <w:t xml:space="preserve">D.2-b: Strengthened capacity of Member States to effectively share information, find solutions, and respond to threats to cybersecurity, and to develop and implement national strategies and capabilities, including capacity building, encourage national, </w:t>
            </w:r>
            <w:proofErr w:type="gramStart"/>
            <w:r w:rsidRPr="00B64995">
              <w:t>regional</w:t>
            </w:r>
            <w:proofErr w:type="gramEnd"/>
            <w:r w:rsidRPr="00B64995">
              <w:t xml:space="preserve"> and international cooperation towards enhanced engagement among Member States and relevant players.</w:t>
            </w:r>
          </w:p>
          <w:p w14:paraId="59762448" w14:textId="77777777" w:rsidR="00503BCD" w:rsidRPr="00B87922" w:rsidRDefault="00503BCD" w:rsidP="0080338C">
            <w:pPr>
              <w:pStyle w:val="tabletext"/>
              <w:rPr>
                <w:lang w:val="en-GB"/>
              </w:rPr>
            </w:pPr>
            <w:r w:rsidRPr="00B64995">
              <w:t>D.2-c: Strengthened capacity of Member States to use telecommunications/ICTs for disaster risk reduction and management, to ensure availability of emergency telecommunications, and support cooperation in this area.</w:t>
            </w:r>
          </w:p>
        </w:tc>
      </w:tr>
    </w:tbl>
    <w:p w14:paraId="4706C6AC" w14:textId="77777777" w:rsidR="00503BCD" w:rsidRPr="00B64995" w:rsidRDefault="00503BCD" w:rsidP="00A83DAA">
      <w:pPr>
        <w:pStyle w:val="Heading5"/>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6CA0" w:rsidRPr="00B64995" w14:paraId="24760D18" w14:textId="77777777" w:rsidTr="006E7150">
        <w:tc>
          <w:tcPr>
            <w:tcW w:w="4508" w:type="dxa"/>
          </w:tcPr>
          <w:p w14:paraId="7C9DB620" w14:textId="77777777" w:rsidR="007E6CA0" w:rsidRPr="00B87922" w:rsidRDefault="007E6CA0" w:rsidP="006E7150">
            <w:pPr>
              <w:rPr>
                <w:b/>
                <w:bCs/>
                <w:lang w:val="en-GB"/>
              </w:rPr>
            </w:pPr>
          </w:p>
        </w:tc>
        <w:tc>
          <w:tcPr>
            <w:tcW w:w="4508" w:type="dxa"/>
          </w:tcPr>
          <w:p w14:paraId="4960DFC9" w14:textId="77777777" w:rsidR="007E6CA0" w:rsidRPr="00B87922" w:rsidRDefault="007E6CA0" w:rsidP="006E7150">
            <w:pPr>
              <w:rPr>
                <w:b/>
                <w:bCs/>
                <w:lang w:val="en-GB"/>
              </w:rPr>
            </w:pPr>
          </w:p>
        </w:tc>
      </w:tr>
      <w:tr w:rsidR="007E6CA0" w:rsidRPr="00B64995" w14:paraId="16231589" w14:textId="77777777" w:rsidTr="006E7150">
        <w:tc>
          <w:tcPr>
            <w:tcW w:w="4508" w:type="dxa"/>
          </w:tcPr>
          <w:p w14:paraId="5FE11AD9" w14:textId="436CF479" w:rsidR="007E6CA0" w:rsidRPr="00B87922" w:rsidRDefault="007E6CA0" w:rsidP="006E7150">
            <w:pPr>
              <w:jc w:val="center"/>
              <w:rPr>
                <w:b/>
                <w:bCs/>
                <w:lang w:val="en-GB"/>
              </w:rPr>
            </w:pPr>
          </w:p>
        </w:tc>
        <w:tc>
          <w:tcPr>
            <w:tcW w:w="4508" w:type="dxa"/>
          </w:tcPr>
          <w:p w14:paraId="59CFDB76" w14:textId="45EBA963" w:rsidR="007E6CA0" w:rsidRPr="00B87922" w:rsidRDefault="007E6CA0" w:rsidP="006E7150">
            <w:pPr>
              <w:jc w:val="center"/>
              <w:rPr>
                <w:b/>
                <w:bCs/>
                <w:lang w:val="en-GB"/>
              </w:rPr>
            </w:pPr>
          </w:p>
        </w:tc>
      </w:tr>
      <w:tr w:rsidR="007E6CA0" w:rsidRPr="00B64995" w14:paraId="55EC0441" w14:textId="77777777" w:rsidTr="006E7150">
        <w:tc>
          <w:tcPr>
            <w:tcW w:w="4508" w:type="dxa"/>
          </w:tcPr>
          <w:p w14:paraId="5AFDF02D" w14:textId="77777777" w:rsidR="007E6CA0" w:rsidRPr="00B87922" w:rsidRDefault="007E6CA0" w:rsidP="006E7150">
            <w:pPr>
              <w:rPr>
                <w:b/>
                <w:bCs/>
                <w:lang w:val="en-GB"/>
              </w:rPr>
            </w:pPr>
          </w:p>
        </w:tc>
        <w:tc>
          <w:tcPr>
            <w:tcW w:w="4508" w:type="dxa"/>
          </w:tcPr>
          <w:p w14:paraId="5AF3CC28" w14:textId="77777777" w:rsidR="007E6CA0" w:rsidRPr="00B87922" w:rsidRDefault="007E6CA0" w:rsidP="006E7150">
            <w:pPr>
              <w:rPr>
                <w:b/>
                <w:bCs/>
                <w:lang w:val="en-GB"/>
              </w:rPr>
            </w:pPr>
          </w:p>
        </w:tc>
      </w:tr>
      <w:tr w:rsidR="007E6CA0" w:rsidRPr="00B64995" w14:paraId="7432A470" w14:textId="77777777" w:rsidTr="006E7150">
        <w:tc>
          <w:tcPr>
            <w:tcW w:w="4508" w:type="dxa"/>
          </w:tcPr>
          <w:p w14:paraId="5A6C16C4" w14:textId="7CCE1639" w:rsidR="007E6CA0" w:rsidRPr="00B87922" w:rsidRDefault="007E6CA0" w:rsidP="006E7150">
            <w:pPr>
              <w:jc w:val="center"/>
              <w:rPr>
                <w:b/>
                <w:bCs/>
                <w:lang w:val="en-GB"/>
              </w:rPr>
            </w:pPr>
          </w:p>
        </w:tc>
        <w:tc>
          <w:tcPr>
            <w:tcW w:w="4508" w:type="dxa"/>
          </w:tcPr>
          <w:p w14:paraId="7FB23F48" w14:textId="0937920E" w:rsidR="007E6CA0" w:rsidRPr="00B87922" w:rsidRDefault="007E6CA0" w:rsidP="006E7150">
            <w:pPr>
              <w:rPr>
                <w:b/>
                <w:bCs/>
                <w:lang w:val="en-GB"/>
              </w:rPr>
            </w:pPr>
          </w:p>
        </w:tc>
      </w:tr>
    </w:tbl>
    <w:p w14:paraId="187548FB" w14:textId="5633F1F1" w:rsidR="007E6CA0" w:rsidRPr="00B64995" w:rsidRDefault="007E6CA0" w:rsidP="00F230B7">
      <w:pPr>
        <w:spacing w:line="257" w:lineRule="auto"/>
        <w:rPr>
          <w:rFonts w:eastAsia="Calibri"/>
          <w:b/>
          <w:bCs/>
        </w:rPr>
      </w:pPr>
    </w:p>
    <w:p w14:paraId="21D592B4" w14:textId="33EAD49D" w:rsidR="007E6CA0" w:rsidRPr="00B64995" w:rsidRDefault="007E6CA0" w:rsidP="007E6CA0">
      <w:pPr>
        <w:spacing w:line="257" w:lineRule="auto"/>
        <w:jc w:val="center"/>
        <w:rPr>
          <w:rFonts w:eastAsia="Calibri"/>
          <w:b/>
          <w:bCs/>
        </w:rPr>
      </w:pPr>
    </w:p>
    <w:p w14:paraId="12BB8D68" w14:textId="52EB6759" w:rsidR="007E6CA0" w:rsidRPr="00B64995" w:rsidRDefault="007E6CA0" w:rsidP="007E6CA0">
      <w:pPr>
        <w:spacing w:line="257" w:lineRule="auto"/>
        <w:jc w:val="center"/>
        <w:rPr>
          <w:rFonts w:eastAsia="Calibri"/>
          <w:b/>
          <w:bCs/>
        </w:rPr>
      </w:pPr>
    </w:p>
    <w:p w14:paraId="76963C8C" w14:textId="77777777" w:rsidR="007E6CA0" w:rsidRPr="00B64995" w:rsidRDefault="007E6CA0" w:rsidP="00F230B7">
      <w:pPr>
        <w:spacing w:line="257" w:lineRule="auto"/>
        <w:rPr>
          <w:rFonts w:eastAsia="Calibri"/>
          <w:b/>
          <w:bCs/>
        </w:rPr>
      </w:pPr>
    </w:p>
    <w:p w14:paraId="08D09AE7" w14:textId="6ED38CBF" w:rsidR="007E6CA0" w:rsidRPr="00B64995" w:rsidRDefault="007E6CA0" w:rsidP="007E6CA0">
      <w:pPr>
        <w:spacing w:line="257" w:lineRule="auto"/>
      </w:pPr>
      <w:r w:rsidRPr="00B64995">
        <w:rPr>
          <w:rFonts w:eastAsia="Calibri"/>
          <w:b/>
          <w:bCs/>
        </w:rPr>
        <w:t xml:space="preserve">Network and </w:t>
      </w:r>
      <w:r w:rsidR="00A77292" w:rsidRPr="00B64995">
        <w:rPr>
          <w:rFonts w:eastAsia="Calibri"/>
          <w:b/>
          <w:bCs/>
        </w:rPr>
        <w:t>d</w:t>
      </w:r>
      <w:r w:rsidRPr="00B64995">
        <w:rPr>
          <w:rFonts w:eastAsia="Calibri"/>
          <w:b/>
          <w:bCs/>
        </w:rPr>
        <w:t xml:space="preserve">igital </w:t>
      </w:r>
      <w:r w:rsidR="00A77292" w:rsidRPr="00B64995">
        <w:rPr>
          <w:rFonts w:eastAsia="Calibri"/>
          <w:b/>
          <w:bCs/>
        </w:rPr>
        <w:t>i</w:t>
      </w:r>
      <w:r w:rsidRPr="00B64995">
        <w:rPr>
          <w:rFonts w:eastAsia="Calibri"/>
          <w:b/>
          <w:bCs/>
        </w:rPr>
        <w:t xml:space="preserve">nfrastructure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45D334DC" w14:textId="77777777" w:rsidR="007E6CA0" w:rsidRPr="00B64995" w:rsidRDefault="007E6CA0" w:rsidP="007E6CA0">
      <w:pPr>
        <w:spacing w:line="257" w:lineRule="auto"/>
        <w:rPr>
          <w:rFonts w:eastAsia="Calibri"/>
          <w:b/>
          <w:bCs/>
        </w:rPr>
      </w:pPr>
    </w:p>
    <w:p w14:paraId="529FA474" w14:textId="77777777" w:rsidR="007E6CA0" w:rsidRPr="00B64995" w:rsidRDefault="007E6CA0" w:rsidP="007E6CA0">
      <w:pPr>
        <w:spacing w:line="257" w:lineRule="auto"/>
      </w:pPr>
      <w:r w:rsidRPr="003C5E1A">
        <w:rPr>
          <w:noProof/>
        </w:rPr>
        <w:drawing>
          <wp:inline distT="0" distB="0" distL="0" distR="0" wp14:anchorId="175C211E" wp14:editId="446F4999">
            <wp:extent cx="5724524" cy="3209925"/>
            <wp:effectExtent l="0" t="0" r="0" b="0"/>
            <wp:docPr id="1324153720" name="Picture 132415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153720"/>
                    <pic:cNvPicPr/>
                  </pic:nvPicPr>
                  <pic:blipFill>
                    <a:blip r:embed="rId631">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14:paraId="5174C963" w14:textId="77777777" w:rsidR="007E6CA0" w:rsidRPr="00B64995" w:rsidRDefault="007E6CA0" w:rsidP="007E6CA0">
      <w:pPr>
        <w:spacing w:line="257" w:lineRule="auto"/>
        <w:rPr>
          <w:rFonts w:eastAsia="Calibri"/>
          <w:b/>
          <w:bCs/>
        </w:rPr>
      </w:pPr>
    </w:p>
    <w:p w14:paraId="085EAD3D" w14:textId="77777777" w:rsidR="007E6CA0" w:rsidRPr="00B64995" w:rsidRDefault="007E6CA0" w:rsidP="007E6CA0">
      <w:pPr>
        <w:spacing w:line="257" w:lineRule="auto"/>
        <w:rPr>
          <w:rFonts w:eastAsia="Calibri"/>
          <w:b/>
          <w:bCs/>
        </w:rPr>
      </w:pPr>
    </w:p>
    <w:p w14:paraId="3328C192" w14:textId="4CD2A74B" w:rsidR="007E6CA0" w:rsidRPr="00B64995" w:rsidRDefault="007E6CA0" w:rsidP="007E6CA0">
      <w:pPr>
        <w:spacing w:line="257" w:lineRule="auto"/>
      </w:pPr>
      <w:r w:rsidRPr="00B64995">
        <w:rPr>
          <w:rFonts w:eastAsia="Calibri"/>
          <w:b/>
          <w:bCs/>
        </w:rPr>
        <w:t xml:space="preserve">Cybersecurity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3D96D1A9" w14:textId="77777777" w:rsidR="007E6CA0" w:rsidRPr="00B64995" w:rsidRDefault="007E6CA0" w:rsidP="007E6CA0">
      <w:pPr>
        <w:spacing w:line="257" w:lineRule="auto"/>
      </w:pPr>
      <w:r w:rsidRPr="003C5E1A">
        <w:rPr>
          <w:noProof/>
        </w:rPr>
        <w:lastRenderedPageBreak/>
        <w:drawing>
          <wp:inline distT="0" distB="0" distL="0" distR="0" wp14:anchorId="7C675A48" wp14:editId="23FF64FC">
            <wp:extent cx="5724524" cy="3209925"/>
            <wp:effectExtent l="0" t="0" r="0" b="0"/>
            <wp:docPr id="2033068108" name="Picture 203306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068108"/>
                    <pic:cNvPicPr/>
                  </pic:nvPicPr>
                  <pic:blipFill>
                    <a:blip r:embed="rId632">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14:paraId="5DF60F25" w14:textId="77777777" w:rsidR="007E6CA0" w:rsidRPr="00B64995" w:rsidRDefault="007E6CA0" w:rsidP="007E6CA0">
      <w:pPr>
        <w:spacing w:line="257" w:lineRule="auto"/>
      </w:pPr>
      <w:r w:rsidRPr="00B64995">
        <w:rPr>
          <w:rFonts w:eastAsia="Calibri"/>
        </w:rPr>
        <w:t>Note: Cybersecurity results above will be updated in the second quarter of 2021.</w:t>
      </w:r>
    </w:p>
    <w:p w14:paraId="43AFD49C" w14:textId="77777777" w:rsidR="007E6CA0" w:rsidRPr="00B64995" w:rsidRDefault="007E6CA0" w:rsidP="007E6CA0">
      <w:pPr>
        <w:spacing w:line="257" w:lineRule="auto"/>
      </w:pPr>
    </w:p>
    <w:p w14:paraId="4B7C3A2A" w14:textId="77777777" w:rsidR="007E6CA0" w:rsidRPr="00B64995" w:rsidRDefault="007E6CA0" w:rsidP="007E6CA0">
      <w:pPr>
        <w:rPr>
          <w:b/>
          <w:bCs/>
        </w:rPr>
      </w:pPr>
    </w:p>
    <w:p w14:paraId="77D040C2" w14:textId="6F3541F1" w:rsidR="007E6CA0" w:rsidRPr="00B64995" w:rsidRDefault="007E6CA0" w:rsidP="007E6CA0">
      <w:pPr>
        <w:spacing w:line="257" w:lineRule="auto"/>
      </w:pPr>
      <w:r w:rsidRPr="00B64995">
        <w:rPr>
          <w:rFonts w:eastAsia="Calibri"/>
          <w:b/>
          <w:bCs/>
        </w:rPr>
        <w:t xml:space="preserve">Emergency </w:t>
      </w:r>
      <w:r w:rsidR="00A77292" w:rsidRPr="00B64995">
        <w:rPr>
          <w:rFonts w:eastAsia="Calibri"/>
          <w:b/>
          <w:bCs/>
        </w:rPr>
        <w:t>t</w:t>
      </w:r>
      <w:r w:rsidRPr="00B64995">
        <w:rPr>
          <w:rFonts w:eastAsia="Calibri"/>
          <w:b/>
          <w:bCs/>
        </w:rPr>
        <w:t xml:space="preserve">elecommunications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0B515B13" w14:textId="77777777" w:rsidR="007E6CA0" w:rsidRPr="00B64995" w:rsidRDefault="007E6CA0" w:rsidP="007E6CA0">
      <w:pPr>
        <w:spacing w:line="257" w:lineRule="auto"/>
      </w:pPr>
      <w:r w:rsidRPr="003C5E1A">
        <w:rPr>
          <w:noProof/>
        </w:rPr>
        <w:drawing>
          <wp:inline distT="0" distB="0" distL="0" distR="0" wp14:anchorId="17D1CF85" wp14:editId="6712EF17">
            <wp:extent cx="5724524" cy="1581150"/>
            <wp:effectExtent l="0" t="0" r="0" b="0"/>
            <wp:docPr id="365808713" name="Picture 36580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08713"/>
                    <pic:cNvPicPr/>
                  </pic:nvPicPr>
                  <pic:blipFill>
                    <a:blip r:embed="rId633">
                      <a:extLst>
                        <a:ext uri="{28A0092B-C50C-407E-A947-70E740481C1C}">
                          <a14:useLocalDpi xmlns:a14="http://schemas.microsoft.com/office/drawing/2010/main" val="0"/>
                        </a:ext>
                      </a:extLst>
                    </a:blip>
                    <a:stretch>
                      <a:fillRect/>
                    </a:stretch>
                  </pic:blipFill>
                  <pic:spPr>
                    <a:xfrm>
                      <a:off x="0" y="0"/>
                      <a:ext cx="5724524" cy="1581150"/>
                    </a:xfrm>
                    <a:prstGeom prst="rect">
                      <a:avLst/>
                    </a:prstGeom>
                  </pic:spPr>
                </pic:pic>
              </a:graphicData>
            </a:graphic>
          </wp:inline>
        </w:drawing>
      </w:r>
    </w:p>
    <w:p w14:paraId="4B1FA079" w14:textId="77777777" w:rsidR="007E6CA0" w:rsidRPr="00B64995" w:rsidRDefault="007E6CA0" w:rsidP="007E6CA0">
      <w:pPr>
        <w:jc w:val="center"/>
      </w:pPr>
    </w:p>
    <w:p w14:paraId="66615CDB" w14:textId="77777777" w:rsidR="0099728D" w:rsidRPr="00B64995" w:rsidRDefault="0099728D" w:rsidP="00503BCD"/>
    <w:p w14:paraId="68ADBEBD" w14:textId="77777777" w:rsidR="00503BCD" w:rsidRPr="00B64995" w:rsidRDefault="00503BCD" w:rsidP="00503BCD">
      <w:r w:rsidRPr="00B64995">
        <w:rPr>
          <w:b/>
          <w:bCs/>
        </w:rPr>
        <w:t>Objective D.3</w:t>
      </w:r>
      <w:r w:rsidRPr="00B64995">
        <w:t xml:space="preserve">: (Enabling Environment) Foster an enabling policy and regulatory environment conducive to sustainable telecommunication/ICT </w:t>
      </w:r>
      <w:proofErr w:type="gramStart"/>
      <w:r w:rsidRPr="00B64995">
        <w:t>development</w:t>
      </w:r>
      <w:proofErr w:type="gramEnd"/>
    </w:p>
    <w:p w14:paraId="6C7B4E25" w14:textId="77777777" w:rsidR="00503BCD" w:rsidRPr="00B64995" w:rsidRDefault="00503BCD" w:rsidP="00503BCD">
      <w:pPr>
        <w:jc w:val="both"/>
        <w:rPr>
          <w:b/>
          <w:bCs/>
        </w:rPr>
      </w:pPr>
    </w:p>
    <w:p w14:paraId="5171DA73"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08ECC71D" w14:textId="77777777" w:rsidTr="00C92451">
        <w:tc>
          <w:tcPr>
            <w:tcW w:w="9016" w:type="dxa"/>
            <w:shd w:val="clear" w:color="auto" w:fill="DCE5F4"/>
          </w:tcPr>
          <w:p w14:paraId="17D6551B" w14:textId="77777777" w:rsidR="00503BCD" w:rsidRPr="00B87922" w:rsidRDefault="00503BCD" w:rsidP="0080338C">
            <w:pPr>
              <w:pStyle w:val="tabletext"/>
              <w:rPr>
                <w:lang w:val="en-GB"/>
              </w:rPr>
            </w:pPr>
            <w:r w:rsidRPr="00B64995">
              <w:t>D.3-a: Strengthened capacity of Member States to enhance their policy, legal and regulatory frameworks conducive to development of telecommunications/ICTs.</w:t>
            </w:r>
          </w:p>
          <w:p w14:paraId="148BB2CB" w14:textId="77777777" w:rsidR="00503BCD" w:rsidRPr="00B87922" w:rsidRDefault="00503BCD" w:rsidP="0080338C">
            <w:pPr>
              <w:pStyle w:val="tabletext"/>
              <w:rPr>
                <w:lang w:val="en-GB"/>
              </w:rPr>
            </w:pPr>
            <w:r w:rsidRPr="00B64995">
              <w:t>D.3-b: Strengthened capacity of Member States to produce high-quality, internationally comparable telecommunication/ICT statistics which reflect developments and trends in telecommunications/ICTs, based on agreed standards and methodologies.</w:t>
            </w:r>
          </w:p>
          <w:p w14:paraId="4E56E23F" w14:textId="77777777" w:rsidR="00503BCD" w:rsidRPr="00B87922" w:rsidRDefault="00503BCD" w:rsidP="0080338C">
            <w:pPr>
              <w:pStyle w:val="tabletext"/>
              <w:rPr>
                <w:lang w:val="en-GB"/>
              </w:rPr>
            </w:pPr>
            <w:r w:rsidRPr="00B64995">
              <w:t>D.3-c: Improved human and institutional capacity of the ITU membership to tap into the full potential of telecommunications/ICTs.</w:t>
            </w:r>
          </w:p>
          <w:p w14:paraId="7632762E" w14:textId="77777777" w:rsidR="00503BCD" w:rsidRPr="00B87922" w:rsidRDefault="00503BCD" w:rsidP="0080338C">
            <w:pPr>
              <w:pStyle w:val="tabletext"/>
              <w:rPr>
                <w:lang w:val="en-GB"/>
              </w:rPr>
            </w:pPr>
            <w:r w:rsidRPr="00B64995">
              <w:t>D.3-d: Strengthened capacity of the ITU membership to integrate telecommunication/ICT innovation and digitalization in national development agendas and to develop strategies to promote innovation initiatives, including through public, private, and public-private partnerships.</w:t>
            </w:r>
          </w:p>
        </w:tc>
      </w:tr>
    </w:tbl>
    <w:p w14:paraId="044841BC" w14:textId="77777777" w:rsidR="00A579C3" w:rsidRPr="00B64995" w:rsidRDefault="00A579C3" w:rsidP="00503BCD">
      <w:pPr>
        <w:rPr>
          <w:b/>
          <w:bCs/>
        </w:rPr>
      </w:pPr>
    </w:p>
    <w:p w14:paraId="553C145F" w14:textId="2D6F55EA" w:rsidR="00391B3D" w:rsidRPr="00B64995" w:rsidRDefault="00391B3D" w:rsidP="00391B3D"/>
    <w:p w14:paraId="7E9F5582" w14:textId="4E2AA656" w:rsidR="00503BCD" w:rsidRPr="00B64995" w:rsidRDefault="00503BCD" w:rsidP="00A83DAA">
      <w:pPr>
        <w:pStyle w:val="Heading5"/>
      </w:pPr>
      <w:r w:rsidRPr="00B64995">
        <w:lastRenderedPageBreak/>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E6CA0" w:rsidRPr="00B64995" w14:paraId="76934DF6" w14:textId="77777777" w:rsidTr="006E7150">
        <w:tc>
          <w:tcPr>
            <w:tcW w:w="4508" w:type="dxa"/>
          </w:tcPr>
          <w:p w14:paraId="2BAB9B70" w14:textId="77777777" w:rsidR="007E6CA0" w:rsidRPr="00B87922" w:rsidRDefault="007E6CA0" w:rsidP="006E7150">
            <w:pPr>
              <w:rPr>
                <w:b/>
                <w:bCs/>
                <w:lang w:val="en-GB"/>
              </w:rPr>
            </w:pPr>
          </w:p>
        </w:tc>
        <w:tc>
          <w:tcPr>
            <w:tcW w:w="4508" w:type="dxa"/>
          </w:tcPr>
          <w:p w14:paraId="7176D341" w14:textId="77777777" w:rsidR="007E6CA0" w:rsidRPr="00B87922" w:rsidRDefault="007E6CA0" w:rsidP="006E7150">
            <w:pPr>
              <w:rPr>
                <w:b/>
                <w:bCs/>
                <w:lang w:val="en-GB"/>
              </w:rPr>
            </w:pPr>
          </w:p>
        </w:tc>
      </w:tr>
      <w:tr w:rsidR="007E6CA0" w:rsidRPr="00B64995" w14:paraId="20B8A17E" w14:textId="77777777" w:rsidTr="006E7150">
        <w:tc>
          <w:tcPr>
            <w:tcW w:w="4508" w:type="dxa"/>
          </w:tcPr>
          <w:p w14:paraId="0C22BF32" w14:textId="692F9B48" w:rsidR="007E6CA0" w:rsidRPr="00B87922" w:rsidRDefault="007E6CA0" w:rsidP="006E7150">
            <w:pPr>
              <w:jc w:val="center"/>
              <w:rPr>
                <w:b/>
                <w:bCs/>
                <w:lang w:val="en-GB"/>
              </w:rPr>
            </w:pPr>
          </w:p>
        </w:tc>
        <w:tc>
          <w:tcPr>
            <w:tcW w:w="4508" w:type="dxa"/>
          </w:tcPr>
          <w:p w14:paraId="2C0D9923" w14:textId="6265062D" w:rsidR="007E6CA0" w:rsidRPr="00B87922" w:rsidRDefault="007E6CA0" w:rsidP="006E7150">
            <w:pPr>
              <w:jc w:val="center"/>
              <w:rPr>
                <w:b/>
                <w:bCs/>
                <w:lang w:val="en-GB"/>
              </w:rPr>
            </w:pPr>
          </w:p>
        </w:tc>
      </w:tr>
      <w:tr w:rsidR="007E6CA0" w:rsidRPr="00B64995" w14:paraId="626B1EBA" w14:textId="77777777" w:rsidTr="006E7150">
        <w:tc>
          <w:tcPr>
            <w:tcW w:w="4508" w:type="dxa"/>
          </w:tcPr>
          <w:p w14:paraId="66182714" w14:textId="77777777" w:rsidR="007E6CA0" w:rsidRPr="00B87922" w:rsidRDefault="007E6CA0" w:rsidP="006E7150">
            <w:pPr>
              <w:rPr>
                <w:b/>
                <w:bCs/>
                <w:lang w:val="en-GB"/>
              </w:rPr>
            </w:pPr>
          </w:p>
        </w:tc>
        <w:tc>
          <w:tcPr>
            <w:tcW w:w="4508" w:type="dxa"/>
          </w:tcPr>
          <w:p w14:paraId="47A00EF8" w14:textId="77777777" w:rsidR="007E6CA0" w:rsidRPr="00B87922" w:rsidRDefault="007E6CA0" w:rsidP="006E7150">
            <w:pPr>
              <w:rPr>
                <w:b/>
                <w:bCs/>
                <w:lang w:val="en-GB"/>
              </w:rPr>
            </w:pPr>
          </w:p>
        </w:tc>
      </w:tr>
      <w:tr w:rsidR="007E6CA0" w:rsidRPr="00B64995" w14:paraId="5598823F" w14:textId="77777777" w:rsidTr="006E7150">
        <w:tc>
          <w:tcPr>
            <w:tcW w:w="4508" w:type="dxa"/>
          </w:tcPr>
          <w:p w14:paraId="4286AF38" w14:textId="58AAD133" w:rsidR="007E6CA0" w:rsidRPr="00B87922" w:rsidRDefault="007E6CA0" w:rsidP="006E7150">
            <w:pPr>
              <w:jc w:val="center"/>
              <w:rPr>
                <w:b/>
                <w:bCs/>
                <w:lang w:val="en-GB"/>
              </w:rPr>
            </w:pPr>
          </w:p>
        </w:tc>
        <w:tc>
          <w:tcPr>
            <w:tcW w:w="4508" w:type="dxa"/>
          </w:tcPr>
          <w:p w14:paraId="43FCD587" w14:textId="2C287E1A" w:rsidR="007E6CA0" w:rsidRPr="00B87922" w:rsidRDefault="007E6CA0" w:rsidP="006E7150">
            <w:pPr>
              <w:rPr>
                <w:b/>
                <w:bCs/>
                <w:lang w:val="en-GB"/>
              </w:rPr>
            </w:pPr>
          </w:p>
        </w:tc>
      </w:tr>
      <w:tr w:rsidR="007E6CA0" w:rsidRPr="00B64995" w14:paraId="7FB5CA78" w14:textId="77777777" w:rsidTr="006E7150">
        <w:tc>
          <w:tcPr>
            <w:tcW w:w="4508" w:type="dxa"/>
          </w:tcPr>
          <w:p w14:paraId="56C97B6F" w14:textId="77777777" w:rsidR="007E6CA0" w:rsidRPr="00B87922" w:rsidRDefault="007E6CA0" w:rsidP="006E7150">
            <w:pPr>
              <w:rPr>
                <w:b/>
                <w:bCs/>
                <w:lang w:val="en-GB"/>
              </w:rPr>
            </w:pPr>
          </w:p>
        </w:tc>
        <w:tc>
          <w:tcPr>
            <w:tcW w:w="4508" w:type="dxa"/>
          </w:tcPr>
          <w:p w14:paraId="0A913548" w14:textId="77777777" w:rsidR="007E6CA0" w:rsidRPr="00B87922" w:rsidRDefault="007E6CA0" w:rsidP="006E7150">
            <w:pPr>
              <w:rPr>
                <w:b/>
                <w:bCs/>
                <w:lang w:val="en-GB"/>
              </w:rPr>
            </w:pPr>
          </w:p>
        </w:tc>
      </w:tr>
      <w:tr w:rsidR="007E6CA0" w:rsidRPr="00B64995" w14:paraId="124804E1" w14:textId="77777777" w:rsidTr="006E7150">
        <w:tc>
          <w:tcPr>
            <w:tcW w:w="4508" w:type="dxa"/>
          </w:tcPr>
          <w:p w14:paraId="7C254A16" w14:textId="287A667E" w:rsidR="007E6CA0" w:rsidRPr="00B87922" w:rsidRDefault="007E6CA0" w:rsidP="006E7150">
            <w:pPr>
              <w:jc w:val="center"/>
              <w:rPr>
                <w:b/>
                <w:bCs/>
                <w:lang w:val="en-GB"/>
              </w:rPr>
            </w:pPr>
          </w:p>
        </w:tc>
        <w:tc>
          <w:tcPr>
            <w:tcW w:w="4508" w:type="dxa"/>
          </w:tcPr>
          <w:p w14:paraId="3D982ECB" w14:textId="77777777" w:rsidR="007E6CA0" w:rsidRPr="00B87922" w:rsidRDefault="007E6CA0" w:rsidP="006E7150">
            <w:pPr>
              <w:rPr>
                <w:b/>
                <w:bCs/>
                <w:lang w:val="en-GB"/>
              </w:rPr>
            </w:pPr>
          </w:p>
        </w:tc>
      </w:tr>
      <w:tr w:rsidR="007E6CA0" w:rsidRPr="00B64995" w14:paraId="6BBB2EBF" w14:textId="77777777" w:rsidTr="006E7150">
        <w:tc>
          <w:tcPr>
            <w:tcW w:w="4508" w:type="dxa"/>
          </w:tcPr>
          <w:p w14:paraId="6FEFEB20" w14:textId="77777777" w:rsidR="007E6CA0" w:rsidRPr="00B87922" w:rsidRDefault="007E6CA0" w:rsidP="006E7150">
            <w:pPr>
              <w:rPr>
                <w:b/>
                <w:bCs/>
                <w:lang w:val="en-GB"/>
              </w:rPr>
            </w:pPr>
          </w:p>
        </w:tc>
        <w:tc>
          <w:tcPr>
            <w:tcW w:w="4508" w:type="dxa"/>
          </w:tcPr>
          <w:p w14:paraId="621C1E16" w14:textId="77777777" w:rsidR="007E6CA0" w:rsidRPr="00B87922" w:rsidRDefault="007E6CA0" w:rsidP="006E7150">
            <w:pPr>
              <w:rPr>
                <w:b/>
                <w:bCs/>
                <w:lang w:val="en-GB"/>
              </w:rPr>
            </w:pPr>
          </w:p>
        </w:tc>
      </w:tr>
      <w:tr w:rsidR="007E6CA0" w:rsidRPr="00B64995" w14:paraId="4F8BDD40" w14:textId="77777777" w:rsidTr="006E7150">
        <w:tc>
          <w:tcPr>
            <w:tcW w:w="4508" w:type="dxa"/>
          </w:tcPr>
          <w:p w14:paraId="06FD3FCA" w14:textId="77777777" w:rsidR="007E6CA0" w:rsidRPr="00B87922" w:rsidRDefault="007E6CA0" w:rsidP="006E7150">
            <w:pPr>
              <w:rPr>
                <w:b/>
                <w:bCs/>
                <w:lang w:val="en-GB"/>
              </w:rPr>
            </w:pPr>
          </w:p>
        </w:tc>
        <w:tc>
          <w:tcPr>
            <w:tcW w:w="4508" w:type="dxa"/>
          </w:tcPr>
          <w:p w14:paraId="3C84D929" w14:textId="77777777" w:rsidR="007E6CA0" w:rsidRPr="00B87922" w:rsidRDefault="007E6CA0" w:rsidP="006E7150">
            <w:pPr>
              <w:rPr>
                <w:b/>
                <w:bCs/>
                <w:lang w:val="en-GB"/>
              </w:rPr>
            </w:pPr>
          </w:p>
        </w:tc>
      </w:tr>
    </w:tbl>
    <w:p w14:paraId="72AEA752" w14:textId="5516EF22" w:rsidR="009F650F" w:rsidRPr="00B64995" w:rsidRDefault="009F650F" w:rsidP="009F650F">
      <w:pPr>
        <w:rPr>
          <w:b/>
          <w:bCs/>
        </w:rPr>
      </w:pPr>
    </w:p>
    <w:p w14:paraId="6BE0D72C" w14:textId="77777777" w:rsidR="007E6CA0" w:rsidRPr="00B64995" w:rsidRDefault="007E6CA0" w:rsidP="009F650F">
      <w:pPr>
        <w:rPr>
          <w:b/>
          <w:bCs/>
        </w:rPr>
      </w:pPr>
    </w:p>
    <w:p w14:paraId="2772F332" w14:textId="54591AD6" w:rsidR="007E6CA0" w:rsidRPr="00B64995" w:rsidRDefault="007E6CA0" w:rsidP="007E6CA0">
      <w:pPr>
        <w:spacing w:line="257" w:lineRule="auto"/>
      </w:pPr>
      <w:r w:rsidRPr="00B64995">
        <w:rPr>
          <w:rFonts w:eastAsia="Calibri"/>
          <w:b/>
          <w:bCs/>
        </w:rPr>
        <w:t xml:space="preserve">Policy and </w:t>
      </w:r>
      <w:r w:rsidR="00A77292" w:rsidRPr="00B64995">
        <w:rPr>
          <w:rFonts w:eastAsia="Calibri"/>
          <w:b/>
          <w:bCs/>
        </w:rPr>
        <w:t>r</w:t>
      </w:r>
      <w:r w:rsidRPr="00B64995">
        <w:rPr>
          <w:rFonts w:eastAsia="Calibri"/>
          <w:b/>
          <w:bCs/>
        </w:rPr>
        <w:t xml:space="preserve">egulation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7FE88AFE" w14:textId="77777777" w:rsidR="007E6CA0" w:rsidRPr="00B64995" w:rsidRDefault="007E6CA0" w:rsidP="007E6CA0">
      <w:pPr>
        <w:spacing w:line="257" w:lineRule="auto"/>
      </w:pPr>
      <w:r w:rsidRPr="003C5E1A">
        <w:rPr>
          <w:noProof/>
        </w:rPr>
        <w:drawing>
          <wp:inline distT="0" distB="0" distL="0" distR="0" wp14:anchorId="7CEBBF8E" wp14:editId="7B20A64A">
            <wp:extent cx="5724524" cy="1790700"/>
            <wp:effectExtent l="0" t="0" r="0" b="0"/>
            <wp:docPr id="596731683" name="Picture 59673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731683"/>
                    <pic:cNvPicPr/>
                  </pic:nvPicPr>
                  <pic:blipFill>
                    <a:blip r:embed="rId634">
                      <a:extLst>
                        <a:ext uri="{28A0092B-C50C-407E-A947-70E740481C1C}">
                          <a14:useLocalDpi xmlns:a14="http://schemas.microsoft.com/office/drawing/2010/main" val="0"/>
                        </a:ext>
                      </a:extLst>
                    </a:blip>
                    <a:stretch>
                      <a:fillRect/>
                    </a:stretch>
                  </pic:blipFill>
                  <pic:spPr>
                    <a:xfrm>
                      <a:off x="0" y="0"/>
                      <a:ext cx="5724524" cy="1790700"/>
                    </a:xfrm>
                    <a:prstGeom prst="rect">
                      <a:avLst/>
                    </a:prstGeom>
                  </pic:spPr>
                </pic:pic>
              </a:graphicData>
            </a:graphic>
          </wp:inline>
        </w:drawing>
      </w:r>
    </w:p>
    <w:p w14:paraId="17293D91" w14:textId="77777777" w:rsidR="007E6CA0" w:rsidRPr="00B64995" w:rsidRDefault="007E6CA0" w:rsidP="007E6CA0"/>
    <w:p w14:paraId="242BB0EE" w14:textId="11A85ED3" w:rsidR="007E6CA0" w:rsidRPr="00B64995" w:rsidRDefault="007E6CA0" w:rsidP="007E6CA0">
      <w:pPr>
        <w:spacing w:line="257" w:lineRule="auto"/>
        <w:rPr>
          <w:rFonts w:eastAsia="Calibri"/>
          <w:b/>
        </w:rPr>
      </w:pPr>
      <w:r w:rsidRPr="00B64995">
        <w:rPr>
          <w:rFonts w:eastAsia="Calibri"/>
          <w:b/>
          <w:bCs/>
        </w:rPr>
        <w:t xml:space="preserve">Statistics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3B2F585A" w14:textId="77777777" w:rsidR="007E6CA0" w:rsidRPr="00B64995" w:rsidRDefault="007E6CA0" w:rsidP="007E6CA0">
      <w:pPr>
        <w:spacing w:line="257" w:lineRule="auto"/>
      </w:pPr>
      <w:r w:rsidRPr="003C5E1A">
        <w:rPr>
          <w:noProof/>
        </w:rPr>
        <w:drawing>
          <wp:inline distT="0" distB="0" distL="0" distR="0" wp14:anchorId="2E9860E4" wp14:editId="26C9D5FC">
            <wp:extent cx="5724524" cy="3419475"/>
            <wp:effectExtent l="0" t="0" r="0" b="0"/>
            <wp:docPr id="1716486266" name="Picture 171648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486266"/>
                    <pic:cNvPicPr/>
                  </pic:nvPicPr>
                  <pic:blipFill>
                    <a:blip r:embed="rId635">
                      <a:extLst>
                        <a:ext uri="{28A0092B-C50C-407E-A947-70E740481C1C}">
                          <a14:useLocalDpi xmlns:a14="http://schemas.microsoft.com/office/drawing/2010/main" val="0"/>
                        </a:ext>
                      </a:extLst>
                    </a:blip>
                    <a:stretch>
                      <a:fillRect/>
                    </a:stretch>
                  </pic:blipFill>
                  <pic:spPr>
                    <a:xfrm>
                      <a:off x="0" y="0"/>
                      <a:ext cx="5724524" cy="3419475"/>
                    </a:xfrm>
                    <a:prstGeom prst="rect">
                      <a:avLst/>
                    </a:prstGeom>
                  </pic:spPr>
                </pic:pic>
              </a:graphicData>
            </a:graphic>
          </wp:inline>
        </w:drawing>
      </w:r>
    </w:p>
    <w:p w14:paraId="225D4FE3" w14:textId="77777777" w:rsidR="007E6CA0" w:rsidRPr="00B64995" w:rsidRDefault="007E6CA0" w:rsidP="007E6CA0">
      <w:pPr>
        <w:spacing w:line="257" w:lineRule="auto"/>
        <w:rPr>
          <w:rFonts w:eastAsia="Calibri"/>
          <w:b/>
          <w:bCs/>
        </w:rPr>
      </w:pPr>
    </w:p>
    <w:p w14:paraId="70CE6D1C" w14:textId="77777777" w:rsidR="007E6CA0" w:rsidRPr="00B64995" w:rsidRDefault="007E6CA0" w:rsidP="007E6CA0">
      <w:pPr>
        <w:spacing w:line="257" w:lineRule="auto"/>
      </w:pPr>
    </w:p>
    <w:p w14:paraId="3A3CCD79" w14:textId="77777777" w:rsidR="007E6CA0" w:rsidRPr="00B64995" w:rsidRDefault="007E6CA0" w:rsidP="007E6CA0"/>
    <w:p w14:paraId="49A37000" w14:textId="77777777" w:rsidR="007E6CA0" w:rsidRPr="00B64995" w:rsidRDefault="007E6CA0" w:rsidP="007E6CA0">
      <w:pPr>
        <w:rPr>
          <w:b/>
          <w:bCs/>
        </w:rPr>
      </w:pPr>
    </w:p>
    <w:p w14:paraId="1E0C900F" w14:textId="77777777" w:rsidR="007E6CA0" w:rsidRPr="00B64995" w:rsidRDefault="007E6CA0" w:rsidP="007E6CA0">
      <w:pPr>
        <w:rPr>
          <w:b/>
          <w:bCs/>
        </w:rPr>
      </w:pPr>
    </w:p>
    <w:p w14:paraId="62FF640B" w14:textId="77777777" w:rsidR="007E6CA0" w:rsidRPr="00B64995" w:rsidRDefault="007E6CA0" w:rsidP="007E6CA0">
      <w:pPr>
        <w:rPr>
          <w:b/>
          <w:bCs/>
        </w:rPr>
      </w:pPr>
    </w:p>
    <w:p w14:paraId="7AADD69B" w14:textId="52DD3022" w:rsidR="007E6CA0" w:rsidRPr="00B64995" w:rsidRDefault="007E6CA0" w:rsidP="007E6CA0">
      <w:pPr>
        <w:spacing w:line="257" w:lineRule="auto"/>
      </w:pPr>
      <w:r w:rsidRPr="00B64995">
        <w:rPr>
          <w:rFonts w:eastAsia="Calibri"/>
          <w:b/>
          <w:bCs/>
        </w:rPr>
        <w:t xml:space="preserve">Capacity </w:t>
      </w:r>
      <w:r w:rsidR="00A77292" w:rsidRPr="00B64995">
        <w:rPr>
          <w:rFonts w:eastAsia="Calibri"/>
          <w:b/>
          <w:bCs/>
        </w:rPr>
        <w:t>d</w:t>
      </w:r>
      <w:r w:rsidRPr="00B64995">
        <w:rPr>
          <w:rFonts w:eastAsia="Calibri"/>
          <w:b/>
          <w:bCs/>
        </w:rPr>
        <w:t xml:space="preserve">evelopment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7A0EE5A0" w14:textId="0A8C6172" w:rsidR="007E6CA0" w:rsidRPr="00B64995" w:rsidRDefault="007E6CA0" w:rsidP="007E6CA0">
      <w:pPr>
        <w:spacing w:line="257" w:lineRule="auto"/>
      </w:pPr>
    </w:p>
    <w:p w14:paraId="288C2BEE" w14:textId="77777777" w:rsidR="007E6CA0" w:rsidRPr="00B64995" w:rsidRDefault="007E6CA0" w:rsidP="007E6CA0">
      <w:pPr>
        <w:spacing w:line="257" w:lineRule="auto"/>
      </w:pPr>
      <w:r w:rsidRPr="003C5E1A">
        <w:rPr>
          <w:noProof/>
        </w:rPr>
        <w:drawing>
          <wp:inline distT="0" distB="0" distL="0" distR="0" wp14:anchorId="4947E333" wp14:editId="65E3E6FA">
            <wp:extent cx="5724524" cy="1657373"/>
            <wp:effectExtent l="0" t="0" r="0" b="0"/>
            <wp:docPr id="1820415020" name="Picture 182041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415020"/>
                    <pic:cNvPicPr/>
                  </pic:nvPicPr>
                  <pic:blipFill>
                    <a:blip r:embed="rId636">
                      <a:extLst>
                        <a:ext uri="{28A0092B-C50C-407E-A947-70E740481C1C}">
                          <a14:useLocalDpi xmlns:a14="http://schemas.microsoft.com/office/drawing/2010/main" val="0"/>
                        </a:ext>
                      </a:extLst>
                    </a:blip>
                    <a:srcRect b="48520"/>
                    <a:stretch>
                      <a:fillRect/>
                    </a:stretch>
                  </pic:blipFill>
                  <pic:spPr>
                    <a:xfrm>
                      <a:off x="0" y="0"/>
                      <a:ext cx="5724524" cy="1657373"/>
                    </a:xfrm>
                    <a:prstGeom prst="rect">
                      <a:avLst/>
                    </a:prstGeom>
                  </pic:spPr>
                </pic:pic>
              </a:graphicData>
            </a:graphic>
          </wp:inline>
        </w:drawing>
      </w:r>
    </w:p>
    <w:p w14:paraId="247E063B" w14:textId="77777777" w:rsidR="007E6CA0" w:rsidRPr="00B64995" w:rsidRDefault="007E6CA0" w:rsidP="007E6CA0">
      <w:pPr>
        <w:rPr>
          <w:b/>
          <w:bCs/>
        </w:rPr>
      </w:pPr>
    </w:p>
    <w:p w14:paraId="11C1C4D3" w14:textId="77777777" w:rsidR="007E6CA0" w:rsidRPr="00B64995" w:rsidRDefault="007E6CA0" w:rsidP="007E6CA0"/>
    <w:p w14:paraId="51A89FC1" w14:textId="77777777" w:rsidR="007E6CA0" w:rsidRPr="00B64995" w:rsidRDefault="007E6CA0" w:rsidP="007E6CA0"/>
    <w:p w14:paraId="4D05856E" w14:textId="77777777" w:rsidR="007E6CA0" w:rsidRPr="00B64995" w:rsidRDefault="007E6CA0" w:rsidP="007E6CA0"/>
    <w:p w14:paraId="67DCB064" w14:textId="6CC9C602" w:rsidR="007E6CA0" w:rsidRPr="00B64995" w:rsidRDefault="007E6CA0" w:rsidP="007E6CA0">
      <w:pPr>
        <w:spacing w:line="257" w:lineRule="auto"/>
      </w:pPr>
      <w:r w:rsidRPr="00B64995">
        <w:rPr>
          <w:rFonts w:eastAsia="Calibri"/>
          <w:b/>
          <w:bCs/>
        </w:rPr>
        <w:t xml:space="preserve">Digital </w:t>
      </w:r>
      <w:r w:rsidR="00A77292" w:rsidRPr="00B64995">
        <w:rPr>
          <w:rFonts w:eastAsia="Calibri"/>
          <w:b/>
          <w:bCs/>
        </w:rPr>
        <w:t>i</w:t>
      </w:r>
      <w:r w:rsidRPr="00B64995">
        <w:rPr>
          <w:rFonts w:eastAsia="Calibri"/>
          <w:b/>
          <w:bCs/>
        </w:rPr>
        <w:t xml:space="preserve">nnovation </w:t>
      </w:r>
      <w:r w:rsidR="00A77292" w:rsidRPr="00B64995">
        <w:rPr>
          <w:rFonts w:eastAsia="Calibri"/>
          <w:b/>
          <w:bCs/>
        </w:rPr>
        <w:t>e</w:t>
      </w:r>
      <w:r w:rsidRPr="00B64995">
        <w:rPr>
          <w:rFonts w:eastAsia="Calibri"/>
          <w:b/>
          <w:bCs/>
        </w:rPr>
        <w:t xml:space="preserve">cosystem </w:t>
      </w:r>
      <w:r w:rsidR="00A77292" w:rsidRPr="00B64995">
        <w:rPr>
          <w:rFonts w:eastAsia="Calibri"/>
          <w:b/>
          <w:bCs/>
        </w:rPr>
        <w:t>t</w:t>
      </w:r>
      <w:r w:rsidRPr="00B64995">
        <w:rPr>
          <w:rFonts w:eastAsia="Calibri"/>
          <w:b/>
          <w:bCs/>
        </w:rPr>
        <w:t xml:space="preserve">hematic </w:t>
      </w:r>
      <w:r w:rsidR="00A77292" w:rsidRPr="00B64995">
        <w:rPr>
          <w:rFonts w:eastAsia="Calibri"/>
          <w:b/>
          <w:bCs/>
        </w:rPr>
        <w:t>p</w:t>
      </w:r>
      <w:r w:rsidRPr="00B64995">
        <w:rPr>
          <w:rFonts w:eastAsia="Calibri"/>
          <w:b/>
          <w:bCs/>
        </w:rPr>
        <w:t>riority</w:t>
      </w:r>
    </w:p>
    <w:p w14:paraId="1867C798" w14:textId="77777777" w:rsidR="007E6CA0" w:rsidRPr="00B64995" w:rsidRDefault="007E6CA0" w:rsidP="007E6CA0">
      <w:pPr>
        <w:spacing w:line="257" w:lineRule="auto"/>
      </w:pPr>
      <w:r w:rsidRPr="003C5E1A">
        <w:rPr>
          <w:noProof/>
        </w:rPr>
        <w:drawing>
          <wp:inline distT="0" distB="0" distL="0" distR="0" wp14:anchorId="732101A6" wp14:editId="54492EAC">
            <wp:extent cx="5724524" cy="2533650"/>
            <wp:effectExtent l="0" t="0" r="0" b="0"/>
            <wp:docPr id="901503876" name="Picture 90150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503876"/>
                    <pic:cNvPicPr/>
                  </pic:nvPicPr>
                  <pic:blipFill>
                    <a:blip r:embed="rId637">
                      <a:extLst>
                        <a:ext uri="{28A0092B-C50C-407E-A947-70E740481C1C}">
                          <a14:useLocalDpi xmlns:a14="http://schemas.microsoft.com/office/drawing/2010/main" val="0"/>
                        </a:ext>
                      </a:extLst>
                    </a:blip>
                    <a:stretch>
                      <a:fillRect/>
                    </a:stretch>
                  </pic:blipFill>
                  <pic:spPr>
                    <a:xfrm>
                      <a:off x="0" y="0"/>
                      <a:ext cx="5724524" cy="2533650"/>
                    </a:xfrm>
                    <a:prstGeom prst="rect">
                      <a:avLst/>
                    </a:prstGeom>
                  </pic:spPr>
                </pic:pic>
              </a:graphicData>
            </a:graphic>
          </wp:inline>
        </w:drawing>
      </w:r>
    </w:p>
    <w:p w14:paraId="6060CED6" w14:textId="77777777" w:rsidR="007E6CA0" w:rsidRPr="00B64995" w:rsidRDefault="007E6CA0" w:rsidP="007E6CA0"/>
    <w:p w14:paraId="7D1FB9C5" w14:textId="6E5F5916" w:rsidR="0705129F" w:rsidRPr="00B64995" w:rsidRDefault="0705129F" w:rsidP="0705129F">
      <w:pPr>
        <w:rPr>
          <w:b/>
          <w:bCs/>
        </w:rPr>
      </w:pPr>
    </w:p>
    <w:p w14:paraId="4737A1F4" w14:textId="77777777" w:rsidR="00503BCD" w:rsidRPr="00B64995" w:rsidRDefault="00503BCD" w:rsidP="00503BCD"/>
    <w:p w14:paraId="3C4CF5CB" w14:textId="77777777" w:rsidR="00503BCD" w:rsidRPr="00B64995" w:rsidRDefault="00503BCD" w:rsidP="00503BCD">
      <w:r w:rsidRPr="00B64995">
        <w:rPr>
          <w:b/>
          <w:bCs/>
        </w:rPr>
        <w:t>Objective D.4</w:t>
      </w:r>
      <w:r w:rsidRPr="00B64995">
        <w:t xml:space="preserve">: (Inclusive Information Society) Foster the development and use of telecommunications/ICTs and applications to empower people and societies for sustainable </w:t>
      </w:r>
      <w:proofErr w:type="gramStart"/>
      <w:r w:rsidRPr="00B64995">
        <w:t>development</w:t>
      </w:r>
      <w:proofErr w:type="gramEnd"/>
    </w:p>
    <w:p w14:paraId="6F7E32A7" w14:textId="77777777" w:rsidR="00503BCD" w:rsidRPr="00B64995" w:rsidRDefault="00503BCD" w:rsidP="00503BCD">
      <w:pPr>
        <w:jc w:val="both"/>
        <w:rPr>
          <w:b/>
          <w:bCs/>
        </w:rPr>
      </w:pPr>
    </w:p>
    <w:p w14:paraId="576A1C90" w14:textId="77777777" w:rsidR="00503BCD" w:rsidRPr="00B64995" w:rsidRDefault="00503BCD"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503BCD" w:rsidRPr="00B64995" w14:paraId="78E303AD" w14:textId="77777777" w:rsidTr="00C92451">
        <w:tc>
          <w:tcPr>
            <w:tcW w:w="9016" w:type="dxa"/>
            <w:shd w:val="clear" w:color="auto" w:fill="DCE5F4"/>
          </w:tcPr>
          <w:p w14:paraId="1CD6AFBC" w14:textId="558921D3" w:rsidR="00503BCD" w:rsidRPr="00B87922" w:rsidRDefault="00503BCD" w:rsidP="0080338C">
            <w:pPr>
              <w:pStyle w:val="tabletext"/>
              <w:rPr>
                <w:lang w:val="en-GB"/>
              </w:rPr>
            </w:pPr>
            <w:r w:rsidRPr="00B64995">
              <w:t>D-4-a: Improved access to and use of telecommunication/ICT in (LDCs, small island developing states (SIDS) and landlocked developing countries (LLDCs), and countries with economies in transition.</w:t>
            </w:r>
          </w:p>
          <w:p w14:paraId="73207697" w14:textId="77777777" w:rsidR="00503BCD" w:rsidRPr="00B87922" w:rsidRDefault="00503BCD" w:rsidP="0080338C">
            <w:pPr>
              <w:pStyle w:val="tabletext"/>
              <w:rPr>
                <w:lang w:val="en-GB"/>
              </w:rPr>
            </w:pPr>
            <w:r w:rsidRPr="00B64995">
              <w:t>D.4-b: Improved capacity of the ITU membership to accelerate economic and social development by leveraging and using new technologies and telecommunication/ICT services and applications.</w:t>
            </w:r>
          </w:p>
          <w:p w14:paraId="3F728102" w14:textId="77777777" w:rsidR="00503BCD" w:rsidRPr="00B87922" w:rsidRDefault="00503BCD" w:rsidP="0080338C">
            <w:pPr>
              <w:pStyle w:val="tabletext"/>
              <w:rPr>
                <w:lang w:val="en-GB"/>
              </w:rPr>
            </w:pPr>
            <w:r w:rsidRPr="00B64995">
              <w:t xml:space="preserve">D.4-c: Strengthened capacity of the ITU membership to develop strategies, </w:t>
            </w:r>
            <w:proofErr w:type="gramStart"/>
            <w:r w:rsidRPr="00B64995">
              <w:t>policies</w:t>
            </w:r>
            <w:proofErr w:type="gramEnd"/>
            <w:r w:rsidRPr="00B64995">
              <w:t xml:space="preserve"> and practices for digital inclusion, in particular for the empowerment of women and girls, persons with disabilities and other persons with specific needs.</w:t>
            </w:r>
          </w:p>
          <w:p w14:paraId="26CBF0D6" w14:textId="77777777" w:rsidR="00503BCD" w:rsidRPr="00B87922" w:rsidRDefault="00503BCD" w:rsidP="0080338C">
            <w:pPr>
              <w:pStyle w:val="tabletext"/>
              <w:rPr>
                <w:lang w:val="en-GB"/>
              </w:rPr>
            </w:pPr>
            <w:r w:rsidRPr="00B64995">
              <w:t>D.4-d: Enhanced capacity of the ITU membership to develop telecommunication/ICT strategies and solutions on climate-change adaptation and mitigation and the use of green/renewable energy.</w:t>
            </w:r>
          </w:p>
        </w:tc>
      </w:tr>
    </w:tbl>
    <w:p w14:paraId="3810FE0E" w14:textId="599AB127" w:rsidR="00503BCD" w:rsidRPr="00B64995" w:rsidRDefault="00503BCD" w:rsidP="0016554F">
      <w:pPr>
        <w:pStyle w:val="Heading5"/>
        <w:pageBreakBefore/>
      </w:pPr>
      <w:r w:rsidRPr="00B64995">
        <w:lastRenderedPageBreak/>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26"/>
      </w:tblGrid>
      <w:tr w:rsidR="007E6CA0" w:rsidRPr="00B64995" w14:paraId="5C38EE11" w14:textId="77777777" w:rsidTr="006E7150">
        <w:tc>
          <w:tcPr>
            <w:tcW w:w="4390" w:type="dxa"/>
          </w:tcPr>
          <w:p w14:paraId="185A0D21" w14:textId="234CDB42" w:rsidR="007E6CA0" w:rsidRPr="00B87922" w:rsidRDefault="007E6CA0" w:rsidP="006E7150">
            <w:pPr>
              <w:jc w:val="center"/>
              <w:rPr>
                <w:b/>
                <w:bCs/>
                <w:lang w:val="en-GB"/>
              </w:rPr>
            </w:pPr>
          </w:p>
        </w:tc>
        <w:tc>
          <w:tcPr>
            <w:tcW w:w="4626" w:type="dxa"/>
          </w:tcPr>
          <w:p w14:paraId="51B65DCA" w14:textId="3E06BB51" w:rsidR="007E6CA0" w:rsidRPr="00B87922" w:rsidRDefault="007E6CA0" w:rsidP="006E7150">
            <w:pPr>
              <w:jc w:val="center"/>
              <w:rPr>
                <w:b/>
                <w:bCs/>
                <w:lang w:val="en-GB"/>
              </w:rPr>
            </w:pPr>
          </w:p>
        </w:tc>
      </w:tr>
    </w:tbl>
    <w:p w14:paraId="466135D4" w14:textId="2195E344" w:rsidR="5E70BFAA" w:rsidRPr="00B64995" w:rsidRDefault="5E70BFAA" w:rsidP="56474F53">
      <w:r w:rsidRPr="00B64995">
        <w:rPr>
          <w:b/>
          <w:bCs/>
        </w:rPr>
        <w:t xml:space="preserve">Digital </w:t>
      </w:r>
      <w:r w:rsidR="00A77292" w:rsidRPr="00B64995">
        <w:rPr>
          <w:b/>
          <w:bCs/>
        </w:rPr>
        <w:t>s</w:t>
      </w:r>
      <w:r w:rsidRPr="00B64995">
        <w:rPr>
          <w:b/>
          <w:bCs/>
        </w:rPr>
        <w:t xml:space="preserve">ervices and </w:t>
      </w:r>
      <w:r w:rsidR="00A77292" w:rsidRPr="00B64995">
        <w:rPr>
          <w:b/>
          <w:bCs/>
        </w:rPr>
        <w:t>a</w:t>
      </w:r>
      <w:r w:rsidRPr="00B64995">
        <w:rPr>
          <w:b/>
          <w:bCs/>
        </w:rPr>
        <w:t xml:space="preserve">pplications </w:t>
      </w:r>
      <w:r w:rsidR="00A77292" w:rsidRPr="00B64995">
        <w:rPr>
          <w:b/>
          <w:bCs/>
        </w:rPr>
        <w:t>t</w:t>
      </w:r>
      <w:r w:rsidRPr="00B64995">
        <w:rPr>
          <w:b/>
          <w:bCs/>
        </w:rPr>
        <w:t xml:space="preserve">hematic </w:t>
      </w:r>
      <w:r w:rsidR="00A77292" w:rsidRPr="00B64995">
        <w:rPr>
          <w:b/>
          <w:bCs/>
        </w:rPr>
        <w:t>p</w:t>
      </w:r>
      <w:r w:rsidRPr="00B64995">
        <w:rPr>
          <w:b/>
          <w:bCs/>
        </w:rPr>
        <w:t>riority</w:t>
      </w:r>
    </w:p>
    <w:p w14:paraId="214262AA" w14:textId="0EE54345" w:rsidR="5E70BFAA" w:rsidRPr="00B64995" w:rsidRDefault="5E70BFAA" w:rsidP="56474F53">
      <w:r w:rsidRPr="003C5E1A">
        <w:rPr>
          <w:noProof/>
        </w:rPr>
        <w:drawing>
          <wp:inline distT="0" distB="0" distL="0" distR="0" wp14:anchorId="4AE77C73" wp14:editId="4B4C3FF9">
            <wp:extent cx="5724524" cy="2228850"/>
            <wp:effectExtent l="0" t="0" r="0" b="0"/>
            <wp:docPr id="642263786" name="Picture 64226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63786"/>
                    <pic:cNvPicPr/>
                  </pic:nvPicPr>
                  <pic:blipFill>
                    <a:blip r:embed="rId638">
                      <a:extLst>
                        <a:ext uri="{28A0092B-C50C-407E-A947-70E740481C1C}">
                          <a14:useLocalDpi xmlns:a14="http://schemas.microsoft.com/office/drawing/2010/main" val="0"/>
                        </a:ext>
                      </a:extLst>
                    </a:blip>
                    <a:stretch>
                      <a:fillRect/>
                    </a:stretch>
                  </pic:blipFill>
                  <pic:spPr>
                    <a:xfrm>
                      <a:off x="0" y="0"/>
                      <a:ext cx="5724524" cy="2228850"/>
                    </a:xfrm>
                    <a:prstGeom prst="rect">
                      <a:avLst/>
                    </a:prstGeom>
                  </pic:spPr>
                </pic:pic>
              </a:graphicData>
            </a:graphic>
          </wp:inline>
        </w:drawing>
      </w:r>
    </w:p>
    <w:p w14:paraId="14FEFFC1" w14:textId="3D8299E0" w:rsidR="00D516D0" w:rsidRPr="00B64995" w:rsidRDefault="5E70BFAA" w:rsidP="00D516D0">
      <w:r w:rsidRPr="00B64995">
        <w:rPr>
          <w:b/>
          <w:bCs/>
        </w:rPr>
        <w:t xml:space="preserve">Environment </w:t>
      </w:r>
      <w:r w:rsidR="00A77292" w:rsidRPr="00B64995">
        <w:rPr>
          <w:b/>
          <w:bCs/>
        </w:rPr>
        <w:t>t</w:t>
      </w:r>
      <w:r w:rsidRPr="00B64995">
        <w:rPr>
          <w:b/>
          <w:bCs/>
        </w:rPr>
        <w:t xml:space="preserve">hematic </w:t>
      </w:r>
      <w:r w:rsidR="00A77292" w:rsidRPr="00B64995">
        <w:rPr>
          <w:b/>
          <w:bCs/>
        </w:rPr>
        <w:t>p</w:t>
      </w:r>
      <w:r w:rsidRPr="00B64995">
        <w:rPr>
          <w:b/>
          <w:bCs/>
        </w:rPr>
        <w:t>riority</w:t>
      </w:r>
    </w:p>
    <w:p w14:paraId="1DD551E9" w14:textId="0C525D20" w:rsidR="5E70BFAA" w:rsidRPr="00B64995" w:rsidRDefault="5E70BFAA" w:rsidP="07A7B8A0">
      <w:r w:rsidRPr="003C5E1A">
        <w:rPr>
          <w:noProof/>
        </w:rPr>
        <w:drawing>
          <wp:inline distT="0" distB="0" distL="0" distR="0" wp14:anchorId="706BDBB3" wp14:editId="02551325">
            <wp:extent cx="5724524" cy="857250"/>
            <wp:effectExtent l="0" t="0" r="0" b="0"/>
            <wp:docPr id="800182518" name="Picture 80018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182518"/>
                    <pic:cNvPicPr/>
                  </pic:nvPicPr>
                  <pic:blipFill>
                    <a:blip r:embed="rId639">
                      <a:extLst>
                        <a:ext uri="{28A0092B-C50C-407E-A947-70E740481C1C}">
                          <a14:useLocalDpi xmlns:a14="http://schemas.microsoft.com/office/drawing/2010/main" val="0"/>
                        </a:ext>
                      </a:extLst>
                    </a:blip>
                    <a:stretch>
                      <a:fillRect/>
                    </a:stretch>
                  </pic:blipFill>
                  <pic:spPr>
                    <a:xfrm>
                      <a:off x="0" y="0"/>
                      <a:ext cx="5724524" cy="857250"/>
                    </a:xfrm>
                    <a:prstGeom prst="rect">
                      <a:avLst/>
                    </a:prstGeom>
                  </pic:spPr>
                </pic:pic>
              </a:graphicData>
            </a:graphic>
          </wp:inline>
        </w:drawing>
      </w:r>
    </w:p>
    <w:p w14:paraId="18DB64B3" w14:textId="5D7D3A1F" w:rsidR="005623B1" w:rsidRPr="00B64995" w:rsidRDefault="005623B1" w:rsidP="005623B1"/>
    <w:p w14:paraId="0C1DF908" w14:textId="22F52118" w:rsidR="5E70BFAA" w:rsidRPr="00B64995" w:rsidRDefault="5E70BFAA" w:rsidP="2DB06B30">
      <w:r w:rsidRPr="00B64995">
        <w:rPr>
          <w:b/>
          <w:bCs/>
        </w:rPr>
        <w:t xml:space="preserve">Digital </w:t>
      </w:r>
      <w:r w:rsidR="00A77292" w:rsidRPr="00B64995">
        <w:rPr>
          <w:b/>
          <w:bCs/>
        </w:rPr>
        <w:t>i</w:t>
      </w:r>
      <w:r w:rsidRPr="00B64995">
        <w:rPr>
          <w:b/>
          <w:bCs/>
        </w:rPr>
        <w:t xml:space="preserve">nclusion </w:t>
      </w:r>
      <w:r w:rsidR="00A77292" w:rsidRPr="00B64995">
        <w:rPr>
          <w:b/>
          <w:bCs/>
        </w:rPr>
        <w:t>t</w:t>
      </w:r>
      <w:r w:rsidRPr="00B64995">
        <w:rPr>
          <w:b/>
          <w:bCs/>
        </w:rPr>
        <w:t xml:space="preserve">hematic </w:t>
      </w:r>
      <w:r w:rsidR="00A77292" w:rsidRPr="00B64995">
        <w:rPr>
          <w:b/>
          <w:bCs/>
        </w:rPr>
        <w:t>p</w:t>
      </w:r>
      <w:r w:rsidRPr="00B64995">
        <w:rPr>
          <w:b/>
          <w:bCs/>
        </w:rPr>
        <w:t>riority</w:t>
      </w:r>
    </w:p>
    <w:p w14:paraId="1867355B" w14:textId="4ECB4ACC" w:rsidR="5E70BFAA" w:rsidRPr="00B64995" w:rsidRDefault="5E70BFAA" w:rsidP="2DB06B30">
      <w:r w:rsidRPr="003C5E1A">
        <w:rPr>
          <w:noProof/>
        </w:rPr>
        <w:drawing>
          <wp:inline distT="0" distB="0" distL="0" distR="0" wp14:anchorId="0BD88726" wp14:editId="7BC87FE2">
            <wp:extent cx="5724524" cy="876300"/>
            <wp:effectExtent l="0" t="0" r="0" b="0"/>
            <wp:docPr id="290930671" name="Picture 29093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30671"/>
                    <pic:cNvPicPr/>
                  </pic:nvPicPr>
                  <pic:blipFill>
                    <a:blip r:embed="rId640">
                      <a:extLst>
                        <a:ext uri="{28A0092B-C50C-407E-A947-70E740481C1C}">
                          <a14:useLocalDpi xmlns:a14="http://schemas.microsoft.com/office/drawing/2010/main" val="0"/>
                        </a:ext>
                      </a:extLst>
                    </a:blip>
                    <a:stretch>
                      <a:fillRect/>
                    </a:stretch>
                  </pic:blipFill>
                  <pic:spPr>
                    <a:xfrm>
                      <a:off x="0" y="0"/>
                      <a:ext cx="5724524" cy="876300"/>
                    </a:xfrm>
                    <a:prstGeom prst="rect">
                      <a:avLst/>
                    </a:prstGeom>
                  </pic:spPr>
                </pic:pic>
              </a:graphicData>
            </a:graphic>
          </wp:inline>
        </w:drawing>
      </w:r>
    </w:p>
    <w:p w14:paraId="3969C182" w14:textId="2EDAC9B1" w:rsidR="2DB06B30" w:rsidRPr="00B64995" w:rsidRDefault="2DB06B30" w:rsidP="2DB06B30"/>
    <w:p w14:paraId="178531B5" w14:textId="0653B646" w:rsidR="2AE95D1E" w:rsidRPr="00B64995" w:rsidRDefault="2AE95D1E" w:rsidP="2AE95D1E">
      <w:pPr>
        <w:rPr>
          <w:b/>
          <w:bCs/>
        </w:rPr>
      </w:pPr>
    </w:p>
    <w:p w14:paraId="641AC30A" w14:textId="77777777" w:rsidR="00503BCD" w:rsidRPr="00B64995" w:rsidRDefault="00503BCD" w:rsidP="00503BCD">
      <w:pPr>
        <w:rPr>
          <w:b/>
          <w:bCs/>
        </w:rPr>
      </w:pPr>
    </w:p>
    <w:p w14:paraId="71B9338B" w14:textId="77777777" w:rsidR="00503BCD" w:rsidRPr="00B64995" w:rsidRDefault="00503BCD" w:rsidP="00503BCD"/>
    <w:p w14:paraId="2047B43B" w14:textId="77777777" w:rsidR="00391B3D" w:rsidRPr="00B64995" w:rsidRDefault="00391B3D" w:rsidP="00272A39">
      <w:pPr>
        <w:pStyle w:val="Heading2"/>
      </w:pPr>
      <w:r w:rsidRPr="00B64995">
        <w:br w:type="page"/>
      </w:r>
    </w:p>
    <w:p w14:paraId="1ADF028F" w14:textId="31036944" w:rsidR="00AA47DC" w:rsidRPr="00B64995" w:rsidRDefault="00AA47DC" w:rsidP="00272A39">
      <w:pPr>
        <w:pStyle w:val="Heading2"/>
      </w:pPr>
      <w:bookmarkStart w:id="184" w:name="_Toc68811440"/>
      <w:r w:rsidRPr="00B64995">
        <w:lastRenderedPageBreak/>
        <w:t>Inter-sectoral</w:t>
      </w:r>
      <w:bookmarkEnd w:id="183"/>
      <w:r w:rsidR="00F25147" w:rsidRPr="00B64995">
        <w:t xml:space="preserve"> </w:t>
      </w:r>
      <w:r w:rsidR="000C0C46" w:rsidRPr="00B64995">
        <w:t>o</w:t>
      </w:r>
      <w:r w:rsidR="00F25147" w:rsidRPr="00B64995">
        <w:t>bjectives</w:t>
      </w:r>
      <w:bookmarkEnd w:id="184"/>
    </w:p>
    <w:p w14:paraId="469F0C5E" w14:textId="77777777" w:rsidR="00AA47DC" w:rsidRPr="00B64995" w:rsidRDefault="00AA47DC" w:rsidP="0099728D">
      <w:pPr>
        <w:spacing w:before="120"/>
      </w:pPr>
      <w:r w:rsidRPr="00B64995">
        <w:rPr>
          <w:b/>
          <w:bCs/>
        </w:rPr>
        <w:t>Objective I.1</w:t>
      </w:r>
      <w:r w:rsidRPr="00B64995">
        <w:t>: (Collaboration) Foster closer collaboration among all stakeholders in the telecommunication/ICT ecosystem</w:t>
      </w:r>
    </w:p>
    <w:p w14:paraId="5EAA532E" w14:textId="77777777" w:rsidR="00AA47DC" w:rsidRPr="00B64995" w:rsidRDefault="00AA47DC" w:rsidP="00AA47DC">
      <w:pPr>
        <w:jc w:val="both"/>
        <w:rPr>
          <w:b/>
          <w:bCs/>
        </w:rPr>
      </w:pPr>
    </w:p>
    <w:p w14:paraId="4745EE2B"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066DF2A8" w14:textId="77777777" w:rsidTr="00C92451">
        <w:tc>
          <w:tcPr>
            <w:tcW w:w="9016" w:type="dxa"/>
            <w:shd w:val="clear" w:color="auto" w:fill="DCE5F4"/>
          </w:tcPr>
          <w:p w14:paraId="626032C2" w14:textId="77777777" w:rsidR="0049723A" w:rsidRPr="00B87922" w:rsidRDefault="00AA47DC" w:rsidP="00AB5FA4">
            <w:pPr>
              <w:pStyle w:val="tabletext"/>
              <w:rPr>
                <w:lang w:val="en-GB"/>
              </w:rPr>
            </w:pPr>
            <w:r w:rsidRPr="00B64995">
              <w:t>I.1-a: Increased collaboration among relevant stakeholders</w:t>
            </w:r>
          </w:p>
          <w:p w14:paraId="2E1946A1" w14:textId="77777777" w:rsidR="0049723A" w:rsidRPr="00B87922" w:rsidRDefault="00AA47DC" w:rsidP="00AB5FA4">
            <w:pPr>
              <w:pStyle w:val="tabletext"/>
              <w:rPr>
                <w:lang w:val="en-GB"/>
              </w:rPr>
            </w:pPr>
            <w:r w:rsidRPr="00B64995">
              <w:t>I.1-b: Increased synergies from partnerships on telecommunication/ICTs</w:t>
            </w:r>
          </w:p>
          <w:p w14:paraId="0C877CBF" w14:textId="77777777" w:rsidR="0049723A" w:rsidRPr="00B87922" w:rsidRDefault="00AA47DC" w:rsidP="00AB5FA4">
            <w:pPr>
              <w:pStyle w:val="tabletext"/>
              <w:rPr>
                <w:lang w:val="en-GB"/>
              </w:rPr>
            </w:pPr>
            <w:r w:rsidRPr="00B64995">
              <w:t>I.1-c: Increased recognition of telecommunications/ICTs as a cross-cutting enabler for implementing the WSIS Action Lines and the 2030 Agenda for Sustainable Development</w:t>
            </w:r>
          </w:p>
          <w:p w14:paraId="1A213153" w14:textId="22B4C8C9" w:rsidR="00AA47DC" w:rsidRPr="00B87922" w:rsidRDefault="00AA47DC" w:rsidP="00AB5FA4">
            <w:pPr>
              <w:pStyle w:val="tabletext"/>
              <w:rPr>
                <w:lang w:val="en-GB"/>
              </w:rPr>
            </w:pPr>
            <w:r w:rsidRPr="00B64995">
              <w:t>I.1-d: Enhanced support to ITU membership in developing and delivering ICT products and services</w:t>
            </w:r>
          </w:p>
        </w:tc>
      </w:tr>
    </w:tbl>
    <w:p w14:paraId="5D61D8B3" w14:textId="77777777" w:rsidR="00A579C3" w:rsidRPr="00B64995" w:rsidRDefault="00A579C3" w:rsidP="007A1DC2">
      <w:pPr>
        <w:rPr>
          <w:b/>
          <w:bCs/>
        </w:rPr>
      </w:pPr>
    </w:p>
    <w:p w14:paraId="27E0B30A" w14:textId="12F4241E" w:rsidR="00AA47DC" w:rsidRPr="00B64995" w:rsidRDefault="00A579C3" w:rsidP="00A83DAA">
      <w:pPr>
        <w:pStyle w:val="Heading5"/>
      </w:pPr>
      <w:r w:rsidRPr="00B64995">
        <w:t>P</w:t>
      </w:r>
      <w:r w:rsidR="00AA47DC" w:rsidRPr="00B64995">
        <w:t xml:space="preserve">rogress </w:t>
      </w:r>
      <w:proofErr w:type="gramStart"/>
      <w:r w:rsidR="00AA47DC"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4C4BFA92" w:rsidRPr="00B64995" w14:paraId="109F6415" w14:textId="77777777" w:rsidTr="6844BCB7">
        <w:tc>
          <w:tcPr>
            <w:tcW w:w="9026" w:type="dxa"/>
            <w:gridSpan w:val="2"/>
          </w:tcPr>
          <w:p w14:paraId="680E3EC9" w14:textId="43634AB1" w:rsidR="66D939C0" w:rsidRDefault="00FE6AFC" w:rsidP="00391B3D">
            <w:pPr>
              <w:spacing w:before="120"/>
            </w:pPr>
            <w:r w:rsidRPr="00B64995">
              <w:t>Three</w:t>
            </w:r>
            <w:r w:rsidR="66D939C0" w:rsidRPr="00B64995">
              <w:t xml:space="preserve"> </w:t>
            </w:r>
            <w:r w:rsidRPr="00B64995">
              <w:t>n</w:t>
            </w:r>
            <w:r w:rsidR="66D939C0" w:rsidRPr="00B64995">
              <w:t xml:space="preserve">ew Questions have been added at the ITU Membership </w:t>
            </w:r>
            <w:r w:rsidR="009002E1" w:rsidRPr="00B64995">
              <w:t>S</w:t>
            </w:r>
            <w:r w:rsidR="66D939C0" w:rsidRPr="00B64995">
              <w:t>urvey 2020 to assess progress towards targets I.1-a</w:t>
            </w:r>
            <w:r w:rsidRPr="00B64995">
              <w:t>, I.1-b</w:t>
            </w:r>
            <w:r w:rsidR="66D939C0" w:rsidRPr="00B64995">
              <w:t xml:space="preserve"> </w:t>
            </w:r>
            <w:r w:rsidRPr="00B64995">
              <w:t>and</w:t>
            </w:r>
            <w:r w:rsidR="66D939C0" w:rsidRPr="00B64995">
              <w:t xml:space="preserve"> I.1-c</w:t>
            </w:r>
            <w:r w:rsidRPr="00B64995">
              <w:t>.</w:t>
            </w:r>
          </w:p>
          <w:p w14:paraId="0A179A5B" w14:textId="673AC62E" w:rsidR="005B7F72" w:rsidRPr="00B87922" w:rsidRDefault="005B7F72" w:rsidP="00391B3D">
            <w:pPr>
              <w:spacing w:before="120"/>
              <w:rPr>
                <w:lang w:val="en-GB"/>
              </w:rPr>
            </w:pPr>
            <w:r>
              <w:t>2019:</w:t>
            </w:r>
          </w:p>
          <w:p w14:paraId="52AEBE90" w14:textId="739BBD06" w:rsidR="4C4BFA92" w:rsidRPr="00B87922" w:rsidRDefault="4C4BFA92" w:rsidP="4C4BFA92">
            <w:pPr>
              <w:jc w:val="center"/>
              <w:rPr>
                <w:lang w:val="en-GB"/>
              </w:rPr>
            </w:pPr>
          </w:p>
          <w:p w14:paraId="7706F04D" w14:textId="5A3728BE" w:rsidR="66D939C0" w:rsidRPr="00B87922" w:rsidRDefault="440386AA" w:rsidP="003508C6">
            <w:pPr>
              <w:jc w:val="center"/>
              <w:rPr>
                <w:lang w:val="en-GB"/>
              </w:rPr>
            </w:pPr>
            <w:r w:rsidRPr="003C5E1A">
              <w:rPr>
                <w:noProof/>
              </w:rPr>
              <w:drawing>
                <wp:inline distT="0" distB="0" distL="0" distR="0" wp14:anchorId="2B613B24" wp14:editId="3C0BAC3B">
                  <wp:extent cx="5629275" cy="1866900"/>
                  <wp:effectExtent l="0" t="0" r="0" b="0"/>
                  <wp:docPr id="1975730823" name="Picture 59148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82762"/>
                          <pic:cNvPicPr/>
                        </pic:nvPicPr>
                        <pic:blipFill>
                          <a:blip r:embed="rId641">
                            <a:extLst>
                              <a:ext uri="{28A0092B-C50C-407E-A947-70E740481C1C}">
                                <a14:useLocalDpi xmlns:a14="http://schemas.microsoft.com/office/drawing/2010/main" val="0"/>
                              </a:ext>
                            </a:extLst>
                          </a:blip>
                          <a:stretch>
                            <a:fillRect/>
                          </a:stretch>
                        </pic:blipFill>
                        <pic:spPr>
                          <a:xfrm>
                            <a:off x="0" y="0"/>
                            <a:ext cx="5629275" cy="1866900"/>
                          </a:xfrm>
                          <a:prstGeom prst="rect">
                            <a:avLst/>
                          </a:prstGeom>
                        </pic:spPr>
                      </pic:pic>
                    </a:graphicData>
                  </a:graphic>
                </wp:inline>
              </w:drawing>
            </w:r>
          </w:p>
        </w:tc>
      </w:tr>
      <w:tr w:rsidR="4C4BFA92" w:rsidRPr="00B64995" w14:paraId="75A0FFCB" w14:textId="77777777" w:rsidTr="6844BCB7">
        <w:tc>
          <w:tcPr>
            <w:tcW w:w="4513" w:type="dxa"/>
          </w:tcPr>
          <w:p w14:paraId="79B934AD" w14:textId="19141A33" w:rsidR="4C4BFA92" w:rsidRPr="00B87922" w:rsidRDefault="4C4BFA92" w:rsidP="4C4BFA92">
            <w:pPr>
              <w:rPr>
                <w:lang w:val="en-GB"/>
              </w:rPr>
            </w:pPr>
          </w:p>
        </w:tc>
        <w:tc>
          <w:tcPr>
            <w:tcW w:w="4513" w:type="dxa"/>
          </w:tcPr>
          <w:p w14:paraId="66C5DB2B" w14:textId="378B8FED" w:rsidR="4C4BFA92" w:rsidRPr="00B87922" w:rsidRDefault="4C4BFA92" w:rsidP="4C4BFA92">
            <w:pPr>
              <w:rPr>
                <w:lang w:val="en-GB"/>
              </w:rPr>
            </w:pPr>
          </w:p>
        </w:tc>
      </w:tr>
      <w:tr w:rsidR="00A257A2" w:rsidRPr="00B64995" w14:paraId="000B2B9A" w14:textId="77777777" w:rsidTr="00B87922">
        <w:tc>
          <w:tcPr>
            <w:tcW w:w="9026" w:type="dxa"/>
            <w:gridSpan w:val="2"/>
          </w:tcPr>
          <w:p w14:paraId="1EEF894F" w14:textId="77777777" w:rsidR="00A257A2" w:rsidRDefault="00A257A2" w:rsidP="4C4BFA92">
            <w:r>
              <w:t>2020:</w:t>
            </w:r>
          </w:p>
          <w:p w14:paraId="66736846" w14:textId="77777777" w:rsidR="00A257A2" w:rsidRDefault="00A257A2" w:rsidP="4C4BFA92"/>
          <w:p w14:paraId="74085E00" w14:textId="5B0C0FAC" w:rsidR="00A257A2" w:rsidRPr="005B7F72" w:rsidRDefault="00A257A2" w:rsidP="4C4BFA92">
            <w:r>
              <w:rPr>
                <w:noProof/>
              </w:rPr>
              <w:drawing>
                <wp:inline distT="0" distB="0" distL="0" distR="0" wp14:anchorId="4494F749" wp14:editId="2BA5A87C">
                  <wp:extent cx="5852121" cy="1296537"/>
                  <wp:effectExtent l="0" t="0" r="0" b="0"/>
                  <wp:docPr id="1193504074" name="Picture 11935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2"/>
                          <a:stretch>
                            <a:fillRect/>
                          </a:stretch>
                        </pic:blipFill>
                        <pic:spPr>
                          <a:xfrm>
                            <a:off x="0" y="0"/>
                            <a:ext cx="5868765" cy="1300224"/>
                          </a:xfrm>
                          <a:prstGeom prst="rect">
                            <a:avLst/>
                          </a:prstGeom>
                        </pic:spPr>
                      </pic:pic>
                    </a:graphicData>
                  </a:graphic>
                </wp:inline>
              </w:drawing>
            </w:r>
          </w:p>
        </w:tc>
      </w:tr>
      <w:tr w:rsidR="4C4BFA92" w:rsidRPr="00B64995" w14:paraId="169091A8" w14:textId="77777777" w:rsidTr="6844BCB7">
        <w:tc>
          <w:tcPr>
            <w:tcW w:w="4513" w:type="dxa"/>
          </w:tcPr>
          <w:p w14:paraId="00F75368" w14:textId="62ABA5D7" w:rsidR="0D4CEEEB" w:rsidRPr="00B87922" w:rsidRDefault="00F5726C" w:rsidP="003508C6">
            <w:pPr>
              <w:jc w:val="center"/>
              <w:rPr>
                <w:lang w:val="en-GB"/>
              </w:rPr>
            </w:pPr>
            <w:r>
              <w:rPr>
                <w:noProof/>
              </w:rPr>
              <w:drawing>
                <wp:inline distT="0" distB="0" distL="0" distR="0" wp14:anchorId="3F3C8AC7" wp14:editId="6CA0BED1">
                  <wp:extent cx="2607831" cy="1265841"/>
                  <wp:effectExtent l="0" t="0" r="2540" b="0"/>
                  <wp:docPr id="1193504075" name="Picture 119350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614530" cy="1269093"/>
                          </a:xfrm>
                          <a:prstGeom prst="rect">
                            <a:avLst/>
                          </a:prstGeom>
                          <a:noFill/>
                        </pic:spPr>
                      </pic:pic>
                    </a:graphicData>
                  </a:graphic>
                </wp:inline>
              </w:drawing>
            </w:r>
          </w:p>
        </w:tc>
        <w:tc>
          <w:tcPr>
            <w:tcW w:w="4513" w:type="dxa"/>
          </w:tcPr>
          <w:p w14:paraId="001DECD8" w14:textId="34D0E8DE" w:rsidR="1D7F4352" w:rsidRPr="00B87922" w:rsidRDefault="298FE764" w:rsidP="4C4BFA92">
            <w:pPr>
              <w:rPr>
                <w:lang w:val="en-GB"/>
              </w:rPr>
            </w:pPr>
            <w:r w:rsidRPr="003C5E1A">
              <w:rPr>
                <w:noProof/>
              </w:rPr>
              <w:drawing>
                <wp:inline distT="0" distB="0" distL="0" distR="0" wp14:anchorId="3B7CE847" wp14:editId="4DB09C48">
                  <wp:extent cx="2771775" cy="1666875"/>
                  <wp:effectExtent l="0" t="0" r="0" b="0"/>
                  <wp:docPr id="1763220086" name="Picture 98190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909925"/>
                          <pic:cNvPicPr/>
                        </pic:nvPicPr>
                        <pic:blipFill>
                          <a:blip r:embed="rId644">
                            <a:extLst>
                              <a:ext uri="{28A0092B-C50C-407E-A947-70E740481C1C}">
                                <a14:useLocalDpi xmlns:a14="http://schemas.microsoft.com/office/drawing/2010/main" val="0"/>
                              </a:ext>
                            </a:extLst>
                          </a:blip>
                          <a:stretch>
                            <a:fillRect/>
                          </a:stretch>
                        </pic:blipFill>
                        <pic:spPr>
                          <a:xfrm>
                            <a:off x="0" y="0"/>
                            <a:ext cx="2771775" cy="1666875"/>
                          </a:xfrm>
                          <a:prstGeom prst="rect">
                            <a:avLst/>
                          </a:prstGeom>
                        </pic:spPr>
                      </pic:pic>
                    </a:graphicData>
                  </a:graphic>
                </wp:inline>
              </w:drawing>
            </w:r>
          </w:p>
        </w:tc>
      </w:tr>
      <w:tr w:rsidR="4C4BFA92" w:rsidRPr="00B64995" w14:paraId="47FEBB32" w14:textId="77777777" w:rsidTr="6844BCB7">
        <w:tc>
          <w:tcPr>
            <w:tcW w:w="4513" w:type="dxa"/>
          </w:tcPr>
          <w:p w14:paraId="46FB1074" w14:textId="378B8FED" w:rsidR="4C4BFA92" w:rsidRPr="00B87922" w:rsidRDefault="4C4BFA92" w:rsidP="4C4BFA92">
            <w:pPr>
              <w:rPr>
                <w:lang w:val="en-GB"/>
              </w:rPr>
            </w:pPr>
          </w:p>
        </w:tc>
        <w:tc>
          <w:tcPr>
            <w:tcW w:w="4513" w:type="dxa"/>
          </w:tcPr>
          <w:p w14:paraId="32B3C827" w14:textId="378B8FED" w:rsidR="4C4BFA92" w:rsidRPr="00B87922" w:rsidRDefault="4C4BFA92" w:rsidP="4C4BFA92">
            <w:pPr>
              <w:rPr>
                <w:lang w:val="en-GB"/>
              </w:rPr>
            </w:pPr>
          </w:p>
        </w:tc>
      </w:tr>
      <w:tr w:rsidR="4C4BFA92" w:rsidRPr="00B64995" w14:paraId="3D0CDACB" w14:textId="77777777" w:rsidTr="6844BCB7">
        <w:tc>
          <w:tcPr>
            <w:tcW w:w="4513" w:type="dxa"/>
          </w:tcPr>
          <w:p w14:paraId="6A7551FA" w14:textId="00D0CD4F" w:rsidR="346439BD" w:rsidRPr="00B87922" w:rsidRDefault="003D3C14" w:rsidP="003508C6">
            <w:pPr>
              <w:jc w:val="center"/>
              <w:rPr>
                <w:lang w:val="en-GB"/>
              </w:rPr>
            </w:pPr>
            <w:r>
              <w:rPr>
                <w:noProof/>
              </w:rPr>
              <w:lastRenderedPageBreak/>
              <w:drawing>
                <wp:inline distT="0" distB="0" distL="0" distR="0" wp14:anchorId="0E13B86A" wp14:editId="6D90C1FB">
                  <wp:extent cx="2670713" cy="1581065"/>
                  <wp:effectExtent l="0" t="0" r="0" b="635"/>
                  <wp:docPr id="1193504076" name="Picture 119350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680113" cy="1586630"/>
                          </a:xfrm>
                          <a:prstGeom prst="rect">
                            <a:avLst/>
                          </a:prstGeom>
                          <a:noFill/>
                        </pic:spPr>
                      </pic:pic>
                    </a:graphicData>
                  </a:graphic>
                </wp:inline>
              </w:drawing>
            </w:r>
          </w:p>
        </w:tc>
        <w:tc>
          <w:tcPr>
            <w:tcW w:w="4513" w:type="dxa"/>
          </w:tcPr>
          <w:p w14:paraId="29897FDC" w14:textId="34ABD3C6" w:rsidR="4AEF988A" w:rsidRPr="00B87922" w:rsidRDefault="77B2D68A" w:rsidP="003508C6">
            <w:pPr>
              <w:jc w:val="center"/>
              <w:rPr>
                <w:lang w:val="en-GB"/>
              </w:rPr>
            </w:pPr>
            <w:r w:rsidRPr="003C5E1A">
              <w:rPr>
                <w:noProof/>
              </w:rPr>
              <w:drawing>
                <wp:inline distT="0" distB="0" distL="0" distR="0" wp14:anchorId="49AE7993" wp14:editId="2581F300">
                  <wp:extent cx="2687628" cy="1607035"/>
                  <wp:effectExtent l="0" t="0" r="0" b="0"/>
                  <wp:docPr id="374382053" name="Picture 141475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758965"/>
                          <pic:cNvPicPr/>
                        </pic:nvPicPr>
                        <pic:blipFill>
                          <a:blip r:embed="rId646">
                            <a:extLst>
                              <a:ext uri="{28A0092B-C50C-407E-A947-70E740481C1C}">
                                <a14:useLocalDpi xmlns:a14="http://schemas.microsoft.com/office/drawing/2010/main" val="0"/>
                              </a:ext>
                            </a:extLst>
                          </a:blip>
                          <a:stretch>
                            <a:fillRect/>
                          </a:stretch>
                        </pic:blipFill>
                        <pic:spPr>
                          <a:xfrm>
                            <a:off x="0" y="0"/>
                            <a:ext cx="2687628" cy="1607035"/>
                          </a:xfrm>
                          <a:prstGeom prst="rect">
                            <a:avLst/>
                          </a:prstGeom>
                        </pic:spPr>
                      </pic:pic>
                    </a:graphicData>
                  </a:graphic>
                </wp:inline>
              </w:drawing>
            </w:r>
          </w:p>
        </w:tc>
      </w:tr>
      <w:tr w:rsidR="4C4BFA92" w:rsidRPr="00B64995" w14:paraId="0C1FC5DC" w14:textId="77777777" w:rsidTr="6844BCB7">
        <w:tc>
          <w:tcPr>
            <w:tcW w:w="4513" w:type="dxa"/>
          </w:tcPr>
          <w:p w14:paraId="2FD594F9" w14:textId="3EDEE452" w:rsidR="0CC47C4B" w:rsidRPr="00B87922" w:rsidRDefault="399EEE7F" w:rsidP="00796F8A">
            <w:pPr>
              <w:jc w:val="center"/>
              <w:rPr>
                <w:lang w:val="en-GB"/>
              </w:rPr>
            </w:pPr>
            <w:r w:rsidRPr="003C5E1A">
              <w:rPr>
                <w:noProof/>
              </w:rPr>
              <w:drawing>
                <wp:inline distT="0" distB="0" distL="0" distR="0" wp14:anchorId="45356707" wp14:editId="6B69548D">
                  <wp:extent cx="2647528" cy="1592156"/>
                  <wp:effectExtent l="0" t="0" r="635" b="8255"/>
                  <wp:docPr id="1735858167" name="Picture 65058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584980"/>
                          <pic:cNvPicPr/>
                        </pic:nvPicPr>
                        <pic:blipFill>
                          <a:blip r:embed="rId647">
                            <a:extLst>
                              <a:ext uri="{28A0092B-C50C-407E-A947-70E740481C1C}">
                                <a14:useLocalDpi xmlns:a14="http://schemas.microsoft.com/office/drawing/2010/main" val="0"/>
                              </a:ext>
                            </a:extLst>
                          </a:blip>
                          <a:stretch>
                            <a:fillRect/>
                          </a:stretch>
                        </pic:blipFill>
                        <pic:spPr>
                          <a:xfrm>
                            <a:off x="0" y="0"/>
                            <a:ext cx="2647528" cy="1592156"/>
                          </a:xfrm>
                          <a:prstGeom prst="rect">
                            <a:avLst/>
                          </a:prstGeom>
                        </pic:spPr>
                      </pic:pic>
                    </a:graphicData>
                  </a:graphic>
                </wp:inline>
              </w:drawing>
            </w:r>
          </w:p>
        </w:tc>
        <w:tc>
          <w:tcPr>
            <w:tcW w:w="4513" w:type="dxa"/>
          </w:tcPr>
          <w:p w14:paraId="4E75A134" w14:textId="17747089" w:rsidR="63985AF9" w:rsidRPr="00B87922" w:rsidRDefault="00AD5C80" w:rsidP="003508C6">
            <w:pPr>
              <w:jc w:val="center"/>
              <w:rPr>
                <w:lang w:val="en-GB"/>
              </w:rPr>
            </w:pPr>
            <w:r w:rsidRPr="003C5E1A">
              <w:rPr>
                <w:noProof/>
              </w:rPr>
              <w:drawing>
                <wp:inline distT="0" distB="0" distL="0" distR="0" wp14:anchorId="79E18947" wp14:editId="18713224">
                  <wp:extent cx="2709759" cy="1555085"/>
                  <wp:effectExtent l="0" t="0" r="0" b="7620"/>
                  <wp:docPr id="1451200765" name="Picture 34305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55392"/>
                          <pic:cNvPicPr/>
                        </pic:nvPicPr>
                        <pic:blipFill>
                          <a:blip r:embed="rId648">
                            <a:extLst>
                              <a:ext uri="{28A0092B-C50C-407E-A947-70E740481C1C}">
                                <a14:useLocalDpi xmlns:a14="http://schemas.microsoft.com/office/drawing/2010/main" val="0"/>
                              </a:ext>
                            </a:extLst>
                          </a:blip>
                          <a:stretch>
                            <a:fillRect/>
                          </a:stretch>
                        </pic:blipFill>
                        <pic:spPr>
                          <a:xfrm>
                            <a:off x="0" y="0"/>
                            <a:ext cx="2709759" cy="1555085"/>
                          </a:xfrm>
                          <a:prstGeom prst="rect">
                            <a:avLst/>
                          </a:prstGeom>
                        </pic:spPr>
                      </pic:pic>
                    </a:graphicData>
                  </a:graphic>
                </wp:inline>
              </w:drawing>
            </w:r>
          </w:p>
        </w:tc>
      </w:tr>
    </w:tbl>
    <w:p w14:paraId="42E0A717" w14:textId="46ABA987" w:rsidR="4C4BFA92" w:rsidRPr="00B64995" w:rsidRDefault="4C4BFA92"/>
    <w:p w14:paraId="14102C39" w14:textId="5DEBAA36" w:rsidR="00AA47DC" w:rsidRPr="00B64995" w:rsidRDefault="00AA47DC" w:rsidP="00AA47DC">
      <w:pPr>
        <w:spacing w:after="160"/>
        <w:jc w:val="center"/>
        <w:rPr>
          <w:b/>
          <w:bCs/>
        </w:rPr>
      </w:pPr>
    </w:p>
    <w:p w14:paraId="4B7D401A" w14:textId="34EDC06B" w:rsidR="00AA47DC" w:rsidRPr="00B64995" w:rsidRDefault="00AA47DC" w:rsidP="00AA47DC">
      <w:pPr>
        <w:spacing w:after="160"/>
        <w:jc w:val="center"/>
        <w:rPr>
          <w:b/>
          <w:bCs/>
        </w:rPr>
      </w:pPr>
    </w:p>
    <w:p w14:paraId="51DDA138" w14:textId="353F0A50" w:rsidR="00581CB4" w:rsidRPr="00B64995" w:rsidRDefault="00AA47DC" w:rsidP="007A1DC2">
      <w:r w:rsidRPr="00B64995">
        <w:rPr>
          <w:b/>
          <w:bCs/>
        </w:rPr>
        <w:t>Objective I.2</w:t>
      </w:r>
      <w:r w:rsidRPr="00B64995">
        <w:t xml:space="preserve">: (Emerging telecommunication/ICT trends) Enhance identification, awareness and analysis of digital transformation and emerging trends in the telecommunication/ICT </w:t>
      </w:r>
      <w:proofErr w:type="gramStart"/>
      <w:r w:rsidRPr="00B64995">
        <w:t>environment</w:t>
      </w:r>
      <w:proofErr w:type="gramEnd"/>
    </w:p>
    <w:p w14:paraId="20B176CC" w14:textId="77777777" w:rsidR="00581CB4" w:rsidRPr="00B64995" w:rsidRDefault="00581CB4" w:rsidP="00AA47DC">
      <w:pPr>
        <w:jc w:val="both"/>
        <w:rPr>
          <w:b/>
          <w:bCs/>
        </w:rPr>
      </w:pPr>
    </w:p>
    <w:p w14:paraId="0988DC00"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7BD2E121" w14:textId="77777777" w:rsidTr="00C92451">
        <w:tc>
          <w:tcPr>
            <w:tcW w:w="9016" w:type="dxa"/>
            <w:shd w:val="clear" w:color="auto" w:fill="DCE5F4"/>
          </w:tcPr>
          <w:p w14:paraId="626C9D14" w14:textId="77777777" w:rsidR="00AA47DC" w:rsidRPr="00B87922" w:rsidRDefault="00AA47DC" w:rsidP="00AB5FA4">
            <w:pPr>
              <w:pStyle w:val="tabletext"/>
              <w:rPr>
                <w:lang w:val="en-GB"/>
              </w:rPr>
            </w:pPr>
            <w:r w:rsidRPr="00B64995">
              <w:t>I.2-a: Identification, awareness and analysis of digital transformation and emerging trends in telecommunications/ICTs</w:t>
            </w:r>
          </w:p>
        </w:tc>
      </w:tr>
    </w:tbl>
    <w:p w14:paraId="64139929" w14:textId="77777777" w:rsidR="00AA47DC" w:rsidRPr="00B64995" w:rsidRDefault="00AA47DC" w:rsidP="00AA47DC"/>
    <w:p w14:paraId="5EE7A291" w14:textId="3B1A3FEE" w:rsidR="00AA47DC" w:rsidRPr="00B64995" w:rsidRDefault="00AA47DC" w:rsidP="00A83DAA">
      <w:pPr>
        <w:pStyle w:val="Heading5"/>
      </w:pPr>
      <w:r w:rsidRPr="00B64995">
        <w:t xml:space="preserve">Progress </w:t>
      </w:r>
      <w:proofErr w:type="gramStart"/>
      <w:r w:rsidRPr="00B64995">
        <w:t>achieved</w:t>
      </w:r>
      <w:proofErr w:type="gramEnd"/>
    </w:p>
    <w:p w14:paraId="01733DD7" w14:textId="244B2B63" w:rsidR="00AA47DC" w:rsidRPr="00B64995" w:rsidRDefault="00530EEB" w:rsidP="00AA47DC">
      <w:pPr>
        <w:spacing w:after="160"/>
        <w:jc w:val="center"/>
        <w:rPr>
          <w:b/>
          <w:bCs/>
        </w:rPr>
      </w:pPr>
      <w:r>
        <w:rPr>
          <w:b/>
          <w:bCs/>
          <w:noProof/>
        </w:rPr>
        <w:drawing>
          <wp:inline distT="0" distB="0" distL="0" distR="0" wp14:anchorId="3358F24B" wp14:editId="694C88AC">
            <wp:extent cx="3725839" cy="2215532"/>
            <wp:effectExtent l="0" t="0" r="8255" b="0"/>
            <wp:docPr id="1193504081" name="Picture 11935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736047" cy="2221602"/>
                    </a:xfrm>
                    <a:prstGeom prst="rect">
                      <a:avLst/>
                    </a:prstGeom>
                    <a:noFill/>
                  </pic:spPr>
                </pic:pic>
              </a:graphicData>
            </a:graphic>
          </wp:inline>
        </w:drawing>
      </w:r>
    </w:p>
    <w:p w14:paraId="3D18067F" w14:textId="77777777" w:rsidR="00AA47DC" w:rsidRPr="00B64995" w:rsidRDefault="6846174C" w:rsidP="00AA47DC">
      <w:pPr>
        <w:spacing w:after="160"/>
        <w:jc w:val="center"/>
        <w:rPr>
          <w:b/>
          <w:bCs/>
        </w:rPr>
      </w:pPr>
      <w:r w:rsidRPr="003C5E1A">
        <w:rPr>
          <w:noProof/>
        </w:rPr>
        <w:lastRenderedPageBreak/>
        <w:drawing>
          <wp:inline distT="0" distB="0" distL="0" distR="0" wp14:anchorId="10635660" wp14:editId="0B88C34E">
            <wp:extent cx="4233636" cy="2249558"/>
            <wp:effectExtent l="0" t="0" r="0" b="0"/>
            <wp:docPr id="596992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50">
                      <a:extLst>
                        <a:ext uri="{28A0092B-C50C-407E-A947-70E740481C1C}">
                          <a14:useLocalDpi xmlns:a14="http://schemas.microsoft.com/office/drawing/2010/main" val="0"/>
                        </a:ext>
                      </a:extLst>
                    </a:blip>
                    <a:stretch>
                      <a:fillRect/>
                    </a:stretch>
                  </pic:blipFill>
                  <pic:spPr>
                    <a:xfrm>
                      <a:off x="0" y="0"/>
                      <a:ext cx="4233636" cy="2249558"/>
                    </a:xfrm>
                    <a:prstGeom prst="rect">
                      <a:avLst/>
                    </a:prstGeom>
                  </pic:spPr>
                </pic:pic>
              </a:graphicData>
            </a:graphic>
          </wp:inline>
        </w:drawing>
      </w:r>
    </w:p>
    <w:p w14:paraId="66F390BA" w14:textId="77777777" w:rsidR="00391B3D" w:rsidRPr="00B64995" w:rsidRDefault="00391B3D" w:rsidP="00AA47DC">
      <w:pPr>
        <w:rPr>
          <w:b/>
          <w:bCs/>
        </w:rPr>
      </w:pPr>
      <w:r w:rsidRPr="00B64995">
        <w:rPr>
          <w:b/>
          <w:bCs/>
        </w:rPr>
        <w:br w:type="page"/>
      </w:r>
    </w:p>
    <w:p w14:paraId="5DBE021D" w14:textId="3B2A75BC" w:rsidR="00AA47DC" w:rsidRPr="00B64995" w:rsidRDefault="00AA47DC" w:rsidP="00AA47DC">
      <w:r w:rsidRPr="00B64995">
        <w:rPr>
          <w:b/>
          <w:bCs/>
        </w:rPr>
        <w:lastRenderedPageBreak/>
        <w:t>Objective I.3</w:t>
      </w:r>
      <w:r w:rsidRPr="00B64995">
        <w:t xml:space="preserve">: (Telecommunication/ICT accessibility) Enhance telecommunications/ICTs accessibility for persons with disabilities and specific </w:t>
      </w:r>
      <w:proofErr w:type="gramStart"/>
      <w:r w:rsidRPr="00B64995">
        <w:t>needs</w:t>
      </w:r>
      <w:proofErr w:type="gramEnd"/>
    </w:p>
    <w:p w14:paraId="5D63FEE1" w14:textId="77777777" w:rsidR="00AA47DC" w:rsidRPr="00B64995" w:rsidRDefault="00AA47DC" w:rsidP="00AA47DC">
      <w:pPr>
        <w:jc w:val="both"/>
        <w:rPr>
          <w:b/>
          <w:bCs/>
        </w:rPr>
      </w:pPr>
    </w:p>
    <w:p w14:paraId="6035F09A" w14:textId="77777777" w:rsidR="00AA47DC" w:rsidRPr="00B64995" w:rsidRDefault="00AA47DC" w:rsidP="00570F0C">
      <w:pPr>
        <w:pStyle w:val="Heading5"/>
        <w:spacing w:before="60"/>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185ED7C6" w14:textId="77777777" w:rsidTr="00C92451">
        <w:tc>
          <w:tcPr>
            <w:tcW w:w="9016" w:type="dxa"/>
            <w:shd w:val="clear" w:color="auto" w:fill="DCE5F4"/>
          </w:tcPr>
          <w:p w14:paraId="1B71A69B" w14:textId="77777777" w:rsidR="0049723A" w:rsidRPr="00B87922" w:rsidRDefault="00AA47DC" w:rsidP="00AB5FA4">
            <w:pPr>
              <w:pStyle w:val="tabletext"/>
              <w:rPr>
                <w:lang w:val="en-GB"/>
              </w:rPr>
            </w:pPr>
            <w:r w:rsidRPr="00B64995">
              <w:t xml:space="preserve">I.3-a: Increased availability and compliance of telecommunication/ICT equipment, </w:t>
            </w:r>
            <w:proofErr w:type="gramStart"/>
            <w:r w:rsidRPr="00B64995">
              <w:t>services</w:t>
            </w:r>
            <w:proofErr w:type="gramEnd"/>
            <w:r w:rsidRPr="00B64995">
              <w:t xml:space="preserve"> and applications with universal design principles</w:t>
            </w:r>
          </w:p>
          <w:p w14:paraId="7DE872D6" w14:textId="77777777" w:rsidR="0049723A" w:rsidRPr="00B87922" w:rsidRDefault="00AA47DC" w:rsidP="00AB5FA4">
            <w:pPr>
              <w:pStyle w:val="tabletext"/>
              <w:rPr>
                <w:lang w:val="en-GB"/>
              </w:rPr>
            </w:pPr>
            <w:r w:rsidRPr="00B64995">
              <w:t>I.3-b: Increased engagement of organizations of persons with disabilities and specific needs in the work of the Union</w:t>
            </w:r>
          </w:p>
          <w:p w14:paraId="3432B537" w14:textId="18C94F00" w:rsidR="00AA47DC" w:rsidRPr="00B87922" w:rsidRDefault="00AA47DC" w:rsidP="00AB5FA4">
            <w:pPr>
              <w:pStyle w:val="tabletext"/>
              <w:rPr>
                <w:lang w:val="en-GB"/>
              </w:rPr>
            </w:pPr>
            <w:r w:rsidRPr="00B64995">
              <w:t>I.3-c: Increased awareness, including multilateral and intergovernmental recognition, of the need to enhance access to telecommunications/ICTs for persons with disabilities and specific needs</w:t>
            </w:r>
          </w:p>
        </w:tc>
      </w:tr>
    </w:tbl>
    <w:p w14:paraId="098883C6" w14:textId="77777777" w:rsidR="00AA47DC" w:rsidRPr="00B64995" w:rsidRDefault="00AA47DC" w:rsidP="00AA47DC"/>
    <w:p w14:paraId="485524DD" w14:textId="79136DAA" w:rsidR="00AA47DC" w:rsidRPr="00B64995" w:rsidRDefault="00AA47DC" w:rsidP="00570F0C">
      <w:pPr>
        <w:pStyle w:val="Heading5"/>
        <w:spacing w:before="80"/>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640"/>
      </w:tblGrid>
      <w:tr w:rsidR="00AC43E8" w:rsidRPr="00B64995" w14:paraId="4CDA4465" w14:textId="77777777" w:rsidTr="00FC256C">
        <w:tc>
          <w:tcPr>
            <w:tcW w:w="4130" w:type="dxa"/>
          </w:tcPr>
          <w:p w14:paraId="3A47132F" w14:textId="77777777" w:rsidR="00F45824" w:rsidRPr="00B87922" w:rsidRDefault="00F45824" w:rsidP="00570F0C">
            <w:pPr>
              <w:spacing w:after="120"/>
              <w:rPr>
                <w:lang w:val="en-GB"/>
              </w:rPr>
            </w:pPr>
          </w:p>
        </w:tc>
        <w:tc>
          <w:tcPr>
            <w:tcW w:w="4896" w:type="dxa"/>
          </w:tcPr>
          <w:p w14:paraId="53B7CA57" w14:textId="77777777" w:rsidR="00F45824" w:rsidRPr="00B87922" w:rsidRDefault="00F45824" w:rsidP="00570F0C">
            <w:pPr>
              <w:spacing w:after="120"/>
              <w:rPr>
                <w:lang w:val="en-GB"/>
              </w:rPr>
            </w:pPr>
          </w:p>
        </w:tc>
      </w:tr>
      <w:tr w:rsidR="00AC43E8" w:rsidRPr="00B64995" w14:paraId="437B4410" w14:textId="77777777" w:rsidTr="00FC256C">
        <w:tc>
          <w:tcPr>
            <w:tcW w:w="4130" w:type="dxa"/>
          </w:tcPr>
          <w:p w14:paraId="6C7EB9E5" w14:textId="543B6B4D" w:rsidR="00F45824" w:rsidRPr="00B87922" w:rsidRDefault="0000334C" w:rsidP="00AA47DC">
            <w:pPr>
              <w:spacing w:after="160"/>
              <w:rPr>
                <w:lang w:val="en-GB"/>
              </w:rPr>
            </w:pPr>
            <w:r>
              <w:rPr>
                <w:noProof/>
              </w:rPr>
              <w:drawing>
                <wp:inline distT="0" distB="0" distL="0" distR="0" wp14:anchorId="648A7C9B" wp14:editId="22FDD31E">
                  <wp:extent cx="2641054" cy="1579027"/>
                  <wp:effectExtent l="0" t="0" r="6985" b="2540"/>
                  <wp:docPr id="1193504079" name="Picture 119350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54458" cy="1587041"/>
                          </a:xfrm>
                          <a:prstGeom prst="rect">
                            <a:avLst/>
                          </a:prstGeom>
                          <a:noFill/>
                        </pic:spPr>
                      </pic:pic>
                    </a:graphicData>
                  </a:graphic>
                </wp:inline>
              </w:drawing>
            </w:r>
          </w:p>
        </w:tc>
        <w:tc>
          <w:tcPr>
            <w:tcW w:w="4896" w:type="dxa"/>
          </w:tcPr>
          <w:p w14:paraId="54AE72E9" w14:textId="438DB070" w:rsidR="00F45824" w:rsidRPr="00B87922" w:rsidRDefault="00F45824" w:rsidP="00AA47DC">
            <w:pPr>
              <w:spacing w:after="160"/>
              <w:rPr>
                <w:lang w:val="en-GB"/>
              </w:rPr>
            </w:pPr>
          </w:p>
        </w:tc>
      </w:tr>
      <w:tr w:rsidR="00FC256C" w:rsidRPr="00B64995" w14:paraId="5C325F94" w14:textId="77777777" w:rsidTr="00B87922">
        <w:tc>
          <w:tcPr>
            <w:tcW w:w="9026" w:type="dxa"/>
            <w:gridSpan w:val="2"/>
          </w:tcPr>
          <w:p w14:paraId="652BCBB2" w14:textId="7663EB0E" w:rsidR="00FC256C" w:rsidRPr="003C5E1A" w:rsidDel="007557E0" w:rsidRDefault="00FC256C" w:rsidP="00B87922">
            <w:pPr>
              <w:spacing w:after="160"/>
              <w:jc w:val="center"/>
              <w:rPr>
                <w:noProof/>
              </w:rPr>
            </w:pPr>
            <w:r>
              <w:rPr>
                <w:noProof/>
              </w:rPr>
              <w:drawing>
                <wp:inline distT="0" distB="0" distL="0" distR="0" wp14:anchorId="723D7716" wp14:editId="5FA327EA">
                  <wp:extent cx="5487200" cy="1917510"/>
                  <wp:effectExtent l="0" t="0" r="0" b="6985"/>
                  <wp:docPr id="1193504077" name="Picture 119350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487200" cy="1917510"/>
                          </a:xfrm>
                          <a:prstGeom prst="rect">
                            <a:avLst/>
                          </a:prstGeom>
                          <a:noFill/>
                        </pic:spPr>
                      </pic:pic>
                    </a:graphicData>
                  </a:graphic>
                </wp:inline>
              </w:drawing>
            </w:r>
          </w:p>
        </w:tc>
      </w:tr>
      <w:tr w:rsidR="00AC43E8" w:rsidRPr="00B64995" w14:paraId="39F43E7F" w14:textId="77777777" w:rsidTr="00FC256C">
        <w:tc>
          <w:tcPr>
            <w:tcW w:w="4130" w:type="dxa"/>
          </w:tcPr>
          <w:p w14:paraId="6AEEF778" w14:textId="77777777" w:rsidR="00F45824" w:rsidRPr="00B87922" w:rsidRDefault="00F45824" w:rsidP="00570F0C">
            <w:pPr>
              <w:spacing w:after="80"/>
              <w:rPr>
                <w:lang w:val="en-GB"/>
              </w:rPr>
            </w:pPr>
          </w:p>
        </w:tc>
        <w:tc>
          <w:tcPr>
            <w:tcW w:w="4896" w:type="dxa"/>
          </w:tcPr>
          <w:p w14:paraId="6C98B8BE" w14:textId="77777777" w:rsidR="00F45824" w:rsidRPr="00B87922" w:rsidRDefault="00F45824" w:rsidP="00570F0C">
            <w:pPr>
              <w:spacing w:after="80"/>
              <w:rPr>
                <w:lang w:val="en-GB"/>
              </w:rPr>
            </w:pPr>
          </w:p>
        </w:tc>
      </w:tr>
      <w:tr w:rsidR="00F45824" w:rsidRPr="00B64995" w14:paraId="37F638EF" w14:textId="77777777" w:rsidTr="6844BCB7">
        <w:tc>
          <w:tcPr>
            <w:tcW w:w="9026" w:type="dxa"/>
            <w:gridSpan w:val="2"/>
          </w:tcPr>
          <w:p w14:paraId="6A0E5025" w14:textId="2F79341F" w:rsidR="00F45824" w:rsidRPr="00B87922" w:rsidRDefault="00195ADC" w:rsidP="003508C6">
            <w:pPr>
              <w:spacing w:after="160"/>
              <w:jc w:val="center"/>
              <w:rPr>
                <w:lang w:val="en-GB"/>
              </w:rPr>
            </w:pPr>
            <w:r>
              <w:rPr>
                <w:noProof/>
              </w:rPr>
              <w:drawing>
                <wp:inline distT="0" distB="0" distL="0" distR="0" wp14:anchorId="447F277B" wp14:editId="5E3A6705">
                  <wp:extent cx="3636276" cy="2149523"/>
                  <wp:effectExtent l="0" t="0" r="2540" b="3175"/>
                  <wp:docPr id="1193504082" name="Picture 119350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643893" cy="2154025"/>
                          </a:xfrm>
                          <a:prstGeom prst="rect">
                            <a:avLst/>
                          </a:prstGeom>
                          <a:noFill/>
                        </pic:spPr>
                      </pic:pic>
                    </a:graphicData>
                  </a:graphic>
                </wp:inline>
              </w:drawing>
            </w:r>
          </w:p>
        </w:tc>
      </w:tr>
      <w:tr w:rsidR="00AC43E8" w:rsidRPr="00B64995" w14:paraId="57F2B347" w14:textId="77777777" w:rsidTr="00FC256C">
        <w:tc>
          <w:tcPr>
            <w:tcW w:w="4130" w:type="dxa"/>
          </w:tcPr>
          <w:p w14:paraId="7BF2F300" w14:textId="77777777" w:rsidR="00F45824" w:rsidRPr="00B87922" w:rsidRDefault="00F45824" w:rsidP="00570F0C">
            <w:pPr>
              <w:rPr>
                <w:lang w:val="en-GB"/>
              </w:rPr>
            </w:pPr>
          </w:p>
        </w:tc>
        <w:tc>
          <w:tcPr>
            <w:tcW w:w="4896" w:type="dxa"/>
          </w:tcPr>
          <w:p w14:paraId="32614076" w14:textId="77777777" w:rsidR="00F45824" w:rsidRPr="00B87922" w:rsidRDefault="00F45824" w:rsidP="00570F0C">
            <w:pPr>
              <w:rPr>
                <w:lang w:val="en-GB"/>
              </w:rPr>
            </w:pPr>
          </w:p>
        </w:tc>
      </w:tr>
    </w:tbl>
    <w:p w14:paraId="4683513D" w14:textId="57A9FF82" w:rsidR="00391B3D" w:rsidRPr="00B64995" w:rsidRDefault="00391B3D" w:rsidP="00AA47DC">
      <w:pPr>
        <w:rPr>
          <w:b/>
          <w:bCs/>
        </w:rPr>
      </w:pPr>
    </w:p>
    <w:p w14:paraId="4F893EBA" w14:textId="1B20705D" w:rsidR="00AA47DC" w:rsidRPr="00B64995" w:rsidRDefault="00AA47DC" w:rsidP="00AA47DC">
      <w:r w:rsidRPr="00B64995">
        <w:rPr>
          <w:b/>
          <w:bCs/>
        </w:rPr>
        <w:lastRenderedPageBreak/>
        <w:t>Objective I.4</w:t>
      </w:r>
      <w:r w:rsidRPr="00B64995">
        <w:t xml:space="preserve">: (Gender equality and inclusion) Enhance the use of telecommunication/ICTs for gender equality and inclusion, and empowerment of women and </w:t>
      </w:r>
      <w:proofErr w:type="gramStart"/>
      <w:r w:rsidRPr="00B64995">
        <w:t>girls</w:t>
      </w:r>
      <w:proofErr w:type="gramEnd"/>
    </w:p>
    <w:p w14:paraId="5F385297" w14:textId="77777777" w:rsidR="00AA47DC" w:rsidRPr="00B64995" w:rsidRDefault="00AA47DC" w:rsidP="00AA47DC">
      <w:pPr>
        <w:jc w:val="both"/>
        <w:rPr>
          <w:b/>
          <w:bCs/>
        </w:rPr>
      </w:pPr>
    </w:p>
    <w:p w14:paraId="0EC54FB6"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5E23B10A" w14:textId="77777777" w:rsidTr="00C92451">
        <w:tc>
          <w:tcPr>
            <w:tcW w:w="9016" w:type="dxa"/>
            <w:shd w:val="clear" w:color="auto" w:fill="DCE5F4"/>
          </w:tcPr>
          <w:p w14:paraId="428FBF53" w14:textId="77777777" w:rsidR="00AA47DC" w:rsidRPr="00B87922" w:rsidRDefault="00AA47DC" w:rsidP="00AB5FA4">
            <w:pPr>
              <w:pStyle w:val="tabletext"/>
              <w:rPr>
                <w:lang w:val="en-GB"/>
              </w:rPr>
            </w:pPr>
            <w:r w:rsidRPr="00B64995">
              <w:t xml:space="preserve">I I.4-a: Enhanced access to and use of telecommunication/ICTs to promote the empowerment of </w:t>
            </w:r>
            <w:proofErr w:type="gramStart"/>
            <w:r w:rsidRPr="00B64995">
              <w:t>women</w:t>
            </w:r>
            <w:proofErr w:type="gramEnd"/>
          </w:p>
          <w:p w14:paraId="1C7C4814" w14:textId="3651BA85" w:rsidR="0049723A" w:rsidRPr="00B87922" w:rsidRDefault="00AA47DC" w:rsidP="00AB5FA4">
            <w:pPr>
              <w:pStyle w:val="tabletext"/>
              <w:rPr>
                <w:lang w:val="en-GB"/>
              </w:rPr>
            </w:pPr>
            <w:r w:rsidRPr="00B64995">
              <w:t xml:space="preserve">I.4-b: Enhanced participation of women at all </w:t>
            </w:r>
            <w:proofErr w:type="gramStart"/>
            <w:r w:rsidRPr="00B64995">
              <w:t>level</w:t>
            </w:r>
            <w:proofErr w:type="gramEnd"/>
            <w:r w:rsidRPr="00B64995">
              <w:t xml:space="preserve"> of </w:t>
            </w:r>
            <w:r w:rsidR="00BD0955" w:rsidRPr="00B64995">
              <w:t>decision-making</w:t>
            </w:r>
            <w:r w:rsidRPr="00B64995">
              <w:t xml:space="preserve"> in the work of the Union and the telecommunication/ICT sector</w:t>
            </w:r>
          </w:p>
          <w:p w14:paraId="490903F2" w14:textId="77777777" w:rsidR="0049723A" w:rsidRPr="00B87922" w:rsidRDefault="00AA47DC" w:rsidP="00AB5FA4">
            <w:pPr>
              <w:pStyle w:val="tabletext"/>
              <w:rPr>
                <w:lang w:val="en-GB"/>
              </w:rPr>
            </w:pPr>
            <w:r w:rsidRPr="00B64995">
              <w:t xml:space="preserve">I.4-c: Increased engagement with other UN organizations and stakeholders involved in using telecommunication/ICTs to promote the empowerment of </w:t>
            </w:r>
            <w:proofErr w:type="gramStart"/>
            <w:r w:rsidRPr="00B64995">
              <w:t>women</w:t>
            </w:r>
            <w:proofErr w:type="gramEnd"/>
          </w:p>
          <w:p w14:paraId="7BA0AD42" w14:textId="786D4EEA" w:rsidR="00AA47DC" w:rsidRPr="00B87922" w:rsidRDefault="00AA47DC" w:rsidP="00AB5FA4">
            <w:pPr>
              <w:pStyle w:val="tabletext"/>
              <w:rPr>
                <w:lang w:val="en-GB"/>
              </w:rPr>
            </w:pPr>
            <w:r w:rsidRPr="00B64995">
              <w:t>I.4-d: Full implementation of UN system-wide strategy on gender parity within ITU</w:t>
            </w:r>
            <w:r w:rsidR="00A92ED1" w:rsidRPr="00B64995">
              <w:t>’</w:t>
            </w:r>
            <w:r w:rsidRPr="00B64995">
              <w:t>s remit</w:t>
            </w:r>
          </w:p>
        </w:tc>
      </w:tr>
    </w:tbl>
    <w:p w14:paraId="1A4BB469" w14:textId="77777777" w:rsidR="00AA47DC" w:rsidRPr="00B64995" w:rsidRDefault="00AA47DC" w:rsidP="00AA47DC"/>
    <w:p w14:paraId="4A1A96AA" w14:textId="79631BA6" w:rsidR="4C4BFA92" w:rsidRPr="00B64995" w:rsidRDefault="00AA47DC" w:rsidP="00A83DAA">
      <w:pPr>
        <w:pStyle w:val="Heading5"/>
      </w:pPr>
      <w:r w:rsidRPr="00B64995">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513"/>
        <w:gridCol w:w="4513"/>
      </w:tblGrid>
      <w:tr w:rsidR="4C4BFA92" w:rsidRPr="00B64995" w14:paraId="2836790D" w14:textId="77777777" w:rsidTr="6844BCB7">
        <w:tc>
          <w:tcPr>
            <w:tcW w:w="4513" w:type="dxa"/>
          </w:tcPr>
          <w:p w14:paraId="257344A2" w14:textId="2E58E744" w:rsidR="4C4BFA92" w:rsidRPr="00B87922" w:rsidRDefault="4C4BFA92" w:rsidP="4C4BFA92">
            <w:pPr>
              <w:rPr>
                <w:lang w:val="en-GB"/>
              </w:rPr>
            </w:pPr>
          </w:p>
        </w:tc>
        <w:tc>
          <w:tcPr>
            <w:tcW w:w="4513" w:type="dxa"/>
          </w:tcPr>
          <w:p w14:paraId="0877F1A6" w14:textId="6E92CF27" w:rsidR="4C4BFA92" w:rsidRPr="00B87922" w:rsidRDefault="4C4BFA92" w:rsidP="4C4BFA92">
            <w:pPr>
              <w:rPr>
                <w:lang w:val="en-GB"/>
              </w:rPr>
            </w:pPr>
          </w:p>
        </w:tc>
      </w:tr>
      <w:tr w:rsidR="4C4BFA92" w:rsidRPr="00B64995" w14:paraId="0B4C2DC4" w14:textId="77777777" w:rsidTr="6844BCB7">
        <w:tc>
          <w:tcPr>
            <w:tcW w:w="4513" w:type="dxa"/>
          </w:tcPr>
          <w:p w14:paraId="38980F85" w14:textId="1479559B" w:rsidR="4C4BFA92" w:rsidRPr="00B87922" w:rsidRDefault="003800E0" w:rsidP="003508C6">
            <w:pPr>
              <w:jc w:val="center"/>
              <w:rPr>
                <w:lang w:val="en-GB"/>
              </w:rPr>
            </w:pPr>
            <w:r>
              <w:rPr>
                <w:noProof/>
              </w:rPr>
              <w:drawing>
                <wp:inline distT="0" distB="0" distL="0" distR="0" wp14:anchorId="6261C8B0" wp14:editId="1E0B1E93">
                  <wp:extent cx="2108045" cy="1296988"/>
                  <wp:effectExtent l="0" t="0" r="6985" b="0"/>
                  <wp:docPr id="1837948300" name="Picture 183794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116071" cy="1301926"/>
                          </a:xfrm>
                          <a:prstGeom prst="rect">
                            <a:avLst/>
                          </a:prstGeom>
                          <a:noFill/>
                        </pic:spPr>
                      </pic:pic>
                    </a:graphicData>
                  </a:graphic>
                </wp:inline>
              </w:drawing>
            </w:r>
          </w:p>
        </w:tc>
        <w:tc>
          <w:tcPr>
            <w:tcW w:w="4513" w:type="dxa"/>
          </w:tcPr>
          <w:p w14:paraId="32AB6A9E" w14:textId="526C68FF" w:rsidR="4C4BFA92" w:rsidRPr="00B87922" w:rsidRDefault="00E44779" w:rsidP="003508C6">
            <w:pPr>
              <w:jc w:val="center"/>
              <w:rPr>
                <w:lang w:val="en-GB"/>
              </w:rPr>
            </w:pPr>
            <w:r>
              <w:rPr>
                <w:noProof/>
              </w:rPr>
              <w:drawing>
                <wp:inline distT="0" distB="0" distL="0" distR="0" wp14:anchorId="7A0BC91E" wp14:editId="048FA839">
                  <wp:extent cx="2106862" cy="1361491"/>
                  <wp:effectExtent l="0" t="0" r="8255" b="0"/>
                  <wp:docPr id="1837948304" name="Picture 183794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117324" cy="1368252"/>
                          </a:xfrm>
                          <a:prstGeom prst="rect">
                            <a:avLst/>
                          </a:prstGeom>
                          <a:noFill/>
                        </pic:spPr>
                      </pic:pic>
                    </a:graphicData>
                  </a:graphic>
                </wp:inline>
              </w:drawing>
            </w:r>
          </w:p>
        </w:tc>
      </w:tr>
      <w:tr w:rsidR="00027DB1" w:rsidRPr="00B64995" w14:paraId="093F4DA9" w14:textId="77777777" w:rsidTr="00B87922">
        <w:tc>
          <w:tcPr>
            <w:tcW w:w="4513" w:type="dxa"/>
          </w:tcPr>
          <w:p w14:paraId="0A9785EF" w14:textId="09F578AC" w:rsidR="00027DB1" w:rsidRDefault="00027DB1" w:rsidP="007A1DC2">
            <w:pPr>
              <w:jc w:val="center"/>
            </w:pPr>
          </w:p>
          <w:p w14:paraId="7BD90D85" w14:textId="215869C4" w:rsidR="001304F8" w:rsidRPr="00027DB1" w:rsidRDefault="00D76447" w:rsidP="007A1DC2">
            <w:pPr>
              <w:jc w:val="center"/>
            </w:pPr>
            <w:r>
              <w:rPr>
                <w:noProof/>
              </w:rPr>
              <w:drawing>
                <wp:inline distT="0" distB="0" distL="0" distR="0" wp14:anchorId="412F6B82" wp14:editId="37B9CF0B">
                  <wp:extent cx="2238272" cy="1530668"/>
                  <wp:effectExtent l="0" t="0" r="0" b="0"/>
                  <wp:docPr id="1837948303" name="Picture 183794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240126" cy="1531936"/>
                          </a:xfrm>
                          <a:prstGeom prst="rect">
                            <a:avLst/>
                          </a:prstGeom>
                          <a:noFill/>
                        </pic:spPr>
                      </pic:pic>
                    </a:graphicData>
                  </a:graphic>
                </wp:inline>
              </w:drawing>
            </w:r>
          </w:p>
        </w:tc>
        <w:tc>
          <w:tcPr>
            <w:tcW w:w="4513" w:type="dxa"/>
          </w:tcPr>
          <w:p w14:paraId="18341326" w14:textId="77777777" w:rsidR="00027DB1" w:rsidRDefault="00027DB1" w:rsidP="007A1DC2">
            <w:pPr>
              <w:jc w:val="center"/>
              <w:rPr>
                <w:lang w:val="en-GB"/>
              </w:rPr>
            </w:pPr>
          </w:p>
          <w:p w14:paraId="0DB884E5" w14:textId="1BB025A2" w:rsidR="008E4DFD" w:rsidRPr="00B87922" w:rsidRDefault="008E4DFD" w:rsidP="007A1DC2">
            <w:pPr>
              <w:jc w:val="center"/>
              <w:rPr>
                <w:lang w:val="en-GB"/>
              </w:rPr>
            </w:pPr>
          </w:p>
        </w:tc>
      </w:tr>
      <w:tr w:rsidR="4C4BFA92" w:rsidRPr="00B64995" w14:paraId="7AEF8CF0" w14:textId="77777777" w:rsidTr="6844BCB7">
        <w:tc>
          <w:tcPr>
            <w:tcW w:w="4513" w:type="dxa"/>
          </w:tcPr>
          <w:p w14:paraId="4E646B11" w14:textId="316894A0" w:rsidR="4C4BFA92" w:rsidRPr="00B87922" w:rsidRDefault="4C4BFA92" w:rsidP="4C4BFA92">
            <w:pPr>
              <w:rPr>
                <w:lang w:val="en-GB"/>
              </w:rPr>
            </w:pPr>
          </w:p>
        </w:tc>
        <w:tc>
          <w:tcPr>
            <w:tcW w:w="4513" w:type="dxa"/>
          </w:tcPr>
          <w:p w14:paraId="52CD5544" w14:textId="316894A0" w:rsidR="4C4BFA92" w:rsidRPr="00B87922" w:rsidRDefault="4C4BFA92" w:rsidP="4C4BFA92">
            <w:pPr>
              <w:rPr>
                <w:lang w:val="en-GB"/>
              </w:rPr>
            </w:pPr>
          </w:p>
        </w:tc>
      </w:tr>
      <w:tr w:rsidR="4C4BFA92" w:rsidRPr="00B64995" w14:paraId="7C6ABFD0" w14:textId="77777777" w:rsidTr="6844BCB7">
        <w:tc>
          <w:tcPr>
            <w:tcW w:w="4513" w:type="dxa"/>
          </w:tcPr>
          <w:p w14:paraId="53228988" w14:textId="316894A0" w:rsidR="4C4BFA92" w:rsidRPr="00B87922" w:rsidRDefault="4C4BFA92" w:rsidP="4C4BFA92">
            <w:pPr>
              <w:rPr>
                <w:lang w:val="en-GB"/>
              </w:rPr>
            </w:pPr>
          </w:p>
        </w:tc>
        <w:tc>
          <w:tcPr>
            <w:tcW w:w="4513" w:type="dxa"/>
          </w:tcPr>
          <w:p w14:paraId="1398F92E" w14:textId="316894A0" w:rsidR="4C4BFA92" w:rsidRPr="00B87922" w:rsidRDefault="4C4BFA92" w:rsidP="4C4BFA92">
            <w:pPr>
              <w:rPr>
                <w:lang w:val="en-GB"/>
              </w:rPr>
            </w:pPr>
          </w:p>
        </w:tc>
      </w:tr>
    </w:tbl>
    <w:p w14:paraId="730B7936" w14:textId="6F62DE46" w:rsidR="4C4BFA92" w:rsidRPr="00B64995" w:rsidRDefault="4C4BFA92" w:rsidP="4C4BFA92">
      <w:pPr>
        <w:spacing w:after="160"/>
        <w:jc w:val="both"/>
      </w:pPr>
    </w:p>
    <w:p w14:paraId="3AE349AE" w14:textId="77777777" w:rsidR="00AA47DC" w:rsidRPr="00B64995" w:rsidRDefault="00AA47DC" w:rsidP="00AA47DC">
      <w:r w:rsidRPr="00B64995">
        <w:rPr>
          <w:b/>
          <w:bCs/>
        </w:rPr>
        <w:t>Objective I.5</w:t>
      </w:r>
      <w:r w:rsidRPr="00B64995">
        <w:t xml:space="preserve">: (Environmental sustainability) Leverage telecommunication/ICTs to reduce environmental </w:t>
      </w:r>
      <w:proofErr w:type="gramStart"/>
      <w:r w:rsidRPr="00B64995">
        <w:t>footprint</w:t>
      </w:r>
      <w:proofErr w:type="gramEnd"/>
    </w:p>
    <w:p w14:paraId="3C8E611E" w14:textId="77777777" w:rsidR="00AA47DC" w:rsidRPr="00B64995" w:rsidRDefault="00AA47DC" w:rsidP="00AA47DC">
      <w:pPr>
        <w:jc w:val="both"/>
        <w:rPr>
          <w:b/>
          <w:bCs/>
        </w:rPr>
      </w:pPr>
    </w:p>
    <w:p w14:paraId="3D308B9F"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46D6241B" w14:textId="77777777" w:rsidTr="00C92451">
        <w:tc>
          <w:tcPr>
            <w:tcW w:w="9016" w:type="dxa"/>
            <w:shd w:val="clear" w:color="auto" w:fill="DCE5F4"/>
          </w:tcPr>
          <w:p w14:paraId="561A68DD" w14:textId="77777777" w:rsidR="0049723A" w:rsidRPr="00B87922" w:rsidRDefault="00AA47DC" w:rsidP="00AB5FA4">
            <w:pPr>
              <w:pStyle w:val="tabletext"/>
              <w:rPr>
                <w:lang w:val="en-GB"/>
              </w:rPr>
            </w:pPr>
            <w:r w:rsidRPr="00B64995">
              <w:t>I.5-a: Improved efficiency of environmental policies and standards</w:t>
            </w:r>
          </w:p>
          <w:p w14:paraId="5C064EEB" w14:textId="77777777" w:rsidR="0049723A" w:rsidRPr="00B87922" w:rsidRDefault="00AA47DC" w:rsidP="00AB5FA4">
            <w:pPr>
              <w:pStyle w:val="tabletext"/>
              <w:rPr>
                <w:lang w:val="en-GB"/>
              </w:rPr>
            </w:pPr>
            <w:r w:rsidRPr="00B64995">
              <w:t>I.5-b: Reduced energy consumption from telecommunication/ICT applications</w:t>
            </w:r>
          </w:p>
          <w:p w14:paraId="3A8B226B" w14:textId="77777777" w:rsidR="0049723A" w:rsidRPr="00B87922" w:rsidRDefault="00AA47DC" w:rsidP="00AB5FA4">
            <w:pPr>
              <w:pStyle w:val="tabletext"/>
              <w:rPr>
                <w:lang w:val="en-GB"/>
              </w:rPr>
            </w:pPr>
            <w:r w:rsidRPr="00B64995">
              <w:t xml:space="preserve">I.5-c: Increasing number of recycled </w:t>
            </w:r>
            <w:proofErr w:type="gramStart"/>
            <w:r w:rsidRPr="00B64995">
              <w:t>e-waste</w:t>
            </w:r>
            <w:proofErr w:type="gramEnd"/>
          </w:p>
          <w:p w14:paraId="708C062F" w14:textId="0205FB6C" w:rsidR="00AA47DC" w:rsidRPr="00B87922" w:rsidRDefault="00AA47DC" w:rsidP="00AB5FA4">
            <w:pPr>
              <w:pStyle w:val="tabletext"/>
              <w:rPr>
                <w:lang w:val="en-GB"/>
              </w:rPr>
            </w:pPr>
            <w:r w:rsidRPr="00B64995">
              <w:t>I.5-d: Improved solutions for Smart Sustainable Cities</w:t>
            </w:r>
          </w:p>
        </w:tc>
      </w:tr>
    </w:tbl>
    <w:p w14:paraId="2033F11C" w14:textId="77777777" w:rsidR="00AA47DC" w:rsidRPr="00B64995" w:rsidRDefault="00AA47DC" w:rsidP="00AA47DC"/>
    <w:p w14:paraId="3AF6BE6F" w14:textId="77777777" w:rsidR="00391B3D" w:rsidRPr="00B64995" w:rsidRDefault="00391B3D" w:rsidP="00A83DAA">
      <w:pPr>
        <w:pStyle w:val="Heading5"/>
      </w:pPr>
      <w:r w:rsidRPr="00B64995">
        <w:br w:type="page"/>
      </w:r>
    </w:p>
    <w:p w14:paraId="6371F6AC" w14:textId="73F9386E" w:rsidR="00AA47DC" w:rsidRPr="00B64995" w:rsidRDefault="00AA47DC" w:rsidP="00A83DAA">
      <w:pPr>
        <w:pStyle w:val="Heading5"/>
      </w:pPr>
      <w:r w:rsidRPr="00B64995">
        <w:lastRenderedPageBreak/>
        <w:t xml:space="preserve">Progress </w:t>
      </w:r>
      <w:proofErr w:type="gramStart"/>
      <w:r w:rsidRPr="00B64995">
        <w:t>achieved</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45824" w:rsidRPr="00B64995" w14:paraId="1F63D6A7" w14:textId="77777777" w:rsidTr="6844BCB7">
        <w:tc>
          <w:tcPr>
            <w:tcW w:w="4508" w:type="dxa"/>
          </w:tcPr>
          <w:p w14:paraId="24D6B09E" w14:textId="77777777" w:rsidR="00F45824" w:rsidRPr="00B87922" w:rsidRDefault="00F45824" w:rsidP="00AA47DC">
            <w:pPr>
              <w:spacing w:after="160"/>
              <w:rPr>
                <w:b/>
                <w:bCs/>
                <w:lang w:val="en-GB"/>
              </w:rPr>
            </w:pPr>
          </w:p>
        </w:tc>
        <w:tc>
          <w:tcPr>
            <w:tcW w:w="4508" w:type="dxa"/>
          </w:tcPr>
          <w:p w14:paraId="5B4273DD" w14:textId="77777777" w:rsidR="00F45824" w:rsidRPr="00B87922" w:rsidRDefault="00F45824" w:rsidP="00AA47DC">
            <w:pPr>
              <w:spacing w:after="160"/>
              <w:rPr>
                <w:b/>
                <w:bCs/>
                <w:lang w:val="en-GB"/>
              </w:rPr>
            </w:pPr>
          </w:p>
        </w:tc>
      </w:tr>
      <w:tr w:rsidR="004F4236" w:rsidRPr="00B64995" w14:paraId="736B56E4" w14:textId="77777777" w:rsidTr="6844BCB7">
        <w:tc>
          <w:tcPr>
            <w:tcW w:w="4508" w:type="dxa"/>
          </w:tcPr>
          <w:p w14:paraId="542E97B0" w14:textId="3BE7E913" w:rsidR="004F4236" w:rsidRPr="00B87922" w:rsidRDefault="2C11A9F4" w:rsidP="004F4236">
            <w:pPr>
              <w:spacing w:after="160"/>
              <w:rPr>
                <w:b/>
                <w:bCs/>
                <w:lang w:val="en-GB"/>
              </w:rPr>
            </w:pPr>
            <w:r w:rsidRPr="003C5E1A">
              <w:rPr>
                <w:noProof/>
              </w:rPr>
              <w:drawing>
                <wp:inline distT="0" distB="0" distL="0" distR="0" wp14:anchorId="4AE561DB" wp14:editId="584C1F6F">
                  <wp:extent cx="2344765" cy="1409457"/>
                  <wp:effectExtent l="0" t="0" r="0" b="635"/>
                  <wp:docPr id="587916762" name="Picture 49229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3"/>
                          <pic:cNvPicPr/>
                        </pic:nvPicPr>
                        <pic:blipFill>
                          <a:blip r:embed="rId656" cstate="print">
                            <a:extLst>
                              <a:ext uri="{28A0092B-C50C-407E-A947-70E740481C1C}">
                                <a14:useLocalDpi xmlns:a14="http://schemas.microsoft.com/office/drawing/2010/main" val="0"/>
                              </a:ext>
                            </a:extLst>
                          </a:blip>
                          <a:stretch>
                            <a:fillRect/>
                          </a:stretch>
                        </pic:blipFill>
                        <pic:spPr>
                          <a:xfrm>
                            <a:off x="0" y="0"/>
                            <a:ext cx="2344765" cy="1409457"/>
                          </a:xfrm>
                          <a:prstGeom prst="rect">
                            <a:avLst/>
                          </a:prstGeom>
                        </pic:spPr>
                      </pic:pic>
                    </a:graphicData>
                  </a:graphic>
                </wp:inline>
              </w:drawing>
            </w:r>
          </w:p>
        </w:tc>
        <w:tc>
          <w:tcPr>
            <w:tcW w:w="4508" w:type="dxa"/>
          </w:tcPr>
          <w:p w14:paraId="1A7E1EAB" w14:textId="700CADAF" w:rsidR="004F4236" w:rsidRPr="00B87922" w:rsidRDefault="1B8DC1EC" w:rsidP="004F4236">
            <w:pPr>
              <w:spacing w:after="160"/>
              <w:rPr>
                <w:b/>
                <w:bCs/>
                <w:lang w:val="en-GB"/>
              </w:rPr>
            </w:pPr>
            <w:r w:rsidRPr="003C5E1A">
              <w:rPr>
                <w:noProof/>
              </w:rPr>
              <w:drawing>
                <wp:inline distT="0" distB="0" distL="0" distR="0" wp14:anchorId="316FF5A1" wp14:editId="649E113B">
                  <wp:extent cx="2376028" cy="1446228"/>
                  <wp:effectExtent l="0" t="0" r="5715" b="1905"/>
                  <wp:docPr id="1703806419" name="Picture 49229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4"/>
                          <pic:cNvPicPr/>
                        </pic:nvPicPr>
                        <pic:blipFill>
                          <a:blip r:embed="rId464">
                            <a:extLst>
                              <a:ext uri="{28A0092B-C50C-407E-A947-70E740481C1C}">
                                <a14:useLocalDpi xmlns:a14="http://schemas.microsoft.com/office/drawing/2010/main" val="0"/>
                              </a:ext>
                            </a:extLst>
                          </a:blip>
                          <a:stretch>
                            <a:fillRect/>
                          </a:stretch>
                        </pic:blipFill>
                        <pic:spPr>
                          <a:xfrm>
                            <a:off x="0" y="0"/>
                            <a:ext cx="2376028" cy="1446228"/>
                          </a:xfrm>
                          <a:prstGeom prst="rect">
                            <a:avLst/>
                          </a:prstGeom>
                        </pic:spPr>
                      </pic:pic>
                    </a:graphicData>
                  </a:graphic>
                </wp:inline>
              </w:drawing>
            </w:r>
          </w:p>
        </w:tc>
      </w:tr>
      <w:tr w:rsidR="002549AB" w:rsidRPr="00B64995" w14:paraId="461776FB" w14:textId="77777777" w:rsidTr="00B87922">
        <w:tc>
          <w:tcPr>
            <w:tcW w:w="9016" w:type="dxa"/>
            <w:gridSpan w:val="2"/>
          </w:tcPr>
          <w:p w14:paraId="11CF60AD" w14:textId="2F0119AE" w:rsidR="002549AB" w:rsidRDefault="00133C29" w:rsidP="002549AB">
            <w:pPr>
              <w:spacing w:after="160"/>
              <w:jc w:val="center"/>
              <w:rPr>
                <w:noProof/>
              </w:rPr>
            </w:pPr>
            <w:r>
              <w:rPr>
                <w:noProof/>
              </w:rPr>
              <w:drawing>
                <wp:inline distT="0" distB="0" distL="0" distR="0" wp14:anchorId="5842F157" wp14:editId="262032A1">
                  <wp:extent cx="3105150" cy="1849292"/>
                  <wp:effectExtent l="0" t="0" r="0" b="0"/>
                  <wp:docPr id="1193504087" name="Picture 119350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123752" cy="1860371"/>
                          </a:xfrm>
                          <a:prstGeom prst="rect">
                            <a:avLst/>
                          </a:prstGeom>
                          <a:noFill/>
                        </pic:spPr>
                      </pic:pic>
                    </a:graphicData>
                  </a:graphic>
                </wp:inline>
              </w:drawing>
            </w:r>
          </w:p>
          <w:p w14:paraId="2C56E1F6" w14:textId="77777777" w:rsidR="00133C29" w:rsidRDefault="00133C29" w:rsidP="002549AB">
            <w:pPr>
              <w:spacing w:after="160"/>
              <w:jc w:val="center"/>
              <w:rPr>
                <w:noProof/>
              </w:rPr>
            </w:pPr>
          </w:p>
          <w:p w14:paraId="4ADE1D51" w14:textId="77777777" w:rsidR="002549AB" w:rsidRPr="003C5E1A" w:rsidRDefault="002549AB" w:rsidP="004F4236">
            <w:pPr>
              <w:spacing w:after="160"/>
              <w:rPr>
                <w:noProof/>
              </w:rPr>
            </w:pPr>
          </w:p>
        </w:tc>
      </w:tr>
    </w:tbl>
    <w:p w14:paraId="78550127" w14:textId="7ADE57FA" w:rsidR="00AA47DC" w:rsidRPr="00B64995" w:rsidRDefault="00AA47DC" w:rsidP="00AA47DC">
      <w:r w:rsidRPr="00B64995">
        <w:rPr>
          <w:b/>
          <w:bCs/>
        </w:rPr>
        <w:t>Objective I.6</w:t>
      </w:r>
      <w:r w:rsidRPr="00B64995">
        <w:t xml:space="preserve">: (Reducing overlap and duplication) Reduce the areas of overlap and duplication and foster closer and more transparent coordination among </w:t>
      </w:r>
      <w:r w:rsidR="000518CC" w:rsidRPr="00B64995">
        <w:t xml:space="preserve">the </w:t>
      </w:r>
      <w:r w:rsidRPr="00B64995">
        <w:t>General Secretariat and ITU Sectors, taking into account the Union</w:t>
      </w:r>
      <w:r w:rsidR="00A92ED1" w:rsidRPr="00B64995">
        <w:t>’</w:t>
      </w:r>
      <w:r w:rsidRPr="00B64995">
        <w:t xml:space="preserve">s budgetary provisions and the expertise and mandate of each </w:t>
      </w:r>
      <w:proofErr w:type="gramStart"/>
      <w:r w:rsidRPr="00B64995">
        <w:t>Sector</w:t>
      </w:r>
      <w:proofErr w:type="gramEnd"/>
    </w:p>
    <w:p w14:paraId="701A3059" w14:textId="77777777" w:rsidR="00AA47DC" w:rsidRPr="00B64995" w:rsidRDefault="00AA47DC" w:rsidP="00AA47DC">
      <w:pPr>
        <w:jc w:val="both"/>
        <w:rPr>
          <w:b/>
          <w:bCs/>
        </w:rPr>
      </w:pPr>
    </w:p>
    <w:p w14:paraId="37BDB7D9" w14:textId="77777777" w:rsidR="00AA47DC" w:rsidRPr="00B64995" w:rsidRDefault="00AA47DC" w:rsidP="00A83DAA">
      <w:pPr>
        <w:pStyle w:val="Heading5"/>
      </w:pPr>
      <w:r w:rsidRPr="00B64995">
        <w:t>Outcomes</w:t>
      </w:r>
    </w:p>
    <w:tbl>
      <w:tblPr>
        <w:tblStyle w:val="TableGrid"/>
        <w:tblW w:w="0" w:type="auto"/>
        <w:shd w:val="clear" w:color="auto" w:fill="DCE5F4"/>
        <w:tblLook w:val="04A0" w:firstRow="1" w:lastRow="0" w:firstColumn="1" w:lastColumn="0" w:noHBand="0" w:noVBand="1"/>
      </w:tblPr>
      <w:tblGrid>
        <w:gridCol w:w="9016"/>
      </w:tblGrid>
      <w:tr w:rsidR="00AA47DC" w:rsidRPr="00B64995" w14:paraId="5AEBEF6C" w14:textId="77777777" w:rsidTr="00C92451">
        <w:tc>
          <w:tcPr>
            <w:tcW w:w="9016" w:type="dxa"/>
            <w:shd w:val="clear" w:color="auto" w:fill="DCE5F4"/>
          </w:tcPr>
          <w:p w14:paraId="064A9602" w14:textId="77777777" w:rsidR="0049723A" w:rsidRPr="00B87922" w:rsidRDefault="00AA47DC" w:rsidP="00AB5FA4">
            <w:pPr>
              <w:pStyle w:val="tabletext"/>
              <w:rPr>
                <w:lang w:val="en-GB"/>
              </w:rPr>
            </w:pPr>
            <w:r w:rsidRPr="00B64995">
              <w:t xml:space="preserve">I.6-a: Closer and more transparent collaboration among the ITU Sectors, the General Secretariat and the 3 </w:t>
            </w:r>
            <w:proofErr w:type="spellStart"/>
            <w:r w:rsidRPr="00B64995">
              <w:t>Bureaux</w:t>
            </w:r>
            <w:proofErr w:type="spellEnd"/>
          </w:p>
          <w:p w14:paraId="1B89F418" w14:textId="77777777" w:rsidR="0049723A" w:rsidRPr="00B87922" w:rsidRDefault="00AA47DC" w:rsidP="00AB5FA4">
            <w:pPr>
              <w:pStyle w:val="tabletext"/>
              <w:rPr>
                <w:lang w:val="en-GB"/>
              </w:rPr>
            </w:pPr>
            <w:r w:rsidRPr="00B64995">
              <w:t xml:space="preserve">I.6-b: Reducing the areas of overlap and duplication among the ITU Sectors and the work of the General Secretariat and the 3 </w:t>
            </w:r>
            <w:proofErr w:type="spellStart"/>
            <w:r w:rsidRPr="00B64995">
              <w:t>Bureaux</w:t>
            </w:r>
            <w:proofErr w:type="spellEnd"/>
          </w:p>
          <w:p w14:paraId="26C1266D" w14:textId="4819A98A" w:rsidR="00AA47DC" w:rsidRPr="00B87922" w:rsidRDefault="00AA47DC" w:rsidP="00AB5FA4">
            <w:pPr>
              <w:pStyle w:val="tabletext"/>
              <w:rPr>
                <w:lang w:val="en-GB"/>
              </w:rPr>
            </w:pPr>
            <w:r w:rsidRPr="00B64995">
              <w:t>I.6-c: Realize savings through avoidance of areas of overlap</w:t>
            </w:r>
          </w:p>
        </w:tc>
      </w:tr>
    </w:tbl>
    <w:p w14:paraId="284CFB8C" w14:textId="77777777" w:rsidR="00AA47DC" w:rsidRPr="00B64995" w:rsidRDefault="00AA47DC" w:rsidP="00AA47DC"/>
    <w:p w14:paraId="2C5AE042" w14:textId="3512E949" w:rsidR="00AA47DC" w:rsidRPr="00B64995" w:rsidRDefault="00AA47DC" w:rsidP="00A83DAA">
      <w:pPr>
        <w:pStyle w:val="Heading5"/>
      </w:pPr>
      <w:r w:rsidRPr="00B64995">
        <w:t xml:space="preserve">Progress </w:t>
      </w:r>
      <w:proofErr w:type="gramStart"/>
      <w:r w:rsidRPr="00B64995">
        <w:t>achieved</w:t>
      </w:r>
      <w:proofErr w:type="gramEnd"/>
    </w:p>
    <w:p w14:paraId="355A18DF" w14:textId="77777777" w:rsidR="00AA47DC" w:rsidRPr="00B64995" w:rsidRDefault="00AA47DC" w:rsidP="00AA47DC">
      <w:pPr>
        <w:spacing w:after="160"/>
        <w:rPr>
          <w:b/>
          <w:bCs/>
        </w:rPr>
      </w:pPr>
      <w:r w:rsidRPr="00B64995">
        <w:t>[Note: This is a new objective. Indicators are under development. Proxy data can be taken from section 3.3.1 below (savings from efficiency measures).</w:t>
      </w:r>
    </w:p>
    <w:p w14:paraId="149E3AC8" w14:textId="77777777" w:rsidR="001A162B" w:rsidRDefault="001A162B" w:rsidP="007A1DC2">
      <w:pPr>
        <w:spacing w:after="160"/>
        <w:jc w:val="center"/>
        <w:rPr>
          <w:noProof/>
        </w:rPr>
      </w:pPr>
    </w:p>
    <w:p w14:paraId="5C78F522" w14:textId="3EE213BF" w:rsidR="00AA47DC" w:rsidRDefault="001A162B" w:rsidP="007A1DC2">
      <w:pPr>
        <w:spacing w:after="160"/>
        <w:jc w:val="center"/>
        <w:rPr>
          <w:b/>
          <w:bCs/>
        </w:rPr>
      </w:pPr>
      <w:r>
        <w:rPr>
          <w:b/>
          <w:bCs/>
          <w:noProof/>
        </w:rPr>
        <w:lastRenderedPageBreak/>
        <w:drawing>
          <wp:inline distT="0" distB="0" distL="0" distR="0" wp14:anchorId="15113393" wp14:editId="39763408">
            <wp:extent cx="3376613" cy="2023158"/>
            <wp:effectExtent l="0" t="0" r="0" b="0"/>
            <wp:docPr id="1193504088" name="Picture 119350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3381811" cy="2026273"/>
                    </a:xfrm>
                    <a:prstGeom prst="rect">
                      <a:avLst/>
                    </a:prstGeom>
                    <a:noFill/>
                  </pic:spPr>
                </pic:pic>
              </a:graphicData>
            </a:graphic>
          </wp:inline>
        </w:drawing>
      </w:r>
    </w:p>
    <w:p w14:paraId="33B9C418" w14:textId="735461A1" w:rsidR="00053215" w:rsidRDefault="00053215" w:rsidP="007A1DC2">
      <w:pPr>
        <w:spacing w:after="160"/>
        <w:jc w:val="center"/>
        <w:rPr>
          <w:b/>
          <w:bCs/>
        </w:rPr>
      </w:pPr>
      <w:r>
        <w:rPr>
          <w:b/>
          <w:bCs/>
          <w:noProof/>
        </w:rPr>
        <w:drawing>
          <wp:inline distT="0" distB="0" distL="0" distR="0" wp14:anchorId="3916738C" wp14:editId="61D7C2A4">
            <wp:extent cx="4357687" cy="1682427"/>
            <wp:effectExtent l="0" t="0" r="5080" b="0"/>
            <wp:docPr id="1193504091" name="Picture 119350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364749" cy="1685154"/>
                    </a:xfrm>
                    <a:prstGeom prst="rect">
                      <a:avLst/>
                    </a:prstGeom>
                    <a:noFill/>
                  </pic:spPr>
                </pic:pic>
              </a:graphicData>
            </a:graphic>
          </wp:inline>
        </w:drawing>
      </w:r>
    </w:p>
    <w:p w14:paraId="07325E5E" w14:textId="325AFFCF" w:rsidR="00BC1C6F" w:rsidRDefault="00BC1C6F" w:rsidP="007A1DC2">
      <w:pPr>
        <w:spacing w:after="160"/>
        <w:jc w:val="center"/>
        <w:rPr>
          <w:b/>
          <w:bCs/>
        </w:rPr>
      </w:pPr>
    </w:p>
    <w:p w14:paraId="681482DC" w14:textId="57195117" w:rsidR="00BC1C6F" w:rsidRDefault="00BC1C6F" w:rsidP="007A1DC2">
      <w:pPr>
        <w:spacing w:after="160"/>
        <w:jc w:val="center"/>
        <w:rPr>
          <w:b/>
          <w:bCs/>
        </w:rPr>
      </w:pPr>
      <w:r>
        <w:rPr>
          <w:b/>
          <w:bCs/>
          <w:noProof/>
        </w:rPr>
        <w:drawing>
          <wp:inline distT="0" distB="0" distL="0" distR="0" wp14:anchorId="266C9586" wp14:editId="76CC69E2">
            <wp:extent cx="4381500" cy="1727356"/>
            <wp:effectExtent l="0" t="0" r="0" b="6350"/>
            <wp:docPr id="1193504092" name="Picture 119350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4391439" cy="1731274"/>
                    </a:xfrm>
                    <a:prstGeom prst="rect">
                      <a:avLst/>
                    </a:prstGeom>
                    <a:noFill/>
                  </pic:spPr>
                </pic:pic>
              </a:graphicData>
            </a:graphic>
          </wp:inline>
        </w:drawing>
      </w:r>
    </w:p>
    <w:p w14:paraId="1A648491" w14:textId="77777777" w:rsidR="005108EB" w:rsidRPr="00B64995" w:rsidRDefault="005108EB" w:rsidP="007A1DC2">
      <w:pPr>
        <w:spacing w:after="160"/>
        <w:jc w:val="center"/>
        <w:rPr>
          <w:b/>
          <w:bCs/>
        </w:rPr>
      </w:pPr>
    </w:p>
    <w:p w14:paraId="315C9DCC" w14:textId="2F183C29" w:rsidR="000F5ACB" w:rsidRPr="00B64995" w:rsidRDefault="000F5ACB">
      <w:pPr>
        <w:spacing w:after="160" w:line="259" w:lineRule="auto"/>
        <w:rPr>
          <w:rFonts w:eastAsiaTheme="majorEastAsia"/>
          <w:color w:val="2F5496" w:themeColor="accent1" w:themeShade="BF"/>
        </w:rPr>
      </w:pPr>
      <w:bookmarkStart w:id="185" w:name="_Toc37943367"/>
    </w:p>
    <w:p w14:paraId="5B31BF82" w14:textId="77777777" w:rsidR="00391B3D" w:rsidRPr="00B64995" w:rsidRDefault="00391B3D" w:rsidP="00272A39">
      <w:pPr>
        <w:pStyle w:val="Heading2"/>
      </w:pPr>
      <w:r w:rsidRPr="00B64995">
        <w:br w:type="page"/>
      </w:r>
    </w:p>
    <w:p w14:paraId="760E36F8" w14:textId="0DD90F6F" w:rsidR="00AA47DC" w:rsidRPr="00B64995" w:rsidRDefault="00AA47DC" w:rsidP="00272A39">
      <w:pPr>
        <w:pStyle w:val="Heading2"/>
      </w:pPr>
      <w:bookmarkStart w:id="186" w:name="_Toc68811441"/>
      <w:r w:rsidRPr="00B64995">
        <w:lastRenderedPageBreak/>
        <w:t>E</w:t>
      </w:r>
      <w:r w:rsidRPr="00B64995">
        <w:rPr>
          <w:color w:val="2F5496"/>
        </w:rPr>
        <w:t>n</w:t>
      </w:r>
      <w:r w:rsidRPr="00B64995">
        <w:t>ablers</w:t>
      </w:r>
      <w:bookmarkEnd w:id="185"/>
      <w:bookmarkEnd w:id="186"/>
    </w:p>
    <w:p w14:paraId="76F127ED" w14:textId="77777777" w:rsidR="000F5ACB" w:rsidRPr="00B64995" w:rsidRDefault="000F5ACB" w:rsidP="00AA47DC"/>
    <w:p w14:paraId="1A5FCBAC" w14:textId="0C0E63DE" w:rsidR="00AA47DC" w:rsidRPr="00B64995" w:rsidRDefault="00AA47DC" w:rsidP="00A83DAA">
      <w:pPr>
        <w:pStyle w:val="Heading5"/>
      </w:pPr>
      <w:bookmarkStart w:id="187" w:name="_Toc37943368"/>
      <w:r w:rsidRPr="00B64995">
        <w:t>E.1</w:t>
      </w:r>
      <w:bookmarkEnd w:id="187"/>
      <w:r w:rsidR="00261860" w:rsidRPr="00B64995">
        <w:tab/>
        <w:t>Ensure efficient and effective use of human, financial and capital resources,</w:t>
      </w:r>
      <w:r w:rsidR="00D73BCF" w:rsidRPr="00B64995">
        <w:t xml:space="preserve"> </w:t>
      </w:r>
      <w:r w:rsidR="00261860" w:rsidRPr="00B64995">
        <w:t xml:space="preserve">as well as a work-conducive, safe and secure working </w:t>
      </w:r>
      <w:proofErr w:type="gramStart"/>
      <w:r w:rsidR="00261860" w:rsidRPr="00B64995">
        <w:t>environment</w:t>
      </w:r>
      <w:proofErr w:type="gramEnd"/>
    </w:p>
    <w:p w14:paraId="68153776" w14:textId="3D9A84C2" w:rsidR="00AA47DC" w:rsidRPr="00B64995" w:rsidRDefault="00AA47DC" w:rsidP="00AA47DC">
      <w:pPr>
        <w:rPr>
          <w:b/>
          <w:bCs/>
        </w:rPr>
      </w:pPr>
    </w:p>
    <w:tbl>
      <w:tblPr>
        <w:tblStyle w:val="TableGrid"/>
        <w:tblW w:w="9016" w:type="dxa"/>
        <w:tblBorders>
          <w:insideH w:val="none" w:sz="0" w:space="0" w:color="auto"/>
          <w:insideV w:val="none" w:sz="0" w:space="0" w:color="auto"/>
        </w:tblBorders>
        <w:tblLook w:val="04A0" w:firstRow="1" w:lastRow="0" w:firstColumn="1" w:lastColumn="0" w:noHBand="0" w:noVBand="1"/>
      </w:tblPr>
      <w:tblGrid>
        <w:gridCol w:w="4493"/>
        <w:gridCol w:w="651"/>
        <w:gridCol w:w="650"/>
        <w:gridCol w:w="650"/>
        <w:gridCol w:w="650"/>
        <w:gridCol w:w="650"/>
        <w:gridCol w:w="650"/>
        <w:gridCol w:w="622"/>
      </w:tblGrid>
      <w:tr w:rsidR="00761278" w:rsidRPr="00B64995" w14:paraId="79E4727E" w14:textId="0CC0BDB8" w:rsidTr="00B87922">
        <w:tc>
          <w:tcPr>
            <w:tcW w:w="4520" w:type="dxa"/>
            <w:shd w:val="clear" w:color="auto" w:fill="4472C4"/>
          </w:tcPr>
          <w:p w14:paraId="4CDAA2D0" w14:textId="77777777" w:rsidR="00761278" w:rsidRPr="00B87922" w:rsidRDefault="00761278" w:rsidP="00371DEE">
            <w:pPr>
              <w:spacing w:before="120" w:after="120"/>
              <w:rPr>
                <w:b/>
                <w:bCs/>
                <w:color w:val="FFFFFF" w:themeColor="background1"/>
                <w:lang w:val="en-GB"/>
              </w:rPr>
            </w:pPr>
          </w:p>
        </w:tc>
        <w:tc>
          <w:tcPr>
            <w:tcW w:w="651" w:type="dxa"/>
            <w:shd w:val="clear" w:color="auto" w:fill="4472C4"/>
          </w:tcPr>
          <w:p w14:paraId="7AA4E910" w14:textId="7A6C6CAA" w:rsidR="00761278" w:rsidRPr="00B87922" w:rsidRDefault="00761278" w:rsidP="00371DEE">
            <w:pPr>
              <w:spacing w:before="120" w:after="120"/>
              <w:rPr>
                <w:b/>
                <w:bCs/>
                <w:color w:val="FFFFFF" w:themeColor="background1"/>
                <w:lang w:val="en-GB"/>
              </w:rPr>
            </w:pPr>
            <w:r w:rsidRPr="00B64995">
              <w:rPr>
                <w:b/>
                <w:bCs/>
                <w:color w:val="FFFFFF" w:themeColor="background1"/>
              </w:rPr>
              <w:t>2014</w:t>
            </w:r>
          </w:p>
        </w:tc>
        <w:tc>
          <w:tcPr>
            <w:tcW w:w="650" w:type="dxa"/>
            <w:shd w:val="clear" w:color="auto" w:fill="4472C4"/>
          </w:tcPr>
          <w:p w14:paraId="238E1369" w14:textId="2D7A870F" w:rsidR="00761278" w:rsidRPr="00B87922" w:rsidRDefault="00761278" w:rsidP="00371DEE">
            <w:pPr>
              <w:spacing w:before="120" w:after="120"/>
              <w:rPr>
                <w:b/>
                <w:bCs/>
                <w:color w:val="FFFFFF" w:themeColor="background1"/>
                <w:lang w:val="en-GB"/>
              </w:rPr>
            </w:pPr>
            <w:r w:rsidRPr="00B64995">
              <w:rPr>
                <w:b/>
                <w:bCs/>
                <w:color w:val="FFFFFF" w:themeColor="background1"/>
              </w:rPr>
              <w:t>2015</w:t>
            </w:r>
          </w:p>
        </w:tc>
        <w:tc>
          <w:tcPr>
            <w:tcW w:w="650" w:type="dxa"/>
            <w:shd w:val="clear" w:color="auto" w:fill="4472C4"/>
          </w:tcPr>
          <w:p w14:paraId="1C8B5BB8" w14:textId="55CEE23E" w:rsidR="00761278" w:rsidRPr="00B87922" w:rsidRDefault="00761278" w:rsidP="00371DEE">
            <w:pPr>
              <w:spacing w:before="120" w:after="120"/>
              <w:rPr>
                <w:b/>
                <w:bCs/>
                <w:color w:val="FFFFFF" w:themeColor="background1"/>
                <w:lang w:val="en-GB"/>
              </w:rPr>
            </w:pPr>
            <w:r w:rsidRPr="00B64995">
              <w:rPr>
                <w:b/>
                <w:bCs/>
                <w:color w:val="FFFFFF" w:themeColor="background1"/>
              </w:rPr>
              <w:t>2016</w:t>
            </w:r>
          </w:p>
        </w:tc>
        <w:tc>
          <w:tcPr>
            <w:tcW w:w="650" w:type="dxa"/>
            <w:shd w:val="clear" w:color="auto" w:fill="4472C4"/>
          </w:tcPr>
          <w:p w14:paraId="294A5AA4" w14:textId="40CBBE1C" w:rsidR="00761278" w:rsidRPr="00B87922" w:rsidRDefault="00761278" w:rsidP="00371DEE">
            <w:pPr>
              <w:spacing w:before="120" w:after="120"/>
              <w:rPr>
                <w:b/>
                <w:bCs/>
                <w:color w:val="FFFFFF" w:themeColor="background1"/>
                <w:lang w:val="en-GB"/>
              </w:rPr>
            </w:pPr>
            <w:r w:rsidRPr="00B64995">
              <w:rPr>
                <w:b/>
                <w:bCs/>
                <w:color w:val="FFFFFF" w:themeColor="background1"/>
              </w:rPr>
              <w:t>2017</w:t>
            </w:r>
          </w:p>
        </w:tc>
        <w:tc>
          <w:tcPr>
            <w:tcW w:w="650" w:type="dxa"/>
            <w:shd w:val="clear" w:color="auto" w:fill="4472C4"/>
          </w:tcPr>
          <w:p w14:paraId="24841348" w14:textId="193B89FE" w:rsidR="00761278" w:rsidRPr="00B87922" w:rsidRDefault="00761278" w:rsidP="00371DEE">
            <w:pPr>
              <w:spacing w:before="120" w:after="120"/>
              <w:rPr>
                <w:b/>
                <w:bCs/>
                <w:color w:val="FFFFFF" w:themeColor="background1"/>
                <w:lang w:val="en-GB"/>
              </w:rPr>
            </w:pPr>
            <w:r w:rsidRPr="00B64995">
              <w:rPr>
                <w:b/>
                <w:bCs/>
                <w:color w:val="FFFFFF" w:themeColor="background1"/>
              </w:rPr>
              <w:t>2018</w:t>
            </w:r>
          </w:p>
        </w:tc>
        <w:tc>
          <w:tcPr>
            <w:tcW w:w="650" w:type="dxa"/>
            <w:shd w:val="clear" w:color="auto" w:fill="4472C4"/>
          </w:tcPr>
          <w:p w14:paraId="7B30D056" w14:textId="4563FEF2" w:rsidR="00761278" w:rsidRPr="00B87922" w:rsidRDefault="00761278" w:rsidP="00371DEE">
            <w:pPr>
              <w:spacing w:before="120" w:after="120"/>
              <w:rPr>
                <w:b/>
                <w:bCs/>
                <w:color w:val="FFFFFF" w:themeColor="background1"/>
                <w:lang w:val="en-GB"/>
              </w:rPr>
            </w:pPr>
            <w:r w:rsidRPr="00B64995">
              <w:rPr>
                <w:b/>
                <w:bCs/>
                <w:color w:val="FFFFFF" w:themeColor="background1"/>
              </w:rPr>
              <w:t>2019</w:t>
            </w:r>
          </w:p>
        </w:tc>
        <w:tc>
          <w:tcPr>
            <w:tcW w:w="595" w:type="dxa"/>
            <w:shd w:val="clear" w:color="auto" w:fill="4472C4"/>
          </w:tcPr>
          <w:p w14:paraId="593AF443" w14:textId="54B6A099" w:rsidR="00761278" w:rsidRPr="00B64995" w:rsidRDefault="00A36154" w:rsidP="00371DEE">
            <w:pPr>
              <w:spacing w:before="120" w:after="120"/>
              <w:rPr>
                <w:b/>
                <w:bCs/>
                <w:color w:val="FFFFFF" w:themeColor="background1"/>
              </w:rPr>
            </w:pPr>
            <w:r>
              <w:rPr>
                <w:b/>
                <w:bCs/>
                <w:color w:val="FFFFFF" w:themeColor="background1"/>
              </w:rPr>
              <w:t>2020</w:t>
            </w:r>
          </w:p>
        </w:tc>
      </w:tr>
      <w:tr w:rsidR="00761278" w:rsidRPr="00B64995" w14:paraId="1E74A661" w14:textId="118EA596" w:rsidTr="00B87922">
        <w:tc>
          <w:tcPr>
            <w:tcW w:w="4520" w:type="dxa"/>
            <w:shd w:val="clear" w:color="auto" w:fill="DCE5F4"/>
          </w:tcPr>
          <w:p w14:paraId="4C093499" w14:textId="257F34CC" w:rsidR="00761278" w:rsidRPr="00B87922" w:rsidRDefault="00761278" w:rsidP="00752597">
            <w:pPr>
              <w:spacing w:before="120" w:after="120"/>
              <w:rPr>
                <w:b/>
                <w:bCs/>
                <w:lang w:val="en-GB"/>
              </w:rPr>
            </w:pPr>
            <w:r w:rsidRPr="00B64995">
              <w:rPr>
                <w:b/>
                <w:bCs/>
              </w:rPr>
              <w:t>IPSAS Compliance (or Annual Audit of accounts is unqualified)</w:t>
            </w:r>
          </w:p>
        </w:tc>
        <w:tc>
          <w:tcPr>
            <w:tcW w:w="651" w:type="dxa"/>
            <w:shd w:val="clear" w:color="auto" w:fill="DCE5F4"/>
            <w:vAlign w:val="center"/>
          </w:tcPr>
          <w:p w14:paraId="1833AFEB" w14:textId="3E7E0C6E"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11F09826" w14:textId="0B5C57E1"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609B21C" w14:textId="70A411D3" w:rsidR="00761278" w:rsidRPr="00B87922" w:rsidRDefault="00761278" w:rsidP="00752597">
            <w:pPr>
              <w:spacing w:before="120" w:after="120"/>
              <w:jc w:val="center"/>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4D02C0E0" w14:textId="614CC99B"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7DAE3002" w14:textId="59DF262F"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3C09C5F5" w14:textId="60C8C1F9" w:rsidR="00761278" w:rsidRPr="00B87922" w:rsidRDefault="00761278" w:rsidP="00752597">
            <w:pPr>
              <w:spacing w:before="120" w:after="120"/>
              <w:rPr>
                <w:b/>
                <w:bCs/>
                <w:lang w:val="en-GB"/>
              </w:rPr>
            </w:pPr>
            <w:r w:rsidRPr="00B64995">
              <w:rPr>
                <w:rFonts w:ascii="Wingdings" w:eastAsia="Wingdings" w:hAnsi="Wingdings" w:cs="Wingdings"/>
                <w:b/>
                <w:bCs/>
                <w:color w:val="FF0000"/>
              </w:rPr>
              <w:t></w:t>
            </w:r>
          </w:p>
        </w:tc>
        <w:tc>
          <w:tcPr>
            <w:tcW w:w="595" w:type="dxa"/>
            <w:shd w:val="clear" w:color="auto" w:fill="DCE5F4"/>
            <w:vAlign w:val="center"/>
          </w:tcPr>
          <w:p w14:paraId="28733526" w14:textId="40A473B8" w:rsidR="00761278" w:rsidRPr="00B64995" w:rsidRDefault="00761278" w:rsidP="002331D1">
            <w:pPr>
              <w:spacing w:before="120" w:after="120"/>
              <w:jc w:val="center"/>
              <w:rPr>
                <w:rFonts w:ascii="Wingdings" w:eastAsia="Wingdings" w:hAnsi="Wingdings" w:cs="Wingdings"/>
                <w:b/>
                <w:bCs/>
                <w:color w:val="FF0000"/>
              </w:rPr>
            </w:pPr>
            <w:r w:rsidRPr="00B64995">
              <w:rPr>
                <w:rFonts w:ascii="Wingdings" w:eastAsia="Wingdings" w:hAnsi="Wingdings" w:cs="Wingdings"/>
                <w:b/>
                <w:bCs/>
                <w:color w:val="FF0000"/>
              </w:rPr>
              <w:t></w:t>
            </w:r>
          </w:p>
        </w:tc>
      </w:tr>
      <w:tr w:rsidR="00761278" w:rsidRPr="00B64995" w14:paraId="135AD00E" w14:textId="07435277" w:rsidTr="00B87922">
        <w:tc>
          <w:tcPr>
            <w:tcW w:w="4520" w:type="dxa"/>
            <w:shd w:val="clear" w:color="auto" w:fill="FFFFFF" w:themeFill="background1"/>
          </w:tcPr>
          <w:p w14:paraId="0396E10B" w14:textId="77777777" w:rsidR="00761278" w:rsidRPr="00B87922" w:rsidRDefault="00761278" w:rsidP="00752597">
            <w:pPr>
              <w:spacing w:before="120" w:after="120"/>
              <w:rPr>
                <w:b/>
                <w:bCs/>
                <w:lang w:val="en-GB"/>
              </w:rPr>
            </w:pPr>
            <w:r w:rsidRPr="00B64995">
              <w:rPr>
                <w:b/>
                <w:bCs/>
              </w:rPr>
              <w:t>Procurement and Travel Services guidelines</w:t>
            </w:r>
          </w:p>
          <w:p w14:paraId="7C1F8F35" w14:textId="578E27BA" w:rsidR="00761278" w:rsidRPr="00B87922" w:rsidRDefault="00761278" w:rsidP="00752597">
            <w:pPr>
              <w:spacing w:before="120" w:after="120"/>
              <w:rPr>
                <w:b/>
                <w:bCs/>
                <w:lang w:val="en-GB"/>
              </w:rPr>
            </w:pPr>
            <w:r w:rsidRPr="00B64995">
              <w:rPr>
                <w:b/>
                <w:bCs/>
              </w:rPr>
              <w:t>(ITU guidelines and UN good practices in place)</w:t>
            </w:r>
          </w:p>
        </w:tc>
        <w:tc>
          <w:tcPr>
            <w:tcW w:w="651" w:type="dxa"/>
            <w:shd w:val="clear" w:color="auto" w:fill="FFFFFF" w:themeFill="background1"/>
            <w:vAlign w:val="center"/>
          </w:tcPr>
          <w:p w14:paraId="61C5D864" w14:textId="2B5EA98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7E0B6325" w14:textId="699B74AA"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15E77516" w14:textId="0BD793E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B837D2B" w14:textId="6852895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2E65D2F5" w14:textId="416CC3A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2C4C5169" w14:textId="5D798316"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595" w:type="dxa"/>
            <w:shd w:val="clear" w:color="auto" w:fill="FFFFFF" w:themeFill="background1"/>
            <w:vAlign w:val="center"/>
          </w:tcPr>
          <w:p w14:paraId="3CBF6464" w14:textId="7100120C"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r w:rsidR="00761278" w:rsidRPr="00B64995" w14:paraId="451B8433" w14:textId="301030FD" w:rsidTr="00B87922">
        <w:tc>
          <w:tcPr>
            <w:tcW w:w="4520" w:type="dxa"/>
            <w:shd w:val="clear" w:color="auto" w:fill="DCE5F4"/>
          </w:tcPr>
          <w:p w14:paraId="1DEC74C4" w14:textId="3EEDFA3F" w:rsidR="00761278" w:rsidRPr="00B87922" w:rsidRDefault="00761278" w:rsidP="00752597">
            <w:pPr>
              <w:spacing w:before="120" w:after="120"/>
              <w:rPr>
                <w:b/>
                <w:bCs/>
                <w:lang w:val="en-GB"/>
              </w:rPr>
            </w:pPr>
            <w:r w:rsidRPr="00B64995">
              <w:rPr>
                <w:b/>
                <w:bCs/>
              </w:rPr>
              <w:t>Budget implementation (not overspent)</w:t>
            </w:r>
          </w:p>
        </w:tc>
        <w:tc>
          <w:tcPr>
            <w:tcW w:w="651" w:type="dxa"/>
            <w:shd w:val="clear" w:color="auto" w:fill="DCE5F4"/>
            <w:vAlign w:val="center"/>
          </w:tcPr>
          <w:p w14:paraId="13484837" w14:textId="5043F4A2"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707249F" w14:textId="5A0CC344"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4814BBE8" w14:textId="36ABEE6E"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5E798C72" w14:textId="7CE6CCEC"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780DD118" w14:textId="3D506735"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650" w:type="dxa"/>
            <w:shd w:val="clear" w:color="auto" w:fill="DCE5F4"/>
            <w:vAlign w:val="center"/>
          </w:tcPr>
          <w:p w14:paraId="3EBC4E21" w14:textId="50941E44" w:rsidR="00761278" w:rsidRPr="00B87922" w:rsidRDefault="00761278" w:rsidP="00752597">
            <w:pPr>
              <w:spacing w:before="120" w:after="120"/>
              <w:rPr>
                <w:b/>
                <w:bCs/>
                <w:lang w:val="en-GB"/>
              </w:rPr>
            </w:pPr>
            <w:r w:rsidRPr="00B64995">
              <w:rPr>
                <w:rFonts w:ascii="Wingdings" w:eastAsia="Wingdings" w:hAnsi="Wingdings" w:cs="Wingdings"/>
                <w:b/>
                <w:bCs/>
                <w:color w:val="538135" w:themeColor="accent6" w:themeShade="BF"/>
              </w:rPr>
              <w:t></w:t>
            </w:r>
          </w:p>
        </w:tc>
        <w:tc>
          <w:tcPr>
            <w:tcW w:w="595" w:type="dxa"/>
            <w:shd w:val="clear" w:color="auto" w:fill="DCE5F4"/>
            <w:vAlign w:val="center"/>
          </w:tcPr>
          <w:p w14:paraId="7834328C" w14:textId="2AC15045"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r w:rsidR="00761278" w:rsidRPr="00B64995" w14:paraId="7D0A5AEF" w14:textId="6A20FAD8" w:rsidTr="00B87922">
        <w:tc>
          <w:tcPr>
            <w:tcW w:w="4520" w:type="dxa"/>
            <w:shd w:val="clear" w:color="auto" w:fill="FFFFFF" w:themeFill="background1"/>
          </w:tcPr>
          <w:p w14:paraId="2D3DB2BB" w14:textId="4DA97378" w:rsidR="00761278" w:rsidRPr="00B87922" w:rsidRDefault="00761278" w:rsidP="00752597">
            <w:pPr>
              <w:spacing w:before="120" w:after="120"/>
              <w:rPr>
                <w:b/>
                <w:bCs/>
                <w:lang w:val="en-GB"/>
              </w:rPr>
            </w:pPr>
            <w:r w:rsidRPr="00B64995">
              <w:rPr>
                <w:b/>
                <w:bCs/>
              </w:rPr>
              <w:t>Work related injuries or incidents &lt; 2%</w:t>
            </w:r>
          </w:p>
        </w:tc>
        <w:tc>
          <w:tcPr>
            <w:tcW w:w="651" w:type="dxa"/>
            <w:shd w:val="clear" w:color="auto" w:fill="FFFFFF" w:themeFill="background1"/>
            <w:vAlign w:val="center"/>
          </w:tcPr>
          <w:p w14:paraId="32FE69EE" w14:textId="0782FB89"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5329990" w14:textId="46F87050"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613A1BCD" w14:textId="43F99A15"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0D49764C" w14:textId="5998FC7B"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564BE786" w14:textId="5D1AE741"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650" w:type="dxa"/>
            <w:shd w:val="clear" w:color="auto" w:fill="FFFFFF" w:themeFill="background1"/>
            <w:vAlign w:val="center"/>
          </w:tcPr>
          <w:p w14:paraId="38FDD613" w14:textId="6C268A05" w:rsidR="00761278" w:rsidRPr="00B87922" w:rsidRDefault="00761278" w:rsidP="00752597">
            <w:pPr>
              <w:spacing w:before="120" w:after="120"/>
              <w:rPr>
                <w:b/>
                <w:bCs/>
                <w:color w:val="538135" w:themeColor="accent6" w:themeShade="BF"/>
                <w:lang w:val="en-GB"/>
              </w:rPr>
            </w:pPr>
            <w:r w:rsidRPr="00B64995">
              <w:rPr>
                <w:rFonts w:ascii="Wingdings" w:eastAsia="Wingdings" w:hAnsi="Wingdings" w:cs="Wingdings"/>
                <w:b/>
                <w:bCs/>
                <w:color w:val="538135" w:themeColor="accent6" w:themeShade="BF"/>
              </w:rPr>
              <w:t></w:t>
            </w:r>
          </w:p>
        </w:tc>
        <w:tc>
          <w:tcPr>
            <w:tcW w:w="595" w:type="dxa"/>
            <w:shd w:val="clear" w:color="auto" w:fill="FFFFFF" w:themeFill="background1"/>
            <w:vAlign w:val="center"/>
          </w:tcPr>
          <w:p w14:paraId="0E442C54" w14:textId="55312EEC" w:rsidR="00761278" w:rsidRPr="00B64995" w:rsidRDefault="00761278" w:rsidP="00B87922">
            <w:pPr>
              <w:spacing w:before="120" w:after="120"/>
              <w:jc w:val="center"/>
              <w:rPr>
                <w:rFonts w:ascii="Wingdings" w:eastAsia="Wingdings" w:hAnsi="Wingdings" w:cs="Wingdings"/>
                <w:b/>
                <w:bCs/>
                <w:color w:val="538135" w:themeColor="accent6" w:themeShade="BF"/>
              </w:rPr>
            </w:pPr>
            <w:r w:rsidRPr="00B64995">
              <w:rPr>
                <w:rFonts w:ascii="Wingdings" w:eastAsia="Wingdings" w:hAnsi="Wingdings" w:cs="Wingdings"/>
                <w:b/>
                <w:bCs/>
                <w:color w:val="538135" w:themeColor="accent6" w:themeShade="BF"/>
              </w:rPr>
              <w:t></w:t>
            </w:r>
          </w:p>
        </w:tc>
      </w:tr>
    </w:tbl>
    <w:p w14:paraId="6BE3C989" w14:textId="1C19338E" w:rsidR="00FE6AFC" w:rsidRPr="00B64995" w:rsidRDefault="00FE6AFC" w:rsidP="00AA47DC">
      <w:pPr>
        <w:rPr>
          <w:b/>
          <w:bCs/>
        </w:rPr>
      </w:pPr>
    </w:p>
    <w:p w14:paraId="0DDB96F8" w14:textId="3C3B6D67" w:rsidR="00C60151" w:rsidRPr="00B64995" w:rsidRDefault="00C60151" w:rsidP="00AA47DC">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059D5" w:rsidRPr="00B64995" w14:paraId="20E07858" w14:textId="77777777" w:rsidTr="6844BCB7">
        <w:tc>
          <w:tcPr>
            <w:tcW w:w="4508" w:type="dxa"/>
          </w:tcPr>
          <w:p w14:paraId="0C827DAD" w14:textId="77777777" w:rsidR="00C60151" w:rsidRPr="00B87922" w:rsidRDefault="00C60151" w:rsidP="00AA47DC">
            <w:pPr>
              <w:rPr>
                <w:b/>
                <w:bCs/>
                <w:lang w:val="en-GB"/>
              </w:rPr>
            </w:pPr>
          </w:p>
        </w:tc>
        <w:tc>
          <w:tcPr>
            <w:tcW w:w="4508" w:type="dxa"/>
          </w:tcPr>
          <w:p w14:paraId="051C11B8" w14:textId="77777777" w:rsidR="00C60151" w:rsidRPr="00B87922" w:rsidRDefault="00C60151" w:rsidP="00AA47DC">
            <w:pPr>
              <w:rPr>
                <w:b/>
                <w:bCs/>
                <w:lang w:val="en-GB"/>
              </w:rPr>
            </w:pPr>
          </w:p>
        </w:tc>
      </w:tr>
      <w:tr w:rsidR="005059D5" w:rsidRPr="00B64995" w14:paraId="163689CA" w14:textId="77777777" w:rsidTr="6844BCB7">
        <w:tc>
          <w:tcPr>
            <w:tcW w:w="4508" w:type="dxa"/>
          </w:tcPr>
          <w:p w14:paraId="5E7579CB" w14:textId="32256BD1" w:rsidR="00C60151" w:rsidRPr="00B87922" w:rsidRDefault="296FEFE4" w:rsidP="00AA47DC">
            <w:pPr>
              <w:rPr>
                <w:b/>
                <w:bCs/>
                <w:lang w:val="en-GB"/>
              </w:rPr>
            </w:pPr>
            <w:r w:rsidRPr="003C5E1A">
              <w:rPr>
                <w:noProof/>
              </w:rPr>
              <w:drawing>
                <wp:inline distT="0" distB="0" distL="0" distR="0" wp14:anchorId="777643AE" wp14:editId="7B511BFC">
                  <wp:extent cx="2640956" cy="1587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60" cstate="print">
                            <a:extLst>
                              <a:ext uri="{28A0092B-C50C-407E-A947-70E740481C1C}">
                                <a14:useLocalDpi xmlns:a14="http://schemas.microsoft.com/office/drawing/2010/main" val="0"/>
                              </a:ext>
                            </a:extLst>
                          </a:blip>
                          <a:stretch>
                            <a:fillRect/>
                          </a:stretch>
                        </pic:blipFill>
                        <pic:spPr>
                          <a:xfrm>
                            <a:off x="0" y="0"/>
                            <a:ext cx="2640956" cy="1587500"/>
                          </a:xfrm>
                          <a:prstGeom prst="rect">
                            <a:avLst/>
                          </a:prstGeom>
                        </pic:spPr>
                      </pic:pic>
                    </a:graphicData>
                  </a:graphic>
                </wp:inline>
              </w:drawing>
            </w:r>
          </w:p>
        </w:tc>
        <w:tc>
          <w:tcPr>
            <w:tcW w:w="4508" w:type="dxa"/>
          </w:tcPr>
          <w:p w14:paraId="5BCE58EE" w14:textId="20648F43" w:rsidR="00C60151" w:rsidRPr="00B87922" w:rsidRDefault="00C60151" w:rsidP="00AA47DC">
            <w:pPr>
              <w:rPr>
                <w:b/>
                <w:bCs/>
                <w:lang w:val="en-GB"/>
              </w:rPr>
            </w:pPr>
          </w:p>
        </w:tc>
      </w:tr>
      <w:tr w:rsidR="005059D5" w:rsidRPr="00B64995" w14:paraId="3779359A" w14:textId="77777777" w:rsidTr="6844BCB7">
        <w:tc>
          <w:tcPr>
            <w:tcW w:w="4508" w:type="dxa"/>
          </w:tcPr>
          <w:p w14:paraId="4550D05E" w14:textId="77777777" w:rsidR="00C60151" w:rsidRPr="00B87922" w:rsidRDefault="00C60151" w:rsidP="00AA47DC">
            <w:pPr>
              <w:rPr>
                <w:b/>
                <w:bCs/>
                <w:lang w:val="en-GB"/>
              </w:rPr>
            </w:pPr>
          </w:p>
        </w:tc>
        <w:tc>
          <w:tcPr>
            <w:tcW w:w="4508" w:type="dxa"/>
          </w:tcPr>
          <w:p w14:paraId="485672A6" w14:textId="77777777" w:rsidR="00C60151" w:rsidRPr="00B87922" w:rsidRDefault="00C60151" w:rsidP="00AA47DC">
            <w:pPr>
              <w:rPr>
                <w:b/>
                <w:bCs/>
                <w:lang w:val="en-GB"/>
              </w:rPr>
            </w:pPr>
          </w:p>
        </w:tc>
      </w:tr>
      <w:tr w:rsidR="00796F8A" w:rsidRPr="00B64995" w14:paraId="16BBD792" w14:textId="77777777" w:rsidTr="6844BCB7">
        <w:tc>
          <w:tcPr>
            <w:tcW w:w="9016" w:type="dxa"/>
            <w:gridSpan w:val="2"/>
          </w:tcPr>
          <w:p w14:paraId="4CEFADE2" w14:textId="25D76864" w:rsidR="00796F8A" w:rsidRDefault="00796F8A" w:rsidP="00796F8A">
            <w:pPr>
              <w:jc w:val="center"/>
              <w:rPr>
                <w:b/>
                <w:bC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578"/>
            </w:tblGrid>
            <w:tr w:rsidR="00A06829" w14:paraId="75EB2843" w14:textId="77777777" w:rsidTr="00B87922">
              <w:tc>
                <w:tcPr>
                  <w:tcW w:w="8790" w:type="dxa"/>
                  <w:gridSpan w:val="2"/>
                </w:tcPr>
                <w:p w14:paraId="7B4D980C" w14:textId="77777777" w:rsidR="00A06829" w:rsidRDefault="00A06829" w:rsidP="00796F8A">
                  <w:pPr>
                    <w:jc w:val="center"/>
                    <w:rPr>
                      <w:b/>
                      <w:bCs/>
                      <w:noProof/>
                    </w:rPr>
                  </w:pPr>
                </w:p>
                <w:p w14:paraId="547E2DC1" w14:textId="77777777" w:rsidR="00A06829" w:rsidRDefault="00A06829" w:rsidP="00796F8A">
                  <w:pPr>
                    <w:jc w:val="center"/>
                    <w:rPr>
                      <w:b/>
                      <w:bCs/>
                    </w:rPr>
                  </w:pPr>
                  <w:r>
                    <w:rPr>
                      <w:b/>
                      <w:bCs/>
                      <w:noProof/>
                    </w:rPr>
                    <w:drawing>
                      <wp:inline distT="0" distB="0" distL="0" distR="0" wp14:anchorId="3FBC49D7" wp14:editId="2CB01D23">
                        <wp:extent cx="4359593" cy="1309412"/>
                        <wp:effectExtent l="0" t="0" r="3175" b="5080"/>
                        <wp:docPr id="1193504096" name="Picture 11935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4359593" cy="1309412"/>
                                </a:xfrm>
                                <a:prstGeom prst="rect">
                                  <a:avLst/>
                                </a:prstGeom>
                                <a:noFill/>
                              </pic:spPr>
                            </pic:pic>
                          </a:graphicData>
                        </a:graphic>
                      </wp:inline>
                    </w:drawing>
                  </w:r>
                </w:p>
                <w:p w14:paraId="12D0F8F2" w14:textId="64B37AE2" w:rsidR="00A06829" w:rsidRDefault="00A06829" w:rsidP="00796F8A">
                  <w:pPr>
                    <w:jc w:val="center"/>
                    <w:rPr>
                      <w:b/>
                      <w:bCs/>
                    </w:rPr>
                  </w:pPr>
                </w:p>
              </w:tc>
            </w:tr>
            <w:tr w:rsidR="002331D1" w14:paraId="6E346B9C" w14:textId="77777777" w:rsidTr="002331D1">
              <w:tc>
                <w:tcPr>
                  <w:tcW w:w="4212" w:type="dxa"/>
                </w:tcPr>
                <w:p w14:paraId="59749610" w14:textId="3B98934A" w:rsidR="006F4127" w:rsidRDefault="009C3768" w:rsidP="00796F8A">
                  <w:pPr>
                    <w:jc w:val="center"/>
                    <w:rPr>
                      <w:b/>
                      <w:bCs/>
                    </w:rPr>
                  </w:pPr>
                  <w:r>
                    <w:rPr>
                      <w:b/>
                      <w:bCs/>
                      <w:noProof/>
                    </w:rPr>
                    <w:drawing>
                      <wp:inline distT="0" distB="0" distL="0" distR="0" wp14:anchorId="421D839F" wp14:editId="46D66FB9">
                        <wp:extent cx="2445681" cy="1644279"/>
                        <wp:effectExtent l="0" t="0" r="0" b="0"/>
                        <wp:docPr id="1193504093" name="Picture 11935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455462" cy="1650855"/>
                                </a:xfrm>
                                <a:prstGeom prst="rect">
                                  <a:avLst/>
                                </a:prstGeom>
                                <a:noFill/>
                              </pic:spPr>
                            </pic:pic>
                          </a:graphicData>
                        </a:graphic>
                      </wp:inline>
                    </w:drawing>
                  </w:r>
                </w:p>
              </w:tc>
              <w:tc>
                <w:tcPr>
                  <w:tcW w:w="4578" w:type="dxa"/>
                </w:tcPr>
                <w:p w14:paraId="4FFFD8C0" w14:textId="790B2780" w:rsidR="006F4127" w:rsidRDefault="006F4127" w:rsidP="00796F8A">
                  <w:pPr>
                    <w:jc w:val="center"/>
                    <w:rPr>
                      <w:b/>
                      <w:bCs/>
                    </w:rPr>
                  </w:pPr>
                </w:p>
                <w:p w14:paraId="713D18D2" w14:textId="77777777" w:rsidR="0092760C" w:rsidRDefault="000E2B81" w:rsidP="00796F8A">
                  <w:pPr>
                    <w:jc w:val="center"/>
                    <w:rPr>
                      <w:b/>
                      <w:bCs/>
                    </w:rPr>
                  </w:pPr>
                  <w:r>
                    <w:rPr>
                      <w:b/>
                      <w:bCs/>
                      <w:noProof/>
                    </w:rPr>
                    <w:drawing>
                      <wp:inline distT="0" distB="0" distL="0" distR="0" wp14:anchorId="507D9F3D" wp14:editId="03C58EEC">
                        <wp:extent cx="2422525" cy="1456199"/>
                        <wp:effectExtent l="0" t="0" r="0" b="0"/>
                        <wp:docPr id="1193504101" name="Picture 11935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434654" cy="1463490"/>
                                </a:xfrm>
                                <a:prstGeom prst="rect">
                                  <a:avLst/>
                                </a:prstGeom>
                                <a:noFill/>
                              </pic:spPr>
                            </pic:pic>
                          </a:graphicData>
                        </a:graphic>
                      </wp:inline>
                    </w:drawing>
                  </w:r>
                </w:p>
                <w:p w14:paraId="68ADCA3D" w14:textId="3FF33B77" w:rsidR="002331D1" w:rsidRDefault="002331D1" w:rsidP="00796F8A">
                  <w:pPr>
                    <w:jc w:val="center"/>
                    <w:rPr>
                      <w:b/>
                      <w:bCs/>
                    </w:rPr>
                  </w:pPr>
                </w:p>
              </w:tc>
            </w:tr>
            <w:tr w:rsidR="002331D1" w14:paraId="076A8AFA" w14:textId="77777777" w:rsidTr="002331D1">
              <w:tc>
                <w:tcPr>
                  <w:tcW w:w="4212" w:type="dxa"/>
                </w:tcPr>
                <w:p w14:paraId="6C113DA0" w14:textId="2C4060DD" w:rsidR="006F4127" w:rsidRDefault="002331D1" w:rsidP="00796F8A">
                  <w:pPr>
                    <w:jc w:val="center"/>
                    <w:rPr>
                      <w:b/>
                      <w:bCs/>
                    </w:rPr>
                  </w:pPr>
                  <w:r>
                    <w:rPr>
                      <w:b/>
                      <w:bCs/>
                      <w:noProof/>
                    </w:rPr>
                    <w:lastRenderedPageBreak/>
                    <w:drawing>
                      <wp:inline distT="0" distB="0" distL="0" distR="0" wp14:anchorId="1AED1FBD" wp14:editId="1E5B9441">
                        <wp:extent cx="2456507" cy="1474788"/>
                        <wp:effectExtent l="0" t="0" r="1270" b="0"/>
                        <wp:docPr id="1193504104" name="Picture 119350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463118" cy="1478757"/>
                                </a:xfrm>
                                <a:prstGeom prst="rect">
                                  <a:avLst/>
                                </a:prstGeom>
                                <a:noFill/>
                              </pic:spPr>
                            </pic:pic>
                          </a:graphicData>
                        </a:graphic>
                      </wp:inline>
                    </w:drawing>
                  </w:r>
                </w:p>
              </w:tc>
              <w:tc>
                <w:tcPr>
                  <w:tcW w:w="4578" w:type="dxa"/>
                </w:tcPr>
                <w:p w14:paraId="6C760A00" w14:textId="573CF9A8" w:rsidR="006F4127" w:rsidRDefault="00700626" w:rsidP="00796F8A">
                  <w:pPr>
                    <w:jc w:val="center"/>
                    <w:rPr>
                      <w:b/>
                      <w:bCs/>
                    </w:rPr>
                  </w:pPr>
                  <w:r>
                    <w:rPr>
                      <w:b/>
                      <w:bCs/>
                      <w:noProof/>
                    </w:rPr>
                    <w:drawing>
                      <wp:inline distT="0" distB="0" distL="0" distR="0" wp14:anchorId="60A107B5" wp14:editId="633083CB">
                        <wp:extent cx="2456815" cy="1475105"/>
                        <wp:effectExtent l="0" t="0" r="635" b="0"/>
                        <wp:docPr id="1193504103" name="Picture 11935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456815" cy="1475105"/>
                                </a:xfrm>
                                <a:prstGeom prst="rect">
                                  <a:avLst/>
                                </a:prstGeom>
                                <a:noFill/>
                              </pic:spPr>
                            </pic:pic>
                          </a:graphicData>
                        </a:graphic>
                      </wp:inline>
                    </w:drawing>
                  </w:r>
                </w:p>
              </w:tc>
            </w:tr>
          </w:tbl>
          <w:p w14:paraId="62529F73" w14:textId="1B1698C6" w:rsidR="006F4127" w:rsidRPr="00B87922" w:rsidRDefault="006F4127" w:rsidP="00796F8A">
            <w:pPr>
              <w:jc w:val="center"/>
              <w:rPr>
                <w:b/>
                <w:bCs/>
                <w:lang w:val="en-GB"/>
              </w:rPr>
            </w:pPr>
          </w:p>
        </w:tc>
      </w:tr>
    </w:tbl>
    <w:p w14:paraId="4EE0E2EE" w14:textId="77777777" w:rsidR="00C60151" w:rsidRPr="00B64995" w:rsidRDefault="00C60151" w:rsidP="00AA47DC">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15BCE" w:rsidRPr="00B64995" w14:paraId="72BA9FB2" w14:textId="77777777" w:rsidTr="6844BCB7">
        <w:tc>
          <w:tcPr>
            <w:tcW w:w="4508" w:type="dxa"/>
          </w:tcPr>
          <w:p w14:paraId="25EA60A4" w14:textId="77777777" w:rsidR="002C550F" w:rsidRPr="00B87922" w:rsidRDefault="002C550F" w:rsidP="00AA47DC">
            <w:pPr>
              <w:rPr>
                <w:b/>
                <w:bCs/>
                <w:lang w:val="en-GB"/>
              </w:rPr>
            </w:pPr>
          </w:p>
        </w:tc>
        <w:tc>
          <w:tcPr>
            <w:tcW w:w="4508" w:type="dxa"/>
          </w:tcPr>
          <w:p w14:paraId="2B8A4660" w14:textId="77777777" w:rsidR="002C550F" w:rsidRPr="00B87922" w:rsidRDefault="002C550F" w:rsidP="00AA47DC">
            <w:pPr>
              <w:rPr>
                <w:b/>
                <w:bCs/>
                <w:lang w:val="en-GB"/>
              </w:rPr>
            </w:pPr>
          </w:p>
        </w:tc>
      </w:tr>
      <w:tr w:rsidR="00815BCE" w:rsidRPr="00B64995" w14:paraId="4D375B50" w14:textId="77777777" w:rsidTr="6844BCB7">
        <w:tc>
          <w:tcPr>
            <w:tcW w:w="4508" w:type="dxa"/>
          </w:tcPr>
          <w:p w14:paraId="3EDC4A42" w14:textId="77777777" w:rsidR="004008F8" w:rsidRDefault="004008F8" w:rsidP="00326D5B">
            <w:pPr>
              <w:jc w:val="center"/>
              <w:rPr>
                <w:noProof/>
              </w:rPr>
            </w:pPr>
          </w:p>
          <w:p w14:paraId="7C8D7329" w14:textId="06342A08" w:rsidR="002C550F" w:rsidRPr="00B87922" w:rsidRDefault="00473342" w:rsidP="00326D5B">
            <w:pPr>
              <w:jc w:val="center"/>
              <w:rPr>
                <w:b/>
                <w:bCs/>
                <w:lang w:val="en-GB"/>
              </w:rPr>
            </w:pPr>
            <w:r>
              <w:rPr>
                <w:b/>
                <w:bCs/>
                <w:noProof/>
              </w:rPr>
              <w:drawing>
                <wp:inline distT="0" distB="0" distL="0" distR="0" wp14:anchorId="371E473C" wp14:editId="27F15F28">
                  <wp:extent cx="2299440" cy="1430337"/>
                  <wp:effectExtent l="0" t="0" r="5715" b="0"/>
                  <wp:docPr id="1193504106" name="Picture 119350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321508" cy="1444064"/>
                          </a:xfrm>
                          <a:prstGeom prst="rect">
                            <a:avLst/>
                          </a:prstGeom>
                          <a:noFill/>
                        </pic:spPr>
                      </pic:pic>
                    </a:graphicData>
                  </a:graphic>
                </wp:inline>
              </w:drawing>
            </w:r>
          </w:p>
        </w:tc>
        <w:tc>
          <w:tcPr>
            <w:tcW w:w="4508" w:type="dxa"/>
          </w:tcPr>
          <w:p w14:paraId="5987E3B4" w14:textId="0C846FE2" w:rsidR="002C550F" w:rsidRPr="00B87922" w:rsidRDefault="40CC6833" w:rsidP="00326D5B">
            <w:pPr>
              <w:jc w:val="center"/>
              <w:rPr>
                <w:b/>
                <w:bCs/>
                <w:lang w:val="en-GB"/>
              </w:rPr>
            </w:pPr>
            <w:r w:rsidRPr="003C5E1A">
              <w:rPr>
                <w:noProof/>
              </w:rPr>
              <w:drawing>
                <wp:inline distT="0" distB="0" distL="0" distR="0" wp14:anchorId="4FC4DF2F" wp14:editId="48439BFF">
                  <wp:extent cx="1715631" cy="1378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67">
                            <a:extLst>
                              <a:ext uri="{28A0092B-C50C-407E-A947-70E740481C1C}">
                                <a14:useLocalDpi xmlns:a14="http://schemas.microsoft.com/office/drawing/2010/main" val="0"/>
                              </a:ext>
                            </a:extLst>
                          </a:blip>
                          <a:stretch>
                            <a:fillRect/>
                          </a:stretch>
                        </pic:blipFill>
                        <pic:spPr>
                          <a:xfrm>
                            <a:off x="0" y="0"/>
                            <a:ext cx="1715631" cy="1378633"/>
                          </a:xfrm>
                          <a:prstGeom prst="rect">
                            <a:avLst/>
                          </a:prstGeom>
                        </pic:spPr>
                      </pic:pic>
                    </a:graphicData>
                  </a:graphic>
                </wp:inline>
              </w:drawing>
            </w:r>
          </w:p>
        </w:tc>
      </w:tr>
      <w:tr w:rsidR="00815BCE" w:rsidRPr="00B64995" w14:paraId="6CD834FB" w14:textId="77777777" w:rsidTr="6844BCB7">
        <w:tc>
          <w:tcPr>
            <w:tcW w:w="4508" w:type="dxa"/>
          </w:tcPr>
          <w:p w14:paraId="5FB6ED9E" w14:textId="77777777" w:rsidR="002C550F" w:rsidRPr="00B87922" w:rsidRDefault="002C550F" w:rsidP="00AA47DC">
            <w:pPr>
              <w:rPr>
                <w:b/>
                <w:bCs/>
                <w:lang w:val="en-GB"/>
              </w:rPr>
            </w:pPr>
          </w:p>
        </w:tc>
        <w:tc>
          <w:tcPr>
            <w:tcW w:w="4508" w:type="dxa"/>
          </w:tcPr>
          <w:p w14:paraId="07C6B346" w14:textId="77777777" w:rsidR="002C550F" w:rsidRPr="00B87922" w:rsidRDefault="002C550F" w:rsidP="00AA47DC">
            <w:pPr>
              <w:rPr>
                <w:b/>
                <w:bCs/>
                <w:lang w:val="en-GB"/>
              </w:rPr>
            </w:pPr>
          </w:p>
        </w:tc>
      </w:tr>
      <w:tr w:rsidR="00815BCE" w:rsidRPr="00B64995" w14:paraId="55AE3B18" w14:textId="77777777" w:rsidTr="6844BCB7">
        <w:tc>
          <w:tcPr>
            <w:tcW w:w="4508" w:type="dxa"/>
          </w:tcPr>
          <w:p w14:paraId="50E25238" w14:textId="44C97F4C" w:rsidR="002C550F" w:rsidRDefault="003C7A44" w:rsidP="00326D5B">
            <w:pPr>
              <w:jc w:val="center"/>
              <w:rPr>
                <w:b/>
                <w:bCs/>
                <w:lang w:val="en-GB"/>
              </w:rPr>
            </w:pPr>
            <w:r>
              <w:rPr>
                <w:b/>
                <w:bCs/>
                <w:noProof/>
              </w:rPr>
              <w:drawing>
                <wp:inline distT="0" distB="0" distL="0" distR="0" wp14:anchorId="5D8FE47E" wp14:editId="586C240F">
                  <wp:extent cx="2395092" cy="1495425"/>
                  <wp:effectExtent l="0" t="0" r="5715" b="0"/>
                  <wp:docPr id="1193504107" name="Picture 11935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401094" cy="1499173"/>
                          </a:xfrm>
                          <a:prstGeom prst="rect">
                            <a:avLst/>
                          </a:prstGeom>
                          <a:noFill/>
                        </pic:spPr>
                      </pic:pic>
                    </a:graphicData>
                  </a:graphic>
                </wp:inline>
              </w:drawing>
            </w:r>
          </w:p>
          <w:p w14:paraId="47F04D01" w14:textId="77777777" w:rsidR="003C7A44" w:rsidRDefault="003C7A44" w:rsidP="00326D5B">
            <w:pPr>
              <w:jc w:val="center"/>
              <w:rPr>
                <w:b/>
                <w:bCs/>
                <w:lang w:val="en-GB"/>
              </w:rPr>
            </w:pPr>
          </w:p>
          <w:p w14:paraId="3D7575FF" w14:textId="70C3D921" w:rsidR="003C7A44" w:rsidRPr="00B87922" w:rsidRDefault="00B604F3" w:rsidP="00326D5B">
            <w:pPr>
              <w:jc w:val="center"/>
              <w:rPr>
                <w:b/>
                <w:bCs/>
                <w:lang w:val="en-GB"/>
              </w:rPr>
            </w:pPr>
            <w:r>
              <w:rPr>
                <w:b/>
                <w:bCs/>
                <w:noProof/>
              </w:rPr>
              <w:drawing>
                <wp:inline distT="0" distB="0" distL="0" distR="0" wp14:anchorId="21935D9F" wp14:editId="58CF7B46">
                  <wp:extent cx="2483636" cy="1577658"/>
                  <wp:effectExtent l="0" t="0" r="0" b="3810"/>
                  <wp:docPr id="1193504109" name="Picture 119350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492153" cy="1583068"/>
                          </a:xfrm>
                          <a:prstGeom prst="rect">
                            <a:avLst/>
                          </a:prstGeom>
                          <a:noFill/>
                        </pic:spPr>
                      </pic:pic>
                    </a:graphicData>
                  </a:graphic>
                </wp:inline>
              </w:drawing>
            </w:r>
          </w:p>
        </w:tc>
        <w:tc>
          <w:tcPr>
            <w:tcW w:w="4508" w:type="dxa"/>
          </w:tcPr>
          <w:p w14:paraId="5E3C985E" w14:textId="108E2AB5" w:rsidR="002C550F" w:rsidRPr="00B87922" w:rsidRDefault="3EE498C7" w:rsidP="00326D5B">
            <w:pPr>
              <w:jc w:val="center"/>
              <w:rPr>
                <w:b/>
                <w:bCs/>
                <w:lang w:val="en-GB"/>
              </w:rPr>
            </w:pPr>
            <w:r w:rsidRPr="003C5E1A">
              <w:rPr>
                <w:noProof/>
              </w:rPr>
              <w:drawing>
                <wp:inline distT="0" distB="0" distL="0" distR="0" wp14:anchorId="5D64D0D8" wp14:editId="7722BD84">
                  <wp:extent cx="2638988" cy="1586318"/>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70" cstate="print">
                            <a:extLst>
                              <a:ext uri="{28A0092B-C50C-407E-A947-70E740481C1C}">
                                <a14:useLocalDpi xmlns:a14="http://schemas.microsoft.com/office/drawing/2010/main" val="0"/>
                              </a:ext>
                            </a:extLst>
                          </a:blip>
                          <a:stretch>
                            <a:fillRect/>
                          </a:stretch>
                        </pic:blipFill>
                        <pic:spPr>
                          <a:xfrm>
                            <a:off x="0" y="0"/>
                            <a:ext cx="2638988" cy="1586318"/>
                          </a:xfrm>
                          <a:prstGeom prst="rect">
                            <a:avLst/>
                          </a:prstGeom>
                        </pic:spPr>
                      </pic:pic>
                    </a:graphicData>
                  </a:graphic>
                </wp:inline>
              </w:drawing>
            </w:r>
          </w:p>
        </w:tc>
      </w:tr>
      <w:tr w:rsidR="00815BCE" w:rsidRPr="00B64995" w14:paraId="2C5C8F40" w14:textId="77777777" w:rsidTr="6844BCB7">
        <w:tc>
          <w:tcPr>
            <w:tcW w:w="4508" w:type="dxa"/>
          </w:tcPr>
          <w:p w14:paraId="181DE59B" w14:textId="77777777" w:rsidR="002C550F" w:rsidRPr="00B87922" w:rsidRDefault="002C550F" w:rsidP="00AA47DC">
            <w:pPr>
              <w:rPr>
                <w:b/>
                <w:bCs/>
                <w:lang w:val="en-GB"/>
              </w:rPr>
            </w:pPr>
          </w:p>
        </w:tc>
        <w:tc>
          <w:tcPr>
            <w:tcW w:w="4508" w:type="dxa"/>
          </w:tcPr>
          <w:p w14:paraId="4DFE35A3" w14:textId="77777777" w:rsidR="002C550F" w:rsidRPr="00B87922" w:rsidRDefault="002C550F" w:rsidP="00AA47DC">
            <w:pPr>
              <w:rPr>
                <w:b/>
                <w:bCs/>
                <w:lang w:val="en-GB"/>
              </w:rPr>
            </w:pPr>
          </w:p>
        </w:tc>
      </w:tr>
      <w:tr w:rsidR="00815BCE" w:rsidRPr="00B64995" w14:paraId="066EE76B" w14:textId="77777777" w:rsidTr="6844BCB7">
        <w:tc>
          <w:tcPr>
            <w:tcW w:w="4508" w:type="dxa"/>
          </w:tcPr>
          <w:p w14:paraId="75F04657" w14:textId="67D2D4DF" w:rsidR="002C550F" w:rsidRPr="00B87922" w:rsidRDefault="6EAC3D49" w:rsidP="00555ECB">
            <w:pPr>
              <w:jc w:val="center"/>
              <w:rPr>
                <w:b/>
                <w:bCs/>
                <w:lang w:val="en-GB"/>
              </w:rPr>
            </w:pPr>
            <w:r w:rsidRPr="003C5E1A">
              <w:rPr>
                <w:noProof/>
              </w:rPr>
              <w:drawing>
                <wp:inline distT="0" distB="0" distL="0" distR="0" wp14:anchorId="1E3D5717" wp14:editId="31872CCF">
                  <wp:extent cx="2548941" cy="1955653"/>
                  <wp:effectExtent l="0" t="0" r="381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71">
                            <a:extLst>
                              <a:ext uri="{28A0092B-C50C-407E-A947-70E740481C1C}">
                                <a14:useLocalDpi xmlns:a14="http://schemas.microsoft.com/office/drawing/2010/main" val="0"/>
                              </a:ext>
                            </a:extLst>
                          </a:blip>
                          <a:stretch>
                            <a:fillRect/>
                          </a:stretch>
                        </pic:blipFill>
                        <pic:spPr>
                          <a:xfrm>
                            <a:off x="0" y="0"/>
                            <a:ext cx="2548941" cy="1955653"/>
                          </a:xfrm>
                          <a:prstGeom prst="rect">
                            <a:avLst/>
                          </a:prstGeom>
                        </pic:spPr>
                      </pic:pic>
                    </a:graphicData>
                  </a:graphic>
                </wp:inline>
              </w:drawing>
            </w:r>
          </w:p>
        </w:tc>
        <w:tc>
          <w:tcPr>
            <w:tcW w:w="4508" w:type="dxa"/>
          </w:tcPr>
          <w:p w14:paraId="1DC76B5F" w14:textId="5B4FB4C9" w:rsidR="002C550F" w:rsidRPr="00B87922" w:rsidRDefault="3E5C22EC" w:rsidP="00815BCE">
            <w:pPr>
              <w:jc w:val="center"/>
              <w:rPr>
                <w:b/>
                <w:bCs/>
                <w:lang w:val="en-GB"/>
              </w:rPr>
            </w:pPr>
            <w:r w:rsidRPr="003C5E1A">
              <w:rPr>
                <w:noProof/>
              </w:rPr>
              <w:drawing>
                <wp:inline distT="0" distB="0" distL="0" distR="0" wp14:anchorId="1BD769C0" wp14:editId="11F90B9A">
                  <wp:extent cx="2637103" cy="196153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72">
                            <a:extLst>
                              <a:ext uri="{28A0092B-C50C-407E-A947-70E740481C1C}">
                                <a14:useLocalDpi xmlns:a14="http://schemas.microsoft.com/office/drawing/2010/main" val="0"/>
                              </a:ext>
                            </a:extLst>
                          </a:blip>
                          <a:stretch>
                            <a:fillRect/>
                          </a:stretch>
                        </pic:blipFill>
                        <pic:spPr>
                          <a:xfrm>
                            <a:off x="0" y="0"/>
                            <a:ext cx="2637103" cy="1961531"/>
                          </a:xfrm>
                          <a:prstGeom prst="rect">
                            <a:avLst/>
                          </a:prstGeom>
                        </pic:spPr>
                      </pic:pic>
                    </a:graphicData>
                  </a:graphic>
                </wp:inline>
              </w:drawing>
            </w:r>
          </w:p>
        </w:tc>
      </w:tr>
      <w:tr w:rsidR="00815BCE" w:rsidRPr="00B64995" w14:paraId="31C210A5" w14:textId="77777777" w:rsidTr="6844BCB7">
        <w:tc>
          <w:tcPr>
            <w:tcW w:w="4508" w:type="dxa"/>
          </w:tcPr>
          <w:p w14:paraId="67B0A76B" w14:textId="77777777" w:rsidR="002C550F" w:rsidRPr="00B87922" w:rsidRDefault="002C550F" w:rsidP="00AA47DC">
            <w:pPr>
              <w:rPr>
                <w:b/>
                <w:bCs/>
                <w:lang w:val="en-GB"/>
              </w:rPr>
            </w:pPr>
          </w:p>
        </w:tc>
        <w:tc>
          <w:tcPr>
            <w:tcW w:w="4508" w:type="dxa"/>
          </w:tcPr>
          <w:p w14:paraId="7F13B2DF" w14:textId="77777777" w:rsidR="002C550F" w:rsidRPr="00B87922" w:rsidRDefault="002C550F" w:rsidP="00AA47DC">
            <w:pPr>
              <w:rPr>
                <w:b/>
                <w:bCs/>
                <w:lang w:val="en-GB"/>
              </w:rPr>
            </w:pPr>
          </w:p>
        </w:tc>
      </w:tr>
      <w:tr w:rsidR="00815BCE" w:rsidRPr="00B64995" w14:paraId="138A624E" w14:textId="77777777" w:rsidTr="6844BCB7">
        <w:tc>
          <w:tcPr>
            <w:tcW w:w="4508" w:type="dxa"/>
          </w:tcPr>
          <w:p w14:paraId="6C9A34D6" w14:textId="5E810453" w:rsidR="00815BCE" w:rsidRPr="00B87922" w:rsidRDefault="3E5C22EC" w:rsidP="00815BCE">
            <w:pPr>
              <w:jc w:val="center"/>
              <w:rPr>
                <w:b/>
                <w:bCs/>
                <w:lang w:val="en-GB"/>
              </w:rPr>
            </w:pPr>
            <w:r w:rsidRPr="003C5E1A">
              <w:rPr>
                <w:noProof/>
              </w:rPr>
              <w:drawing>
                <wp:inline distT="0" distB="0" distL="0" distR="0" wp14:anchorId="168FD260" wp14:editId="5267975E">
                  <wp:extent cx="2190227" cy="2394354"/>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73">
                            <a:extLst>
                              <a:ext uri="{28A0092B-C50C-407E-A947-70E740481C1C}">
                                <a14:useLocalDpi xmlns:a14="http://schemas.microsoft.com/office/drawing/2010/main" val="0"/>
                              </a:ext>
                            </a:extLst>
                          </a:blip>
                          <a:stretch>
                            <a:fillRect/>
                          </a:stretch>
                        </pic:blipFill>
                        <pic:spPr>
                          <a:xfrm>
                            <a:off x="0" y="0"/>
                            <a:ext cx="2190227" cy="2394354"/>
                          </a:xfrm>
                          <a:prstGeom prst="rect">
                            <a:avLst/>
                          </a:prstGeom>
                        </pic:spPr>
                      </pic:pic>
                    </a:graphicData>
                  </a:graphic>
                </wp:inline>
              </w:drawing>
            </w:r>
          </w:p>
        </w:tc>
        <w:tc>
          <w:tcPr>
            <w:tcW w:w="4508" w:type="dxa"/>
          </w:tcPr>
          <w:p w14:paraId="72E9EF33" w14:textId="77777777" w:rsidR="00815BCE" w:rsidRPr="00B87922" w:rsidRDefault="00815BCE" w:rsidP="00AA47DC">
            <w:pPr>
              <w:rPr>
                <w:b/>
                <w:bCs/>
                <w:lang w:val="en-GB"/>
              </w:rPr>
            </w:pPr>
          </w:p>
        </w:tc>
      </w:tr>
    </w:tbl>
    <w:p w14:paraId="10FD89A1" w14:textId="6E4ECF65" w:rsidR="00AA47DC" w:rsidRPr="00B64995" w:rsidRDefault="00AA47DC" w:rsidP="00AA47DC">
      <w:pPr>
        <w:rPr>
          <w:b/>
          <w:bCs/>
        </w:rPr>
      </w:pPr>
    </w:p>
    <w:p w14:paraId="2BE3445A" w14:textId="4CD8AE31" w:rsidR="00AA47DC" w:rsidRPr="00B64995" w:rsidRDefault="00AA47DC" w:rsidP="00AA47DC">
      <w:pPr>
        <w:rPr>
          <w:b/>
          <w:bCs/>
        </w:rPr>
      </w:pPr>
    </w:p>
    <w:p w14:paraId="48C1F627" w14:textId="30404232" w:rsidR="00AA47DC" w:rsidRPr="00B64995" w:rsidRDefault="00AA47DC" w:rsidP="00A83DAA">
      <w:pPr>
        <w:pStyle w:val="Heading5"/>
      </w:pPr>
      <w:bookmarkStart w:id="188" w:name="_Toc37943369"/>
      <w:r w:rsidRPr="00B64995">
        <w:t>E.2</w:t>
      </w:r>
      <w:bookmarkEnd w:id="188"/>
      <w:r w:rsidR="00261860" w:rsidRPr="00B64995">
        <w:tab/>
        <w:t>Ensure efficient and accessible conferences, meetings, documentation,</w:t>
      </w:r>
      <w:r w:rsidR="00D73BCF" w:rsidRPr="00B64995">
        <w:t xml:space="preserve"> </w:t>
      </w:r>
      <w:r w:rsidR="00261860" w:rsidRPr="00B64995">
        <w:t xml:space="preserve">publications and information </w:t>
      </w:r>
      <w:proofErr w:type="gramStart"/>
      <w:r w:rsidR="00261860" w:rsidRPr="00B64995">
        <w:t>infrastructures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21444" w:rsidRPr="00B64995" w14:paraId="0CF5586E" w14:textId="77777777" w:rsidTr="6844BCB7">
        <w:tc>
          <w:tcPr>
            <w:tcW w:w="4508" w:type="dxa"/>
          </w:tcPr>
          <w:p w14:paraId="3FDA5B42" w14:textId="77777777" w:rsidR="00721444" w:rsidRPr="00B87922" w:rsidRDefault="00721444" w:rsidP="00215229">
            <w:pPr>
              <w:rPr>
                <w:b/>
                <w:bCs/>
                <w:lang w:val="en-GB"/>
              </w:rPr>
            </w:pPr>
          </w:p>
        </w:tc>
        <w:tc>
          <w:tcPr>
            <w:tcW w:w="4508" w:type="dxa"/>
          </w:tcPr>
          <w:p w14:paraId="36EBBE6E" w14:textId="77777777" w:rsidR="00721444" w:rsidRPr="00B87922" w:rsidRDefault="00721444" w:rsidP="00215229">
            <w:pPr>
              <w:rPr>
                <w:b/>
                <w:bCs/>
                <w:lang w:val="en-GB"/>
              </w:rPr>
            </w:pPr>
          </w:p>
        </w:tc>
      </w:tr>
      <w:tr w:rsidR="00721444" w:rsidRPr="00B64995" w14:paraId="783D157A" w14:textId="77777777" w:rsidTr="6844BCB7">
        <w:tc>
          <w:tcPr>
            <w:tcW w:w="9016" w:type="dxa"/>
            <w:gridSpan w:val="2"/>
          </w:tcPr>
          <w:p w14:paraId="43D25CC0" w14:textId="6E5E9495" w:rsidR="00721444" w:rsidRPr="00B87922" w:rsidRDefault="6BC4C235" w:rsidP="00721444">
            <w:pPr>
              <w:jc w:val="center"/>
              <w:rPr>
                <w:b/>
                <w:bCs/>
                <w:lang w:val="en-GB"/>
              </w:rPr>
            </w:pPr>
            <w:r w:rsidRPr="003C5E1A">
              <w:rPr>
                <w:noProof/>
              </w:rPr>
              <w:drawing>
                <wp:inline distT="0" distB="0" distL="0" distR="0" wp14:anchorId="16CB9336" wp14:editId="1ADA7CBD">
                  <wp:extent cx="4771769" cy="3374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74" cstate="print">
                            <a:extLst>
                              <a:ext uri="{28A0092B-C50C-407E-A947-70E740481C1C}">
                                <a14:useLocalDpi xmlns:a14="http://schemas.microsoft.com/office/drawing/2010/main" val="0"/>
                              </a:ext>
                            </a:extLst>
                          </a:blip>
                          <a:stretch>
                            <a:fillRect/>
                          </a:stretch>
                        </pic:blipFill>
                        <pic:spPr>
                          <a:xfrm>
                            <a:off x="0" y="0"/>
                            <a:ext cx="4771769" cy="3374717"/>
                          </a:xfrm>
                          <a:prstGeom prst="rect">
                            <a:avLst/>
                          </a:prstGeom>
                        </pic:spPr>
                      </pic:pic>
                    </a:graphicData>
                  </a:graphic>
                </wp:inline>
              </w:drawing>
            </w:r>
          </w:p>
        </w:tc>
      </w:tr>
      <w:tr w:rsidR="00721444" w:rsidRPr="00B64995" w14:paraId="3540880F" w14:textId="77777777" w:rsidTr="6844BCB7">
        <w:tc>
          <w:tcPr>
            <w:tcW w:w="4508" w:type="dxa"/>
          </w:tcPr>
          <w:p w14:paraId="5A6DE074" w14:textId="77777777" w:rsidR="00721444" w:rsidRPr="00B87922" w:rsidRDefault="00721444" w:rsidP="00215229">
            <w:pPr>
              <w:rPr>
                <w:b/>
                <w:bCs/>
                <w:lang w:val="en-GB"/>
              </w:rPr>
            </w:pPr>
          </w:p>
        </w:tc>
        <w:tc>
          <w:tcPr>
            <w:tcW w:w="4508" w:type="dxa"/>
          </w:tcPr>
          <w:p w14:paraId="4448BB26" w14:textId="77777777" w:rsidR="00721444" w:rsidRPr="00B87922" w:rsidRDefault="00721444" w:rsidP="00215229">
            <w:pPr>
              <w:rPr>
                <w:b/>
                <w:bCs/>
                <w:lang w:val="en-GB"/>
              </w:rPr>
            </w:pPr>
          </w:p>
        </w:tc>
      </w:tr>
      <w:tr w:rsidR="00491E54" w:rsidRPr="00B64995" w14:paraId="609B9D1E" w14:textId="77777777" w:rsidTr="6844BCB7">
        <w:tc>
          <w:tcPr>
            <w:tcW w:w="9016" w:type="dxa"/>
            <w:gridSpan w:val="2"/>
          </w:tcPr>
          <w:p w14:paraId="1557B3DB" w14:textId="54949A33" w:rsidR="00491E54" w:rsidRPr="00B87922" w:rsidRDefault="539F74F5" w:rsidP="00491E54">
            <w:pPr>
              <w:jc w:val="center"/>
              <w:rPr>
                <w:b/>
                <w:bCs/>
                <w:lang w:val="en-GB"/>
              </w:rPr>
            </w:pPr>
            <w:r w:rsidRPr="003C5E1A">
              <w:rPr>
                <w:noProof/>
              </w:rPr>
              <w:drawing>
                <wp:inline distT="0" distB="0" distL="0" distR="0" wp14:anchorId="63EC795B" wp14:editId="5C347CC3">
                  <wp:extent cx="3971422" cy="85271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75">
                            <a:extLst>
                              <a:ext uri="{28A0092B-C50C-407E-A947-70E740481C1C}">
                                <a14:useLocalDpi xmlns:a14="http://schemas.microsoft.com/office/drawing/2010/main" val="0"/>
                              </a:ext>
                            </a:extLst>
                          </a:blip>
                          <a:stretch>
                            <a:fillRect/>
                          </a:stretch>
                        </pic:blipFill>
                        <pic:spPr>
                          <a:xfrm>
                            <a:off x="0" y="0"/>
                            <a:ext cx="3971422" cy="852716"/>
                          </a:xfrm>
                          <a:prstGeom prst="rect">
                            <a:avLst/>
                          </a:prstGeom>
                        </pic:spPr>
                      </pic:pic>
                    </a:graphicData>
                  </a:graphic>
                </wp:inline>
              </w:drawing>
            </w:r>
          </w:p>
        </w:tc>
      </w:tr>
      <w:tr w:rsidR="00721444" w:rsidRPr="00B64995" w14:paraId="06006E03" w14:textId="77777777" w:rsidTr="6844BCB7">
        <w:tc>
          <w:tcPr>
            <w:tcW w:w="4508" w:type="dxa"/>
          </w:tcPr>
          <w:p w14:paraId="4CE76974" w14:textId="77777777" w:rsidR="00721444" w:rsidRPr="00B87922" w:rsidRDefault="00721444" w:rsidP="00215229">
            <w:pPr>
              <w:rPr>
                <w:b/>
                <w:bCs/>
                <w:lang w:val="en-GB"/>
              </w:rPr>
            </w:pPr>
          </w:p>
        </w:tc>
        <w:tc>
          <w:tcPr>
            <w:tcW w:w="4508" w:type="dxa"/>
          </w:tcPr>
          <w:p w14:paraId="64C57402" w14:textId="77777777" w:rsidR="00721444" w:rsidRPr="00B87922" w:rsidRDefault="00721444" w:rsidP="00215229">
            <w:pPr>
              <w:rPr>
                <w:b/>
                <w:bCs/>
                <w:lang w:val="en-GB"/>
              </w:rPr>
            </w:pPr>
          </w:p>
        </w:tc>
      </w:tr>
      <w:tr w:rsidR="00AC36F2" w:rsidRPr="00B64995" w14:paraId="07F32858" w14:textId="77777777" w:rsidTr="6844BCB7">
        <w:tc>
          <w:tcPr>
            <w:tcW w:w="9016" w:type="dxa"/>
            <w:gridSpan w:val="2"/>
          </w:tcPr>
          <w:p w14:paraId="7A64CC00" w14:textId="2D684F5C" w:rsidR="00AC36F2" w:rsidRPr="00B87922" w:rsidRDefault="00CA0605" w:rsidP="00AC36F2">
            <w:pPr>
              <w:jc w:val="center"/>
              <w:rPr>
                <w:b/>
                <w:bCs/>
                <w:lang w:val="en-GB"/>
              </w:rPr>
            </w:pPr>
            <w:r>
              <w:rPr>
                <w:b/>
                <w:bCs/>
                <w:noProof/>
              </w:rPr>
              <w:lastRenderedPageBreak/>
              <w:drawing>
                <wp:inline distT="0" distB="0" distL="0" distR="0" wp14:anchorId="3C54FCF4" wp14:editId="5F19BB66">
                  <wp:extent cx="3708708" cy="2782252"/>
                  <wp:effectExtent l="0" t="0" r="6350" b="0"/>
                  <wp:docPr id="1193504110" name="Picture 119350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737245" cy="2803660"/>
                          </a:xfrm>
                          <a:prstGeom prst="rect">
                            <a:avLst/>
                          </a:prstGeom>
                          <a:noFill/>
                        </pic:spPr>
                      </pic:pic>
                    </a:graphicData>
                  </a:graphic>
                </wp:inline>
              </w:drawing>
            </w:r>
          </w:p>
        </w:tc>
      </w:tr>
      <w:tr w:rsidR="00AC36F2" w:rsidRPr="00B64995" w14:paraId="56AF50D2" w14:textId="77777777" w:rsidTr="6844BCB7">
        <w:tc>
          <w:tcPr>
            <w:tcW w:w="4508" w:type="dxa"/>
          </w:tcPr>
          <w:p w14:paraId="15E38EAD" w14:textId="77777777" w:rsidR="00AC36F2" w:rsidRPr="00B87922" w:rsidRDefault="00AC36F2" w:rsidP="00215229">
            <w:pPr>
              <w:rPr>
                <w:b/>
                <w:bCs/>
                <w:lang w:val="en-GB"/>
              </w:rPr>
            </w:pPr>
          </w:p>
        </w:tc>
        <w:tc>
          <w:tcPr>
            <w:tcW w:w="4508" w:type="dxa"/>
          </w:tcPr>
          <w:p w14:paraId="55E53F04" w14:textId="77777777" w:rsidR="00AC36F2" w:rsidRPr="00B87922" w:rsidRDefault="00AC36F2" w:rsidP="00215229">
            <w:pPr>
              <w:rPr>
                <w:b/>
                <w:bCs/>
                <w:lang w:val="en-GB"/>
              </w:rPr>
            </w:pPr>
          </w:p>
        </w:tc>
      </w:tr>
      <w:tr w:rsidR="00AC36F2" w:rsidRPr="00B64995" w14:paraId="6DDED844" w14:textId="77777777" w:rsidTr="6844BCB7">
        <w:tc>
          <w:tcPr>
            <w:tcW w:w="9016" w:type="dxa"/>
            <w:gridSpan w:val="2"/>
          </w:tcPr>
          <w:p w14:paraId="043484FF" w14:textId="1689C9E7" w:rsidR="00AC36F2" w:rsidRPr="00B87922" w:rsidRDefault="796969AA" w:rsidP="00AC36F2">
            <w:pPr>
              <w:jc w:val="center"/>
              <w:rPr>
                <w:b/>
                <w:bCs/>
                <w:lang w:val="en-GB"/>
              </w:rPr>
            </w:pPr>
            <w:r w:rsidRPr="003C5E1A">
              <w:rPr>
                <w:noProof/>
              </w:rPr>
              <w:drawing>
                <wp:inline distT="0" distB="0" distL="0" distR="0" wp14:anchorId="26C0FC7D" wp14:editId="446FC89D">
                  <wp:extent cx="2315070" cy="13916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77" cstate="print">
                            <a:extLst>
                              <a:ext uri="{28A0092B-C50C-407E-A947-70E740481C1C}">
                                <a14:useLocalDpi xmlns:a14="http://schemas.microsoft.com/office/drawing/2010/main" val="0"/>
                              </a:ext>
                            </a:extLst>
                          </a:blip>
                          <a:stretch>
                            <a:fillRect/>
                          </a:stretch>
                        </pic:blipFill>
                        <pic:spPr>
                          <a:xfrm>
                            <a:off x="0" y="0"/>
                            <a:ext cx="2315070" cy="1391607"/>
                          </a:xfrm>
                          <a:prstGeom prst="rect">
                            <a:avLst/>
                          </a:prstGeom>
                        </pic:spPr>
                      </pic:pic>
                    </a:graphicData>
                  </a:graphic>
                </wp:inline>
              </w:drawing>
            </w:r>
          </w:p>
        </w:tc>
      </w:tr>
    </w:tbl>
    <w:p w14:paraId="7408411F" w14:textId="2043C372" w:rsidR="00AA47DC" w:rsidRPr="00B64995" w:rsidRDefault="00AA47DC" w:rsidP="00A83DAA">
      <w:pPr>
        <w:pStyle w:val="Heading5"/>
      </w:pPr>
      <w:bookmarkStart w:id="189" w:name="_Toc37943370"/>
      <w:r w:rsidRPr="00B64995">
        <w:t>E.3</w:t>
      </w:r>
      <w:bookmarkEnd w:id="189"/>
      <w:r w:rsidR="00205DE1" w:rsidRPr="00B64995">
        <w:tab/>
        <w:t>Ensure efficient membership-related, protocol, communication and resource</w:t>
      </w:r>
      <w:r w:rsidR="00D73BCF" w:rsidRPr="00B64995">
        <w:t xml:space="preserve"> </w:t>
      </w:r>
      <w:r w:rsidR="00205DE1" w:rsidRPr="00B64995">
        <w:t xml:space="preserve">mobilization </w:t>
      </w:r>
      <w:proofErr w:type="gramStart"/>
      <w:r w:rsidR="00205DE1" w:rsidRPr="00B64995">
        <w:t>services</w:t>
      </w:r>
      <w:proofErr w:type="gramEnd"/>
    </w:p>
    <w:tbl>
      <w:tblPr>
        <w:tblStyle w:val="TableGrid"/>
        <w:tblW w:w="0" w:type="auto"/>
        <w:tblLook w:val="04A0" w:firstRow="1" w:lastRow="0" w:firstColumn="1" w:lastColumn="0" w:noHBand="0" w:noVBand="1"/>
      </w:tblPr>
      <w:tblGrid>
        <w:gridCol w:w="1058"/>
        <w:gridCol w:w="7968"/>
      </w:tblGrid>
      <w:tr w:rsidR="00AC36F2" w:rsidRPr="00B64995" w14:paraId="6BD4AFFD" w14:textId="77777777" w:rsidTr="6844BCB7">
        <w:tc>
          <w:tcPr>
            <w:tcW w:w="4508" w:type="dxa"/>
            <w:tcBorders>
              <w:top w:val="nil"/>
              <w:left w:val="nil"/>
              <w:bottom w:val="nil"/>
              <w:right w:val="nil"/>
            </w:tcBorders>
          </w:tcPr>
          <w:p w14:paraId="33A689C3" w14:textId="77777777" w:rsidR="00AC36F2" w:rsidRPr="00B87922" w:rsidRDefault="00AC36F2" w:rsidP="00AA47DC">
            <w:pPr>
              <w:rPr>
                <w:b/>
                <w:bCs/>
                <w:lang w:val="en-GB"/>
              </w:rPr>
            </w:pPr>
          </w:p>
        </w:tc>
        <w:tc>
          <w:tcPr>
            <w:tcW w:w="4508" w:type="dxa"/>
            <w:tcBorders>
              <w:top w:val="nil"/>
              <w:left w:val="nil"/>
              <w:bottom w:val="nil"/>
              <w:right w:val="nil"/>
            </w:tcBorders>
          </w:tcPr>
          <w:p w14:paraId="16FFBBCF" w14:textId="77777777" w:rsidR="00AC36F2" w:rsidRPr="00B87922" w:rsidRDefault="00AC36F2" w:rsidP="00AA47DC">
            <w:pPr>
              <w:rPr>
                <w:b/>
                <w:bCs/>
                <w:lang w:val="en-GB"/>
              </w:rPr>
            </w:pPr>
          </w:p>
        </w:tc>
      </w:tr>
      <w:tr w:rsidR="00AC36F2" w:rsidRPr="00B64995" w14:paraId="5204505B" w14:textId="77777777" w:rsidTr="6844BCB7">
        <w:tc>
          <w:tcPr>
            <w:tcW w:w="9016" w:type="dxa"/>
            <w:gridSpan w:val="2"/>
            <w:tcBorders>
              <w:top w:val="nil"/>
              <w:left w:val="nil"/>
              <w:bottom w:val="nil"/>
              <w:right w:val="nil"/>
            </w:tcBorders>
          </w:tcPr>
          <w:p w14:paraId="7D0BB4B1" w14:textId="77777777" w:rsidR="00AC36F2" w:rsidRDefault="1C07134F" w:rsidP="00AC36F2">
            <w:pPr>
              <w:jc w:val="center"/>
              <w:rPr>
                <w:b/>
                <w:bCs/>
                <w:lang w:val="en-GB"/>
              </w:rPr>
            </w:pPr>
            <w:r w:rsidRPr="003C5E1A">
              <w:rPr>
                <w:noProof/>
              </w:rPr>
              <w:drawing>
                <wp:inline distT="0" distB="0" distL="0" distR="0" wp14:anchorId="3D062DCD" wp14:editId="08D15802">
                  <wp:extent cx="4457693" cy="301361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78">
                            <a:extLst>
                              <a:ext uri="{28A0092B-C50C-407E-A947-70E740481C1C}">
                                <a14:useLocalDpi xmlns:a14="http://schemas.microsoft.com/office/drawing/2010/main" val="0"/>
                              </a:ext>
                            </a:extLst>
                          </a:blip>
                          <a:stretch>
                            <a:fillRect/>
                          </a:stretch>
                        </pic:blipFill>
                        <pic:spPr>
                          <a:xfrm>
                            <a:off x="0" y="0"/>
                            <a:ext cx="4457693" cy="3013610"/>
                          </a:xfrm>
                          <a:prstGeom prst="rect">
                            <a:avLst/>
                          </a:prstGeom>
                        </pic:spPr>
                      </pic:pic>
                    </a:graphicData>
                  </a:graphic>
                </wp:inline>
              </w:drawing>
            </w:r>
          </w:p>
          <w:p w14:paraId="77002F3D" w14:textId="77777777" w:rsidR="00426170" w:rsidRDefault="00426170" w:rsidP="00AC36F2">
            <w:pPr>
              <w:jc w:val="center"/>
              <w:rPr>
                <w:b/>
                <w:bCs/>
                <w:lang w:val="en-GB"/>
              </w:rPr>
            </w:pPr>
          </w:p>
          <w:p w14:paraId="4B31D6A5" w14:textId="6A87B290" w:rsidR="00426170" w:rsidRPr="00B87922" w:rsidRDefault="00426170" w:rsidP="00AC36F2">
            <w:pPr>
              <w:jc w:val="center"/>
              <w:rPr>
                <w:b/>
                <w:bCs/>
                <w:lang w:val="en-GB"/>
              </w:rPr>
            </w:pPr>
            <w:r>
              <w:rPr>
                <w:noProof/>
              </w:rPr>
              <w:lastRenderedPageBreak/>
              <w:drawing>
                <wp:inline distT="0" distB="0" distL="0" distR="0" wp14:anchorId="72DA2ACE" wp14:editId="6B767EBE">
                  <wp:extent cx="4582560" cy="3077210"/>
                  <wp:effectExtent l="0" t="0" r="8890" b="8890"/>
                  <wp:docPr id="1193504111" name="Picture 11935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9"/>
                          <a:stretch>
                            <a:fillRect/>
                          </a:stretch>
                        </pic:blipFill>
                        <pic:spPr>
                          <a:xfrm>
                            <a:off x="0" y="0"/>
                            <a:ext cx="4595213" cy="3085707"/>
                          </a:xfrm>
                          <a:prstGeom prst="rect">
                            <a:avLst/>
                          </a:prstGeom>
                        </pic:spPr>
                      </pic:pic>
                    </a:graphicData>
                  </a:graphic>
                </wp:inline>
              </w:drawing>
            </w:r>
          </w:p>
        </w:tc>
      </w:tr>
      <w:tr w:rsidR="00AC36F2" w:rsidRPr="00B64995" w14:paraId="595520A7" w14:textId="77777777" w:rsidTr="6844BCB7">
        <w:tc>
          <w:tcPr>
            <w:tcW w:w="4508" w:type="dxa"/>
            <w:tcBorders>
              <w:top w:val="nil"/>
              <w:left w:val="nil"/>
              <w:bottom w:val="nil"/>
              <w:right w:val="nil"/>
            </w:tcBorders>
          </w:tcPr>
          <w:p w14:paraId="0A8B99CA" w14:textId="77777777" w:rsidR="00AC36F2" w:rsidRPr="00B87922" w:rsidRDefault="00AC36F2" w:rsidP="00AA47DC">
            <w:pPr>
              <w:rPr>
                <w:b/>
                <w:bCs/>
                <w:lang w:val="en-GB"/>
              </w:rPr>
            </w:pPr>
          </w:p>
        </w:tc>
        <w:tc>
          <w:tcPr>
            <w:tcW w:w="4508" w:type="dxa"/>
            <w:tcBorders>
              <w:top w:val="nil"/>
              <w:left w:val="nil"/>
              <w:bottom w:val="nil"/>
              <w:right w:val="nil"/>
            </w:tcBorders>
          </w:tcPr>
          <w:p w14:paraId="28978EFC" w14:textId="77777777" w:rsidR="00AC36F2" w:rsidRPr="00B87922" w:rsidRDefault="00AC36F2" w:rsidP="00AA47DC">
            <w:pPr>
              <w:rPr>
                <w:b/>
                <w:bCs/>
                <w:lang w:val="en-GB"/>
              </w:rPr>
            </w:pPr>
          </w:p>
        </w:tc>
      </w:tr>
      <w:tr w:rsidR="00AC36F2" w:rsidRPr="00B64995" w14:paraId="6B0F41D7" w14:textId="77777777" w:rsidTr="6844BCB7">
        <w:tc>
          <w:tcPr>
            <w:tcW w:w="9016" w:type="dxa"/>
            <w:gridSpan w:val="2"/>
            <w:tcBorders>
              <w:top w:val="nil"/>
              <w:left w:val="nil"/>
              <w:bottom w:val="nil"/>
              <w:right w:val="nil"/>
            </w:tcBorders>
          </w:tcPr>
          <w:p w14:paraId="75C393F0" w14:textId="67DCF452" w:rsidR="00AC36F2" w:rsidRPr="00B87922" w:rsidRDefault="004C73E7" w:rsidP="00AC36F2">
            <w:pPr>
              <w:jc w:val="center"/>
              <w:rPr>
                <w:b/>
                <w:bCs/>
                <w:lang w:val="en-GB"/>
              </w:rPr>
            </w:pPr>
            <w:r>
              <w:rPr>
                <w:noProof/>
              </w:rPr>
              <w:drawing>
                <wp:inline distT="0" distB="0" distL="0" distR="0" wp14:anchorId="72690EF7" wp14:editId="543EA5CA">
                  <wp:extent cx="5462588" cy="1555379"/>
                  <wp:effectExtent l="0" t="0" r="5080" b="6985"/>
                  <wp:docPr id="1193504112" name="Picture 119350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a:stretch>
                            <a:fillRect/>
                          </a:stretch>
                        </pic:blipFill>
                        <pic:spPr>
                          <a:xfrm>
                            <a:off x="0" y="0"/>
                            <a:ext cx="5466610" cy="1556524"/>
                          </a:xfrm>
                          <a:prstGeom prst="rect">
                            <a:avLst/>
                          </a:prstGeom>
                        </pic:spPr>
                      </pic:pic>
                    </a:graphicData>
                  </a:graphic>
                </wp:inline>
              </w:drawing>
            </w:r>
          </w:p>
        </w:tc>
      </w:tr>
      <w:tr w:rsidR="00AC36F2" w:rsidRPr="00B64995" w14:paraId="5FA089F3" w14:textId="77777777" w:rsidTr="6844BCB7">
        <w:tc>
          <w:tcPr>
            <w:tcW w:w="4508" w:type="dxa"/>
            <w:tcBorders>
              <w:top w:val="nil"/>
              <w:left w:val="nil"/>
              <w:bottom w:val="nil"/>
              <w:right w:val="nil"/>
            </w:tcBorders>
          </w:tcPr>
          <w:p w14:paraId="435DC56C" w14:textId="77777777" w:rsidR="00AC36F2" w:rsidRPr="00B87922" w:rsidRDefault="00AC36F2" w:rsidP="00AA47DC">
            <w:pPr>
              <w:rPr>
                <w:b/>
                <w:bCs/>
                <w:lang w:val="en-GB"/>
              </w:rPr>
            </w:pPr>
          </w:p>
        </w:tc>
        <w:tc>
          <w:tcPr>
            <w:tcW w:w="4508" w:type="dxa"/>
            <w:tcBorders>
              <w:top w:val="nil"/>
              <w:left w:val="nil"/>
              <w:bottom w:val="nil"/>
              <w:right w:val="nil"/>
            </w:tcBorders>
          </w:tcPr>
          <w:p w14:paraId="7F6BA4DC" w14:textId="77777777" w:rsidR="00AC36F2" w:rsidRPr="00B87922" w:rsidRDefault="00AC36F2" w:rsidP="00AA47DC">
            <w:pPr>
              <w:rPr>
                <w:b/>
                <w:bCs/>
                <w:lang w:val="en-GB"/>
              </w:rPr>
            </w:pPr>
          </w:p>
        </w:tc>
      </w:tr>
      <w:tr w:rsidR="00AC36F2" w:rsidRPr="00B64995" w14:paraId="1D10B621" w14:textId="77777777" w:rsidTr="6844BCB7">
        <w:tc>
          <w:tcPr>
            <w:tcW w:w="9016" w:type="dxa"/>
            <w:gridSpan w:val="2"/>
            <w:tcBorders>
              <w:top w:val="nil"/>
              <w:left w:val="nil"/>
              <w:bottom w:val="nil"/>
              <w:right w:val="nil"/>
            </w:tcBorders>
          </w:tcPr>
          <w:p w14:paraId="2041F2EA" w14:textId="08AE5AB0" w:rsidR="00AC36F2" w:rsidRPr="00B87922" w:rsidRDefault="1C07134F" w:rsidP="00AC36F2">
            <w:pPr>
              <w:jc w:val="center"/>
              <w:rPr>
                <w:b/>
                <w:bCs/>
                <w:lang w:val="en-GB"/>
              </w:rPr>
            </w:pPr>
            <w:r w:rsidRPr="003C5E1A">
              <w:rPr>
                <w:noProof/>
              </w:rPr>
              <w:drawing>
                <wp:inline distT="0" distB="0" distL="0" distR="0" wp14:anchorId="23D9D90C" wp14:editId="40939B8F">
                  <wp:extent cx="5243266" cy="20471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81">
                            <a:extLst>
                              <a:ext uri="{28A0092B-C50C-407E-A947-70E740481C1C}">
                                <a14:useLocalDpi xmlns:a14="http://schemas.microsoft.com/office/drawing/2010/main" val="0"/>
                              </a:ext>
                            </a:extLst>
                          </a:blip>
                          <a:stretch>
                            <a:fillRect/>
                          </a:stretch>
                        </pic:blipFill>
                        <pic:spPr>
                          <a:xfrm>
                            <a:off x="0" y="0"/>
                            <a:ext cx="5243266" cy="2047115"/>
                          </a:xfrm>
                          <a:prstGeom prst="rect">
                            <a:avLst/>
                          </a:prstGeom>
                        </pic:spPr>
                      </pic:pic>
                    </a:graphicData>
                  </a:graphic>
                </wp:inline>
              </w:drawing>
            </w:r>
          </w:p>
        </w:tc>
      </w:tr>
      <w:tr w:rsidR="00AC36F2" w:rsidRPr="00B64995" w14:paraId="606D78B4" w14:textId="77777777" w:rsidTr="6844BCB7">
        <w:tc>
          <w:tcPr>
            <w:tcW w:w="4508" w:type="dxa"/>
            <w:tcBorders>
              <w:top w:val="nil"/>
              <w:left w:val="nil"/>
              <w:bottom w:val="nil"/>
              <w:right w:val="nil"/>
            </w:tcBorders>
          </w:tcPr>
          <w:p w14:paraId="2527CF88" w14:textId="77777777" w:rsidR="00AC36F2" w:rsidRPr="00B87922" w:rsidRDefault="00AC36F2" w:rsidP="00AA47DC">
            <w:pPr>
              <w:rPr>
                <w:b/>
                <w:bCs/>
                <w:lang w:val="en-GB"/>
              </w:rPr>
            </w:pPr>
          </w:p>
        </w:tc>
        <w:tc>
          <w:tcPr>
            <w:tcW w:w="4508" w:type="dxa"/>
            <w:tcBorders>
              <w:top w:val="nil"/>
              <w:left w:val="nil"/>
              <w:bottom w:val="nil"/>
              <w:right w:val="nil"/>
            </w:tcBorders>
          </w:tcPr>
          <w:p w14:paraId="2F77FEDC" w14:textId="77777777" w:rsidR="00AC36F2" w:rsidRDefault="00AC36F2" w:rsidP="00AA47DC">
            <w:pPr>
              <w:rPr>
                <w:b/>
                <w:bCs/>
                <w:lang w:val="en-GB"/>
              </w:rPr>
            </w:pPr>
          </w:p>
          <w:p w14:paraId="03514916" w14:textId="6CF65E1C" w:rsidR="00A12189" w:rsidRPr="00B87922" w:rsidRDefault="00A12189" w:rsidP="00A12189">
            <w:pPr>
              <w:rPr>
                <w:b/>
                <w:bCs/>
                <w:lang w:val="en-GB"/>
              </w:rPr>
            </w:pPr>
            <w:r>
              <w:rPr>
                <w:noProof/>
              </w:rPr>
              <w:lastRenderedPageBreak/>
              <w:drawing>
                <wp:inline distT="0" distB="0" distL="0" distR="0" wp14:anchorId="42853D07" wp14:editId="7099FEB8">
                  <wp:extent cx="5043488" cy="1952354"/>
                  <wp:effectExtent l="0" t="0" r="5080" b="0"/>
                  <wp:docPr id="1193504113" name="Picture 119350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2"/>
                          <a:stretch>
                            <a:fillRect/>
                          </a:stretch>
                        </pic:blipFill>
                        <pic:spPr>
                          <a:xfrm>
                            <a:off x="0" y="0"/>
                            <a:ext cx="5049134" cy="1954539"/>
                          </a:xfrm>
                          <a:prstGeom prst="rect">
                            <a:avLst/>
                          </a:prstGeom>
                        </pic:spPr>
                      </pic:pic>
                    </a:graphicData>
                  </a:graphic>
                </wp:inline>
              </w:drawing>
            </w:r>
          </w:p>
        </w:tc>
      </w:tr>
      <w:tr w:rsidR="00AC36F2" w:rsidRPr="00B64995" w14:paraId="145BDA69" w14:textId="77777777" w:rsidTr="6844BCB7">
        <w:tc>
          <w:tcPr>
            <w:tcW w:w="9016" w:type="dxa"/>
            <w:gridSpan w:val="2"/>
            <w:tcBorders>
              <w:top w:val="nil"/>
              <w:left w:val="nil"/>
              <w:bottom w:val="nil"/>
              <w:right w:val="nil"/>
            </w:tcBorders>
          </w:tcPr>
          <w:p w14:paraId="72F74D42" w14:textId="619DC131" w:rsidR="00AC36F2" w:rsidRPr="00B87922" w:rsidRDefault="00950278" w:rsidP="00AC36F2">
            <w:pPr>
              <w:jc w:val="center"/>
              <w:rPr>
                <w:b/>
                <w:bCs/>
                <w:lang w:val="en-GB"/>
              </w:rPr>
            </w:pPr>
            <w:r>
              <w:rPr>
                <w:noProof/>
              </w:rPr>
              <w:lastRenderedPageBreak/>
              <w:drawing>
                <wp:inline distT="0" distB="0" distL="0" distR="0" wp14:anchorId="1DAFAD1F" wp14:editId="77912E70">
                  <wp:extent cx="5731510" cy="2390140"/>
                  <wp:effectExtent l="0" t="0" r="2540" b="0"/>
                  <wp:docPr id="1193504114" name="Picture 11935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3"/>
                          <a:stretch>
                            <a:fillRect/>
                          </a:stretch>
                        </pic:blipFill>
                        <pic:spPr>
                          <a:xfrm>
                            <a:off x="0" y="0"/>
                            <a:ext cx="5731510" cy="2390140"/>
                          </a:xfrm>
                          <a:prstGeom prst="rect">
                            <a:avLst/>
                          </a:prstGeom>
                        </pic:spPr>
                      </pic:pic>
                    </a:graphicData>
                  </a:graphic>
                </wp:inline>
              </w:drawing>
            </w:r>
          </w:p>
        </w:tc>
      </w:tr>
      <w:tr w:rsidR="00AC36F2" w:rsidRPr="00B64995" w14:paraId="2ABB8161" w14:textId="77777777" w:rsidTr="6844BCB7">
        <w:tc>
          <w:tcPr>
            <w:tcW w:w="9016" w:type="dxa"/>
            <w:gridSpan w:val="2"/>
            <w:tcBorders>
              <w:top w:val="nil"/>
              <w:left w:val="nil"/>
              <w:bottom w:val="nil"/>
              <w:right w:val="nil"/>
            </w:tcBorders>
          </w:tcPr>
          <w:p w14:paraId="5C685CC3" w14:textId="77777777" w:rsidR="00AC36F2" w:rsidRPr="00B87922" w:rsidRDefault="00AC36F2" w:rsidP="00AC36F2">
            <w:pPr>
              <w:jc w:val="center"/>
              <w:rPr>
                <w:lang w:val="en-GB"/>
              </w:rPr>
            </w:pPr>
          </w:p>
        </w:tc>
      </w:tr>
      <w:tr w:rsidR="00AC36F2" w:rsidRPr="00B64995" w14:paraId="2EF3EC60" w14:textId="77777777" w:rsidTr="6844BCB7">
        <w:tc>
          <w:tcPr>
            <w:tcW w:w="9016" w:type="dxa"/>
            <w:gridSpan w:val="2"/>
            <w:tcBorders>
              <w:top w:val="nil"/>
              <w:left w:val="nil"/>
              <w:bottom w:val="nil"/>
              <w:right w:val="nil"/>
            </w:tcBorders>
          </w:tcPr>
          <w:p w14:paraId="3B4A5D8E" w14:textId="08760C86" w:rsidR="00AC36F2" w:rsidRPr="00B87922" w:rsidRDefault="1C07134F" w:rsidP="00AC36F2">
            <w:pPr>
              <w:jc w:val="center"/>
              <w:rPr>
                <w:lang w:val="en-GB"/>
              </w:rPr>
            </w:pPr>
            <w:r w:rsidRPr="003C5E1A">
              <w:rPr>
                <w:noProof/>
              </w:rPr>
              <w:drawing>
                <wp:inline distT="0" distB="0" distL="0" distR="0" wp14:anchorId="33CB347E" wp14:editId="0A885173">
                  <wp:extent cx="2286000" cy="21603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84">
                            <a:extLst>
                              <a:ext uri="{28A0092B-C50C-407E-A947-70E740481C1C}">
                                <a14:useLocalDpi xmlns:a14="http://schemas.microsoft.com/office/drawing/2010/main" val="0"/>
                              </a:ext>
                            </a:extLst>
                          </a:blip>
                          <a:stretch>
                            <a:fillRect/>
                          </a:stretch>
                        </pic:blipFill>
                        <pic:spPr>
                          <a:xfrm>
                            <a:off x="0" y="0"/>
                            <a:ext cx="2286000" cy="2160343"/>
                          </a:xfrm>
                          <a:prstGeom prst="rect">
                            <a:avLst/>
                          </a:prstGeom>
                        </pic:spPr>
                      </pic:pic>
                    </a:graphicData>
                  </a:graphic>
                </wp:inline>
              </w:drawing>
            </w:r>
          </w:p>
        </w:tc>
      </w:tr>
      <w:tr w:rsidR="00AC36F2" w:rsidRPr="00B64995" w14:paraId="79AD1CFF" w14:textId="77777777" w:rsidTr="6844BCB7">
        <w:tc>
          <w:tcPr>
            <w:tcW w:w="9016" w:type="dxa"/>
            <w:gridSpan w:val="2"/>
            <w:tcBorders>
              <w:top w:val="nil"/>
              <w:left w:val="nil"/>
              <w:bottom w:val="nil"/>
              <w:right w:val="nil"/>
            </w:tcBorders>
          </w:tcPr>
          <w:p w14:paraId="33C52BD1" w14:textId="5F1211DD" w:rsidR="0049723A" w:rsidRPr="00B87922" w:rsidRDefault="56B33A70" w:rsidP="005B1751">
            <w:pPr>
              <w:jc w:val="both"/>
              <w:rPr>
                <w:lang w:val="en-GB"/>
              </w:rPr>
            </w:pPr>
            <w:r w:rsidRPr="00B64995">
              <w:rPr>
                <w:rFonts w:eastAsia="Calibri"/>
              </w:rPr>
              <w:t>Monitoring and evaluation of communication framework</w:t>
            </w:r>
            <w:r w:rsidR="56CEC4D9" w:rsidRPr="00B64995">
              <w:rPr>
                <w:rFonts w:eastAsia="Calibri"/>
              </w:rPr>
              <w:t xml:space="preserve"> developed in 2020</w:t>
            </w:r>
            <w:r w:rsidRPr="00B64995">
              <w:rPr>
                <w:rFonts w:eastAsia="Calibri"/>
              </w:rPr>
              <w:t>.</w:t>
            </w:r>
            <w:r w:rsidR="0F474998" w:rsidRPr="00B64995">
              <w:rPr>
                <w:rFonts w:eastAsia="Calibri"/>
              </w:rPr>
              <w:t xml:space="preserve"> Measurement informs decision-making for most impactful communications and most effective use of limited resources. </w:t>
            </w:r>
          </w:p>
          <w:p w14:paraId="02E3D69E" w14:textId="64B2A086" w:rsidR="00B51C89" w:rsidRPr="00B87922" w:rsidRDefault="00B51C89" w:rsidP="005B1751">
            <w:pPr>
              <w:jc w:val="both"/>
              <w:rPr>
                <w:lang w:val="en-GB"/>
              </w:rPr>
            </w:pPr>
          </w:p>
        </w:tc>
      </w:tr>
    </w:tbl>
    <w:p w14:paraId="38768DAB" w14:textId="68015A76" w:rsidR="00AA47DC" w:rsidRPr="00B64995" w:rsidRDefault="09B83E73" w:rsidP="005B1751">
      <w:pPr>
        <w:jc w:val="center"/>
      </w:pPr>
      <w:r w:rsidRPr="003C5E1A">
        <w:rPr>
          <w:noProof/>
        </w:rPr>
        <w:lastRenderedPageBreak/>
        <w:drawing>
          <wp:inline distT="0" distB="0" distL="0" distR="0" wp14:anchorId="50EBAA9A" wp14:editId="7DB940B7">
            <wp:extent cx="4572000" cy="2371725"/>
            <wp:effectExtent l="0" t="0" r="0" b="0"/>
            <wp:docPr id="1829062913" name="Picture 182906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062913"/>
                    <pic:cNvPicPr/>
                  </pic:nvPicPr>
                  <pic:blipFill>
                    <a:blip r:embed="rId685">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14:paraId="728F42A5" w14:textId="63A6EC76" w:rsidR="781BFF44" w:rsidRPr="00B64995" w:rsidRDefault="781BFF44" w:rsidP="781BFF44"/>
    <w:p w14:paraId="4FB19F75" w14:textId="7FE35894" w:rsidR="08FFEDB4" w:rsidRPr="00B64995" w:rsidRDefault="4A9A1698" w:rsidP="005B1751">
      <w:pPr>
        <w:jc w:val="both"/>
      </w:pPr>
      <w:r w:rsidRPr="00B64995">
        <w:t xml:space="preserve">Internal communications. </w:t>
      </w:r>
      <w:r w:rsidR="73257579" w:rsidRPr="00B64995">
        <w:t xml:space="preserve">The </w:t>
      </w:r>
      <w:r w:rsidR="000518CC" w:rsidRPr="00B64995">
        <w:t>s</w:t>
      </w:r>
      <w:r w:rsidR="73257579" w:rsidRPr="00B64995">
        <w:t xml:space="preserve">ecretariat has strengthened internal communications in support of the new ITU Headquarters building and </w:t>
      </w:r>
      <w:r w:rsidR="1692D0C3" w:rsidRPr="00B64995">
        <w:t xml:space="preserve">to </w:t>
      </w:r>
      <w:r w:rsidR="0FC6848B" w:rsidRPr="00B64995">
        <w:t xml:space="preserve">build a </w:t>
      </w:r>
      <w:proofErr w:type="spellStart"/>
      <w:r w:rsidR="0FC6848B" w:rsidRPr="00B64995">
        <w:t>OneITU</w:t>
      </w:r>
      <w:proofErr w:type="spellEnd"/>
      <w:r w:rsidR="0FC6848B" w:rsidRPr="00B64995">
        <w:t xml:space="preserve"> from the inside out</w:t>
      </w:r>
      <w:r w:rsidR="73257579" w:rsidRPr="00B64995">
        <w:t xml:space="preserve"> through a digital newsletter by staff for staff, </w:t>
      </w:r>
      <w:proofErr w:type="spellStart"/>
      <w:r w:rsidR="73257579" w:rsidRPr="00B64995">
        <w:rPr>
          <w:i/>
          <w:iCs/>
        </w:rPr>
        <w:t>ITUConnections</w:t>
      </w:r>
      <w:proofErr w:type="spellEnd"/>
      <w:r w:rsidR="73257579" w:rsidRPr="00B64995">
        <w:t>.</w:t>
      </w:r>
    </w:p>
    <w:p w14:paraId="1AB88421" w14:textId="28C0DBE2" w:rsidR="781BFF44" w:rsidRPr="00B64995" w:rsidRDefault="781BFF44" w:rsidP="781BFF44"/>
    <w:p w14:paraId="2C931277" w14:textId="4185DE0E" w:rsidR="760E4615" w:rsidRPr="00B64995" w:rsidRDefault="32A91D5D" w:rsidP="662FB8A4">
      <w:pPr>
        <w:jc w:val="both"/>
        <w:rPr>
          <w:rFonts w:eastAsia="Calibri"/>
          <w:color w:val="000000" w:themeColor="text1"/>
          <w:sz w:val="24"/>
          <w:szCs w:val="24"/>
        </w:rPr>
      </w:pPr>
      <w:r w:rsidRPr="00B64995">
        <w:rPr>
          <w:rFonts w:eastAsia="Calibri"/>
          <w:color w:val="000000" w:themeColor="text1"/>
        </w:rPr>
        <w:t xml:space="preserve">ITU’s website is built on a platform (MS SharePoint version) that is more than 10 years old and which is </w:t>
      </w:r>
      <w:r w:rsidR="00A77292" w:rsidRPr="00B64995">
        <w:rPr>
          <w:rFonts w:eastAsia="Calibri"/>
          <w:color w:val="000000" w:themeColor="text1"/>
        </w:rPr>
        <w:t xml:space="preserve">nearing its </w:t>
      </w:r>
      <w:r w:rsidRPr="00B64995">
        <w:rPr>
          <w:rFonts w:eastAsia="Calibri"/>
          <w:color w:val="000000" w:themeColor="text1"/>
        </w:rPr>
        <w:t>end of life. To mitigate the ensuing risks to business continuity and security, as a first step towards replacing/modernizing the overall ITU website, a beta version of “</w:t>
      </w:r>
      <w:proofErr w:type="spellStart"/>
      <w:r w:rsidRPr="00B64995">
        <w:rPr>
          <w:rFonts w:eastAsia="Calibri"/>
          <w:color w:val="000000" w:themeColor="text1"/>
        </w:rPr>
        <w:t>MyITU</w:t>
      </w:r>
      <w:proofErr w:type="spellEnd"/>
      <w:r w:rsidRPr="00B64995">
        <w:rPr>
          <w:rFonts w:eastAsia="Calibri"/>
          <w:color w:val="000000" w:themeColor="text1"/>
        </w:rPr>
        <w:t>” was launched in 2020, combin</w:t>
      </w:r>
      <w:r w:rsidR="00A77292" w:rsidRPr="00B64995">
        <w:rPr>
          <w:rFonts w:eastAsia="Calibri"/>
          <w:color w:val="000000" w:themeColor="text1"/>
        </w:rPr>
        <w:t>ing</w:t>
      </w:r>
      <w:r w:rsidRPr="00B64995">
        <w:rPr>
          <w:rFonts w:eastAsia="Calibri"/>
          <w:color w:val="000000" w:themeColor="text1"/>
        </w:rPr>
        <w:t xml:space="preserve"> ITU News articles and the ITU News Magazine, </w:t>
      </w:r>
      <w:proofErr w:type="gramStart"/>
      <w:r w:rsidRPr="00B64995">
        <w:rPr>
          <w:rFonts w:eastAsia="Calibri"/>
          <w:color w:val="000000" w:themeColor="text1"/>
        </w:rPr>
        <w:t>publications</w:t>
      </w:r>
      <w:proofErr w:type="gramEnd"/>
      <w:r w:rsidRPr="00B64995">
        <w:rPr>
          <w:rFonts w:eastAsia="Calibri"/>
          <w:color w:val="000000" w:themeColor="text1"/>
        </w:rPr>
        <w:t xml:space="preserve"> and events as well as a members</w:t>
      </w:r>
      <w:r w:rsidR="00A92ED1" w:rsidRPr="00B64995">
        <w:rPr>
          <w:rFonts w:eastAsia="Calibri"/>
          <w:color w:val="000000" w:themeColor="text1"/>
        </w:rPr>
        <w:t>’</w:t>
      </w:r>
      <w:r w:rsidRPr="00B64995">
        <w:rPr>
          <w:rFonts w:eastAsia="Calibri"/>
          <w:color w:val="000000" w:themeColor="text1"/>
        </w:rPr>
        <w:t xml:space="preserve"> zone, providing information in a simplified and personalized way according to the interest of the user. Furthermore, in 2020 ITU has produced a prototype for a new </w:t>
      </w:r>
      <w:proofErr w:type="spellStart"/>
      <w:r w:rsidRPr="00B64995">
        <w:rPr>
          <w:rFonts w:eastAsia="Calibri"/>
          <w:color w:val="000000" w:themeColor="text1"/>
        </w:rPr>
        <w:t>OneITU</w:t>
      </w:r>
      <w:proofErr w:type="spellEnd"/>
      <w:r w:rsidRPr="00B64995">
        <w:rPr>
          <w:rFonts w:eastAsia="Calibri"/>
          <w:color w:val="000000" w:themeColor="text1"/>
        </w:rPr>
        <w:t xml:space="preserve"> website: user-centr</w:t>
      </w:r>
      <w:r w:rsidR="00310DBF" w:rsidRPr="00B64995">
        <w:rPr>
          <w:rFonts w:eastAsia="Calibri"/>
          <w:color w:val="000000" w:themeColor="text1"/>
        </w:rPr>
        <w:t>ed</w:t>
      </w:r>
      <w:r w:rsidRPr="00B64995">
        <w:rPr>
          <w:rFonts w:eastAsia="Calibri"/>
          <w:color w:val="000000" w:themeColor="text1"/>
        </w:rPr>
        <w:t xml:space="preserve">, multilingual, mobile-friendly, branded, engaging and impact-oriented, with smarter navigation and fresh content. </w:t>
      </w:r>
      <w:proofErr w:type="spellStart"/>
      <w:r w:rsidR="69202471" w:rsidRPr="00B64995">
        <w:rPr>
          <w:rFonts w:eastAsia="Calibri"/>
          <w:color w:val="000000" w:themeColor="text1"/>
        </w:rPr>
        <w:t>MyITU</w:t>
      </w:r>
      <w:proofErr w:type="spellEnd"/>
      <w:r w:rsidR="69202471" w:rsidRPr="00B64995">
        <w:rPr>
          <w:rFonts w:eastAsia="Calibri"/>
          <w:color w:val="000000" w:themeColor="text1"/>
        </w:rPr>
        <w:t xml:space="preserve"> and </w:t>
      </w:r>
      <w:proofErr w:type="spellStart"/>
      <w:r w:rsidR="69202471" w:rsidRPr="00B64995">
        <w:rPr>
          <w:rFonts w:eastAsia="Calibri"/>
          <w:color w:val="000000" w:themeColor="text1"/>
        </w:rPr>
        <w:t>OneITU</w:t>
      </w:r>
      <w:proofErr w:type="spellEnd"/>
      <w:r w:rsidR="69202471" w:rsidRPr="00B64995">
        <w:rPr>
          <w:rFonts w:eastAsia="Calibri"/>
          <w:color w:val="000000" w:themeColor="text1"/>
        </w:rPr>
        <w:t xml:space="preserve"> will be a seamless experience for user</w:t>
      </w:r>
      <w:r w:rsidR="018156AC" w:rsidRPr="00B64995">
        <w:rPr>
          <w:rFonts w:eastAsia="Calibri"/>
          <w:color w:val="000000" w:themeColor="text1"/>
        </w:rPr>
        <w:t>s</w:t>
      </w:r>
      <w:r w:rsidR="6E3C11A4" w:rsidRPr="00B64995">
        <w:rPr>
          <w:rFonts w:eastAsia="Calibri"/>
          <w:color w:val="000000" w:themeColor="text1"/>
        </w:rPr>
        <w:t xml:space="preserve"> </w:t>
      </w:r>
      <w:r w:rsidR="69202471" w:rsidRPr="00B64995">
        <w:rPr>
          <w:rFonts w:eastAsia="Calibri"/>
          <w:color w:val="000000" w:themeColor="text1"/>
        </w:rPr>
        <w:t xml:space="preserve">once </w:t>
      </w:r>
      <w:r w:rsidR="1E905965" w:rsidRPr="00B64995">
        <w:rPr>
          <w:rFonts w:eastAsia="Calibri"/>
          <w:color w:val="000000" w:themeColor="text1"/>
        </w:rPr>
        <w:t xml:space="preserve">both are </w:t>
      </w:r>
      <w:r w:rsidR="69202471" w:rsidRPr="00B64995">
        <w:rPr>
          <w:rFonts w:eastAsia="Calibri"/>
          <w:color w:val="000000" w:themeColor="text1"/>
        </w:rPr>
        <w:t>live</w:t>
      </w:r>
      <w:r w:rsidR="4DA306A5" w:rsidRPr="00B64995">
        <w:rPr>
          <w:rFonts w:eastAsia="Calibri"/>
          <w:color w:val="000000" w:themeColor="text1"/>
        </w:rPr>
        <w:t xml:space="preserve">. Both will improve the experience for </w:t>
      </w:r>
      <w:r w:rsidR="00A92ED1" w:rsidRPr="00B64995">
        <w:rPr>
          <w:rFonts w:eastAsia="Calibri"/>
          <w:color w:val="000000" w:themeColor="text1"/>
        </w:rPr>
        <w:t xml:space="preserve">the </w:t>
      </w:r>
      <w:r w:rsidR="4DA306A5" w:rsidRPr="00B64995">
        <w:rPr>
          <w:rFonts w:eastAsia="Calibri"/>
          <w:color w:val="000000" w:themeColor="text1"/>
        </w:rPr>
        <w:t>ITU members</w:t>
      </w:r>
      <w:r w:rsidR="00A92ED1" w:rsidRPr="00B64995">
        <w:rPr>
          <w:rFonts w:eastAsia="Calibri"/>
          <w:color w:val="000000" w:themeColor="text1"/>
        </w:rPr>
        <w:t>hip</w:t>
      </w:r>
      <w:r w:rsidR="4DA306A5" w:rsidRPr="00B64995">
        <w:rPr>
          <w:rFonts w:eastAsia="Calibri"/>
          <w:color w:val="000000" w:themeColor="text1"/>
        </w:rPr>
        <w:t xml:space="preserve">, as well as new audiences less familiar with ITU, including SMEs, </w:t>
      </w:r>
      <w:proofErr w:type="gramStart"/>
      <w:r w:rsidR="4DA306A5" w:rsidRPr="00B64995">
        <w:rPr>
          <w:rFonts w:eastAsia="Calibri"/>
          <w:color w:val="000000" w:themeColor="text1"/>
        </w:rPr>
        <w:t>academia</w:t>
      </w:r>
      <w:proofErr w:type="gramEnd"/>
      <w:r w:rsidR="4DA306A5" w:rsidRPr="00B64995">
        <w:rPr>
          <w:rFonts w:eastAsia="Calibri"/>
          <w:color w:val="000000" w:themeColor="text1"/>
        </w:rPr>
        <w:t xml:space="preserve"> and </w:t>
      </w:r>
      <w:r w:rsidR="00310DBF" w:rsidRPr="00B64995">
        <w:rPr>
          <w:rFonts w:eastAsia="Calibri"/>
          <w:color w:val="000000" w:themeColor="text1"/>
        </w:rPr>
        <w:t>newcomers among the membership</w:t>
      </w:r>
      <w:r w:rsidR="4DA306A5" w:rsidRPr="00B64995">
        <w:rPr>
          <w:rFonts w:eastAsia="Calibri"/>
          <w:color w:val="000000" w:themeColor="text1"/>
        </w:rPr>
        <w:t>.</w:t>
      </w:r>
    </w:p>
    <w:p w14:paraId="12191EAE" w14:textId="77777777" w:rsidR="00B51C89" w:rsidRPr="00B64995" w:rsidRDefault="00B51C89" w:rsidP="662FB8A4">
      <w:pPr>
        <w:jc w:val="both"/>
        <w:rPr>
          <w:rFonts w:eastAsia="Calibri"/>
          <w:color w:val="000000" w:themeColor="text1"/>
          <w:sz w:val="24"/>
          <w:szCs w:val="24"/>
        </w:rPr>
      </w:pPr>
    </w:p>
    <w:p w14:paraId="0CAABFB5" w14:textId="16F83F5B" w:rsidR="1370679C" w:rsidRPr="00B64995" w:rsidRDefault="69202471" w:rsidP="005B1751">
      <w:pPr>
        <w:jc w:val="center"/>
      </w:pPr>
      <w:r w:rsidRPr="003C5E1A">
        <w:rPr>
          <w:noProof/>
        </w:rPr>
        <w:drawing>
          <wp:inline distT="0" distB="0" distL="0" distR="0" wp14:anchorId="50B9559E" wp14:editId="4DAFB20C">
            <wp:extent cx="4572000" cy="1971675"/>
            <wp:effectExtent l="0" t="0" r="0" b="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86">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482F9644" w14:textId="701CFF71" w:rsidR="525967FB" w:rsidRPr="00B64995" w:rsidRDefault="525967FB" w:rsidP="525967FB">
      <w:pPr>
        <w:jc w:val="both"/>
        <w:rPr>
          <w:rFonts w:eastAsia="Calibri"/>
          <w:color w:val="000000" w:themeColor="text1"/>
          <w:sz w:val="24"/>
          <w:szCs w:val="24"/>
        </w:rPr>
      </w:pPr>
    </w:p>
    <w:p w14:paraId="6496951C" w14:textId="4D694D40" w:rsidR="7257EBFF" w:rsidRPr="00B64995" w:rsidRDefault="45A2B17D" w:rsidP="525967FB">
      <w:pPr>
        <w:jc w:val="both"/>
        <w:rPr>
          <w:rFonts w:eastAsia="Calibri"/>
          <w:color w:val="000000" w:themeColor="text1"/>
          <w:sz w:val="24"/>
          <w:szCs w:val="24"/>
        </w:rPr>
      </w:pPr>
      <w:r w:rsidRPr="00B64995">
        <w:rPr>
          <w:rFonts w:eastAsia="Calibri"/>
          <w:color w:val="000000" w:themeColor="text1"/>
          <w:sz w:val="24"/>
          <w:szCs w:val="24"/>
        </w:rPr>
        <w:t xml:space="preserve">ITU has initiated a </w:t>
      </w:r>
      <w:hyperlink r:id="rId687" w:history="1">
        <w:r w:rsidRPr="00B64995">
          <w:rPr>
            <w:rStyle w:val="Hyperlink"/>
            <w:rFonts w:eastAsia="Calibri"/>
            <w:sz w:val="24"/>
            <w:szCs w:val="24"/>
          </w:rPr>
          <w:t>new podcast series</w:t>
        </w:r>
      </w:hyperlink>
      <w:r w:rsidR="6B70EB33" w:rsidRPr="00B64995">
        <w:rPr>
          <w:rFonts w:eastAsia="Calibri"/>
          <w:color w:val="000000" w:themeColor="text1"/>
          <w:sz w:val="24"/>
          <w:szCs w:val="24"/>
        </w:rPr>
        <w:t xml:space="preserve">, </w:t>
      </w:r>
      <w:r w:rsidR="6B70EB33" w:rsidRPr="00B64995">
        <w:rPr>
          <w:rFonts w:eastAsia="Calibri"/>
          <w:i/>
          <w:iCs/>
          <w:color w:val="000000" w:themeColor="text1"/>
          <w:sz w:val="24"/>
          <w:szCs w:val="24"/>
        </w:rPr>
        <w:t>Technology for Good</w:t>
      </w:r>
      <w:r w:rsidR="6B70EB33" w:rsidRPr="00B64995">
        <w:rPr>
          <w:rFonts w:eastAsia="Calibri"/>
          <w:color w:val="000000" w:themeColor="text1"/>
          <w:sz w:val="24"/>
          <w:szCs w:val="24"/>
        </w:rPr>
        <w:t>,</w:t>
      </w:r>
      <w:r w:rsidRPr="00B64995">
        <w:rPr>
          <w:rFonts w:eastAsia="Calibri"/>
          <w:color w:val="000000" w:themeColor="text1"/>
          <w:sz w:val="24"/>
          <w:szCs w:val="24"/>
        </w:rPr>
        <w:t xml:space="preserve"> on key ITU themes to increase return on investment </w:t>
      </w:r>
      <w:r w:rsidR="00310DBF" w:rsidRPr="00B64995">
        <w:rPr>
          <w:rFonts w:eastAsia="Calibri"/>
          <w:color w:val="000000" w:themeColor="text1"/>
          <w:sz w:val="24"/>
          <w:szCs w:val="24"/>
        </w:rPr>
        <w:t>for</w:t>
      </w:r>
      <w:r w:rsidRPr="00B64995">
        <w:rPr>
          <w:rFonts w:eastAsia="Calibri"/>
          <w:color w:val="000000" w:themeColor="text1"/>
          <w:sz w:val="24"/>
          <w:szCs w:val="24"/>
        </w:rPr>
        <w:t xml:space="preserve"> ITU webinars and delegate interviews.</w:t>
      </w:r>
    </w:p>
    <w:p w14:paraId="4C50E9CA" w14:textId="790566E5" w:rsidR="525967FB" w:rsidRPr="00B64995" w:rsidRDefault="525967FB" w:rsidP="525967FB">
      <w:pPr>
        <w:jc w:val="both"/>
        <w:rPr>
          <w:rFonts w:eastAsia="Calibri"/>
          <w:color w:val="000000" w:themeColor="text1"/>
          <w:sz w:val="24"/>
          <w:szCs w:val="24"/>
        </w:rPr>
      </w:pPr>
    </w:p>
    <w:p w14:paraId="220748FF" w14:textId="42582570" w:rsidR="005B1751" w:rsidRPr="00B64995" w:rsidRDefault="5F5FDDD2" w:rsidP="005B1751">
      <w:pPr>
        <w:jc w:val="both"/>
        <w:rPr>
          <w:rFonts w:asciiTheme="minorHAnsi" w:eastAsiaTheme="minorEastAsia" w:hAnsiTheme="minorHAnsi" w:cstheme="minorHAnsi"/>
          <w:color w:val="333333"/>
        </w:rPr>
      </w:pPr>
      <w:r w:rsidRPr="00B64995">
        <w:rPr>
          <w:rFonts w:asciiTheme="minorHAnsi" w:eastAsiaTheme="minorEastAsia" w:hAnsiTheme="minorHAnsi" w:cstheme="minorHAnsi"/>
          <w:color w:val="333333"/>
        </w:rPr>
        <w:t>ITU and its members</w:t>
      </w:r>
      <w:r w:rsidR="00A92ED1" w:rsidRPr="00B64995">
        <w:rPr>
          <w:rFonts w:asciiTheme="minorHAnsi" w:eastAsiaTheme="minorEastAsia" w:hAnsiTheme="minorHAnsi" w:cstheme="minorHAnsi"/>
          <w:color w:val="333333"/>
        </w:rPr>
        <w:t>hip</w:t>
      </w:r>
      <w:r w:rsidRPr="00B64995">
        <w:rPr>
          <w:rFonts w:asciiTheme="minorHAnsi" w:eastAsiaTheme="minorEastAsia" w:hAnsiTheme="minorHAnsi" w:cstheme="minorHAnsi"/>
          <w:color w:val="333333"/>
        </w:rPr>
        <w:t xml:space="preserve"> have a common strategy – the Connect 2030 Agenda. A </w:t>
      </w:r>
      <w:hyperlink r:id="rId688" w:history="1">
        <w:r w:rsidRPr="00B64995">
          <w:rPr>
            <w:rStyle w:val="Hyperlink"/>
            <w:rFonts w:asciiTheme="minorHAnsi" w:eastAsia="Arial" w:hAnsiTheme="minorHAnsi" w:cstheme="minorHAnsi"/>
          </w:rPr>
          <w:t>new site</w:t>
        </w:r>
      </w:hyperlink>
      <w:r w:rsidRPr="00B64995">
        <w:rPr>
          <w:rFonts w:asciiTheme="minorHAnsi" w:eastAsiaTheme="minorEastAsia" w:hAnsiTheme="minorHAnsi" w:cstheme="minorHAnsi"/>
          <w:color w:val="333333"/>
        </w:rPr>
        <w:t xml:space="preserve"> provides a dashboard for both these goals and targets</w:t>
      </w:r>
      <w:r w:rsidR="00310DBF" w:rsidRPr="00B64995">
        <w:rPr>
          <w:rFonts w:asciiTheme="minorHAnsi" w:eastAsiaTheme="minorEastAsia" w:hAnsiTheme="minorHAnsi" w:cstheme="minorHAnsi"/>
          <w:color w:val="333333"/>
        </w:rPr>
        <w:t xml:space="preserve"> and</w:t>
      </w:r>
      <w:r w:rsidRPr="00B64995">
        <w:rPr>
          <w:rFonts w:asciiTheme="minorHAnsi" w:eastAsiaTheme="minorEastAsia" w:hAnsiTheme="minorHAnsi" w:cstheme="minorHAnsi"/>
          <w:color w:val="333333"/>
        </w:rPr>
        <w:t xml:space="preserve"> provides relevant links to publications, data as well as other resources, so that ITU and its members</w:t>
      </w:r>
      <w:r w:rsidR="00A92ED1" w:rsidRPr="00B64995">
        <w:rPr>
          <w:rFonts w:asciiTheme="minorHAnsi" w:eastAsiaTheme="minorEastAsia" w:hAnsiTheme="minorHAnsi" w:cstheme="minorHAnsi"/>
          <w:color w:val="333333"/>
        </w:rPr>
        <w:t>hip</w:t>
      </w:r>
      <w:r w:rsidRPr="00B64995">
        <w:rPr>
          <w:rFonts w:asciiTheme="minorHAnsi" w:eastAsiaTheme="minorEastAsia" w:hAnsiTheme="minorHAnsi" w:cstheme="minorHAnsi"/>
          <w:color w:val="333333"/>
        </w:rPr>
        <w:t xml:space="preserve"> can progress together towards connecting the world.</w:t>
      </w:r>
    </w:p>
    <w:p w14:paraId="3725B7D5" w14:textId="58E5EF5F" w:rsidR="00AA47DC" w:rsidRPr="00B64995" w:rsidRDefault="00AA47DC" w:rsidP="00A83DAA">
      <w:pPr>
        <w:pStyle w:val="Heading5"/>
        <w:rPr>
          <w:rFonts w:cs="Calibri"/>
        </w:rPr>
      </w:pPr>
      <w:bookmarkStart w:id="190" w:name="_Toc37943371"/>
      <w:r w:rsidRPr="00B64995">
        <w:rPr>
          <w:rFonts w:cs="Calibri"/>
        </w:rPr>
        <w:lastRenderedPageBreak/>
        <w:t>E.4</w:t>
      </w:r>
      <w:bookmarkEnd w:id="190"/>
      <w:r w:rsidR="00AB0A56" w:rsidRPr="00B64995">
        <w:rPr>
          <w:rFonts w:cs="Calibri"/>
        </w:rPr>
        <w:tab/>
      </w:r>
      <w:r w:rsidR="00AB0A56" w:rsidRPr="00B64995">
        <w:t>Ensure efficient planning, coordination and execution of the strategic plan and</w:t>
      </w:r>
      <w:r w:rsidR="00D73BCF" w:rsidRPr="00B64995">
        <w:t xml:space="preserve"> </w:t>
      </w:r>
      <w:r w:rsidR="00AB0A56" w:rsidRPr="00B64995">
        <w:t xml:space="preserve">operational plans of the </w:t>
      </w:r>
      <w:proofErr w:type="gramStart"/>
      <w:r w:rsidR="00AB0A56" w:rsidRPr="00B64995">
        <w:t>Union</w:t>
      </w:r>
      <w:proofErr w:type="gramEnd"/>
    </w:p>
    <w:p w14:paraId="3D0A30A2" w14:textId="396DF938" w:rsidR="00AA47DC" w:rsidRPr="00B64995" w:rsidRDefault="6846174C" w:rsidP="00AA47DC">
      <w:pPr>
        <w:jc w:val="center"/>
        <w:rPr>
          <w:b/>
          <w:bCs/>
        </w:rPr>
      </w:pPr>
      <w:r w:rsidRPr="003C5E1A">
        <w:rPr>
          <w:noProof/>
        </w:rPr>
        <w:drawing>
          <wp:inline distT="0" distB="0" distL="0" distR="0" wp14:anchorId="64AB1589" wp14:editId="7B9E65F6">
            <wp:extent cx="4298950" cy="1798793"/>
            <wp:effectExtent l="0" t="0" r="6350" b="0"/>
            <wp:docPr id="113646167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689">
                      <a:extLst>
                        <a:ext uri="{28A0092B-C50C-407E-A947-70E740481C1C}">
                          <a14:useLocalDpi xmlns:a14="http://schemas.microsoft.com/office/drawing/2010/main" val="0"/>
                        </a:ext>
                      </a:extLst>
                    </a:blip>
                    <a:stretch>
                      <a:fillRect/>
                    </a:stretch>
                  </pic:blipFill>
                  <pic:spPr>
                    <a:xfrm>
                      <a:off x="0" y="0"/>
                      <a:ext cx="4298950" cy="1798793"/>
                    </a:xfrm>
                    <a:prstGeom prst="rect">
                      <a:avLst/>
                    </a:prstGeom>
                  </pic:spPr>
                </pic:pic>
              </a:graphicData>
            </a:graphic>
          </wp:inline>
        </w:drawing>
      </w:r>
    </w:p>
    <w:p w14:paraId="4AFEA47F" w14:textId="409FFC55" w:rsidR="00637F08" w:rsidRPr="00B64995" w:rsidRDefault="00637F08" w:rsidP="00AA47DC">
      <w:pPr>
        <w:jc w:val="center"/>
        <w:rPr>
          <w:b/>
          <w:bCs/>
        </w:rPr>
      </w:pPr>
    </w:p>
    <w:p w14:paraId="54A02C9C" w14:textId="3C4282DE" w:rsidR="00637F08" w:rsidRDefault="4E5F47DC" w:rsidP="00AA47DC">
      <w:pPr>
        <w:jc w:val="center"/>
        <w:rPr>
          <w:b/>
          <w:bCs/>
        </w:rPr>
      </w:pPr>
      <w:r w:rsidRPr="003C5E1A">
        <w:rPr>
          <w:noProof/>
        </w:rPr>
        <w:drawing>
          <wp:inline distT="0" distB="0" distL="0" distR="0" wp14:anchorId="02F7BBA1" wp14:editId="723A7A39">
            <wp:extent cx="2813211" cy="16192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90" cstate="print">
                      <a:extLst>
                        <a:ext uri="{28A0092B-C50C-407E-A947-70E740481C1C}">
                          <a14:useLocalDpi xmlns:a14="http://schemas.microsoft.com/office/drawing/2010/main" val="0"/>
                        </a:ext>
                      </a:extLst>
                    </a:blip>
                    <a:stretch>
                      <a:fillRect/>
                    </a:stretch>
                  </pic:blipFill>
                  <pic:spPr>
                    <a:xfrm>
                      <a:off x="0" y="0"/>
                      <a:ext cx="2813211" cy="1619250"/>
                    </a:xfrm>
                    <a:prstGeom prst="rect">
                      <a:avLst/>
                    </a:prstGeom>
                  </pic:spPr>
                </pic:pic>
              </a:graphicData>
            </a:graphic>
          </wp:inline>
        </w:drawing>
      </w:r>
    </w:p>
    <w:p w14:paraId="5EA343F5" w14:textId="2B4EF9FA" w:rsidR="00434563" w:rsidRDefault="00434563" w:rsidP="00AA47DC">
      <w:pPr>
        <w:jc w:val="center"/>
        <w:rPr>
          <w:b/>
          <w:bCs/>
        </w:rPr>
      </w:pPr>
      <w:r>
        <w:rPr>
          <w:b/>
          <w:bCs/>
        </w:rPr>
        <w:t xml:space="preserve"> </w:t>
      </w:r>
    </w:p>
    <w:p w14:paraId="0FD8C67D" w14:textId="0D7D808E" w:rsidR="00434563" w:rsidRPr="00B64995" w:rsidRDefault="00B67322" w:rsidP="00AA47DC">
      <w:pPr>
        <w:jc w:val="center"/>
        <w:rPr>
          <w:b/>
          <w:bCs/>
        </w:rPr>
      </w:pPr>
      <w:r>
        <w:rPr>
          <w:b/>
          <w:bCs/>
          <w:noProof/>
        </w:rPr>
        <w:drawing>
          <wp:inline distT="0" distB="0" distL="0" distR="0" wp14:anchorId="2E799E50" wp14:editId="093C904F">
            <wp:extent cx="2767013" cy="1665581"/>
            <wp:effectExtent l="0" t="0" r="0" b="0"/>
            <wp:docPr id="1837948306" name="Picture 183794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800796" cy="1685916"/>
                    </a:xfrm>
                    <a:prstGeom prst="rect">
                      <a:avLst/>
                    </a:prstGeom>
                    <a:noFill/>
                  </pic:spPr>
                </pic:pic>
              </a:graphicData>
            </a:graphic>
          </wp:inline>
        </w:drawing>
      </w:r>
    </w:p>
    <w:p w14:paraId="26979CBF" w14:textId="77777777" w:rsidR="00637F08" w:rsidRPr="00B64995" w:rsidRDefault="00637F08" w:rsidP="00AA47DC">
      <w:pPr>
        <w:jc w:val="center"/>
        <w:rPr>
          <w:b/>
          <w:bCs/>
        </w:rPr>
      </w:pPr>
    </w:p>
    <w:p w14:paraId="69B31284" w14:textId="000D51C5" w:rsidR="00AA47DC" w:rsidRPr="00B64995" w:rsidRDefault="00AA47DC" w:rsidP="00A83DAA">
      <w:pPr>
        <w:pStyle w:val="Heading5"/>
      </w:pPr>
      <w:bookmarkStart w:id="191" w:name="_Toc37943372"/>
      <w:r w:rsidRPr="00B64995">
        <w:t>E.5</w:t>
      </w:r>
      <w:bookmarkEnd w:id="191"/>
      <w:r w:rsidR="00AB0A56" w:rsidRPr="00B64995">
        <w:tab/>
        <w:t>Ensure effective and efficient governance of the organization (internal</w:t>
      </w:r>
      <w:r w:rsidR="00D73BCF" w:rsidRPr="00B64995">
        <w:t xml:space="preserve"> </w:t>
      </w:r>
      <w:r w:rsidR="00AB0A56" w:rsidRPr="00B64995">
        <w:t>and external)</w:t>
      </w:r>
    </w:p>
    <w:p w14:paraId="15DA47AB" w14:textId="0C12733A" w:rsidR="00AA47DC" w:rsidRPr="00B64995" w:rsidRDefault="6846174C" w:rsidP="00AA47DC">
      <w:pPr>
        <w:jc w:val="center"/>
        <w:rPr>
          <w:b/>
          <w:bCs/>
        </w:rPr>
      </w:pPr>
      <w:r w:rsidRPr="003C5E1A">
        <w:rPr>
          <w:noProof/>
        </w:rPr>
        <w:drawing>
          <wp:inline distT="0" distB="0" distL="0" distR="0" wp14:anchorId="3ECFC5F5" wp14:editId="4C4DA560">
            <wp:extent cx="4686300" cy="2190750"/>
            <wp:effectExtent l="0" t="0" r="0" b="0"/>
            <wp:docPr id="10800502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692">
                      <a:extLst>
                        <a:ext uri="{28A0092B-C50C-407E-A947-70E740481C1C}">
                          <a14:useLocalDpi xmlns:a14="http://schemas.microsoft.com/office/drawing/2010/main" val="0"/>
                        </a:ext>
                      </a:extLst>
                    </a:blip>
                    <a:stretch>
                      <a:fillRect/>
                    </a:stretch>
                  </pic:blipFill>
                  <pic:spPr>
                    <a:xfrm>
                      <a:off x="0" y="0"/>
                      <a:ext cx="4686300" cy="2190750"/>
                    </a:xfrm>
                    <a:prstGeom prst="rect">
                      <a:avLst/>
                    </a:prstGeom>
                  </pic:spPr>
                </pic:pic>
              </a:graphicData>
            </a:graphic>
          </wp:inline>
        </w:drawing>
      </w:r>
    </w:p>
    <w:p w14:paraId="71FC2C4E" w14:textId="77777777" w:rsidR="00AA47DC" w:rsidRPr="00B64995" w:rsidRDefault="00AA47DC" w:rsidP="00637F08">
      <w:pPr>
        <w:jc w:val="center"/>
        <w:rPr>
          <w:b/>
          <w:bCs/>
        </w:rPr>
      </w:pPr>
    </w:p>
    <w:p w14:paraId="655F5C3C" w14:textId="734EABB1" w:rsidR="00AA47DC" w:rsidRPr="00B64995" w:rsidRDefault="743B0885" w:rsidP="00A579C3">
      <w:pPr>
        <w:jc w:val="center"/>
      </w:pPr>
      <w:r w:rsidRPr="003C5E1A">
        <w:rPr>
          <w:noProof/>
        </w:rPr>
        <w:lastRenderedPageBreak/>
        <w:drawing>
          <wp:inline distT="0" distB="0" distL="0" distR="0" wp14:anchorId="2C1DA2E2" wp14:editId="39D4700B">
            <wp:extent cx="2419350" cy="1454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93" cstate="print">
                      <a:extLst>
                        <a:ext uri="{28A0092B-C50C-407E-A947-70E740481C1C}">
                          <a14:useLocalDpi xmlns:a14="http://schemas.microsoft.com/office/drawing/2010/main" val="0"/>
                        </a:ext>
                      </a:extLst>
                    </a:blip>
                    <a:stretch>
                      <a:fillRect/>
                    </a:stretch>
                  </pic:blipFill>
                  <pic:spPr>
                    <a:xfrm>
                      <a:off x="0" y="0"/>
                      <a:ext cx="2419350" cy="1454290"/>
                    </a:xfrm>
                    <a:prstGeom prst="rect">
                      <a:avLst/>
                    </a:prstGeom>
                  </pic:spPr>
                </pic:pic>
              </a:graphicData>
            </a:graphic>
          </wp:inline>
        </w:drawing>
      </w:r>
    </w:p>
    <w:p w14:paraId="3382A365" w14:textId="3975E99B" w:rsidR="00E417F0" w:rsidRPr="00B64995" w:rsidRDefault="00E0255C" w:rsidP="00E0255C">
      <w:pPr>
        <w:spacing w:before="840"/>
        <w:jc w:val="center"/>
        <w:textAlignment w:val="baseline"/>
      </w:pPr>
      <w:r>
        <w:t>________________________</w:t>
      </w:r>
    </w:p>
    <w:sectPr w:rsidR="00E417F0" w:rsidRPr="00B64995" w:rsidSect="00673405">
      <w:headerReference w:type="even" r:id="rId694"/>
      <w:headerReference w:type="default" r:id="rId695"/>
      <w:footerReference w:type="even" r:id="rId696"/>
      <w:headerReference w:type="first" r:id="rId697"/>
      <w:footerReference w:type="first" r:id="rId698"/>
      <w:pgSz w:w="11906" w:h="16838" w:code="9"/>
      <w:pgMar w:top="1276"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56FE" w14:textId="77777777" w:rsidR="00B87922" w:rsidRDefault="00B87922" w:rsidP="00CD1524">
      <w:r>
        <w:separator/>
      </w:r>
    </w:p>
  </w:endnote>
  <w:endnote w:type="continuationSeparator" w:id="0">
    <w:p w14:paraId="363871D6" w14:textId="77777777" w:rsidR="00B87922" w:rsidRDefault="00B87922" w:rsidP="00CD1524">
      <w:r>
        <w:continuationSeparator/>
      </w:r>
    </w:p>
  </w:endnote>
  <w:endnote w:type="continuationNotice" w:id="1">
    <w:p w14:paraId="31288868" w14:textId="77777777" w:rsidR="00B87922" w:rsidRDefault="00B87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BE383" w14:textId="36F3F79C" w:rsidR="00B87922" w:rsidRDefault="00B87922" w:rsidP="00673405">
    <w:pPr>
      <w:pStyle w:val="Footer"/>
    </w:pPr>
    <w:r w:rsidRPr="00673405">
      <w:fldChar w:fldCharType="begin"/>
    </w:r>
    <w:r w:rsidRPr="00673405">
      <w:instrText xml:space="preserve"> PAGE   \* MERGEFORMAT </w:instrText>
    </w:r>
    <w:r w:rsidRPr="00673405">
      <w:fldChar w:fldCharType="separate"/>
    </w:r>
    <w:r w:rsidRPr="00673405">
      <w:t>21</w:t>
    </w:r>
    <w:r w:rsidRPr="006734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E7CE" w14:textId="1E388D4C" w:rsidR="00B87922" w:rsidRDefault="00B87922" w:rsidP="00673405">
    <w:pPr>
      <w:pStyle w:val="Footer"/>
      <w:jc w:val="right"/>
    </w:pPr>
    <w:r w:rsidRPr="00673405">
      <w:fldChar w:fldCharType="begin"/>
    </w:r>
    <w:r w:rsidRPr="00673405">
      <w:instrText xml:space="preserve"> PAGE   \* MERGEFORMAT </w:instrText>
    </w:r>
    <w:r w:rsidRPr="00673405">
      <w:fldChar w:fldCharType="separate"/>
    </w:r>
    <w:r w:rsidRPr="00673405">
      <w:t>21</w:t>
    </w:r>
    <w:r w:rsidRPr="0067340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EBA3" w14:textId="037751A2" w:rsidR="00B87922" w:rsidRDefault="00B87922" w:rsidP="00231D35">
    <w:pPr>
      <w:spacing w:after="120"/>
      <w:jc w:val="center"/>
    </w:pPr>
    <w:bookmarkStart w:id="3" w:name="_Hlk38887075"/>
    <w:bookmarkStart w:id="4" w:name="_Hlk38887076"/>
    <w:r>
      <w:t xml:space="preserve">• </w:t>
    </w:r>
    <w:hyperlink r:id="rId1" w:history="1">
      <w:r>
        <w:rPr>
          <w:rStyle w:val="Hyperlink"/>
        </w:rPr>
        <w:t>http://www.itu.int/council</w:t>
      </w:r>
    </w:hyperlink>
    <w:r>
      <w:t xml:space="preserve"> •</w:t>
    </w:r>
    <w:bookmarkEnd w:id="3"/>
    <w:bookmarkEnd w:id="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CD4B" w14:textId="34591EC5" w:rsidR="00B87922" w:rsidRPr="004840A5" w:rsidRDefault="00B87922" w:rsidP="004840A5">
    <w:pPr>
      <w:pStyle w:val="Footer"/>
      <w:jc w:val="right"/>
    </w:pPr>
    <w:r w:rsidRPr="00673405">
      <w:fldChar w:fldCharType="begin"/>
    </w:r>
    <w:r w:rsidRPr="00673405">
      <w:instrText xml:space="preserve"> PAGE   \* MERGEFORMAT </w:instrText>
    </w:r>
    <w:r w:rsidRPr="00673405">
      <w:fldChar w:fldCharType="separate"/>
    </w:r>
    <w:r>
      <w:t>ii</w:t>
    </w:r>
    <w:r w:rsidRPr="006734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9890" w14:textId="77777777" w:rsidR="00B87922" w:rsidRDefault="00B87922" w:rsidP="00673405">
    <w:pPr>
      <w:pStyle w:val="Footer"/>
    </w:pPr>
    <w:r w:rsidRPr="00673405">
      <w:fldChar w:fldCharType="begin"/>
    </w:r>
    <w:r w:rsidRPr="00673405">
      <w:instrText xml:space="preserve"> PAGE   \* MERGEFORMAT </w:instrText>
    </w:r>
    <w:r w:rsidRPr="00673405">
      <w:fldChar w:fldCharType="separate"/>
    </w:r>
    <w:r w:rsidRPr="00673405">
      <w:t>21</w:t>
    </w:r>
    <w:r w:rsidRPr="0067340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D6BE" w14:textId="77777777" w:rsidR="00B87922" w:rsidRDefault="00B87922" w:rsidP="00673405">
    <w:pPr>
      <w:pStyle w:val="Footer"/>
      <w:jc w:val="right"/>
    </w:pPr>
    <w:r w:rsidRPr="00673405">
      <w:fldChar w:fldCharType="begin"/>
    </w:r>
    <w:r w:rsidRPr="00673405">
      <w:instrText xml:space="preserve"> PAGE   \* MERGEFORMAT </w:instrText>
    </w:r>
    <w:r w:rsidRPr="00673405">
      <w:fldChar w:fldCharType="separate"/>
    </w:r>
    <w:r w:rsidRPr="00673405">
      <w:t>21</w:t>
    </w:r>
    <w:r w:rsidRPr="006734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E357" w14:textId="77777777" w:rsidR="00B87922" w:rsidRDefault="00B87922" w:rsidP="00CD1524">
      <w:r>
        <w:separator/>
      </w:r>
    </w:p>
  </w:footnote>
  <w:footnote w:type="continuationSeparator" w:id="0">
    <w:p w14:paraId="22ABD42C" w14:textId="77777777" w:rsidR="00B87922" w:rsidRDefault="00B87922" w:rsidP="00CD1524">
      <w:r>
        <w:continuationSeparator/>
      </w:r>
    </w:p>
  </w:footnote>
  <w:footnote w:type="continuationNotice" w:id="1">
    <w:p w14:paraId="13E5F789" w14:textId="77777777" w:rsidR="00B87922" w:rsidRDefault="00B87922"/>
  </w:footnote>
  <w:footnote w:id="2">
    <w:p w14:paraId="6E662AF7" w14:textId="08F45131" w:rsidR="00B87922" w:rsidRDefault="00B87922" w:rsidP="00EA3CDE">
      <w:pPr>
        <w:pStyle w:val="FootnoteText"/>
      </w:pPr>
      <w:r>
        <w:rPr>
          <w:rStyle w:val="FootnoteReference"/>
        </w:rPr>
        <w:footnoteRef/>
      </w:r>
      <w:r>
        <w:t xml:space="preserve"> </w:t>
      </w:r>
      <w:r w:rsidRPr="003C7FD5">
        <w:rPr>
          <w:sz w:val="18"/>
          <w:szCs w:val="18"/>
        </w:rPr>
        <w:t>This ITU-R Recommendation was approved (on 18 February 2021)and its final number will be indicated afterwards.</w:t>
      </w:r>
    </w:p>
  </w:footnote>
  <w:footnote w:id="3">
    <w:p w14:paraId="7BA2B416" w14:textId="7F8ADEE7" w:rsidR="00B87922" w:rsidRDefault="00B87922">
      <w:pPr>
        <w:pStyle w:val="FootnoteText"/>
      </w:pPr>
      <w:r>
        <w:rPr>
          <w:rStyle w:val="FootnoteReference"/>
        </w:rPr>
        <w:footnoteRef/>
      </w:r>
      <w:r>
        <w:t xml:space="preserve"> </w:t>
      </w:r>
      <w:r w:rsidRPr="00E0255C">
        <w:rPr>
          <w:rFonts w:eastAsia="Calibri"/>
        </w:rPr>
        <w:t>OECS includes 9 countries.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9BD0" w14:textId="53ED92E9" w:rsidR="00B87922" w:rsidRPr="00FC54BD" w:rsidRDefault="00B87922" w:rsidP="00673405">
    <w:pPr>
      <w:pStyle w:val="Header"/>
      <w:jc w:val="center"/>
      <w:rPr>
        <w:lang w:val="en-US"/>
      </w:rPr>
    </w:pPr>
    <w:r>
      <w:rPr>
        <w:color w:val="0F5288"/>
        <w:sz w:val="18"/>
        <w:szCs w:val="18"/>
      </w:rPr>
      <w:t>Report on the implementation of the strategic plan and activities of the Union</w:t>
    </w:r>
  </w:p>
  <w:p w14:paraId="4BE1B477" w14:textId="77777777" w:rsidR="00B87922" w:rsidRPr="00673405" w:rsidRDefault="00B87922">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F2" w14:textId="0BF88873" w:rsidR="00B87922" w:rsidRPr="00FC54BD" w:rsidRDefault="00B87922" w:rsidP="00673405">
    <w:pPr>
      <w:pStyle w:val="Header"/>
      <w:jc w:val="center"/>
      <w:rPr>
        <w:lang w:val="en-US"/>
      </w:rPr>
    </w:pPr>
    <w:r>
      <w:rPr>
        <w:color w:val="0F5288"/>
        <w:sz w:val="18"/>
        <w:szCs w:val="18"/>
      </w:rPr>
      <w:t>Report on the implementation of the strategic plan and activities of the Union</w:t>
    </w:r>
  </w:p>
  <w:p w14:paraId="50895670" w14:textId="031764AE" w:rsidR="00B87922" w:rsidRPr="00673405" w:rsidRDefault="00B87922" w:rsidP="00673405">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66DC" w14:textId="77777777" w:rsidR="00B87922" w:rsidRPr="00FC54BD" w:rsidRDefault="00B87922" w:rsidP="00673405">
    <w:pPr>
      <w:pStyle w:val="Header"/>
      <w:jc w:val="center"/>
      <w:rPr>
        <w:lang w:val="en-US"/>
      </w:rPr>
    </w:pPr>
    <w:r>
      <w:rPr>
        <w:color w:val="0F5288"/>
        <w:sz w:val="18"/>
        <w:szCs w:val="18"/>
      </w:rPr>
      <w:t>Report on the implementation of the strategic plan and activities of the Union</w:t>
    </w:r>
  </w:p>
  <w:p w14:paraId="7373EC1F" w14:textId="77777777" w:rsidR="00B87922" w:rsidRPr="00673405" w:rsidRDefault="00B87922" w:rsidP="00673405">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70AA" w14:textId="733AD085" w:rsidR="00B87922" w:rsidRPr="00FC54BD" w:rsidRDefault="00B87922" w:rsidP="004840A5">
    <w:pPr>
      <w:pStyle w:val="Header"/>
      <w:jc w:val="center"/>
      <w:rPr>
        <w:lang w:val="en-US"/>
      </w:rPr>
    </w:pPr>
    <w:bookmarkStart w:id="14" w:name="_Hlk68810887"/>
    <w:r>
      <w:rPr>
        <w:color w:val="0F5288"/>
        <w:sz w:val="18"/>
        <w:szCs w:val="18"/>
      </w:rPr>
      <w:t>Report on the implementation of the strategic plan and activities of the Union</w:t>
    </w:r>
  </w:p>
  <w:bookmarkEnd w:id="14"/>
  <w:p w14:paraId="6C93027D" w14:textId="77777777" w:rsidR="00B87922" w:rsidRPr="004840A5" w:rsidRDefault="00B87922">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8619" w14:textId="1EB4C04D" w:rsidR="00B87922" w:rsidRPr="00FC54BD" w:rsidRDefault="00B87922" w:rsidP="00673405">
    <w:pPr>
      <w:pStyle w:val="Header"/>
      <w:jc w:val="center"/>
      <w:rPr>
        <w:lang w:val="en-US"/>
      </w:rPr>
    </w:pPr>
    <w:r>
      <w:rPr>
        <w:color w:val="0F5288"/>
        <w:sz w:val="18"/>
        <w:szCs w:val="18"/>
      </w:rPr>
      <w:t>Report on the implementation of the strategic plan and activities of the Union</w:t>
    </w:r>
  </w:p>
  <w:p w14:paraId="0F3D46A0" w14:textId="77777777" w:rsidR="00B87922" w:rsidRPr="00673405" w:rsidRDefault="00B87922">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854C" w14:textId="5A7F6C9E" w:rsidR="00B87922" w:rsidRPr="00FC54BD" w:rsidRDefault="00B87922" w:rsidP="00673405">
    <w:pPr>
      <w:pStyle w:val="Header"/>
      <w:jc w:val="center"/>
      <w:rPr>
        <w:lang w:val="en-US"/>
      </w:rPr>
    </w:pPr>
    <w:r>
      <w:rPr>
        <w:color w:val="0F5288"/>
        <w:sz w:val="18"/>
        <w:szCs w:val="18"/>
      </w:rPr>
      <w:t>Report on the implementation of the strategic plan and activities of the Union</w:t>
    </w:r>
  </w:p>
  <w:p w14:paraId="06038CBB" w14:textId="77777777" w:rsidR="00B87922" w:rsidRPr="00673405" w:rsidRDefault="00B87922" w:rsidP="00673405">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4667" w14:textId="4136582C" w:rsidR="00B87922" w:rsidRPr="00FC54BD" w:rsidRDefault="00B87922" w:rsidP="00231D35">
    <w:pPr>
      <w:pStyle w:val="Header"/>
      <w:jc w:val="center"/>
      <w:rPr>
        <w:lang w:val="en-US"/>
      </w:rPr>
    </w:pPr>
    <w:r>
      <w:rPr>
        <w:color w:val="0F5288"/>
        <w:sz w:val="18"/>
        <w:szCs w:val="18"/>
      </w:rPr>
      <w:t>Report on the implementation of the strategic plan and activities of the Union</w:t>
    </w:r>
  </w:p>
  <w:p w14:paraId="61B2977C" w14:textId="77777777" w:rsidR="00B87922" w:rsidRPr="007655B1" w:rsidRDefault="00B8792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2A1CA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E6EC7426"/>
    <w:lvl w:ilvl="0" w:tplc="CD9A32CA">
      <w:start w:val="1"/>
      <w:numFmt w:val="decimal"/>
      <w:lvlText w:val="%1."/>
      <w:lvlJc w:val="left"/>
      <w:pPr>
        <w:tabs>
          <w:tab w:val="num" w:pos="1209"/>
        </w:tabs>
        <w:ind w:left="1209" w:hanging="360"/>
      </w:pPr>
    </w:lvl>
    <w:lvl w:ilvl="1" w:tplc="EAC64EE6">
      <w:numFmt w:val="decimal"/>
      <w:lvlText w:val=""/>
      <w:lvlJc w:val="left"/>
    </w:lvl>
    <w:lvl w:ilvl="2" w:tplc="621E7CE4">
      <w:numFmt w:val="decimal"/>
      <w:lvlText w:val=""/>
      <w:lvlJc w:val="left"/>
    </w:lvl>
    <w:lvl w:ilvl="3" w:tplc="BF189CAE">
      <w:numFmt w:val="decimal"/>
      <w:lvlText w:val=""/>
      <w:lvlJc w:val="left"/>
    </w:lvl>
    <w:lvl w:ilvl="4" w:tplc="4EC89CA2">
      <w:numFmt w:val="decimal"/>
      <w:lvlText w:val=""/>
      <w:lvlJc w:val="left"/>
    </w:lvl>
    <w:lvl w:ilvl="5" w:tplc="73EEED54">
      <w:numFmt w:val="decimal"/>
      <w:lvlText w:val=""/>
      <w:lvlJc w:val="left"/>
    </w:lvl>
    <w:lvl w:ilvl="6" w:tplc="52469CA0">
      <w:numFmt w:val="decimal"/>
      <w:lvlText w:val=""/>
      <w:lvlJc w:val="left"/>
    </w:lvl>
    <w:lvl w:ilvl="7" w:tplc="3DB6EEBE">
      <w:numFmt w:val="decimal"/>
      <w:lvlText w:val=""/>
      <w:lvlJc w:val="left"/>
    </w:lvl>
    <w:lvl w:ilvl="8" w:tplc="A0F69238">
      <w:numFmt w:val="decimal"/>
      <w:lvlText w:val=""/>
      <w:lvlJc w:val="left"/>
    </w:lvl>
  </w:abstractNum>
  <w:abstractNum w:abstractNumId="2" w15:restartNumberingAfterBreak="0">
    <w:nsid w:val="FFFFFF7E"/>
    <w:multiLevelType w:val="hybridMultilevel"/>
    <w:tmpl w:val="FB3A8F16"/>
    <w:lvl w:ilvl="0" w:tplc="F92EF642">
      <w:start w:val="1"/>
      <w:numFmt w:val="decimal"/>
      <w:lvlText w:val="%1."/>
      <w:lvlJc w:val="left"/>
      <w:pPr>
        <w:tabs>
          <w:tab w:val="num" w:pos="926"/>
        </w:tabs>
        <w:ind w:left="926" w:hanging="360"/>
      </w:pPr>
    </w:lvl>
    <w:lvl w:ilvl="1" w:tplc="DAE2C5D8">
      <w:numFmt w:val="decimal"/>
      <w:lvlText w:val=""/>
      <w:lvlJc w:val="left"/>
    </w:lvl>
    <w:lvl w:ilvl="2" w:tplc="652A885C">
      <w:numFmt w:val="decimal"/>
      <w:lvlText w:val=""/>
      <w:lvlJc w:val="left"/>
    </w:lvl>
    <w:lvl w:ilvl="3" w:tplc="A6EAD2E4">
      <w:numFmt w:val="decimal"/>
      <w:lvlText w:val=""/>
      <w:lvlJc w:val="left"/>
    </w:lvl>
    <w:lvl w:ilvl="4" w:tplc="F7681488">
      <w:numFmt w:val="decimal"/>
      <w:lvlText w:val=""/>
      <w:lvlJc w:val="left"/>
    </w:lvl>
    <w:lvl w:ilvl="5" w:tplc="212E5CD0">
      <w:numFmt w:val="decimal"/>
      <w:lvlText w:val=""/>
      <w:lvlJc w:val="left"/>
    </w:lvl>
    <w:lvl w:ilvl="6" w:tplc="FE546B06">
      <w:numFmt w:val="decimal"/>
      <w:lvlText w:val=""/>
      <w:lvlJc w:val="left"/>
    </w:lvl>
    <w:lvl w:ilvl="7" w:tplc="5372A3BA">
      <w:numFmt w:val="decimal"/>
      <w:lvlText w:val=""/>
      <w:lvlJc w:val="left"/>
    </w:lvl>
    <w:lvl w:ilvl="8" w:tplc="A4CA4608">
      <w:numFmt w:val="decimal"/>
      <w:lvlText w:val=""/>
      <w:lvlJc w:val="left"/>
    </w:lvl>
  </w:abstractNum>
  <w:abstractNum w:abstractNumId="3" w15:restartNumberingAfterBreak="0">
    <w:nsid w:val="FFFFFF7F"/>
    <w:multiLevelType w:val="hybridMultilevel"/>
    <w:tmpl w:val="7A88535A"/>
    <w:lvl w:ilvl="0" w:tplc="2E0CE8D4">
      <w:start w:val="1"/>
      <w:numFmt w:val="decimal"/>
      <w:lvlText w:val="%1."/>
      <w:lvlJc w:val="left"/>
      <w:pPr>
        <w:tabs>
          <w:tab w:val="num" w:pos="643"/>
        </w:tabs>
        <w:ind w:left="643" w:hanging="360"/>
      </w:pPr>
    </w:lvl>
    <w:lvl w:ilvl="1" w:tplc="A00216C2">
      <w:numFmt w:val="decimal"/>
      <w:lvlText w:val=""/>
      <w:lvlJc w:val="left"/>
    </w:lvl>
    <w:lvl w:ilvl="2" w:tplc="7A0C8720">
      <w:numFmt w:val="decimal"/>
      <w:lvlText w:val=""/>
      <w:lvlJc w:val="left"/>
    </w:lvl>
    <w:lvl w:ilvl="3" w:tplc="7F1A8836">
      <w:numFmt w:val="decimal"/>
      <w:lvlText w:val=""/>
      <w:lvlJc w:val="left"/>
    </w:lvl>
    <w:lvl w:ilvl="4" w:tplc="03260F1C">
      <w:numFmt w:val="decimal"/>
      <w:lvlText w:val=""/>
      <w:lvlJc w:val="left"/>
    </w:lvl>
    <w:lvl w:ilvl="5" w:tplc="F1088876">
      <w:numFmt w:val="decimal"/>
      <w:lvlText w:val=""/>
      <w:lvlJc w:val="left"/>
    </w:lvl>
    <w:lvl w:ilvl="6" w:tplc="7A545044">
      <w:numFmt w:val="decimal"/>
      <w:lvlText w:val=""/>
      <w:lvlJc w:val="left"/>
    </w:lvl>
    <w:lvl w:ilvl="7" w:tplc="A6266D56">
      <w:numFmt w:val="decimal"/>
      <w:lvlText w:val=""/>
      <w:lvlJc w:val="left"/>
    </w:lvl>
    <w:lvl w:ilvl="8" w:tplc="F2569224">
      <w:numFmt w:val="decimal"/>
      <w:lvlText w:val=""/>
      <w:lvlJc w:val="left"/>
    </w:lvl>
  </w:abstractNum>
  <w:abstractNum w:abstractNumId="4" w15:restartNumberingAfterBreak="0">
    <w:nsid w:val="FFFFFF80"/>
    <w:multiLevelType w:val="hybridMultilevel"/>
    <w:tmpl w:val="8C30BA10"/>
    <w:lvl w:ilvl="0" w:tplc="1A022430">
      <w:start w:val="1"/>
      <w:numFmt w:val="bullet"/>
      <w:lvlText w:val=""/>
      <w:lvlJc w:val="left"/>
      <w:pPr>
        <w:tabs>
          <w:tab w:val="num" w:pos="1492"/>
        </w:tabs>
        <w:ind w:left="1492" w:hanging="360"/>
      </w:pPr>
      <w:rPr>
        <w:rFonts w:ascii="Symbol" w:hAnsi="Symbol" w:hint="default"/>
      </w:rPr>
    </w:lvl>
    <w:lvl w:ilvl="1" w:tplc="A2EEFD26">
      <w:numFmt w:val="decimal"/>
      <w:lvlText w:val=""/>
      <w:lvlJc w:val="left"/>
    </w:lvl>
    <w:lvl w:ilvl="2" w:tplc="626643E0">
      <w:numFmt w:val="decimal"/>
      <w:lvlText w:val=""/>
      <w:lvlJc w:val="left"/>
    </w:lvl>
    <w:lvl w:ilvl="3" w:tplc="4056880A">
      <w:numFmt w:val="decimal"/>
      <w:lvlText w:val=""/>
      <w:lvlJc w:val="left"/>
    </w:lvl>
    <w:lvl w:ilvl="4" w:tplc="7B9A6A5E">
      <w:numFmt w:val="decimal"/>
      <w:lvlText w:val=""/>
      <w:lvlJc w:val="left"/>
    </w:lvl>
    <w:lvl w:ilvl="5" w:tplc="23049198">
      <w:numFmt w:val="decimal"/>
      <w:lvlText w:val=""/>
      <w:lvlJc w:val="left"/>
    </w:lvl>
    <w:lvl w:ilvl="6" w:tplc="F272C7F4">
      <w:numFmt w:val="decimal"/>
      <w:lvlText w:val=""/>
      <w:lvlJc w:val="left"/>
    </w:lvl>
    <w:lvl w:ilvl="7" w:tplc="75D85354">
      <w:numFmt w:val="decimal"/>
      <w:lvlText w:val=""/>
      <w:lvlJc w:val="left"/>
    </w:lvl>
    <w:lvl w:ilvl="8" w:tplc="43D473E8">
      <w:numFmt w:val="decimal"/>
      <w:lvlText w:val=""/>
      <w:lvlJc w:val="left"/>
    </w:lvl>
  </w:abstractNum>
  <w:abstractNum w:abstractNumId="5" w15:restartNumberingAfterBreak="0">
    <w:nsid w:val="FFFFFF81"/>
    <w:multiLevelType w:val="hybridMultilevel"/>
    <w:tmpl w:val="91A01E94"/>
    <w:lvl w:ilvl="0" w:tplc="FF6C87DE">
      <w:start w:val="1"/>
      <w:numFmt w:val="bullet"/>
      <w:lvlText w:val=""/>
      <w:lvlJc w:val="left"/>
      <w:pPr>
        <w:tabs>
          <w:tab w:val="num" w:pos="1209"/>
        </w:tabs>
        <w:ind w:left="1209" w:hanging="360"/>
      </w:pPr>
      <w:rPr>
        <w:rFonts w:ascii="Symbol" w:hAnsi="Symbol" w:hint="default"/>
      </w:rPr>
    </w:lvl>
    <w:lvl w:ilvl="1" w:tplc="DB4A5BD6">
      <w:numFmt w:val="decimal"/>
      <w:lvlText w:val=""/>
      <w:lvlJc w:val="left"/>
    </w:lvl>
    <w:lvl w:ilvl="2" w:tplc="954AB494">
      <w:numFmt w:val="decimal"/>
      <w:lvlText w:val=""/>
      <w:lvlJc w:val="left"/>
    </w:lvl>
    <w:lvl w:ilvl="3" w:tplc="4600E1FC">
      <w:numFmt w:val="decimal"/>
      <w:lvlText w:val=""/>
      <w:lvlJc w:val="left"/>
    </w:lvl>
    <w:lvl w:ilvl="4" w:tplc="1890B64A">
      <w:numFmt w:val="decimal"/>
      <w:lvlText w:val=""/>
      <w:lvlJc w:val="left"/>
    </w:lvl>
    <w:lvl w:ilvl="5" w:tplc="E1A4136E">
      <w:numFmt w:val="decimal"/>
      <w:lvlText w:val=""/>
      <w:lvlJc w:val="left"/>
    </w:lvl>
    <w:lvl w:ilvl="6" w:tplc="A4EEC638">
      <w:numFmt w:val="decimal"/>
      <w:lvlText w:val=""/>
      <w:lvlJc w:val="left"/>
    </w:lvl>
    <w:lvl w:ilvl="7" w:tplc="0DDADE16">
      <w:numFmt w:val="decimal"/>
      <w:lvlText w:val=""/>
      <w:lvlJc w:val="left"/>
    </w:lvl>
    <w:lvl w:ilvl="8" w:tplc="9A8A0C16">
      <w:numFmt w:val="decimal"/>
      <w:lvlText w:val=""/>
      <w:lvlJc w:val="left"/>
    </w:lvl>
  </w:abstractNum>
  <w:abstractNum w:abstractNumId="6" w15:restartNumberingAfterBreak="0">
    <w:nsid w:val="FFFFFF82"/>
    <w:multiLevelType w:val="hybridMultilevel"/>
    <w:tmpl w:val="84BE124E"/>
    <w:lvl w:ilvl="0" w:tplc="08027520">
      <w:start w:val="1"/>
      <w:numFmt w:val="bullet"/>
      <w:lvlText w:val=""/>
      <w:lvlJc w:val="left"/>
      <w:pPr>
        <w:tabs>
          <w:tab w:val="num" w:pos="926"/>
        </w:tabs>
        <w:ind w:left="926" w:hanging="360"/>
      </w:pPr>
      <w:rPr>
        <w:rFonts w:ascii="Symbol" w:hAnsi="Symbol" w:hint="default"/>
      </w:rPr>
    </w:lvl>
    <w:lvl w:ilvl="1" w:tplc="BF6E58FC">
      <w:numFmt w:val="decimal"/>
      <w:lvlText w:val=""/>
      <w:lvlJc w:val="left"/>
    </w:lvl>
    <w:lvl w:ilvl="2" w:tplc="4FB8C450">
      <w:numFmt w:val="decimal"/>
      <w:lvlText w:val=""/>
      <w:lvlJc w:val="left"/>
    </w:lvl>
    <w:lvl w:ilvl="3" w:tplc="BF666720">
      <w:numFmt w:val="decimal"/>
      <w:lvlText w:val=""/>
      <w:lvlJc w:val="left"/>
    </w:lvl>
    <w:lvl w:ilvl="4" w:tplc="AE5A57BE">
      <w:numFmt w:val="decimal"/>
      <w:lvlText w:val=""/>
      <w:lvlJc w:val="left"/>
    </w:lvl>
    <w:lvl w:ilvl="5" w:tplc="A0EACAE8">
      <w:numFmt w:val="decimal"/>
      <w:lvlText w:val=""/>
      <w:lvlJc w:val="left"/>
    </w:lvl>
    <w:lvl w:ilvl="6" w:tplc="C89CB6C0">
      <w:numFmt w:val="decimal"/>
      <w:lvlText w:val=""/>
      <w:lvlJc w:val="left"/>
    </w:lvl>
    <w:lvl w:ilvl="7" w:tplc="92BCA87E">
      <w:numFmt w:val="decimal"/>
      <w:lvlText w:val=""/>
      <w:lvlJc w:val="left"/>
    </w:lvl>
    <w:lvl w:ilvl="8" w:tplc="9794A3AC">
      <w:numFmt w:val="decimal"/>
      <w:lvlText w:val=""/>
      <w:lvlJc w:val="left"/>
    </w:lvl>
  </w:abstractNum>
  <w:abstractNum w:abstractNumId="7" w15:restartNumberingAfterBreak="0">
    <w:nsid w:val="FFFFFF83"/>
    <w:multiLevelType w:val="hybridMultilevel"/>
    <w:tmpl w:val="F42025B8"/>
    <w:lvl w:ilvl="0" w:tplc="81D41830">
      <w:start w:val="1"/>
      <w:numFmt w:val="bullet"/>
      <w:lvlText w:val=""/>
      <w:lvlJc w:val="left"/>
      <w:pPr>
        <w:tabs>
          <w:tab w:val="num" w:pos="643"/>
        </w:tabs>
        <w:ind w:left="643" w:hanging="360"/>
      </w:pPr>
      <w:rPr>
        <w:rFonts w:ascii="Symbol" w:hAnsi="Symbol" w:hint="default"/>
      </w:rPr>
    </w:lvl>
    <w:lvl w:ilvl="1" w:tplc="4252D564">
      <w:numFmt w:val="decimal"/>
      <w:lvlText w:val=""/>
      <w:lvlJc w:val="left"/>
    </w:lvl>
    <w:lvl w:ilvl="2" w:tplc="F7064B86">
      <w:numFmt w:val="decimal"/>
      <w:lvlText w:val=""/>
      <w:lvlJc w:val="left"/>
    </w:lvl>
    <w:lvl w:ilvl="3" w:tplc="BA76D1C6">
      <w:numFmt w:val="decimal"/>
      <w:lvlText w:val=""/>
      <w:lvlJc w:val="left"/>
    </w:lvl>
    <w:lvl w:ilvl="4" w:tplc="26BE91EC">
      <w:numFmt w:val="decimal"/>
      <w:lvlText w:val=""/>
      <w:lvlJc w:val="left"/>
    </w:lvl>
    <w:lvl w:ilvl="5" w:tplc="ABE4DE4A">
      <w:numFmt w:val="decimal"/>
      <w:lvlText w:val=""/>
      <w:lvlJc w:val="left"/>
    </w:lvl>
    <w:lvl w:ilvl="6" w:tplc="3A0C5332">
      <w:numFmt w:val="decimal"/>
      <w:lvlText w:val=""/>
      <w:lvlJc w:val="left"/>
    </w:lvl>
    <w:lvl w:ilvl="7" w:tplc="2BB2D32A">
      <w:numFmt w:val="decimal"/>
      <w:lvlText w:val=""/>
      <w:lvlJc w:val="left"/>
    </w:lvl>
    <w:lvl w:ilvl="8" w:tplc="8AEE4F4C">
      <w:numFmt w:val="decimal"/>
      <w:lvlText w:val=""/>
      <w:lvlJc w:val="left"/>
    </w:lvl>
  </w:abstractNum>
  <w:abstractNum w:abstractNumId="8" w15:restartNumberingAfterBreak="0">
    <w:nsid w:val="FFFFFF88"/>
    <w:multiLevelType w:val="hybridMultilevel"/>
    <w:tmpl w:val="9EDCEA1A"/>
    <w:lvl w:ilvl="0" w:tplc="861C6C7E">
      <w:start w:val="1"/>
      <w:numFmt w:val="decimal"/>
      <w:lvlText w:val="%1."/>
      <w:lvlJc w:val="left"/>
      <w:pPr>
        <w:tabs>
          <w:tab w:val="num" w:pos="360"/>
        </w:tabs>
        <w:ind w:left="360" w:hanging="360"/>
      </w:pPr>
    </w:lvl>
    <w:lvl w:ilvl="1" w:tplc="A4F6170C">
      <w:numFmt w:val="decimal"/>
      <w:lvlText w:val=""/>
      <w:lvlJc w:val="left"/>
    </w:lvl>
    <w:lvl w:ilvl="2" w:tplc="7A08F8C2">
      <w:numFmt w:val="decimal"/>
      <w:lvlText w:val=""/>
      <w:lvlJc w:val="left"/>
    </w:lvl>
    <w:lvl w:ilvl="3" w:tplc="CABC210E">
      <w:numFmt w:val="decimal"/>
      <w:lvlText w:val=""/>
      <w:lvlJc w:val="left"/>
    </w:lvl>
    <w:lvl w:ilvl="4" w:tplc="789C9332">
      <w:numFmt w:val="decimal"/>
      <w:lvlText w:val=""/>
      <w:lvlJc w:val="left"/>
    </w:lvl>
    <w:lvl w:ilvl="5" w:tplc="65A26730">
      <w:numFmt w:val="decimal"/>
      <w:lvlText w:val=""/>
      <w:lvlJc w:val="left"/>
    </w:lvl>
    <w:lvl w:ilvl="6" w:tplc="1B7CD9D4">
      <w:numFmt w:val="decimal"/>
      <w:lvlText w:val=""/>
      <w:lvlJc w:val="left"/>
    </w:lvl>
    <w:lvl w:ilvl="7" w:tplc="518A6D20">
      <w:numFmt w:val="decimal"/>
      <w:lvlText w:val=""/>
      <w:lvlJc w:val="left"/>
    </w:lvl>
    <w:lvl w:ilvl="8" w:tplc="E920F6F6">
      <w:numFmt w:val="decimal"/>
      <w:lvlText w:val=""/>
      <w:lvlJc w:val="left"/>
    </w:lvl>
  </w:abstractNum>
  <w:abstractNum w:abstractNumId="9" w15:restartNumberingAfterBreak="0">
    <w:nsid w:val="FFFFFF89"/>
    <w:multiLevelType w:val="hybridMultilevel"/>
    <w:tmpl w:val="4420FBF8"/>
    <w:lvl w:ilvl="0" w:tplc="C38A31C2">
      <w:start w:val="1"/>
      <w:numFmt w:val="bullet"/>
      <w:lvlText w:val=""/>
      <w:lvlJc w:val="left"/>
      <w:pPr>
        <w:tabs>
          <w:tab w:val="num" w:pos="360"/>
        </w:tabs>
        <w:ind w:left="360" w:hanging="360"/>
      </w:pPr>
      <w:rPr>
        <w:rFonts w:ascii="Symbol" w:hAnsi="Symbol" w:hint="default"/>
      </w:rPr>
    </w:lvl>
    <w:lvl w:ilvl="1" w:tplc="44D659CC">
      <w:numFmt w:val="decimal"/>
      <w:lvlText w:val=""/>
      <w:lvlJc w:val="left"/>
    </w:lvl>
    <w:lvl w:ilvl="2" w:tplc="83223232">
      <w:numFmt w:val="decimal"/>
      <w:lvlText w:val=""/>
      <w:lvlJc w:val="left"/>
    </w:lvl>
    <w:lvl w:ilvl="3" w:tplc="122C6ABE">
      <w:numFmt w:val="decimal"/>
      <w:lvlText w:val=""/>
      <w:lvlJc w:val="left"/>
    </w:lvl>
    <w:lvl w:ilvl="4" w:tplc="5BB822F6">
      <w:numFmt w:val="decimal"/>
      <w:lvlText w:val=""/>
      <w:lvlJc w:val="left"/>
    </w:lvl>
    <w:lvl w:ilvl="5" w:tplc="8DFC628A">
      <w:numFmt w:val="decimal"/>
      <w:lvlText w:val=""/>
      <w:lvlJc w:val="left"/>
    </w:lvl>
    <w:lvl w:ilvl="6" w:tplc="E3560270">
      <w:numFmt w:val="decimal"/>
      <w:lvlText w:val=""/>
      <w:lvlJc w:val="left"/>
    </w:lvl>
    <w:lvl w:ilvl="7" w:tplc="BDD655A4">
      <w:numFmt w:val="decimal"/>
      <w:lvlText w:val=""/>
      <w:lvlJc w:val="left"/>
    </w:lvl>
    <w:lvl w:ilvl="8" w:tplc="FF3E8A52">
      <w:numFmt w:val="decimal"/>
      <w:lvlText w:val=""/>
      <w:lvlJc w:val="left"/>
    </w:lvl>
  </w:abstractNum>
  <w:abstractNum w:abstractNumId="10" w15:restartNumberingAfterBreak="0">
    <w:nsid w:val="000E55E0"/>
    <w:multiLevelType w:val="hybridMultilevel"/>
    <w:tmpl w:val="5D90F468"/>
    <w:lvl w:ilvl="0" w:tplc="96A25ABC">
      <w:numFmt w:val="bullet"/>
      <w:lvlText w:val="-"/>
      <w:lvlJc w:val="left"/>
      <w:pPr>
        <w:ind w:left="720" w:hanging="360"/>
      </w:pPr>
      <w:rPr>
        <w:rFonts w:ascii="Calibri Light" w:eastAsia="Times New Roman"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3406A47"/>
    <w:multiLevelType w:val="hybridMultilevel"/>
    <w:tmpl w:val="FE64F1A4"/>
    <w:lvl w:ilvl="0" w:tplc="C136D610">
      <w:start w:val="1"/>
      <w:numFmt w:val="bullet"/>
      <w:lvlText w:val=""/>
      <w:lvlJc w:val="left"/>
      <w:pPr>
        <w:ind w:left="360" w:hanging="360"/>
      </w:pPr>
      <w:rPr>
        <w:rFonts w:ascii="Symbol" w:hAnsi="Symbol" w:hint="default"/>
      </w:rPr>
    </w:lvl>
    <w:lvl w:ilvl="1" w:tplc="A8A404CA">
      <w:start w:val="1"/>
      <w:numFmt w:val="bullet"/>
      <w:lvlText w:val="o"/>
      <w:lvlJc w:val="left"/>
      <w:pPr>
        <w:ind w:left="1080" w:hanging="360"/>
      </w:pPr>
      <w:rPr>
        <w:rFonts w:ascii="Courier New" w:hAnsi="Courier New" w:cs="Times New Roman" w:hint="default"/>
      </w:rPr>
    </w:lvl>
    <w:lvl w:ilvl="2" w:tplc="016E2212">
      <w:start w:val="1"/>
      <w:numFmt w:val="bullet"/>
      <w:lvlText w:val=""/>
      <w:lvlJc w:val="left"/>
      <w:pPr>
        <w:ind w:left="1800" w:hanging="360"/>
      </w:pPr>
      <w:rPr>
        <w:rFonts w:ascii="Wingdings" w:hAnsi="Wingdings" w:hint="default"/>
      </w:rPr>
    </w:lvl>
    <w:lvl w:ilvl="3" w:tplc="78421D78">
      <w:start w:val="1"/>
      <w:numFmt w:val="bullet"/>
      <w:lvlText w:val=""/>
      <w:lvlJc w:val="left"/>
      <w:pPr>
        <w:ind w:left="2520" w:hanging="360"/>
      </w:pPr>
      <w:rPr>
        <w:rFonts w:ascii="Symbol" w:hAnsi="Symbol" w:hint="default"/>
      </w:rPr>
    </w:lvl>
    <w:lvl w:ilvl="4" w:tplc="04D83DDA">
      <w:start w:val="1"/>
      <w:numFmt w:val="bullet"/>
      <w:lvlText w:val="o"/>
      <w:lvlJc w:val="left"/>
      <w:pPr>
        <w:ind w:left="3240" w:hanging="360"/>
      </w:pPr>
      <w:rPr>
        <w:rFonts w:ascii="Courier New" w:hAnsi="Courier New" w:cs="Times New Roman" w:hint="default"/>
      </w:rPr>
    </w:lvl>
    <w:lvl w:ilvl="5" w:tplc="30186CD0">
      <w:start w:val="1"/>
      <w:numFmt w:val="bullet"/>
      <w:lvlText w:val=""/>
      <w:lvlJc w:val="left"/>
      <w:pPr>
        <w:ind w:left="3960" w:hanging="360"/>
      </w:pPr>
      <w:rPr>
        <w:rFonts w:ascii="Wingdings" w:hAnsi="Wingdings" w:hint="default"/>
      </w:rPr>
    </w:lvl>
    <w:lvl w:ilvl="6" w:tplc="C810A1DC">
      <w:start w:val="1"/>
      <w:numFmt w:val="bullet"/>
      <w:lvlText w:val=""/>
      <w:lvlJc w:val="left"/>
      <w:pPr>
        <w:ind w:left="4680" w:hanging="360"/>
      </w:pPr>
      <w:rPr>
        <w:rFonts w:ascii="Symbol" w:hAnsi="Symbol" w:hint="default"/>
      </w:rPr>
    </w:lvl>
    <w:lvl w:ilvl="7" w:tplc="DCB8339E">
      <w:start w:val="1"/>
      <w:numFmt w:val="bullet"/>
      <w:lvlText w:val="o"/>
      <w:lvlJc w:val="left"/>
      <w:pPr>
        <w:ind w:left="5400" w:hanging="360"/>
      </w:pPr>
      <w:rPr>
        <w:rFonts w:ascii="Courier New" w:hAnsi="Courier New" w:cs="Times New Roman" w:hint="default"/>
      </w:rPr>
    </w:lvl>
    <w:lvl w:ilvl="8" w:tplc="97262838">
      <w:start w:val="1"/>
      <w:numFmt w:val="bullet"/>
      <w:lvlText w:val=""/>
      <w:lvlJc w:val="left"/>
      <w:pPr>
        <w:ind w:left="6120" w:hanging="360"/>
      </w:pPr>
      <w:rPr>
        <w:rFonts w:ascii="Wingdings" w:hAnsi="Wingdings" w:hint="default"/>
      </w:rPr>
    </w:lvl>
  </w:abstractNum>
  <w:abstractNum w:abstractNumId="12" w15:restartNumberingAfterBreak="0">
    <w:nsid w:val="03AE68B1"/>
    <w:multiLevelType w:val="hybridMultilevel"/>
    <w:tmpl w:val="FFFFFFFF"/>
    <w:lvl w:ilvl="0" w:tplc="2A78BF54">
      <w:start w:val="1"/>
      <w:numFmt w:val="bullet"/>
      <w:lvlText w:val=""/>
      <w:lvlJc w:val="left"/>
      <w:pPr>
        <w:ind w:left="720" w:hanging="360"/>
      </w:pPr>
      <w:rPr>
        <w:rFonts w:ascii="Symbol" w:hAnsi="Symbol" w:hint="default"/>
      </w:rPr>
    </w:lvl>
    <w:lvl w:ilvl="1" w:tplc="95A6773A">
      <w:start w:val="1"/>
      <w:numFmt w:val="bullet"/>
      <w:lvlText w:val="o"/>
      <w:lvlJc w:val="left"/>
      <w:pPr>
        <w:ind w:left="1440" w:hanging="360"/>
      </w:pPr>
      <w:rPr>
        <w:rFonts w:ascii="Courier New" w:hAnsi="Courier New" w:hint="default"/>
      </w:rPr>
    </w:lvl>
    <w:lvl w:ilvl="2" w:tplc="5636AB48">
      <w:start w:val="1"/>
      <w:numFmt w:val="bullet"/>
      <w:lvlText w:val=""/>
      <w:lvlJc w:val="left"/>
      <w:pPr>
        <w:ind w:left="2160" w:hanging="360"/>
      </w:pPr>
      <w:rPr>
        <w:rFonts w:ascii="Wingdings" w:hAnsi="Wingdings" w:hint="default"/>
      </w:rPr>
    </w:lvl>
    <w:lvl w:ilvl="3" w:tplc="5C7A17A8">
      <w:start w:val="1"/>
      <w:numFmt w:val="bullet"/>
      <w:lvlText w:val=""/>
      <w:lvlJc w:val="left"/>
      <w:pPr>
        <w:ind w:left="2880" w:hanging="360"/>
      </w:pPr>
      <w:rPr>
        <w:rFonts w:ascii="Symbol" w:hAnsi="Symbol" w:hint="default"/>
      </w:rPr>
    </w:lvl>
    <w:lvl w:ilvl="4" w:tplc="CD2A3E64">
      <w:start w:val="1"/>
      <w:numFmt w:val="bullet"/>
      <w:lvlText w:val="o"/>
      <w:lvlJc w:val="left"/>
      <w:pPr>
        <w:ind w:left="3600" w:hanging="360"/>
      </w:pPr>
      <w:rPr>
        <w:rFonts w:ascii="Courier New" w:hAnsi="Courier New" w:hint="default"/>
      </w:rPr>
    </w:lvl>
    <w:lvl w:ilvl="5" w:tplc="E01E91E0">
      <w:start w:val="1"/>
      <w:numFmt w:val="bullet"/>
      <w:lvlText w:val=""/>
      <w:lvlJc w:val="left"/>
      <w:pPr>
        <w:ind w:left="4320" w:hanging="360"/>
      </w:pPr>
      <w:rPr>
        <w:rFonts w:ascii="Wingdings" w:hAnsi="Wingdings" w:hint="default"/>
      </w:rPr>
    </w:lvl>
    <w:lvl w:ilvl="6" w:tplc="ADD0B86E">
      <w:start w:val="1"/>
      <w:numFmt w:val="bullet"/>
      <w:lvlText w:val=""/>
      <w:lvlJc w:val="left"/>
      <w:pPr>
        <w:ind w:left="5040" w:hanging="360"/>
      </w:pPr>
      <w:rPr>
        <w:rFonts w:ascii="Symbol" w:hAnsi="Symbol" w:hint="default"/>
      </w:rPr>
    </w:lvl>
    <w:lvl w:ilvl="7" w:tplc="E66C6D1E">
      <w:start w:val="1"/>
      <w:numFmt w:val="bullet"/>
      <w:lvlText w:val="o"/>
      <w:lvlJc w:val="left"/>
      <w:pPr>
        <w:ind w:left="5760" w:hanging="360"/>
      </w:pPr>
      <w:rPr>
        <w:rFonts w:ascii="Courier New" w:hAnsi="Courier New" w:hint="default"/>
      </w:rPr>
    </w:lvl>
    <w:lvl w:ilvl="8" w:tplc="B9E88EEC">
      <w:start w:val="1"/>
      <w:numFmt w:val="bullet"/>
      <w:lvlText w:val=""/>
      <w:lvlJc w:val="left"/>
      <w:pPr>
        <w:ind w:left="6480" w:hanging="360"/>
      </w:pPr>
      <w:rPr>
        <w:rFonts w:ascii="Wingdings" w:hAnsi="Wingdings" w:hint="default"/>
      </w:rPr>
    </w:lvl>
  </w:abstractNum>
  <w:abstractNum w:abstractNumId="13" w15:restartNumberingAfterBreak="0">
    <w:nsid w:val="05D864CC"/>
    <w:multiLevelType w:val="hybridMultilevel"/>
    <w:tmpl w:val="9626B740"/>
    <w:lvl w:ilvl="0" w:tplc="66647E92">
      <w:start w:val="1"/>
      <w:numFmt w:val="decimal"/>
      <w:lvlText w:val="%1."/>
      <w:lvlJc w:val="left"/>
      <w:pPr>
        <w:ind w:left="390" w:hanging="390"/>
      </w:pPr>
      <w:rPr>
        <w:rFonts w:ascii="Calibri" w:hAnsi="Calibri" w:cs="Calibri" w:hint="default"/>
        <w:sz w:val="26"/>
      </w:rPr>
    </w:lvl>
    <w:lvl w:ilvl="1" w:tplc="2AB028B6">
      <w:start w:val="1"/>
      <w:numFmt w:val="decimal"/>
      <w:lvlText w:val="%1.%2."/>
      <w:lvlJc w:val="left"/>
      <w:pPr>
        <w:ind w:left="390" w:hanging="390"/>
      </w:pPr>
      <w:rPr>
        <w:rFonts w:ascii="Calibri" w:hAnsi="Calibri" w:cs="Calibri" w:hint="default"/>
        <w:sz w:val="26"/>
      </w:rPr>
    </w:lvl>
    <w:lvl w:ilvl="2" w:tplc="4C9A27C8">
      <w:start w:val="1"/>
      <w:numFmt w:val="decimal"/>
      <w:lvlText w:val="%1.%2.%3."/>
      <w:lvlJc w:val="left"/>
      <w:pPr>
        <w:ind w:left="720" w:hanging="720"/>
      </w:pPr>
      <w:rPr>
        <w:rFonts w:ascii="Calibri" w:hAnsi="Calibri" w:cs="Calibri" w:hint="default"/>
        <w:sz w:val="26"/>
      </w:rPr>
    </w:lvl>
    <w:lvl w:ilvl="3" w:tplc="9FC24626">
      <w:start w:val="1"/>
      <w:numFmt w:val="decimal"/>
      <w:lvlText w:val="%1.%2.%3.%4."/>
      <w:lvlJc w:val="left"/>
      <w:pPr>
        <w:ind w:left="720" w:hanging="720"/>
      </w:pPr>
      <w:rPr>
        <w:rFonts w:ascii="Calibri" w:hAnsi="Calibri" w:cs="Calibri" w:hint="default"/>
        <w:sz w:val="26"/>
      </w:rPr>
    </w:lvl>
    <w:lvl w:ilvl="4" w:tplc="B5F65434">
      <w:start w:val="1"/>
      <w:numFmt w:val="decimal"/>
      <w:lvlText w:val="%1.%2.%3.%4.%5."/>
      <w:lvlJc w:val="left"/>
      <w:pPr>
        <w:ind w:left="1080" w:hanging="1080"/>
      </w:pPr>
      <w:rPr>
        <w:rFonts w:ascii="Calibri" w:hAnsi="Calibri" w:cs="Calibri" w:hint="default"/>
        <w:sz w:val="26"/>
      </w:rPr>
    </w:lvl>
    <w:lvl w:ilvl="5" w:tplc="E508F472">
      <w:start w:val="1"/>
      <w:numFmt w:val="decimal"/>
      <w:lvlText w:val="%1.%2.%3.%4.%5.%6."/>
      <w:lvlJc w:val="left"/>
      <w:pPr>
        <w:ind w:left="1080" w:hanging="1080"/>
      </w:pPr>
      <w:rPr>
        <w:rFonts w:ascii="Calibri" w:hAnsi="Calibri" w:cs="Calibri" w:hint="default"/>
        <w:sz w:val="26"/>
      </w:rPr>
    </w:lvl>
    <w:lvl w:ilvl="6" w:tplc="52B433CC">
      <w:start w:val="1"/>
      <w:numFmt w:val="decimal"/>
      <w:lvlText w:val="%1.%2.%3.%4.%5.%6.%7."/>
      <w:lvlJc w:val="left"/>
      <w:pPr>
        <w:ind w:left="1080" w:hanging="1080"/>
      </w:pPr>
      <w:rPr>
        <w:rFonts w:ascii="Calibri" w:hAnsi="Calibri" w:cs="Calibri" w:hint="default"/>
        <w:sz w:val="26"/>
      </w:rPr>
    </w:lvl>
    <w:lvl w:ilvl="7" w:tplc="A0E8744A">
      <w:start w:val="1"/>
      <w:numFmt w:val="decimal"/>
      <w:lvlText w:val="%1.%2.%3.%4.%5.%6.%7.%8."/>
      <w:lvlJc w:val="left"/>
      <w:pPr>
        <w:ind w:left="1440" w:hanging="1440"/>
      </w:pPr>
      <w:rPr>
        <w:rFonts w:ascii="Calibri" w:hAnsi="Calibri" w:cs="Calibri" w:hint="default"/>
        <w:sz w:val="26"/>
      </w:rPr>
    </w:lvl>
    <w:lvl w:ilvl="8" w:tplc="BC56D1CA">
      <w:start w:val="1"/>
      <w:numFmt w:val="decimal"/>
      <w:lvlText w:val="%1.%2.%3.%4.%5.%6.%7.%8.%9."/>
      <w:lvlJc w:val="left"/>
      <w:pPr>
        <w:ind w:left="1440" w:hanging="1440"/>
      </w:pPr>
      <w:rPr>
        <w:rFonts w:ascii="Calibri" w:hAnsi="Calibri" w:cs="Calibri" w:hint="default"/>
        <w:sz w:val="26"/>
      </w:rPr>
    </w:lvl>
  </w:abstractNum>
  <w:abstractNum w:abstractNumId="14" w15:restartNumberingAfterBreak="0">
    <w:nsid w:val="06C56D01"/>
    <w:multiLevelType w:val="hybridMultilevel"/>
    <w:tmpl w:val="03EE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715C8F"/>
    <w:multiLevelType w:val="hybridMultilevel"/>
    <w:tmpl w:val="5A90A6C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15:restartNumberingAfterBreak="0">
    <w:nsid w:val="0B311A02"/>
    <w:multiLevelType w:val="hybridMultilevel"/>
    <w:tmpl w:val="9EBC0082"/>
    <w:lvl w:ilvl="0" w:tplc="2F70295E">
      <w:start w:val="1"/>
      <w:numFmt w:val="decimal"/>
      <w:lvlText w:val="%1."/>
      <w:lvlJc w:val="left"/>
      <w:pPr>
        <w:ind w:left="360" w:hanging="360"/>
      </w:pPr>
      <w:rPr>
        <w:rFonts w:hint="default"/>
        <w:sz w:val="32"/>
      </w:rPr>
    </w:lvl>
    <w:lvl w:ilvl="1" w:tplc="5C328748">
      <w:start w:val="1"/>
      <w:numFmt w:val="decimal"/>
      <w:lvlText w:val="%1.%2"/>
      <w:lvlJc w:val="left"/>
      <w:pPr>
        <w:ind w:left="360" w:hanging="360"/>
      </w:pPr>
    </w:lvl>
    <w:lvl w:ilvl="2" w:tplc="4E520638">
      <w:start w:val="1"/>
      <w:numFmt w:val="decimal"/>
      <w:lvlText w:val="%1.%2.%3"/>
      <w:lvlJc w:val="left"/>
      <w:pPr>
        <w:ind w:left="720" w:hanging="720"/>
      </w:pPr>
    </w:lvl>
    <w:lvl w:ilvl="3" w:tplc="FEAA735E">
      <w:start w:val="1"/>
      <w:numFmt w:val="decimal"/>
      <w:isLgl/>
      <w:lvlText w:val="%1.%2.%3.%4"/>
      <w:lvlJc w:val="left"/>
      <w:pPr>
        <w:ind w:left="720" w:hanging="720"/>
      </w:pPr>
      <w:rPr>
        <w:rFonts w:hint="default"/>
      </w:rPr>
    </w:lvl>
    <w:lvl w:ilvl="4" w:tplc="73AC306E">
      <w:start w:val="1"/>
      <w:numFmt w:val="decimal"/>
      <w:isLgl/>
      <w:lvlText w:val="%1.%2.%3.%4.%5"/>
      <w:lvlJc w:val="left"/>
      <w:pPr>
        <w:ind w:left="1080" w:hanging="1080"/>
      </w:pPr>
      <w:rPr>
        <w:rFonts w:hint="default"/>
      </w:rPr>
    </w:lvl>
    <w:lvl w:ilvl="5" w:tplc="7C984D2C">
      <w:start w:val="1"/>
      <w:numFmt w:val="decimal"/>
      <w:isLgl/>
      <w:lvlText w:val="%1.%2.%3.%4.%5.%6"/>
      <w:lvlJc w:val="left"/>
      <w:pPr>
        <w:ind w:left="1440" w:hanging="1440"/>
      </w:pPr>
      <w:rPr>
        <w:rFonts w:hint="default"/>
      </w:rPr>
    </w:lvl>
    <w:lvl w:ilvl="6" w:tplc="2730D06A">
      <w:start w:val="1"/>
      <w:numFmt w:val="decimal"/>
      <w:isLgl/>
      <w:lvlText w:val="%1.%2.%3.%4.%5.%6.%7"/>
      <w:lvlJc w:val="left"/>
      <w:pPr>
        <w:ind w:left="1440" w:hanging="1440"/>
      </w:pPr>
      <w:rPr>
        <w:rFonts w:hint="default"/>
      </w:rPr>
    </w:lvl>
    <w:lvl w:ilvl="7" w:tplc="1BE0BDC0">
      <w:start w:val="1"/>
      <w:numFmt w:val="decimal"/>
      <w:isLgl/>
      <w:lvlText w:val="%1.%2.%3.%4.%5.%6.%7.%8"/>
      <w:lvlJc w:val="left"/>
      <w:pPr>
        <w:ind w:left="1800" w:hanging="1800"/>
      </w:pPr>
      <w:rPr>
        <w:rFonts w:hint="default"/>
      </w:rPr>
    </w:lvl>
    <w:lvl w:ilvl="8" w:tplc="E97605F0">
      <w:start w:val="1"/>
      <w:numFmt w:val="decimal"/>
      <w:isLgl/>
      <w:lvlText w:val="%1.%2.%3.%4.%5.%6.%7.%8.%9"/>
      <w:lvlJc w:val="left"/>
      <w:pPr>
        <w:ind w:left="1800" w:hanging="1800"/>
      </w:pPr>
      <w:rPr>
        <w:rFonts w:hint="default"/>
      </w:rPr>
    </w:lvl>
  </w:abstractNum>
  <w:abstractNum w:abstractNumId="17"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6CF416B"/>
    <w:multiLevelType w:val="hybridMultilevel"/>
    <w:tmpl w:val="C3ECAD3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D05B4B"/>
    <w:multiLevelType w:val="hybridMultilevel"/>
    <w:tmpl w:val="3FA8675A"/>
    <w:lvl w:ilvl="0" w:tplc="BBF681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CD642C"/>
    <w:multiLevelType w:val="hybridMultilevel"/>
    <w:tmpl w:val="4DDC80E2"/>
    <w:lvl w:ilvl="0" w:tplc="F160A228">
      <w:start w:val="1"/>
      <w:numFmt w:val="bullet"/>
      <w:lvlText w:val=""/>
      <w:lvlJc w:val="left"/>
      <w:pPr>
        <w:ind w:left="720" w:hanging="360"/>
      </w:pPr>
      <w:rPr>
        <w:rFonts w:ascii="Symbol" w:hAnsi="Symbol" w:hint="default"/>
      </w:rPr>
    </w:lvl>
    <w:lvl w:ilvl="1" w:tplc="46301BF4">
      <w:start w:val="1"/>
      <w:numFmt w:val="bullet"/>
      <w:lvlText w:val="o"/>
      <w:lvlJc w:val="left"/>
      <w:pPr>
        <w:ind w:left="1440" w:hanging="360"/>
      </w:pPr>
      <w:rPr>
        <w:rFonts w:ascii="Courier New" w:hAnsi="Courier New" w:hint="default"/>
      </w:rPr>
    </w:lvl>
    <w:lvl w:ilvl="2" w:tplc="A716894A">
      <w:start w:val="1"/>
      <w:numFmt w:val="bullet"/>
      <w:lvlText w:val=""/>
      <w:lvlJc w:val="left"/>
      <w:pPr>
        <w:ind w:left="2160" w:hanging="360"/>
      </w:pPr>
      <w:rPr>
        <w:rFonts w:ascii="Wingdings" w:hAnsi="Wingdings" w:hint="default"/>
      </w:rPr>
    </w:lvl>
    <w:lvl w:ilvl="3" w:tplc="77F44C68">
      <w:start w:val="1"/>
      <w:numFmt w:val="bullet"/>
      <w:lvlText w:val=""/>
      <w:lvlJc w:val="left"/>
      <w:pPr>
        <w:ind w:left="2880" w:hanging="360"/>
      </w:pPr>
      <w:rPr>
        <w:rFonts w:ascii="Symbol" w:hAnsi="Symbol" w:hint="default"/>
      </w:rPr>
    </w:lvl>
    <w:lvl w:ilvl="4" w:tplc="8DA6B336">
      <w:start w:val="1"/>
      <w:numFmt w:val="bullet"/>
      <w:lvlText w:val="o"/>
      <w:lvlJc w:val="left"/>
      <w:pPr>
        <w:ind w:left="3600" w:hanging="360"/>
      </w:pPr>
      <w:rPr>
        <w:rFonts w:ascii="Courier New" w:hAnsi="Courier New" w:hint="default"/>
      </w:rPr>
    </w:lvl>
    <w:lvl w:ilvl="5" w:tplc="9A3EC5C2">
      <w:start w:val="1"/>
      <w:numFmt w:val="bullet"/>
      <w:lvlText w:val=""/>
      <w:lvlJc w:val="left"/>
      <w:pPr>
        <w:ind w:left="4320" w:hanging="360"/>
      </w:pPr>
      <w:rPr>
        <w:rFonts w:ascii="Wingdings" w:hAnsi="Wingdings" w:hint="default"/>
      </w:rPr>
    </w:lvl>
    <w:lvl w:ilvl="6" w:tplc="1B968DEC">
      <w:start w:val="1"/>
      <w:numFmt w:val="bullet"/>
      <w:lvlText w:val=""/>
      <w:lvlJc w:val="left"/>
      <w:pPr>
        <w:ind w:left="5040" w:hanging="360"/>
      </w:pPr>
      <w:rPr>
        <w:rFonts w:ascii="Symbol" w:hAnsi="Symbol" w:hint="default"/>
      </w:rPr>
    </w:lvl>
    <w:lvl w:ilvl="7" w:tplc="0E82038E">
      <w:start w:val="1"/>
      <w:numFmt w:val="bullet"/>
      <w:lvlText w:val="o"/>
      <w:lvlJc w:val="left"/>
      <w:pPr>
        <w:ind w:left="5760" w:hanging="360"/>
      </w:pPr>
      <w:rPr>
        <w:rFonts w:ascii="Courier New" w:hAnsi="Courier New" w:hint="default"/>
      </w:rPr>
    </w:lvl>
    <w:lvl w:ilvl="8" w:tplc="D1648CB2">
      <w:start w:val="1"/>
      <w:numFmt w:val="bullet"/>
      <w:lvlText w:val=""/>
      <w:lvlJc w:val="left"/>
      <w:pPr>
        <w:ind w:left="6480" w:hanging="360"/>
      </w:pPr>
      <w:rPr>
        <w:rFonts w:ascii="Wingdings" w:hAnsi="Wingdings" w:hint="default"/>
      </w:rPr>
    </w:lvl>
  </w:abstractNum>
  <w:abstractNum w:abstractNumId="21" w15:restartNumberingAfterBreak="0">
    <w:nsid w:val="22F84A32"/>
    <w:multiLevelType w:val="hybridMultilevel"/>
    <w:tmpl w:val="FFFFFFFF"/>
    <w:lvl w:ilvl="0" w:tplc="34529F6E">
      <w:start w:val="1"/>
      <w:numFmt w:val="bullet"/>
      <w:lvlText w:val=""/>
      <w:lvlJc w:val="left"/>
      <w:pPr>
        <w:ind w:left="360" w:hanging="360"/>
      </w:pPr>
      <w:rPr>
        <w:rFonts w:ascii="Symbol" w:hAnsi="Symbol" w:hint="default"/>
      </w:rPr>
    </w:lvl>
    <w:lvl w:ilvl="1" w:tplc="D9D41F92">
      <w:start w:val="1"/>
      <w:numFmt w:val="bullet"/>
      <w:lvlText w:val="o"/>
      <w:lvlJc w:val="left"/>
      <w:pPr>
        <w:ind w:left="1080" w:hanging="360"/>
      </w:pPr>
      <w:rPr>
        <w:rFonts w:ascii="Courier New" w:hAnsi="Courier New" w:hint="default"/>
      </w:rPr>
    </w:lvl>
    <w:lvl w:ilvl="2" w:tplc="ABAC9AAC">
      <w:start w:val="1"/>
      <w:numFmt w:val="bullet"/>
      <w:lvlText w:val=""/>
      <w:lvlJc w:val="left"/>
      <w:pPr>
        <w:ind w:left="1800" w:hanging="360"/>
      </w:pPr>
      <w:rPr>
        <w:rFonts w:ascii="Wingdings" w:hAnsi="Wingdings" w:hint="default"/>
      </w:rPr>
    </w:lvl>
    <w:lvl w:ilvl="3" w:tplc="3C98ED28">
      <w:start w:val="1"/>
      <w:numFmt w:val="bullet"/>
      <w:lvlText w:val=""/>
      <w:lvlJc w:val="left"/>
      <w:pPr>
        <w:ind w:left="2520" w:hanging="360"/>
      </w:pPr>
      <w:rPr>
        <w:rFonts w:ascii="Symbol" w:hAnsi="Symbol" w:hint="default"/>
      </w:rPr>
    </w:lvl>
    <w:lvl w:ilvl="4" w:tplc="AD0417EA">
      <w:start w:val="1"/>
      <w:numFmt w:val="bullet"/>
      <w:lvlText w:val="o"/>
      <w:lvlJc w:val="left"/>
      <w:pPr>
        <w:ind w:left="3240" w:hanging="360"/>
      </w:pPr>
      <w:rPr>
        <w:rFonts w:ascii="Courier New" w:hAnsi="Courier New" w:hint="default"/>
      </w:rPr>
    </w:lvl>
    <w:lvl w:ilvl="5" w:tplc="D65E4B76">
      <w:start w:val="1"/>
      <w:numFmt w:val="bullet"/>
      <w:lvlText w:val=""/>
      <w:lvlJc w:val="left"/>
      <w:pPr>
        <w:ind w:left="3960" w:hanging="360"/>
      </w:pPr>
      <w:rPr>
        <w:rFonts w:ascii="Wingdings" w:hAnsi="Wingdings" w:hint="default"/>
      </w:rPr>
    </w:lvl>
    <w:lvl w:ilvl="6" w:tplc="3DEAA1B4">
      <w:start w:val="1"/>
      <w:numFmt w:val="bullet"/>
      <w:lvlText w:val=""/>
      <w:lvlJc w:val="left"/>
      <w:pPr>
        <w:ind w:left="4680" w:hanging="360"/>
      </w:pPr>
      <w:rPr>
        <w:rFonts w:ascii="Symbol" w:hAnsi="Symbol" w:hint="default"/>
      </w:rPr>
    </w:lvl>
    <w:lvl w:ilvl="7" w:tplc="1D025F54">
      <w:start w:val="1"/>
      <w:numFmt w:val="bullet"/>
      <w:lvlText w:val="o"/>
      <w:lvlJc w:val="left"/>
      <w:pPr>
        <w:ind w:left="5400" w:hanging="360"/>
      </w:pPr>
      <w:rPr>
        <w:rFonts w:ascii="Courier New" w:hAnsi="Courier New" w:hint="default"/>
      </w:rPr>
    </w:lvl>
    <w:lvl w:ilvl="8" w:tplc="854E9E66">
      <w:start w:val="1"/>
      <w:numFmt w:val="bullet"/>
      <w:lvlText w:val=""/>
      <w:lvlJc w:val="left"/>
      <w:pPr>
        <w:ind w:left="6120" w:hanging="360"/>
      </w:pPr>
      <w:rPr>
        <w:rFonts w:ascii="Wingdings" w:hAnsi="Wingdings" w:hint="default"/>
      </w:rPr>
    </w:lvl>
  </w:abstractNum>
  <w:abstractNum w:abstractNumId="22" w15:restartNumberingAfterBreak="0">
    <w:nsid w:val="295D06A0"/>
    <w:multiLevelType w:val="hybridMultilevel"/>
    <w:tmpl w:val="CDB67F5E"/>
    <w:lvl w:ilvl="0" w:tplc="C69E146A">
      <w:start w:val="1"/>
      <w:numFmt w:val="bullet"/>
      <w:lvlText w:val=""/>
      <w:lvlJc w:val="left"/>
      <w:pPr>
        <w:ind w:left="720" w:hanging="360"/>
      </w:pPr>
      <w:rPr>
        <w:rFonts w:ascii="Symbol" w:hAnsi="Symbol" w:hint="default"/>
      </w:rPr>
    </w:lvl>
    <w:lvl w:ilvl="1" w:tplc="A3B62EFE">
      <w:start w:val="1"/>
      <w:numFmt w:val="bullet"/>
      <w:lvlText w:val="o"/>
      <w:lvlJc w:val="left"/>
      <w:pPr>
        <w:ind w:left="1440" w:hanging="360"/>
      </w:pPr>
      <w:rPr>
        <w:rFonts w:ascii="Courier New" w:hAnsi="Courier New" w:hint="default"/>
      </w:rPr>
    </w:lvl>
    <w:lvl w:ilvl="2" w:tplc="42F63A0E">
      <w:start w:val="1"/>
      <w:numFmt w:val="bullet"/>
      <w:lvlText w:val=""/>
      <w:lvlJc w:val="left"/>
      <w:pPr>
        <w:ind w:left="2160" w:hanging="360"/>
      </w:pPr>
      <w:rPr>
        <w:rFonts w:ascii="Wingdings" w:hAnsi="Wingdings" w:hint="default"/>
      </w:rPr>
    </w:lvl>
    <w:lvl w:ilvl="3" w:tplc="7D5A6684">
      <w:start w:val="1"/>
      <w:numFmt w:val="bullet"/>
      <w:lvlText w:val=""/>
      <w:lvlJc w:val="left"/>
      <w:pPr>
        <w:ind w:left="2880" w:hanging="360"/>
      </w:pPr>
      <w:rPr>
        <w:rFonts w:ascii="Symbol" w:hAnsi="Symbol" w:hint="default"/>
      </w:rPr>
    </w:lvl>
    <w:lvl w:ilvl="4" w:tplc="399CA570">
      <w:start w:val="1"/>
      <w:numFmt w:val="bullet"/>
      <w:lvlText w:val="o"/>
      <w:lvlJc w:val="left"/>
      <w:pPr>
        <w:ind w:left="3600" w:hanging="360"/>
      </w:pPr>
      <w:rPr>
        <w:rFonts w:ascii="Courier New" w:hAnsi="Courier New" w:hint="default"/>
      </w:rPr>
    </w:lvl>
    <w:lvl w:ilvl="5" w:tplc="38101968">
      <w:start w:val="1"/>
      <w:numFmt w:val="bullet"/>
      <w:lvlText w:val=""/>
      <w:lvlJc w:val="left"/>
      <w:pPr>
        <w:ind w:left="4320" w:hanging="360"/>
      </w:pPr>
      <w:rPr>
        <w:rFonts w:ascii="Wingdings" w:hAnsi="Wingdings" w:hint="default"/>
      </w:rPr>
    </w:lvl>
    <w:lvl w:ilvl="6" w:tplc="2AAA10AA">
      <w:start w:val="1"/>
      <w:numFmt w:val="bullet"/>
      <w:lvlText w:val=""/>
      <w:lvlJc w:val="left"/>
      <w:pPr>
        <w:ind w:left="5040" w:hanging="360"/>
      </w:pPr>
      <w:rPr>
        <w:rFonts w:ascii="Symbol" w:hAnsi="Symbol" w:hint="default"/>
      </w:rPr>
    </w:lvl>
    <w:lvl w:ilvl="7" w:tplc="B9044F8C">
      <w:start w:val="1"/>
      <w:numFmt w:val="bullet"/>
      <w:lvlText w:val="o"/>
      <w:lvlJc w:val="left"/>
      <w:pPr>
        <w:ind w:left="5760" w:hanging="360"/>
      </w:pPr>
      <w:rPr>
        <w:rFonts w:ascii="Courier New" w:hAnsi="Courier New" w:hint="default"/>
      </w:rPr>
    </w:lvl>
    <w:lvl w:ilvl="8" w:tplc="041E2DA2">
      <w:start w:val="1"/>
      <w:numFmt w:val="bullet"/>
      <w:lvlText w:val=""/>
      <w:lvlJc w:val="left"/>
      <w:pPr>
        <w:ind w:left="6480" w:hanging="360"/>
      </w:pPr>
      <w:rPr>
        <w:rFonts w:ascii="Wingdings" w:hAnsi="Wingdings" w:hint="default"/>
      </w:rPr>
    </w:lvl>
  </w:abstractNum>
  <w:abstractNum w:abstractNumId="23"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24" w15:restartNumberingAfterBreak="0">
    <w:nsid w:val="2D7927BC"/>
    <w:multiLevelType w:val="hybridMultilevel"/>
    <w:tmpl w:val="564CF7C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5" w15:restartNumberingAfterBreak="0">
    <w:nsid w:val="31302938"/>
    <w:multiLevelType w:val="hybridMultilevel"/>
    <w:tmpl w:val="FFFFFFFF"/>
    <w:lvl w:ilvl="0" w:tplc="0EE0003C">
      <w:start w:val="1"/>
      <w:numFmt w:val="bullet"/>
      <w:lvlText w:val=""/>
      <w:lvlJc w:val="left"/>
      <w:pPr>
        <w:ind w:left="720" w:hanging="360"/>
      </w:pPr>
      <w:rPr>
        <w:rFonts w:ascii="Symbol" w:hAnsi="Symbol" w:hint="default"/>
      </w:rPr>
    </w:lvl>
    <w:lvl w:ilvl="1" w:tplc="5E3EC9B0">
      <w:start w:val="1"/>
      <w:numFmt w:val="bullet"/>
      <w:lvlText w:val="o"/>
      <w:lvlJc w:val="left"/>
      <w:pPr>
        <w:ind w:left="1440" w:hanging="360"/>
      </w:pPr>
      <w:rPr>
        <w:rFonts w:ascii="Courier New" w:hAnsi="Courier New" w:hint="default"/>
      </w:rPr>
    </w:lvl>
    <w:lvl w:ilvl="2" w:tplc="FF1A3D36">
      <w:start w:val="1"/>
      <w:numFmt w:val="bullet"/>
      <w:lvlText w:val=""/>
      <w:lvlJc w:val="left"/>
      <w:pPr>
        <w:ind w:left="2160" w:hanging="360"/>
      </w:pPr>
      <w:rPr>
        <w:rFonts w:ascii="Wingdings" w:hAnsi="Wingdings" w:hint="default"/>
      </w:rPr>
    </w:lvl>
    <w:lvl w:ilvl="3" w:tplc="90D6CE94">
      <w:start w:val="1"/>
      <w:numFmt w:val="bullet"/>
      <w:lvlText w:val=""/>
      <w:lvlJc w:val="left"/>
      <w:pPr>
        <w:ind w:left="2880" w:hanging="360"/>
      </w:pPr>
      <w:rPr>
        <w:rFonts w:ascii="Symbol" w:hAnsi="Symbol" w:hint="default"/>
      </w:rPr>
    </w:lvl>
    <w:lvl w:ilvl="4" w:tplc="907E9ECC">
      <w:start w:val="1"/>
      <w:numFmt w:val="bullet"/>
      <w:lvlText w:val="o"/>
      <w:lvlJc w:val="left"/>
      <w:pPr>
        <w:ind w:left="3600" w:hanging="360"/>
      </w:pPr>
      <w:rPr>
        <w:rFonts w:ascii="Courier New" w:hAnsi="Courier New" w:hint="default"/>
      </w:rPr>
    </w:lvl>
    <w:lvl w:ilvl="5" w:tplc="7E16A3AE">
      <w:start w:val="1"/>
      <w:numFmt w:val="bullet"/>
      <w:lvlText w:val=""/>
      <w:lvlJc w:val="left"/>
      <w:pPr>
        <w:ind w:left="4320" w:hanging="360"/>
      </w:pPr>
      <w:rPr>
        <w:rFonts w:ascii="Wingdings" w:hAnsi="Wingdings" w:hint="default"/>
      </w:rPr>
    </w:lvl>
    <w:lvl w:ilvl="6" w:tplc="DE644DAE">
      <w:start w:val="1"/>
      <w:numFmt w:val="bullet"/>
      <w:lvlText w:val=""/>
      <w:lvlJc w:val="left"/>
      <w:pPr>
        <w:ind w:left="5040" w:hanging="360"/>
      </w:pPr>
      <w:rPr>
        <w:rFonts w:ascii="Symbol" w:hAnsi="Symbol" w:hint="default"/>
      </w:rPr>
    </w:lvl>
    <w:lvl w:ilvl="7" w:tplc="6BB686E6">
      <w:start w:val="1"/>
      <w:numFmt w:val="bullet"/>
      <w:lvlText w:val="o"/>
      <w:lvlJc w:val="left"/>
      <w:pPr>
        <w:ind w:left="5760" w:hanging="360"/>
      </w:pPr>
      <w:rPr>
        <w:rFonts w:ascii="Courier New" w:hAnsi="Courier New" w:hint="default"/>
      </w:rPr>
    </w:lvl>
    <w:lvl w:ilvl="8" w:tplc="AE962674">
      <w:start w:val="1"/>
      <w:numFmt w:val="bullet"/>
      <w:lvlText w:val=""/>
      <w:lvlJc w:val="left"/>
      <w:pPr>
        <w:ind w:left="6480" w:hanging="360"/>
      </w:pPr>
      <w:rPr>
        <w:rFonts w:ascii="Wingdings" w:hAnsi="Wingdings" w:hint="default"/>
      </w:rPr>
    </w:lvl>
  </w:abstractNum>
  <w:abstractNum w:abstractNumId="26" w15:restartNumberingAfterBreak="0">
    <w:nsid w:val="31D8688B"/>
    <w:multiLevelType w:val="hybridMultilevel"/>
    <w:tmpl w:val="B450E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2F39F7"/>
    <w:multiLevelType w:val="hybridMultilevel"/>
    <w:tmpl w:val="D8442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34055B"/>
    <w:multiLevelType w:val="hybridMultilevel"/>
    <w:tmpl w:val="3E5E071E"/>
    <w:lvl w:ilvl="0" w:tplc="BBF6815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E5F0523"/>
    <w:multiLevelType w:val="hybridMultilevel"/>
    <w:tmpl w:val="FFFFFFFF"/>
    <w:lvl w:ilvl="0" w:tplc="76AE8BB2">
      <w:start w:val="1"/>
      <w:numFmt w:val="lowerRoman"/>
      <w:lvlText w:val="%1."/>
      <w:lvlJc w:val="right"/>
      <w:pPr>
        <w:ind w:left="720" w:hanging="360"/>
      </w:pPr>
    </w:lvl>
    <w:lvl w:ilvl="1" w:tplc="B4BAFAC2">
      <w:start w:val="1"/>
      <w:numFmt w:val="lowerLetter"/>
      <w:lvlText w:val="%2."/>
      <w:lvlJc w:val="left"/>
      <w:pPr>
        <w:ind w:left="1440" w:hanging="360"/>
      </w:pPr>
    </w:lvl>
    <w:lvl w:ilvl="2" w:tplc="79AE7FBC">
      <w:start w:val="1"/>
      <w:numFmt w:val="lowerRoman"/>
      <w:lvlText w:val="%3."/>
      <w:lvlJc w:val="right"/>
      <w:pPr>
        <w:ind w:left="2160" w:hanging="180"/>
      </w:pPr>
    </w:lvl>
    <w:lvl w:ilvl="3" w:tplc="E36C5066">
      <w:start w:val="1"/>
      <w:numFmt w:val="decimal"/>
      <w:lvlText w:val="%4."/>
      <w:lvlJc w:val="left"/>
      <w:pPr>
        <w:ind w:left="2880" w:hanging="360"/>
      </w:pPr>
    </w:lvl>
    <w:lvl w:ilvl="4" w:tplc="CA7A380C">
      <w:start w:val="1"/>
      <w:numFmt w:val="lowerLetter"/>
      <w:lvlText w:val="%5."/>
      <w:lvlJc w:val="left"/>
      <w:pPr>
        <w:ind w:left="3600" w:hanging="360"/>
      </w:pPr>
    </w:lvl>
    <w:lvl w:ilvl="5" w:tplc="A0369FFC">
      <w:start w:val="1"/>
      <w:numFmt w:val="lowerRoman"/>
      <w:lvlText w:val="%6."/>
      <w:lvlJc w:val="right"/>
      <w:pPr>
        <w:ind w:left="4320" w:hanging="180"/>
      </w:pPr>
    </w:lvl>
    <w:lvl w:ilvl="6" w:tplc="20105E40">
      <w:start w:val="1"/>
      <w:numFmt w:val="decimal"/>
      <w:lvlText w:val="%7."/>
      <w:lvlJc w:val="left"/>
      <w:pPr>
        <w:ind w:left="5040" w:hanging="360"/>
      </w:pPr>
    </w:lvl>
    <w:lvl w:ilvl="7" w:tplc="30BAA11C">
      <w:start w:val="1"/>
      <w:numFmt w:val="lowerLetter"/>
      <w:lvlText w:val="%8."/>
      <w:lvlJc w:val="left"/>
      <w:pPr>
        <w:ind w:left="5760" w:hanging="360"/>
      </w:pPr>
    </w:lvl>
    <w:lvl w:ilvl="8" w:tplc="5E34660A">
      <w:start w:val="1"/>
      <w:numFmt w:val="lowerRoman"/>
      <w:lvlText w:val="%9."/>
      <w:lvlJc w:val="right"/>
      <w:pPr>
        <w:ind w:left="6480" w:hanging="180"/>
      </w:pPr>
    </w:lvl>
  </w:abstractNum>
  <w:abstractNum w:abstractNumId="30" w15:restartNumberingAfterBreak="0">
    <w:nsid w:val="3EBA2F21"/>
    <w:multiLevelType w:val="hybridMultilevel"/>
    <w:tmpl w:val="9B8E3E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0C86951"/>
    <w:multiLevelType w:val="hybridMultilevel"/>
    <w:tmpl w:val="FFFFFFFF"/>
    <w:lvl w:ilvl="0" w:tplc="40348844">
      <w:start w:val="1"/>
      <w:numFmt w:val="bullet"/>
      <w:lvlText w:val=""/>
      <w:lvlJc w:val="left"/>
      <w:pPr>
        <w:ind w:left="720" w:hanging="360"/>
      </w:pPr>
      <w:rPr>
        <w:rFonts w:ascii="Symbol" w:hAnsi="Symbol" w:hint="default"/>
      </w:rPr>
    </w:lvl>
    <w:lvl w:ilvl="1" w:tplc="3D0EBB7E">
      <w:start w:val="1"/>
      <w:numFmt w:val="bullet"/>
      <w:lvlText w:val="o"/>
      <w:lvlJc w:val="left"/>
      <w:pPr>
        <w:ind w:left="1440" w:hanging="360"/>
      </w:pPr>
      <w:rPr>
        <w:rFonts w:ascii="Courier New" w:hAnsi="Courier New" w:hint="default"/>
      </w:rPr>
    </w:lvl>
    <w:lvl w:ilvl="2" w:tplc="783E812E">
      <w:start w:val="1"/>
      <w:numFmt w:val="bullet"/>
      <w:lvlText w:val=""/>
      <w:lvlJc w:val="left"/>
      <w:pPr>
        <w:ind w:left="2160" w:hanging="360"/>
      </w:pPr>
      <w:rPr>
        <w:rFonts w:ascii="Wingdings" w:hAnsi="Wingdings" w:hint="default"/>
      </w:rPr>
    </w:lvl>
    <w:lvl w:ilvl="3" w:tplc="2EE0C0E4">
      <w:start w:val="1"/>
      <w:numFmt w:val="bullet"/>
      <w:lvlText w:val=""/>
      <w:lvlJc w:val="left"/>
      <w:pPr>
        <w:ind w:left="2880" w:hanging="360"/>
      </w:pPr>
      <w:rPr>
        <w:rFonts w:ascii="Symbol" w:hAnsi="Symbol" w:hint="default"/>
      </w:rPr>
    </w:lvl>
    <w:lvl w:ilvl="4" w:tplc="8CD07CC0">
      <w:start w:val="1"/>
      <w:numFmt w:val="bullet"/>
      <w:lvlText w:val="o"/>
      <w:lvlJc w:val="left"/>
      <w:pPr>
        <w:ind w:left="3600" w:hanging="360"/>
      </w:pPr>
      <w:rPr>
        <w:rFonts w:ascii="Courier New" w:hAnsi="Courier New" w:hint="default"/>
      </w:rPr>
    </w:lvl>
    <w:lvl w:ilvl="5" w:tplc="452C1E16">
      <w:start w:val="1"/>
      <w:numFmt w:val="bullet"/>
      <w:lvlText w:val=""/>
      <w:lvlJc w:val="left"/>
      <w:pPr>
        <w:ind w:left="4320" w:hanging="360"/>
      </w:pPr>
      <w:rPr>
        <w:rFonts w:ascii="Wingdings" w:hAnsi="Wingdings" w:hint="default"/>
      </w:rPr>
    </w:lvl>
    <w:lvl w:ilvl="6" w:tplc="8D2C5BAA">
      <w:start w:val="1"/>
      <w:numFmt w:val="bullet"/>
      <w:lvlText w:val=""/>
      <w:lvlJc w:val="left"/>
      <w:pPr>
        <w:ind w:left="5040" w:hanging="360"/>
      </w:pPr>
      <w:rPr>
        <w:rFonts w:ascii="Symbol" w:hAnsi="Symbol" w:hint="default"/>
      </w:rPr>
    </w:lvl>
    <w:lvl w:ilvl="7" w:tplc="E6168B3A">
      <w:start w:val="1"/>
      <w:numFmt w:val="bullet"/>
      <w:lvlText w:val="o"/>
      <w:lvlJc w:val="left"/>
      <w:pPr>
        <w:ind w:left="5760" w:hanging="360"/>
      </w:pPr>
      <w:rPr>
        <w:rFonts w:ascii="Courier New" w:hAnsi="Courier New" w:hint="default"/>
      </w:rPr>
    </w:lvl>
    <w:lvl w:ilvl="8" w:tplc="9F5ACF22">
      <w:start w:val="1"/>
      <w:numFmt w:val="bullet"/>
      <w:lvlText w:val=""/>
      <w:lvlJc w:val="left"/>
      <w:pPr>
        <w:ind w:left="6480" w:hanging="360"/>
      </w:pPr>
      <w:rPr>
        <w:rFonts w:ascii="Wingdings" w:hAnsi="Wingdings" w:hint="default"/>
      </w:rPr>
    </w:lvl>
  </w:abstractNum>
  <w:abstractNum w:abstractNumId="32" w15:restartNumberingAfterBreak="0">
    <w:nsid w:val="4383384F"/>
    <w:multiLevelType w:val="hybridMultilevel"/>
    <w:tmpl w:val="FFFFFFFF"/>
    <w:lvl w:ilvl="0" w:tplc="C194D020">
      <w:start w:val="1"/>
      <w:numFmt w:val="decimal"/>
      <w:lvlText w:val="%1."/>
      <w:lvlJc w:val="left"/>
      <w:pPr>
        <w:ind w:left="720" w:hanging="360"/>
      </w:pPr>
    </w:lvl>
    <w:lvl w:ilvl="1" w:tplc="FDDA1D62">
      <w:start w:val="1"/>
      <w:numFmt w:val="lowerLetter"/>
      <w:lvlText w:val="%2."/>
      <w:lvlJc w:val="left"/>
      <w:pPr>
        <w:ind w:left="1440" w:hanging="360"/>
      </w:pPr>
    </w:lvl>
    <w:lvl w:ilvl="2" w:tplc="7F78ACF2">
      <w:start w:val="1"/>
      <w:numFmt w:val="lowerRoman"/>
      <w:lvlText w:val="%3."/>
      <w:lvlJc w:val="right"/>
      <w:pPr>
        <w:ind w:left="2160" w:hanging="180"/>
      </w:pPr>
    </w:lvl>
    <w:lvl w:ilvl="3" w:tplc="73F4B8D4">
      <w:start w:val="1"/>
      <w:numFmt w:val="decimal"/>
      <w:lvlText w:val="%4."/>
      <w:lvlJc w:val="left"/>
      <w:pPr>
        <w:ind w:left="2880" w:hanging="360"/>
      </w:pPr>
    </w:lvl>
    <w:lvl w:ilvl="4" w:tplc="3A9CE5CC">
      <w:start w:val="1"/>
      <w:numFmt w:val="lowerLetter"/>
      <w:lvlText w:val="%5."/>
      <w:lvlJc w:val="left"/>
      <w:pPr>
        <w:ind w:left="3600" w:hanging="360"/>
      </w:pPr>
    </w:lvl>
    <w:lvl w:ilvl="5" w:tplc="6AC2EBE0">
      <w:start w:val="1"/>
      <w:numFmt w:val="lowerRoman"/>
      <w:lvlText w:val="%6."/>
      <w:lvlJc w:val="right"/>
      <w:pPr>
        <w:ind w:left="4320" w:hanging="180"/>
      </w:pPr>
    </w:lvl>
    <w:lvl w:ilvl="6" w:tplc="99668DCA">
      <w:start w:val="1"/>
      <w:numFmt w:val="decimal"/>
      <w:lvlText w:val="%7."/>
      <w:lvlJc w:val="left"/>
      <w:pPr>
        <w:ind w:left="5040" w:hanging="360"/>
      </w:pPr>
    </w:lvl>
    <w:lvl w:ilvl="7" w:tplc="F67EF124">
      <w:start w:val="1"/>
      <w:numFmt w:val="lowerLetter"/>
      <w:lvlText w:val="%8."/>
      <w:lvlJc w:val="left"/>
      <w:pPr>
        <w:ind w:left="5760" w:hanging="360"/>
      </w:pPr>
    </w:lvl>
    <w:lvl w:ilvl="8" w:tplc="773A8842">
      <w:start w:val="1"/>
      <w:numFmt w:val="lowerRoman"/>
      <w:lvlText w:val="%9."/>
      <w:lvlJc w:val="right"/>
      <w:pPr>
        <w:ind w:left="6480" w:hanging="180"/>
      </w:pPr>
    </w:lvl>
  </w:abstractNum>
  <w:abstractNum w:abstractNumId="33" w15:restartNumberingAfterBreak="0">
    <w:nsid w:val="44687C44"/>
    <w:multiLevelType w:val="hybridMultilevel"/>
    <w:tmpl w:val="B34A9398"/>
    <w:lvl w:ilvl="0" w:tplc="BC6AABE8">
      <w:start w:val="1"/>
      <w:numFmt w:val="bullet"/>
      <w:lvlText w:val=""/>
      <w:lvlJc w:val="left"/>
      <w:pPr>
        <w:tabs>
          <w:tab w:val="num" w:pos="720"/>
        </w:tabs>
        <w:ind w:left="720" w:hanging="360"/>
      </w:pPr>
      <w:rPr>
        <w:rFonts w:ascii="Symbol" w:hAnsi="Symbol" w:hint="default"/>
        <w:sz w:val="20"/>
      </w:rPr>
    </w:lvl>
    <w:lvl w:ilvl="1" w:tplc="8D06BB2A">
      <w:numFmt w:val="bullet"/>
      <w:lvlText w:val="-"/>
      <w:lvlJc w:val="left"/>
      <w:pPr>
        <w:ind w:left="1440" w:hanging="360"/>
      </w:pPr>
      <w:rPr>
        <w:rFonts w:ascii="Calibri" w:eastAsiaTheme="minorHAnsi" w:hAnsi="Calibri" w:cs="Calibri" w:hint="default"/>
      </w:rPr>
    </w:lvl>
    <w:lvl w:ilvl="2" w:tplc="E4705C9E" w:tentative="1">
      <w:start w:val="1"/>
      <w:numFmt w:val="bullet"/>
      <w:lvlText w:val=""/>
      <w:lvlJc w:val="left"/>
      <w:pPr>
        <w:tabs>
          <w:tab w:val="num" w:pos="2160"/>
        </w:tabs>
        <w:ind w:left="2160" w:hanging="360"/>
      </w:pPr>
      <w:rPr>
        <w:rFonts w:ascii="Symbol" w:hAnsi="Symbol" w:hint="default"/>
        <w:sz w:val="20"/>
      </w:rPr>
    </w:lvl>
    <w:lvl w:ilvl="3" w:tplc="8CC87BEC" w:tentative="1">
      <w:start w:val="1"/>
      <w:numFmt w:val="bullet"/>
      <w:lvlText w:val=""/>
      <w:lvlJc w:val="left"/>
      <w:pPr>
        <w:tabs>
          <w:tab w:val="num" w:pos="2880"/>
        </w:tabs>
        <w:ind w:left="2880" w:hanging="360"/>
      </w:pPr>
      <w:rPr>
        <w:rFonts w:ascii="Symbol" w:hAnsi="Symbol" w:hint="default"/>
        <w:sz w:val="20"/>
      </w:rPr>
    </w:lvl>
    <w:lvl w:ilvl="4" w:tplc="97FAD6F6" w:tentative="1">
      <w:start w:val="1"/>
      <w:numFmt w:val="bullet"/>
      <w:lvlText w:val=""/>
      <w:lvlJc w:val="left"/>
      <w:pPr>
        <w:tabs>
          <w:tab w:val="num" w:pos="3600"/>
        </w:tabs>
        <w:ind w:left="3600" w:hanging="360"/>
      </w:pPr>
      <w:rPr>
        <w:rFonts w:ascii="Symbol" w:hAnsi="Symbol" w:hint="default"/>
        <w:sz w:val="20"/>
      </w:rPr>
    </w:lvl>
    <w:lvl w:ilvl="5" w:tplc="3FC6E0CA" w:tentative="1">
      <w:start w:val="1"/>
      <w:numFmt w:val="bullet"/>
      <w:lvlText w:val=""/>
      <w:lvlJc w:val="left"/>
      <w:pPr>
        <w:tabs>
          <w:tab w:val="num" w:pos="4320"/>
        </w:tabs>
        <w:ind w:left="4320" w:hanging="360"/>
      </w:pPr>
      <w:rPr>
        <w:rFonts w:ascii="Symbol" w:hAnsi="Symbol" w:hint="default"/>
        <w:sz w:val="20"/>
      </w:rPr>
    </w:lvl>
    <w:lvl w:ilvl="6" w:tplc="215C15D0" w:tentative="1">
      <w:start w:val="1"/>
      <w:numFmt w:val="bullet"/>
      <w:lvlText w:val=""/>
      <w:lvlJc w:val="left"/>
      <w:pPr>
        <w:tabs>
          <w:tab w:val="num" w:pos="5040"/>
        </w:tabs>
        <w:ind w:left="5040" w:hanging="360"/>
      </w:pPr>
      <w:rPr>
        <w:rFonts w:ascii="Symbol" w:hAnsi="Symbol" w:hint="default"/>
        <w:sz w:val="20"/>
      </w:rPr>
    </w:lvl>
    <w:lvl w:ilvl="7" w:tplc="0BA0718A" w:tentative="1">
      <w:start w:val="1"/>
      <w:numFmt w:val="bullet"/>
      <w:lvlText w:val=""/>
      <w:lvlJc w:val="left"/>
      <w:pPr>
        <w:tabs>
          <w:tab w:val="num" w:pos="5760"/>
        </w:tabs>
        <w:ind w:left="5760" w:hanging="360"/>
      </w:pPr>
      <w:rPr>
        <w:rFonts w:ascii="Symbol" w:hAnsi="Symbol" w:hint="default"/>
        <w:sz w:val="20"/>
      </w:rPr>
    </w:lvl>
    <w:lvl w:ilvl="8" w:tplc="19DA2C10"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64B6954"/>
    <w:multiLevelType w:val="hybridMultilevel"/>
    <w:tmpl w:val="3126D4E6"/>
    <w:lvl w:ilvl="0" w:tplc="09D23AA2">
      <w:start w:val="1"/>
      <w:numFmt w:val="bullet"/>
      <w:lvlText w:val=""/>
      <w:lvlJc w:val="left"/>
      <w:pPr>
        <w:ind w:left="720" w:hanging="360"/>
      </w:pPr>
      <w:rPr>
        <w:rFonts w:ascii="Symbol" w:hAnsi="Symbol" w:hint="default"/>
      </w:rPr>
    </w:lvl>
    <w:lvl w:ilvl="1" w:tplc="DDD01CC8">
      <w:start w:val="1"/>
      <w:numFmt w:val="bullet"/>
      <w:lvlText w:val="o"/>
      <w:lvlJc w:val="left"/>
      <w:pPr>
        <w:ind w:left="1440" w:hanging="360"/>
      </w:pPr>
      <w:rPr>
        <w:rFonts w:ascii="Courier New" w:hAnsi="Courier New" w:hint="default"/>
      </w:rPr>
    </w:lvl>
    <w:lvl w:ilvl="2" w:tplc="7F1E1F78">
      <w:start w:val="1"/>
      <w:numFmt w:val="bullet"/>
      <w:lvlText w:val=""/>
      <w:lvlJc w:val="left"/>
      <w:pPr>
        <w:ind w:left="2160" w:hanging="360"/>
      </w:pPr>
      <w:rPr>
        <w:rFonts w:ascii="Wingdings" w:hAnsi="Wingdings" w:hint="default"/>
      </w:rPr>
    </w:lvl>
    <w:lvl w:ilvl="3" w:tplc="98F8F95C">
      <w:start w:val="1"/>
      <w:numFmt w:val="bullet"/>
      <w:lvlText w:val=""/>
      <w:lvlJc w:val="left"/>
      <w:pPr>
        <w:ind w:left="2880" w:hanging="360"/>
      </w:pPr>
      <w:rPr>
        <w:rFonts w:ascii="Symbol" w:hAnsi="Symbol" w:hint="default"/>
      </w:rPr>
    </w:lvl>
    <w:lvl w:ilvl="4" w:tplc="F1A01ACE">
      <w:start w:val="1"/>
      <w:numFmt w:val="bullet"/>
      <w:lvlText w:val="o"/>
      <w:lvlJc w:val="left"/>
      <w:pPr>
        <w:ind w:left="3600" w:hanging="360"/>
      </w:pPr>
      <w:rPr>
        <w:rFonts w:ascii="Courier New" w:hAnsi="Courier New" w:hint="default"/>
      </w:rPr>
    </w:lvl>
    <w:lvl w:ilvl="5" w:tplc="CB9823A2">
      <w:start w:val="1"/>
      <w:numFmt w:val="bullet"/>
      <w:lvlText w:val=""/>
      <w:lvlJc w:val="left"/>
      <w:pPr>
        <w:ind w:left="4320" w:hanging="360"/>
      </w:pPr>
      <w:rPr>
        <w:rFonts w:ascii="Wingdings" w:hAnsi="Wingdings" w:hint="default"/>
      </w:rPr>
    </w:lvl>
    <w:lvl w:ilvl="6" w:tplc="800CB93A">
      <w:start w:val="1"/>
      <w:numFmt w:val="bullet"/>
      <w:lvlText w:val=""/>
      <w:lvlJc w:val="left"/>
      <w:pPr>
        <w:ind w:left="5040" w:hanging="360"/>
      </w:pPr>
      <w:rPr>
        <w:rFonts w:ascii="Symbol" w:hAnsi="Symbol" w:hint="default"/>
      </w:rPr>
    </w:lvl>
    <w:lvl w:ilvl="7" w:tplc="9D8A6802">
      <w:start w:val="1"/>
      <w:numFmt w:val="bullet"/>
      <w:lvlText w:val="o"/>
      <w:lvlJc w:val="left"/>
      <w:pPr>
        <w:ind w:left="5760" w:hanging="360"/>
      </w:pPr>
      <w:rPr>
        <w:rFonts w:ascii="Courier New" w:hAnsi="Courier New" w:hint="default"/>
      </w:rPr>
    </w:lvl>
    <w:lvl w:ilvl="8" w:tplc="B1F80584">
      <w:start w:val="1"/>
      <w:numFmt w:val="bullet"/>
      <w:lvlText w:val=""/>
      <w:lvlJc w:val="left"/>
      <w:pPr>
        <w:ind w:left="6480" w:hanging="360"/>
      </w:pPr>
      <w:rPr>
        <w:rFonts w:ascii="Wingdings" w:hAnsi="Wingdings" w:hint="default"/>
      </w:rPr>
    </w:lvl>
  </w:abstractNum>
  <w:abstractNum w:abstractNumId="35" w15:restartNumberingAfterBreak="0">
    <w:nsid w:val="49D52C4E"/>
    <w:multiLevelType w:val="hybridMultilevel"/>
    <w:tmpl w:val="E19CB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AC239A1"/>
    <w:multiLevelType w:val="hybridMultilevel"/>
    <w:tmpl w:val="FFFFFFFF"/>
    <w:lvl w:ilvl="0" w:tplc="453C7190">
      <w:start w:val="1"/>
      <w:numFmt w:val="bullet"/>
      <w:lvlText w:val="·"/>
      <w:lvlJc w:val="left"/>
      <w:pPr>
        <w:ind w:left="720" w:hanging="360"/>
      </w:pPr>
      <w:rPr>
        <w:rFonts w:ascii="Symbol" w:hAnsi="Symbol" w:hint="default"/>
      </w:rPr>
    </w:lvl>
    <w:lvl w:ilvl="1" w:tplc="22124F8A">
      <w:start w:val="1"/>
      <w:numFmt w:val="bullet"/>
      <w:lvlText w:val="o"/>
      <w:lvlJc w:val="left"/>
      <w:pPr>
        <w:ind w:left="1440" w:hanging="360"/>
      </w:pPr>
      <w:rPr>
        <w:rFonts w:ascii="&quot;Courier New&quot;" w:hAnsi="&quot;Courier New&quot;" w:hint="default"/>
      </w:rPr>
    </w:lvl>
    <w:lvl w:ilvl="2" w:tplc="EA929568">
      <w:start w:val="1"/>
      <w:numFmt w:val="bullet"/>
      <w:lvlText w:val=""/>
      <w:lvlJc w:val="left"/>
      <w:pPr>
        <w:ind w:left="2160" w:hanging="360"/>
      </w:pPr>
      <w:rPr>
        <w:rFonts w:ascii="Wingdings" w:hAnsi="Wingdings" w:hint="default"/>
      </w:rPr>
    </w:lvl>
    <w:lvl w:ilvl="3" w:tplc="26725D8A">
      <w:start w:val="1"/>
      <w:numFmt w:val="bullet"/>
      <w:lvlText w:val=""/>
      <w:lvlJc w:val="left"/>
      <w:pPr>
        <w:ind w:left="2880" w:hanging="360"/>
      </w:pPr>
      <w:rPr>
        <w:rFonts w:ascii="Symbol" w:hAnsi="Symbol" w:hint="default"/>
      </w:rPr>
    </w:lvl>
    <w:lvl w:ilvl="4" w:tplc="E2DCBE2E">
      <w:start w:val="1"/>
      <w:numFmt w:val="bullet"/>
      <w:lvlText w:val="o"/>
      <w:lvlJc w:val="left"/>
      <w:pPr>
        <w:ind w:left="3600" w:hanging="360"/>
      </w:pPr>
      <w:rPr>
        <w:rFonts w:ascii="Courier New" w:hAnsi="Courier New" w:hint="default"/>
      </w:rPr>
    </w:lvl>
    <w:lvl w:ilvl="5" w:tplc="7EA276B6">
      <w:start w:val="1"/>
      <w:numFmt w:val="bullet"/>
      <w:lvlText w:val=""/>
      <w:lvlJc w:val="left"/>
      <w:pPr>
        <w:ind w:left="4320" w:hanging="360"/>
      </w:pPr>
      <w:rPr>
        <w:rFonts w:ascii="Wingdings" w:hAnsi="Wingdings" w:hint="default"/>
      </w:rPr>
    </w:lvl>
    <w:lvl w:ilvl="6" w:tplc="A4B06AC2">
      <w:start w:val="1"/>
      <w:numFmt w:val="bullet"/>
      <w:lvlText w:val=""/>
      <w:lvlJc w:val="left"/>
      <w:pPr>
        <w:ind w:left="5040" w:hanging="360"/>
      </w:pPr>
      <w:rPr>
        <w:rFonts w:ascii="Symbol" w:hAnsi="Symbol" w:hint="default"/>
      </w:rPr>
    </w:lvl>
    <w:lvl w:ilvl="7" w:tplc="01C8B9D8">
      <w:start w:val="1"/>
      <w:numFmt w:val="bullet"/>
      <w:lvlText w:val="o"/>
      <w:lvlJc w:val="left"/>
      <w:pPr>
        <w:ind w:left="5760" w:hanging="360"/>
      </w:pPr>
      <w:rPr>
        <w:rFonts w:ascii="Courier New" w:hAnsi="Courier New" w:hint="default"/>
      </w:rPr>
    </w:lvl>
    <w:lvl w:ilvl="8" w:tplc="251ADBBE">
      <w:start w:val="1"/>
      <w:numFmt w:val="bullet"/>
      <w:lvlText w:val=""/>
      <w:lvlJc w:val="left"/>
      <w:pPr>
        <w:ind w:left="6480" w:hanging="360"/>
      </w:pPr>
      <w:rPr>
        <w:rFonts w:ascii="Wingdings" w:hAnsi="Wingdings" w:hint="default"/>
      </w:rPr>
    </w:lvl>
  </w:abstractNum>
  <w:abstractNum w:abstractNumId="37" w15:restartNumberingAfterBreak="0">
    <w:nsid w:val="4BB52BE7"/>
    <w:multiLevelType w:val="hybridMultilevel"/>
    <w:tmpl w:val="09125186"/>
    <w:lvl w:ilvl="0" w:tplc="1B84E9A6">
      <w:start w:val="1"/>
      <w:numFmt w:val="bullet"/>
      <w:lvlText w:val=""/>
      <w:lvlJc w:val="left"/>
      <w:pPr>
        <w:ind w:left="720" w:hanging="360"/>
      </w:pPr>
      <w:rPr>
        <w:rFonts w:ascii="Symbol" w:hAnsi="Symbol" w:hint="default"/>
      </w:rPr>
    </w:lvl>
    <w:lvl w:ilvl="1" w:tplc="0B10E21A">
      <w:start w:val="1"/>
      <w:numFmt w:val="bullet"/>
      <w:lvlText w:val="o"/>
      <w:lvlJc w:val="left"/>
      <w:pPr>
        <w:ind w:left="1440" w:hanging="360"/>
      </w:pPr>
      <w:rPr>
        <w:rFonts w:ascii="Courier New" w:hAnsi="Courier New" w:hint="default"/>
      </w:rPr>
    </w:lvl>
    <w:lvl w:ilvl="2" w:tplc="B336C910">
      <w:start w:val="1"/>
      <w:numFmt w:val="bullet"/>
      <w:lvlText w:val=""/>
      <w:lvlJc w:val="left"/>
      <w:pPr>
        <w:ind w:left="2160" w:hanging="360"/>
      </w:pPr>
      <w:rPr>
        <w:rFonts w:ascii="Wingdings" w:hAnsi="Wingdings" w:hint="default"/>
      </w:rPr>
    </w:lvl>
    <w:lvl w:ilvl="3" w:tplc="EC96FD72">
      <w:start w:val="1"/>
      <w:numFmt w:val="bullet"/>
      <w:lvlText w:val=""/>
      <w:lvlJc w:val="left"/>
      <w:pPr>
        <w:ind w:left="2880" w:hanging="360"/>
      </w:pPr>
      <w:rPr>
        <w:rFonts w:ascii="Symbol" w:hAnsi="Symbol" w:hint="default"/>
      </w:rPr>
    </w:lvl>
    <w:lvl w:ilvl="4" w:tplc="A6B6461E">
      <w:start w:val="1"/>
      <w:numFmt w:val="bullet"/>
      <w:lvlText w:val="o"/>
      <w:lvlJc w:val="left"/>
      <w:pPr>
        <w:ind w:left="3600" w:hanging="360"/>
      </w:pPr>
      <w:rPr>
        <w:rFonts w:ascii="Courier New" w:hAnsi="Courier New" w:hint="default"/>
      </w:rPr>
    </w:lvl>
    <w:lvl w:ilvl="5" w:tplc="58E25FE6">
      <w:start w:val="1"/>
      <w:numFmt w:val="bullet"/>
      <w:lvlText w:val=""/>
      <w:lvlJc w:val="left"/>
      <w:pPr>
        <w:ind w:left="4320" w:hanging="360"/>
      </w:pPr>
      <w:rPr>
        <w:rFonts w:ascii="Wingdings" w:hAnsi="Wingdings" w:hint="default"/>
      </w:rPr>
    </w:lvl>
    <w:lvl w:ilvl="6" w:tplc="5084726A">
      <w:start w:val="1"/>
      <w:numFmt w:val="bullet"/>
      <w:lvlText w:val=""/>
      <w:lvlJc w:val="left"/>
      <w:pPr>
        <w:ind w:left="5040" w:hanging="360"/>
      </w:pPr>
      <w:rPr>
        <w:rFonts w:ascii="Symbol" w:hAnsi="Symbol" w:hint="default"/>
      </w:rPr>
    </w:lvl>
    <w:lvl w:ilvl="7" w:tplc="EBCCB5F4">
      <w:start w:val="1"/>
      <w:numFmt w:val="bullet"/>
      <w:lvlText w:val="o"/>
      <w:lvlJc w:val="left"/>
      <w:pPr>
        <w:ind w:left="5760" w:hanging="360"/>
      </w:pPr>
      <w:rPr>
        <w:rFonts w:ascii="Courier New" w:hAnsi="Courier New" w:hint="default"/>
      </w:rPr>
    </w:lvl>
    <w:lvl w:ilvl="8" w:tplc="D298CF02">
      <w:start w:val="1"/>
      <w:numFmt w:val="bullet"/>
      <w:lvlText w:val=""/>
      <w:lvlJc w:val="left"/>
      <w:pPr>
        <w:ind w:left="6480" w:hanging="360"/>
      </w:pPr>
      <w:rPr>
        <w:rFonts w:ascii="Wingdings" w:hAnsi="Wingdings" w:hint="default"/>
      </w:rPr>
    </w:lvl>
  </w:abstractNum>
  <w:abstractNum w:abstractNumId="38" w15:restartNumberingAfterBreak="0">
    <w:nsid w:val="4EF83D87"/>
    <w:multiLevelType w:val="hybridMultilevel"/>
    <w:tmpl w:val="FFFFFFFF"/>
    <w:lvl w:ilvl="0" w:tplc="3096485A">
      <w:start w:val="1"/>
      <w:numFmt w:val="bullet"/>
      <w:lvlText w:val=""/>
      <w:lvlJc w:val="left"/>
      <w:pPr>
        <w:ind w:left="720" w:hanging="360"/>
      </w:pPr>
      <w:rPr>
        <w:rFonts w:ascii="Symbol" w:hAnsi="Symbol" w:hint="default"/>
      </w:rPr>
    </w:lvl>
    <w:lvl w:ilvl="1" w:tplc="36ACE3E8">
      <w:start w:val="1"/>
      <w:numFmt w:val="bullet"/>
      <w:lvlText w:val="o"/>
      <w:lvlJc w:val="left"/>
      <w:pPr>
        <w:ind w:left="1440" w:hanging="360"/>
      </w:pPr>
      <w:rPr>
        <w:rFonts w:ascii="Courier New" w:hAnsi="Courier New" w:hint="default"/>
      </w:rPr>
    </w:lvl>
    <w:lvl w:ilvl="2" w:tplc="01E05610">
      <w:start w:val="1"/>
      <w:numFmt w:val="bullet"/>
      <w:lvlText w:val=""/>
      <w:lvlJc w:val="left"/>
      <w:pPr>
        <w:ind w:left="2160" w:hanging="360"/>
      </w:pPr>
      <w:rPr>
        <w:rFonts w:ascii="Wingdings" w:hAnsi="Wingdings" w:hint="default"/>
      </w:rPr>
    </w:lvl>
    <w:lvl w:ilvl="3" w:tplc="071AB632">
      <w:start w:val="1"/>
      <w:numFmt w:val="bullet"/>
      <w:lvlText w:val=""/>
      <w:lvlJc w:val="left"/>
      <w:pPr>
        <w:ind w:left="2880" w:hanging="360"/>
      </w:pPr>
      <w:rPr>
        <w:rFonts w:ascii="Symbol" w:hAnsi="Symbol" w:hint="default"/>
      </w:rPr>
    </w:lvl>
    <w:lvl w:ilvl="4" w:tplc="33FCBEAA">
      <w:start w:val="1"/>
      <w:numFmt w:val="bullet"/>
      <w:lvlText w:val="o"/>
      <w:lvlJc w:val="left"/>
      <w:pPr>
        <w:ind w:left="3600" w:hanging="360"/>
      </w:pPr>
      <w:rPr>
        <w:rFonts w:ascii="Courier New" w:hAnsi="Courier New" w:hint="default"/>
      </w:rPr>
    </w:lvl>
    <w:lvl w:ilvl="5" w:tplc="21B20EA8">
      <w:start w:val="1"/>
      <w:numFmt w:val="bullet"/>
      <w:lvlText w:val=""/>
      <w:lvlJc w:val="left"/>
      <w:pPr>
        <w:ind w:left="4320" w:hanging="360"/>
      </w:pPr>
      <w:rPr>
        <w:rFonts w:ascii="Wingdings" w:hAnsi="Wingdings" w:hint="default"/>
      </w:rPr>
    </w:lvl>
    <w:lvl w:ilvl="6" w:tplc="843A2CD2">
      <w:start w:val="1"/>
      <w:numFmt w:val="bullet"/>
      <w:lvlText w:val=""/>
      <w:lvlJc w:val="left"/>
      <w:pPr>
        <w:ind w:left="5040" w:hanging="360"/>
      </w:pPr>
      <w:rPr>
        <w:rFonts w:ascii="Symbol" w:hAnsi="Symbol" w:hint="default"/>
      </w:rPr>
    </w:lvl>
    <w:lvl w:ilvl="7" w:tplc="FFC0FA2E">
      <w:start w:val="1"/>
      <w:numFmt w:val="bullet"/>
      <w:lvlText w:val="o"/>
      <w:lvlJc w:val="left"/>
      <w:pPr>
        <w:ind w:left="5760" w:hanging="360"/>
      </w:pPr>
      <w:rPr>
        <w:rFonts w:ascii="Courier New" w:hAnsi="Courier New" w:hint="default"/>
      </w:rPr>
    </w:lvl>
    <w:lvl w:ilvl="8" w:tplc="531CDFF8">
      <w:start w:val="1"/>
      <w:numFmt w:val="bullet"/>
      <w:lvlText w:val=""/>
      <w:lvlJc w:val="left"/>
      <w:pPr>
        <w:ind w:left="6480" w:hanging="360"/>
      </w:pPr>
      <w:rPr>
        <w:rFonts w:ascii="Wingdings" w:hAnsi="Wingdings" w:hint="default"/>
      </w:rPr>
    </w:lvl>
  </w:abstractNum>
  <w:abstractNum w:abstractNumId="39" w15:restartNumberingAfterBreak="0">
    <w:nsid w:val="4FF81081"/>
    <w:multiLevelType w:val="hybridMultilevel"/>
    <w:tmpl w:val="FFFFFFFF"/>
    <w:lvl w:ilvl="0" w:tplc="B594829A">
      <w:start w:val="1"/>
      <w:numFmt w:val="bullet"/>
      <w:lvlText w:val=""/>
      <w:lvlJc w:val="left"/>
      <w:pPr>
        <w:ind w:left="720" w:hanging="360"/>
      </w:pPr>
      <w:rPr>
        <w:rFonts w:ascii="Symbol" w:hAnsi="Symbol" w:hint="default"/>
      </w:rPr>
    </w:lvl>
    <w:lvl w:ilvl="1" w:tplc="C994D6B4">
      <w:start w:val="1"/>
      <w:numFmt w:val="bullet"/>
      <w:lvlText w:val="o"/>
      <w:lvlJc w:val="left"/>
      <w:pPr>
        <w:ind w:left="1440" w:hanging="360"/>
      </w:pPr>
      <w:rPr>
        <w:rFonts w:ascii="Courier New" w:hAnsi="Courier New" w:hint="default"/>
      </w:rPr>
    </w:lvl>
    <w:lvl w:ilvl="2" w:tplc="7652C8A6">
      <w:start w:val="1"/>
      <w:numFmt w:val="bullet"/>
      <w:lvlText w:val=""/>
      <w:lvlJc w:val="left"/>
      <w:pPr>
        <w:ind w:left="2160" w:hanging="360"/>
      </w:pPr>
      <w:rPr>
        <w:rFonts w:ascii="Wingdings" w:hAnsi="Wingdings" w:hint="default"/>
      </w:rPr>
    </w:lvl>
    <w:lvl w:ilvl="3" w:tplc="01E2A0AE">
      <w:start w:val="1"/>
      <w:numFmt w:val="bullet"/>
      <w:lvlText w:val=""/>
      <w:lvlJc w:val="left"/>
      <w:pPr>
        <w:ind w:left="2880" w:hanging="360"/>
      </w:pPr>
      <w:rPr>
        <w:rFonts w:ascii="Symbol" w:hAnsi="Symbol" w:hint="default"/>
      </w:rPr>
    </w:lvl>
    <w:lvl w:ilvl="4" w:tplc="B5E46FEA">
      <w:start w:val="1"/>
      <w:numFmt w:val="bullet"/>
      <w:lvlText w:val="o"/>
      <w:lvlJc w:val="left"/>
      <w:pPr>
        <w:ind w:left="3600" w:hanging="360"/>
      </w:pPr>
      <w:rPr>
        <w:rFonts w:ascii="Courier New" w:hAnsi="Courier New" w:hint="default"/>
      </w:rPr>
    </w:lvl>
    <w:lvl w:ilvl="5" w:tplc="FF8AD962">
      <w:start w:val="1"/>
      <w:numFmt w:val="bullet"/>
      <w:lvlText w:val=""/>
      <w:lvlJc w:val="left"/>
      <w:pPr>
        <w:ind w:left="4320" w:hanging="360"/>
      </w:pPr>
      <w:rPr>
        <w:rFonts w:ascii="Wingdings" w:hAnsi="Wingdings" w:hint="default"/>
      </w:rPr>
    </w:lvl>
    <w:lvl w:ilvl="6" w:tplc="011AA3C4">
      <w:start w:val="1"/>
      <w:numFmt w:val="bullet"/>
      <w:lvlText w:val=""/>
      <w:lvlJc w:val="left"/>
      <w:pPr>
        <w:ind w:left="5040" w:hanging="360"/>
      </w:pPr>
      <w:rPr>
        <w:rFonts w:ascii="Symbol" w:hAnsi="Symbol" w:hint="default"/>
      </w:rPr>
    </w:lvl>
    <w:lvl w:ilvl="7" w:tplc="28243D54">
      <w:start w:val="1"/>
      <w:numFmt w:val="bullet"/>
      <w:lvlText w:val="o"/>
      <w:lvlJc w:val="left"/>
      <w:pPr>
        <w:ind w:left="5760" w:hanging="360"/>
      </w:pPr>
      <w:rPr>
        <w:rFonts w:ascii="Courier New" w:hAnsi="Courier New" w:hint="default"/>
      </w:rPr>
    </w:lvl>
    <w:lvl w:ilvl="8" w:tplc="25242050">
      <w:start w:val="1"/>
      <w:numFmt w:val="bullet"/>
      <w:lvlText w:val=""/>
      <w:lvlJc w:val="left"/>
      <w:pPr>
        <w:ind w:left="6480" w:hanging="360"/>
      </w:pPr>
      <w:rPr>
        <w:rFonts w:ascii="Wingdings" w:hAnsi="Wingdings" w:hint="default"/>
      </w:rPr>
    </w:lvl>
  </w:abstractNum>
  <w:abstractNum w:abstractNumId="40" w15:restartNumberingAfterBreak="0">
    <w:nsid w:val="5156290C"/>
    <w:multiLevelType w:val="hybridMultilevel"/>
    <w:tmpl w:val="8710FD8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AE5794"/>
    <w:multiLevelType w:val="hybridMultilevel"/>
    <w:tmpl w:val="FFFFFFFF"/>
    <w:lvl w:ilvl="0" w:tplc="FE0CDBC0">
      <w:start w:val="1"/>
      <w:numFmt w:val="bullet"/>
      <w:lvlText w:val=""/>
      <w:lvlJc w:val="left"/>
      <w:pPr>
        <w:ind w:left="720" w:hanging="360"/>
      </w:pPr>
      <w:rPr>
        <w:rFonts w:ascii="Symbol" w:hAnsi="Symbol" w:hint="default"/>
      </w:rPr>
    </w:lvl>
    <w:lvl w:ilvl="1" w:tplc="FD507A00">
      <w:start w:val="1"/>
      <w:numFmt w:val="bullet"/>
      <w:lvlText w:val="o"/>
      <w:lvlJc w:val="left"/>
      <w:pPr>
        <w:ind w:left="1440" w:hanging="360"/>
      </w:pPr>
      <w:rPr>
        <w:rFonts w:ascii="Courier New" w:hAnsi="Courier New" w:hint="default"/>
      </w:rPr>
    </w:lvl>
    <w:lvl w:ilvl="2" w:tplc="F6F0E694">
      <w:start w:val="1"/>
      <w:numFmt w:val="bullet"/>
      <w:lvlText w:val=""/>
      <w:lvlJc w:val="left"/>
      <w:pPr>
        <w:ind w:left="2160" w:hanging="360"/>
      </w:pPr>
      <w:rPr>
        <w:rFonts w:ascii="Wingdings" w:hAnsi="Wingdings" w:hint="default"/>
      </w:rPr>
    </w:lvl>
    <w:lvl w:ilvl="3" w:tplc="5A7A871A">
      <w:start w:val="1"/>
      <w:numFmt w:val="bullet"/>
      <w:lvlText w:val=""/>
      <w:lvlJc w:val="left"/>
      <w:pPr>
        <w:ind w:left="2880" w:hanging="360"/>
      </w:pPr>
      <w:rPr>
        <w:rFonts w:ascii="Symbol" w:hAnsi="Symbol" w:hint="default"/>
      </w:rPr>
    </w:lvl>
    <w:lvl w:ilvl="4" w:tplc="537E99AE">
      <w:start w:val="1"/>
      <w:numFmt w:val="bullet"/>
      <w:lvlText w:val="o"/>
      <w:lvlJc w:val="left"/>
      <w:pPr>
        <w:ind w:left="3600" w:hanging="360"/>
      </w:pPr>
      <w:rPr>
        <w:rFonts w:ascii="Courier New" w:hAnsi="Courier New" w:hint="default"/>
      </w:rPr>
    </w:lvl>
    <w:lvl w:ilvl="5" w:tplc="2E68C098">
      <w:start w:val="1"/>
      <w:numFmt w:val="bullet"/>
      <w:lvlText w:val=""/>
      <w:lvlJc w:val="left"/>
      <w:pPr>
        <w:ind w:left="4320" w:hanging="360"/>
      </w:pPr>
      <w:rPr>
        <w:rFonts w:ascii="Wingdings" w:hAnsi="Wingdings" w:hint="default"/>
      </w:rPr>
    </w:lvl>
    <w:lvl w:ilvl="6" w:tplc="1750DCB6">
      <w:start w:val="1"/>
      <w:numFmt w:val="bullet"/>
      <w:lvlText w:val=""/>
      <w:lvlJc w:val="left"/>
      <w:pPr>
        <w:ind w:left="5040" w:hanging="360"/>
      </w:pPr>
      <w:rPr>
        <w:rFonts w:ascii="Symbol" w:hAnsi="Symbol" w:hint="default"/>
      </w:rPr>
    </w:lvl>
    <w:lvl w:ilvl="7" w:tplc="ECFE5FE6">
      <w:start w:val="1"/>
      <w:numFmt w:val="bullet"/>
      <w:lvlText w:val="o"/>
      <w:lvlJc w:val="left"/>
      <w:pPr>
        <w:ind w:left="5760" w:hanging="360"/>
      </w:pPr>
      <w:rPr>
        <w:rFonts w:ascii="Courier New" w:hAnsi="Courier New" w:hint="default"/>
      </w:rPr>
    </w:lvl>
    <w:lvl w:ilvl="8" w:tplc="5E30E982">
      <w:start w:val="1"/>
      <w:numFmt w:val="bullet"/>
      <w:lvlText w:val=""/>
      <w:lvlJc w:val="left"/>
      <w:pPr>
        <w:ind w:left="6480" w:hanging="360"/>
      </w:pPr>
      <w:rPr>
        <w:rFonts w:ascii="Wingdings" w:hAnsi="Wingdings" w:hint="default"/>
      </w:rPr>
    </w:lvl>
  </w:abstractNum>
  <w:abstractNum w:abstractNumId="42" w15:restartNumberingAfterBreak="0">
    <w:nsid w:val="51DD454C"/>
    <w:multiLevelType w:val="hybridMultilevel"/>
    <w:tmpl w:val="3F72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22693AE">
      <w:numFmt w:val="bullet"/>
      <w:lvlText w:val="•"/>
      <w:lvlJc w:val="left"/>
      <w:pPr>
        <w:ind w:left="2160" w:hanging="360"/>
      </w:pPr>
      <w:rPr>
        <w:rFonts w:ascii="Calibri" w:eastAsiaTheme="minorEastAsia"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355164"/>
    <w:multiLevelType w:val="hybridMultilevel"/>
    <w:tmpl w:val="7DA23BB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35363ED"/>
    <w:multiLevelType w:val="hybridMultilevel"/>
    <w:tmpl w:val="6BA4CE88"/>
    <w:lvl w:ilvl="0" w:tplc="FFFFFFFF">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45" w15:restartNumberingAfterBreak="0">
    <w:nsid w:val="536A61A8"/>
    <w:multiLevelType w:val="hybridMultilevel"/>
    <w:tmpl w:val="FFFFFFFF"/>
    <w:lvl w:ilvl="0" w:tplc="7960F31A">
      <w:start w:val="1"/>
      <w:numFmt w:val="bullet"/>
      <w:lvlText w:val="·"/>
      <w:lvlJc w:val="left"/>
      <w:pPr>
        <w:ind w:left="720" w:hanging="360"/>
      </w:pPr>
      <w:rPr>
        <w:rFonts w:ascii="Symbol" w:hAnsi="Symbol" w:hint="default"/>
      </w:rPr>
    </w:lvl>
    <w:lvl w:ilvl="1" w:tplc="F5CE771E">
      <w:start w:val="1"/>
      <w:numFmt w:val="bullet"/>
      <w:lvlText w:val="o"/>
      <w:lvlJc w:val="left"/>
      <w:pPr>
        <w:ind w:left="1440" w:hanging="360"/>
      </w:pPr>
      <w:rPr>
        <w:rFonts w:ascii="Courier New" w:hAnsi="Courier New" w:hint="default"/>
      </w:rPr>
    </w:lvl>
    <w:lvl w:ilvl="2" w:tplc="3DF0B2A8">
      <w:start w:val="1"/>
      <w:numFmt w:val="bullet"/>
      <w:lvlText w:val=""/>
      <w:lvlJc w:val="left"/>
      <w:pPr>
        <w:ind w:left="2160" w:hanging="360"/>
      </w:pPr>
      <w:rPr>
        <w:rFonts w:ascii="Wingdings" w:hAnsi="Wingdings" w:hint="default"/>
      </w:rPr>
    </w:lvl>
    <w:lvl w:ilvl="3" w:tplc="80A47F22">
      <w:start w:val="1"/>
      <w:numFmt w:val="bullet"/>
      <w:lvlText w:val=""/>
      <w:lvlJc w:val="left"/>
      <w:pPr>
        <w:ind w:left="2880" w:hanging="360"/>
      </w:pPr>
      <w:rPr>
        <w:rFonts w:ascii="Symbol" w:hAnsi="Symbol" w:hint="default"/>
      </w:rPr>
    </w:lvl>
    <w:lvl w:ilvl="4" w:tplc="B054FB04">
      <w:start w:val="1"/>
      <w:numFmt w:val="bullet"/>
      <w:lvlText w:val="o"/>
      <w:lvlJc w:val="left"/>
      <w:pPr>
        <w:ind w:left="3600" w:hanging="360"/>
      </w:pPr>
      <w:rPr>
        <w:rFonts w:ascii="Courier New" w:hAnsi="Courier New" w:hint="default"/>
      </w:rPr>
    </w:lvl>
    <w:lvl w:ilvl="5" w:tplc="69DCB6B2">
      <w:start w:val="1"/>
      <w:numFmt w:val="bullet"/>
      <w:lvlText w:val=""/>
      <w:lvlJc w:val="left"/>
      <w:pPr>
        <w:ind w:left="4320" w:hanging="360"/>
      </w:pPr>
      <w:rPr>
        <w:rFonts w:ascii="Wingdings" w:hAnsi="Wingdings" w:hint="default"/>
      </w:rPr>
    </w:lvl>
    <w:lvl w:ilvl="6" w:tplc="799CD084">
      <w:start w:val="1"/>
      <w:numFmt w:val="bullet"/>
      <w:lvlText w:val=""/>
      <w:lvlJc w:val="left"/>
      <w:pPr>
        <w:ind w:left="5040" w:hanging="360"/>
      </w:pPr>
      <w:rPr>
        <w:rFonts w:ascii="Symbol" w:hAnsi="Symbol" w:hint="default"/>
      </w:rPr>
    </w:lvl>
    <w:lvl w:ilvl="7" w:tplc="EDA0B6EE">
      <w:start w:val="1"/>
      <w:numFmt w:val="bullet"/>
      <w:lvlText w:val="o"/>
      <w:lvlJc w:val="left"/>
      <w:pPr>
        <w:ind w:left="5760" w:hanging="360"/>
      </w:pPr>
      <w:rPr>
        <w:rFonts w:ascii="Courier New" w:hAnsi="Courier New" w:hint="default"/>
      </w:rPr>
    </w:lvl>
    <w:lvl w:ilvl="8" w:tplc="7E9EFA86">
      <w:start w:val="1"/>
      <w:numFmt w:val="bullet"/>
      <w:lvlText w:val=""/>
      <w:lvlJc w:val="left"/>
      <w:pPr>
        <w:ind w:left="6480" w:hanging="360"/>
      </w:pPr>
      <w:rPr>
        <w:rFonts w:ascii="Wingdings" w:hAnsi="Wingdings" w:hint="default"/>
      </w:rPr>
    </w:lvl>
  </w:abstractNum>
  <w:abstractNum w:abstractNumId="46" w15:restartNumberingAfterBreak="0">
    <w:nsid w:val="57243C6A"/>
    <w:multiLevelType w:val="hybridMultilevel"/>
    <w:tmpl w:val="C888C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AD2BD6"/>
    <w:multiLevelType w:val="hybridMultilevel"/>
    <w:tmpl w:val="D7C2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7F5742"/>
    <w:multiLevelType w:val="hybridMultilevel"/>
    <w:tmpl w:val="9E8CE2A4"/>
    <w:lvl w:ilvl="0" w:tplc="BBF6815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C5F656C"/>
    <w:multiLevelType w:val="hybridMultilevel"/>
    <w:tmpl w:val="FFFFFFFF"/>
    <w:lvl w:ilvl="0" w:tplc="4860DB74">
      <w:start w:val="1"/>
      <w:numFmt w:val="bullet"/>
      <w:lvlText w:val=""/>
      <w:lvlJc w:val="left"/>
      <w:pPr>
        <w:ind w:left="360" w:hanging="360"/>
      </w:pPr>
      <w:rPr>
        <w:rFonts w:ascii="Symbol" w:hAnsi="Symbol" w:hint="default"/>
      </w:rPr>
    </w:lvl>
    <w:lvl w:ilvl="1" w:tplc="86C4A83E">
      <w:start w:val="1"/>
      <w:numFmt w:val="bullet"/>
      <w:lvlText w:val="o"/>
      <w:lvlJc w:val="left"/>
      <w:pPr>
        <w:ind w:left="1080" w:hanging="360"/>
      </w:pPr>
      <w:rPr>
        <w:rFonts w:ascii="Courier New" w:hAnsi="Courier New" w:hint="default"/>
      </w:rPr>
    </w:lvl>
    <w:lvl w:ilvl="2" w:tplc="F99435E0">
      <w:start w:val="1"/>
      <w:numFmt w:val="bullet"/>
      <w:lvlText w:val=""/>
      <w:lvlJc w:val="left"/>
      <w:pPr>
        <w:ind w:left="1800" w:hanging="360"/>
      </w:pPr>
      <w:rPr>
        <w:rFonts w:ascii="Wingdings" w:hAnsi="Wingdings" w:hint="default"/>
      </w:rPr>
    </w:lvl>
    <w:lvl w:ilvl="3" w:tplc="3E9443C4">
      <w:start w:val="1"/>
      <w:numFmt w:val="bullet"/>
      <w:lvlText w:val=""/>
      <w:lvlJc w:val="left"/>
      <w:pPr>
        <w:ind w:left="2520" w:hanging="360"/>
      </w:pPr>
      <w:rPr>
        <w:rFonts w:ascii="Symbol" w:hAnsi="Symbol" w:hint="default"/>
      </w:rPr>
    </w:lvl>
    <w:lvl w:ilvl="4" w:tplc="05144B98">
      <w:start w:val="1"/>
      <w:numFmt w:val="bullet"/>
      <w:lvlText w:val="o"/>
      <w:lvlJc w:val="left"/>
      <w:pPr>
        <w:ind w:left="3240" w:hanging="360"/>
      </w:pPr>
      <w:rPr>
        <w:rFonts w:ascii="Courier New" w:hAnsi="Courier New" w:hint="default"/>
      </w:rPr>
    </w:lvl>
    <w:lvl w:ilvl="5" w:tplc="833CF8C6">
      <w:start w:val="1"/>
      <w:numFmt w:val="bullet"/>
      <w:lvlText w:val=""/>
      <w:lvlJc w:val="left"/>
      <w:pPr>
        <w:ind w:left="3960" w:hanging="360"/>
      </w:pPr>
      <w:rPr>
        <w:rFonts w:ascii="Wingdings" w:hAnsi="Wingdings" w:hint="default"/>
      </w:rPr>
    </w:lvl>
    <w:lvl w:ilvl="6" w:tplc="71CC1846">
      <w:start w:val="1"/>
      <w:numFmt w:val="bullet"/>
      <w:lvlText w:val=""/>
      <w:lvlJc w:val="left"/>
      <w:pPr>
        <w:ind w:left="4680" w:hanging="360"/>
      </w:pPr>
      <w:rPr>
        <w:rFonts w:ascii="Symbol" w:hAnsi="Symbol" w:hint="default"/>
      </w:rPr>
    </w:lvl>
    <w:lvl w:ilvl="7" w:tplc="7C88DFD8">
      <w:start w:val="1"/>
      <w:numFmt w:val="bullet"/>
      <w:lvlText w:val="o"/>
      <w:lvlJc w:val="left"/>
      <w:pPr>
        <w:ind w:left="5400" w:hanging="360"/>
      </w:pPr>
      <w:rPr>
        <w:rFonts w:ascii="Courier New" w:hAnsi="Courier New" w:hint="default"/>
      </w:rPr>
    </w:lvl>
    <w:lvl w:ilvl="8" w:tplc="137242F6">
      <w:start w:val="1"/>
      <w:numFmt w:val="bullet"/>
      <w:lvlText w:val=""/>
      <w:lvlJc w:val="left"/>
      <w:pPr>
        <w:ind w:left="6120" w:hanging="360"/>
      </w:pPr>
      <w:rPr>
        <w:rFonts w:ascii="Wingdings" w:hAnsi="Wingdings" w:hint="default"/>
      </w:rPr>
    </w:lvl>
  </w:abstractNum>
  <w:abstractNum w:abstractNumId="50" w15:restartNumberingAfterBreak="0">
    <w:nsid w:val="5DC224C8"/>
    <w:multiLevelType w:val="hybridMultilevel"/>
    <w:tmpl w:val="FFFFFFFF"/>
    <w:lvl w:ilvl="0" w:tplc="773E182A">
      <w:start w:val="1"/>
      <w:numFmt w:val="bullet"/>
      <w:lvlText w:val=""/>
      <w:lvlJc w:val="left"/>
      <w:pPr>
        <w:ind w:left="360" w:hanging="360"/>
      </w:pPr>
      <w:rPr>
        <w:rFonts w:ascii="Symbol" w:hAnsi="Symbol" w:hint="default"/>
      </w:rPr>
    </w:lvl>
    <w:lvl w:ilvl="1" w:tplc="88860C58">
      <w:start w:val="1"/>
      <w:numFmt w:val="bullet"/>
      <w:lvlText w:val="o"/>
      <w:lvlJc w:val="left"/>
      <w:pPr>
        <w:ind w:left="1080" w:hanging="360"/>
      </w:pPr>
      <w:rPr>
        <w:rFonts w:ascii="Courier New" w:hAnsi="Courier New" w:hint="default"/>
      </w:rPr>
    </w:lvl>
    <w:lvl w:ilvl="2" w:tplc="E58CD55E">
      <w:start w:val="1"/>
      <w:numFmt w:val="bullet"/>
      <w:lvlText w:val=""/>
      <w:lvlJc w:val="left"/>
      <w:pPr>
        <w:ind w:left="1800" w:hanging="360"/>
      </w:pPr>
      <w:rPr>
        <w:rFonts w:ascii="Wingdings" w:hAnsi="Wingdings" w:hint="default"/>
      </w:rPr>
    </w:lvl>
    <w:lvl w:ilvl="3" w:tplc="186A2120">
      <w:start w:val="1"/>
      <w:numFmt w:val="bullet"/>
      <w:lvlText w:val=""/>
      <w:lvlJc w:val="left"/>
      <w:pPr>
        <w:ind w:left="2520" w:hanging="360"/>
      </w:pPr>
      <w:rPr>
        <w:rFonts w:ascii="Symbol" w:hAnsi="Symbol" w:hint="default"/>
      </w:rPr>
    </w:lvl>
    <w:lvl w:ilvl="4" w:tplc="511AD754">
      <w:start w:val="1"/>
      <w:numFmt w:val="bullet"/>
      <w:lvlText w:val="o"/>
      <w:lvlJc w:val="left"/>
      <w:pPr>
        <w:ind w:left="3240" w:hanging="360"/>
      </w:pPr>
      <w:rPr>
        <w:rFonts w:ascii="Courier New" w:hAnsi="Courier New" w:hint="default"/>
      </w:rPr>
    </w:lvl>
    <w:lvl w:ilvl="5" w:tplc="568A8668">
      <w:start w:val="1"/>
      <w:numFmt w:val="bullet"/>
      <w:lvlText w:val=""/>
      <w:lvlJc w:val="left"/>
      <w:pPr>
        <w:ind w:left="3960" w:hanging="360"/>
      </w:pPr>
      <w:rPr>
        <w:rFonts w:ascii="Wingdings" w:hAnsi="Wingdings" w:hint="default"/>
      </w:rPr>
    </w:lvl>
    <w:lvl w:ilvl="6" w:tplc="C116EF92">
      <w:start w:val="1"/>
      <w:numFmt w:val="bullet"/>
      <w:lvlText w:val=""/>
      <w:lvlJc w:val="left"/>
      <w:pPr>
        <w:ind w:left="4680" w:hanging="360"/>
      </w:pPr>
      <w:rPr>
        <w:rFonts w:ascii="Symbol" w:hAnsi="Symbol" w:hint="default"/>
      </w:rPr>
    </w:lvl>
    <w:lvl w:ilvl="7" w:tplc="59D83FAA">
      <w:start w:val="1"/>
      <w:numFmt w:val="bullet"/>
      <w:lvlText w:val="o"/>
      <w:lvlJc w:val="left"/>
      <w:pPr>
        <w:ind w:left="5400" w:hanging="360"/>
      </w:pPr>
      <w:rPr>
        <w:rFonts w:ascii="Courier New" w:hAnsi="Courier New" w:hint="default"/>
      </w:rPr>
    </w:lvl>
    <w:lvl w:ilvl="8" w:tplc="BACCB9CC">
      <w:start w:val="1"/>
      <w:numFmt w:val="bullet"/>
      <w:lvlText w:val=""/>
      <w:lvlJc w:val="left"/>
      <w:pPr>
        <w:ind w:left="6120" w:hanging="360"/>
      </w:pPr>
      <w:rPr>
        <w:rFonts w:ascii="Wingdings" w:hAnsi="Wingdings" w:hint="default"/>
      </w:rPr>
    </w:lvl>
  </w:abstractNum>
  <w:abstractNum w:abstractNumId="51" w15:restartNumberingAfterBreak="0">
    <w:nsid w:val="5F4F11F8"/>
    <w:multiLevelType w:val="hybridMultilevel"/>
    <w:tmpl w:val="801C342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5F7D0011"/>
    <w:multiLevelType w:val="hybridMultilevel"/>
    <w:tmpl w:val="A58424B8"/>
    <w:lvl w:ilvl="0" w:tplc="251E395E">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5F8C4B6F"/>
    <w:multiLevelType w:val="hybridMultilevel"/>
    <w:tmpl w:val="53F08728"/>
    <w:lvl w:ilvl="0" w:tplc="F160A2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B66FBD"/>
    <w:multiLevelType w:val="hybridMultilevel"/>
    <w:tmpl w:val="FFFFFFFF"/>
    <w:lvl w:ilvl="0" w:tplc="ED987EE6">
      <w:start w:val="1"/>
      <w:numFmt w:val="bullet"/>
      <w:lvlText w:val=""/>
      <w:lvlJc w:val="left"/>
      <w:pPr>
        <w:ind w:left="360" w:hanging="360"/>
      </w:pPr>
      <w:rPr>
        <w:rFonts w:ascii="Symbol" w:hAnsi="Symbol" w:hint="default"/>
      </w:rPr>
    </w:lvl>
    <w:lvl w:ilvl="1" w:tplc="D3E8032A">
      <w:start w:val="1"/>
      <w:numFmt w:val="bullet"/>
      <w:lvlText w:val="o"/>
      <w:lvlJc w:val="left"/>
      <w:pPr>
        <w:ind w:left="1080" w:hanging="360"/>
      </w:pPr>
      <w:rPr>
        <w:rFonts w:ascii="Courier New" w:hAnsi="Courier New" w:hint="default"/>
      </w:rPr>
    </w:lvl>
    <w:lvl w:ilvl="2" w:tplc="CA4A0018">
      <w:start w:val="1"/>
      <w:numFmt w:val="bullet"/>
      <w:lvlText w:val=""/>
      <w:lvlJc w:val="left"/>
      <w:pPr>
        <w:ind w:left="1800" w:hanging="360"/>
      </w:pPr>
      <w:rPr>
        <w:rFonts w:ascii="Wingdings" w:hAnsi="Wingdings" w:hint="default"/>
      </w:rPr>
    </w:lvl>
    <w:lvl w:ilvl="3" w:tplc="DE54B7B0">
      <w:start w:val="1"/>
      <w:numFmt w:val="bullet"/>
      <w:lvlText w:val=""/>
      <w:lvlJc w:val="left"/>
      <w:pPr>
        <w:ind w:left="2520" w:hanging="360"/>
      </w:pPr>
      <w:rPr>
        <w:rFonts w:ascii="Symbol" w:hAnsi="Symbol" w:hint="default"/>
      </w:rPr>
    </w:lvl>
    <w:lvl w:ilvl="4" w:tplc="50F8A62C">
      <w:start w:val="1"/>
      <w:numFmt w:val="bullet"/>
      <w:lvlText w:val="o"/>
      <w:lvlJc w:val="left"/>
      <w:pPr>
        <w:ind w:left="3240" w:hanging="360"/>
      </w:pPr>
      <w:rPr>
        <w:rFonts w:ascii="Courier New" w:hAnsi="Courier New" w:hint="default"/>
      </w:rPr>
    </w:lvl>
    <w:lvl w:ilvl="5" w:tplc="8208DFD4">
      <w:start w:val="1"/>
      <w:numFmt w:val="bullet"/>
      <w:lvlText w:val=""/>
      <w:lvlJc w:val="left"/>
      <w:pPr>
        <w:ind w:left="3960" w:hanging="360"/>
      </w:pPr>
      <w:rPr>
        <w:rFonts w:ascii="Wingdings" w:hAnsi="Wingdings" w:hint="default"/>
      </w:rPr>
    </w:lvl>
    <w:lvl w:ilvl="6" w:tplc="5C9C3B70">
      <w:start w:val="1"/>
      <w:numFmt w:val="bullet"/>
      <w:lvlText w:val=""/>
      <w:lvlJc w:val="left"/>
      <w:pPr>
        <w:ind w:left="4680" w:hanging="360"/>
      </w:pPr>
      <w:rPr>
        <w:rFonts w:ascii="Symbol" w:hAnsi="Symbol" w:hint="default"/>
      </w:rPr>
    </w:lvl>
    <w:lvl w:ilvl="7" w:tplc="A1920B5A">
      <w:start w:val="1"/>
      <w:numFmt w:val="bullet"/>
      <w:lvlText w:val="o"/>
      <w:lvlJc w:val="left"/>
      <w:pPr>
        <w:ind w:left="5400" w:hanging="360"/>
      </w:pPr>
      <w:rPr>
        <w:rFonts w:ascii="Courier New" w:hAnsi="Courier New" w:hint="default"/>
      </w:rPr>
    </w:lvl>
    <w:lvl w:ilvl="8" w:tplc="D12E769C">
      <w:start w:val="1"/>
      <w:numFmt w:val="bullet"/>
      <w:lvlText w:val=""/>
      <w:lvlJc w:val="left"/>
      <w:pPr>
        <w:ind w:left="6120" w:hanging="360"/>
      </w:pPr>
      <w:rPr>
        <w:rFonts w:ascii="Wingdings" w:hAnsi="Wingdings" w:hint="default"/>
      </w:rPr>
    </w:lvl>
  </w:abstractNum>
  <w:abstractNum w:abstractNumId="55" w15:restartNumberingAfterBreak="0">
    <w:nsid w:val="62855666"/>
    <w:multiLevelType w:val="hybridMultilevel"/>
    <w:tmpl w:val="FFFFFFFF"/>
    <w:lvl w:ilvl="0" w:tplc="8FF88D2C">
      <w:start w:val="1"/>
      <w:numFmt w:val="lowerLetter"/>
      <w:lvlText w:val="%1."/>
      <w:lvlJc w:val="left"/>
      <w:pPr>
        <w:ind w:left="720" w:hanging="360"/>
      </w:pPr>
    </w:lvl>
    <w:lvl w:ilvl="1" w:tplc="63AE86C8">
      <w:start w:val="1"/>
      <w:numFmt w:val="lowerLetter"/>
      <w:lvlText w:val="%2."/>
      <w:lvlJc w:val="left"/>
      <w:pPr>
        <w:ind w:left="1440" w:hanging="360"/>
      </w:pPr>
    </w:lvl>
    <w:lvl w:ilvl="2" w:tplc="3572D0CA">
      <w:start w:val="1"/>
      <w:numFmt w:val="lowerRoman"/>
      <w:lvlText w:val="%3."/>
      <w:lvlJc w:val="right"/>
      <w:pPr>
        <w:ind w:left="2160" w:hanging="180"/>
      </w:pPr>
    </w:lvl>
    <w:lvl w:ilvl="3" w:tplc="549A1A60">
      <w:start w:val="1"/>
      <w:numFmt w:val="decimal"/>
      <w:lvlText w:val="%4."/>
      <w:lvlJc w:val="left"/>
      <w:pPr>
        <w:ind w:left="2880" w:hanging="360"/>
      </w:pPr>
    </w:lvl>
    <w:lvl w:ilvl="4" w:tplc="2C02D6B4">
      <w:start w:val="1"/>
      <w:numFmt w:val="lowerLetter"/>
      <w:lvlText w:val="%5."/>
      <w:lvlJc w:val="left"/>
      <w:pPr>
        <w:ind w:left="3600" w:hanging="360"/>
      </w:pPr>
    </w:lvl>
    <w:lvl w:ilvl="5" w:tplc="3A6CBB60">
      <w:start w:val="1"/>
      <w:numFmt w:val="lowerRoman"/>
      <w:lvlText w:val="%6."/>
      <w:lvlJc w:val="right"/>
      <w:pPr>
        <w:ind w:left="4320" w:hanging="180"/>
      </w:pPr>
    </w:lvl>
    <w:lvl w:ilvl="6" w:tplc="C7CC5EB2">
      <w:start w:val="1"/>
      <w:numFmt w:val="decimal"/>
      <w:lvlText w:val="%7."/>
      <w:lvlJc w:val="left"/>
      <w:pPr>
        <w:ind w:left="5040" w:hanging="360"/>
      </w:pPr>
    </w:lvl>
    <w:lvl w:ilvl="7" w:tplc="263AE5C0">
      <w:start w:val="1"/>
      <w:numFmt w:val="lowerLetter"/>
      <w:lvlText w:val="%8."/>
      <w:lvlJc w:val="left"/>
      <w:pPr>
        <w:ind w:left="5760" w:hanging="360"/>
      </w:pPr>
    </w:lvl>
    <w:lvl w:ilvl="8" w:tplc="ACB41E66">
      <w:start w:val="1"/>
      <w:numFmt w:val="lowerRoman"/>
      <w:lvlText w:val="%9."/>
      <w:lvlJc w:val="right"/>
      <w:pPr>
        <w:ind w:left="6480" w:hanging="180"/>
      </w:pPr>
    </w:lvl>
  </w:abstractNum>
  <w:abstractNum w:abstractNumId="56" w15:restartNumberingAfterBreak="0">
    <w:nsid w:val="62965626"/>
    <w:multiLevelType w:val="hybridMultilevel"/>
    <w:tmpl w:val="FFFFFFFF"/>
    <w:lvl w:ilvl="0" w:tplc="5BAA20DC">
      <w:start w:val="1"/>
      <w:numFmt w:val="bullet"/>
      <w:lvlText w:val=""/>
      <w:lvlJc w:val="left"/>
      <w:pPr>
        <w:ind w:left="720" w:hanging="360"/>
      </w:pPr>
      <w:rPr>
        <w:rFonts w:ascii="Symbol" w:hAnsi="Symbol" w:hint="default"/>
      </w:rPr>
    </w:lvl>
    <w:lvl w:ilvl="1" w:tplc="055AA8D8">
      <w:start w:val="1"/>
      <w:numFmt w:val="bullet"/>
      <w:lvlText w:val="o"/>
      <w:lvlJc w:val="left"/>
      <w:pPr>
        <w:ind w:left="1440" w:hanging="360"/>
      </w:pPr>
      <w:rPr>
        <w:rFonts w:ascii="Courier New" w:hAnsi="Courier New" w:hint="default"/>
      </w:rPr>
    </w:lvl>
    <w:lvl w:ilvl="2" w:tplc="E20A2672">
      <w:start w:val="1"/>
      <w:numFmt w:val="bullet"/>
      <w:lvlText w:val=""/>
      <w:lvlJc w:val="left"/>
      <w:pPr>
        <w:ind w:left="2160" w:hanging="360"/>
      </w:pPr>
      <w:rPr>
        <w:rFonts w:ascii="Wingdings" w:hAnsi="Wingdings" w:hint="default"/>
      </w:rPr>
    </w:lvl>
    <w:lvl w:ilvl="3" w:tplc="45C2A03E">
      <w:start w:val="1"/>
      <w:numFmt w:val="bullet"/>
      <w:lvlText w:val=""/>
      <w:lvlJc w:val="left"/>
      <w:pPr>
        <w:ind w:left="2880" w:hanging="360"/>
      </w:pPr>
      <w:rPr>
        <w:rFonts w:ascii="Symbol" w:hAnsi="Symbol" w:hint="default"/>
      </w:rPr>
    </w:lvl>
    <w:lvl w:ilvl="4" w:tplc="D7381F78">
      <w:start w:val="1"/>
      <w:numFmt w:val="bullet"/>
      <w:lvlText w:val="o"/>
      <w:lvlJc w:val="left"/>
      <w:pPr>
        <w:ind w:left="3600" w:hanging="360"/>
      </w:pPr>
      <w:rPr>
        <w:rFonts w:ascii="Courier New" w:hAnsi="Courier New" w:hint="default"/>
      </w:rPr>
    </w:lvl>
    <w:lvl w:ilvl="5" w:tplc="AC1E918E">
      <w:start w:val="1"/>
      <w:numFmt w:val="bullet"/>
      <w:lvlText w:val=""/>
      <w:lvlJc w:val="left"/>
      <w:pPr>
        <w:ind w:left="4320" w:hanging="360"/>
      </w:pPr>
      <w:rPr>
        <w:rFonts w:ascii="Wingdings" w:hAnsi="Wingdings" w:hint="default"/>
      </w:rPr>
    </w:lvl>
    <w:lvl w:ilvl="6" w:tplc="62B0753A">
      <w:start w:val="1"/>
      <w:numFmt w:val="bullet"/>
      <w:lvlText w:val=""/>
      <w:lvlJc w:val="left"/>
      <w:pPr>
        <w:ind w:left="5040" w:hanging="360"/>
      </w:pPr>
      <w:rPr>
        <w:rFonts w:ascii="Symbol" w:hAnsi="Symbol" w:hint="default"/>
      </w:rPr>
    </w:lvl>
    <w:lvl w:ilvl="7" w:tplc="D16A8878">
      <w:start w:val="1"/>
      <w:numFmt w:val="bullet"/>
      <w:lvlText w:val="o"/>
      <w:lvlJc w:val="left"/>
      <w:pPr>
        <w:ind w:left="5760" w:hanging="360"/>
      </w:pPr>
      <w:rPr>
        <w:rFonts w:ascii="Courier New" w:hAnsi="Courier New" w:hint="default"/>
      </w:rPr>
    </w:lvl>
    <w:lvl w:ilvl="8" w:tplc="D6006414">
      <w:start w:val="1"/>
      <w:numFmt w:val="bullet"/>
      <w:lvlText w:val=""/>
      <w:lvlJc w:val="left"/>
      <w:pPr>
        <w:ind w:left="6480" w:hanging="360"/>
      </w:pPr>
      <w:rPr>
        <w:rFonts w:ascii="Wingdings" w:hAnsi="Wingdings" w:hint="default"/>
      </w:rPr>
    </w:lvl>
  </w:abstractNum>
  <w:abstractNum w:abstractNumId="57" w15:restartNumberingAfterBreak="0">
    <w:nsid w:val="65874347"/>
    <w:multiLevelType w:val="hybridMultilevel"/>
    <w:tmpl w:val="72A6B888"/>
    <w:lvl w:ilvl="0" w:tplc="D9BCAE22">
      <w:start w:val="1"/>
      <w:numFmt w:val="bullet"/>
      <w:lvlText w:val=""/>
      <w:lvlJc w:val="left"/>
      <w:pPr>
        <w:ind w:left="720" w:hanging="360"/>
      </w:pPr>
      <w:rPr>
        <w:rFonts w:ascii="Symbol" w:hAnsi="Symbol" w:hint="default"/>
      </w:rPr>
    </w:lvl>
    <w:lvl w:ilvl="1" w:tplc="FDEC0928">
      <w:start w:val="1"/>
      <w:numFmt w:val="bullet"/>
      <w:lvlText w:val="o"/>
      <w:lvlJc w:val="left"/>
      <w:pPr>
        <w:ind w:left="1440" w:hanging="360"/>
      </w:pPr>
      <w:rPr>
        <w:rFonts w:ascii="Courier New" w:hAnsi="Courier New" w:hint="default"/>
      </w:rPr>
    </w:lvl>
    <w:lvl w:ilvl="2" w:tplc="878694FE">
      <w:start w:val="1"/>
      <w:numFmt w:val="bullet"/>
      <w:lvlText w:val=""/>
      <w:lvlJc w:val="left"/>
      <w:pPr>
        <w:ind w:left="2160" w:hanging="360"/>
      </w:pPr>
      <w:rPr>
        <w:rFonts w:ascii="Wingdings" w:hAnsi="Wingdings" w:hint="default"/>
      </w:rPr>
    </w:lvl>
    <w:lvl w:ilvl="3" w:tplc="7390D21E">
      <w:start w:val="1"/>
      <w:numFmt w:val="bullet"/>
      <w:lvlText w:val=""/>
      <w:lvlJc w:val="left"/>
      <w:pPr>
        <w:ind w:left="2880" w:hanging="360"/>
      </w:pPr>
      <w:rPr>
        <w:rFonts w:ascii="Symbol" w:hAnsi="Symbol" w:hint="default"/>
      </w:rPr>
    </w:lvl>
    <w:lvl w:ilvl="4" w:tplc="53E00C0A">
      <w:start w:val="1"/>
      <w:numFmt w:val="bullet"/>
      <w:lvlText w:val="o"/>
      <w:lvlJc w:val="left"/>
      <w:pPr>
        <w:ind w:left="3600" w:hanging="360"/>
      </w:pPr>
      <w:rPr>
        <w:rFonts w:ascii="Courier New" w:hAnsi="Courier New" w:hint="default"/>
      </w:rPr>
    </w:lvl>
    <w:lvl w:ilvl="5" w:tplc="23BE72E4">
      <w:start w:val="1"/>
      <w:numFmt w:val="bullet"/>
      <w:lvlText w:val=""/>
      <w:lvlJc w:val="left"/>
      <w:pPr>
        <w:ind w:left="4320" w:hanging="360"/>
      </w:pPr>
      <w:rPr>
        <w:rFonts w:ascii="Wingdings" w:hAnsi="Wingdings" w:hint="default"/>
      </w:rPr>
    </w:lvl>
    <w:lvl w:ilvl="6" w:tplc="23A6DDF2">
      <w:start w:val="1"/>
      <w:numFmt w:val="bullet"/>
      <w:lvlText w:val=""/>
      <w:lvlJc w:val="left"/>
      <w:pPr>
        <w:ind w:left="5040" w:hanging="360"/>
      </w:pPr>
      <w:rPr>
        <w:rFonts w:ascii="Symbol" w:hAnsi="Symbol" w:hint="default"/>
      </w:rPr>
    </w:lvl>
    <w:lvl w:ilvl="7" w:tplc="5002E9D2">
      <w:start w:val="1"/>
      <w:numFmt w:val="bullet"/>
      <w:lvlText w:val="o"/>
      <w:lvlJc w:val="left"/>
      <w:pPr>
        <w:ind w:left="5760" w:hanging="360"/>
      </w:pPr>
      <w:rPr>
        <w:rFonts w:ascii="Courier New" w:hAnsi="Courier New" w:hint="default"/>
      </w:rPr>
    </w:lvl>
    <w:lvl w:ilvl="8" w:tplc="BC62A814">
      <w:start w:val="1"/>
      <w:numFmt w:val="bullet"/>
      <w:lvlText w:val=""/>
      <w:lvlJc w:val="left"/>
      <w:pPr>
        <w:ind w:left="6480" w:hanging="360"/>
      </w:pPr>
      <w:rPr>
        <w:rFonts w:ascii="Wingdings" w:hAnsi="Wingdings" w:hint="default"/>
      </w:rPr>
    </w:lvl>
  </w:abstractNum>
  <w:abstractNum w:abstractNumId="58"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hint="default"/>
      </w:rPr>
    </w:lvl>
    <w:lvl w:ilvl="8" w:tplc="25663598">
      <w:start w:val="1"/>
      <w:numFmt w:val="bullet"/>
      <w:lvlText w:val=""/>
      <w:lvlJc w:val="left"/>
      <w:pPr>
        <w:ind w:left="6480" w:hanging="360"/>
      </w:pPr>
      <w:rPr>
        <w:rFonts w:ascii="Wingdings" w:hAnsi="Wingdings" w:hint="default"/>
      </w:rPr>
    </w:lvl>
  </w:abstractNum>
  <w:abstractNum w:abstractNumId="59" w15:restartNumberingAfterBreak="0">
    <w:nsid w:val="66AA66A0"/>
    <w:multiLevelType w:val="hybridMultilevel"/>
    <w:tmpl w:val="FFFFFFFF"/>
    <w:lvl w:ilvl="0" w:tplc="C346D154">
      <w:start w:val="1"/>
      <w:numFmt w:val="lowerRoman"/>
      <w:lvlText w:val="%1."/>
      <w:lvlJc w:val="left"/>
      <w:pPr>
        <w:ind w:left="720" w:hanging="360"/>
      </w:pPr>
    </w:lvl>
    <w:lvl w:ilvl="1" w:tplc="34C01942">
      <w:start w:val="1"/>
      <w:numFmt w:val="lowerLetter"/>
      <w:lvlText w:val="%2."/>
      <w:lvlJc w:val="left"/>
      <w:pPr>
        <w:ind w:left="1440" w:hanging="360"/>
      </w:pPr>
    </w:lvl>
    <w:lvl w:ilvl="2" w:tplc="74D47010">
      <w:start w:val="1"/>
      <w:numFmt w:val="lowerRoman"/>
      <w:lvlText w:val="%3."/>
      <w:lvlJc w:val="right"/>
      <w:pPr>
        <w:ind w:left="2160" w:hanging="180"/>
      </w:pPr>
    </w:lvl>
    <w:lvl w:ilvl="3" w:tplc="8D8E27BE">
      <w:start w:val="1"/>
      <w:numFmt w:val="decimal"/>
      <w:lvlText w:val="%4."/>
      <w:lvlJc w:val="left"/>
      <w:pPr>
        <w:ind w:left="2880" w:hanging="360"/>
      </w:pPr>
    </w:lvl>
    <w:lvl w:ilvl="4" w:tplc="143222B6">
      <w:start w:val="1"/>
      <w:numFmt w:val="lowerLetter"/>
      <w:lvlText w:val="%5."/>
      <w:lvlJc w:val="left"/>
      <w:pPr>
        <w:ind w:left="3600" w:hanging="360"/>
      </w:pPr>
    </w:lvl>
    <w:lvl w:ilvl="5" w:tplc="0316A44A">
      <w:start w:val="1"/>
      <w:numFmt w:val="lowerRoman"/>
      <w:lvlText w:val="%6."/>
      <w:lvlJc w:val="right"/>
      <w:pPr>
        <w:ind w:left="4320" w:hanging="180"/>
      </w:pPr>
    </w:lvl>
    <w:lvl w:ilvl="6" w:tplc="2B64E1BE">
      <w:start w:val="1"/>
      <w:numFmt w:val="decimal"/>
      <w:lvlText w:val="%7."/>
      <w:lvlJc w:val="left"/>
      <w:pPr>
        <w:ind w:left="5040" w:hanging="360"/>
      </w:pPr>
    </w:lvl>
    <w:lvl w:ilvl="7" w:tplc="EB907F2A">
      <w:start w:val="1"/>
      <w:numFmt w:val="lowerLetter"/>
      <w:lvlText w:val="%8."/>
      <w:lvlJc w:val="left"/>
      <w:pPr>
        <w:ind w:left="5760" w:hanging="360"/>
      </w:pPr>
    </w:lvl>
    <w:lvl w:ilvl="8" w:tplc="FA867504">
      <w:start w:val="1"/>
      <w:numFmt w:val="lowerRoman"/>
      <w:lvlText w:val="%9."/>
      <w:lvlJc w:val="right"/>
      <w:pPr>
        <w:ind w:left="6480" w:hanging="180"/>
      </w:pPr>
    </w:lvl>
  </w:abstractNum>
  <w:abstractNum w:abstractNumId="60" w15:restartNumberingAfterBreak="0">
    <w:nsid w:val="68E61F9D"/>
    <w:multiLevelType w:val="hybridMultilevel"/>
    <w:tmpl w:val="EB70EF3E"/>
    <w:lvl w:ilvl="0" w:tplc="ADF89916">
      <w:start w:val="1"/>
      <w:numFmt w:val="bullet"/>
      <w:lvlText w:val=""/>
      <w:lvlJc w:val="left"/>
      <w:pPr>
        <w:ind w:left="720" w:hanging="360"/>
      </w:pPr>
      <w:rPr>
        <w:rFonts w:ascii="Symbol" w:hAnsi="Symbol" w:hint="default"/>
      </w:rPr>
    </w:lvl>
    <w:lvl w:ilvl="1" w:tplc="542C81D4">
      <w:start w:val="1"/>
      <w:numFmt w:val="bullet"/>
      <w:lvlText w:val="o"/>
      <w:lvlJc w:val="left"/>
      <w:pPr>
        <w:ind w:left="1440" w:hanging="360"/>
      </w:pPr>
      <w:rPr>
        <w:rFonts w:ascii="Courier New" w:hAnsi="Courier New" w:hint="default"/>
      </w:rPr>
    </w:lvl>
    <w:lvl w:ilvl="2" w:tplc="04CE8CC8">
      <w:start w:val="1"/>
      <w:numFmt w:val="bullet"/>
      <w:lvlText w:val=""/>
      <w:lvlJc w:val="left"/>
      <w:pPr>
        <w:ind w:left="2160" w:hanging="360"/>
      </w:pPr>
      <w:rPr>
        <w:rFonts w:ascii="Wingdings" w:hAnsi="Wingdings" w:hint="default"/>
      </w:rPr>
    </w:lvl>
    <w:lvl w:ilvl="3" w:tplc="7A9E67E2">
      <w:start w:val="1"/>
      <w:numFmt w:val="bullet"/>
      <w:lvlText w:val=""/>
      <w:lvlJc w:val="left"/>
      <w:pPr>
        <w:ind w:left="2880" w:hanging="360"/>
      </w:pPr>
      <w:rPr>
        <w:rFonts w:ascii="Symbol" w:hAnsi="Symbol" w:hint="default"/>
      </w:rPr>
    </w:lvl>
    <w:lvl w:ilvl="4" w:tplc="D6E84416">
      <w:start w:val="1"/>
      <w:numFmt w:val="bullet"/>
      <w:lvlText w:val="o"/>
      <w:lvlJc w:val="left"/>
      <w:pPr>
        <w:ind w:left="3600" w:hanging="360"/>
      </w:pPr>
      <w:rPr>
        <w:rFonts w:ascii="Courier New" w:hAnsi="Courier New" w:hint="default"/>
      </w:rPr>
    </w:lvl>
    <w:lvl w:ilvl="5" w:tplc="6B8A12D0">
      <w:start w:val="1"/>
      <w:numFmt w:val="bullet"/>
      <w:lvlText w:val=""/>
      <w:lvlJc w:val="left"/>
      <w:pPr>
        <w:ind w:left="4320" w:hanging="360"/>
      </w:pPr>
      <w:rPr>
        <w:rFonts w:ascii="Wingdings" w:hAnsi="Wingdings" w:hint="default"/>
      </w:rPr>
    </w:lvl>
    <w:lvl w:ilvl="6" w:tplc="01D0F84A">
      <w:start w:val="1"/>
      <w:numFmt w:val="bullet"/>
      <w:lvlText w:val=""/>
      <w:lvlJc w:val="left"/>
      <w:pPr>
        <w:ind w:left="5040" w:hanging="360"/>
      </w:pPr>
      <w:rPr>
        <w:rFonts w:ascii="Symbol" w:hAnsi="Symbol" w:hint="default"/>
      </w:rPr>
    </w:lvl>
    <w:lvl w:ilvl="7" w:tplc="F46A4838">
      <w:start w:val="1"/>
      <w:numFmt w:val="bullet"/>
      <w:lvlText w:val="o"/>
      <w:lvlJc w:val="left"/>
      <w:pPr>
        <w:ind w:left="5760" w:hanging="360"/>
      </w:pPr>
      <w:rPr>
        <w:rFonts w:ascii="Courier New" w:hAnsi="Courier New" w:hint="default"/>
      </w:rPr>
    </w:lvl>
    <w:lvl w:ilvl="8" w:tplc="E6780DAC">
      <w:start w:val="1"/>
      <w:numFmt w:val="bullet"/>
      <w:lvlText w:val=""/>
      <w:lvlJc w:val="left"/>
      <w:pPr>
        <w:ind w:left="6480" w:hanging="360"/>
      </w:pPr>
      <w:rPr>
        <w:rFonts w:ascii="Wingdings" w:hAnsi="Wingdings" w:hint="default"/>
      </w:rPr>
    </w:lvl>
  </w:abstractNum>
  <w:abstractNum w:abstractNumId="61" w15:restartNumberingAfterBreak="0">
    <w:nsid w:val="6C4C7388"/>
    <w:multiLevelType w:val="hybridMultilevel"/>
    <w:tmpl w:val="FFFFFFFF"/>
    <w:lvl w:ilvl="0" w:tplc="07767FBC">
      <w:start w:val="1"/>
      <w:numFmt w:val="bullet"/>
      <w:lvlText w:val="·"/>
      <w:lvlJc w:val="left"/>
      <w:pPr>
        <w:ind w:left="720" w:hanging="360"/>
      </w:pPr>
      <w:rPr>
        <w:rFonts w:ascii="Symbol" w:hAnsi="Symbol" w:hint="default"/>
      </w:rPr>
    </w:lvl>
    <w:lvl w:ilvl="1" w:tplc="F70C1D2E">
      <w:start w:val="1"/>
      <w:numFmt w:val="bullet"/>
      <w:lvlText w:val="o"/>
      <w:lvlJc w:val="left"/>
      <w:pPr>
        <w:ind w:left="1440" w:hanging="360"/>
      </w:pPr>
      <w:rPr>
        <w:rFonts w:ascii="Courier New" w:hAnsi="Courier New" w:hint="default"/>
      </w:rPr>
    </w:lvl>
    <w:lvl w:ilvl="2" w:tplc="B958F9BE">
      <w:start w:val="1"/>
      <w:numFmt w:val="bullet"/>
      <w:lvlText w:val=""/>
      <w:lvlJc w:val="left"/>
      <w:pPr>
        <w:ind w:left="2160" w:hanging="360"/>
      </w:pPr>
      <w:rPr>
        <w:rFonts w:ascii="Wingdings" w:hAnsi="Wingdings" w:hint="default"/>
      </w:rPr>
    </w:lvl>
    <w:lvl w:ilvl="3" w:tplc="7B946BCC">
      <w:start w:val="1"/>
      <w:numFmt w:val="bullet"/>
      <w:lvlText w:val=""/>
      <w:lvlJc w:val="left"/>
      <w:pPr>
        <w:ind w:left="2880" w:hanging="360"/>
      </w:pPr>
      <w:rPr>
        <w:rFonts w:ascii="Symbol" w:hAnsi="Symbol" w:hint="default"/>
      </w:rPr>
    </w:lvl>
    <w:lvl w:ilvl="4" w:tplc="F95E3516">
      <w:start w:val="1"/>
      <w:numFmt w:val="bullet"/>
      <w:lvlText w:val="o"/>
      <w:lvlJc w:val="left"/>
      <w:pPr>
        <w:ind w:left="3600" w:hanging="360"/>
      </w:pPr>
      <w:rPr>
        <w:rFonts w:ascii="Courier New" w:hAnsi="Courier New" w:hint="default"/>
      </w:rPr>
    </w:lvl>
    <w:lvl w:ilvl="5" w:tplc="01A44356">
      <w:start w:val="1"/>
      <w:numFmt w:val="bullet"/>
      <w:lvlText w:val=""/>
      <w:lvlJc w:val="left"/>
      <w:pPr>
        <w:ind w:left="4320" w:hanging="360"/>
      </w:pPr>
      <w:rPr>
        <w:rFonts w:ascii="Wingdings" w:hAnsi="Wingdings" w:hint="default"/>
      </w:rPr>
    </w:lvl>
    <w:lvl w:ilvl="6" w:tplc="A22E4E40">
      <w:start w:val="1"/>
      <w:numFmt w:val="bullet"/>
      <w:lvlText w:val=""/>
      <w:lvlJc w:val="left"/>
      <w:pPr>
        <w:ind w:left="5040" w:hanging="360"/>
      </w:pPr>
      <w:rPr>
        <w:rFonts w:ascii="Symbol" w:hAnsi="Symbol" w:hint="default"/>
      </w:rPr>
    </w:lvl>
    <w:lvl w:ilvl="7" w:tplc="84E8344A">
      <w:start w:val="1"/>
      <w:numFmt w:val="bullet"/>
      <w:lvlText w:val="o"/>
      <w:lvlJc w:val="left"/>
      <w:pPr>
        <w:ind w:left="5760" w:hanging="360"/>
      </w:pPr>
      <w:rPr>
        <w:rFonts w:ascii="Courier New" w:hAnsi="Courier New" w:hint="default"/>
      </w:rPr>
    </w:lvl>
    <w:lvl w:ilvl="8" w:tplc="63C01A56">
      <w:start w:val="1"/>
      <w:numFmt w:val="bullet"/>
      <w:lvlText w:val=""/>
      <w:lvlJc w:val="left"/>
      <w:pPr>
        <w:ind w:left="6480" w:hanging="360"/>
      </w:pPr>
      <w:rPr>
        <w:rFonts w:ascii="Wingdings" w:hAnsi="Wingdings" w:hint="default"/>
      </w:rPr>
    </w:lvl>
  </w:abstractNum>
  <w:abstractNum w:abstractNumId="62" w15:restartNumberingAfterBreak="0">
    <w:nsid w:val="6FF01C95"/>
    <w:multiLevelType w:val="hybridMultilevel"/>
    <w:tmpl w:val="748EF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704304"/>
    <w:multiLevelType w:val="hybridMultilevel"/>
    <w:tmpl w:val="54663F18"/>
    <w:lvl w:ilvl="0" w:tplc="0CB281EC">
      <w:start w:val="1"/>
      <w:numFmt w:val="bullet"/>
      <w:lvlText w:val=""/>
      <w:lvlJc w:val="left"/>
      <w:pPr>
        <w:tabs>
          <w:tab w:val="num" w:pos="720"/>
        </w:tabs>
        <w:ind w:left="720" w:hanging="360"/>
      </w:pPr>
      <w:rPr>
        <w:rFonts w:ascii="Symbol" w:hAnsi="Symbol" w:hint="default"/>
        <w:sz w:val="20"/>
      </w:rPr>
    </w:lvl>
    <w:lvl w:ilvl="1" w:tplc="B2E6A224" w:tentative="1">
      <w:start w:val="1"/>
      <w:numFmt w:val="bullet"/>
      <w:lvlText w:val="o"/>
      <w:lvlJc w:val="left"/>
      <w:pPr>
        <w:tabs>
          <w:tab w:val="num" w:pos="1440"/>
        </w:tabs>
        <w:ind w:left="1440" w:hanging="360"/>
      </w:pPr>
      <w:rPr>
        <w:rFonts w:ascii="Courier New" w:hAnsi="Courier New" w:hint="default"/>
        <w:sz w:val="20"/>
      </w:rPr>
    </w:lvl>
    <w:lvl w:ilvl="2" w:tplc="C568C9B8" w:tentative="1">
      <w:start w:val="1"/>
      <w:numFmt w:val="bullet"/>
      <w:lvlText w:val=""/>
      <w:lvlJc w:val="left"/>
      <w:pPr>
        <w:tabs>
          <w:tab w:val="num" w:pos="2160"/>
        </w:tabs>
        <w:ind w:left="2160" w:hanging="360"/>
      </w:pPr>
      <w:rPr>
        <w:rFonts w:ascii="Wingdings" w:hAnsi="Wingdings" w:hint="default"/>
        <w:sz w:val="20"/>
      </w:rPr>
    </w:lvl>
    <w:lvl w:ilvl="3" w:tplc="0AD4BBFE" w:tentative="1">
      <w:start w:val="1"/>
      <w:numFmt w:val="bullet"/>
      <w:lvlText w:val=""/>
      <w:lvlJc w:val="left"/>
      <w:pPr>
        <w:tabs>
          <w:tab w:val="num" w:pos="2880"/>
        </w:tabs>
        <w:ind w:left="2880" w:hanging="360"/>
      </w:pPr>
      <w:rPr>
        <w:rFonts w:ascii="Wingdings" w:hAnsi="Wingdings" w:hint="default"/>
        <w:sz w:val="20"/>
      </w:rPr>
    </w:lvl>
    <w:lvl w:ilvl="4" w:tplc="777C3F16" w:tentative="1">
      <w:start w:val="1"/>
      <w:numFmt w:val="bullet"/>
      <w:lvlText w:val=""/>
      <w:lvlJc w:val="left"/>
      <w:pPr>
        <w:tabs>
          <w:tab w:val="num" w:pos="3600"/>
        </w:tabs>
        <w:ind w:left="3600" w:hanging="360"/>
      </w:pPr>
      <w:rPr>
        <w:rFonts w:ascii="Wingdings" w:hAnsi="Wingdings" w:hint="default"/>
        <w:sz w:val="20"/>
      </w:rPr>
    </w:lvl>
    <w:lvl w:ilvl="5" w:tplc="7EC2803C" w:tentative="1">
      <w:start w:val="1"/>
      <w:numFmt w:val="bullet"/>
      <w:lvlText w:val=""/>
      <w:lvlJc w:val="left"/>
      <w:pPr>
        <w:tabs>
          <w:tab w:val="num" w:pos="4320"/>
        </w:tabs>
        <w:ind w:left="4320" w:hanging="360"/>
      </w:pPr>
      <w:rPr>
        <w:rFonts w:ascii="Wingdings" w:hAnsi="Wingdings" w:hint="default"/>
        <w:sz w:val="20"/>
      </w:rPr>
    </w:lvl>
    <w:lvl w:ilvl="6" w:tplc="1696F0CA" w:tentative="1">
      <w:start w:val="1"/>
      <w:numFmt w:val="bullet"/>
      <w:lvlText w:val=""/>
      <w:lvlJc w:val="left"/>
      <w:pPr>
        <w:tabs>
          <w:tab w:val="num" w:pos="5040"/>
        </w:tabs>
        <w:ind w:left="5040" w:hanging="360"/>
      </w:pPr>
      <w:rPr>
        <w:rFonts w:ascii="Wingdings" w:hAnsi="Wingdings" w:hint="default"/>
        <w:sz w:val="20"/>
      </w:rPr>
    </w:lvl>
    <w:lvl w:ilvl="7" w:tplc="0988E728" w:tentative="1">
      <w:start w:val="1"/>
      <w:numFmt w:val="bullet"/>
      <w:lvlText w:val=""/>
      <w:lvlJc w:val="left"/>
      <w:pPr>
        <w:tabs>
          <w:tab w:val="num" w:pos="5760"/>
        </w:tabs>
        <w:ind w:left="5760" w:hanging="360"/>
      </w:pPr>
      <w:rPr>
        <w:rFonts w:ascii="Wingdings" w:hAnsi="Wingdings" w:hint="default"/>
        <w:sz w:val="20"/>
      </w:rPr>
    </w:lvl>
    <w:lvl w:ilvl="8" w:tplc="9030080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60"/>
  </w:num>
  <w:num w:numId="3">
    <w:abstractNumId w:val="20"/>
  </w:num>
  <w:num w:numId="4">
    <w:abstractNumId w:val="57"/>
  </w:num>
  <w:num w:numId="5">
    <w:abstractNumId w:val="37"/>
  </w:num>
  <w:num w:numId="6">
    <w:abstractNumId w:val="62"/>
  </w:num>
  <w:num w:numId="7">
    <w:abstractNumId w:val="42"/>
  </w:num>
  <w:num w:numId="8">
    <w:abstractNumId w:val="13"/>
  </w:num>
  <w:num w:numId="9">
    <w:abstractNumId w:val="33"/>
  </w:num>
  <w:num w:numId="10">
    <w:abstractNumId w:val="22"/>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39"/>
  </w:num>
  <w:num w:numId="14">
    <w:abstractNumId w:val="12"/>
  </w:num>
  <w:num w:numId="15">
    <w:abstractNumId w:val="58"/>
  </w:num>
  <w:num w:numId="16">
    <w:abstractNumId w:val="32"/>
  </w:num>
  <w:num w:numId="17">
    <w:abstractNumId w:val="56"/>
  </w:num>
  <w:num w:numId="18">
    <w:abstractNumId w:val="59"/>
  </w:num>
  <w:num w:numId="19">
    <w:abstractNumId w:val="41"/>
  </w:num>
  <w:num w:numId="20">
    <w:abstractNumId w:val="55"/>
  </w:num>
  <w:num w:numId="21">
    <w:abstractNumId w:val="38"/>
  </w:num>
  <w:num w:numId="22">
    <w:abstractNumId w:val="49"/>
  </w:num>
  <w:num w:numId="23">
    <w:abstractNumId w:val="21"/>
  </w:num>
  <w:num w:numId="24">
    <w:abstractNumId w:val="46"/>
  </w:num>
  <w:num w:numId="25">
    <w:abstractNumId w:val="40"/>
  </w:num>
  <w:num w:numId="26">
    <w:abstractNumId w:val="47"/>
  </w:num>
  <w:num w:numId="27">
    <w:abstractNumId w:val="51"/>
  </w:num>
  <w:num w:numId="28">
    <w:abstractNumId w:val="25"/>
  </w:num>
  <w:num w:numId="29">
    <w:abstractNumId w:val="31"/>
  </w:num>
  <w:num w:numId="30">
    <w:abstractNumId w:val="16"/>
  </w:num>
  <w:num w:numId="31">
    <w:abstractNumId w:val="52"/>
  </w:num>
  <w:num w:numId="32">
    <w:abstractNumId w:val="30"/>
  </w:num>
  <w:num w:numId="33">
    <w:abstractNumId w:val="17"/>
  </w:num>
  <w:num w:numId="34">
    <w:abstractNumId w:val="11"/>
  </w:num>
  <w:num w:numId="35">
    <w:abstractNumId w:val="15"/>
  </w:num>
  <w:num w:numId="36">
    <w:abstractNumId w:val="24"/>
  </w:num>
  <w:num w:numId="37">
    <w:abstractNumId w:val="35"/>
  </w:num>
  <w:num w:numId="38">
    <w:abstractNumId w:val="10"/>
  </w:num>
  <w:num w:numId="39">
    <w:abstractNumId w:val="43"/>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53"/>
  </w:num>
  <w:num w:numId="51">
    <w:abstractNumId w:val="54"/>
  </w:num>
  <w:num w:numId="52">
    <w:abstractNumId w:val="50"/>
  </w:num>
  <w:num w:numId="53">
    <w:abstractNumId w:val="61"/>
  </w:num>
  <w:num w:numId="54">
    <w:abstractNumId w:val="36"/>
  </w:num>
  <w:num w:numId="55">
    <w:abstractNumId w:val="45"/>
  </w:num>
  <w:num w:numId="56">
    <w:abstractNumId w:val="29"/>
  </w:num>
  <w:num w:numId="57">
    <w:abstractNumId w:val="28"/>
  </w:num>
  <w:num w:numId="58">
    <w:abstractNumId w:val="48"/>
  </w:num>
  <w:num w:numId="59">
    <w:abstractNumId w:val="63"/>
  </w:num>
  <w:num w:numId="60">
    <w:abstractNumId w:val="19"/>
  </w:num>
  <w:num w:numId="61">
    <w:abstractNumId w:val="18"/>
  </w:num>
  <w:num w:numId="62">
    <w:abstractNumId w:val="27"/>
  </w:num>
  <w:num w:numId="63">
    <w:abstractNumId w:val="14"/>
  </w:num>
  <w:num w:numId="64">
    <w:abstractNumId w:val="2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wMgFSFqaGFgaWBko6SsGpxcWZ+XkgBSa1ADP7554sAAAA"/>
  </w:docVars>
  <w:rsids>
    <w:rsidRoot w:val="00E417F0"/>
    <w:rsid w:val="000028FB"/>
    <w:rsid w:val="0000322B"/>
    <w:rsid w:val="0000334C"/>
    <w:rsid w:val="00003371"/>
    <w:rsid w:val="000040FF"/>
    <w:rsid w:val="000049F6"/>
    <w:rsid w:val="000053AE"/>
    <w:rsid w:val="000056C4"/>
    <w:rsid w:val="00006005"/>
    <w:rsid w:val="00007BBE"/>
    <w:rsid w:val="00007CB0"/>
    <w:rsid w:val="00010727"/>
    <w:rsid w:val="000107B7"/>
    <w:rsid w:val="00010DF2"/>
    <w:rsid w:val="000116C7"/>
    <w:rsid w:val="00011F44"/>
    <w:rsid w:val="0001288B"/>
    <w:rsid w:val="000137B6"/>
    <w:rsid w:val="00014361"/>
    <w:rsid w:val="000153B1"/>
    <w:rsid w:val="000156DF"/>
    <w:rsid w:val="00017E3D"/>
    <w:rsid w:val="00024147"/>
    <w:rsid w:val="000244EF"/>
    <w:rsid w:val="000262D4"/>
    <w:rsid w:val="0002649B"/>
    <w:rsid w:val="00026583"/>
    <w:rsid w:val="00026FC6"/>
    <w:rsid w:val="00027418"/>
    <w:rsid w:val="0002759F"/>
    <w:rsid w:val="00027AE9"/>
    <w:rsid w:val="00027DB1"/>
    <w:rsid w:val="000309D8"/>
    <w:rsid w:val="00031A26"/>
    <w:rsid w:val="00031ABF"/>
    <w:rsid w:val="0003274E"/>
    <w:rsid w:val="0003355E"/>
    <w:rsid w:val="00033E4F"/>
    <w:rsid w:val="0003493B"/>
    <w:rsid w:val="00034E3F"/>
    <w:rsid w:val="00035430"/>
    <w:rsid w:val="000370AB"/>
    <w:rsid w:val="0003745F"/>
    <w:rsid w:val="000374F9"/>
    <w:rsid w:val="00037E07"/>
    <w:rsid w:val="000424BF"/>
    <w:rsid w:val="00043239"/>
    <w:rsid w:val="00043C9F"/>
    <w:rsid w:val="00045C04"/>
    <w:rsid w:val="00045C61"/>
    <w:rsid w:val="000460CE"/>
    <w:rsid w:val="0004676A"/>
    <w:rsid w:val="000469CD"/>
    <w:rsid w:val="00047A90"/>
    <w:rsid w:val="00050408"/>
    <w:rsid w:val="000518CC"/>
    <w:rsid w:val="00051CFE"/>
    <w:rsid w:val="00052E47"/>
    <w:rsid w:val="00053215"/>
    <w:rsid w:val="00054668"/>
    <w:rsid w:val="0005482D"/>
    <w:rsid w:val="00056037"/>
    <w:rsid w:val="000578B1"/>
    <w:rsid w:val="00061D17"/>
    <w:rsid w:val="00061E76"/>
    <w:rsid w:val="00062C77"/>
    <w:rsid w:val="00063B53"/>
    <w:rsid w:val="00063E40"/>
    <w:rsid w:val="00064AB7"/>
    <w:rsid w:val="00065E84"/>
    <w:rsid w:val="00065F15"/>
    <w:rsid w:val="00066ADB"/>
    <w:rsid w:val="000678C0"/>
    <w:rsid w:val="00070DFD"/>
    <w:rsid w:val="00073138"/>
    <w:rsid w:val="0007328D"/>
    <w:rsid w:val="00073F4F"/>
    <w:rsid w:val="00074069"/>
    <w:rsid w:val="000742FF"/>
    <w:rsid w:val="000753F6"/>
    <w:rsid w:val="00075D3A"/>
    <w:rsid w:val="00076134"/>
    <w:rsid w:val="00076250"/>
    <w:rsid w:val="00077085"/>
    <w:rsid w:val="00080ED9"/>
    <w:rsid w:val="00081CBF"/>
    <w:rsid w:val="00081F83"/>
    <w:rsid w:val="000821F8"/>
    <w:rsid w:val="00082C60"/>
    <w:rsid w:val="0008446A"/>
    <w:rsid w:val="00086879"/>
    <w:rsid w:val="000874C3"/>
    <w:rsid w:val="0009008C"/>
    <w:rsid w:val="0009039D"/>
    <w:rsid w:val="0009087B"/>
    <w:rsid w:val="000908AB"/>
    <w:rsid w:val="00090B2D"/>
    <w:rsid w:val="00090EB8"/>
    <w:rsid w:val="00094BCD"/>
    <w:rsid w:val="00095C1A"/>
    <w:rsid w:val="00096785"/>
    <w:rsid w:val="00096CE5"/>
    <w:rsid w:val="00097575"/>
    <w:rsid w:val="00097B43"/>
    <w:rsid w:val="000A1609"/>
    <w:rsid w:val="000A16CD"/>
    <w:rsid w:val="000A26E8"/>
    <w:rsid w:val="000A2C27"/>
    <w:rsid w:val="000A34CA"/>
    <w:rsid w:val="000A34E6"/>
    <w:rsid w:val="000A3FDE"/>
    <w:rsid w:val="000A4604"/>
    <w:rsid w:val="000A468D"/>
    <w:rsid w:val="000A528F"/>
    <w:rsid w:val="000A5BCB"/>
    <w:rsid w:val="000A6A63"/>
    <w:rsid w:val="000A6DD0"/>
    <w:rsid w:val="000A776A"/>
    <w:rsid w:val="000B0727"/>
    <w:rsid w:val="000B0D2B"/>
    <w:rsid w:val="000B214C"/>
    <w:rsid w:val="000B2201"/>
    <w:rsid w:val="000B247A"/>
    <w:rsid w:val="000B376D"/>
    <w:rsid w:val="000B3ABD"/>
    <w:rsid w:val="000B3B5A"/>
    <w:rsid w:val="000B3CFA"/>
    <w:rsid w:val="000B4C64"/>
    <w:rsid w:val="000B6D1B"/>
    <w:rsid w:val="000B72AB"/>
    <w:rsid w:val="000B788D"/>
    <w:rsid w:val="000C0C46"/>
    <w:rsid w:val="000C120E"/>
    <w:rsid w:val="000C19C9"/>
    <w:rsid w:val="000C2F37"/>
    <w:rsid w:val="000C3838"/>
    <w:rsid w:val="000C4436"/>
    <w:rsid w:val="000C58B8"/>
    <w:rsid w:val="000C5BCB"/>
    <w:rsid w:val="000C5BD7"/>
    <w:rsid w:val="000C6483"/>
    <w:rsid w:val="000C7620"/>
    <w:rsid w:val="000C783F"/>
    <w:rsid w:val="000C79F5"/>
    <w:rsid w:val="000D05C8"/>
    <w:rsid w:val="000D12BD"/>
    <w:rsid w:val="000D1BBA"/>
    <w:rsid w:val="000D20C2"/>
    <w:rsid w:val="000D26C0"/>
    <w:rsid w:val="000D2849"/>
    <w:rsid w:val="000D2983"/>
    <w:rsid w:val="000D3FE0"/>
    <w:rsid w:val="000D406C"/>
    <w:rsid w:val="000D4798"/>
    <w:rsid w:val="000D563D"/>
    <w:rsid w:val="000D5FFA"/>
    <w:rsid w:val="000D6BD5"/>
    <w:rsid w:val="000D6E5D"/>
    <w:rsid w:val="000D7174"/>
    <w:rsid w:val="000E0E46"/>
    <w:rsid w:val="000E1537"/>
    <w:rsid w:val="000E191A"/>
    <w:rsid w:val="000E209F"/>
    <w:rsid w:val="000E2201"/>
    <w:rsid w:val="000E2B2C"/>
    <w:rsid w:val="000E2B81"/>
    <w:rsid w:val="000E3063"/>
    <w:rsid w:val="000E3440"/>
    <w:rsid w:val="000E3741"/>
    <w:rsid w:val="000E38D2"/>
    <w:rsid w:val="000E43FB"/>
    <w:rsid w:val="000E4A82"/>
    <w:rsid w:val="000E5E76"/>
    <w:rsid w:val="000E611B"/>
    <w:rsid w:val="000E635D"/>
    <w:rsid w:val="000E6D27"/>
    <w:rsid w:val="000E6E6E"/>
    <w:rsid w:val="000E72F6"/>
    <w:rsid w:val="000E73F4"/>
    <w:rsid w:val="000E79F0"/>
    <w:rsid w:val="000F0C1E"/>
    <w:rsid w:val="000F0FFB"/>
    <w:rsid w:val="000F142E"/>
    <w:rsid w:val="000F50A0"/>
    <w:rsid w:val="000F50CD"/>
    <w:rsid w:val="000F55D4"/>
    <w:rsid w:val="000F5ACB"/>
    <w:rsid w:val="000F67B0"/>
    <w:rsid w:val="000F73B3"/>
    <w:rsid w:val="000F7523"/>
    <w:rsid w:val="000F7852"/>
    <w:rsid w:val="000F795D"/>
    <w:rsid w:val="001003AC"/>
    <w:rsid w:val="0010069C"/>
    <w:rsid w:val="0010073B"/>
    <w:rsid w:val="00100F6B"/>
    <w:rsid w:val="001027C1"/>
    <w:rsid w:val="00103A46"/>
    <w:rsid w:val="00103F9D"/>
    <w:rsid w:val="001043A8"/>
    <w:rsid w:val="00104F3C"/>
    <w:rsid w:val="00105302"/>
    <w:rsid w:val="00105DF2"/>
    <w:rsid w:val="001064D3"/>
    <w:rsid w:val="00106B84"/>
    <w:rsid w:val="00106D21"/>
    <w:rsid w:val="00110666"/>
    <w:rsid w:val="00110ACE"/>
    <w:rsid w:val="00110DE3"/>
    <w:rsid w:val="001122A5"/>
    <w:rsid w:val="0011359E"/>
    <w:rsid w:val="00114A40"/>
    <w:rsid w:val="00114C31"/>
    <w:rsid w:val="001161C6"/>
    <w:rsid w:val="0011621D"/>
    <w:rsid w:val="001165F4"/>
    <w:rsid w:val="001169DD"/>
    <w:rsid w:val="00117373"/>
    <w:rsid w:val="001175BA"/>
    <w:rsid w:val="00120E99"/>
    <w:rsid w:val="00121D73"/>
    <w:rsid w:val="00121ECD"/>
    <w:rsid w:val="0012684D"/>
    <w:rsid w:val="0012722A"/>
    <w:rsid w:val="00127F39"/>
    <w:rsid w:val="001304F8"/>
    <w:rsid w:val="00133C29"/>
    <w:rsid w:val="001350DD"/>
    <w:rsid w:val="0013550B"/>
    <w:rsid w:val="00135DAD"/>
    <w:rsid w:val="0013784A"/>
    <w:rsid w:val="00137B59"/>
    <w:rsid w:val="00142CC5"/>
    <w:rsid w:val="00143661"/>
    <w:rsid w:val="00143762"/>
    <w:rsid w:val="00144680"/>
    <w:rsid w:val="001454AA"/>
    <w:rsid w:val="00146056"/>
    <w:rsid w:val="00147056"/>
    <w:rsid w:val="001477F1"/>
    <w:rsid w:val="00147A31"/>
    <w:rsid w:val="0015019E"/>
    <w:rsid w:val="00150E96"/>
    <w:rsid w:val="00150EFC"/>
    <w:rsid w:val="001539F4"/>
    <w:rsid w:val="00153C22"/>
    <w:rsid w:val="00153E5E"/>
    <w:rsid w:val="001542B8"/>
    <w:rsid w:val="0015480E"/>
    <w:rsid w:val="00154BC9"/>
    <w:rsid w:val="00154DE0"/>
    <w:rsid w:val="00155F77"/>
    <w:rsid w:val="00156FD6"/>
    <w:rsid w:val="0015713C"/>
    <w:rsid w:val="00157545"/>
    <w:rsid w:val="00157858"/>
    <w:rsid w:val="0015785A"/>
    <w:rsid w:val="00157988"/>
    <w:rsid w:val="0015911D"/>
    <w:rsid w:val="0016125A"/>
    <w:rsid w:val="001612A9"/>
    <w:rsid w:val="00161B59"/>
    <w:rsid w:val="00162189"/>
    <w:rsid w:val="00164084"/>
    <w:rsid w:val="00164596"/>
    <w:rsid w:val="00164677"/>
    <w:rsid w:val="0016554F"/>
    <w:rsid w:val="00165568"/>
    <w:rsid w:val="00165F18"/>
    <w:rsid w:val="001662B1"/>
    <w:rsid w:val="001665EF"/>
    <w:rsid w:val="00166B06"/>
    <w:rsid w:val="00166BCE"/>
    <w:rsid w:val="00170C33"/>
    <w:rsid w:val="001713E7"/>
    <w:rsid w:val="00172289"/>
    <w:rsid w:val="001734A3"/>
    <w:rsid w:val="00173C4E"/>
    <w:rsid w:val="001747D2"/>
    <w:rsid w:val="00174FC4"/>
    <w:rsid w:val="00175030"/>
    <w:rsid w:val="001753C5"/>
    <w:rsid w:val="00175710"/>
    <w:rsid w:val="0017653C"/>
    <w:rsid w:val="00177CE2"/>
    <w:rsid w:val="00177FC4"/>
    <w:rsid w:val="00180138"/>
    <w:rsid w:val="00180A0B"/>
    <w:rsid w:val="00180A64"/>
    <w:rsid w:val="00181499"/>
    <w:rsid w:val="00184521"/>
    <w:rsid w:val="00184A28"/>
    <w:rsid w:val="00185B97"/>
    <w:rsid w:val="00186A4F"/>
    <w:rsid w:val="00187637"/>
    <w:rsid w:val="00191EEB"/>
    <w:rsid w:val="001922EC"/>
    <w:rsid w:val="0019245B"/>
    <w:rsid w:val="00192F57"/>
    <w:rsid w:val="00193AC8"/>
    <w:rsid w:val="0019412E"/>
    <w:rsid w:val="00194D26"/>
    <w:rsid w:val="00194F20"/>
    <w:rsid w:val="00195557"/>
    <w:rsid w:val="00195ADC"/>
    <w:rsid w:val="00196B85"/>
    <w:rsid w:val="001974E1"/>
    <w:rsid w:val="00197B01"/>
    <w:rsid w:val="00197E0C"/>
    <w:rsid w:val="001A162B"/>
    <w:rsid w:val="001A29F5"/>
    <w:rsid w:val="001A2C44"/>
    <w:rsid w:val="001A34D1"/>
    <w:rsid w:val="001A3E1B"/>
    <w:rsid w:val="001A6397"/>
    <w:rsid w:val="001A64E4"/>
    <w:rsid w:val="001A69FF"/>
    <w:rsid w:val="001A74E7"/>
    <w:rsid w:val="001A7842"/>
    <w:rsid w:val="001A7C65"/>
    <w:rsid w:val="001A7CEA"/>
    <w:rsid w:val="001B0983"/>
    <w:rsid w:val="001B2626"/>
    <w:rsid w:val="001B32D0"/>
    <w:rsid w:val="001B4122"/>
    <w:rsid w:val="001B428E"/>
    <w:rsid w:val="001B4BEA"/>
    <w:rsid w:val="001B5146"/>
    <w:rsid w:val="001B6075"/>
    <w:rsid w:val="001B67EC"/>
    <w:rsid w:val="001B6A12"/>
    <w:rsid w:val="001B7150"/>
    <w:rsid w:val="001C06DD"/>
    <w:rsid w:val="001C15A2"/>
    <w:rsid w:val="001C1714"/>
    <w:rsid w:val="001C2361"/>
    <w:rsid w:val="001C3190"/>
    <w:rsid w:val="001C3914"/>
    <w:rsid w:val="001C3BA8"/>
    <w:rsid w:val="001C4083"/>
    <w:rsid w:val="001C4976"/>
    <w:rsid w:val="001C4C05"/>
    <w:rsid w:val="001C5927"/>
    <w:rsid w:val="001C6D6F"/>
    <w:rsid w:val="001C6D80"/>
    <w:rsid w:val="001C7504"/>
    <w:rsid w:val="001D016A"/>
    <w:rsid w:val="001D1915"/>
    <w:rsid w:val="001D19F9"/>
    <w:rsid w:val="001D2366"/>
    <w:rsid w:val="001D24BD"/>
    <w:rsid w:val="001D2D4A"/>
    <w:rsid w:val="001D3038"/>
    <w:rsid w:val="001D370E"/>
    <w:rsid w:val="001D3E60"/>
    <w:rsid w:val="001D54AB"/>
    <w:rsid w:val="001D64AE"/>
    <w:rsid w:val="001D6E4A"/>
    <w:rsid w:val="001E01F9"/>
    <w:rsid w:val="001E0840"/>
    <w:rsid w:val="001E0B91"/>
    <w:rsid w:val="001E0EB2"/>
    <w:rsid w:val="001E0EE8"/>
    <w:rsid w:val="001E1697"/>
    <w:rsid w:val="001E1AC3"/>
    <w:rsid w:val="001E2330"/>
    <w:rsid w:val="001E41BA"/>
    <w:rsid w:val="001E4D30"/>
    <w:rsid w:val="001E64B3"/>
    <w:rsid w:val="001E6E5B"/>
    <w:rsid w:val="001E73BB"/>
    <w:rsid w:val="001F0ACB"/>
    <w:rsid w:val="001F0F5C"/>
    <w:rsid w:val="001F1BD0"/>
    <w:rsid w:val="001F298D"/>
    <w:rsid w:val="001F2BB4"/>
    <w:rsid w:val="001F2DF8"/>
    <w:rsid w:val="001F31BE"/>
    <w:rsid w:val="001F33F4"/>
    <w:rsid w:val="001F4629"/>
    <w:rsid w:val="001F51DE"/>
    <w:rsid w:val="001F5538"/>
    <w:rsid w:val="001F5D4C"/>
    <w:rsid w:val="001F67C8"/>
    <w:rsid w:val="001F6B91"/>
    <w:rsid w:val="001F6EED"/>
    <w:rsid w:val="001F737C"/>
    <w:rsid w:val="001F7E02"/>
    <w:rsid w:val="001F7E0F"/>
    <w:rsid w:val="002000F5"/>
    <w:rsid w:val="00200CD7"/>
    <w:rsid w:val="00202B4C"/>
    <w:rsid w:val="00202C4A"/>
    <w:rsid w:val="00202FD7"/>
    <w:rsid w:val="0020334F"/>
    <w:rsid w:val="00204953"/>
    <w:rsid w:val="00205DB5"/>
    <w:rsid w:val="00205DE1"/>
    <w:rsid w:val="00206249"/>
    <w:rsid w:val="00206415"/>
    <w:rsid w:val="0020684A"/>
    <w:rsid w:val="0020784E"/>
    <w:rsid w:val="00210D94"/>
    <w:rsid w:val="002111CB"/>
    <w:rsid w:val="002119C4"/>
    <w:rsid w:val="00212954"/>
    <w:rsid w:val="00213962"/>
    <w:rsid w:val="00213B57"/>
    <w:rsid w:val="00213BCA"/>
    <w:rsid w:val="0021477A"/>
    <w:rsid w:val="0021484B"/>
    <w:rsid w:val="00215200"/>
    <w:rsid w:val="00215229"/>
    <w:rsid w:val="00215ADC"/>
    <w:rsid w:val="00216500"/>
    <w:rsid w:val="00216B69"/>
    <w:rsid w:val="0021795F"/>
    <w:rsid w:val="00217C12"/>
    <w:rsid w:val="00217F18"/>
    <w:rsid w:val="002200A2"/>
    <w:rsid w:val="00221CFD"/>
    <w:rsid w:val="0022218E"/>
    <w:rsid w:val="00222856"/>
    <w:rsid w:val="002228E7"/>
    <w:rsid w:val="00222C57"/>
    <w:rsid w:val="00223907"/>
    <w:rsid w:val="00225890"/>
    <w:rsid w:val="002272A1"/>
    <w:rsid w:val="00227635"/>
    <w:rsid w:val="00227C5C"/>
    <w:rsid w:val="00230E60"/>
    <w:rsid w:val="002317B9"/>
    <w:rsid w:val="00231D35"/>
    <w:rsid w:val="002325AF"/>
    <w:rsid w:val="002325E6"/>
    <w:rsid w:val="002331B8"/>
    <w:rsid w:val="002331D1"/>
    <w:rsid w:val="002335A4"/>
    <w:rsid w:val="00233D6B"/>
    <w:rsid w:val="00233E12"/>
    <w:rsid w:val="002343C4"/>
    <w:rsid w:val="002345AB"/>
    <w:rsid w:val="00235C09"/>
    <w:rsid w:val="002364A7"/>
    <w:rsid w:val="00236812"/>
    <w:rsid w:val="00236D29"/>
    <w:rsid w:val="0023D993"/>
    <w:rsid w:val="00240866"/>
    <w:rsid w:val="00240ACF"/>
    <w:rsid w:val="002416C5"/>
    <w:rsid w:val="00242445"/>
    <w:rsid w:val="00242A06"/>
    <w:rsid w:val="00243CFC"/>
    <w:rsid w:val="00244B14"/>
    <w:rsid w:val="00245FB7"/>
    <w:rsid w:val="00246310"/>
    <w:rsid w:val="00246675"/>
    <w:rsid w:val="00247E45"/>
    <w:rsid w:val="0024FF6D"/>
    <w:rsid w:val="0025069A"/>
    <w:rsid w:val="00251003"/>
    <w:rsid w:val="00251063"/>
    <w:rsid w:val="002515FC"/>
    <w:rsid w:val="0025248A"/>
    <w:rsid w:val="00252792"/>
    <w:rsid w:val="00254178"/>
    <w:rsid w:val="002543D6"/>
    <w:rsid w:val="002549AB"/>
    <w:rsid w:val="00254B36"/>
    <w:rsid w:val="00255325"/>
    <w:rsid w:val="00255B2C"/>
    <w:rsid w:val="002568C3"/>
    <w:rsid w:val="00256BBF"/>
    <w:rsid w:val="00261860"/>
    <w:rsid w:val="00262364"/>
    <w:rsid w:val="00262BEF"/>
    <w:rsid w:val="002635DB"/>
    <w:rsid w:val="00263720"/>
    <w:rsid w:val="00265408"/>
    <w:rsid w:val="0026638A"/>
    <w:rsid w:val="00266FB8"/>
    <w:rsid w:val="0027063C"/>
    <w:rsid w:val="00270987"/>
    <w:rsid w:val="00270CD1"/>
    <w:rsid w:val="0027152A"/>
    <w:rsid w:val="00271A6E"/>
    <w:rsid w:val="00271C5D"/>
    <w:rsid w:val="00272322"/>
    <w:rsid w:val="00272A39"/>
    <w:rsid w:val="00272E83"/>
    <w:rsid w:val="00274608"/>
    <w:rsid w:val="0027462F"/>
    <w:rsid w:val="00275FF0"/>
    <w:rsid w:val="00276B39"/>
    <w:rsid w:val="00277921"/>
    <w:rsid w:val="002803D6"/>
    <w:rsid w:val="0028060B"/>
    <w:rsid w:val="00281428"/>
    <w:rsid w:val="00281641"/>
    <w:rsid w:val="00281960"/>
    <w:rsid w:val="00282695"/>
    <w:rsid w:val="00282697"/>
    <w:rsid w:val="002837F3"/>
    <w:rsid w:val="00283AF5"/>
    <w:rsid w:val="002849DD"/>
    <w:rsid w:val="00285090"/>
    <w:rsid w:val="00285A39"/>
    <w:rsid w:val="00285ACB"/>
    <w:rsid w:val="00286908"/>
    <w:rsid w:val="00286C8F"/>
    <w:rsid w:val="00287205"/>
    <w:rsid w:val="0028741E"/>
    <w:rsid w:val="0028794E"/>
    <w:rsid w:val="00287B85"/>
    <w:rsid w:val="00290245"/>
    <w:rsid w:val="002917FE"/>
    <w:rsid w:val="002928FA"/>
    <w:rsid w:val="002929B3"/>
    <w:rsid w:val="00292F7C"/>
    <w:rsid w:val="0029300D"/>
    <w:rsid w:val="0029504F"/>
    <w:rsid w:val="00295623"/>
    <w:rsid w:val="00295B80"/>
    <w:rsid w:val="002963C4"/>
    <w:rsid w:val="00296965"/>
    <w:rsid w:val="00296DF8"/>
    <w:rsid w:val="00297629"/>
    <w:rsid w:val="00297AEB"/>
    <w:rsid w:val="002A0038"/>
    <w:rsid w:val="002A0750"/>
    <w:rsid w:val="002A07D0"/>
    <w:rsid w:val="002A0FEA"/>
    <w:rsid w:val="002A1328"/>
    <w:rsid w:val="002A1738"/>
    <w:rsid w:val="002A17E6"/>
    <w:rsid w:val="002A25A3"/>
    <w:rsid w:val="002A2E25"/>
    <w:rsid w:val="002A363E"/>
    <w:rsid w:val="002A386B"/>
    <w:rsid w:val="002A3BE1"/>
    <w:rsid w:val="002A4C2F"/>
    <w:rsid w:val="002A5085"/>
    <w:rsid w:val="002A5336"/>
    <w:rsid w:val="002A5FA2"/>
    <w:rsid w:val="002A6ED0"/>
    <w:rsid w:val="002A7B20"/>
    <w:rsid w:val="002A7D70"/>
    <w:rsid w:val="002B0656"/>
    <w:rsid w:val="002B0ECF"/>
    <w:rsid w:val="002B119F"/>
    <w:rsid w:val="002B155E"/>
    <w:rsid w:val="002B17B1"/>
    <w:rsid w:val="002B1D71"/>
    <w:rsid w:val="002B21B6"/>
    <w:rsid w:val="002B2D05"/>
    <w:rsid w:val="002B330A"/>
    <w:rsid w:val="002B38B6"/>
    <w:rsid w:val="002B3D3B"/>
    <w:rsid w:val="002B417B"/>
    <w:rsid w:val="002B48F5"/>
    <w:rsid w:val="002B50C1"/>
    <w:rsid w:val="002B5C5A"/>
    <w:rsid w:val="002B6996"/>
    <w:rsid w:val="002B6CD6"/>
    <w:rsid w:val="002C0AD7"/>
    <w:rsid w:val="002C1A0A"/>
    <w:rsid w:val="002C1D74"/>
    <w:rsid w:val="002C23C0"/>
    <w:rsid w:val="002C2DA3"/>
    <w:rsid w:val="002C3889"/>
    <w:rsid w:val="002C3897"/>
    <w:rsid w:val="002C4F10"/>
    <w:rsid w:val="002C550F"/>
    <w:rsid w:val="002C5B4D"/>
    <w:rsid w:val="002C6237"/>
    <w:rsid w:val="002D06D1"/>
    <w:rsid w:val="002D0D63"/>
    <w:rsid w:val="002D0DED"/>
    <w:rsid w:val="002D10B3"/>
    <w:rsid w:val="002D1720"/>
    <w:rsid w:val="002D1957"/>
    <w:rsid w:val="002D2CBD"/>
    <w:rsid w:val="002D33A9"/>
    <w:rsid w:val="002D3E52"/>
    <w:rsid w:val="002D4399"/>
    <w:rsid w:val="002D4D10"/>
    <w:rsid w:val="002D5F01"/>
    <w:rsid w:val="002D63A6"/>
    <w:rsid w:val="002D6577"/>
    <w:rsid w:val="002D69BD"/>
    <w:rsid w:val="002D6ACD"/>
    <w:rsid w:val="002D6EE5"/>
    <w:rsid w:val="002D786A"/>
    <w:rsid w:val="002E0F4E"/>
    <w:rsid w:val="002E2194"/>
    <w:rsid w:val="002E2227"/>
    <w:rsid w:val="002E3964"/>
    <w:rsid w:val="002E40A5"/>
    <w:rsid w:val="002E5AE2"/>
    <w:rsid w:val="002E7346"/>
    <w:rsid w:val="002E7599"/>
    <w:rsid w:val="002E7BE3"/>
    <w:rsid w:val="002F0A49"/>
    <w:rsid w:val="002F0C1C"/>
    <w:rsid w:val="002F12ED"/>
    <w:rsid w:val="002F1D1B"/>
    <w:rsid w:val="002F2D78"/>
    <w:rsid w:val="002F33F3"/>
    <w:rsid w:val="002F409A"/>
    <w:rsid w:val="002F5793"/>
    <w:rsid w:val="002F7439"/>
    <w:rsid w:val="00300685"/>
    <w:rsid w:val="00300816"/>
    <w:rsid w:val="00301131"/>
    <w:rsid w:val="00301619"/>
    <w:rsid w:val="00301D9B"/>
    <w:rsid w:val="00303248"/>
    <w:rsid w:val="00303F8F"/>
    <w:rsid w:val="0030432E"/>
    <w:rsid w:val="00305077"/>
    <w:rsid w:val="0030584F"/>
    <w:rsid w:val="0030595F"/>
    <w:rsid w:val="00305B99"/>
    <w:rsid w:val="00306F4D"/>
    <w:rsid w:val="0030702E"/>
    <w:rsid w:val="00307202"/>
    <w:rsid w:val="00307D50"/>
    <w:rsid w:val="00310DBF"/>
    <w:rsid w:val="00314747"/>
    <w:rsid w:val="00315331"/>
    <w:rsid w:val="0031559F"/>
    <w:rsid w:val="00316EEE"/>
    <w:rsid w:val="00317C0F"/>
    <w:rsid w:val="00320417"/>
    <w:rsid w:val="0032050F"/>
    <w:rsid w:val="00321720"/>
    <w:rsid w:val="00321D50"/>
    <w:rsid w:val="00321DCB"/>
    <w:rsid w:val="00322689"/>
    <w:rsid w:val="003234BC"/>
    <w:rsid w:val="00323D82"/>
    <w:rsid w:val="00324DF6"/>
    <w:rsid w:val="003269FF"/>
    <w:rsid w:val="00326D5B"/>
    <w:rsid w:val="00326DB5"/>
    <w:rsid w:val="003271C2"/>
    <w:rsid w:val="00327B20"/>
    <w:rsid w:val="00327DC1"/>
    <w:rsid w:val="003316C0"/>
    <w:rsid w:val="00331976"/>
    <w:rsid w:val="003319F5"/>
    <w:rsid w:val="00332455"/>
    <w:rsid w:val="00332B9C"/>
    <w:rsid w:val="00333786"/>
    <w:rsid w:val="0033394A"/>
    <w:rsid w:val="003347A6"/>
    <w:rsid w:val="00334B8D"/>
    <w:rsid w:val="00334FA2"/>
    <w:rsid w:val="003360AC"/>
    <w:rsid w:val="00336512"/>
    <w:rsid w:val="0033664D"/>
    <w:rsid w:val="00341713"/>
    <w:rsid w:val="00341A6B"/>
    <w:rsid w:val="0034233E"/>
    <w:rsid w:val="003423B3"/>
    <w:rsid w:val="00342894"/>
    <w:rsid w:val="00342B89"/>
    <w:rsid w:val="00342DF8"/>
    <w:rsid w:val="00343C6D"/>
    <w:rsid w:val="003458BC"/>
    <w:rsid w:val="00346943"/>
    <w:rsid w:val="0034760A"/>
    <w:rsid w:val="00347991"/>
    <w:rsid w:val="00347B2E"/>
    <w:rsid w:val="00347CC4"/>
    <w:rsid w:val="00347E48"/>
    <w:rsid w:val="003508C6"/>
    <w:rsid w:val="00350F31"/>
    <w:rsid w:val="003517D3"/>
    <w:rsid w:val="00351C9C"/>
    <w:rsid w:val="003523B3"/>
    <w:rsid w:val="0035241B"/>
    <w:rsid w:val="003533EB"/>
    <w:rsid w:val="00353C4C"/>
    <w:rsid w:val="00353CDA"/>
    <w:rsid w:val="00354C58"/>
    <w:rsid w:val="00355A91"/>
    <w:rsid w:val="00355D72"/>
    <w:rsid w:val="00356487"/>
    <w:rsid w:val="00356897"/>
    <w:rsid w:val="00356AE4"/>
    <w:rsid w:val="0035756B"/>
    <w:rsid w:val="00357606"/>
    <w:rsid w:val="00360386"/>
    <w:rsid w:val="0036055C"/>
    <w:rsid w:val="00360B96"/>
    <w:rsid w:val="00362683"/>
    <w:rsid w:val="00364DDE"/>
    <w:rsid w:val="00365787"/>
    <w:rsid w:val="003677CF"/>
    <w:rsid w:val="00367AEA"/>
    <w:rsid w:val="00370B35"/>
    <w:rsid w:val="00371C65"/>
    <w:rsid w:val="00371DEE"/>
    <w:rsid w:val="003722AC"/>
    <w:rsid w:val="00372A4A"/>
    <w:rsid w:val="003730E8"/>
    <w:rsid w:val="003739C6"/>
    <w:rsid w:val="00373C83"/>
    <w:rsid w:val="003742B2"/>
    <w:rsid w:val="00374919"/>
    <w:rsid w:val="00374BA6"/>
    <w:rsid w:val="00374BF4"/>
    <w:rsid w:val="00374DCC"/>
    <w:rsid w:val="00374FAD"/>
    <w:rsid w:val="00375331"/>
    <w:rsid w:val="00375777"/>
    <w:rsid w:val="003758EF"/>
    <w:rsid w:val="003765D6"/>
    <w:rsid w:val="00376CC9"/>
    <w:rsid w:val="00376F91"/>
    <w:rsid w:val="00377427"/>
    <w:rsid w:val="003774C6"/>
    <w:rsid w:val="00377550"/>
    <w:rsid w:val="003778B8"/>
    <w:rsid w:val="003800E0"/>
    <w:rsid w:val="003807BB"/>
    <w:rsid w:val="003812EF"/>
    <w:rsid w:val="0038309B"/>
    <w:rsid w:val="003830E1"/>
    <w:rsid w:val="00383670"/>
    <w:rsid w:val="003840A1"/>
    <w:rsid w:val="003843C9"/>
    <w:rsid w:val="0038670B"/>
    <w:rsid w:val="0038783F"/>
    <w:rsid w:val="00387E4E"/>
    <w:rsid w:val="00387E75"/>
    <w:rsid w:val="0038CD22"/>
    <w:rsid w:val="00390164"/>
    <w:rsid w:val="00391B3D"/>
    <w:rsid w:val="00392866"/>
    <w:rsid w:val="00392B62"/>
    <w:rsid w:val="0039320F"/>
    <w:rsid w:val="00393D00"/>
    <w:rsid w:val="003940AB"/>
    <w:rsid w:val="00394238"/>
    <w:rsid w:val="00395155"/>
    <w:rsid w:val="003966B2"/>
    <w:rsid w:val="003A0651"/>
    <w:rsid w:val="003A0F17"/>
    <w:rsid w:val="003A1A09"/>
    <w:rsid w:val="003A34B0"/>
    <w:rsid w:val="003A4198"/>
    <w:rsid w:val="003A504E"/>
    <w:rsid w:val="003A5064"/>
    <w:rsid w:val="003A54F2"/>
    <w:rsid w:val="003A597F"/>
    <w:rsid w:val="003A6765"/>
    <w:rsid w:val="003A7632"/>
    <w:rsid w:val="003B016F"/>
    <w:rsid w:val="003B01AB"/>
    <w:rsid w:val="003B01CA"/>
    <w:rsid w:val="003B141F"/>
    <w:rsid w:val="003B1581"/>
    <w:rsid w:val="003B16E1"/>
    <w:rsid w:val="003B1FFF"/>
    <w:rsid w:val="003B2AFD"/>
    <w:rsid w:val="003B3FD9"/>
    <w:rsid w:val="003B4711"/>
    <w:rsid w:val="003B4DF9"/>
    <w:rsid w:val="003B5BDF"/>
    <w:rsid w:val="003B797D"/>
    <w:rsid w:val="003B79D5"/>
    <w:rsid w:val="003C10C6"/>
    <w:rsid w:val="003C11C7"/>
    <w:rsid w:val="003C23CD"/>
    <w:rsid w:val="003C261D"/>
    <w:rsid w:val="003C272D"/>
    <w:rsid w:val="003C28C8"/>
    <w:rsid w:val="003C2A24"/>
    <w:rsid w:val="003C3C35"/>
    <w:rsid w:val="003C4DFD"/>
    <w:rsid w:val="003C5015"/>
    <w:rsid w:val="003C57F4"/>
    <w:rsid w:val="003C58BF"/>
    <w:rsid w:val="003C5E1A"/>
    <w:rsid w:val="003C62C4"/>
    <w:rsid w:val="003C6495"/>
    <w:rsid w:val="003C6B5F"/>
    <w:rsid w:val="003C7A44"/>
    <w:rsid w:val="003C7FD5"/>
    <w:rsid w:val="003D014F"/>
    <w:rsid w:val="003D1064"/>
    <w:rsid w:val="003D1895"/>
    <w:rsid w:val="003D1EB8"/>
    <w:rsid w:val="003D1F00"/>
    <w:rsid w:val="003D2134"/>
    <w:rsid w:val="003D224B"/>
    <w:rsid w:val="003D2D19"/>
    <w:rsid w:val="003D2D66"/>
    <w:rsid w:val="003D32C3"/>
    <w:rsid w:val="003D381D"/>
    <w:rsid w:val="003D3C14"/>
    <w:rsid w:val="003D406D"/>
    <w:rsid w:val="003D44A5"/>
    <w:rsid w:val="003D4948"/>
    <w:rsid w:val="003D4D65"/>
    <w:rsid w:val="003D5539"/>
    <w:rsid w:val="003D55F9"/>
    <w:rsid w:val="003D6158"/>
    <w:rsid w:val="003D655E"/>
    <w:rsid w:val="003D7E81"/>
    <w:rsid w:val="003E105A"/>
    <w:rsid w:val="003E13BF"/>
    <w:rsid w:val="003E1794"/>
    <w:rsid w:val="003E262A"/>
    <w:rsid w:val="003E3F88"/>
    <w:rsid w:val="003E41B8"/>
    <w:rsid w:val="003E42D4"/>
    <w:rsid w:val="003E473E"/>
    <w:rsid w:val="003E4AAB"/>
    <w:rsid w:val="003E4C13"/>
    <w:rsid w:val="003E546F"/>
    <w:rsid w:val="003E5840"/>
    <w:rsid w:val="003E634A"/>
    <w:rsid w:val="003E647B"/>
    <w:rsid w:val="003E7175"/>
    <w:rsid w:val="003E7789"/>
    <w:rsid w:val="003F13D6"/>
    <w:rsid w:val="003F2FDF"/>
    <w:rsid w:val="003F3ECF"/>
    <w:rsid w:val="003F44C6"/>
    <w:rsid w:val="003F45BB"/>
    <w:rsid w:val="004008F8"/>
    <w:rsid w:val="00401E64"/>
    <w:rsid w:val="00402144"/>
    <w:rsid w:val="00402204"/>
    <w:rsid w:val="0040259B"/>
    <w:rsid w:val="00403893"/>
    <w:rsid w:val="004039D9"/>
    <w:rsid w:val="004045E6"/>
    <w:rsid w:val="0040666D"/>
    <w:rsid w:val="004079FD"/>
    <w:rsid w:val="00407B2B"/>
    <w:rsid w:val="004112F0"/>
    <w:rsid w:val="00411491"/>
    <w:rsid w:val="00412C4A"/>
    <w:rsid w:val="00412E78"/>
    <w:rsid w:val="00412FB0"/>
    <w:rsid w:val="00413212"/>
    <w:rsid w:val="00414F2F"/>
    <w:rsid w:val="0041538C"/>
    <w:rsid w:val="004177AB"/>
    <w:rsid w:val="0041AA6A"/>
    <w:rsid w:val="00420B3D"/>
    <w:rsid w:val="004215BC"/>
    <w:rsid w:val="00421620"/>
    <w:rsid w:val="004219F6"/>
    <w:rsid w:val="0042242C"/>
    <w:rsid w:val="0042272F"/>
    <w:rsid w:val="0042293E"/>
    <w:rsid w:val="00422AC1"/>
    <w:rsid w:val="00422E8C"/>
    <w:rsid w:val="004235CE"/>
    <w:rsid w:val="00425A28"/>
    <w:rsid w:val="00425C46"/>
    <w:rsid w:val="00426095"/>
    <w:rsid w:val="00426170"/>
    <w:rsid w:val="004264ED"/>
    <w:rsid w:val="00426C2D"/>
    <w:rsid w:val="004278E4"/>
    <w:rsid w:val="00427F5C"/>
    <w:rsid w:val="00430324"/>
    <w:rsid w:val="004307AA"/>
    <w:rsid w:val="00431785"/>
    <w:rsid w:val="004341D7"/>
    <w:rsid w:val="00434563"/>
    <w:rsid w:val="00434BE3"/>
    <w:rsid w:val="00436EB9"/>
    <w:rsid w:val="00436EBB"/>
    <w:rsid w:val="0043792F"/>
    <w:rsid w:val="00441070"/>
    <w:rsid w:val="00441DAA"/>
    <w:rsid w:val="00441F2C"/>
    <w:rsid w:val="00442022"/>
    <w:rsid w:val="00443423"/>
    <w:rsid w:val="00443D49"/>
    <w:rsid w:val="004441FD"/>
    <w:rsid w:val="00444E91"/>
    <w:rsid w:val="00445214"/>
    <w:rsid w:val="004456DB"/>
    <w:rsid w:val="004459A8"/>
    <w:rsid w:val="004462C2"/>
    <w:rsid w:val="00446B22"/>
    <w:rsid w:val="0045159C"/>
    <w:rsid w:val="00451BC2"/>
    <w:rsid w:val="0045215B"/>
    <w:rsid w:val="0045299A"/>
    <w:rsid w:val="00452BC9"/>
    <w:rsid w:val="00452C48"/>
    <w:rsid w:val="0045397A"/>
    <w:rsid w:val="00453A14"/>
    <w:rsid w:val="00453F46"/>
    <w:rsid w:val="00454395"/>
    <w:rsid w:val="00454FBC"/>
    <w:rsid w:val="0045532B"/>
    <w:rsid w:val="004564A8"/>
    <w:rsid w:val="00456D72"/>
    <w:rsid w:val="004571A8"/>
    <w:rsid w:val="0045724E"/>
    <w:rsid w:val="00457DBB"/>
    <w:rsid w:val="00462ED9"/>
    <w:rsid w:val="00463141"/>
    <w:rsid w:val="00464701"/>
    <w:rsid w:val="00464BDA"/>
    <w:rsid w:val="00466DAF"/>
    <w:rsid w:val="004670A9"/>
    <w:rsid w:val="00467147"/>
    <w:rsid w:val="004672F1"/>
    <w:rsid w:val="00467D66"/>
    <w:rsid w:val="00467EDF"/>
    <w:rsid w:val="00470093"/>
    <w:rsid w:val="00470EC1"/>
    <w:rsid w:val="004712FF"/>
    <w:rsid w:val="00473342"/>
    <w:rsid w:val="004739BA"/>
    <w:rsid w:val="00473E98"/>
    <w:rsid w:val="00474039"/>
    <w:rsid w:val="00476A5F"/>
    <w:rsid w:val="0047713B"/>
    <w:rsid w:val="0047E72D"/>
    <w:rsid w:val="0048030F"/>
    <w:rsid w:val="00480724"/>
    <w:rsid w:val="004809D8"/>
    <w:rsid w:val="004814D4"/>
    <w:rsid w:val="00481915"/>
    <w:rsid w:val="00481B73"/>
    <w:rsid w:val="0048297B"/>
    <w:rsid w:val="00482ED3"/>
    <w:rsid w:val="004833C5"/>
    <w:rsid w:val="00483762"/>
    <w:rsid w:val="004840A5"/>
    <w:rsid w:val="00486881"/>
    <w:rsid w:val="00487A3F"/>
    <w:rsid w:val="00490A44"/>
    <w:rsid w:val="00490EE4"/>
    <w:rsid w:val="00491843"/>
    <w:rsid w:val="00491AC8"/>
    <w:rsid w:val="00491E54"/>
    <w:rsid w:val="0049337B"/>
    <w:rsid w:val="00494F5D"/>
    <w:rsid w:val="00495741"/>
    <w:rsid w:val="004965DF"/>
    <w:rsid w:val="00496A9A"/>
    <w:rsid w:val="00496B03"/>
    <w:rsid w:val="0049723A"/>
    <w:rsid w:val="00497B9A"/>
    <w:rsid w:val="004A0279"/>
    <w:rsid w:val="004A12FB"/>
    <w:rsid w:val="004A16F3"/>
    <w:rsid w:val="004A1F91"/>
    <w:rsid w:val="004A2192"/>
    <w:rsid w:val="004A23F4"/>
    <w:rsid w:val="004A33BA"/>
    <w:rsid w:val="004A40E6"/>
    <w:rsid w:val="004A4658"/>
    <w:rsid w:val="004A4CDA"/>
    <w:rsid w:val="004A4F70"/>
    <w:rsid w:val="004A52A9"/>
    <w:rsid w:val="004A6DB7"/>
    <w:rsid w:val="004A6FB5"/>
    <w:rsid w:val="004A7121"/>
    <w:rsid w:val="004A7A32"/>
    <w:rsid w:val="004B0A06"/>
    <w:rsid w:val="004B111F"/>
    <w:rsid w:val="004B13ED"/>
    <w:rsid w:val="004B1942"/>
    <w:rsid w:val="004B20C8"/>
    <w:rsid w:val="004B22F2"/>
    <w:rsid w:val="004B2B7E"/>
    <w:rsid w:val="004B5298"/>
    <w:rsid w:val="004B6A61"/>
    <w:rsid w:val="004B6B2E"/>
    <w:rsid w:val="004B71D1"/>
    <w:rsid w:val="004B7A35"/>
    <w:rsid w:val="004B7D85"/>
    <w:rsid w:val="004C0129"/>
    <w:rsid w:val="004C02BE"/>
    <w:rsid w:val="004C044A"/>
    <w:rsid w:val="004C0733"/>
    <w:rsid w:val="004C0FD5"/>
    <w:rsid w:val="004C2849"/>
    <w:rsid w:val="004C2E0F"/>
    <w:rsid w:val="004C3C57"/>
    <w:rsid w:val="004C3E29"/>
    <w:rsid w:val="004C4398"/>
    <w:rsid w:val="004C4EE8"/>
    <w:rsid w:val="004C4FD8"/>
    <w:rsid w:val="004C6A5D"/>
    <w:rsid w:val="004C6D89"/>
    <w:rsid w:val="004C73E7"/>
    <w:rsid w:val="004C740B"/>
    <w:rsid w:val="004C750A"/>
    <w:rsid w:val="004D19EC"/>
    <w:rsid w:val="004D1C08"/>
    <w:rsid w:val="004D29BC"/>
    <w:rsid w:val="004D2ECC"/>
    <w:rsid w:val="004D48BD"/>
    <w:rsid w:val="004D4F54"/>
    <w:rsid w:val="004D552B"/>
    <w:rsid w:val="004D5852"/>
    <w:rsid w:val="004D5DEB"/>
    <w:rsid w:val="004D5FF6"/>
    <w:rsid w:val="004D76A9"/>
    <w:rsid w:val="004D7968"/>
    <w:rsid w:val="004E08BC"/>
    <w:rsid w:val="004E093C"/>
    <w:rsid w:val="004E1307"/>
    <w:rsid w:val="004E1363"/>
    <w:rsid w:val="004E219F"/>
    <w:rsid w:val="004E249D"/>
    <w:rsid w:val="004E3067"/>
    <w:rsid w:val="004E3A27"/>
    <w:rsid w:val="004E46A6"/>
    <w:rsid w:val="004E68F5"/>
    <w:rsid w:val="004E7869"/>
    <w:rsid w:val="004F075C"/>
    <w:rsid w:val="004F0CED"/>
    <w:rsid w:val="004F0F45"/>
    <w:rsid w:val="004F135B"/>
    <w:rsid w:val="004F18D3"/>
    <w:rsid w:val="004F19DA"/>
    <w:rsid w:val="004F1AC9"/>
    <w:rsid w:val="004F22EE"/>
    <w:rsid w:val="004F2BE9"/>
    <w:rsid w:val="004F308E"/>
    <w:rsid w:val="004F3312"/>
    <w:rsid w:val="004F3D68"/>
    <w:rsid w:val="004F4236"/>
    <w:rsid w:val="004F4806"/>
    <w:rsid w:val="004F672F"/>
    <w:rsid w:val="004F6B9A"/>
    <w:rsid w:val="004F6E78"/>
    <w:rsid w:val="004F72C3"/>
    <w:rsid w:val="004F7B05"/>
    <w:rsid w:val="005009A9"/>
    <w:rsid w:val="005009C2"/>
    <w:rsid w:val="00501496"/>
    <w:rsid w:val="005016B6"/>
    <w:rsid w:val="00501C40"/>
    <w:rsid w:val="00503663"/>
    <w:rsid w:val="00503BCD"/>
    <w:rsid w:val="00504B60"/>
    <w:rsid w:val="005053A6"/>
    <w:rsid w:val="005059D5"/>
    <w:rsid w:val="00505F78"/>
    <w:rsid w:val="0050645A"/>
    <w:rsid w:val="005108EB"/>
    <w:rsid w:val="00510BC7"/>
    <w:rsid w:val="005119ED"/>
    <w:rsid w:val="00511C16"/>
    <w:rsid w:val="00511DFF"/>
    <w:rsid w:val="005130C1"/>
    <w:rsid w:val="0051546B"/>
    <w:rsid w:val="005157D3"/>
    <w:rsid w:val="00516A2A"/>
    <w:rsid w:val="00516C2E"/>
    <w:rsid w:val="00516E24"/>
    <w:rsid w:val="00517F37"/>
    <w:rsid w:val="00520143"/>
    <w:rsid w:val="0052147C"/>
    <w:rsid w:val="00521C43"/>
    <w:rsid w:val="00522D51"/>
    <w:rsid w:val="00524803"/>
    <w:rsid w:val="005254F2"/>
    <w:rsid w:val="0052598F"/>
    <w:rsid w:val="00525F85"/>
    <w:rsid w:val="00526A70"/>
    <w:rsid w:val="00526EAF"/>
    <w:rsid w:val="005270D7"/>
    <w:rsid w:val="005278FF"/>
    <w:rsid w:val="00527F55"/>
    <w:rsid w:val="005308C1"/>
    <w:rsid w:val="00530ACF"/>
    <w:rsid w:val="00530AD0"/>
    <w:rsid w:val="00530EEB"/>
    <w:rsid w:val="00531171"/>
    <w:rsid w:val="00532855"/>
    <w:rsid w:val="005336F5"/>
    <w:rsid w:val="00534A53"/>
    <w:rsid w:val="00535029"/>
    <w:rsid w:val="005353BB"/>
    <w:rsid w:val="00536796"/>
    <w:rsid w:val="00536900"/>
    <w:rsid w:val="00536A22"/>
    <w:rsid w:val="00537968"/>
    <w:rsid w:val="00537BFF"/>
    <w:rsid w:val="0054037F"/>
    <w:rsid w:val="00540385"/>
    <w:rsid w:val="005407FF"/>
    <w:rsid w:val="00541610"/>
    <w:rsid w:val="00541B8D"/>
    <w:rsid w:val="00541BE6"/>
    <w:rsid w:val="005426DE"/>
    <w:rsid w:val="005444E4"/>
    <w:rsid w:val="005453C4"/>
    <w:rsid w:val="005459A7"/>
    <w:rsid w:val="00545F4C"/>
    <w:rsid w:val="005465C5"/>
    <w:rsid w:val="0054694C"/>
    <w:rsid w:val="0054705B"/>
    <w:rsid w:val="0054752F"/>
    <w:rsid w:val="00550036"/>
    <w:rsid w:val="005505C6"/>
    <w:rsid w:val="005506BA"/>
    <w:rsid w:val="00550BBE"/>
    <w:rsid w:val="005513B8"/>
    <w:rsid w:val="00552631"/>
    <w:rsid w:val="00553C98"/>
    <w:rsid w:val="00553E94"/>
    <w:rsid w:val="0055416B"/>
    <w:rsid w:val="005546A0"/>
    <w:rsid w:val="00555E2B"/>
    <w:rsid w:val="00555ECB"/>
    <w:rsid w:val="00556564"/>
    <w:rsid w:val="00556879"/>
    <w:rsid w:val="005572FD"/>
    <w:rsid w:val="00560F5E"/>
    <w:rsid w:val="005613A1"/>
    <w:rsid w:val="00561EE4"/>
    <w:rsid w:val="005623B1"/>
    <w:rsid w:val="0056262B"/>
    <w:rsid w:val="00562D92"/>
    <w:rsid w:val="005631BE"/>
    <w:rsid w:val="00563887"/>
    <w:rsid w:val="00564761"/>
    <w:rsid w:val="005649C4"/>
    <w:rsid w:val="00564C00"/>
    <w:rsid w:val="00565462"/>
    <w:rsid w:val="0056644E"/>
    <w:rsid w:val="0056763E"/>
    <w:rsid w:val="00567B71"/>
    <w:rsid w:val="00567C41"/>
    <w:rsid w:val="0057099D"/>
    <w:rsid w:val="00570F0C"/>
    <w:rsid w:val="0057142A"/>
    <w:rsid w:val="00571717"/>
    <w:rsid w:val="0057193F"/>
    <w:rsid w:val="00571EF7"/>
    <w:rsid w:val="00571FA7"/>
    <w:rsid w:val="0057219B"/>
    <w:rsid w:val="005731CB"/>
    <w:rsid w:val="00573DA9"/>
    <w:rsid w:val="005746B8"/>
    <w:rsid w:val="005747C4"/>
    <w:rsid w:val="00574A13"/>
    <w:rsid w:val="00575A95"/>
    <w:rsid w:val="005803D9"/>
    <w:rsid w:val="005805BE"/>
    <w:rsid w:val="00581298"/>
    <w:rsid w:val="005813B9"/>
    <w:rsid w:val="00581CB4"/>
    <w:rsid w:val="00581DB3"/>
    <w:rsid w:val="005825D0"/>
    <w:rsid w:val="00582A82"/>
    <w:rsid w:val="00582BDB"/>
    <w:rsid w:val="0058300C"/>
    <w:rsid w:val="00583161"/>
    <w:rsid w:val="00584A7A"/>
    <w:rsid w:val="00584D2A"/>
    <w:rsid w:val="00584F61"/>
    <w:rsid w:val="00585578"/>
    <w:rsid w:val="0058711F"/>
    <w:rsid w:val="00587554"/>
    <w:rsid w:val="0058790C"/>
    <w:rsid w:val="0058796A"/>
    <w:rsid w:val="005901AB"/>
    <w:rsid w:val="00590B07"/>
    <w:rsid w:val="00591B0E"/>
    <w:rsid w:val="00591E50"/>
    <w:rsid w:val="00593ED4"/>
    <w:rsid w:val="00594530"/>
    <w:rsid w:val="00594BFA"/>
    <w:rsid w:val="00595E9D"/>
    <w:rsid w:val="00595F97"/>
    <w:rsid w:val="005965F0"/>
    <w:rsid w:val="00597582"/>
    <w:rsid w:val="00597B3F"/>
    <w:rsid w:val="005A0507"/>
    <w:rsid w:val="005A0D58"/>
    <w:rsid w:val="005A0E7A"/>
    <w:rsid w:val="005A10B0"/>
    <w:rsid w:val="005A1C76"/>
    <w:rsid w:val="005A2FC6"/>
    <w:rsid w:val="005A3FD0"/>
    <w:rsid w:val="005A5A1E"/>
    <w:rsid w:val="005A5DB5"/>
    <w:rsid w:val="005A5E3B"/>
    <w:rsid w:val="005A5F8F"/>
    <w:rsid w:val="005A6730"/>
    <w:rsid w:val="005A7A10"/>
    <w:rsid w:val="005A7AF3"/>
    <w:rsid w:val="005A7B45"/>
    <w:rsid w:val="005A7E74"/>
    <w:rsid w:val="005B029F"/>
    <w:rsid w:val="005B1751"/>
    <w:rsid w:val="005B1EB6"/>
    <w:rsid w:val="005B2779"/>
    <w:rsid w:val="005B353D"/>
    <w:rsid w:val="005B3782"/>
    <w:rsid w:val="005B3A0A"/>
    <w:rsid w:val="005B3A2F"/>
    <w:rsid w:val="005B45F7"/>
    <w:rsid w:val="005B4F66"/>
    <w:rsid w:val="005B51F6"/>
    <w:rsid w:val="005B5CE4"/>
    <w:rsid w:val="005B6C20"/>
    <w:rsid w:val="005B7F72"/>
    <w:rsid w:val="005C0B65"/>
    <w:rsid w:val="005C31F4"/>
    <w:rsid w:val="005C368E"/>
    <w:rsid w:val="005C3BDB"/>
    <w:rsid w:val="005C3C6A"/>
    <w:rsid w:val="005C58C6"/>
    <w:rsid w:val="005C616A"/>
    <w:rsid w:val="005C693B"/>
    <w:rsid w:val="005C7686"/>
    <w:rsid w:val="005C77AB"/>
    <w:rsid w:val="005C7B02"/>
    <w:rsid w:val="005C7E17"/>
    <w:rsid w:val="005D0E78"/>
    <w:rsid w:val="005D28DF"/>
    <w:rsid w:val="005D3423"/>
    <w:rsid w:val="005D45D3"/>
    <w:rsid w:val="005D4A07"/>
    <w:rsid w:val="005D4BF3"/>
    <w:rsid w:val="005D5E8E"/>
    <w:rsid w:val="005D6454"/>
    <w:rsid w:val="005D73A1"/>
    <w:rsid w:val="005E0061"/>
    <w:rsid w:val="005E0B1B"/>
    <w:rsid w:val="005E0CD4"/>
    <w:rsid w:val="005E1E06"/>
    <w:rsid w:val="005E22B3"/>
    <w:rsid w:val="005E2552"/>
    <w:rsid w:val="005E26ED"/>
    <w:rsid w:val="005E3660"/>
    <w:rsid w:val="005E44F3"/>
    <w:rsid w:val="005E4E8F"/>
    <w:rsid w:val="005E5E5C"/>
    <w:rsid w:val="005E6919"/>
    <w:rsid w:val="005E765C"/>
    <w:rsid w:val="005E7CBB"/>
    <w:rsid w:val="005F1023"/>
    <w:rsid w:val="005F1E6B"/>
    <w:rsid w:val="005F5ECE"/>
    <w:rsid w:val="005F6467"/>
    <w:rsid w:val="005F7D6A"/>
    <w:rsid w:val="00600A1A"/>
    <w:rsid w:val="00600FD2"/>
    <w:rsid w:val="006025DF"/>
    <w:rsid w:val="0060339C"/>
    <w:rsid w:val="00603D86"/>
    <w:rsid w:val="00603E82"/>
    <w:rsid w:val="00604348"/>
    <w:rsid w:val="00604836"/>
    <w:rsid w:val="006049BA"/>
    <w:rsid w:val="00604B44"/>
    <w:rsid w:val="00605217"/>
    <w:rsid w:val="00611263"/>
    <w:rsid w:val="0061150F"/>
    <w:rsid w:val="00613103"/>
    <w:rsid w:val="00614AC3"/>
    <w:rsid w:val="00614C1F"/>
    <w:rsid w:val="00614D53"/>
    <w:rsid w:val="00616541"/>
    <w:rsid w:val="00620D08"/>
    <w:rsid w:val="00621572"/>
    <w:rsid w:val="00621903"/>
    <w:rsid w:val="00621974"/>
    <w:rsid w:val="00621F21"/>
    <w:rsid w:val="00622D52"/>
    <w:rsid w:val="006232AB"/>
    <w:rsid w:val="006242B6"/>
    <w:rsid w:val="00624456"/>
    <w:rsid w:val="00624DAE"/>
    <w:rsid w:val="006252DF"/>
    <w:rsid w:val="00627668"/>
    <w:rsid w:val="00627A64"/>
    <w:rsid w:val="0062AF35"/>
    <w:rsid w:val="006303B7"/>
    <w:rsid w:val="0063080F"/>
    <w:rsid w:val="00632743"/>
    <w:rsid w:val="0063311E"/>
    <w:rsid w:val="00635C13"/>
    <w:rsid w:val="00635E41"/>
    <w:rsid w:val="00635EBB"/>
    <w:rsid w:val="006360E6"/>
    <w:rsid w:val="006365D2"/>
    <w:rsid w:val="0063741C"/>
    <w:rsid w:val="00637F08"/>
    <w:rsid w:val="006402C6"/>
    <w:rsid w:val="0064085E"/>
    <w:rsid w:val="00641239"/>
    <w:rsid w:val="00642170"/>
    <w:rsid w:val="006437CA"/>
    <w:rsid w:val="00643F13"/>
    <w:rsid w:val="006441F9"/>
    <w:rsid w:val="0064482A"/>
    <w:rsid w:val="00645819"/>
    <w:rsid w:val="006459A3"/>
    <w:rsid w:val="00645A8F"/>
    <w:rsid w:val="00645D71"/>
    <w:rsid w:val="00646E3E"/>
    <w:rsid w:val="00646F37"/>
    <w:rsid w:val="0064757C"/>
    <w:rsid w:val="0064759D"/>
    <w:rsid w:val="006476F9"/>
    <w:rsid w:val="006478A1"/>
    <w:rsid w:val="006479B2"/>
    <w:rsid w:val="006500A4"/>
    <w:rsid w:val="006501FC"/>
    <w:rsid w:val="00650300"/>
    <w:rsid w:val="0065143C"/>
    <w:rsid w:val="00651E91"/>
    <w:rsid w:val="00652120"/>
    <w:rsid w:val="006521FA"/>
    <w:rsid w:val="006527B0"/>
    <w:rsid w:val="00653B8E"/>
    <w:rsid w:val="006549A7"/>
    <w:rsid w:val="006564A0"/>
    <w:rsid w:val="006571E7"/>
    <w:rsid w:val="006608BE"/>
    <w:rsid w:val="00660D57"/>
    <w:rsid w:val="0066165C"/>
    <w:rsid w:val="00662FFA"/>
    <w:rsid w:val="00663001"/>
    <w:rsid w:val="0066337E"/>
    <w:rsid w:val="006634D5"/>
    <w:rsid w:val="0066356A"/>
    <w:rsid w:val="006638DA"/>
    <w:rsid w:val="00664306"/>
    <w:rsid w:val="00664605"/>
    <w:rsid w:val="006663AC"/>
    <w:rsid w:val="00666EB5"/>
    <w:rsid w:val="00667621"/>
    <w:rsid w:val="00670068"/>
    <w:rsid w:val="006705D1"/>
    <w:rsid w:val="006717C8"/>
    <w:rsid w:val="00671B69"/>
    <w:rsid w:val="00671B76"/>
    <w:rsid w:val="00671CC8"/>
    <w:rsid w:val="00671FC6"/>
    <w:rsid w:val="006720B6"/>
    <w:rsid w:val="006721D9"/>
    <w:rsid w:val="00673405"/>
    <w:rsid w:val="00673859"/>
    <w:rsid w:val="00674975"/>
    <w:rsid w:val="00674BFF"/>
    <w:rsid w:val="00675A51"/>
    <w:rsid w:val="006762C5"/>
    <w:rsid w:val="00676358"/>
    <w:rsid w:val="0067EA8F"/>
    <w:rsid w:val="00680099"/>
    <w:rsid w:val="0068037E"/>
    <w:rsid w:val="00680EC2"/>
    <w:rsid w:val="006811D5"/>
    <w:rsid w:val="00681B58"/>
    <w:rsid w:val="0068262B"/>
    <w:rsid w:val="00682BE5"/>
    <w:rsid w:val="00682ED9"/>
    <w:rsid w:val="00683671"/>
    <w:rsid w:val="0068543F"/>
    <w:rsid w:val="0068545E"/>
    <w:rsid w:val="006861D2"/>
    <w:rsid w:val="006877DB"/>
    <w:rsid w:val="00687FA3"/>
    <w:rsid w:val="0068AB77"/>
    <w:rsid w:val="00690073"/>
    <w:rsid w:val="006901DB"/>
    <w:rsid w:val="00690BD9"/>
    <w:rsid w:val="0069119C"/>
    <w:rsid w:val="006915DD"/>
    <w:rsid w:val="00691767"/>
    <w:rsid w:val="00691EC5"/>
    <w:rsid w:val="00692B1A"/>
    <w:rsid w:val="00695F0C"/>
    <w:rsid w:val="00695F17"/>
    <w:rsid w:val="0069651A"/>
    <w:rsid w:val="0069655A"/>
    <w:rsid w:val="00697150"/>
    <w:rsid w:val="00697728"/>
    <w:rsid w:val="006A22F3"/>
    <w:rsid w:val="006A3906"/>
    <w:rsid w:val="006A3C53"/>
    <w:rsid w:val="006A412E"/>
    <w:rsid w:val="006A4798"/>
    <w:rsid w:val="006A49B5"/>
    <w:rsid w:val="006A51E9"/>
    <w:rsid w:val="006A5424"/>
    <w:rsid w:val="006A55B8"/>
    <w:rsid w:val="006A6622"/>
    <w:rsid w:val="006A73C0"/>
    <w:rsid w:val="006A7F6E"/>
    <w:rsid w:val="006B0699"/>
    <w:rsid w:val="006B0E3B"/>
    <w:rsid w:val="006B1F21"/>
    <w:rsid w:val="006B2902"/>
    <w:rsid w:val="006B3C21"/>
    <w:rsid w:val="006B3CDF"/>
    <w:rsid w:val="006B5BBB"/>
    <w:rsid w:val="006B704F"/>
    <w:rsid w:val="006B7130"/>
    <w:rsid w:val="006B7F76"/>
    <w:rsid w:val="006B7FA0"/>
    <w:rsid w:val="006C0203"/>
    <w:rsid w:val="006C1F48"/>
    <w:rsid w:val="006C2ACE"/>
    <w:rsid w:val="006C305A"/>
    <w:rsid w:val="006C3313"/>
    <w:rsid w:val="006C40AA"/>
    <w:rsid w:val="006C4651"/>
    <w:rsid w:val="006C4C59"/>
    <w:rsid w:val="006C522B"/>
    <w:rsid w:val="006C537C"/>
    <w:rsid w:val="006C5A28"/>
    <w:rsid w:val="006C7C91"/>
    <w:rsid w:val="006D1336"/>
    <w:rsid w:val="006D2040"/>
    <w:rsid w:val="006D21B1"/>
    <w:rsid w:val="006D224F"/>
    <w:rsid w:val="006D2735"/>
    <w:rsid w:val="006D27C6"/>
    <w:rsid w:val="006D2C1B"/>
    <w:rsid w:val="006D38B9"/>
    <w:rsid w:val="006D4934"/>
    <w:rsid w:val="006D5217"/>
    <w:rsid w:val="006D749E"/>
    <w:rsid w:val="006D7601"/>
    <w:rsid w:val="006D787D"/>
    <w:rsid w:val="006D7F29"/>
    <w:rsid w:val="006E10EA"/>
    <w:rsid w:val="006E137F"/>
    <w:rsid w:val="006E356B"/>
    <w:rsid w:val="006E4A53"/>
    <w:rsid w:val="006E5188"/>
    <w:rsid w:val="006E558D"/>
    <w:rsid w:val="006E5960"/>
    <w:rsid w:val="006E5CCC"/>
    <w:rsid w:val="006E7150"/>
    <w:rsid w:val="006E7214"/>
    <w:rsid w:val="006E749D"/>
    <w:rsid w:val="006E784D"/>
    <w:rsid w:val="006E7F66"/>
    <w:rsid w:val="006F1187"/>
    <w:rsid w:val="006F1A29"/>
    <w:rsid w:val="006F308E"/>
    <w:rsid w:val="006F3C9E"/>
    <w:rsid w:val="006F4127"/>
    <w:rsid w:val="006F4350"/>
    <w:rsid w:val="006F5567"/>
    <w:rsid w:val="006F5B88"/>
    <w:rsid w:val="006F71FC"/>
    <w:rsid w:val="006F7372"/>
    <w:rsid w:val="006F78C6"/>
    <w:rsid w:val="006F7B03"/>
    <w:rsid w:val="00700626"/>
    <w:rsid w:val="00700767"/>
    <w:rsid w:val="007008B3"/>
    <w:rsid w:val="0070206F"/>
    <w:rsid w:val="00702460"/>
    <w:rsid w:val="007027D0"/>
    <w:rsid w:val="0070423B"/>
    <w:rsid w:val="00704852"/>
    <w:rsid w:val="0070546C"/>
    <w:rsid w:val="00705DDA"/>
    <w:rsid w:val="00705F44"/>
    <w:rsid w:val="00706867"/>
    <w:rsid w:val="00707444"/>
    <w:rsid w:val="00707FE0"/>
    <w:rsid w:val="00710B00"/>
    <w:rsid w:val="00712177"/>
    <w:rsid w:val="007127EC"/>
    <w:rsid w:val="00712D50"/>
    <w:rsid w:val="00713CD6"/>
    <w:rsid w:val="00714D19"/>
    <w:rsid w:val="007151B3"/>
    <w:rsid w:val="0071664D"/>
    <w:rsid w:val="00716B49"/>
    <w:rsid w:val="00717B2A"/>
    <w:rsid w:val="00720487"/>
    <w:rsid w:val="00720883"/>
    <w:rsid w:val="00721444"/>
    <w:rsid w:val="00721839"/>
    <w:rsid w:val="00721ED7"/>
    <w:rsid w:val="00722272"/>
    <w:rsid w:val="0072238E"/>
    <w:rsid w:val="00723C87"/>
    <w:rsid w:val="00723CC4"/>
    <w:rsid w:val="007257BB"/>
    <w:rsid w:val="007265C9"/>
    <w:rsid w:val="0072768F"/>
    <w:rsid w:val="007278C1"/>
    <w:rsid w:val="00727D09"/>
    <w:rsid w:val="00727F40"/>
    <w:rsid w:val="0073029E"/>
    <w:rsid w:val="00730899"/>
    <w:rsid w:val="00730B91"/>
    <w:rsid w:val="00731D74"/>
    <w:rsid w:val="00732254"/>
    <w:rsid w:val="00732EB4"/>
    <w:rsid w:val="007336D0"/>
    <w:rsid w:val="00733BA1"/>
    <w:rsid w:val="00734A7D"/>
    <w:rsid w:val="00734C10"/>
    <w:rsid w:val="00734DC2"/>
    <w:rsid w:val="007358D4"/>
    <w:rsid w:val="007360C9"/>
    <w:rsid w:val="0073709E"/>
    <w:rsid w:val="0073733A"/>
    <w:rsid w:val="007377F0"/>
    <w:rsid w:val="00740E7B"/>
    <w:rsid w:val="007411B9"/>
    <w:rsid w:val="00741E74"/>
    <w:rsid w:val="00741FBB"/>
    <w:rsid w:val="0074268A"/>
    <w:rsid w:val="00742C68"/>
    <w:rsid w:val="0074345A"/>
    <w:rsid w:val="0074433B"/>
    <w:rsid w:val="0074456D"/>
    <w:rsid w:val="007449F6"/>
    <w:rsid w:val="007458CC"/>
    <w:rsid w:val="00745C11"/>
    <w:rsid w:val="00745E79"/>
    <w:rsid w:val="00746011"/>
    <w:rsid w:val="007477D4"/>
    <w:rsid w:val="00750464"/>
    <w:rsid w:val="00752387"/>
    <w:rsid w:val="00752597"/>
    <w:rsid w:val="0075362E"/>
    <w:rsid w:val="0075370A"/>
    <w:rsid w:val="00754F7F"/>
    <w:rsid w:val="007554C0"/>
    <w:rsid w:val="007557E0"/>
    <w:rsid w:val="00756F25"/>
    <w:rsid w:val="007577E4"/>
    <w:rsid w:val="00761278"/>
    <w:rsid w:val="00761567"/>
    <w:rsid w:val="00761D43"/>
    <w:rsid w:val="00761E5C"/>
    <w:rsid w:val="007626BF"/>
    <w:rsid w:val="00764018"/>
    <w:rsid w:val="00764BAF"/>
    <w:rsid w:val="0076507E"/>
    <w:rsid w:val="00765535"/>
    <w:rsid w:val="007655B1"/>
    <w:rsid w:val="00765B30"/>
    <w:rsid w:val="00767014"/>
    <w:rsid w:val="0076713B"/>
    <w:rsid w:val="007672C8"/>
    <w:rsid w:val="0076745A"/>
    <w:rsid w:val="007677FA"/>
    <w:rsid w:val="0077074F"/>
    <w:rsid w:val="00771C5A"/>
    <w:rsid w:val="00771FAB"/>
    <w:rsid w:val="007739BE"/>
    <w:rsid w:val="00773BF2"/>
    <w:rsid w:val="00774AE8"/>
    <w:rsid w:val="00774CC4"/>
    <w:rsid w:val="00774E64"/>
    <w:rsid w:val="007757C5"/>
    <w:rsid w:val="00775892"/>
    <w:rsid w:val="00775A07"/>
    <w:rsid w:val="00775B58"/>
    <w:rsid w:val="00775C1F"/>
    <w:rsid w:val="00780221"/>
    <w:rsid w:val="00780DB3"/>
    <w:rsid w:val="00782133"/>
    <w:rsid w:val="0078349B"/>
    <w:rsid w:val="00783D50"/>
    <w:rsid w:val="00787878"/>
    <w:rsid w:val="00787EC4"/>
    <w:rsid w:val="007923E7"/>
    <w:rsid w:val="00792861"/>
    <w:rsid w:val="0079291E"/>
    <w:rsid w:val="00792EBB"/>
    <w:rsid w:val="0079340F"/>
    <w:rsid w:val="007938A7"/>
    <w:rsid w:val="00793C49"/>
    <w:rsid w:val="00793D67"/>
    <w:rsid w:val="00794725"/>
    <w:rsid w:val="00794820"/>
    <w:rsid w:val="00794CDE"/>
    <w:rsid w:val="00796368"/>
    <w:rsid w:val="00796562"/>
    <w:rsid w:val="0079698C"/>
    <w:rsid w:val="00796F8A"/>
    <w:rsid w:val="0079E031"/>
    <w:rsid w:val="007A12B5"/>
    <w:rsid w:val="007A1DC2"/>
    <w:rsid w:val="007A22FF"/>
    <w:rsid w:val="007A3671"/>
    <w:rsid w:val="007A3FAD"/>
    <w:rsid w:val="007A4FE8"/>
    <w:rsid w:val="007A5217"/>
    <w:rsid w:val="007A6553"/>
    <w:rsid w:val="007A6B01"/>
    <w:rsid w:val="007A6F9C"/>
    <w:rsid w:val="007A7149"/>
    <w:rsid w:val="007A7B88"/>
    <w:rsid w:val="007B0128"/>
    <w:rsid w:val="007B035C"/>
    <w:rsid w:val="007B05B8"/>
    <w:rsid w:val="007B0E6B"/>
    <w:rsid w:val="007B0EBA"/>
    <w:rsid w:val="007B169A"/>
    <w:rsid w:val="007B34C7"/>
    <w:rsid w:val="007B3D3B"/>
    <w:rsid w:val="007B422D"/>
    <w:rsid w:val="007B4D2F"/>
    <w:rsid w:val="007B620C"/>
    <w:rsid w:val="007B69ED"/>
    <w:rsid w:val="007B7BC9"/>
    <w:rsid w:val="007B7CA0"/>
    <w:rsid w:val="007B7F45"/>
    <w:rsid w:val="007C042D"/>
    <w:rsid w:val="007C04F4"/>
    <w:rsid w:val="007C0E71"/>
    <w:rsid w:val="007C1F80"/>
    <w:rsid w:val="007C28FE"/>
    <w:rsid w:val="007C2C50"/>
    <w:rsid w:val="007C3F75"/>
    <w:rsid w:val="007C43EF"/>
    <w:rsid w:val="007C4AAE"/>
    <w:rsid w:val="007C52B2"/>
    <w:rsid w:val="007C5535"/>
    <w:rsid w:val="007C5C84"/>
    <w:rsid w:val="007C6D7B"/>
    <w:rsid w:val="007C6D88"/>
    <w:rsid w:val="007C773B"/>
    <w:rsid w:val="007C7E2F"/>
    <w:rsid w:val="007D0BA4"/>
    <w:rsid w:val="007D161E"/>
    <w:rsid w:val="007D196B"/>
    <w:rsid w:val="007D20A2"/>
    <w:rsid w:val="007D46F1"/>
    <w:rsid w:val="007D4C2D"/>
    <w:rsid w:val="007D6FFE"/>
    <w:rsid w:val="007E22BC"/>
    <w:rsid w:val="007E2785"/>
    <w:rsid w:val="007E2FB7"/>
    <w:rsid w:val="007E4022"/>
    <w:rsid w:val="007E411B"/>
    <w:rsid w:val="007E4CE9"/>
    <w:rsid w:val="007E54E7"/>
    <w:rsid w:val="007E68A9"/>
    <w:rsid w:val="007E6CA0"/>
    <w:rsid w:val="007E7F4B"/>
    <w:rsid w:val="007F01AB"/>
    <w:rsid w:val="007F05EB"/>
    <w:rsid w:val="007F22FF"/>
    <w:rsid w:val="007F265E"/>
    <w:rsid w:val="007F2DCA"/>
    <w:rsid w:val="007F32FE"/>
    <w:rsid w:val="007F5039"/>
    <w:rsid w:val="007F527A"/>
    <w:rsid w:val="007F5F30"/>
    <w:rsid w:val="007F67BE"/>
    <w:rsid w:val="007F67C4"/>
    <w:rsid w:val="007F7063"/>
    <w:rsid w:val="007F791F"/>
    <w:rsid w:val="0080149F"/>
    <w:rsid w:val="0080338C"/>
    <w:rsid w:val="00803F17"/>
    <w:rsid w:val="00805F05"/>
    <w:rsid w:val="0080743F"/>
    <w:rsid w:val="00810D2B"/>
    <w:rsid w:val="00811918"/>
    <w:rsid w:val="00812E0F"/>
    <w:rsid w:val="00813123"/>
    <w:rsid w:val="008133EE"/>
    <w:rsid w:val="00813E0D"/>
    <w:rsid w:val="00815BCE"/>
    <w:rsid w:val="00815E81"/>
    <w:rsid w:val="00816E79"/>
    <w:rsid w:val="00816ED7"/>
    <w:rsid w:val="00817F82"/>
    <w:rsid w:val="00821816"/>
    <w:rsid w:val="00822221"/>
    <w:rsid w:val="00822BC6"/>
    <w:rsid w:val="00824BD5"/>
    <w:rsid w:val="00826531"/>
    <w:rsid w:val="00827C20"/>
    <w:rsid w:val="00830082"/>
    <w:rsid w:val="008311BF"/>
    <w:rsid w:val="00831710"/>
    <w:rsid w:val="00831CFD"/>
    <w:rsid w:val="008323F8"/>
    <w:rsid w:val="00832560"/>
    <w:rsid w:val="00832A21"/>
    <w:rsid w:val="00832BC4"/>
    <w:rsid w:val="00832FC9"/>
    <w:rsid w:val="00834D5A"/>
    <w:rsid w:val="00834E6B"/>
    <w:rsid w:val="008354BF"/>
    <w:rsid w:val="00837F1F"/>
    <w:rsid w:val="0084014C"/>
    <w:rsid w:val="0084180A"/>
    <w:rsid w:val="008418E1"/>
    <w:rsid w:val="00841BA7"/>
    <w:rsid w:val="00841CA5"/>
    <w:rsid w:val="00845054"/>
    <w:rsid w:val="008459CA"/>
    <w:rsid w:val="008461D4"/>
    <w:rsid w:val="008471EC"/>
    <w:rsid w:val="0084751C"/>
    <w:rsid w:val="008479AA"/>
    <w:rsid w:val="00847B20"/>
    <w:rsid w:val="0084F398"/>
    <w:rsid w:val="0085029E"/>
    <w:rsid w:val="00850A56"/>
    <w:rsid w:val="00853831"/>
    <w:rsid w:val="00854D7D"/>
    <w:rsid w:val="00854D86"/>
    <w:rsid w:val="00856308"/>
    <w:rsid w:val="0085671C"/>
    <w:rsid w:val="00856999"/>
    <w:rsid w:val="00857768"/>
    <w:rsid w:val="00857A90"/>
    <w:rsid w:val="00860C59"/>
    <w:rsid w:val="00861E17"/>
    <w:rsid w:val="008629D6"/>
    <w:rsid w:val="00865AC9"/>
    <w:rsid w:val="00865EDE"/>
    <w:rsid w:val="008666C4"/>
    <w:rsid w:val="00866A6F"/>
    <w:rsid w:val="00866B9E"/>
    <w:rsid w:val="00866F9B"/>
    <w:rsid w:val="00867D82"/>
    <w:rsid w:val="00870783"/>
    <w:rsid w:val="00871225"/>
    <w:rsid w:val="00871A4F"/>
    <w:rsid w:val="00872874"/>
    <w:rsid w:val="00873852"/>
    <w:rsid w:val="00873A9A"/>
    <w:rsid w:val="00874DF7"/>
    <w:rsid w:val="0087549E"/>
    <w:rsid w:val="008755E9"/>
    <w:rsid w:val="008769D9"/>
    <w:rsid w:val="0087755E"/>
    <w:rsid w:val="00877DC4"/>
    <w:rsid w:val="0088057F"/>
    <w:rsid w:val="00880AA7"/>
    <w:rsid w:val="008816C1"/>
    <w:rsid w:val="0088194D"/>
    <w:rsid w:val="0088373F"/>
    <w:rsid w:val="00884522"/>
    <w:rsid w:val="008861A1"/>
    <w:rsid w:val="00886553"/>
    <w:rsid w:val="008866DF"/>
    <w:rsid w:val="0088708C"/>
    <w:rsid w:val="008871A6"/>
    <w:rsid w:val="00887735"/>
    <w:rsid w:val="00890718"/>
    <w:rsid w:val="0089253E"/>
    <w:rsid w:val="00892616"/>
    <w:rsid w:val="00892CA6"/>
    <w:rsid w:val="00892E3E"/>
    <w:rsid w:val="008931A1"/>
    <w:rsid w:val="00894E94"/>
    <w:rsid w:val="008954F4"/>
    <w:rsid w:val="00895B81"/>
    <w:rsid w:val="00895C59"/>
    <w:rsid w:val="00896BFB"/>
    <w:rsid w:val="0089728E"/>
    <w:rsid w:val="008977DF"/>
    <w:rsid w:val="008A03CB"/>
    <w:rsid w:val="008A089E"/>
    <w:rsid w:val="008A1EC3"/>
    <w:rsid w:val="008A2279"/>
    <w:rsid w:val="008A2F98"/>
    <w:rsid w:val="008A3551"/>
    <w:rsid w:val="008A42A2"/>
    <w:rsid w:val="008A45DA"/>
    <w:rsid w:val="008A4C67"/>
    <w:rsid w:val="008A6DF2"/>
    <w:rsid w:val="008A76B8"/>
    <w:rsid w:val="008A79FF"/>
    <w:rsid w:val="008A7BCD"/>
    <w:rsid w:val="008A7C59"/>
    <w:rsid w:val="008B0493"/>
    <w:rsid w:val="008B0652"/>
    <w:rsid w:val="008B1115"/>
    <w:rsid w:val="008B36A6"/>
    <w:rsid w:val="008B3DE2"/>
    <w:rsid w:val="008B41D3"/>
    <w:rsid w:val="008B4386"/>
    <w:rsid w:val="008B438B"/>
    <w:rsid w:val="008B5B17"/>
    <w:rsid w:val="008B5D5E"/>
    <w:rsid w:val="008B7453"/>
    <w:rsid w:val="008C0E8D"/>
    <w:rsid w:val="008C1BF4"/>
    <w:rsid w:val="008C210D"/>
    <w:rsid w:val="008C4B74"/>
    <w:rsid w:val="008C53B8"/>
    <w:rsid w:val="008C57D0"/>
    <w:rsid w:val="008C5886"/>
    <w:rsid w:val="008C611C"/>
    <w:rsid w:val="008C6525"/>
    <w:rsid w:val="008C7004"/>
    <w:rsid w:val="008C7633"/>
    <w:rsid w:val="008D0B96"/>
    <w:rsid w:val="008D19C3"/>
    <w:rsid w:val="008D1F6E"/>
    <w:rsid w:val="008D24C5"/>
    <w:rsid w:val="008D2E9D"/>
    <w:rsid w:val="008D3744"/>
    <w:rsid w:val="008D3C02"/>
    <w:rsid w:val="008D4707"/>
    <w:rsid w:val="008D7BB4"/>
    <w:rsid w:val="008E110C"/>
    <w:rsid w:val="008E1971"/>
    <w:rsid w:val="008E1B69"/>
    <w:rsid w:val="008E29B5"/>
    <w:rsid w:val="008E331B"/>
    <w:rsid w:val="008E3E2C"/>
    <w:rsid w:val="008E4DFD"/>
    <w:rsid w:val="008E500B"/>
    <w:rsid w:val="008E5184"/>
    <w:rsid w:val="008E5CD5"/>
    <w:rsid w:val="008E5CFB"/>
    <w:rsid w:val="008E6575"/>
    <w:rsid w:val="008E6B95"/>
    <w:rsid w:val="008E6E47"/>
    <w:rsid w:val="008E7B02"/>
    <w:rsid w:val="008E7C1E"/>
    <w:rsid w:val="008F0EF0"/>
    <w:rsid w:val="008F1AD6"/>
    <w:rsid w:val="008F2631"/>
    <w:rsid w:val="008F2A43"/>
    <w:rsid w:val="008F2EC7"/>
    <w:rsid w:val="008F49D9"/>
    <w:rsid w:val="008F54FD"/>
    <w:rsid w:val="008F6836"/>
    <w:rsid w:val="008F6ED4"/>
    <w:rsid w:val="008F7659"/>
    <w:rsid w:val="009002E1"/>
    <w:rsid w:val="009003BA"/>
    <w:rsid w:val="009003F4"/>
    <w:rsid w:val="009010F1"/>
    <w:rsid w:val="00901383"/>
    <w:rsid w:val="0090184A"/>
    <w:rsid w:val="00901BB5"/>
    <w:rsid w:val="00901D0F"/>
    <w:rsid w:val="00901D77"/>
    <w:rsid w:val="00902BA1"/>
    <w:rsid w:val="00902F60"/>
    <w:rsid w:val="00903FE7"/>
    <w:rsid w:val="00905AFC"/>
    <w:rsid w:val="00906435"/>
    <w:rsid w:val="009106B4"/>
    <w:rsid w:val="009108AA"/>
    <w:rsid w:val="009109DB"/>
    <w:rsid w:val="00910EEF"/>
    <w:rsid w:val="00910FAF"/>
    <w:rsid w:val="009125A5"/>
    <w:rsid w:val="00912F04"/>
    <w:rsid w:val="00914B84"/>
    <w:rsid w:val="009151A3"/>
    <w:rsid w:val="009152DC"/>
    <w:rsid w:val="0091575D"/>
    <w:rsid w:val="009168D3"/>
    <w:rsid w:val="00916E75"/>
    <w:rsid w:val="0092086A"/>
    <w:rsid w:val="00920CF7"/>
    <w:rsid w:val="0092110C"/>
    <w:rsid w:val="00921453"/>
    <w:rsid w:val="00921597"/>
    <w:rsid w:val="00921C26"/>
    <w:rsid w:val="0092218C"/>
    <w:rsid w:val="00922297"/>
    <w:rsid w:val="009237F0"/>
    <w:rsid w:val="009238D8"/>
    <w:rsid w:val="009244D0"/>
    <w:rsid w:val="00924D27"/>
    <w:rsid w:val="00924F86"/>
    <w:rsid w:val="00925818"/>
    <w:rsid w:val="009261D9"/>
    <w:rsid w:val="00927354"/>
    <w:rsid w:val="0092736D"/>
    <w:rsid w:val="0092760C"/>
    <w:rsid w:val="00927F25"/>
    <w:rsid w:val="0093013D"/>
    <w:rsid w:val="0093067A"/>
    <w:rsid w:val="00931A78"/>
    <w:rsid w:val="00931C05"/>
    <w:rsid w:val="00932FC2"/>
    <w:rsid w:val="00933160"/>
    <w:rsid w:val="0093332A"/>
    <w:rsid w:val="00933ADC"/>
    <w:rsid w:val="009351B1"/>
    <w:rsid w:val="0093523A"/>
    <w:rsid w:val="00935658"/>
    <w:rsid w:val="00935819"/>
    <w:rsid w:val="00935AAD"/>
    <w:rsid w:val="00935DD6"/>
    <w:rsid w:val="009368C8"/>
    <w:rsid w:val="00937962"/>
    <w:rsid w:val="00940CB9"/>
    <w:rsid w:val="00941265"/>
    <w:rsid w:val="00941A2B"/>
    <w:rsid w:val="009427D4"/>
    <w:rsid w:val="00943153"/>
    <w:rsid w:val="0094569F"/>
    <w:rsid w:val="0094575A"/>
    <w:rsid w:val="00946831"/>
    <w:rsid w:val="00946DDB"/>
    <w:rsid w:val="0094720B"/>
    <w:rsid w:val="00947243"/>
    <w:rsid w:val="009479A4"/>
    <w:rsid w:val="00950274"/>
    <w:rsid w:val="00950278"/>
    <w:rsid w:val="00951010"/>
    <w:rsid w:val="00951B44"/>
    <w:rsid w:val="00951E14"/>
    <w:rsid w:val="0095273D"/>
    <w:rsid w:val="00952971"/>
    <w:rsid w:val="00954188"/>
    <w:rsid w:val="0095429B"/>
    <w:rsid w:val="00954E36"/>
    <w:rsid w:val="0095501B"/>
    <w:rsid w:val="0095588D"/>
    <w:rsid w:val="00956CBB"/>
    <w:rsid w:val="00957669"/>
    <w:rsid w:val="00957AC3"/>
    <w:rsid w:val="00957CC3"/>
    <w:rsid w:val="009607E2"/>
    <w:rsid w:val="00961810"/>
    <w:rsid w:val="00961BF0"/>
    <w:rsid w:val="009632D9"/>
    <w:rsid w:val="00963CF3"/>
    <w:rsid w:val="0096429C"/>
    <w:rsid w:val="0096445F"/>
    <w:rsid w:val="00965C71"/>
    <w:rsid w:val="0096776A"/>
    <w:rsid w:val="00967776"/>
    <w:rsid w:val="009701F8"/>
    <w:rsid w:val="009709AA"/>
    <w:rsid w:val="00970D78"/>
    <w:rsid w:val="00971E61"/>
    <w:rsid w:val="0097255C"/>
    <w:rsid w:val="009726BE"/>
    <w:rsid w:val="0097335B"/>
    <w:rsid w:val="00973C9B"/>
    <w:rsid w:val="0097452D"/>
    <w:rsid w:val="00974A0E"/>
    <w:rsid w:val="0097513C"/>
    <w:rsid w:val="0097528D"/>
    <w:rsid w:val="0097582B"/>
    <w:rsid w:val="00975B6A"/>
    <w:rsid w:val="00977A31"/>
    <w:rsid w:val="0098124D"/>
    <w:rsid w:val="00981625"/>
    <w:rsid w:val="00981A21"/>
    <w:rsid w:val="00982DE0"/>
    <w:rsid w:val="009838B4"/>
    <w:rsid w:val="00984896"/>
    <w:rsid w:val="00984988"/>
    <w:rsid w:val="00984EDF"/>
    <w:rsid w:val="009856E6"/>
    <w:rsid w:val="00985B5C"/>
    <w:rsid w:val="00985EC4"/>
    <w:rsid w:val="009868AD"/>
    <w:rsid w:val="009873A5"/>
    <w:rsid w:val="009875FB"/>
    <w:rsid w:val="009876A8"/>
    <w:rsid w:val="0099019A"/>
    <w:rsid w:val="00991607"/>
    <w:rsid w:val="009928FA"/>
    <w:rsid w:val="00992D61"/>
    <w:rsid w:val="00993502"/>
    <w:rsid w:val="0099388E"/>
    <w:rsid w:val="00993ED3"/>
    <w:rsid w:val="00993FB6"/>
    <w:rsid w:val="00994049"/>
    <w:rsid w:val="0099472A"/>
    <w:rsid w:val="009948D5"/>
    <w:rsid w:val="009953C1"/>
    <w:rsid w:val="00996804"/>
    <w:rsid w:val="0099728D"/>
    <w:rsid w:val="00997383"/>
    <w:rsid w:val="00997408"/>
    <w:rsid w:val="00997424"/>
    <w:rsid w:val="00997757"/>
    <w:rsid w:val="009977F7"/>
    <w:rsid w:val="0099A08E"/>
    <w:rsid w:val="009A0994"/>
    <w:rsid w:val="009A0A78"/>
    <w:rsid w:val="009A133C"/>
    <w:rsid w:val="009A1DCD"/>
    <w:rsid w:val="009A2E1C"/>
    <w:rsid w:val="009A3A4E"/>
    <w:rsid w:val="009A3AAF"/>
    <w:rsid w:val="009A460D"/>
    <w:rsid w:val="009A4E3A"/>
    <w:rsid w:val="009A53D8"/>
    <w:rsid w:val="009A699A"/>
    <w:rsid w:val="009A6D33"/>
    <w:rsid w:val="009A7F87"/>
    <w:rsid w:val="009B0EB9"/>
    <w:rsid w:val="009B1562"/>
    <w:rsid w:val="009B19AD"/>
    <w:rsid w:val="009B22BC"/>
    <w:rsid w:val="009B2397"/>
    <w:rsid w:val="009B5377"/>
    <w:rsid w:val="009B5423"/>
    <w:rsid w:val="009B6BB2"/>
    <w:rsid w:val="009B7CCA"/>
    <w:rsid w:val="009C086B"/>
    <w:rsid w:val="009C12E8"/>
    <w:rsid w:val="009C205E"/>
    <w:rsid w:val="009C2235"/>
    <w:rsid w:val="009C2A0D"/>
    <w:rsid w:val="009C370C"/>
    <w:rsid w:val="009C3768"/>
    <w:rsid w:val="009C3774"/>
    <w:rsid w:val="009C3F3E"/>
    <w:rsid w:val="009C4CD8"/>
    <w:rsid w:val="009C4DD1"/>
    <w:rsid w:val="009C50D3"/>
    <w:rsid w:val="009C5232"/>
    <w:rsid w:val="009C591E"/>
    <w:rsid w:val="009C606A"/>
    <w:rsid w:val="009C6097"/>
    <w:rsid w:val="009C6ECE"/>
    <w:rsid w:val="009C7726"/>
    <w:rsid w:val="009D00A6"/>
    <w:rsid w:val="009D03C2"/>
    <w:rsid w:val="009D1B6B"/>
    <w:rsid w:val="009D300F"/>
    <w:rsid w:val="009D4CCC"/>
    <w:rsid w:val="009D541C"/>
    <w:rsid w:val="009D5AED"/>
    <w:rsid w:val="009D5E7D"/>
    <w:rsid w:val="009D626F"/>
    <w:rsid w:val="009D6A4E"/>
    <w:rsid w:val="009D7322"/>
    <w:rsid w:val="009D7F2D"/>
    <w:rsid w:val="009E0AB7"/>
    <w:rsid w:val="009E0D30"/>
    <w:rsid w:val="009E13BD"/>
    <w:rsid w:val="009E1697"/>
    <w:rsid w:val="009E175B"/>
    <w:rsid w:val="009E21C7"/>
    <w:rsid w:val="009E2319"/>
    <w:rsid w:val="009E2AAF"/>
    <w:rsid w:val="009E32ED"/>
    <w:rsid w:val="009E4AB3"/>
    <w:rsid w:val="009E50E9"/>
    <w:rsid w:val="009E63C6"/>
    <w:rsid w:val="009E6922"/>
    <w:rsid w:val="009E6A3A"/>
    <w:rsid w:val="009E6B32"/>
    <w:rsid w:val="009E7C7D"/>
    <w:rsid w:val="009F2BAB"/>
    <w:rsid w:val="009F2F9C"/>
    <w:rsid w:val="009F3DE8"/>
    <w:rsid w:val="009F5297"/>
    <w:rsid w:val="009F52B0"/>
    <w:rsid w:val="009F542E"/>
    <w:rsid w:val="009F57E4"/>
    <w:rsid w:val="009F5FBC"/>
    <w:rsid w:val="009F64E3"/>
    <w:rsid w:val="009F64F7"/>
    <w:rsid w:val="009F650F"/>
    <w:rsid w:val="009F6B74"/>
    <w:rsid w:val="009F73D9"/>
    <w:rsid w:val="009F7C95"/>
    <w:rsid w:val="00A002C5"/>
    <w:rsid w:val="00A007C2"/>
    <w:rsid w:val="00A00824"/>
    <w:rsid w:val="00A01783"/>
    <w:rsid w:val="00A01CEA"/>
    <w:rsid w:val="00A01E55"/>
    <w:rsid w:val="00A02852"/>
    <w:rsid w:val="00A0322F"/>
    <w:rsid w:val="00A03352"/>
    <w:rsid w:val="00A0338D"/>
    <w:rsid w:val="00A0350A"/>
    <w:rsid w:val="00A036E0"/>
    <w:rsid w:val="00A037FA"/>
    <w:rsid w:val="00A03EA5"/>
    <w:rsid w:val="00A04944"/>
    <w:rsid w:val="00A05EC9"/>
    <w:rsid w:val="00A060FE"/>
    <w:rsid w:val="00A06677"/>
    <w:rsid w:val="00A066FD"/>
    <w:rsid w:val="00A06829"/>
    <w:rsid w:val="00A06C50"/>
    <w:rsid w:val="00A0729D"/>
    <w:rsid w:val="00A076A1"/>
    <w:rsid w:val="00A1061A"/>
    <w:rsid w:val="00A119AB"/>
    <w:rsid w:val="00A12189"/>
    <w:rsid w:val="00A122D4"/>
    <w:rsid w:val="00A137C1"/>
    <w:rsid w:val="00A13921"/>
    <w:rsid w:val="00A14204"/>
    <w:rsid w:val="00A15068"/>
    <w:rsid w:val="00A152E0"/>
    <w:rsid w:val="00A15698"/>
    <w:rsid w:val="00A15F04"/>
    <w:rsid w:val="00A165CC"/>
    <w:rsid w:val="00A16DCB"/>
    <w:rsid w:val="00A178B7"/>
    <w:rsid w:val="00A2051C"/>
    <w:rsid w:val="00A20E33"/>
    <w:rsid w:val="00A21508"/>
    <w:rsid w:val="00A21BAD"/>
    <w:rsid w:val="00A22118"/>
    <w:rsid w:val="00A2253A"/>
    <w:rsid w:val="00A22D2A"/>
    <w:rsid w:val="00A23A6D"/>
    <w:rsid w:val="00A24818"/>
    <w:rsid w:val="00A252E8"/>
    <w:rsid w:val="00A257A2"/>
    <w:rsid w:val="00A2598B"/>
    <w:rsid w:val="00A25AFF"/>
    <w:rsid w:val="00A2604D"/>
    <w:rsid w:val="00A267BF"/>
    <w:rsid w:val="00A26A66"/>
    <w:rsid w:val="00A27098"/>
    <w:rsid w:val="00A277D8"/>
    <w:rsid w:val="00A27D3A"/>
    <w:rsid w:val="00A27DB5"/>
    <w:rsid w:val="00A305C4"/>
    <w:rsid w:val="00A3083A"/>
    <w:rsid w:val="00A3112F"/>
    <w:rsid w:val="00A314C9"/>
    <w:rsid w:val="00A31659"/>
    <w:rsid w:val="00A31F8A"/>
    <w:rsid w:val="00A331D0"/>
    <w:rsid w:val="00A333F8"/>
    <w:rsid w:val="00A33D51"/>
    <w:rsid w:val="00A3431E"/>
    <w:rsid w:val="00A3450C"/>
    <w:rsid w:val="00A34C43"/>
    <w:rsid w:val="00A35499"/>
    <w:rsid w:val="00A35C1C"/>
    <w:rsid w:val="00A35DE9"/>
    <w:rsid w:val="00A36154"/>
    <w:rsid w:val="00A362C4"/>
    <w:rsid w:val="00A365DB"/>
    <w:rsid w:val="00A36DFD"/>
    <w:rsid w:val="00A36EF6"/>
    <w:rsid w:val="00A40E17"/>
    <w:rsid w:val="00A418E7"/>
    <w:rsid w:val="00A42072"/>
    <w:rsid w:val="00A42B68"/>
    <w:rsid w:val="00A42FAA"/>
    <w:rsid w:val="00A431E4"/>
    <w:rsid w:val="00A43302"/>
    <w:rsid w:val="00A459E5"/>
    <w:rsid w:val="00A459EC"/>
    <w:rsid w:val="00A4618A"/>
    <w:rsid w:val="00A465E2"/>
    <w:rsid w:val="00A46C03"/>
    <w:rsid w:val="00A47230"/>
    <w:rsid w:val="00A47245"/>
    <w:rsid w:val="00A47335"/>
    <w:rsid w:val="00A47DB8"/>
    <w:rsid w:val="00A53EA8"/>
    <w:rsid w:val="00A54CDB"/>
    <w:rsid w:val="00A5500B"/>
    <w:rsid w:val="00A551A1"/>
    <w:rsid w:val="00A55499"/>
    <w:rsid w:val="00A555F8"/>
    <w:rsid w:val="00A55A11"/>
    <w:rsid w:val="00A55FBD"/>
    <w:rsid w:val="00A579C3"/>
    <w:rsid w:val="00A60797"/>
    <w:rsid w:val="00A64106"/>
    <w:rsid w:val="00A64EB4"/>
    <w:rsid w:val="00A65722"/>
    <w:rsid w:val="00A6573B"/>
    <w:rsid w:val="00A65A67"/>
    <w:rsid w:val="00A661EB"/>
    <w:rsid w:val="00A662B7"/>
    <w:rsid w:val="00A662D8"/>
    <w:rsid w:val="00A67EDC"/>
    <w:rsid w:val="00A70AE1"/>
    <w:rsid w:val="00A71476"/>
    <w:rsid w:val="00A72706"/>
    <w:rsid w:val="00A736DB"/>
    <w:rsid w:val="00A7406D"/>
    <w:rsid w:val="00A74188"/>
    <w:rsid w:val="00A7537F"/>
    <w:rsid w:val="00A75C79"/>
    <w:rsid w:val="00A76215"/>
    <w:rsid w:val="00A77292"/>
    <w:rsid w:val="00A7754A"/>
    <w:rsid w:val="00A7791E"/>
    <w:rsid w:val="00A77972"/>
    <w:rsid w:val="00A80900"/>
    <w:rsid w:val="00A8097D"/>
    <w:rsid w:val="00A818DE"/>
    <w:rsid w:val="00A82714"/>
    <w:rsid w:val="00A83DAA"/>
    <w:rsid w:val="00A84067"/>
    <w:rsid w:val="00A84087"/>
    <w:rsid w:val="00A8488E"/>
    <w:rsid w:val="00A85421"/>
    <w:rsid w:val="00A8596E"/>
    <w:rsid w:val="00A863F7"/>
    <w:rsid w:val="00A86AA7"/>
    <w:rsid w:val="00A87E26"/>
    <w:rsid w:val="00A90DE8"/>
    <w:rsid w:val="00A90E58"/>
    <w:rsid w:val="00A911F9"/>
    <w:rsid w:val="00A91E48"/>
    <w:rsid w:val="00A91F8B"/>
    <w:rsid w:val="00A92ED1"/>
    <w:rsid w:val="00A93256"/>
    <w:rsid w:val="00A93E3B"/>
    <w:rsid w:val="00A94370"/>
    <w:rsid w:val="00A945DA"/>
    <w:rsid w:val="00A95911"/>
    <w:rsid w:val="00A95FA6"/>
    <w:rsid w:val="00A96110"/>
    <w:rsid w:val="00A96308"/>
    <w:rsid w:val="00A96D8B"/>
    <w:rsid w:val="00A97704"/>
    <w:rsid w:val="00A97996"/>
    <w:rsid w:val="00AA0933"/>
    <w:rsid w:val="00AA10FF"/>
    <w:rsid w:val="00AA2861"/>
    <w:rsid w:val="00AA2B53"/>
    <w:rsid w:val="00AA2EFC"/>
    <w:rsid w:val="00AA38B6"/>
    <w:rsid w:val="00AA3930"/>
    <w:rsid w:val="00AA3E44"/>
    <w:rsid w:val="00AA47DC"/>
    <w:rsid w:val="00AA4F8F"/>
    <w:rsid w:val="00AA5516"/>
    <w:rsid w:val="00AA740B"/>
    <w:rsid w:val="00AA77C4"/>
    <w:rsid w:val="00AB05B7"/>
    <w:rsid w:val="00AB0A56"/>
    <w:rsid w:val="00AB1217"/>
    <w:rsid w:val="00AB15A6"/>
    <w:rsid w:val="00AB1857"/>
    <w:rsid w:val="00AB1C89"/>
    <w:rsid w:val="00AB5874"/>
    <w:rsid w:val="00AB5DF2"/>
    <w:rsid w:val="00AB5ED4"/>
    <w:rsid w:val="00AB5FA4"/>
    <w:rsid w:val="00AB6185"/>
    <w:rsid w:val="00AB6DA5"/>
    <w:rsid w:val="00AB7018"/>
    <w:rsid w:val="00AB70A2"/>
    <w:rsid w:val="00AB7CCB"/>
    <w:rsid w:val="00AC0960"/>
    <w:rsid w:val="00AC2FA2"/>
    <w:rsid w:val="00AC35C8"/>
    <w:rsid w:val="00AC36F2"/>
    <w:rsid w:val="00AC43E8"/>
    <w:rsid w:val="00AC4914"/>
    <w:rsid w:val="00AC69AE"/>
    <w:rsid w:val="00AD04E3"/>
    <w:rsid w:val="00AD0723"/>
    <w:rsid w:val="00AD39CF"/>
    <w:rsid w:val="00AD3F47"/>
    <w:rsid w:val="00AD49AA"/>
    <w:rsid w:val="00AD4DDF"/>
    <w:rsid w:val="00AD510C"/>
    <w:rsid w:val="00AD5A74"/>
    <w:rsid w:val="00AD5C80"/>
    <w:rsid w:val="00AD5EB7"/>
    <w:rsid w:val="00AD5F73"/>
    <w:rsid w:val="00AD6F00"/>
    <w:rsid w:val="00AD750B"/>
    <w:rsid w:val="00AD76DA"/>
    <w:rsid w:val="00AE0FDC"/>
    <w:rsid w:val="00AE11B7"/>
    <w:rsid w:val="00AE302E"/>
    <w:rsid w:val="00AE3288"/>
    <w:rsid w:val="00AE50C3"/>
    <w:rsid w:val="00AE50D5"/>
    <w:rsid w:val="00AE52AF"/>
    <w:rsid w:val="00AE696E"/>
    <w:rsid w:val="00AE6CCB"/>
    <w:rsid w:val="00AE767E"/>
    <w:rsid w:val="00AF00CD"/>
    <w:rsid w:val="00AF0664"/>
    <w:rsid w:val="00AF06E4"/>
    <w:rsid w:val="00AF0786"/>
    <w:rsid w:val="00AF1431"/>
    <w:rsid w:val="00AF1EB1"/>
    <w:rsid w:val="00AF268E"/>
    <w:rsid w:val="00AF30C6"/>
    <w:rsid w:val="00AF420C"/>
    <w:rsid w:val="00AF764F"/>
    <w:rsid w:val="00B00159"/>
    <w:rsid w:val="00B00BA5"/>
    <w:rsid w:val="00B02B65"/>
    <w:rsid w:val="00B0356B"/>
    <w:rsid w:val="00B03BC2"/>
    <w:rsid w:val="00B0415B"/>
    <w:rsid w:val="00B04203"/>
    <w:rsid w:val="00B042CC"/>
    <w:rsid w:val="00B04DD6"/>
    <w:rsid w:val="00B05100"/>
    <w:rsid w:val="00B06503"/>
    <w:rsid w:val="00B06FD2"/>
    <w:rsid w:val="00B0725E"/>
    <w:rsid w:val="00B07CA2"/>
    <w:rsid w:val="00B07F95"/>
    <w:rsid w:val="00B101B9"/>
    <w:rsid w:val="00B10D27"/>
    <w:rsid w:val="00B114A6"/>
    <w:rsid w:val="00B116F4"/>
    <w:rsid w:val="00B11B71"/>
    <w:rsid w:val="00B13440"/>
    <w:rsid w:val="00B1354F"/>
    <w:rsid w:val="00B137DB"/>
    <w:rsid w:val="00B1410F"/>
    <w:rsid w:val="00B14199"/>
    <w:rsid w:val="00B145ED"/>
    <w:rsid w:val="00B14619"/>
    <w:rsid w:val="00B1488D"/>
    <w:rsid w:val="00B1519A"/>
    <w:rsid w:val="00B160B0"/>
    <w:rsid w:val="00B16467"/>
    <w:rsid w:val="00B1650E"/>
    <w:rsid w:val="00B166B7"/>
    <w:rsid w:val="00B16B67"/>
    <w:rsid w:val="00B16BFB"/>
    <w:rsid w:val="00B16E63"/>
    <w:rsid w:val="00B17DA3"/>
    <w:rsid w:val="00B212B9"/>
    <w:rsid w:val="00B21D9E"/>
    <w:rsid w:val="00B229EC"/>
    <w:rsid w:val="00B234A7"/>
    <w:rsid w:val="00B2369C"/>
    <w:rsid w:val="00B245C1"/>
    <w:rsid w:val="00B25E18"/>
    <w:rsid w:val="00B2623B"/>
    <w:rsid w:val="00B26600"/>
    <w:rsid w:val="00B267CF"/>
    <w:rsid w:val="00B26A28"/>
    <w:rsid w:val="00B26D8D"/>
    <w:rsid w:val="00B27274"/>
    <w:rsid w:val="00B3124C"/>
    <w:rsid w:val="00B314D2"/>
    <w:rsid w:val="00B32337"/>
    <w:rsid w:val="00B32526"/>
    <w:rsid w:val="00B331E9"/>
    <w:rsid w:val="00B33CF1"/>
    <w:rsid w:val="00B34A57"/>
    <w:rsid w:val="00B34FDA"/>
    <w:rsid w:val="00B35FD3"/>
    <w:rsid w:val="00B366BB"/>
    <w:rsid w:val="00B36DE2"/>
    <w:rsid w:val="00B3739F"/>
    <w:rsid w:val="00B37B18"/>
    <w:rsid w:val="00B40174"/>
    <w:rsid w:val="00B4085F"/>
    <w:rsid w:val="00B42F71"/>
    <w:rsid w:val="00B4374E"/>
    <w:rsid w:val="00B456F2"/>
    <w:rsid w:val="00B46250"/>
    <w:rsid w:val="00B4651A"/>
    <w:rsid w:val="00B47ECD"/>
    <w:rsid w:val="00B51616"/>
    <w:rsid w:val="00B51C89"/>
    <w:rsid w:val="00B53A5D"/>
    <w:rsid w:val="00B53B9E"/>
    <w:rsid w:val="00B542C6"/>
    <w:rsid w:val="00B54339"/>
    <w:rsid w:val="00B55556"/>
    <w:rsid w:val="00B55F00"/>
    <w:rsid w:val="00B563E1"/>
    <w:rsid w:val="00B56A6E"/>
    <w:rsid w:val="00B56C6D"/>
    <w:rsid w:val="00B572E0"/>
    <w:rsid w:val="00B575AE"/>
    <w:rsid w:val="00B578E4"/>
    <w:rsid w:val="00B60459"/>
    <w:rsid w:val="00B604F3"/>
    <w:rsid w:val="00B60508"/>
    <w:rsid w:val="00B60723"/>
    <w:rsid w:val="00B6112F"/>
    <w:rsid w:val="00B62111"/>
    <w:rsid w:val="00B6288C"/>
    <w:rsid w:val="00B628B4"/>
    <w:rsid w:val="00B62C7D"/>
    <w:rsid w:val="00B637A5"/>
    <w:rsid w:val="00B63DA8"/>
    <w:rsid w:val="00B64478"/>
    <w:rsid w:val="00B64995"/>
    <w:rsid w:val="00B65153"/>
    <w:rsid w:val="00B654D8"/>
    <w:rsid w:val="00B655B9"/>
    <w:rsid w:val="00B67322"/>
    <w:rsid w:val="00B6764E"/>
    <w:rsid w:val="00B704B9"/>
    <w:rsid w:val="00B70795"/>
    <w:rsid w:val="00B73339"/>
    <w:rsid w:val="00B74027"/>
    <w:rsid w:val="00B7425E"/>
    <w:rsid w:val="00B742A6"/>
    <w:rsid w:val="00B7482E"/>
    <w:rsid w:val="00B75AC6"/>
    <w:rsid w:val="00B75FCB"/>
    <w:rsid w:val="00B76750"/>
    <w:rsid w:val="00B7690F"/>
    <w:rsid w:val="00B76BF5"/>
    <w:rsid w:val="00B80088"/>
    <w:rsid w:val="00B811C9"/>
    <w:rsid w:val="00B82123"/>
    <w:rsid w:val="00B82931"/>
    <w:rsid w:val="00B830BE"/>
    <w:rsid w:val="00B834A2"/>
    <w:rsid w:val="00B84853"/>
    <w:rsid w:val="00B85642"/>
    <w:rsid w:val="00B856B4"/>
    <w:rsid w:val="00B858A9"/>
    <w:rsid w:val="00B85BDC"/>
    <w:rsid w:val="00B85F20"/>
    <w:rsid w:val="00B860B4"/>
    <w:rsid w:val="00B870D8"/>
    <w:rsid w:val="00B87408"/>
    <w:rsid w:val="00B877A1"/>
    <w:rsid w:val="00B87922"/>
    <w:rsid w:val="00B87D45"/>
    <w:rsid w:val="00B9006F"/>
    <w:rsid w:val="00B90879"/>
    <w:rsid w:val="00B91ED7"/>
    <w:rsid w:val="00B922C4"/>
    <w:rsid w:val="00B9316F"/>
    <w:rsid w:val="00B934D1"/>
    <w:rsid w:val="00B942A7"/>
    <w:rsid w:val="00B94A75"/>
    <w:rsid w:val="00B950AA"/>
    <w:rsid w:val="00B95B22"/>
    <w:rsid w:val="00B960C3"/>
    <w:rsid w:val="00B9650E"/>
    <w:rsid w:val="00B96732"/>
    <w:rsid w:val="00B96870"/>
    <w:rsid w:val="00B96AC3"/>
    <w:rsid w:val="00B97861"/>
    <w:rsid w:val="00BA2E18"/>
    <w:rsid w:val="00BA41FA"/>
    <w:rsid w:val="00BA4CA3"/>
    <w:rsid w:val="00BA5A9D"/>
    <w:rsid w:val="00BA622A"/>
    <w:rsid w:val="00BA71A8"/>
    <w:rsid w:val="00BB19AC"/>
    <w:rsid w:val="00BB21D9"/>
    <w:rsid w:val="00BB3005"/>
    <w:rsid w:val="00BB374C"/>
    <w:rsid w:val="00BB59E3"/>
    <w:rsid w:val="00BB676F"/>
    <w:rsid w:val="00BB6801"/>
    <w:rsid w:val="00BB6BA4"/>
    <w:rsid w:val="00BB7251"/>
    <w:rsid w:val="00BB753B"/>
    <w:rsid w:val="00BC0224"/>
    <w:rsid w:val="00BC06F5"/>
    <w:rsid w:val="00BC1C6F"/>
    <w:rsid w:val="00BC23B8"/>
    <w:rsid w:val="00BC27A6"/>
    <w:rsid w:val="00BC347C"/>
    <w:rsid w:val="00BC438D"/>
    <w:rsid w:val="00BC4912"/>
    <w:rsid w:val="00BC4C55"/>
    <w:rsid w:val="00BD07B8"/>
    <w:rsid w:val="00BD0955"/>
    <w:rsid w:val="00BD154B"/>
    <w:rsid w:val="00BD4A98"/>
    <w:rsid w:val="00BD4E5F"/>
    <w:rsid w:val="00BD51C0"/>
    <w:rsid w:val="00BD5AD4"/>
    <w:rsid w:val="00BD5ED4"/>
    <w:rsid w:val="00BD6BBF"/>
    <w:rsid w:val="00BD6D07"/>
    <w:rsid w:val="00BD71C8"/>
    <w:rsid w:val="00BD7ACF"/>
    <w:rsid w:val="00BD7CA6"/>
    <w:rsid w:val="00BD7F4E"/>
    <w:rsid w:val="00BE1108"/>
    <w:rsid w:val="00BE1473"/>
    <w:rsid w:val="00BE1F28"/>
    <w:rsid w:val="00BE2692"/>
    <w:rsid w:val="00BE2DC7"/>
    <w:rsid w:val="00BE37B6"/>
    <w:rsid w:val="00BE402E"/>
    <w:rsid w:val="00BE438B"/>
    <w:rsid w:val="00BE4E52"/>
    <w:rsid w:val="00BE5486"/>
    <w:rsid w:val="00BE5635"/>
    <w:rsid w:val="00BE5A49"/>
    <w:rsid w:val="00BE62F9"/>
    <w:rsid w:val="00BE7CF8"/>
    <w:rsid w:val="00BF07F8"/>
    <w:rsid w:val="00BF14B4"/>
    <w:rsid w:val="00BF17FF"/>
    <w:rsid w:val="00BF2C23"/>
    <w:rsid w:val="00BF35DA"/>
    <w:rsid w:val="00BF3AAB"/>
    <w:rsid w:val="00BF4CB2"/>
    <w:rsid w:val="00BF6547"/>
    <w:rsid w:val="00BF6EA0"/>
    <w:rsid w:val="00C00F39"/>
    <w:rsid w:val="00C01020"/>
    <w:rsid w:val="00C019E9"/>
    <w:rsid w:val="00C01D48"/>
    <w:rsid w:val="00C02191"/>
    <w:rsid w:val="00C02906"/>
    <w:rsid w:val="00C04D9B"/>
    <w:rsid w:val="00C05CDC"/>
    <w:rsid w:val="00C05CE6"/>
    <w:rsid w:val="00C0650D"/>
    <w:rsid w:val="00C0682C"/>
    <w:rsid w:val="00C06B65"/>
    <w:rsid w:val="00C10644"/>
    <w:rsid w:val="00C110DF"/>
    <w:rsid w:val="00C115F7"/>
    <w:rsid w:val="00C118CE"/>
    <w:rsid w:val="00C129A3"/>
    <w:rsid w:val="00C12E0F"/>
    <w:rsid w:val="00C13070"/>
    <w:rsid w:val="00C13232"/>
    <w:rsid w:val="00C139FD"/>
    <w:rsid w:val="00C1552E"/>
    <w:rsid w:val="00C15DA1"/>
    <w:rsid w:val="00C16163"/>
    <w:rsid w:val="00C16803"/>
    <w:rsid w:val="00C16895"/>
    <w:rsid w:val="00C1728B"/>
    <w:rsid w:val="00C1747D"/>
    <w:rsid w:val="00C205DB"/>
    <w:rsid w:val="00C209A5"/>
    <w:rsid w:val="00C2162A"/>
    <w:rsid w:val="00C21A00"/>
    <w:rsid w:val="00C22DD2"/>
    <w:rsid w:val="00C2401B"/>
    <w:rsid w:val="00C245ED"/>
    <w:rsid w:val="00C258A8"/>
    <w:rsid w:val="00C259F2"/>
    <w:rsid w:val="00C25F4B"/>
    <w:rsid w:val="00C26749"/>
    <w:rsid w:val="00C267BE"/>
    <w:rsid w:val="00C27030"/>
    <w:rsid w:val="00C30F1B"/>
    <w:rsid w:val="00C31857"/>
    <w:rsid w:val="00C318DF"/>
    <w:rsid w:val="00C31CA4"/>
    <w:rsid w:val="00C322B2"/>
    <w:rsid w:val="00C327BC"/>
    <w:rsid w:val="00C3322F"/>
    <w:rsid w:val="00C3547E"/>
    <w:rsid w:val="00C36BDB"/>
    <w:rsid w:val="00C37130"/>
    <w:rsid w:val="00C376A6"/>
    <w:rsid w:val="00C37E2E"/>
    <w:rsid w:val="00C404AF"/>
    <w:rsid w:val="00C412D1"/>
    <w:rsid w:val="00C4253B"/>
    <w:rsid w:val="00C439A9"/>
    <w:rsid w:val="00C4526F"/>
    <w:rsid w:val="00C460A4"/>
    <w:rsid w:val="00C46CFD"/>
    <w:rsid w:val="00C47158"/>
    <w:rsid w:val="00C47CAB"/>
    <w:rsid w:val="00C47F86"/>
    <w:rsid w:val="00C47FDE"/>
    <w:rsid w:val="00C50CC1"/>
    <w:rsid w:val="00C51629"/>
    <w:rsid w:val="00C51B2B"/>
    <w:rsid w:val="00C51B40"/>
    <w:rsid w:val="00C5210B"/>
    <w:rsid w:val="00C53C52"/>
    <w:rsid w:val="00C54009"/>
    <w:rsid w:val="00C54BCE"/>
    <w:rsid w:val="00C54CE5"/>
    <w:rsid w:val="00C55DE8"/>
    <w:rsid w:val="00C562F2"/>
    <w:rsid w:val="00C570AB"/>
    <w:rsid w:val="00C57EE8"/>
    <w:rsid w:val="00C60001"/>
    <w:rsid w:val="00C60151"/>
    <w:rsid w:val="00C6083A"/>
    <w:rsid w:val="00C60FF0"/>
    <w:rsid w:val="00C6254E"/>
    <w:rsid w:val="00C62855"/>
    <w:rsid w:val="00C62E2D"/>
    <w:rsid w:val="00C65AC5"/>
    <w:rsid w:val="00C664A4"/>
    <w:rsid w:val="00C66912"/>
    <w:rsid w:val="00C67A50"/>
    <w:rsid w:val="00C710A0"/>
    <w:rsid w:val="00C711EE"/>
    <w:rsid w:val="00C72965"/>
    <w:rsid w:val="00C72D27"/>
    <w:rsid w:val="00C759B9"/>
    <w:rsid w:val="00C75E5A"/>
    <w:rsid w:val="00C76478"/>
    <w:rsid w:val="00C76A48"/>
    <w:rsid w:val="00C77BF3"/>
    <w:rsid w:val="00C80003"/>
    <w:rsid w:val="00C8052D"/>
    <w:rsid w:val="00C81184"/>
    <w:rsid w:val="00C81B57"/>
    <w:rsid w:val="00C82E38"/>
    <w:rsid w:val="00C84356"/>
    <w:rsid w:val="00C851C8"/>
    <w:rsid w:val="00C85614"/>
    <w:rsid w:val="00C85BB1"/>
    <w:rsid w:val="00C85ED3"/>
    <w:rsid w:val="00C870C2"/>
    <w:rsid w:val="00C87128"/>
    <w:rsid w:val="00C9010C"/>
    <w:rsid w:val="00C90670"/>
    <w:rsid w:val="00C9070E"/>
    <w:rsid w:val="00C91028"/>
    <w:rsid w:val="00C92451"/>
    <w:rsid w:val="00C92B45"/>
    <w:rsid w:val="00C92DF5"/>
    <w:rsid w:val="00C93319"/>
    <w:rsid w:val="00C9352B"/>
    <w:rsid w:val="00C93578"/>
    <w:rsid w:val="00C9359F"/>
    <w:rsid w:val="00C93CB8"/>
    <w:rsid w:val="00C94EE3"/>
    <w:rsid w:val="00C9522F"/>
    <w:rsid w:val="00C95D44"/>
    <w:rsid w:val="00C9695F"/>
    <w:rsid w:val="00C97595"/>
    <w:rsid w:val="00CA0605"/>
    <w:rsid w:val="00CA08BE"/>
    <w:rsid w:val="00CA0E72"/>
    <w:rsid w:val="00CA16B1"/>
    <w:rsid w:val="00CA1A34"/>
    <w:rsid w:val="00CA1B40"/>
    <w:rsid w:val="00CA1CC1"/>
    <w:rsid w:val="00CA28CF"/>
    <w:rsid w:val="00CA2A3E"/>
    <w:rsid w:val="00CA2E0F"/>
    <w:rsid w:val="00CA4803"/>
    <w:rsid w:val="00CA5DC9"/>
    <w:rsid w:val="00CA6491"/>
    <w:rsid w:val="00CB04BA"/>
    <w:rsid w:val="00CB059E"/>
    <w:rsid w:val="00CB08F6"/>
    <w:rsid w:val="00CB0E6B"/>
    <w:rsid w:val="00CB25D6"/>
    <w:rsid w:val="00CB2842"/>
    <w:rsid w:val="00CB3775"/>
    <w:rsid w:val="00CB4082"/>
    <w:rsid w:val="00CB4143"/>
    <w:rsid w:val="00CB4820"/>
    <w:rsid w:val="00CB534E"/>
    <w:rsid w:val="00CB569E"/>
    <w:rsid w:val="00CB5E80"/>
    <w:rsid w:val="00CB64E4"/>
    <w:rsid w:val="00CB6CCF"/>
    <w:rsid w:val="00CB6EE2"/>
    <w:rsid w:val="00CB71B3"/>
    <w:rsid w:val="00CB75CE"/>
    <w:rsid w:val="00CC0E0C"/>
    <w:rsid w:val="00CC1CC5"/>
    <w:rsid w:val="00CC30F5"/>
    <w:rsid w:val="00CC491D"/>
    <w:rsid w:val="00CC52C8"/>
    <w:rsid w:val="00CC554B"/>
    <w:rsid w:val="00CC6F45"/>
    <w:rsid w:val="00CC7A73"/>
    <w:rsid w:val="00CD1524"/>
    <w:rsid w:val="00CD1835"/>
    <w:rsid w:val="00CD256A"/>
    <w:rsid w:val="00CD2E90"/>
    <w:rsid w:val="00CD3017"/>
    <w:rsid w:val="00CD3736"/>
    <w:rsid w:val="00CD3849"/>
    <w:rsid w:val="00CD3C7B"/>
    <w:rsid w:val="00CD3E30"/>
    <w:rsid w:val="00CD45D1"/>
    <w:rsid w:val="00CD45FA"/>
    <w:rsid w:val="00CD4DBA"/>
    <w:rsid w:val="00CD500B"/>
    <w:rsid w:val="00CD50A2"/>
    <w:rsid w:val="00CD537D"/>
    <w:rsid w:val="00CD581D"/>
    <w:rsid w:val="00CD7C9B"/>
    <w:rsid w:val="00CE0D8D"/>
    <w:rsid w:val="00CE0DDB"/>
    <w:rsid w:val="00CE1340"/>
    <w:rsid w:val="00CE2A48"/>
    <w:rsid w:val="00CE2CD8"/>
    <w:rsid w:val="00CE3320"/>
    <w:rsid w:val="00CE370C"/>
    <w:rsid w:val="00CE3780"/>
    <w:rsid w:val="00CE5B4C"/>
    <w:rsid w:val="00CE6F9E"/>
    <w:rsid w:val="00CE7E95"/>
    <w:rsid w:val="00CE7F20"/>
    <w:rsid w:val="00CF0CCB"/>
    <w:rsid w:val="00CF2F86"/>
    <w:rsid w:val="00CF3B5C"/>
    <w:rsid w:val="00CF40C5"/>
    <w:rsid w:val="00CF5DE7"/>
    <w:rsid w:val="00CF5E02"/>
    <w:rsid w:val="00CF6123"/>
    <w:rsid w:val="00CF623C"/>
    <w:rsid w:val="00CF654F"/>
    <w:rsid w:val="00CF67E0"/>
    <w:rsid w:val="00CF6C5B"/>
    <w:rsid w:val="00CF6FF7"/>
    <w:rsid w:val="00CF721D"/>
    <w:rsid w:val="00CF7B6B"/>
    <w:rsid w:val="00CF7C4E"/>
    <w:rsid w:val="00D00593"/>
    <w:rsid w:val="00D01089"/>
    <w:rsid w:val="00D01D2B"/>
    <w:rsid w:val="00D0250F"/>
    <w:rsid w:val="00D02BA0"/>
    <w:rsid w:val="00D02C42"/>
    <w:rsid w:val="00D03EED"/>
    <w:rsid w:val="00D04C78"/>
    <w:rsid w:val="00D05414"/>
    <w:rsid w:val="00D0580B"/>
    <w:rsid w:val="00D07811"/>
    <w:rsid w:val="00D07C7B"/>
    <w:rsid w:val="00D106BA"/>
    <w:rsid w:val="00D10773"/>
    <w:rsid w:val="00D1082B"/>
    <w:rsid w:val="00D10B5E"/>
    <w:rsid w:val="00D11D5A"/>
    <w:rsid w:val="00D12070"/>
    <w:rsid w:val="00D139C4"/>
    <w:rsid w:val="00D13CAC"/>
    <w:rsid w:val="00D13FDF"/>
    <w:rsid w:val="00D15650"/>
    <w:rsid w:val="00D15ECD"/>
    <w:rsid w:val="00D1660A"/>
    <w:rsid w:val="00D17358"/>
    <w:rsid w:val="00D1765F"/>
    <w:rsid w:val="00D17EC2"/>
    <w:rsid w:val="00D21250"/>
    <w:rsid w:val="00D21FB8"/>
    <w:rsid w:val="00D23BDB"/>
    <w:rsid w:val="00D25683"/>
    <w:rsid w:val="00D26EF5"/>
    <w:rsid w:val="00D303D5"/>
    <w:rsid w:val="00D30EC9"/>
    <w:rsid w:val="00D32474"/>
    <w:rsid w:val="00D325AE"/>
    <w:rsid w:val="00D331C4"/>
    <w:rsid w:val="00D35D95"/>
    <w:rsid w:val="00D36896"/>
    <w:rsid w:val="00D36B18"/>
    <w:rsid w:val="00D36D31"/>
    <w:rsid w:val="00D371F8"/>
    <w:rsid w:val="00D4046E"/>
    <w:rsid w:val="00D4181E"/>
    <w:rsid w:val="00D41B61"/>
    <w:rsid w:val="00D4310F"/>
    <w:rsid w:val="00D4382A"/>
    <w:rsid w:val="00D4382C"/>
    <w:rsid w:val="00D43EBE"/>
    <w:rsid w:val="00D45615"/>
    <w:rsid w:val="00D45715"/>
    <w:rsid w:val="00D45790"/>
    <w:rsid w:val="00D458E4"/>
    <w:rsid w:val="00D4611E"/>
    <w:rsid w:val="00D4764B"/>
    <w:rsid w:val="00D47F7B"/>
    <w:rsid w:val="00D50C87"/>
    <w:rsid w:val="00D516D0"/>
    <w:rsid w:val="00D5244A"/>
    <w:rsid w:val="00D525AF"/>
    <w:rsid w:val="00D53B2C"/>
    <w:rsid w:val="00D545B9"/>
    <w:rsid w:val="00D5572C"/>
    <w:rsid w:val="00D563F0"/>
    <w:rsid w:val="00D56858"/>
    <w:rsid w:val="00D56B5D"/>
    <w:rsid w:val="00D57BC1"/>
    <w:rsid w:val="00D57D47"/>
    <w:rsid w:val="00D613D9"/>
    <w:rsid w:val="00D615FA"/>
    <w:rsid w:val="00D61AA8"/>
    <w:rsid w:val="00D61F99"/>
    <w:rsid w:val="00D622C6"/>
    <w:rsid w:val="00D62A19"/>
    <w:rsid w:val="00D63A19"/>
    <w:rsid w:val="00D65212"/>
    <w:rsid w:val="00D656D8"/>
    <w:rsid w:val="00D65ADD"/>
    <w:rsid w:val="00D65CF3"/>
    <w:rsid w:val="00D7062B"/>
    <w:rsid w:val="00D71AEC"/>
    <w:rsid w:val="00D71DB4"/>
    <w:rsid w:val="00D7212D"/>
    <w:rsid w:val="00D73BCF"/>
    <w:rsid w:val="00D741BC"/>
    <w:rsid w:val="00D74750"/>
    <w:rsid w:val="00D74D9D"/>
    <w:rsid w:val="00D74E3D"/>
    <w:rsid w:val="00D75230"/>
    <w:rsid w:val="00D7566E"/>
    <w:rsid w:val="00D757F9"/>
    <w:rsid w:val="00D75DCA"/>
    <w:rsid w:val="00D76447"/>
    <w:rsid w:val="00D767FD"/>
    <w:rsid w:val="00D76D45"/>
    <w:rsid w:val="00D76D77"/>
    <w:rsid w:val="00D8140F"/>
    <w:rsid w:val="00D81573"/>
    <w:rsid w:val="00D832B2"/>
    <w:rsid w:val="00D83707"/>
    <w:rsid w:val="00D8460E"/>
    <w:rsid w:val="00D85C7F"/>
    <w:rsid w:val="00D86BE8"/>
    <w:rsid w:val="00D907D8"/>
    <w:rsid w:val="00D90E87"/>
    <w:rsid w:val="00D9162E"/>
    <w:rsid w:val="00D939AC"/>
    <w:rsid w:val="00D93FEA"/>
    <w:rsid w:val="00D940CD"/>
    <w:rsid w:val="00D94A87"/>
    <w:rsid w:val="00D953F8"/>
    <w:rsid w:val="00D956ED"/>
    <w:rsid w:val="00D96701"/>
    <w:rsid w:val="00D96C47"/>
    <w:rsid w:val="00D96D2D"/>
    <w:rsid w:val="00D97930"/>
    <w:rsid w:val="00D97C70"/>
    <w:rsid w:val="00DA049A"/>
    <w:rsid w:val="00DA1AB2"/>
    <w:rsid w:val="00DA2C92"/>
    <w:rsid w:val="00DA33DD"/>
    <w:rsid w:val="00DA37C0"/>
    <w:rsid w:val="00DA41B2"/>
    <w:rsid w:val="00DA42DD"/>
    <w:rsid w:val="00DA4711"/>
    <w:rsid w:val="00DA4B3A"/>
    <w:rsid w:val="00DA54AD"/>
    <w:rsid w:val="00DA5886"/>
    <w:rsid w:val="00DA5C58"/>
    <w:rsid w:val="00DA7AEB"/>
    <w:rsid w:val="00DA7D9A"/>
    <w:rsid w:val="00DB0274"/>
    <w:rsid w:val="00DB0760"/>
    <w:rsid w:val="00DB0B6A"/>
    <w:rsid w:val="00DB0BF3"/>
    <w:rsid w:val="00DB1C88"/>
    <w:rsid w:val="00DB1D1C"/>
    <w:rsid w:val="00DB2FA4"/>
    <w:rsid w:val="00DB35B6"/>
    <w:rsid w:val="00DB38D8"/>
    <w:rsid w:val="00DB48F2"/>
    <w:rsid w:val="00DB4CE0"/>
    <w:rsid w:val="00DB4D99"/>
    <w:rsid w:val="00DB4DE6"/>
    <w:rsid w:val="00DB5619"/>
    <w:rsid w:val="00DB600F"/>
    <w:rsid w:val="00DB7032"/>
    <w:rsid w:val="00DB72BA"/>
    <w:rsid w:val="00DB7D2B"/>
    <w:rsid w:val="00DC03B7"/>
    <w:rsid w:val="00DC1FC2"/>
    <w:rsid w:val="00DC2286"/>
    <w:rsid w:val="00DC2E17"/>
    <w:rsid w:val="00DC3268"/>
    <w:rsid w:val="00DC3A89"/>
    <w:rsid w:val="00DC5218"/>
    <w:rsid w:val="00DC58D4"/>
    <w:rsid w:val="00DC5B9D"/>
    <w:rsid w:val="00DC7405"/>
    <w:rsid w:val="00DC7D7B"/>
    <w:rsid w:val="00DD0CAD"/>
    <w:rsid w:val="00DD1538"/>
    <w:rsid w:val="00DD1650"/>
    <w:rsid w:val="00DD1779"/>
    <w:rsid w:val="00DD3537"/>
    <w:rsid w:val="00DD3BC9"/>
    <w:rsid w:val="00DD540A"/>
    <w:rsid w:val="00DD55EA"/>
    <w:rsid w:val="00DD7B84"/>
    <w:rsid w:val="00DE15C0"/>
    <w:rsid w:val="00DE1637"/>
    <w:rsid w:val="00DE1CD8"/>
    <w:rsid w:val="00DE1F4D"/>
    <w:rsid w:val="00DE2641"/>
    <w:rsid w:val="00DE26F5"/>
    <w:rsid w:val="00DE2D23"/>
    <w:rsid w:val="00DE359B"/>
    <w:rsid w:val="00DE504E"/>
    <w:rsid w:val="00DE55EB"/>
    <w:rsid w:val="00DE5E15"/>
    <w:rsid w:val="00DE6CE4"/>
    <w:rsid w:val="00DE7CC2"/>
    <w:rsid w:val="00DF0018"/>
    <w:rsid w:val="00DF07ED"/>
    <w:rsid w:val="00DF0A2C"/>
    <w:rsid w:val="00DF293E"/>
    <w:rsid w:val="00DF3021"/>
    <w:rsid w:val="00DF3F48"/>
    <w:rsid w:val="00DF4192"/>
    <w:rsid w:val="00DF57B4"/>
    <w:rsid w:val="00DF58BB"/>
    <w:rsid w:val="00DF5B50"/>
    <w:rsid w:val="00DF62F4"/>
    <w:rsid w:val="00DF6CC3"/>
    <w:rsid w:val="00E005D4"/>
    <w:rsid w:val="00E007C1"/>
    <w:rsid w:val="00E02326"/>
    <w:rsid w:val="00E023DA"/>
    <w:rsid w:val="00E0255C"/>
    <w:rsid w:val="00E033D7"/>
    <w:rsid w:val="00E0354A"/>
    <w:rsid w:val="00E047E6"/>
    <w:rsid w:val="00E05335"/>
    <w:rsid w:val="00E062B1"/>
    <w:rsid w:val="00E06DDB"/>
    <w:rsid w:val="00E106F2"/>
    <w:rsid w:val="00E10E7E"/>
    <w:rsid w:val="00E11555"/>
    <w:rsid w:val="00E12224"/>
    <w:rsid w:val="00E12623"/>
    <w:rsid w:val="00E12AAE"/>
    <w:rsid w:val="00E12CC2"/>
    <w:rsid w:val="00E14137"/>
    <w:rsid w:val="00E142D0"/>
    <w:rsid w:val="00E1464F"/>
    <w:rsid w:val="00E146F5"/>
    <w:rsid w:val="00E14E32"/>
    <w:rsid w:val="00E14EFA"/>
    <w:rsid w:val="00E15447"/>
    <w:rsid w:val="00E157F2"/>
    <w:rsid w:val="00E15B4A"/>
    <w:rsid w:val="00E15BAC"/>
    <w:rsid w:val="00E1630D"/>
    <w:rsid w:val="00E1708A"/>
    <w:rsid w:val="00E21337"/>
    <w:rsid w:val="00E229DC"/>
    <w:rsid w:val="00E22D63"/>
    <w:rsid w:val="00E23174"/>
    <w:rsid w:val="00E2344E"/>
    <w:rsid w:val="00E2472C"/>
    <w:rsid w:val="00E248ED"/>
    <w:rsid w:val="00E25FDE"/>
    <w:rsid w:val="00E26009"/>
    <w:rsid w:val="00E300DA"/>
    <w:rsid w:val="00E306B3"/>
    <w:rsid w:val="00E31155"/>
    <w:rsid w:val="00E31378"/>
    <w:rsid w:val="00E33FE3"/>
    <w:rsid w:val="00E34758"/>
    <w:rsid w:val="00E3477F"/>
    <w:rsid w:val="00E34D1D"/>
    <w:rsid w:val="00E354BA"/>
    <w:rsid w:val="00E369B2"/>
    <w:rsid w:val="00E40236"/>
    <w:rsid w:val="00E417F0"/>
    <w:rsid w:val="00E41AD7"/>
    <w:rsid w:val="00E41F83"/>
    <w:rsid w:val="00E430BC"/>
    <w:rsid w:val="00E43414"/>
    <w:rsid w:val="00E43577"/>
    <w:rsid w:val="00E43E5C"/>
    <w:rsid w:val="00E44779"/>
    <w:rsid w:val="00E4488A"/>
    <w:rsid w:val="00E44C27"/>
    <w:rsid w:val="00E45040"/>
    <w:rsid w:val="00E4656D"/>
    <w:rsid w:val="00E46DAB"/>
    <w:rsid w:val="00E46ED7"/>
    <w:rsid w:val="00E50035"/>
    <w:rsid w:val="00E50C96"/>
    <w:rsid w:val="00E536FA"/>
    <w:rsid w:val="00E53FFE"/>
    <w:rsid w:val="00E5725E"/>
    <w:rsid w:val="00E60661"/>
    <w:rsid w:val="00E60CAF"/>
    <w:rsid w:val="00E61057"/>
    <w:rsid w:val="00E61523"/>
    <w:rsid w:val="00E61CB2"/>
    <w:rsid w:val="00E62186"/>
    <w:rsid w:val="00E65BD9"/>
    <w:rsid w:val="00E65F8C"/>
    <w:rsid w:val="00E66FFF"/>
    <w:rsid w:val="00E67149"/>
    <w:rsid w:val="00E67414"/>
    <w:rsid w:val="00E6775B"/>
    <w:rsid w:val="00E6E01E"/>
    <w:rsid w:val="00E70DB5"/>
    <w:rsid w:val="00E7174A"/>
    <w:rsid w:val="00E71C91"/>
    <w:rsid w:val="00E71FB5"/>
    <w:rsid w:val="00E73963"/>
    <w:rsid w:val="00E73B5A"/>
    <w:rsid w:val="00E73E4F"/>
    <w:rsid w:val="00E7487C"/>
    <w:rsid w:val="00E7593A"/>
    <w:rsid w:val="00E766DE"/>
    <w:rsid w:val="00E76B56"/>
    <w:rsid w:val="00E77105"/>
    <w:rsid w:val="00E77557"/>
    <w:rsid w:val="00E77672"/>
    <w:rsid w:val="00E77C26"/>
    <w:rsid w:val="00E801CE"/>
    <w:rsid w:val="00E815EF"/>
    <w:rsid w:val="00E81EDE"/>
    <w:rsid w:val="00E81F28"/>
    <w:rsid w:val="00E839E3"/>
    <w:rsid w:val="00E83E9D"/>
    <w:rsid w:val="00E856FC"/>
    <w:rsid w:val="00E85803"/>
    <w:rsid w:val="00E85D03"/>
    <w:rsid w:val="00E860E2"/>
    <w:rsid w:val="00E86879"/>
    <w:rsid w:val="00E87627"/>
    <w:rsid w:val="00E9043B"/>
    <w:rsid w:val="00E917C7"/>
    <w:rsid w:val="00E91C1B"/>
    <w:rsid w:val="00E91D32"/>
    <w:rsid w:val="00E920AC"/>
    <w:rsid w:val="00E93475"/>
    <w:rsid w:val="00E94064"/>
    <w:rsid w:val="00E94F85"/>
    <w:rsid w:val="00E95D78"/>
    <w:rsid w:val="00E96B3D"/>
    <w:rsid w:val="00E97E19"/>
    <w:rsid w:val="00EA1F92"/>
    <w:rsid w:val="00EA202B"/>
    <w:rsid w:val="00EA3CDE"/>
    <w:rsid w:val="00EA5588"/>
    <w:rsid w:val="00EA65AB"/>
    <w:rsid w:val="00EA7BFA"/>
    <w:rsid w:val="00EB0559"/>
    <w:rsid w:val="00EB0F6E"/>
    <w:rsid w:val="00EB13D5"/>
    <w:rsid w:val="00EB142E"/>
    <w:rsid w:val="00EB3635"/>
    <w:rsid w:val="00EB3BDC"/>
    <w:rsid w:val="00EB4AB7"/>
    <w:rsid w:val="00EB4E43"/>
    <w:rsid w:val="00EB5FE4"/>
    <w:rsid w:val="00EB6498"/>
    <w:rsid w:val="00EB6AE9"/>
    <w:rsid w:val="00EC0769"/>
    <w:rsid w:val="00EC1280"/>
    <w:rsid w:val="00EC25A0"/>
    <w:rsid w:val="00EC36B0"/>
    <w:rsid w:val="00EC3ACB"/>
    <w:rsid w:val="00EC4512"/>
    <w:rsid w:val="00EC53C1"/>
    <w:rsid w:val="00EC5824"/>
    <w:rsid w:val="00EC629E"/>
    <w:rsid w:val="00EC732B"/>
    <w:rsid w:val="00ECBC27"/>
    <w:rsid w:val="00ED08CA"/>
    <w:rsid w:val="00ED0D70"/>
    <w:rsid w:val="00ED1613"/>
    <w:rsid w:val="00ED1FF5"/>
    <w:rsid w:val="00ED33F6"/>
    <w:rsid w:val="00ED4C6D"/>
    <w:rsid w:val="00ED4EF1"/>
    <w:rsid w:val="00ED5251"/>
    <w:rsid w:val="00ED6A7F"/>
    <w:rsid w:val="00ED7527"/>
    <w:rsid w:val="00ED7A76"/>
    <w:rsid w:val="00EE0221"/>
    <w:rsid w:val="00EE0682"/>
    <w:rsid w:val="00EE087A"/>
    <w:rsid w:val="00EE0D88"/>
    <w:rsid w:val="00EE136B"/>
    <w:rsid w:val="00EE22A5"/>
    <w:rsid w:val="00EE296D"/>
    <w:rsid w:val="00EE321D"/>
    <w:rsid w:val="00EE3776"/>
    <w:rsid w:val="00EE5B22"/>
    <w:rsid w:val="00EE6CE2"/>
    <w:rsid w:val="00EE7A1B"/>
    <w:rsid w:val="00EF04BA"/>
    <w:rsid w:val="00EF0EC2"/>
    <w:rsid w:val="00EF11AA"/>
    <w:rsid w:val="00EF2084"/>
    <w:rsid w:val="00EF2EC9"/>
    <w:rsid w:val="00EF4867"/>
    <w:rsid w:val="00EF487D"/>
    <w:rsid w:val="00EF4F35"/>
    <w:rsid w:val="00EF7402"/>
    <w:rsid w:val="00F00606"/>
    <w:rsid w:val="00F014CD"/>
    <w:rsid w:val="00F01E44"/>
    <w:rsid w:val="00F04300"/>
    <w:rsid w:val="00F0502B"/>
    <w:rsid w:val="00F0533E"/>
    <w:rsid w:val="00F0564A"/>
    <w:rsid w:val="00F11927"/>
    <w:rsid w:val="00F11D17"/>
    <w:rsid w:val="00F12149"/>
    <w:rsid w:val="00F125EB"/>
    <w:rsid w:val="00F12973"/>
    <w:rsid w:val="00F12B4B"/>
    <w:rsid w:val="00F13838"/>
    <w:rsid w:val="00F13B2D"/>
    <w:rsid w:val="00F143A3"/>
    <w:rsid w:val="00F14939"/>
    <w:rsid w:val="00F14AFD"/>
    <w:rsid w:val="00F1589F"/>
    <w:rsid w:val="00F164B8"/>
    <w:rsid w:val="00F16BF4"/>
    <w:rsid w:val="00F17BA2"/>
    <w:rsid w:val="00F17F65"/>
    <w:rsid w:val="00F2039C"/>
    <w:rsid w:val="00F2040E"/>
    <w:rsid w:val="00F20683"/>
    <w:rsid w:val="00F2096C"/>
    <w:rsid w:val="00F20FFF"/>
    <w:rsid w:val="00F229AE"/>
    <w:rsid w:val="00F230B7"/>
    <w:rsid w:val="00F239B7"/>
    <w:rsid w:val="00F23A8A"/>
    <w:rsid w:val="00F23D53"/>
    <w:rsid w:val="00F2405D"/>
    <w:rsid w:val="00F24B34"/>
    <w:rsid w:val="00F25147"/>
    <w:rsid w:val="00F25B9A"/>
    <w:rsid w:val="00F27FEC"/>
    <w:rsid w:val="00F3011C"/>
    <w:rsid w:val="00F316D8"/>
    <w:rsid w:val="00F3180F"/>
    <w:rsid w:val="00F326FF"/>
    <w:rsid w:val="00F3324B"/>
    <w:rsid w:val="00F334EA"/>
    <w:rsid w:val="00F36950"/>
    <w:rsid w:val="00F37180"/>
    <w:rsid w:val="00F374DD"/>
    <w:rsid w:val="00F378F7"/>
    <w:rsid w:val="00F40102"/>
    <w:rsid w:val="00F41426"/>
    <w:rsid w:val="00F41DD9"/>
    <w:rsid w:val="00F42DED"/>
    <w:rsid w:val="00F433BE"/>
    <w:rsid w:val="00F43EB7"/>
    <w:rsid w:val="00F43F9B"/>
    <w:rsid w:val="00F452B3"/>
    <w:rsid w:val="00F4577E"/>
    <w:rsid w:val="00F45824"/>
    <w:rsid w:val="00F45DA5"/>
    <w:rsid w:val="00F46A3E"/>
    <w:rsid w:val="00F46C4A"/>
    <w:rsid w:val="00F46F80"/>
    <w:rsid w:val="00F47564"/>
    <w:rsid w:val="00F477F2"/>
    <w:rsid w:val="00F508DE"/>
    <w:rsid w:val="00F5182E"/>
    <w:rsid w:val="00F51A9E"/>
    <w:rsid w:val="00F521F2"/>
    <w:rsid w:val="00F55640"/>
    <w:rsid w:val="00F55725"/>
    <w:rsid w:val="00F55891"/>
    <w:rsid w:val="00F56815"/>
    <w:rsid w:val="00F568F3"/>
    <w:rsid w:val="00F56C58"/>
    <w:rsid w:val="00F5726C"/>
    <w:rsid w:val="00F60697"/>
    <w:rsid w:val="00F60753"/>
    <w:rsid w:val="00F61FED"/>
    <w:rsid w:val="00F621B0"/>
    <w:rsid w:val="00F62E5D"/>
    <w:rsid w:val="00F63D84"/>
    <w:rsid w:val="00F64DFB"/>
    <w:rsid w:val="00F656FC"/>
    <w:rsid w:val="00F658AD"/>
    <w:rsid w:val="00F65CD5"/>
    <w:rsid w:val="00F65FC0"/>
    <w:rsid w:val="00F66099"/>
    <w:rsid w:val="00F66656"/>
    <w:rsid w:val="00F66F7A"/>
    <w:rsid w:val="00F6729B"/>
    <w:rsid w:val="00F67DA2"/>
    <w:rsid w:val="00F67FC9"/>
    <w:rsid w:val="00F70641"/>
    <w:rsid w:val="00F70C8A"/>
    <w:rsid w:val="00F715C4"/>
    <w:rsid w:val="00F727C5"/>
    <w:rsid w:val="00F73BAA"/>
    <w:rsid w:val="00F73F91"/>
    <w:rsid w:val="00F76336"/>
    <w:rsid w:val="00F763F3"/>
    <w:rsid w:val="00F76885"/>
    <w:rsid w:val="00F7695A"/>
    <w:rsid w:val="00F76AF5"/>
    <w:rsid w:val="00F76DA8"/>
    <w:rsid w:val="00F76DB2"/>
    <w:rsid w:val="00F76F2A"/>
    <w:rsid w:val="00F77099"/>
    <w:rsid w:val="00F77460"/>
    <w:rsid w:val="00F8024F"/>
    <w:rsid w:val="00F80A64"/>
    <w:rsid w:val="00F8220F"/>
    <w:rsid w:val="00F833E5"/>
    <w:rsid w:val="00F8369F"/>
    <w:rsid w:val="00F83DDC"/>
    <w:rsid w:val="00F83F31"/>
    <w:rsid w:val="00F84DA0"/>
    <w:rsid w:val="00F855F7"/>
    <w:rsid w:val="00F86682"/>
    <w:rsid w:val="00F872C3"/>
    <w:rsid w:val="00F87FC3"/>
    <w:rsid w:val="00F907B5"/>
    <w:rsid w:val="00F92324"/>
    <w:rsid w:val="00F930D6"/>
    <w:rsid w:val="00F93CD2"/>
    <w:rsid w:val="00F94A0E"/>
    <w:rsid w:val="00F950E1"/>
    <w:rsid w:val="00F960C3"/>
    <w:rsid w:val="00F9642D"/>
    <w:rsid w:val="00F96D67"/>
    <w:rsid w:val="00F9728F"/>
    <w:rsid w:val="00F97DDD"/>
    <w:rsid w:val="00FA0430"/>
    <w:rsid w:val="00FA0554"/>
    <w:rsid w:val="00FA0DDC"/>
    <w:rsid w:val="00FA1E39"/>
    <w:rsid w:val="00FA3597"/>
    <w:rsid w:val="00FA360F"/>
    <w:rsid w:val="00FA3857"/>
    <w:rsid w:val="00FA4234"/>
    <w:rsid w:val="00FA5275"/>
    <w:rsid w:val="00FA64BE"/>
    <w:rsid w:val="00FA708C"/>
    <w:rsid w:val="00FA782D"/>
    <w:rsid w:val="00FB0A94"/>
    <w:rsid w:val="00FB1D4B"/>
    <w:rsid w:val="00FB1F67"/>
    <w:rsid w:val="00FB2591"/>
    <w:rsid w:val="00FB37CB"/>
    <w:rsid w:val="00FB3E74"/>
    <w:rsid w:val="00FB59A2"/>
    <w:rsid w:val="00FB5B2F"/>
    <w:rsid w:val="00FB5EC5"/>
    <w:rsid w:val="00FB6C7A"/>
    <w:rsid w:val="00FB7FFA"/>
    <w:rsid w:val="00FC0B3C"/>
    <w:rsid w:val="00FC17C7"/>
    <w:rsid w:val="00FC23FD"/>
    <w:rsid w:val="00FC256C"/>
    <w:rsid w:val="00FC2A22"/>
    <w:rsid w:val="00FC4FC1"/>
    <w:rsid w:val="00FC5C87"/>
    <w:rsid w:val="00FC6072"/>
    <w:rsid w:val="00FC7737"/>
    <w:rsid w:val="00FD0838"/>
    <w:rsid w:val="00FD15EE"/>
    <w:rsid w:val="00FD1E85"/>
    <w:rsid w:val="00FD2D50"/>
    <w:rsid w:val="00FD309D"/>
    <w:rsid w:val="00FD372B"/>
    <w:rsid w:val="00FD44DE"/>
    <w:rsid w:val="00FD5798"/>
    <w:rsid w:val="00FD5CA3"/>
    <w:rsid w:val="00FD5FFD"/>
    <w:rsid w:val="00FD6901"/>
    <w:rsid w:val="00FD7ACE"/>
    <w:rsid w:val="00FE0822"/>
    <w:rsid w:val="00FE08C3"/>
    <w:rsid w:val="00FE1468"/>
    <w:rsid w:val="00FE1FBE"/>
    <w:rsid w:val="00FE294A"/>
    <w:rsid w:val="00FE2D7E"/>
    <w:rsid w:val="00FE3A00"/>
    <w:rsid w:val="00FE3DEA"/>
    <w:rsid w:val="00FE3F5D"/>
    <w:rsid w:val="00FE466E"/>
    <w:rsid w:val="00FE4C48"/>
    <w:rsid w:val="00FE5251"/>
    <w:rsid w:val="00FE619B"/>
    <w:rsid w:val="00FE6577"/>
    <w:rsid w:val="00FE662B"/>
    <w:rsid w:val="00FE6AFC"/>
    <w:rsid w:val="00FE7CE5"/>
    <w:rsid w:val="00FF09DD"/>
    <w:rsid w:val="00FF273F"/>
    <w:rsid w:val="00FF32FC"/>
    <w:rsid w:val="00FF3F19"/>
    <w:rsid w:val="00FF48CD"/>
    <w:rsid w:val="00FF61CA"/>
    <w:rsid w:val="00FF6AA9"/>
    <w:rsid w:val="00FF6B93"/>
    <w:rsid w:val="00FF71C6"/>
    <w:rsid w:val="00FF7FDA"/>
    <w:rsid w:val="00FF7FED"/>
    <w:rsid w:val="010EDCB2"/>
    <w:rsid w:val="0127BB6B"/>
    <w:rsid w:val="012A7E84"/>
    <w:rsid w:val="01341931"/>
    <w:rsid w:val="013C5844"/>
    <w:rsid w:val="0149AD93"/>
    <w:rsid w:val="0149DCB4"/>
    <w:rsid w:val="014B553A"/>
    <w:rsid w:val="016A7A25"/>
    <w:rsid w:val="018156AC"/>
    <w:rsid w:val="0181C767"/>
    <w:rsid w:val="0183A88A"/>
    <w:rsid w:val="01B022F4"/>
    <w:rsid w:val="01B774FC"/>
    <w:rsid w:val="01C67877"/>
    <w:rsid w:val="01D88FAC"/>
    <w:rsid w:val="01DE5E7A"/>
    <w:rsid w:val="01EC2EC5"/>
    <w:rsid w:val="01ECCA4D"/>
    <w:rsid w:val="02090F06"/>
    <w:rsid w:val="02249C47"/>
    <w:rsid w:val="0229CB03"/>
    <w:rsid w:val="022A31DB"/>
    <w:rsid w:val="0231CC80"/>
    <w:rsid w:val="023BB350"/>
    <w:rsid w:val="0247CFE7"/>
    <w:rsid w:val="02592E9F"/>
    <w:rsid w:val="026F8274"/>
    <w:rsid w:val="026FEACC"/>
    <w:rsid w:val="028397F0"/>
    <w:rsid w:val="029DB29D"/>
    <w:rsid w:val="02A462BE"/>
    <w:rsid w:val="02AAC1B3"/>
    <w:rsid w:val="02AB6B67"/>
    <w:rsid w:val="02B03B3B"/>
    <w:rsid w:val="02C0257A"/>
    <w:rsid w:val="02C98513"/>
    <w:rsid w:val="02F00F0D"/>
    <w:rsid w:val="02F7C19D"/>
    <w:rsid w:val="03031374"/>
    <w:rsid w:val="03068703"/>
    <w:rsid w:val="030F435F"/>
    <w:rsid w:val="03176695"/>
    <w:rsid w:val="0327C1C9"/>
    <w:rsid w:val="033DCAC3"/>
    <w:rsid w:val="0341DB42"/>
    <w:rsid w:val="03445B9A"/>
    <w:rsid w:val="034CDC30"/>
    <w:rsid w:val="034DBCFE"/>
    <w:rsid w:val="035426C4"/>
    <w:rsid w:val="03553BED"/>
    <w:rsid w:val="0368D1AC"/>
    <w:rsid w:val="03776CAB"/>
    <w:rsid w:val="03830A17"/>
    <w:rsid w:val="038994D8"/>
    <w:rsid w:val="03A44037"/>
    <w:rsid w:val="03B9051D"/>
    <w:rsid w:val="03BA84F0"/>
    <w:rsid w:val="03C447F1"/>
    <w:rsid w:val="03C47E78"/>
    <w:rsid w:val="03DD6434"/>
    <w:rsid w:val="03F462E5"/>
    <w:rsid w:val="040501E4"/>
    <w:rsid w:val="040A626D"/>
    <w:rsid w:val="0416ABFF"/>
    <w:rsid w:val="04265517"/>
    <w:rsid w:val="0430FD28"/>
    <w:rsid w:val="043736A8"/>
    <w:rsid w:val="043858BF"/>
    <w:rsid w:val="04397945"/>
    <w:rsid w:val="043E496C"/>
    <w:rsid w:val="044E6705"/>
    <w:rsid w:val="044FE510"/>
    <w:rsid w:val="0460148D"/>
    <w:rsid w:val="04652FAA"/>
    <w:rsid w:val="0469B899"/>
    <w:rsid w:val="04736B82"/>
    <w:rsid w:val="048B172D"/>
    <w:rsid w:val="048F6B1A"/>
    <w:rsid w:val="049F9AF4"/>
    <w:rsid w:val="04A46F71"/>
    <w:rsid w:val="04AC9410"/>
    <w:rsid w:val="04C7EE8D"/>
    <w:rsid w:val="04CA6BCB"/>
    <w:rsid w:val="04E0E297"/>
    <w:rsid w:val="04E79D2A"/>
    <w:rsid w:val="04E7C843"/>
    <w:rsid w:val="04EB9FB8"/>
    <w:rsid w:val="04EC1AE3"/>
    <w:rsid w:val="04EE4C49"/>
    <w:rsid w:val="0510A3CC"/>
    <w:rsid w:val="0525C259"/>
    <w:rsid w:val="0533E5C8"/>
    <w:rsid w:val="0539C73E"/>
    <w:rsid w:val="05402978"/>
    <w:rsid w:val="05553294"/>
    <w:rsid w:val="055B8AE6"/>
    <w:rsid w:val="055DEFF4"/>
    <w:rsid w:val="057069F3"/>
    <w:rsid w:val="057573B9"/>
    <w:rsid w:val="059738A4"/>
    <w:rsid w:val="059A131F"/>
    <w:rsid w:val="05A3EDF5"/>
    <w:rsid w:val="05A6BF55"/>
    <w:rsid w:val="05A99DD9"/>
    <w:rsid w:val="05A9AFE5"/>
    <w:rsid w:val="05C32D47"/>
    <w:rsid w:val="05D1F2BD"/>
    <w:rsid w:val="05DC0B0A"/>
    <w:rsid w:val="05DDF86A"/>
    <w:rsid w:val="05F1B2DA"/>
    <w:rsid w:val="05F2CE40"/>
    <w:rsid w:val="0609C47B"/>
    <w:rsid w:val="060EBE18"/>
    <w:rsid w:val="060FF1A0"/>
    <w:rsid w:val="0614B6FD"/>
    <w:rsid w:val="06177F1D"/>
    <w:rsid w:val="0618FB5C"/>
    <w:rsid w:val="062604BB"/>
    <w:rsid w:val="062B3B7B"/>
    <w:rsid w:val="063C807A"/>
    <w:rsid w:val="064E2C09"/>
    <w:rsid w:val="065B8D4A"/>
    <w:rsid w:val="06B4989F"/>
    <w:rsid w:val="06B49A18"/>
    <w:rsid w:val="06C02E87"/>
    <w:rsid w:val="06FD3189"/>
    <w:rsid w:val="0705129F"/>
    <w:rsid w:val="07083304"/>
    <w:rsid w:val="07305861"/>
    <w:rsid w:val="0737DF64"/>
    <w:rsid w:val="073C9F3B"/>
    <w:rsid w:val="075CA206"/>
    <w:rsid w:val="0764C949"/>
    <w:rsid w:val="0769F16F"/>
    <w:rsid w:val="0778FE2E"/>
    <w:rsid w:val="0779B030"/>
    <w:rsid w:val="0789919A"/>
    <w:rsid w:val="07912A0D"/>
    <w:rsid w:val="07A40E63"/>
    <w:rsid w:val="07A4C588"/>
    <w:rsid w:val="07A7B8A0"/>
    <w:rsid w:val="07BEC3FE"/>
    <w:rsid w:val="07C15799"/>
    <w:rsid w:val="07DC66CF"/>
    <w:rsid w:val="07DE1771"/>
    <w:rsid w:val="07F4DE69"/>
    <w:rsid w:val="08031BD1"/>
    <w:rsid w:val="080D421C"/>
    <w:rsid w:val="0812E0FF"/>
    <w:rsid w:val="0826DD50"/>
    <w:rsid w:val="082A5A0D"/>
    <w:rsid w:val="0834D6AF"/>
    <w:rsid w:val="0838BBC8"/>
    <w:rsid w:val="0838EDC8"/>
    <w:rsid w:val="08490020"/>
    <w:rsid w:val="08557DBB"/>
    <w:rsid w:val="08560F14"/>
    <w:rsid w:val="085DE091"/>
    <w:rsid w:val="0874487C"/>
    <w:rsid w:val="0883ACE7"/>
    <w:rsid w:val="0885639F"/>
    <w:rsid w:val="0899092F"/>
    <w:rsid w:val="08A90642"/>
    <w:rsid w:val="08ADAA60"/>
    <w:rsid w:val="08B2CF11"/>
    <w:rsid w:val="08C7CC80"/>
    <w:rsid w:val="08CF81F5"/>
    <w:rsid w:val="08D0989B"/>
    <w:rsid w:val="08D6B1F7"/>
    <w:rsid w:val="08E69DCA"/>
    <w:rsid w:val="08EA19E2"/>
    <w:rsid w:val="08F62E4B"/>
    <w:rsid w:val="08FE6267"/>
    <w:rsid w:val="08FFEDB4"/>
    <w:rsid w:val="0908361B"/>
    <w:rsid w:val="091E69DB"/>
    <w:rsid w:val="0924C004"/>
    <w:rsid w:val="095603D3"/>
    <w:rsid w:val="0964EB6F"/>
    <w:rsid w:val="0969B035"/>
    <w:rsid w:val="096E5B4A"/>
    <w:rsid w:val="0971FE24"/>
    <w:rsid w:val="09801394"/>
    <w:rsid w:val="098D505A"/>
    <w:rsid w:val="09919318"/>
    <w:rsid w:val="09934884"/>
    <w:rsid w:val="09941E12"/>
    <w:rsid w:val="099540B0"/>
    <w:rsid w:val="0998156A"/>
    <w:rsid w:val="09AD7226"/>
    <w:rsid w:val="09AE3C2F"/>
    <w:rsid w:val="09B5E669"/>
    <w:rsid w:val="09B83E73"/>
    <w:rsid w:val="09CC33D8"/>
    <w:rsid w:val="09CFAAAE"/>
    <w:rsid w:val="09D60EBD"/>
    <w:rsid w:val="09DA2870"/>
    <w:rsid w:val="0A1710D3"/>
    <w:rsid w:val="0A21B025"/>
    <w:rsid w:val="0A395B69"/>
    <w:rsid w:val="0A3EF104"/>
    <w:rsid w:val="0A4128B2"/>
    <w:rsid w:val="0A4C33AC"/>
    <w:rsid w:val="0A4FED31"/>
    <w:rsid w:val="0A57309A"/>
    <w:rsid w:val="0A77705E"/>
    <w:rsid w:val="0A9E7C61"/>
    <w:rsid w:val="0AA25ECB"/>
    <w:rsid w:val="0AA80D97"/>
    <w:rsid w:val="0AAA1F55"/>
    <w:rsid w:val="0AB3C3C0"/>
    <w:rsid w:val="0AB99707"/>
    <w:rsid w:val="0ABEA5A0"/>
    <w:rsid w:val="0AC2ADDF"/>
    <w:rsid w:val="0AC62747"/>
    <w:rsid w:val="0ACAF3C6"/>
    <w:rsid w:val="0ADC06E0"/>
    <w:rsid w:val="0AE5824A"/>
    <w:rsid w:val="0AE74853"/>
    <w:rsid w:val="0AE8226E"/>
    <w:rsid w:val="0AED1A8F"/>
    <w:rsid w:val="0AEDE18C"/>
    <w:rsid w:val="0AF62260"/>
    <w:rsid w:val="0B004ACD"/>
    <w:rsid w:val="0B023C0C"/>
    <w:rsid w:val="0B0F7096"/>
    <w:rsid w:val="0B11BCD2"/>
    <w:rsid w:val="0B12C70E"/>
    <w:rsid w:val="0B37EF73"/>
    <w:rsid w:val="0B49DADA"/>
    <w:rsid w:val="0B4E99AA"/>
    <w:rsid w:val="0B4F5625"/>
    <w:rsid w:val="0B51E899"/>
    <w:rsid w:val="0B537EBC"/>
    <w:rsid w:val="0B5A8839"/>
    <w:rsid w:val="0B5C6D1C"/>
    <w:rsid w:val="0B625B5E"/>
    <w:rsid w:val="0B64C84F"/>
    <w:rsid w:val="0B66E9AD"/>
    <w:rsid w:val="0B747B36"/>
    <w:rsid w:val="0B79B934"/>
    <w:rsid w:val="0B7C5AB8"/>
    <w:rsid w:val="0B7D2F3C"/>
    <w:rsid w:val="0B830EC9"/>
    <w:rsid w:val="0B85F990"/>
    <w:rsid w:val="0B8CE27F"/>
    <w:rsid w:val="0B995DA3"/>
    <w:rsid w:val="0BB4FF61"/>
    <w:rsid w:val="0BD68331"/>
    <w:rsid w:val="0BDEAB80"/>
    <w:rsid w:val="0BF004A2"/>
    <w:rsid w:val="0BFC7EDD"/>
    <w:rsid w:val="0C019B79"/>
    <w:rsid w:val="0C1A1B43"/>
    <w:rsid w:val="0C3AF913"/>
    <w:rsid w:val="0C4BDD72"/>
    <w:rsid w:val="0C50925D"/>
    <w:rsid w:val="0C59685D"/>
    <w:rsid w:val="0C6F1073"/>
    <w:rsid w:val="0C792489"/>
    <w:rsid w:val="0C79CFC1"/>
    <w:rsid w:val="0C7AD31E"/>
    <w:rsid w:val="0C8AE054"/>
    <w:rsid w:val="0C8D5A57"/>
    <w:rsid w:val="0C8D67D3"/>
    <w:rsid w:val="0C9BAB50"/>
    <w:rsid w:val="0CA6E7DA"/>
    <w:rsid w:val="0CAFE819"/>
    <w:rsid w:val="0CB003BA"/>
    <w:rsid w:val="0CBF59EC"/>
    <w:rsid w:val="0CC1D4C3"/>
    <w:rsid w:val="0CC2D8CB"/>
    <w:rsid w:val="0CC47C4B"/>
    <w:rsid w:val="0CC555D4"/>
    <w:rsid w:val="0CCCA53D"/>
    <w:rsid w:val="0CCEA700"/>
    <w:rsid w:val="0CD0BC6A"/>
    <w:rsid w:val="0CD9B632"/>
    <w:rsid w:val="0CDF29B9"/>
    <w:rsid w:val="0CE4C0E9"/>
    <w:rsid w:val="0CE54F1D"/>
    <w:rsid w:val="0CEEA0B0"/>
    <w:rsid w:val="0CEF6213"/>
    <w:rsid w:val="0CF55A1D"/>
    <w:rsid w:val="0D0746F7"/>
    <w:rsid w:val="0D0F42EC"/>
    <w:rsid w:val="0D104B97"/>
    <w:rsid w:val="0D10E16D"/>
    <w:rsid w:val="0D20E190"/>
    <w:rsid w:val="0D26C5A7"/>
    <w:rsid w:val="0D28BA33"/>
    <w:rsid w:val="0D3F6AAB"/>
    <w:rsid w:val="0D420819"/>
    <w:rsid w:val="0D471386"/>
    <w:rsid w:val="0D48B959"/>
    <w:rsid w:val="0D4CEEEB"/>
    <w:rsid w:val="0D58C2CA"/>
    <w:rsid w:val="0D760327"/>
    <w:rsid w:val="0D823EF9"/>
    <w:rsid w:val="0D8636BF"/>
    <w:rsid w:val="0D881C04"/>
    <w:rsid w:val="0D9FA077"/>
    <w:rsid w:val="0DB4C980"/>
    <w:rsid w:val="0DBB56F0"/>
    <w:rsid w:val="0DC3BE1E"/>
    <w:rsid w:val="0DC687F1"/>
    <w:rsid w:val="0DCE47E6"/>
    <w:rsid w:val="0DD6520A"/>
    <w:rsid w:val="0DE6172B"/>
    <w:rsid w:val="0DF296FF"/>
    <w:rsid w:val="0E015CC7"/>
    <w:rsid w:val="0E01A819"/>
    <w:rsid w:val="0E0C4FCE"/>
    <w:rsid w:val="0E0D5444"/>
    <w:rsid w:val="0E188FDA"/>
    <w:rsid w:val="0E189A3C"/>
    <w:rsid w:val="0E19D317"/>
    <w:rsid w:val="0E1FA9F7"/>
    <w:rsid w:val="0E2295D0"/>
    <w:rsid w:val="0E322C51"/>
    <w:rsid w:val="0E5176BB"/>
    <w:rsid w:val="0E53045D"/>
    <w:rsid w:val="0E59BA07"/>
    <w:rsid w:val="0E5F0DD3"/>
    <w:rsid w:val="0E6BFA0C"/>
    <w:rsid w:val="0E77DD41"/>
    <w:rsid w:val="0E83022A"/>
    <w:rsid w:val="0EDEC76B"/>
    <w:rsid w:val="0EE31E6A"/>
    <w:rsid w:val="0EEA4B34"/>
    <w:rsid w:val="0EF7E297"/>
    <w:rsid w:val="0EFA430B"/>
    <w:rsid w:val="0EFC931C"/>
    <w:rsid w:val="0F02B9BF"/>
    <w:rsid w:val="0F0A7439"/>
    <w:rsid w:val="0F127D32"/>
    <w:rsid w:val="0F12B840"/>
    <w:rsid w:val="0F188D4F"/>
    <w:rsid w:val="0F1D87FC"/>
    <w:rsid w:val="0F2A6B3F"/>
    <w:rsid w:val="0F40AE93"/>
    <w:rsid w:val="0F46A84C"/>
    <w:rsid w:val="0F474998"/>
    <w:rsid w:val="0F553F33"/>
    <w:rsid w:val="0F5EC3B5"/>
    <w:rsid w:val="0F6B9A2E"/>
    <w:rsid w:val="0F8828A1"/>
    <w:rsid w:val="0F8F3339"/>
    <w:rsid w:val="0F8F8413"/>
    <w:rsid w:val="0F91B50B"/>
    <w:rsid w:val="0FA20D64"/>
    <w:rsid w:val="0FA98528"/>
    <w:rsid w:val="0FB14397"/>
    <w:rsid w:val="0FC310D3"/>
    <w:rsid w:val="0FC59010"/>
    <w:rsid w:val="0FC6848B"/>
    <w:rsid w:val="0FD13192"/>
    <w:rsid w:val="0FD6D0E6"/>
    <w:rsid w:val="0FEC7834"/>
    <w:rsid w:val="0FED5B2C"/>
    <w:rsid w:val="100BCEF6"/>
    <w:rsid w:val="1013EC5D"/>
    <w:rsid w:val="1014C7F8"/>
    <w:rsid w:val="102C9CE5"/>
    <w:rsid w:val="102E5DCD"/>
    <w:rsid w:val="10323956"/>
    <w:rsid w:val="10337330"/>
    <w:rsid w:val="10412232"/>
    <w:rsid w:val="10460DB0"/>
    <w:rsid w:val="1046D717"/>
    <w:rsid w:val="105654BC"/>
    <w:rsid w:val="105F8831"/>
    <w:rsid w:val="10611F78"/>
    <w:rsid w:val="1071DB60"/>
    <w:rsid w:val="1079FABC"/>
    <w:rsid w:val="107ADF4D"/>
    <w:rsid w:val="108C28AF"/>
    <w:rsid w:val="1097F907"/>
    <w:rsid w:val="10995C92"/>
    <w:rsid w:val="10B1F9AB"/>
    <w:rsid w:val="10B2B4DD"/>
    <w:rsid w:val="10B3F9BD"/>
    <w:rsid w:val="10B63AD7"/>
    <w:rsid w:val="10B72314"/>
    <w:rsid w:val="10BB66A4"/>
    <w:rsid w:val="10BFEBC8"/>
    <w:rsid w:val="10CBDF3C"/>
    <w:rsid w:val="10CCC411"/>
    <w:rsid w:val="10D1916A"/>
    <w:rsid w:val="10D4F0E9"/>
    <w:rsid w:val="10EB82C9"/>
    <w:rsid w:val="10FC702E"/>
    <w:rsid w:val="10FCDB45"/>
    <w:rsid w:val="1114FF17"/>
    <w:rsid w:val="11155440"/>
    <w:rsid w:val="1117B826"/>
    <w:rsid w:val="11181EAC"/>
    <w:rsid w:val="11352ED3"/>
    <w:rsid w:val="1137A538"/>
    <w:rsid w:val="1140FC1A"/>
    <w:rsid w:val="115E2917"/>
    <w:rsid w:val="115FAA06"/>
    <w:rsid w:val="116072FD"/>
    <w:rsid w:val="116E4818"/>
    <w:rsid w:val="1184B04C"/>
    <w:rsid w:val="1188E1DE"/>
    <w:rsid w:val="119AB0CC"/>
    <w:rsid w:val="119E53C8"/>
    <w:rsid w:val="11ABE19C"/>
    <w:rsid w:val="11CABCFA"/>
    <w:rsid w:val="11CC6334"/>
    <w:rsid w:val="11CEDF17"/>
    <w:rsid w:val="11E409B7"/>
    <w:rsid w:val="11EFF0F1"/>
    <w:rsid w:val="11F34739"/>
    <w:rsid w:val="11F75F3D"/>
    <w:rsid w:val="11F98633"/>
    <w:rsid w:val="1206BE79"/>
    <w:rsid w:val="1212FDB7"/>
    <w:rsid w:val="121AB0FF"/>
    <w:rsid w:val="121FE0B5"/>
    <w:rsid w:val="1220D9FE"/>
    <w:rsid w:val="12426A56"/>
    <w:rsid w:val="12530CB8"/>
    <w:rsid w:val="1253E205"/>
    <w:rsid w:val="125ECA22"/>
    <w:rsid w:val="127CD014"/>
    <w:rsid w:val="12817AED"/>
    <w:rsid w:val="12896E77"/>
    <w:rsid w:val="1289BC45"/>
    <w:rsid w:val="1299A325"/>
    <w:rsid w:val="12A9C4C4"/>
    <w:rsid w:val="12B182B9"/>
    <w:rsid w:val="12B7E765"/>
    <w:rsid w:val="12BE7938"/>
    <w:rsid w:val="12CB72A0"/>
    <w:rsid w:val="12D9D2C3"/>
    <w:rsid w:val="12DAC6D2"/>
    <w:rsid w:val="12E2F53F"/>
    <w:rsid w:val="12E3E43E"/>
    <w:rsid w:val="12E6100C"/>
    <w:rsid w:val="12EA00EE"/>
    <w:rsid w:val="12F324E6"/>
    <w:rsid w:val="12F88D0B"/>
    <w:rsid w:val="12FBB8F5"/>
    <w:rsid w:val="130CF58B"/>
    <w:rsid w:val="130F3467"/>
    <w:rsid w:val="13115454"/>
    <w:rsid w:val="13206D7F"/>
    <w:rsid w:val="1322BB98"/>
    <w:rsid w:val="132379AD"/>
    <w:rsid w:val="132615E5"/>
    <w:rsid w:val="1329FA36"/>
    <w:rsid w:val="13350A19"/>
    <w:rsid w:val="1337D3DB"/>
    <w:rsid w:val="13386903"/>
    <w:rsid w:val="133C6FB4"/>
    <w:rsid w:val="1343B2F6"/>
    <w:rsid w:val="13456202"/>
    <w:rsid w:val="1345AE8D"/>
    <w:rsid w:val="1346E8CB"/>
    <w:rsid w:val="13549476"/>
    <w:rsid w:val="1356B937"/>
    <w:rsid w:val="136E3BA9"/>
    <w:rsid w:val="1370679C"/>
    <w:rsid w:val="13B2EBE8"/>
    <w:rsid w:val="13B38096"/>
    <w:rsid w:val="13B77946"/>
    <w:rsid w:val="13D7A894"/>
    <w:rsid w:val="13DCDC12"/>
    <w:rsid w:val="13E9CED3"/>
    <w:rsid w:val="14025EB2"/>
    <w:rsid w:val="1406DC38"/>
    <w:rsid w:val="1425F4E6"/>
    <w:rsid w:val="1426AA27"/>
    <w:rsid w:val="143278BC"/>
    <w:rsid w:val="14368478"/>
    <w:rsid w:val="143A1AA2"/>
    <w:rsid w:val="143A54BA"/>
    <w:rsid w:val="143CBA4B"/>
    <w:rsid w:val="144614C7"/>
    <w:rsid w:val="144957CF"/>
    <w:rsid w:val="145AA5CF"/>
    <w:rsid w:val="145C7C76"/>
    <w:rsid w:val="1473752E"/>
    <w:rsid w:val="1481C940"/>
    <w:rsid w:val="148A9491"/>
    <w:rsid w:val="148D5CEA"/>
    <w:rsid w:val="148DA9A0"/>
    <w:rsid w:val="149A4CB7"/>
    <w:rsid w:val="14A710B0"/>
    <w:rsid w:val="14A7D220"/>
    <w:rsid w:val="14B254A0"/>
    <w:rsid w:val="14C8382C"/>
    <w:rsid w:val="14CD83C1"/>
    <w:rsid w:val="14D54ABE"/>
    <w:rsid w:val="14DF73D9"/>
    <w:rsid w:val="14E34EE5"/>
    <w:rsid w:val="14E3BDCF"/>
    <w:rsid w:val="14E741A0"/>
    <w:rsid w:val="14EACEA4"/>
    <w:rsid w:val="15008496"/>
    <w:rsid w:val="150135AC"/>
    <w:rsid w:val="1502CAD8"/>
    <w:rsid w:val="15069986"/>
    <w:rsid w:val="150FEE35"/>
    <w:rsid w:val="153B34B4"/>
    <w:rsid w:val="154095B5"/>
    <w:rsid w:val="1549A59B"/>
    <w:rsid w:val="154C493B"/>
    <w:rsid w:val="155D504A"/>
    <w:rsid w:val="1567E1C8"/>
    <w:rsid w:val="156BE360"/>
    <w:rsid w:val="156CD87A"/>
    <w:rsid w:val="156D4A77"/>
    <w:rsid w:val="157F0518"/>
    <w:rsid w:val="1598BF46"/>
    <w:rsid w:val="159AC0B5"/>
    <w:rsid w:val="159E5D33"/>
    <w:rsid w:val="15B04453"/>
    <w:rsid w:val="15B285E6"/>
    <w:rsid w:val="15B98DC0"/>
    <w:rsid w:val="15C093E3"/>
    <w:rsid w:val="15C88470"/>
    <w:rsid w:val="15E1ACBE"/>
    <w:rsid w:val="15E3D611"/>
    <w:rsid w:val="15EC470D"/>
    <w:rsid w:val="15F21B4A"/>
    <w:rsid w:val="16229A06"/>
    <w:rsid w:val="163535C2"/>
    <w:rsid w:val="16416114"/>
    <w:rsid w:val="165580F7"/>
    <w:rsid w:val="166AF321"/>
    <w:rsid w:val="166FF5DE"/>
    <w:rsid w:val="1670815B"/>
    <w:rsid w:val="1672E080"/>
    <w:rsid w:val="167E7983"/>
    <w:rsid w:val="168A624E"/>
    <w:rsid w:val="1692D0C3"/>
    <w:rsid w:val="1693A1F2"/>
    <w:rsid w:val="169DC841"/>
    <w:rsid w:val="16A50D3C"/>
    <w:rsid w:val="16A9FA4C"/>
    <w:rsid w:val="16B2F571"/>
    <w:rsid w:val="16BD60B5"/>
    <w:rsid w:val="16C9D21D"/>
    <w:rsid w:val="16DE5E7F"/>
    <w:rsid w:val="16E0EF6E"/>
    <w:rsid w:val="17066EA3"/>
    <w:rsid w:val="171331F4"/>
    <w:rsid w:val="172074AE"/>
    <w:rsid w:val="172C9C5D"/>
    <w:rsid w:val="172F4023"/>
    <w:rsid w:val="173EBDDB"/>
    <w:rsid w:val="17433A3E"/>
    <w:rsid w:val="175C1AC7"/>
    <w:rsid w:val="176728D1"/>
    <w:rsid w:val="1786FFE0"/>
    <w:rsid w:val="179F9987"/>
    <w:rsid w:val="17A1A16F"/>
    <w:rsid w:val="17A320FC"/>
    <w:rsid w:val="17A3708F"/>
    <w:rsid w:val="17A785BE"/>
    <w:rsid w:val="17A8EC33"/>
    <w:rsid w:val="17B75561"/>
    <w:rsid w:val="17B8A526"/>
    <w:rsid w:val="17C72A90"/>
    <w:rsid w:val="17DE6C9A"/>
    <w:rsid w:val="17E08E02"/>
    <w:rsid w:val="180B3279"/>
    <w:rsid w:val="180E9307"/>
    <w:rsid w:val="180E9674"/>
    <w:rsid w:val="1811F559"/>
    <w:rsid w:val="1814D9E4"/>
    <w:rsid w:val="18166A2F"/>
    <w:rsid w:val="18233FDD"/>
    <w:rsid w:val="1824C979"/>
    <w:rsid w:val="182B8B36"/>
    <w:rsid w:val="1845B763"/>
    <w:rsid w:val="18554595"/>
    <w:rsid w:val="1863A804"/>
    <w:rsid w:val="186A4D30"/>
    <w:rsid w:val="1876E4C8"/>
    <w:rsid w:val="18864A7E"/>
    <w:rsid w:val="1894C341"/>
    <w:rsid w:val="18E2FD3E"/>
    <w:rsid w:val="18F6E3CE"/>
    <w:rsid w:val="18F8815A"/>
    <w:rsid w:val="1900D999"/>
    <w:rsid w:val="1909C17B"/>
    <w:rsid w:val="192B04A8"/>
    <w:rsid w:val="192BAD78"/>
    <w:rsid w:val="1931AC5D"/>
    <w:rsid w:val="193DFB33"/>
    <w:rsid w:val="19514514"/>
    <w:rsid w:val="195780E5"/>
    <w:rsid w:val="19594F77"/>
    <w:rsid w:val="195C9BB9"/>
    <w:rsid w:val="19601479"/>
    <w:rsid w:val="197FEBFA"/>
    <w:rsid w:val="1981BC60"/>
    <w:rsid w:val="1986B04D"/>
    <w:rsid w:val="198B83D3"/>
    <w:rsid w:val="19A01000"/>
    <w:rsid w:val="19AEA3B7"/>
    <w:rsid w:val="19D09DA0"/>
    <w:rsid w:val="19ECEEE9"/>
    <w:rsid w:val="19F44509"/>
    <w:rsid w:val="19F613C4"/>
    <w:rsid w:val="19F91697"/>
    <w:rsid w:val="1A069F10"/>
    <w:rsid w:val="1A0D4A2C"/>
    <w:rsid w:val="1A2A13D8"/>
    <w:rsid w:val="1A31F121"/>
    <w:rsid w:val="1A3AE86F"/>
    <w:rsid w:val="1A434310"/>
    <w:rsid w:val="1A4DBE78"/>
    <w:rsid w:val="1A4F197C"/>
    <w:rsid w:val="1A696FD2"/>
    <w:rsid w:val="1A6AD096"/>
    <w:rsid w:val="1A7200F4"/>
    <w:rsid w:val="1A72010E"/>
    <w:rsid w:val="1A7C3E27"/>
    <w:rsid w:val="1A8A506A"/>
    <w:rsid w:val="1A940D02"/>
    <w:rsid w:val="1A9BC561"/>
    <w:rsid w:val="1AA6A0FF"/>
    <w:rsid w:val="1AAE75B6"/>
    <w:rsid w:val="1AB0CF49"/>
    <w:rsid w:val="1AD7BFCC"/>
    <w:rsid w:val="1AED418A"/>
    <w:rsid w:val="1AEF4FAC"/>
    <w:rsid w:val="1AF919DE"/>
    <w:rsid w:val="1B0638FB"/>
    <w:rsid w:val="1B12E6E7"/>
    <w:rsid w:val="1B157278"/>
    <w:rsid w:val="1B1917FB"/>
    <w:rsid w:val="1B1B5B37"/>
    <w:rsid w:val="1B1F7B1F"/>
    <w:rsid w:val="1B2BAF38"/>
    <w:rsid w:val="1B3A8653"/>
    <w:rsid w:val="1B3C8592"/>
    <w:rsid w:val="1B5BFFF8"/>
    <w:rsid w:val="1B6CA652"/>
    <w:rsid w:val="1B748C4C"/>
    <w:rsid w:val="1B7E80C4"/>
    <w:rsid w:val="1B82FE83"/>
    <w:rsid w:val="1B8DC1EC"/>
    <w:rsid w:val="1B9D4712"/>
    <w:rsid w:val="1BA44496"/>
    <w:rsid w:val="1BAE67E4"/>
    <w:rsid w:val="1BBC8E08"/>
    <w:rsid w:val="1BC94DD5"/>
    <w:rsid w:val="1BCF4CDF"/>
    <w:rsid w:val="1BDDE237"/>
    <w:rsid w:val="1BE6CE48"/>
    <w:rsid w:val="1BEFA202"/>
    <w:rsid w:val="1BF388EA"/>
    <w:rsid w:val="1C07134F"/>
    <w:rsid w:val="1C1F268E"/>
    <w:rsid w:val="1C1F805A"/>
    <w:rsid w:val="1C44D5FE"/>
    <w:rsid w:val="1C464833"/>
    <w:rsid w:val="1C52FDD8"/>
    <w:rsid w:val="1C5BC157"/>
    <w:rsid w:val="1C5F3A94"/>
    <w:rsid w:val="1C605215"/>
    <w:rsid w:val="1C70CC43"/>
    <w:rsid w:val="1C749E17"/>
    <w:rsid w:val="1C7797CC"/>
    <w:rsid w:val="1C77EDA8"/>
    <w:rsid w:val="1C877CBB"/>
    <w:rsid w:val="1C8F6E40"/>
    <w:rsid w:val="1C9568CA"/>
    <w:rsid w:val="1CA115D4"/>
    <w:rsid w:val="1CA3D5D2"/>
    <w:rsid w:val="1CB2AA76"/>
    <w:rsid w:val="1CCED28A"/>
    <w:rsid w:val="1CD2C4FE"/>
    <w:rsid w:val="1CD9D563"/>
    <w:rsid w:val="1CDC2C59"/>
    <w:rsid w:val="1CE6086A"/>
    <w:rsid w:val="1CE98106"/>
    <w:rsid w:val="1CF0EB38"/>
    <w:rsid w:val="1D1916A4"/>
    <w:rsid w:val="1D248E9D"/>
    <w:rsid w:val="1D2C74B9"/>
    <w:rsid w:val="1D3620B2"/>
    <w:rsid w:val="1D4D5660"/>
    <w:rsid w:val="1D57EF57"/>
    <w:rsid w:val="1D5FDC25"/>
    <w:rsid w:val="1D618540"/>
    <w:rsid w:val="1D6507E9"/>
    <w:rsid w:val="1D65544E"/>
    <w:rsid w:val="1D7F4352"/>
    <w:rsid w:val="1D89BD86"/>
    <w:rsid w:val="1D90CB25"/>
    <w:rsid w:val="1D95EF2A"/>
    <w:rsid w:val="1D968EC1"/>
    <w:rsid w:val="1D97E28B"/>
    <w:rsid w:val="1DA5B44A"/>
    <w:rsid w:val="1DB9E828"/>
    <w:rsid w:val="1DBA63F0"/>
    <w:rsid w:val="1DBF2BEE"/>
    <w:rsid w:val="1DCAE1B5"/>
    <w:rsid w:val="1DD47BA2"/>
    <w:rsid w:val="1DDFCC1B"/>
    <w:rsid w:val="1DF42121"/>
    <w:rsid w:val="1E00CC37"/>
    <w:rsid w:val="1E0B1FDD"/>
    <w:rsid w:val="1E1F7068"/>
    <w:rsid w:val="1E2D1104"/>
    <w:rsid w:val="1E311C42"/>
    <w:rsid w:val="1E35B7F7"/>
    <w:rsid w:val="1E3D04F2"/>
    <w:rsid w:val="1E3F7038"/>
    <w:rsid w:val="1E4B1F9F"/>
    <w:rsid w:val="1E62619D"/>
    <w:rsid w:val="1E740C6F"/>
    <w:rsid w:val="1E7DF34D"/>
    <w:rsid w:val="1E824D87"/>
    <w:rsid w:val="1E905965"/>
    <w:rsid w:val="1E943757"/>
    <w:rsid w:val="1E977DD8"/>
    <w:rsid w:val="1EB91334"/>
    <w:rsid w:val="1ECE94FF"/>
    <w:rsid w:val="1ED3A435"/>
    <w:rsid w:val="1ED95D20"/>
    <w:rsid w:val="1EFAD9F8"/>
    <w:rsid w:val="1F092064"/>
    <w:rsid w:val="1F23FC94"/>
    <w:rsid w:val="1F243016"/>
    <w:rsid w:val="1F295ED6"/>
    <w:rsid w:val="1F3D3729"/>
    <w:rsid w:val="1F432423"/>
    <w:rsid w:val="1F48CC17"/>
    <w:rsid w:val="1F521C22"/>
    <w:rsid w:val="1F6D34EF"/>
    <w:rsid w:val="1F7C4C5B"/>
    <w:rsid w:val="1F8137E8"/>
    <w:rsid w:val="1F820825"/>
    <w:rsid w:val="1F850C9F"/>
    <w:rsid w:val="1F869504"/>
    <w:rsid w:val="1F872225"/>
    <w:rsid w:val="1F90F135"/>
    <w:rsid w:val="1F91BF51"/>
    <w:rsid w:val="1F96B3C1"/>
    <w:rsid w:val="1FA29386"/>
    <w:rsid w:val="1FC26746"/>
    <w:rsid w:val="1FCAB8D7"/>
    <w:rsid w:val="1FD414DD"/>
    <w:rsid w:val="1FD91497"/>
    <w:rsid w:val="1FDACCD3"/>
    <w:rsid w:val="1FF73D56"/>
    <w:rsid w:val="200368E4"/>
    <w:rsid w:val="2013E2D1"/>
    <w:rsid w:val="204457E5"/>
    <w:rsid w:val="2046EA26"/>
    <w:rsid w:val="20585AEA"/>
    <w:rsid w:val="20587AC6"/>
    <w:rsid w:val="205B3A0B"/>
    <w:rsid w:val="20640E77"/>
    <w:rsid w:val="206A2D02"/>
    <w:rsid w:val="20730F73"/>
    <w:rsid w:val="20752A84"/>
    <w:rsid w:val="20A2640B"/>
    <w:rsid w:val="20BCD2C7"/>
    <w:rsid w:val="20C016C8"/>
    <w:rsid w:val="20D4CA81"/>
    <w:rsid w:val="20DF599D"/>
    <w:rsid w:val="20E610FA"/>
    <w:rsid w:val="20E99BEE"/>
    <w:rsid w:val="20EF44CC"/>
    <w:rsid w:val="20F2FB8E"/>
    <w:rsid w:val="20FE7677"/>
    <w:rsid w:val="210998D9"/>
    <w:rsid w:val="210A02D6"/>
    <w:rsid w:val="210B28F9"/>
    <w:rsid w:val="210B5F41"/>
    <w:rsid w:val="210CAB2C"/>
    <w:rsid w:val="2128FE4D"/>
    <w:rsid w:val="2133A15F"/>
    <w:rsid w:val="21373523"/>
    <w:rsid w:val="214E21B5"/>
    <w:rsid w:val="215368F2"/>
    <w:rsid w:val="215E37A7"/>
    <w:rsid w:val="2162EB68"/>
    <w:rsid w:val="2164AA11"/>
    <w:rsid w:val="2165757F"/>
    <w:rsid w:val="21665E04"/>
    <w:rsid w:val="2168BE29"/>
    <w:rsid w:val="216C591A"/>
    <w:rsid w:val="216D75AE"/>
    <w:rsid w:val="21831EB5"/>
    <w:rsid w:val="218CB7F8"/>
    <w:rsid w:val="21B57CEA"/>
    <w:rsid w:val="21BE57AE"/>
    <w:rsid w:val="21C08F6D"/>
    <w:rsid w:val="21C87EB2"/>
    <w:rsid w:val="21CBCCA5"/>
    <w:rsid w:val="21CE54E0"/>
    <w:rsid w:val="21D2C9D8"/>
    <w:rsid w:val="21DA5A4A"/>
    <w:rsid w:val="21EF656A"/>
    <w:rsid w:val="22053D34"/>
    <w:rsid w:val="220C901D"/>
    <w:rsid w:val="221F026C"/>
    <w:rsid w:val="222A93C0"/>
    <w:rsid w:val="222D80BD"/>
    <w:rsid w:val="223CB541"/>
    <w:rsid w:val="223D6C7E"/>
    <w:rsid w:val="223D987A"/>
    <w:rsid w:val="225BA1B7"/>
    <w:rsid w:val="227C53B7"/>
    <w:rsid w:val="227F2C50"/>
    <w:rsid w:val="227FB120"/>
    <w:rsid w:val="228A94C2"/>
    <w:rsid w:val="2292658A"/>
    <w:rsid w:val="22948D6E"/>
    <w:rsid w:val="22B0F83A"/>
    <w:rsid w:val="22B2C207"/>
    <w:rsid w:val="22B371ED"/>
    <w:rsid w:val="22BF16ED"/>
    <w:rsid w:val="22C00319"/>
    <w:rsid w:val="22CBFC16"/>
    <w:rsid w:val="22D2931B"/>
    <w:rsid w:val="22D43E6C"/>
    <w:rsid w:val="22ECFDFA"/>
    <w:rsid w:val="22F4CDDF"/>
    <w:rsid w:val="22FEE876"/>
    <w:rsid w:val="2309A656"/>
    <w:rsid w:val="230B8556"/>
    <w:rsid w:val="230F1267"/>
    <w:rsid w:val="23190832"/>
    <w:rsid w:val="23258848"/>
    <w:rsid w:val="23320496"/>
    <w:rsid w:val="233A9A2E"/>
    <w:rsid w:val="234A738E"/>
    <w:rsid w:val="2361AF2C"/>
    <w:rsid w:val="2366320B"/>
    <w:rsid w:val="2384D18E"/>
    <w:rsid w:val="238A1B92"/>
    <w:rsid w:val="238CF2A0"/>
    <w:rsid w:val="2398524A"/>
    <w:rsid w:val="23A2BA2C"/>
    <w:rsid w:val="23A58CE9"/>
    <w:rsid w:val="23B175FB"/>
    <w:rsid w:val="23BA3B40"/>
    <w:rsid w:val="23CDD57D"/>
    <w:rsid w:val="23DA5AE5"/>
    <w:rsid w:val="23DF12A4"/>
    <w:rsid w:val="23E6EC6F"/>
    <w:rsid w:val="23E9AD82"/>
    <w:rsid w:val="23EAA530"/>
    <w:rsid w:val="2400B9D2"/>
    <w:rsid w:val="24031A27"/>
    <w:rsid w:val="240BE0CE"/>
    <w:rsid w:val="240DE06C"/>
    <w:rsid w:val="2418656C"/>
    <w:rsid w:val="2423D952"/>
    <w:rsid w:val="2440CEA5"/>
    <w:rsid w:val="2445D734"/>
    <w:rsid w:val="2447F008"/>
    <w:rsid w:val="2456A6FE"/>
    <w:rsid w:val="245DAAB2"/>
    <w:rsid w:val="246A42AE"/>
    <w:rsid w:val="2484297E"/>
    <w:rsid w:val="24896590"/>
    <w:rsid w:val="248B3FAC"/>
    <w:rsid w:val="248BBEBA"/>
    <w:rsid w:val="249B823E"/>
    <w:rsid w:val="24AD39B7"/>
    <w:rsid w:val="24B8A598"/>
    <w:rsid w:val="24BF93E6"/>
    <w:rsid w:val="24C4D843"/>
    <w:rsid w:val="24CC3FC1"/>
    <w:rsid w:val="24CD9766"/>
    <w:rsid w:val="24D5044D"/>
    <w:rsid w:val="24D966D6"/>
    <w:rsid w:val="24D9C2EA"/>
    <w:rsid w:val="24DEA1F5"/>
    <w:rsid w:val="24FEB663"/>
    <w:rsid w:val="250420AF"/>
    <w:rsid w:val="2505D2BB"/>
    <w:rsid w:val="2524808A"/>
    <w:rsid w:val="25348C31"/>
    <w:rsid w:val="2542BD69"/>
    <w:rsid w:val="254C3EB9"/>
    <w:rsid w:val="255587BD"/>
    <w:rsid w:val="255BDB89"/>
    <w:rsid w:val="2563FABA"/>
    <w:rsid w:val="2567CFA6"/>
    <w:rsid w:val="25795ACC"/>
    <w:rsid w:val="2595626F"/>
    <w:rsid w:val="25A7D40F"/>
    <w:rsid w:val="25C3ABEF"/>
    <w:rsid w:val="25C72700"/>
    <w:rsid w:val="25C76242"/>
    <w:rsid w:val="25DAF39C"/>
    <w:rsid w:val="25DC9358"/>
    <w:rsid w:val="25DF36E3"/>
    <w:rsid w:val="25E15EC8"/>
    <w:rsid w:val="25E632B6"/>
    <w:rsid w:val="25F3A63A"/>
    <w:rsid w:val="26056563"/>
    <w:rsid w:val="2605AF30"/>
    <w:rsid w:val="2615DBBC"/>
    <w:rsid w:val="262D69CF"/>
    <w:rsid w:val="26384777"/>
    <w:rsid w:val="2645AB78"/>
    <w:rsid w:val="26695A1A"/>
    <w:rsid w:val="26863D23"/>
    <w:rsid w:val="269549F5"/>
    <w:rsid w:val="269C594B"/>
    <w:rsid w:val="26B674C1"/>
    <w:rsid w:val="26C02B92"/>
    <w:rsid w:val="26C4977C"/>
    <w:rsid w:val="26D23CDF"/>
    <w:rsid w:val="26E9F51A"/>
    <w:rsid w:val="26EF86F4"/>
    <w:rsid w:val="26F129F6"/>
    <w:rsid w:val="26F9A1B5"/>
    <w:rsid w:val="2704FDE4"/>
    <w:rsid w:val="2709EC98"/>
    <w:rsid w:val="270A68FA"/>
    <w:rsid w:val="2716A7A6"/>
    <w:rsid w:val="271C0DD6"/>
    <w:rsid w:val="27221B71"/>
    <w:rsid w:val="2728B0B1"/>
    <w:rsid w:val="2730B4CF"/>
    <w:rsid w:val="27336230"/>
    <w:rsid w:val="273465DD"/>
    <w:rsid w:val="2741C18E"/>
    <w:rsid w:val="2775C4DE"/>
    <w:rsid w:val="277BDCE9"/>
    <w:rsid w:val="279059E7"/>
    <w:rsid w:val="2795974F"/>
    <w:rsid w:val="279E63C8"/>
    <w:rsid w:val="27A7EC3D"/>
    <w:rsid w:val="27B7121C"/>
    <w:rsid w:val="27BB4398"/>
    <w:rsid w:val="27BDC914"/>
    <w:rsid w:val="27C0D39A"/>
    <w:rsid w:val="27E85B4B"/>
    <w:rsid w:val="27ED0E32"/>
    <w:rsid w:val="27EDA615"/>
    <w:rsid w:val="27F24EEA"/>
    <w:rsid w:val="28046372"/>
    <w:rsid w:val="28143C88"/>
    <w:rsid w:val="28190CD6"/>
    <w:rsid w:val="281C7D25"/>
    <w:rsid w:val="282182BB"/>
    <w:rsid w:val="2825E098"/>
    <w:rsid w:val="282E757C"/>
    <w:rsid w:val="2845138B"/>
    <w:rsid w:val="284F1562"/>
    <w:rsid w:val="285833CD"/>
    <w:rsid w:val="286AF401"/>
    <w:rsid w:val="286B21A0"/>
    <w:rsid w:val="286DA5D5"/>
    <w:rsid w:val="286F586B"/>
    <w:rsid w:val="2870107B"/>
    <w:rsid w:val="28702CBA"/>
    <w:rsid w:val="288A74C3"/>
    <w:rsid w:val="2892360F"/>
    <w:rsid w:val="289A28D2"/>
    <w:rsid w:val="28A514F9"/>
    <w:rsid w:val="28C2E490"/>
    <w:rsid w:val="28F6FB0C"/>
    <w:rsid w:val="2904306C"/>
    <w:rsid w:val="290C68C7"/>
    <w:rsid w:val="2914D5FC"/>
    <w:rsid w:val="292573D0"/>
    <w:rsid w:val="29337250"/>
    <w:rsid w:val="2936DDA3"/>
    <w:rsid w:val="293DE508"/>
    <w:rsid w:val="294442A7"/>
    <w:rsid w:val="294FCA89"/>
    <w:rsid w:val="2963C9D6"/>
    <w:rsid w:val="296BB7F9"/>
    <w:rsid w:val="296D30E9"/>
    <w:rsid w:val="296FEFE4"/>
    <w:rsid w:val="2975D000"/>
    <w:rsid w:val="298FE764"/>
    <w:rsid w:val="29A2DC32"/>
    <w:rsid w:val="29AFA842"/>
    <w:rsid w:val="29BF76D2"/>
    <w:rsid w:val="29CB7CB8"/>
    <w:rsid w:val="29D6E59A"/>
    <w:rsid w:val="2A0770FF"/>
    <w:rsid w:val="2A213369"/>
    <w:rsid w:val="2A2AD05B"/>
    <w:rsid w:val="2A37A179"/>
    <w:rsid w:val="2A40ED9A"/>
    <w:rsid w:val="2A54A46A"/>
    <w:rsid w:val="2A5FB6BA"/>
    <w:rsid w:val="2A603133"/>
    <w:rsid w:val="2A6A01B4"/>
    <w:rsid w:val="2A6A330A"/>
    <w:rsid w:val="2A8C1609"/>
    <w:rsid w:val="2A986919"/>
    <w:rsid w:val="2A98EC50"/>
    <w:rsid w:val="2AA3B052"/>
    <w:rsid w:val="2AA5F3D5"/>
    <w:rsid w:val="2AB52DED"/>
    <w:rsid w:val="2ABAE0F3"/>
    <w:rsid w:val="2ABC6160"/>
    <w:rsid w:val="2AC05549"/>
    <w:rsid w:val="2AE0EAD9"/>
    <w:rsid w:val="2AE69A09"/>
    <w:rsid w:val="2AE95D1E"/>
    <w:rsid w:val="2AE97351"/>
    <w:rsid w:val="2AF63EA1"/>
    <w:rsid w:val="2B00F42D"/>
    <w:rsid w:val="2B00FD5B"/>
    <w:rsid w:val="2B017FE1"/>
    <w:rsid w:val="2B03AAA4"/>
    <w:rsid w:val="2B0ABF91"/>
    <w:rsid w:val="2B0E2EA1"/>
    <w:rsid w:val="2B0F33CC"/>
    <w:rsid w:val="2B10C5F8"/>
    <w:rsid w:val="2B32202F"/>
    <w:rsid w:val="2B3BCADA"/>
    <w:rsid w:val="2B486CF6"/>
    <w:rsid w:val="2B520D6A"/>
    <w:rsid w:val="2B591565"/>
    <w:rsid w:val="2B6D965D"/>
    <w:rsid w:val="2B71C4DC"/>
    <w:rsid w:val="2BA9EC1A"/>
    <w:rsid w:val="2BAC5545"/>
    <w:rsid w:val="2BAD2A3F"/>
    <w:rsid w:val="2BAFBE2B"/>
    <w:rsid w:val="2BB1AB19"/>
    <w:rsid w:val="2BBBC94A"/>
    <w:rsid w:val="2BC5EBEE"/>
    <w:rsid w:val="2BC98B7B"/>
    <w:rsid w:val="2BDC8A19"/>
    <w:rsid w:val="2BE01857"/>
    <w:rsid w:val="2BEFBC43"/>
    <w:rsid w:val="2BF11FD0"/>
    <w:rsid w:val="2BF3E93C"/>
    <w:rsid w:val="2C014424"/>
    <w:rsid w:val="2C0940A6"/>
    <w:rsid w:val="2C0B7D63"/>
    <w:rsid w:val="2C0FB50A"/>
    <w:rsid w:val="2C11A9F4"/>
    <w:rsid w:val="2C285165"/>
    <w:rsid w:val="2C47E224"/>
    <w:rsid w:val="2C53E17F"/>
    <w:rsid w:val="2C56D17C"/>
    <w:rsid w:val="2C800313"/>
    <w:rsid w:val="2C90B23B"/>
    <w:rsid w:val="2C926AE2"/>
    <w:rsid w:val="2C94846B"/>
    <w:rsid w:val="2C9A5E2D"/>
    <w:rsid w:val="2C9D5FDC"/>
    <w:rsid w:val="2CA8E94B"/>
    <w:rsid w:val="2CA92BD6"/>
    <w:rsid w:val="2CB3CF6D"/>
    <w:rsid w:val="2CB4600E"/>
    <w:rsid w:val="2CC9FAB4"/>
    <w:rsid w:val="2CF04D61"/>
    <w:rsid w:val="2CF60A4D"/>
    <w:rsid w:val="2D03FDD7"/>
    <w:rsid w:val="2D050CAB"/>
    <w:rsid w:val="2D126B1F"/>
    <w:rsid w:val="2D12BAD9"/>
    <w:rsid w:val="2D19F35E"/>
    <w:rsid w:val="2D2985C4"/>
    <w:rsid w:val="2D2BAF94"/>
    <w:rsid w:val="2D30EC17"/>
    <w:rsid w:val="2D386275"/>
    <w:rsid w:val="2D4B7861"/>
    <w:rsid w:val="2D5710EA"/>
    <w:rsid w:val="2D64ED4E"/>
    <w:rsid w:val="2D6933B9"/>
    <w:rsid w:val="2D780E48"/>
    <w:rsid w:val="2D98E644"/>
    <w:rsid w:val="2D9AFE95"/>
    <w:rsid w:val="2DA94CAF"/>
    <w:rsid w:val="2DB06B30"/>
    <w:rsid w:val="2DBD6C66"/>
    <w:rsid w:val="2DC189CE"/>
    <w:rsid w:val="2DCA05B8"/>
    <w:rsid w:val="2DE6A822"/>
    <w:rsid w:val="2DE83279"/>
    <w:rsid w:val="2DEA8EF1"/>
    <w:rsid w:val="2DEB99CA"/>
    <w:rsid w:val="2DEFF9E1"/>
    <w:rsid w:val="2DF1A0FF"/>
    <w:rsid w:val="2E0823E8"/>
    <w:rsid w:val="2E0DAC66"/>
    <w:rsid w:val="2E156EAF"/>
    <w:rsid w:val="2E1E9D52"/>
    <w:rsid w:val="2E44CAB7"/>
    <w:rsid w:val="2E5E27B5"/>
    <w:rsid w:val="2E7CCD07"/>
    <w:rsid w:val="2E893662"/>
    <w:rsid w:val="2E89D13D"/>
    <w:rsid w:val="2E9BE49A"/>
    <w:rsid w:val="2E9F8128"/>
    <w:rsid w:val="2EA1B158"/>
    <w:rsid w:val="2EBEDE84"/>
    <w:rsid w:val="2ED1530D"/>
    <w:rsid w:val="2ED6C7A2"/>
    <w:rsid w:val="2EE517FE"/>
    <w:rsid w:val="2EE74D59"/>
    <w:rsid w:val="2EEDFECF"/>
    <w:rsid w:val="2EFECB67"/>
    <w:rsid w:val="2EFF9A66"/>
    <w:rsid w:val="2F000138"/>
    <w:rsid w:val="2F348315"/>
    <w:rsid w:val="2F481CCE"/>
    <w:rsid w:val="2F509CE6"/>
    <w:rsid w:val="2F61A006"/>
    <w:rsid w:val="2F6266BA"/>
    <w:rsid w:val="2F67A3EA"/>
    <w:rsid w:val="2F67C79E"/>
    <w:rsid w:val="2F83B6D9"/>
    <w:rsid w:val="2F914CF2"/>
    <w:rsid w:val="2FA06101"/>
    <w:rsid w:val="2FA3CFFF"/>
    <w:rsid w:val="2FA5B53C"/>
    <w:rsid w:val="2FA748B5"/>
    <w:rsid w:val="2FABD458"/>
    <w:rsid w:val="2FB55450"/>
    <w:rsid w:val="2FB88BC1"/>
    <w:rsid w:val="2FC157B6"/>
    <w:rsid w:val="2FC772BB"/>
    <w:rsid w:val="2FD53236"/>
    <w:rsid w:val="2FDA6556"/>
    <w:rsid w:val="2FDAD3E5"/>
    <w:rsid w:val="2FF00195"/>
    <w:rsid w:val="3003CB89"/>
    <w:rsid w:val="30062268"/>
    <w:rsid w:val="3017173A"/>
    <w:rsid w:val="301E0068"/>
    <w:rsid w:val="302A9C74"/>
    <w:rsid w:val="3053F079"/>
    <w:rsid w:val="3058C81C"/>
    <w:rsid w:val="305C7899"/>
    <w:rsid w:val="306512F9"/>
    <w:rsid w:val="3065ED1C"/>
    <w:rsid w:val="3086E135"/>
    <w:rsid w:val="308D0EEA"/>
    <w:rsid w:val="30920EA5"/>
    <w:rsid w:val="309BECC7"/>
    <w:rsid w:val="30A5B375"/>
    <w:rsid w:val="30A5BD93"/>
    <w:rsid w:val="30B0AD97"/>
    <w:rsid w:val="30B38856"/>
    <w:rsid w:val="30B9B032"/>
    <w:rsid w:val="30BDB91D"/>
    <w:rsid w:val="30C5D5B5"/>
    <w:rsid w:val="30C65802"/>
    <w:rsid w:val="30D3AD24"/>
    <w:rsid w:val="30E0A303"/>
    <w:rsid w:val="30E16C8A"/>
    <w:rsid w:val="30E552CF"/>
    <w:rsid w:val="30E5A913"/>
    <w:rsid w:val="30F98419"/>
    <w:rsid w:val="30FF294B"/>
    <w:rsid w:val="30FF65FD"/>
    <w:rsid w:val="3100F254"/>
    <w:rsid w:val="3108C239"/>
    <w:rsid w:val="310D997F"/>
    <w:rsid w:val="310EB388"/>
    <w:rsid w:val="311EC509"/>
    <w:rsid w:val="31295726"/>
    <w:rsid w:val="3138C5E2"/>
    <w:rsid w:val="313FA8F7"/>
    <w:rsid w:val="3143E4C2"/>
    <w:rsid w:val="31648EB5"/>
    <w:rsid w:val="31653C23"/>
    <w:rsid w:val="3168FC74"/>
    <w:rsid w:val="316CBAC8"/>
    <w:rsid w:val="317DEC3E"/>
    <w:rsid w:val="318A41E3"/>
    <w:rsid w:val="318CC952"/>
    <w:rsid w:val="31961091"/>
    <w:rsid w:val="31A3240A"/>
    <w:rsid w:val="31B2C00F"/>
    <w:rsid w:val="31BC39F1"/>
    <w:rsid w:val="31BC90AD"/>
    <w:rsid w:val="31BFE6D5"/>
    <w:rsid w:val="31C1A5F0"/>
    <w:rsid w:val="31CD4270"/>
    <w:rsid w:val="31CD5CB4"/>
    <w:rsid w:val="31E6EB18"/>
    <w:rsid w:val="31EA4D07"/>
    <w:rsid w:val="31ECC946"/>
    <w:rsid w:val="31F4666F"/>
    <w:rsid w:val="31FD9F82"/>
    <w:rsid w:val="32027EE3"/>
    <w:rsid w:val="3206A7D3"/>
    <w:rsid w:val="3206D9C1"/>
    <w:rsid w:val="32113F7B"/>
    <w:rsid w:val="3213E602"/>
    <w:rsid w:val="32199E61"/>
    <w:rsid w:val="321BA51F"/>
    <w:rsid w:val="321DEADC"/>
    <w:rsid w:val="322D4355"/>
    <w:rsid w:val="323E86D3"/>
    <w:rsid w:val="32461BBB"/>
    <w:rsid w:val="32555159"/>
    <w:rsid w:val="325E90BE"/>
    <w:rsid w:val="326E430B"/>
    <w:rsid w:val="327B510E"/>
    <w:rsid w:val="3298E99E"/>
    <w:rsid w:val="32A496F5"/>
    <w:rsid w:val="32A91D5D"/>
    <w:rsid w:val="32B66043"/>
    <w:rsid w:val="32BF2F9B"/>
    <w:rsid w:val="32CCF0DD"/>
    <w:rsid w:val="32DAAA77"/>
    <w:rsid w:val="32E592FD"/>
    <w:rsid w:val="32F0B2E9"/>
    <w:rsid w:val="32F22CD3"/>
    <w:rsid w:val="3308F7AC"/>
    <w:rsid w:val="330A7C4E"/>
    <w:rsid w:val="33120FF3"/>
    <w:rsid w:val="331EEB50"/>
    <w:rsid w:val="333FFAA6"/>
    <w:rsid w:val="334F07D5"/>
    <w:rsid w:val="335827E7"/>
    <w:rsid w:val="3358C213"/>
    <w:rsid w:val="335EE723"/>
    <w:rsid w:val="3371C05A"/>
    <w:rsid w:val="337767BA"/>
    <w:rsid w:val="337A563C"/>
    <w:rsid w:val="3383C39C"/>
    <w:rsid w:val="33919A27"/>
    <w:rsid w:val="339B89F9"/>
    <w:rsid w:val="339E9CE8"/>
    <w:rsid w:val="33A9C752"/>
    <w:rsid w:val="33AB14B4"/>
    <w:rsid w:val="33B52906"/>
    <w:rsid w:val="33B89DB7"/>
    <w:rsid w:val="33B8D2FD"/>
    <w:rsid w:val="33C7CC0F"/>
    <w:rsid w:val="33D202E9"/>
    <w:rsid w:val="33E841E9"/>
    <w:rsid w:val="3408C640"/>
    <w:rsid w:val="340F21AF"/>
    <w:rsid w:val="3413F6DA"/>
    <w:rsid w:val="341A869B"/>
    <w:rsid w:val="341AC215"/>
    <w:rsid w:val="341B61ED"/>
    <w:rsid w:val="3429DA68"/>
    <w:rsid w:val="342C17C0"/>
    <w:rsid w:val="34357A0F"/>
    <w:rsid w:val="34362ECC"/>
    <w:rsid w:val="343E9FA6"/>
    <w:rsid w:val="344E0765"/>
    <w:rsid w:val="3454518B"/>
    <w:rsid w:val="345B8329"/>
    <w:rsid w:val="346439BD"/>
    <w:rsid w:val="34644531"/>
    <w:rsid w:val="34660B83"/>
    <w:rsid w:val="346CD258"/>
    <w:rsid w:val="3470AD59"/>
    <w:rsid w:val="34811322"/>
    <w:rsid w:val="348C339C"/>
    <w:rsid w:val="348C59E7"/>
    <w:rsid w:val="349574FB"/>
    <w:rsid w:val="3497493B"/>
    <w:rsid w:val="349AC15C"/>
    <w:rsid w:val="34A09745"/>
    <w:rsid w:val="34A1E923"/>
    <w:rsid w:val="34AB6719"/>
    <w:rsid w:val="34B5BE1B"/>
    <w:rsid w:val="34BAD68B"/>
    <w:rsid w:val="34BB7046"/>
    <w:rsid w:val="34CBE807"/>
    <w:rsid w:val="34E5159F"/>
    <w:rsid w:val="34EC3427"/>
    <w:rsid w:val="34F368BA"/>
    <w:rsid w:val="34F50612"/>
    <w:rsid w:val="350FE142"/>
    <w:rsid w:val="35192DC2"/>
    <w:rsid w:val="351AB069"/>
    <w:rsid w:val="352441CE"/>
    <w:rsid w:val="352DBDE5"/>
    <w:rsid w:val="35328548"/>
    <w:rsid w:val="3535AF4A"/>
    <w:rsid w:val="353B4944"/>
    <w:rsid w:val="354DFFC5"/>
    <w:rsid w:val="35647A66"/>
    <w:rsid w:val="35964067"/>
    <w:rsid w:val="35ADA25C"/>
    <w:rsid w:val="35C6BE1F"/>
    <w:rsid w:val="35CD5169"/>
    <w:rsid w:val="35D01A68"/>
    <w:rsid w:val="35D33943"/>
    <w:rsid w:val="35F5D82F"/>
    <w:rsid w:val="35F989FA"/>
    <w:rsid w:val="36045354"/>
    <w:rsid w:val="361BE8D2"/>
    <w:rsid w:val="36409ACC"/>
    <w:rsid w:val="36454975"/>
    <w:rsid w:val="3653530F"/>
    <w:rsid w:val="3672DB4B"/>
    <w:rsid w:val="368334A4"/>
    <w:rsid w:val="36904F82"/>
    <w:rsid w:val="36986630"/>
    <w:rsid w:val="36998101"/>
    <w:rsid w:val="36A9D7CA"/>
    <w:rsid w:val="36B74963"/>
    <w:rsid w:val="36C6754B"/>
    <w:rsid w:val="36D264FA"/>
    <w:rsid w:val="36E0DE74"/>
    <w:rsid w:val="36F05977"/>
    <w:rsid w:val="36F7642B"/>
    <w:rsid w:val="36FACADA"/>
    <w:rsid w:val="3700CF1D"/>
    <w:rsid w:val="3702F456"/>
    <w:rsid w:val="37035181"/>
    <w:rsid w:val="3722823E"/>
    <w:rsid w:val="3727F971"/>
    <w:rsid w:val="372CD348"/>
    <w:rsid w:val="3733DEB1"/>
    <w:rsid w:val="3734EE1D"/>
    <w:rsid w:val="373E73AE"/>
    <w:rsid w:val="37430A00"/>
    <w:rsid w:val="3743E8E1"/>
    <w:rsid w:val="37487B2D"/>
    <w:rsid w:val="3767989E"/>
    <w:rsid w:val="37699BE3"/>
    <w:rsid w:val="3771B0A0"/>
    <w:rsid w:val="37840B47"/>
    <w:rsid w:val="3785D8DD"/>
    <w:rsid w:val="378D5C05"/>
    <w:rsid w:val="37F93567"/>
    <w:rsid w:val="37FE5607"/>
    <w:rsid w:val="380912BD"/>
    <w:rsid w:val="380E1C61"/>
    <w:rsid w:val="380EB213"/>
    <w:rsid w:val="38112C8F"/>
    <w:rsid w:val="381B9A20"/>
    <w:rsid w:val="382927C9"/>
    <w:rsid w:val="383E2BDA"/>
    <w:rsid w:val="384381D8"/>
    <w:rsid w:val="38459F0E"/>
    <w:rsid w:val="38495020"/>
    <w:rsid w:val="384F0BDF"/>
    <w:rsid w:val="385E85B3"/>
    <w:rsid w:val="38723BE1"/>
    <w:rsid w:val="38739628"/>
    <w:rsid w:val="38744D11"/>
    <w:rsid w:val="38774440"/>
    <w:rsid w:val="388C8060"/>
    <w:rsid w:val="38956B62"/>
    <w:rsid w:val="389C87D7"/>
    <w:rsid w:val="389FB259"/>
    <w:rsid w:val="38C7BF0A"/>
    <w:rsid w:val="38DB50EA"/>
    <w:rsid w:val="38E15E07"/>
    <w:rsid w:val="38EEE895"/>
    <w:rsid w:val="38F11F39"/>
    <w:rsid w:val="3904DFC9"/>
    <w:rsid w:val="39215B2E"/>
    <w:rsid w:val="39295CC4"/>
    <w:rsid w:val="392E16EC"/>
    <w:rsid w:val="3934D26E"/>
    <w:rsid w:val="393C5A9D"/>
    <w:rsid w:val="3970C692"/>
    <w:rsid w:val="399EEE7F"/>
    <w:rsid w:val="39A287F8"/>
    <w:rsid w:val="39A8D6B0"/>
    <w:rsid w:val="39AE8120"/>
    <w:rsid w:val="39B725A7"/>
    <w:rsid w:val="39BB64F8"/>
    <w:rsid w:val="39CC9296"/>
    <w:rsid w:val="39DE94BC"/>
    <w:rsid w:val="39E5BF10"/>
    <w:rsid w:val="39F316F3"/>
    <w:rsid w:val="39F56233"/>
    <w:rsid w:val="39FA0AB1"/>
    <w:rsid w:val="3A165A1C"/>
    <w:rsid w:val="3A240E8A"/>
    <w:rsid w:val="3A2BB8DF"/>
    <w:rsid w:val="3A37217E"/>
    <w:rsid w:val="3A373626"/>
    <w:rsid w:val="3A39ACFE"/>
    <w:rsid w:val="3A3E6E31"/>
    <w:rsid w:val="3A4388F3"/>
    <w:rsid w:val="3A4E5D1C"/>
    <w:rsid w:val="3A64C86D"/>
    <w:rsid w:val="3A6D02DA"/>
    <w:rsid w:val="3A81C908"/>
    <w:rsid w:val="3A8753A1"/>
    <w:rsid w:val="3A88ACE3"/>
    <w:rsid w:val="3AA41B1F"/>
    <w:rsid w:val="3AA560B5"/>
    <w:rsid w:val="3AB2DC88"/>
    <w:rsid w:val="3AB32F84"/>
    <w:rsid w:val="3AB9AC58"/>
    <w:rsid w:val="3AC4654F"/>
    <w:rsid w:val="3ACE29CA"/>
    <w:rsid w:val="3ACFBB2D"/>
    <w:rsid w:val="3AD1F352"/>
    <w:rsid w:val="3AE0AB4B"/>
    <w:rsid w:val="3AE7A761"/>
    <w:rsid w:val="3AF0FC22"/>
    <w:rsid w:val="3AF7229B"/>
    <w:rsid w:val="3AFF1500"/>
    <w:rsid w:val="3B119414"/>
    <w:rsid w:val="3B16A499"/>
    <w:rsid w:val="3B42D31F"/>
    <w:rsid w:val="3B4D606D"/>
    <w:rsid w:val="3B55109C"/>
    <w:rsid w:val="3B6C12B2"/>
    <w:rsid w:val="3B6E66D0"/>
    <w:rsid w:val="3B715F02"/>
    <w:rsid w:val="3B72E629"/>
    <w:rsid w:val="3B83230B"/>
    <w:rsid w:val="3B862A3D"/>
    <w:rsid w:val="3B888B12"/>
    <w:rsid w:val="3B9B746E"/>
    <w:rsid w:val="3BB144C5"/>
    <w:rsid w:val="3BB9555A"/>
    <w:rsid w:val="3BC483A0"/>
    <w:rsid w:val="3BD2481E"/>
    <w:rsid w:val="3BD6174E"/>
    <w:rsid w:val="3BE57C77"/>
    <w:rsid w:val="3BE6BD07"/>
    <w:rsid w:val="3BF88AB8"/>
    <w:rsid w:val="3C00B7B9"/>
    <w:rsid w:val="3C0ECBE8"/>
    <w:rsid w:val="3C5ADEB0"/>
    <w:rsid w:val="3C65A951"/>
    <w:rsid w:val="3C6C25A7"/>
    <w:rsid w:val="3C81E7AB"/>
    <w:rsid w:val="3C890C2C"/>
    <w:rsid w:val="3C91B5A6"/>
    <w:rsid w:val="3CA22D4E"/>
    <w:rsid w:val="3CB79229"/>
    <w:rsid w:val="3CC1AF10"/>
    <w:rsid w:val="3CDA2EBA"/>
    <w:rsid w:val="3CDBBA70"/>
    <w:rsid w:val="3CE99B40"/>
    <w:rsid w:val="3CF2B919"/>
    <w:rsid w:val="3CFF9261"/>
    <w:rsid w:val="3D0DFC4C"/>
    <w:rsid w:val="3D0E6E9C"/>
    <w:rsid w:val="3D108BC4"/>
    <w:rsid w:val="3D133E79"/>
    <w:rsid w:val="3D1CAB6B"/>
    <w:rsid w:val="3D349E4D"/>
    <w:rsid w:val="3D568CD2"/>
    <w:rsid w:val="3D6B2594"/>
    <w:rsid w:val="3D7C0BFE"/>
    <w:rsid w:val="3D87E8C2"/>
    <w:rsid w:val="3D992A73"/>
    <w:rsid w:val="3DADAFB1"/>
    <w:rsid w:val="3DB3DFFD"/>
    <w:rsid w:val="3DBCAE78"/>
    <w:rsid w:val="3DBD954E"/>
    <w:rsid w:val="3DD7460A"/>
    <w:rsid w:val="3E2571FA"/>
    <w:rsid w:val="3E2E2183"/>
    <w:rsid w:val="3E310F9E"/>
    <w:rsid w:val="3E40D7B6"/>
    <w:rsid w:val="3E40F5DE"/>
    <w:rsid w:val="3E49ACAD"/>
    <w:rsid w:val="3E4B4BE4"/>
    <w:rsid w:val="3E50A54F"/>
    <w:rsid w:val="3E5A6F79"/>
    <w:rsid w:val="3E5C22EC"/>
    <w:rsid w:val="3E5C460E"/>
    <w:rsid w:val="3E65AD1C"/>
    <w:rsid w:val="3E919944"/>
    <w:rsid w:val="3EA2F017"/>
    <w:rsid w:val="3EBB0C6D"/>
    <w:rsid w:val="3EBCCDBD"/>
    <w:rsid w:val="3EC4711F"/>
    <w:rsid w:val="3EC4DF41"/>
    <w:rsid w:val="3EC8BEC4"/>
    <w:rsid w:val="3ED27D73"/>
    <w:rsid w:val="3ED6BE86"/>
    <w:rsid w:val="3ED8C37C"/>
    <w:rsid w:val="3EE043FA"/>
    <w:rsid w:val="3EE498C7"/>
    <w:rsid w:val="3EF0AC4A"/>
    <w:rsid w:val="3EF67E22"/>
    <w:rsid w:val="3EFE11DC"/>
    <w:rsid w:val="3F14A41C"/>
    <w:rsid w:val="3F170223"/>
    <w:rsid w:val="3F18722C"/>
    <w:rsid w:val="3F2724F1"/>
    <w:rsid w:val="3F27445A"/>
    <w:rsid w:val="3F2EEA4D"/>
    <w:rsid w:val="3F3AE6B5"/>
    <w:rsid w:val="3F46524D"/>
    <w:rsid w:val="3F4A9080"/>
    <w:rsid w:val="3F53E4B2"/>
    <w:rsid w:val="3F6469D1"/>
    <w:rsid w:val="3F739A2C"/>
    <w:rsid w:val="3F75C9CB"/>
    <w:rsid w:val="3F7B95E7"/>
    <w:rsid w:val="3F823C11"/>
    <w:rsid w:val="3F97A658"/>
    <w:rsid w:val="3F987A9D"/>
    <w:rsid w:val="3FA2EF00"/>
    <w:rsid w:val="3FBC323A"/>
    <w:rsid w:val="3FBEA521"/>
    <w:rsid w:val="3FC5F26B"/>
    <w:rsid w:val="3FD167B3"/>
    <w:rsid w:val="3FDF896A"/>
    <w:rsid w:val="3FE1AFFA"/>
    <w:rsid w:val="3FEDE884"/>
    <w:rsid w:val="3FEEDB5A"/>
    <w:rsid w:val="400899C5"/>
    <w:rsid w:val="401516EC"/>
    <w:rsid w:val="40186686"/>
    <w:rsid w:val="403E5918"/>
    <w:rsid w:val="40431B61"/>
    <w:rsid w:val="404A77E8"/>
    <w:rsid w:val="405A9457"/>
    <w:rsid w:val="4072E1F4"/>
    <w:rsid w:val="407691E6"/>
    <w:rsid w:val="4077E85F"/>
    <w:rsid w:val="40928111"/>
    <w:rsid w:val="40A9C33B"/>
    <w:rsid w:val="40ADC2B2"/>
    <w:rsid w:val="40B55BA9"/>
    <w:rsid w:val="40B7F3F5"/>
    <w:rsid w:val="40CC6833"/>
    <w:rsid w:val="40D13B80"/>
    <w:rsid w:val="40D921A9"/>
    <w:rsid w:val="40E74A44"/>
    <w:rsid w:val="40F0AAB0"/>
    <w:rsid w:val="40FA8282"/>
    <w:rsid w:val="40FE0F13"/>
    <w:rsid w:val="40FE478B"/>
    <w:rsid w:val="40FFBF56"/>
    <w:rsid w:val="410BB7AA"/>
    <w:rsid w:val="410CB59B"/>
    <w:rsid w:val="411234D6"/>
    <w:rsid w:val="41234BD1"/>
    <w:rsid w:val="41247DF4"/>
    <w:rsid w:val="4130B9FD"/>
    <w:rsid w:val="4138DE67"/>
    <w:rsid w:val="41407813"/>
    <w:rsid w:val="4166BED3"/>
    <w:rsid w:val="41789D7F"/>
    <w:rsid w:val="4179F3B9"/>
    <w:rsid w:val="41809A9C"/>
    <w:rsid w:val="41863D3E"/>
    <w:rsid w:val="4187D533"/>
    <w:rsid w:val="419CB23E"/>
    <w:rsid w:val="41A0A02F"/>
    <w:rsid w:val="41A59069"/>
    <w:rsid w:val="41A679DE"/>
    <w:rsid w:val="41A89E02"/>
    <w:rsid w:val="41AB62CE"/>
    <w:rsid w:val="41C77DE1"/>
    <w:rsid w:val="41D8FF92"/>
    <w:rsid w:val="41E9A1A6"/>
    <w:rsid w:val="41F7ACF1"/>
    <w:rsid w:val="4202E5AF"/>
    <w:rsid w:val="42117B46"/>
    <w:rsid w:val="4214C71A"/>
    <w:rsid w:val="4220F45A"/>
    <w:rsid w:val="4222419F"/>
    <w:rsid w:val="423F9CD3"/>
    <w:rsid w:val="42467DC0"/>
    <w:rsid w:val="42469867"/>
    <w:rsid w:val="4247D4A8"/>
    <w:rsid w:val="4252D7CE"/>
    <w:rsid w:val="4284413D"/>
    <w:rsid w:val="428A3E94"/>
    <w:rsid w:val="4293C8FB"/>
    <w:rsid w:val="42941F81"/>
    <w:rsid w:val="429FE8D7"/>
    <w:rsid w:val="42A8303E"/>
    <w:rsid w:val="42B8D1A8"/>
    <w:rsid w:val="42E13E9F"/>
    <w:rsid w:val="4301BF48"/>
    <w:rsid w:val="430992C8"/>
    <w:rsid w:val="4316C585"/>
    <w:rsid w:val="4319BEB7"/>
    <w:rsid w:val="4329A5C8"/>
    <w:rsid w:val="4329BCC9"/>
    <w:rsid w:val="432B2059"/>
    <w:rsid w:val="434A3095"/>
    <w:rsid w:val="434FFABF"/>
    <w:rsid w:val="43534987"/>
    <w:rsid w:val="436DD285"/>
    <w:rsid w:val="438FCE36"/>
    <w:rsid w:val="438FED9D"/>
    <w:rsid w:val="43921D19"/>
    <w:rsid w:val="439692AB"/>
    <w:rsid w:val="439E3E79"/>
    <w:rsid w:val="43A1C554"/>
    <w:rsid w:val="43A8A4DA"/>
    <w:rsid w:val="43B14B08"/>
    <w:rsid w:val="43B75E19"/>
    <w:rsid w:val="43BE2286"/>
    <w:rsid w:val="43C5DD64"/>
    <w:rsid w:val="43CB1249"/>
    <w:rsid w:val="43D9D891"/>
    <w:rsid w:val="440386AA"/>
    <w:rsid w:val="441334F2"/>
    <w:rsid w:val="4416EF65"/>
    <w:rsid w:val="441752EC"/>
    <w:rsid w:val="441A93CB"/>
    <w:rsid w:val="4420ABF4"/>
    <w:rsid w:val="442BBDCA"/>
    <w:rsid w:val="445277BF"/>
    <w:rsid w:val="445481EA"/>
    <w:rsid w:val="447E3FCE"/>
    <w:rsid w:val="447EC2F1"/>
    <w:rsid w:val="448F3B47"/>
    <w:rsid w:val="44AC48F0"/>
    <w:rsid w:val="44B65529"/>
    <w:rsid w:val="44C880E1"/>
    <w:rsid w:val="44D5E1F1"/>
    <w:rsid w:val="44DE8A3D"/>
    <w:rsid w:val="44F2D33F"/>
    <w:rsid w:val="450C7CDD"/>
    <w:rsid w:val="45120101"/>
    <w:rsid w:val="451C9DB6"/>
    <w:rsid w:val="452B816C"/>
    <w:rsid w:val="452FF82C"/>
    <w:rsid w:val="45309BAB"/>
    <w:rsid w:val="454E2680"/>
    <w:rsid w:val="455A9D9A"/>
    <w:rsid w:val="4563742D"/>
    <w:rsid w:val="45754881"/>
    <w:rsid w:val="4577277A"/>
    <w:rsid w:val="457C6873"/>
    <w:rsid w:val="458DFE89"/>
    <w:rsid w:val="45929E24"/>
    <w:rsid w:val="459DC7BA"/>
    <w:rsid w:val="45A2B17D"/>
    <w:rsid w:val="45AB3719"/>
    <w:rsid w:val="45DA2BFC"/>
    <w:rsid w:val="45E40A4F"/>
    <w:rsid w:val="45ED264B"/>
    <w:rsid w:val="45F0B1F6"/>
    <w:rsid w:val="45F770B6"/>
    <w:rsid w:val="4603D6E0"/>
    <w:rsid w:val="460DBD53"/>
    <w:rsid w:val="461FDE1E"/>
    <w:rsid w:val="463B0E7E"/>
    <w:rsid w:val="464D1F50"/>
    <w:rsid w:val="4659A15A"/>
    <w:rsid w:val="465DC881"/>
    <w:rsid w:val="465FF866"/>
    <w:rsid w:val="46611FF2"/>
    <w:rsid w:val="466160C9"/>
    <w:rsid w:val="46633C4A"/>
    <w:rsid w:val="46844E6D"/>
    <w:rsid w:val="468622EB"/>
    <w:rsid w:val="468B2825"/>
    <w:rsid w:val="46996B88"/>
    <w:rsid w:val="469CF9AB"/>
    <w:rsid w:val="46B4EBE4"/>
    <w:rsid w:val="46B85BC6"/>
    <w:rsid w:val="46C6B7C8"/>
    <w:rsid w:val="46C7470F"/>
    <w:rsid w:val="4702010C"/>
    <w:rsid w:val="47052056"/>
    <w:rsid w:val="470591DE"/>
    <w:rsid w:val="4710F862"/>
    <w:rsid w:val="47122BE0"/>
    <w:rsid w:val="4714347F"/>
    <w:rsid w:val="47152916"/>
    <w:rsid w:val="471E4549"/>
    <w:rsid w:val="471FD198"/>
    <w:rsid w:val="4723713A"/>
    <w:rsid w:val="472EEC54"/>
    <w:rsid w:val="47305C01"/>
    <w:rsid w:val="474A54DB"/>
    <w:rsid w:val="474E46DC"/>
    <w:rsid w:val="47509815"/>
    <w:rsid w:val="4757C70F"/>
    <w:rsid w:val="476328AD"/>
    <w:rsid w:val="476A2DD9"/>
    <w:rsid w:val="477014F2"/>
    <w:rsid w:val="4774CBC7"/>
    <w:rsid w:val="478A5995"/>
    <w:rsid w:val="478AF5EC"/>
    <w:rsid w:val="478B1C36"/>
    <w:rsid w:val="478D4C6E"/>
    <w:rsid w:val="47957586"/>
    <w:rsid w:val="479742B2"/>
    <w:rsid w:val="479A0BB7"/>
    <w:rsid w:val="47A2792C"/>
    <w:rsid w:val="47B2DC2A"/>
    <w:rsid w:val="47B5213A"/>
    <w:rsid w:val="47C09AD1"/>
    <w:rsid w:val="47C1CBB2"/>
    <w:rsid w:val="47C288EF"/>
    <w:rsid w:val="47CF7593"/>
    <w:rsid w:val="47DEAEC7"/>
    <w:rsid w:val="47EB1043"/>
    <w:rsid w:val="47F52539"/>
    <w:rsid w:val="482E4EFC"/>
    <w:rsid w:val="48606356"/>
    <w:rsid w:val="4864104A"/>
    <w:rsid w:val="486599CF"/>
    <w:rsid w:val="487D03D1"/>
    <w:rsid w:val="488C42E3"/>
    <w:rsid w:val="48A1B927"/>
    <w:rsid w:val="48A71CD3"/>
    <w:rsid w:val="48A7F35A"/>
    <w:rsid w:val="48A982ED"/>
    <w:rsid w:val="48AFD090"/>
    <w:rsid w:val="48B4A322"/>
    <w:rsid w:val="48B86BBA"/>
    <w:rsid w:val="48CFB26C"/>
    <w:rsid w:val="48D1DB09"/>
    <w:rsid w:val="48D9020C"/>
    <w:rsid w:val="48DE3DDA"/>
    <w:rsid w:val="48F04FD4"/>
    <w:rsid w:val="48F4C3BF"/>
    <w:rsid w:val="49038410"/>
    <w:rsid w:val="490590FD"/>
    <w:rsid w:val="4908064F"/>
    <w:rsid w:val="490B27E5"/>
    <w:rsid w:val="49165F4A"/>
    <w:rsid w:val="491A53A5"/>
    <w:rsid w:val="4921588A"/>
    <w:rsid w:val="49236BCC"/>
    <w:rsid w:val="493A8125"/>
    <w:rsid w:val="4947571C"/>
    <w:rsid w:val="4954539C"/>
    <w:rsid w:val="49646342"/>
    <w:rsid w:val="4967A4FB"/>
    <w:rsid w:val="4967DCF7"/>
    <w:rsid w:val="496E4909"/>
    <w:rsid w:val="49726DB6"/>
    <w:rsid w:val="4972C0C4"/>
    <w:rsid w:val="497CD348"/>
    <w:rsid w:val="497F7F45"/>
    <w:rsid w:val="4982C53A"/>
    <w:rsid w:val="4985F353"/>
    <w:rsid w:val="499F4020"/>
    <w:rsid w:val="49A04349"/>
    <w:rsid w:val="49BBDE99"/>
    <w:rsid w:val="49C122A5"/>
    <w:rsid w:val="49CB3609"/>
    <w:rsid w:val="49D25BE7"/>
    <w:rsid w:val="49D3E22C"/>
    <w:rsid w:val="49D5EB44"/>
    <w:rsid w:val="49D7B50E"/>
    <w:rsid w:val="49D8A47F"/>
    <w:rsid w:val="49DE8F23"/>
    <w:rsid w:val="49E7E982"/>
    <w:rsid w:val="49EDE5A2"/>
    <w:rsid w:val="49F81B15"/>
    <w:rsid w:val="4A0A384F"/>
    <w:rsid w:val="4A0F6E85"/>
    <w:rsid w:val="4A2085B5"/>
    <w:rsid w:val="4A3BF657"/>
    <w:rsid w:val="4A4B6D0C"/>
    <w:rsid w:val="4A4E741F"/>
    <w:rsid w:val="4A6541DD"/>
    <w:rsid w:val="4A759CDB"/>
    <w:rsid w:val="4A797068"/>
    <w:rsid w:val="4A8BD39E"/>
    <w:rsid w:val="4A9A1698"/>
    <w:rsid w:val="4AA12DE7"/>
    <w:rsid w:val="4AA17F99"/>
    <w:rsid w:val="4AA5B8F8"/>
    <w:rsid w:val="4AB85D78"/>
    <w:rsid w:val="4ABB98C2"/>
    <w:rsid w:val="4AC86AAC"/>
    <w:rsid w:val="4ACC0480"/>
    <w:rsid w:val="4AD059AD"/>
    <w:rsid w:val="4ADC221B"/>
    <w:rsid w:val="4AE64AD1"/>
    <w:rsid w:val="4AEF988A"/>
    <w:rsid w:val="4AF4B6C8"/>
    <w:rsid w:val="4AF4C056"/>
    <w:rsid w:val="4AF562F7"/>
    <w:rsid w:val="4AFAA3BE"/>
    <w:rsid w:val="4AFDFA31"/>
    <w:rsid w:val="4AFF7BFE"/>
    <w:rsid w:val="4B17AE9E"/>
    <w:rsid w:val="4B1F1163"/>
    <w:rsid w:val="4B2834A3"/>
    <w:rsid w:val="4B367E1B"/>
    <w:rsid w:val="4B3F6074"/>
    <w:rsid w:val="4B4AC64C"/>
    <w:rsid w:val="4B50B0CA"/>
    <w:rsid w:val="4B50D93C"/>
    <w:rsid w:val="4B53813C"/>
    <w:rsid w:val="4B546548"/>
    <w:rsid w:val="4B563FED"/>
    <w:rsid w:val="4B5A0118"/>
    <w:rsid w:val="4B688351"/>
    <w:rsid w:val="4B73E181"/>
    <w:rsid w:val="4B74B95B"/>
    <w:rsid w:val="4B7C20AC"/>
    <w:rsid w:val="4B832099"/>
    <w:rsid w:val="4B86AAC2"/>
    <w:rsid w:val="4B89D1C0"/>
    <w:rsid w:val="4B89E7D9"/>
    <w:rsid w:val="4B8CC0E8"/>
    <w:rsid w:val="4B959507"/>
    <w:rsid w:val="4B9BEB06"/>
    <w:rsid w:val="4BC5666C"/>
    <w:rsid w:val="4BC707B0"/>
    <w:rsid w:val="4BD4EBF0"/>
    <w:rsid w:val="4BDCD5E4"/>
    <w:rsid w:val="4BEF117D"/>
    <w:rsid w:val="4BF511A0"/>
    <w:rsid w:val="4BF83349"/>
    <w:rsid w:val="4C0030EC"/>
    <w:rsid w:val="4C0B67CE"/>
    <w:rsid w:val="4C25378F"/>
    <w:rsid w:val="4C2541F7"/>
    <w:rsid w:val="4C290455"/>
    <w:rsid w:val="4C338BDB"/>
    <w:rsid w:val="4C33BB85"/>
    <w:rsid w:val="4C33E73A"/>
    <w:rsid w:val="4C3B38FB"/>
    <w:rsid w:val="4C4BFA92"/>
    <w:rsid w:val="4C4F9DB5"/>
    <w:rsid w:val="4C5897BA"/>
    <w:rsid w:val="4C5AB12D"/>
    <w:rsid w:val="4C5C6E1B"/>
    <w:rsid w:val="4C5D7B45"/>
    <w:rsid w:val="4C69C664"/>
    <w:rsid w:val="4C6EA13D"/>
    <w:rsid w:val="4C744AF2"/>
    <w:rsid w:val="4C78C321"/>
    <w:rsid w:val="4C864D4D"/>
    <w:rsid w:val="4C8D7C62"/>
    <w:rsid w:val="4C93F4AF"/>
    <w:rsid w:val="4C9EA9E5"/>
    <w:rsid w:val="4CB678D4"/>
    <w:rsid w:val="4CCD5589"/>
    <w:rsid w:val="4D156982"/>
    <w:rsid w:val="4D181F63"/>
    <w:rsid w:val="4D295B8C"/>
    <w:rsid w:val="4D2D5613"/>
    <w:rsid w:val="4D2D77AB"/>
    <w:rsid w:val="4D38DCDD"/>
    <w:rsid w:val="4D4420DF"/>
    <w:rsid w:val="4D531EF5"/>
    <w:rsid w:val="4D5530F5"/>
    <w:rsid w:val="4D5CFC4D"/>
    <w:rsid w:val="4D5D1C87"/>
    <w:rsid w:val="4D9A1E9B"/>
    <w:rsid w:val="4DA1B983"/>
    <w:rsid w:val="4DA306A5"/>
    <w:rsid w:val="4DA6E889"/>
    <w:rsid w:val="4DACAED2"/>
    <w:rsid w:val="4DB58FD7"/>
    <w:rsid w:val="4DBAA0F0"/>
    <w:rsid w:val="4DDD4D9B"/>
    <w:rsid w:val="4DDF8920"/>
    <w:rsid w:val="4DE4D6C9"/>
    <w:rsid w:val="4DE7CEDB"/>
    <w:rsid w:val="4E08F551"/>
    <w:rsid w:val="4E1BD700"/>
    <w:rsid w:val="4E238D6D"/>
    <w:rsid w:val="4E2A353D"/>
    <w:rsid w:val="4E2C3EC0"/>
    <w:rsid w:val="4E3765A7"/>
    <w:rsid w:val="4E41F57F"/>
    <w:rsid w:val="4E534137"/>
    <w:rsid w:val="4E5F47DC"/>
    <w:rsid w:val="4E609114"/>
    <w:rsid w:val="4E60FE68"/>
    <w:rsid w:val="4E6A2995"/>
    <w:rsid w:val="4E7563AD"/>
    <w:rsid w:val="4E8571AC"/>
    <w:rsid w:val="4E8ABD55"/>
    <w:rsid w:val="4E8BF5A7"/>
    <w:rsid w:val="4E9233FC"/>
    <w:rsid w:val="4E99E618"/>
    <w:rsid w:val="4EA0D58A"/>
    <w:rsid w:val="4EA660E1"/>
    <w:rsid w:val="4EAC0660"/>
    <w:rsid w:val="4EB77663"/>
    <w:rsid w:val="4EB8A5A3"/>
    <w:rsid w:val="4EC12E4B"/>
    <w:rsid w:val="4ECB92B9"/>
    <w:rsid w:val="4ED13535"/>
    <w:rsid w:val="4ED31BA3"/>
    <w:rsid w:val="4EE3C7EA"/>
    <w:rsid w:val="4EEAF32E"/>
    <w:rsid w:val="4EEEE5CA"/>
    <w:rsid w:val="4EEFB2D5"/>
    <w:rsid w:val="4EF18F85"/>
    <w:rsid w:val="4EF81FAA"/>
    <w:rsid w:val="4F07FADF"/>
    <w:rsid w:val="4F0DD22D"/>
    <w:rsid w:val="4F21B7D9"/>
    <w:rsid w:val="4F30D3F0"/>
    <w:rsid w:val="4F311116"/>
    <w:rsid w:val="4F3D6FDF"/>
    <w:rsid w:val="4F3E1EA2"/>
    <w:rsid w:val="4F68966C"/>
    <w:rsid w:val="4F68A1B7"/>
    <w:rsid w:val="4F6AA075"/>
    <w:rsid w:val="4F71BE49"/>
    <w:rsid w:val="4F72D64A"/>
    <w:rsid w:val="4F76DE1C"/>
    <w:rsid w:val="4F820A27"/>
    <w:rsid w:val="4F87E39D"/>
    <w:rsid w:val="4FA5BED9"/>
    <w:rsid w:val="4FD4D4C4"/>
    <w:rsid w:val="4FD8A984"/>
    <w:rsid w:val="4FE5FA3A"/>
    <w:rsid w:val="4FEF2DC9"/>
    <w:rsid w:val="4FF7E567"/>
    <w:rsid w:val="4FF8BE96"/>
    <w:rsid w:val="4FFFB23D"/>
    <w:rsid w:val="50021DD5"/>
    <w:rsid w:val="50216422"/>
    <w:rsid w:val="50266744"/>
    <w:rsid w:val="502DF884"/>
    <w:rsid w:val="502EA816"/>
    <w:rsid w:val="503624CB"/>
    <w:rsid w:val="5058EDF1"/>
    <w:rsid w:val="5060B772"/>
    <w:rsid w:val="5060F340"/>
    <w:rsid w:val="506D0D60"/>
    <w:rsid w:val="506F5370"/>
    <w:rsid w:val="50902767"/>
    <w:rsid w:val="509956BA"/>
    <w:rsid w:val="5099F16D"/>
    <w:rsid w:val="50A41BE8"/>
    <w:rsid w:val="50AA6E3B"/>
    <w:rsid w:val="50B798C6"/>
    <w:rsid w:val="50CD00D6"/>
    <w:rsid w:val="50E8CA7B"/>
    <w:rsid w:val="50E9D6EA"/>
    <w:rsid w:val="50F96D70"/>
    <w:rsid w:val="50FE30F7"/>
    <w:rsid w:val="510E69C7"/>
    <w:rsid w:val="513106BD"/>
    <w:rsid w:val="513766B9"/>
    <w:rsid w:val="515021D2"/>
    <w:rsid w:val="515CC0D5"/>
    <w:rsid w:val="5161AC20"/>
    <w:rsid w:val="516DF6C0"/>
    <w:rsid w:val="51785538"/>
    <w:rsid w:val="518989F0"/>
    <w:rsid w:val="518A58AE"/>
    <w:rsid w:val="5190C3B2"/>
    <w:rsid w:val="5199896A"/>
    <w:rsid w:val="51B73404"/>
    <w:rsid w:val="51BA139D"/>
    <w:rsid w:val="51C1F6B9"/>
    <w:rsid w:val="51C532D9"/>
    <w:rsid w:val="51D8E2C4"/>
    <w:rsid w:val="51E21A93"/>
    <w:rsid w:val="51E2AF8E"/>
    <w:rsid w:val="51FBD50F"/>
    <w:rsid w:val="52014F4D"/>
    <w:rsid w:val="522C98C8"/>
    <w:rsid w:val="522D2760"/>
    <w:rsid w:val="52357F65"/>
    <w:rsid w:val="524FB325"/>
    <w:rsid w:val="5253B7D5"/>
    <w:rsid w:val="5257A4DA"/>
    <w:rsid w:val="525967FB"/>
    <w:rsid w:val="527ECDBC"/>
    <w:rsid w:val="528340D7"/>
    <w:rsid w:val="528A662F"/>
    <w:rsid w:val="528D0539"/>
    <w:rsid w:val="5294249C"/>
    <w:rsid w:val="52999015"/>
    <w:rsid w:val="52A61550"/>
    <w:rsid w:val="52AE653A"/>
    <w:rsid w:val="52B97D94"/>
    <w:rsid w:val="52C70975"/>
    <w:rsid w:val="52FE3D52"/>
    <w:rsid w:val="53009652"/>
    <w:rsid w:val="5303ADDB"/>
    <w:rsid w:val="530692FD"/>
    <w:rsid w:val="530706D9"/>
    <w:rsid w:val="53073065"/>
    <w:rsid w:val="530FB6C8"/>
    <w:rsid w:val="531268C5"/>
    <w:rsid w:val="531EED91"/>
    <w:rsid w:val="53204318"/>
    <w:rsid w:val="5325F619"/>
    <w:rsid w:val="53291C06"/>
    <w:rsid w:val="5329E318"/>
    <w:rsid w:val="5333C367"/>
    <w:rsid w:val="533752FF"/>
    <w:rsid w:val="533DD551"/>
    <w:rsid w:val="534CAE38"/>
    <w:rsid w:val="534FD946"/>
    <w:rsid w:val="53519147"/>
    <w:rsid w:val="535322F4"/>
    <w:rsid w:val="5355139C"/>
    <w:rsid w:val="535AA260"/>
    <w:rsid w:val="535EDD2A"/>
    <w:rsid w:val="5366CE17"/>
    <w:rsid w:val="536E9454"/>
    <w:rsid w:val="5371C79F"/>
    <w:rsid w:val="5381AD0F"/>
    <w:rsid w:val="538218AC"/>
    <w:rsid w:val="5386B2F1"/>
    <w:rsid w:val="538A56BD"/>
    <w:rsid w:val="539CF2F2"/>
    <w:rsid w:val="539F74F5"/>
    <w:rsid w:val="53BA572F"/>
    <w:rsid w:val="53BDE846"/>
    <w:rsid w:val="53BF0DE6"/>
    <w:rsid w:val="53C598F5"/>
    <w:rsid w:val="53CF20BF"/>
    <w:rsid w:val="53DDD2C3"/>
    <w:rsid w:val="53E2CA89"/>
    <w:rsid w:val="53F3D13F"/>
    <w:rsid w:val="53F5FEBB"/>
    <w:rsid w:val="54078752"/>
    <w:rsid w:val="540EB4F9"/>
    <w:rsid w:val="54265F63"/>
    <w:rsid w:val="542F6580"/>
    <w:rsid w:val="5433DDA8"/>
    <w:rsid w:val="54439C26"/>
    <w:rsid w:val="544F418F"/>
    <w:rsid w:val="545B5266"/>
    <w:rsid w:val="5467DE86"/>
    <w:rsid w:val="546C20AC"/>
    <w:rsid w:val="5471BDA1"/>
    <w:rsid w:val="54786F65"/>
    <w:rsid w:val="547EA440"/>
    <w:rsid w:val="54877574"/>
    <w:rsid w:val="5497708F"/>
    <w:rsid w:val="54AC4158"/>
    <w:rsid w:val="54AE2F86"/>
    <w:rsid w:val="54BFE29A"/>
    <w:rsid w:val="54CA0B0A"/>
    <w:rsid w:val="54CB395D"/>
    <w:rsid w:val="54D8D86A"/>
    <w:rsid w:val="54E2B795"/>
    <w:rsid w:val="54FC5046"/>
    <w:rsid w:val="5503EDA3"/>
    <w:rsid w:val="55064800"/>
    <w:rsid w:val="550B5F08"/>
    <w:rsid w:val="551379A8"/>
    <w:rsid w:val="551A277F"/>
    <w:rsid w:val="551A48F5"/>
    <w:rsid w:val="551AFDA6"/>
    <w:rsid w:val="551DA2A5"/>
    <w:rsid w:val="552501DB"/>
    <w:rsid w:val="552E016B"/>
    <w:rsid w:val="5533F371"/>
    <w:rsid w:val="5534DF18"/>
    <w:rsid w:val="553A227B"/>
    <w:rsid w:val="553CFD77"/>
    <w:rsid w:val="55888445"/>
    <w:rsid w:val="5595396D"/>
    <w:rsid w:val="55D3AAFD"/>
    <w:rsid w:val="55EC5A97"/>
    <w:rsid w:val="55F79F16"/>
    <w:rsid w:val="561BE334"/>
    <w:rsid w:val="5620EE07"/>
    <w:rsid w:val="56371579"/>
    <w:rsid w:val="563AF666"/>
    <w:rsid w:val="563DEA55"/>
    <w:rsid w:val="56412283"/>
    <w:rsid w:val="56438BC1"/>
    <w:rsid w:val="56474F53"/>
    <w:rsid w:val="56754937"/>
    <w:rsid w:val="5693B4BD"/>
    <w:rsid w:val="56944CB9"/>
    <w:rsid w:val="56985AC3"/>
    <w:rsid w:val="56A310BF"/>
    <w:rsid w:val="56B33A70"/>
    <w:rsid w:val="56B8591A"/>
    <w:rsid w:val="56B946C1"/>
    <w:rsid w:val="56C7BA95"/>
    <w:rsid w:val="56CEC4D9"/>
    <w:rsid w:val="56E420CF"/>
    <w:rsid w:val="56F115E6"/>
    <w:rsid w:val="57065434"/>
    <w:rsid w:val="57087ECD"/>
    <w:rsid w:val="5721C830"/>
    <w:rsid w:val="572F5114"/>
    <w:rsid w:val="57451057"/>
    <w:rsid w:val="574D27A7"/>
    <w:rsid w:val="575765E4"/>
    <w:rsid w:val="577429E1"/>
    <w:rsid w:val="5781C193"/>
    <w:rsid w:val="57821E00"/>
    <w:rsid w:val="5782AD45"/>
    <w:rsid w:val="5784072D"/>
    <w:rsid w:val="579454B0"/>
    <w:rsid w:val="57AE3A8D"/>
    <w:rsid w:val="57B30548"/>
    <w:rsid w:val="57C079BD"/>
    <w:rsid w:val="57E12F6A"/>
    <w:rsid w:val="57E19C8C"/>
    <w:rsid w:val="57E3AD71"/>
    <w:rsid w:val="57E45995"/>
    <w:rsid w:val="57F38F4C"/>
    <w:rsid w:val="57F7D656"/>
    <w:rsid w:val="58041446"/>
    <w:rsid w:val="581471BF"/>
    <w:rsid w:val="5815180A"/>
    <w:rsid w:val="581B7ACC"/>
    <w:rsid w:val="58257B2F"/>
    <w:rsid w:val="58368FD5"/>
    <w:rsid w:val="585C53EF"/>
    <w:rsid w:val="585F8011"/>
    <w:rsid w:val="5861E190"/>
    <w:rsid w:val="586F5CFB"/>
    <w:rsid w:val="586F7E2B"/>
    <w:rsid w:val="58937941"/>
    <w:rsid w:val="58972D09"/>
    <w:rsid w:val="5897332B"/>
    <w:rsid w:val="5897B379"/>
    <w:rsid w:val="58A4A327"/>
    <w:rsid w:val="58B04BF1"/>
    <w:rsid w:val="58B3C855"/>
    <w:rsid w:val="58B514E5"/>
    <w:rsid w:val="58BC3407"/>
    <w:rsid w:val="58C09124"/>
    <w:rsid w:val="58ED3FDA"/>
    <w:rsid w:val="58F86337"/>
    <w:rsid w:val="5901C3A3"/>
    <w:rsid w:val="590994D6"/>
    <w:rsid w:val="59270100"/>
    <w:rsid w:val="592AF4F0"/>
    <w:rsid w:val="593547E3"/>
    <w:rsid w:val="59377E2E"/>
    <w:rsid w:val="5945AD1A"/>
    <w:rsid w:val="5958AF38"/>
    <w:rsid w:val="595AF02F"/>
    <w:rsid w:val="59774C41"/>
    <w:rsid w:val="597A5B5D"/>
    <w:rsid w:val="59878963"/>
    <w:rsid w:val="5988F6C3"/>
    <w:rsid w:val="598D4493"/>
    <w:rsid w:val="5997C3B5"/>
    <w:rsid w:val="599B422C"/>
    <w:rsid w:val="59A73D7C"/>
    <w:rsid w:val="59BD22BC"/>
    <w:rsid w:val="59C68EA4"/>
    <w:rsid w:val="59CCECBB"/>
    <w:rsid w:val="59CD7BB2"/>
    <w:rsid w:val="59CFFBC2"/>
    <w:rsid w:val="59D898AA"/>
    <w:rsid w:val="59D9B923"/>
    <w:rsid w:val="59DB6BA0"/>
    <w:rsid w:val="59F7605B"/>
    <w:rsid w:val="59FD47E7"/>
    <w:rsid w:val="59FDD4B5"/>
    <w:rsid w:val="59FDE8D7"/>
    <w:rsid w:val="5A06DB25"/>
    <w:rsid w:val="5A133E57"/>
    <w:rsid w:val="5A15CA4C"/>
    <w:rsid w:val="5A1C5AA7"/>
    <w:rsid w:val="5A23E2D0"/>
    <w:rsid w:val="5A26FB30"/>
    <w:rsid w:val="5A28A745"/>
    <w:rsid w:val="5A369C70"/>
    <w:rsid w:val="5A432356"/>
    <w:rsid w:val="5A474F3C"/>
    <w:rsid w:val="5A4C35F0"/>
    <w:rsid w:val="5A518541"/>
    <w:rsid w:val="5A5821DB"/>
    <w:rsid w:val="5A81DB77"/>
    <w:rsid w:val="5A909C85"/>
    <w:rsid w:val="5A94F280"/>
    <w:rsid w:val="5AAA7D90"/>
    <w:rsid w:val="5AAD1AA1"/>
    <w:rsid w:val="5AB04979"/>
    <w:rsid w:val="5ABE69D7"/>
    <w:rsid w:val="5ACD2FEF"/>
    <w:rsid w:val="5ACDEB2B"/>
    <w:rsid w:val="5ACF8D20"/>
    <w:rsid w:val="5AD40005"/>
    <w:rsid w:val="5AD95C34"/>
    <w:rsid w:val="5AE7DF69"/>
    <w:rsid w:val="5AF40D01"/>
    <w:rsid w:val="5AFB2096"/>
    <w:rsid w:val="5AFE5DD3"/>
    <w:rsid w:val="5B0189F9"/>
    <w:rsid w:val="5B0EFF44"/>
    <w:rsid w:val="5B14F367"/>
    <w:rsid w:val="5B1F56C3"/>
    <w:rsid w:val="5B22EB76"/>
    <w:rsid w:val="5B2A8A1B"/>
    <w:rsid w:val="5B3AEB18"/>
    <w:rsid w:val="5B4DA00F"/>
    <w:rsid w:val="5B673DF7"/>
    <w:rsid w:val="5B758984"/>
    <w:rsid w:val="5B893B4C"/>
    <w:rsid w:val="5B97069B"/>
    <w:rsid w:val="5B9B0F56"/>
    <w:rsid w:val="5B9F553D"/>
    <w:rsid w:val="5BA7E384"/>
    <w:rsid w:val="5BA80E72"/>
    <w:rsid w:val="5BAA2C16"/>
    <w:rsid w:val="5BB170F8"/>
    <w:rsid w:val="5BB3C43B"/>
    <w:rsid w:val="5BC0E09E"/>
    <w:rsid w:val="5BE48063"/>
    <w:rsid w:val="5C0446AF"/>
    <w:rsid w:val="5C0FB240"/>
    <w:rsid w:val="5C13D74C"/>
    <w:rsid w:val="5C337E5F"/>
    <w:rsid w:val="5C5496CA"/>
    <w:rsid w:val="5C57411C"/>
    <w:rsid w:val="5C8C28CE"/>
    <w:rsid w:val="5C9F5894"/>
    <w:rsid w:val="5CBAF087"/>
    <w:rsid w:val="5CC71F49"/>
    <w:rsid w:val="5CD2AF5E"/>
    <w:rsid w:val="5CD88E26"/>
    <w:rsid w:val="5CDA8D93"/>
    <w:rsid w:val="5CEBF39B"/>
    <w:rsid w:val="5CEE8CCD"/>
    <w:rsid w:val="5D0762B0"/>
    <w:rsid w:val="5D1E1FB3"/>
    <w:rsid w:val="5D1E38B6"/>
    <w:rsid w:val="5D318F0D"/>
    <w:rsid w:val="5D330A1F"/>
    <w:rsid w:val="5D42D0E9"/>
    <w:rsid w:val="5D432A45"/>
    <w:rsid w:val="5D4EAA32"/>
    <w:rsid w:val="5D6E121A"/>
    <w:rsid w:val="5D7D7D43"/>
    <w:rsid w:val="5D8BD7B1"/>
    <w:rsid w:val="5D8E6568"/>
    <w:rsid w:val="5D940664"/>
    <w:rsid w:val="5D9D71AE"/>
    <w:rsid w:val="5D9F57FE"/>
    <w:rsid w:val="5DA4FD14"/>
    <w:rsid w:val="5DA5AD3F"/>
    <w:rsid w:val="5DAEF712"/>
    <w:rsid w:val="5DB3EBFE"/>
    <w:rsid w:val="5DBA020B"/>
    <w:rsid w:val="5DBC9911"/>
    <w:rsid w:val="5DD16ED8"/>
    <w:rsid w:val="5DD1ED41"/>
    <w:rsid w:val="5DDF07D3"/>
    <w:rsid w:val="5DFE7E28"/>
    <w:rsid w:val="5E022B5F"/>
    <w:rsid w:val="5E0697A8"/>
    <w:rsid w:val="5E13F084"/>
    <w:rsid w:val="5E18FD72"/>
    <w:rsid w:val="5E23E42C"/>
    <w:rsid w:val="5E285A9B"/>
    <w:rsid w:val="5E3391D1"/>
    <w:rsid w:val="5E3F1D07"/>
    <w:rsid w:val="5E42F89B"/>
    <w:rsid w:val="5E463694"/>
    <w:rsid w:val="5E70BFAA"/>
    <w:rsid w:val="5E750FEC"/>
    <w:rsid w:val="5E7774FA"/>
    <w:rsid w:val="5E79BCED"/>
    <w:rsid w:val="5E9F1B9B"/>
    <w:rsid w:val="5EB1A258"/>
    <w:rsid w:val="5EBAA53E"/>
    <w:rsid w:val="5EBB7BB4"/>
    <w:rsid w:val="5EC089AD"/>
    <w:rsid w:val="5EC0A9EE"/>
    <w:rsid w:val="5EC96DA9"/>
    <w:rsid w:val="5F0B815D"/>
    <w:rsid w:val="5F0EA5B2"/>
    <w:rsid w:val="5F1FF7AC"/>
    <w:rsid w:val="5F2A4D57"/>
    <w:rsid w:val="5F34F148"/>
    <w:rsid w:val="5F58D375"/>
    <w:rsid w:val="5F5FDDD2"/>
    <w:rsid w:val="5F654D2C"/>
    <w:rsid w:val="5F67D78F"/>
    <w:rsid w:val="5F881952"/>
    <w:rsid w:val="5F8B600A"/>
    <w:rsid w:val="5F9498F1"/>
    <w:rsid w:val="5F97D1D4"/>
    <w:rsid w:val="5FBDF430"/>
    <w:rsid w:val="5FC047B9"/>
    <w:rsid w:val="5FCD767D"/>
    <w:rsid w:val="5FDC207F"/>
    <w:rsid w:val="5FEFAB4B"/>
    <w:rsid w:val="60196254"/>
    <w:rsid w:val="601ECE37"/>
    <w:rsid w:val="6020A1A6"/>
    <w:rsid w:val="602A415A"/>
    <w:rsid w:val="6039D12E"/>
    <w:rsid w:val="603D958E"/>
    <w:rsid w:val="604B67EF"/>
    <w:rsid w:val="6057FD25"/>
    <w:rsid w:val="6068684B"/>
    <w:rsid w:val="60733684"/>
    <w:rsid w:val="6078F38C"/>
    <w:rsid w:val="6080F5BC"/>
    <w:rsid w:val="608BB92E"/>
    <w:rsid w:val="6090B967"/>
    <w:rsid w:val="6099F690"/>
    <w:rsid w:val="609F185D"/>
    <w:rsid w:val="60C20A62"/>
    <w:rsid w:val="60D5E7B1"/>
    <w:rsid w:val="60D65324"/>
    <w:rsid w:val="60DA8BCF"/>
    <w:rsid w:val="60DD79E8"/>
    <w:rsid w:val="60F880AF"/>
    <w:rsid w:val="61017896"/>
    <w:rsid w:val="6109DF98"/>
    <w:rsid w:val="610AB934"/>
    <w:rsid w:val="610C05CF"/>
    <w:rsid w:val="61114C5F"/>
    <w:rsid w:val="612137D2"/>
    <w:rsid w:val="6123B68D"/>
    <w:rsid w:val="6135A119"/>
    <w:rsid w:val="613A1AE5"/>
    <w:rsid w:val="613E7078"/>
    <w:rsid w:val="613F622C"/>
    <w:rsid w:val="614107EE"/>
    <w:rsid w:val="6155A2AB"/>
    <w:rsid w:val="61757FC7"/>
    <w:rsid w:val="618359F4"/>
    <w:rsid w:val="6183C7F1"/>
    <w:rsid w:val="618D6EA0"/>
    <w:rsid w:val="6193D894"/>
    <w:rsid w:val="619B4617"/>
    <w:rsid w:val="61AAA552"/>
    <w:rsid w:val="61AE6449"/>
    <w:rsid w:val="61B270EF"/>
    <w:rsid w:val="61B50840"/>
    <w:rsid w:val="61B9D157"/>
    <w:rsid w:val="61F491C8"/>
    <w:rsid w:val="61FB2B92"/>
    <w:rsid w:val="62031573"/>
    <w:rsid w:val="62253EA6"/>
    <w:rsid w:val="622932C7"/>
    <w:rsid w:val="6246DF30"/>
    <w:rsid w:val="6258FD31"/>
    <w:rsid w:val="627195B2"/>
    <w:rsid w:val="62917591"/>
    <w:rsid w:val="62B5993B"/>
    <w:rsid w:val="62BE18FE"/>
    <w:rsid w:val="62C67302"/>
    <w:rsid w:val="62C74806"/>
    <w:rsid w:val="62CB19F6"/>
    <w:rsid w:val="62D07C5E"/>
    <w:rsid w:val="62D4E808"/>
    <w:rsid w:val="62D4FE4C"/>
    <w:rsid w:val="62D940EE"/>
    <w:rsid w:val="62E63CA1"/>
    <w:rsid w:val="62EEE104"/>
    <w:rsid w:val="62F11EC2"/>
    <w:rsid w:val="62F36AD8"/>
    <w:rsid w:val="630ED141"/>
    <w:rsid w:val="631A5030"/>
    <w:rsid w:val="632832AA"/>
    <w:rsid w:val="63531758"/>
    <w:rsid w:val="635C1684"/>
    <w:rsid w:val="63639F85"/>
    <w:rsid w:val="637E48CA"/>
    <w:rsid w:val="63985AF9"/>
    <w:rsid w:val="63A205CD"/>
    <w:rsid w:val="63A39CBE"/>
    <w:rsid w:val="63AA920F"/>
    <w:rsid w:val="63B6E1E1"/>
    <w:rsid w:val="63BB03C6"/>
    <w:rsid w:val="63BFFB87"/>
    <w:rsid w:val="63C1EDD0"/>
    <w:rsid w:val="63CAE532"/>
    <w:rsid w:val="63CC2EBE"/>
    <w:rsid w:val="63D8054C"/>
    <w:rsid w:val="63D987F7"/>
    <w:rsid w:val="63DD904A"/>
    <w:rsid w:val="63E686DA"/>
    <w:rsid w:val="63EB41D0"/>
    <w:rsid w:val="63FCF37E"/>
    <w:rsid w:val="63FF4EF2"/>
    <w:rsid w:val="640C71EE"/>
    <w:rsid w:val="641A108D"/>
    <w:rsid w:val="64202181"/>
    <w:rsid w:val="642256A1"/>
    <w:rsid w:val="642558E2"/>
    <w:rsid w:val="64528E55"/>
    <w:rsid w:val="64558FD7"/>
    <w:rsid w:val="645B4FAA"/>
    <w:rsid w:val="645C9185"/>
    <w:rsid w:val="645CA001"/>
    <w:rsid w:val="6461C5B7"/>
    <w:rsid w:val="6474EC05"/>
    <w:rsid w:val="648C32CB"/>
    <w:rsid w:val="649FCF3F"/>
    <w:rsid w:val="64AF0729"/>
    <w:rsid w:val="64BB0354"/>
    <w:rsid w:val="64C3816D"/>
    <w:rsid w:val="64C624B3"/>
    <w:rsid w:val="64CD8421"/>
    <w:rsid w:val="64DC09DD"/>
    <w:rsid w:val="64F19FBF"/>
    <w:rsid w:val="64F1AB46"/>
    <w:rsid w:val="6504896C"/>
    <w:rsid w:val="650F4019"/>
    <w:rsid w:val="651D9D1F"/>
    <w:rsid w:val="651FC18B"/>
    <w:rsid w:val="6538BB98"/>
    <w:rsid w:val="654A6CC8"/>
    <w:rsid w:val="655A0338"/>
    <w:rsid w:val="655FDB7F"/>
    <w:rsid w:val="65867B81"/>
    <w:rsid w:val="659773CB"/>
    <w:rsid w:val="65B15858"/>
    <w:rsid w:val="65B489B1"/>
    <w:rsid w:val="65BA0859"/>
    <w:rsid w:val="65CEDF77"/>
    <w:rsid w:val="65E17B12"/>
    <w:rsid w:val="65E1AFDC"/>
    <w:rsid w:val="65E2660A"/>
    <w:rsid w:val="65E528D5"/>
    <w:rsid w:val="65E662B0"/>
    <w:rsid w:val="65E93996"/>
    <w:rsid w:val="660B37B4"/>
    <w:rsid w:val="660CC1D3"/>
    <w:rsid w:val="66143521"/>
    <w:rsid w:val="661921FA"/>
    <w:rsid w:val="661DAC13"/>
    <w:rsid w:val="6621B389"/>
    <w:rsid w:val="6625480B"/>
    <w:rsid w:val="662FB8A4"/>
    <w:rsid w:val="663F1F27"/>
    <w:rsid w:val="66465AE1"/>
    <w:rsid w:val="664A9147"/>
    <w:rsid w:val="6650BB5B"/>
    <w:rsid w:val="6661B28A"/>
    <w:rsid w:val="666472F3"/>
    <w:rsid w:val="66714DE0"/>
    <w:rsid w:val="66751C5A"/>
    <w:rsid w:val="667DF6FB"/>
    <w:rsid w:val="668F71E6"/>
    <w:rsid w:val="6699D0A7"/>
    <w:rsid w:val="66AA3376"/>
    <w:rsid w:val="66AA9D3B"/>
    <w:rsid w:val="66AFB865"/>
    <w:rsid w:val="66B500E4"/>
    <w:rsid w:val="66B8DAA4"/>
    <w:rsid w:val="66C4BC23"/>
    <w:rsid w:val="66CC7236"/>
    <w:rsid w:val="66D939C0"/>
    <w:rsid w:val="66E00DE7"/>
    <w:rsid w:val="66E91215"/>
    <w:rsid w:val="6704D488"/>
    <w:rsid w:val="671B9B22"/>
    <w:rsid w:val="671EEDD2"/>
    <w:rsid w:val="6720DADF"/>
    <w:rsid w:val="6723416F"/>
    <w:rsid w:val="6744CDE8"/>
    <w:rsid w:val="6745DA04"/>
    <w:rsid w:val="6757C848"/>
    <w:rsid w:val="675A3F7D"/>
    <w:rsid w:val="675ED3CD"/>
    <w:rsid w:val="6766F650"/>
    <w:rsid w:val="67688A36"/>
    <w:rsid w:val="67835B3D"/>
    <w:rsid w:val="67ADD47B"/>
    <w:rsid w:val="67B2118D"/>
    <w:rsid w:val="67C4948D"/>
    <w:rsid w:val="67DA5C2D"/>
    <w:rsid w:val="67DC8AD3"/>
    <w:rsid w:val="67F3BAF2"/>
    <w:rsid w:val="67FE94C1"/>
    <w:rsid w:val="680C7CBF"/>
    <w:rsid w:val="681918B9"/>
    <w:rsid w:val="681C0C87"/>
    <w:rsid w:val="6821CDB6"/>
    <w:rsid w:val="682CE89B"/>
    <w:rsid w:val="682E9DAC"/>
    <w:rsid w:val="6844BCB7"/>
    <w:rsid w:val="6846174C"/>
    <w:rsid w:val="686B1698"/>
    <w:rsid w:val="686FC366"/>
    <w:rsid w:val="68741F3E"/>
    <w:rsid w:val="687DF709"/>
    <w:rsid w:val="6887178E"/>
    <w:rsid w:val="688E8764"/>
    <w:rsid w:val="688F89BB"/>
    <w:rsid w:val="68B4D967"/>
    <w:rsid w:val="68BD22A8"/>
    <w:rsid w:val="68C48CFC"/>
    <w:rsid w:val="68C93D73"/>
    <w:rsid w:val="68CAA720"/>
    <w:rsid w:val="68D96010"/>
    <w:rsid w:val="68E50C20"/>
    <w:rsid w:val="68EBEC7E"/>
    <w:rsid w:val="68F9F419"/>
    <w:rsid w:val="69048497"/>
    <w:rsid w:val="690D0358"/>
    <w:rsid w:val="69104CCA"/>
    <w:rsid w:val="6913B11E"/>
    <w:rsid w:val="69174C04"/>
    <w:rsid w:val="69202471"/>
    <w:rsid w:val="693CE741"/>
    <w:rsid w:val="6944236A"/>
    <w:rsid w:val="6959D228"/>
    <w:rsid w:val="6963120B"/>
    <w:rsid w:val="6967B8B7"/>
    <w:rsid w:val="69709091"/>
    <w:rsid w:val="697335D3"/>
    <w:rsid w:val="697D6854"/>
    <w:rsid w:val="69858816"/>
    <w:rsid w:val="698F9D35"/>
    <w:rsid w:val="69B69D37"/>
    <w:rsid w:val="69B8B54C"/>
    <w:rsid w:val="69BE5936"/>
    <w:rsid w:val="69C054E5"/>
    <w:rsid w:val="69C5D2B4"/>
    <w:rsid w:val="69C81ACA"/>
    <w:rsid w:val="69E0322C"/>
    <w:rsid w:val="6A0AEF11"/>
    <w:rsid w:val="6A111C9B"/>
    <w:rsid w:val="6A33E8D3"/>
    <w:rsid w:val="6A487BE7"/>
    <w:rsid w:val="6A4C9177"/>
    <w:rsid w:val="6A5004A8"/>
    <w:rsid w:val="6A51975C"/>
    <w:rsid w:val="6A728F05"/>
    <w:rsid w:val="6A74254B"/>
    <w:rsid w:val="6A7945E7"/>
    <w:rsid w:val="6A7F8DD6"/>
    <w:rsid w:val="6A82EFE8"/>
    <w:rsid w:val="6A87A822"/>
    <w:rsid w:val="6A91F0B8"/>
    <w:rsid w:val="6A931B2F"/>
    <w:rsid w:val="6A97CBB3"/>
    <w:rsid w:val="6A9A0D30"/>
    <w:rsid w:val="6AB8E9A8"/>
    <w:rsid w:val="6ABB0747"/>
    <w:rsid w:val="6ABD1CF2"/>
    <w:rsid w:val="6ABF6C60"/>
    <w:rsid w:val="6ABFE63C"/>
    <w:rsid w:val="6AD29999"/>
    <w:rsid w:val="6AD8376E"/>
    <w:rsid w:val="6AE22C4E"/>
    <w:rsid w:val="6AE4D532"/>
    <w:rsid w:val="6AECDD29"/>
    <w:rsid w:val="6AF8550C"/>
    <w:rsid w:val="6AFFD173"/>
    <w:rsid w:val="6B14B4BB"/>
    <w:rsid w:val="6B28CB03"/>
    <w:rsid w:val="6B40EA60"/>
    <w:rsid w:val="6B46DC21"/>
    <w:rsid w:val="6B691455"/>
    <w:rsid w:val="6B6AE4A9"/>
    <w:rsid w:val="6B704E99"/>
    <w:rsid w:val="6B70EB33"/>
    <w:rsid w:val="6B78D08B"/>
    <w:rsid w:val="6B7CA1E3"/>
    <w:rsid w:val="6B840CDF"/>
    <w:rsid w:val="6B93DC39"/>
    <w:rsid w:val="6B96C2B3"/>
    <w:rsid w:val="6BA4DF7B"/>
    <w:rsid w:val="6BA72319"/>
    <w:rsid w:val="6BA8D5D9"/>
    <w:rsid w:val="6BAB6C21"/>
    <w:rsid w:val="6BAF2EA1"/>
    <w:rsid w:val="6BB1CE8D"/>
    <w:rsid w:val="6BC0739D"/>
    <w:rsid w:val="6BC4C235"/>
    <w:rsid w:val="6C024A8A"/>
    <w:rsid w:val="6C0C55FC"/>
    <w:rsid w:val="6C1D4E46"/>
    <w:rsid w:val="6C21F020"/>
    <w:rsid w:val="6C3A7CF5"/>
    <w:rsid w:val="6C3D190F"/>
    <w:rsid w:val="6C4B28FE"/>
    <w:rsid w:val="6C557739"/>
    <w:rsid w:val="6C55F046"/>
    <w:rsid w:val="6C5C6335"/>
    <w:rsid w:val="6C5D222D"/>
    <w:rsid w:val="6C6C4C12"/>
    <w:rsid w:val="6C70131A"/>
    <w:rsid w:val="6C7DB8CC"/>
    <w:rsid w:val="6C891D82"/>
    <w:rsid w:val="6C8BA80C"/>
    <w:rsid w:val="6C916AF3"/>
    <w:rsid w:val="6CABED9B"/>
    <w:rsid w:val="6CAE2B81"/>
    <w:rsid w:val="6CB3D7D8"/>
    <w:rsid w:val="6CC5D112"/>
    <w:rsid w:val="6CC7830F"/>
    <w:rsid w:val="6CD79E38"/>
    <w:rsid w:val="6CDF1D4E"/>
    <w:rsid w:val="6CEAC1AC"/>
    <w:rsid w:val="6D01A36A"/>
    <w:rsid w:val="6D3373EC"/>
    <w:rsid w:val="6D3B95D9"/>
    <w:rsid w:val="6D3BFF9A"/>
    <w:rsid w:val="6D5916E6"/>
    <w:rsid w:val="6D64FC51"/>
    <w:rsid w:val="6D6ACCA1"/>
    <w:rsid w:val="6D737E19"/>
    <w:rsid w:val="6D798987"/>
    <w:rsid w:val="6D7F904D"/>
    <w:rsid w:val="6D8255E5"/>
    <w:rsid w:val="6D8562E3"/>
    <w:rsid w:val="6D85AE79"/>
    <w:rsid w:val="6D9A41F6"/>
    <w:rsid w:val="6D9ED481"/>
    <w:rsid w:val="6DA3F61A"/>
    <w:rsid w:val="6DDC83FC"/>
    <w:rsid w:val="6DDCE942"/>
    <w:rsid w:val="6DDE4F0A"/>
    <w:rsid w:val="6DE572FA"/>
    <w:rsid w:val="6DF0B2DC"/>
    <w:rsid w:val="6E149C7D"/>
    <w:rsid w:val="6E17ABA0"/>
    <w:rsid w:val="6E18B18B"/>
    <w:rsid w:val="6E3C11A4"/>
    <w:rsid w:val="6E499BAF"/>
    <w:rsid w:val="6E4C904E"/>
    <w:rsid w:val="6E5B3F20"/>
    <w:rsid w:val="6E6E3337"/>
    <w:rsid w:val="6E71AC3A"/>
    <w:rsid w:val="6E7502D7"/>
    <w:rsid w:val="6E8DC3DC"/>
    <w:rsid w:val="6E92C4E3"/>
    <w:rsid w:val="6E9D73CB"/>
    <w:rsid w:val="6EA07C51"/>
    <w:rsid w:val="6EAC3D49"/>
    <w:rsid w:val="6EB2722C"/>
    <w:rsid w:val="6EC6D8C7"/>
    <w:rsid w:val="6ECEF7C5"/>
    <w:rsid w:val="6ECFE6C4"/>
    <w:rsid w:val="6ED1113B"/>
    <w:rsid w:val="6ED657E1"/>
    <w:rsid w:val="6EFB6CF6"/>
    <w:rsid w:val="6F01A9E6"/>
    <w:rsid w:val="6F09F7AF"/>
    <w:rsid w:val="6F0A2080"/>
    <w:rsid w:val="6F0B5DA2"/>
    <w:rsid w:val="6F2A28BA"/>
    <w:rsid w:val="6F35D295"/>
    <w:rsid w:val="6F40C9F7"/>
    <w:rsid w:val="6F44E144"/>
    <w:rsid w:val="6F4906EE"/>
    <w:rsid w:val="6F5038A3"/>
    <w:rsid w:val="6F599EFD"/>
    <w:rsid w:val="6F6F574E"/>
    <w:rsid w:val="6F75296E"/>
    <w:rsid w:val="6F81CC02"/>
    <w:rsid w:val="6FB2DB0A"/>
    <w:rsid w:val="6FBBB6D2"/>
    <w:rsid w:val="6FD33EB7"/>
    <w:rsid w:val="6FD4B742"/>
    <w:rsid w:val="6FDA6347"/>
    <w:rsid w:val="6FDB7305"/>
    <w:rsid w:val="6FF0F5F8"/>
    <w:rsid w:val="6FF21C7D"/>
    <w:rsid w:val="6FF79194"/>
    <w:rsid w:val="6FFA4BF8"/>
    <w:rsid w:val="7012131A"/>
    <w:rsid w:val="7018504F"/>
    <w:rsid w:val="7029D66F"/>
    <w:rsid w:val="7040FA42"/>
    <w:rsid w:val="7041BD1A"/>
    <w:rsid w:val="704DE39A"/>
    <w:rsid w:val="705171A2"/>
    <w:rsid w:val="7067DA28"/>
    <w:rsid w:val="706BCB5F"/>
    <w:rsid w:val="7074B340"/>
    <w:rsid w:val="707B2A34"/>
    <w:rsid w:val="707EDA0D"/>
    <w:rsid w:val="708B5F68"/>
    <w:rsid w:val="709F36F4"/>
    <w:rsid w:val="709F9C89"/>
    <w:rsid w:val="70CDBA11"/>
    <w:rsid w:val="70DC42A2"/>
    <w:rsid w:val="70DC4381"/>
    <w:rsid w:val="70DDBFB7"/>
    <w:rsid w:val="70E494E8"/>
    <w:rsid w:val="70E8E9B4"/>
    <w:rsid w:val="70F7BCF5"/>
    <w:rsid w:val="7104C289"/>
    <w:rsid w:val="710A8294"/>
    <w:rsid w:val="7124C22B"/>
    <w:rsid w:val="71393AFA"/>
    <w:rsid w:val="713DE886"/>
    <w:rsid w:val="716192FC"/>
    <w:rsid w:val="71623288"/>
    <w:rsid w:val="716501AF"/>
    <w:rsid w:val="717338C6"/>
    <w:rsid w:val="71782070"/>
    <w:rsid w:val="717F1A22"/>
    <w:rsid w:val="718395BA"/>
    <w:rsid w:val="71AE63EB"/>
    <w:rsid w:val="71B205EB"/>
    <w:rsid w:val="71CDBAC1"/>
    <w:rsid w:val="71CF3CB5"/>
    <w:rsid w:val="71E459C7"/>
    <w:rsid w:val="71E97172"/>
    <w:rsid w:val="71FCAFF8"/>
    <w:rsid w:val="7230320C"/>
    <w:rsid w:val="7233555C"/>
    <w:rsid w:val="724FCEFC"/>
    <w:rsid w:val="7257EBFF"/>
    <w:rsid w:val="7264C16B"/>
    <w:rsid w:val="72666D34"/>
    <w:rsid w:val="72731D8F"/>
    <w:rsid w:val="7294C1B5"/>
    <w:rsid w:val="72A4D1EC"/>
    <w:rsid w:val="72AD21EE"/>
    <w:rsid w:val="72D8B7C6"/>
    <w:rsid w:val="72DA93B3"/>
    <w:rsid w:val="72EE94F5"/>
    <w:rsid w:val="72F13442"/>
    <w:rsid w:val="72F3E0F7"/>
    <w:rsid w:val="72F46162"/>
    <w:rsid w:val="72F6C216"/>
    <w:rsid w:val="7307F86E"/>
    <w:rsid w:val="730A7F08"/>
    <w:rsid w:val="730C991D"/>
    <w:rsid w:val="730F8C6B"/>
    <w:rsid w:val="73131284"/>
    <w:rsid w:val="73172379"/>
    <w:rsid w:val="73195F82"/>
    <w:rsid w:val="73257579"/>
    <w:rsid w:val="73281B3A"/>
    <w:rsid w:val="732D1E07"/>
    <w:rsid w:val="7338E58A"/>
    <w:rsid w:val="733FA1AA"/>
    <w:rsid w:val="7359B9C0"/>
    <w:rsid w:val="7359F0FF"/>
    <w:rsid w:val="7365E72E"/>
    <w:rsid w:val="737C9EAA"/>
    <w:rsid w:val="7380EC2E"/>
    <w:rsid w:val="738B9ABE"/>
    <w:rsid w:val="73EFB4FC"/>
    <w:rsid w:val="73FAF8A2"/>
    <w:rsid w:val="73FDD462"/>
    <w:rsid w:val="74010221"/>
    <w:rsid w:val="74365715"/>
    <w:rsid w:val="743B0885"/>
    <w:rsid w:val="744A0896"/>
    <w:rsid w:val="74526C2C"/>
    <w:rsid w:val="745CBFB3"/>
    <w:rsid w:val="74690854"/>
    <w:rsid w:val="746FEF63"/>
    <w:rsid w:val="74801103"/>
    <w:rsid w:val="7490E072"/>
    <w:rsid w:val="749214B8"/>
    <w:rsid w:val="74986C76"/>
    <w:rsid w:val="74C1D080"/>
    <w:rsid w:val="74DBC4DA"/>
    <w:rsid w:val="74E57DF9"/>
    <w:rsid w:val="74EDC989"/>
    <w:rsid w:val="74EE301D"/>
    <w:rsid w:val="74EEEC8D"/>
    <w:rsid w:val="74FB1726"/>
    <w:rsid w:val="750CC3DA"/>
    <w:rsid w:val="7511B3E4"/>
    <w:rsid w:val="7511E481"/>
    <w:rsid w:val="751641CD"/>
    <w:rsid w:val="75196928"/>
    <w:rsid w:val="752DCC81"/>
    <w:rsid w:val="753070A1"/>
    <w:rsid w:val="7534E6BF"/>
    <w:rsid w:val="754CBDCE"/>
    <w:rsid w:val="7552558F"/>
    <w:rsid w:val="7567885E"/>
    <w:rsid w:val="756F64AA"/>
    <w:rsid w:val="7570F68D"/>
    <w:rsid w:val="75836EDA"/>
    <w:rsid w:val="758BDF6C"/>
    <w:rsid w:val="758E7963"/>
    <w:rsid w:val="759DDB82"/>
    <w:rsid w:val="759E2B11"/>
    <w:rsid w:val="75C13741"/>
    <w:rsid w:val="75C856DE"/>
    <w:rsid w:val="75C9A94F"/>
    <w:rsid w:val="75CCC087"/>
    <w:rsid w:val="75D9B833"/>
    <w:rsid w:val="75E50CC2"/>
    <w:rsid w:val="75E552A4"/>
    <w:rsid w:val="760E4615"/>
    <w:rsid w:val="76145021"/>
    <w:rsid w:val="7632549F"/>
    <w:rsid w:val="76332DD9"/>
    <w:rsid w:val="763672DA"/>
    <w:rsid w:val="764DE400"/>
    <w:rsid w:val="764FC25C"/>
    <w:rsid w:val="7654B670"/>
    <w:rsid w:val="76591355"/>
    <w:rsid w:val="76717D90"/>
    <w:rsid w:val="76AA4276"/>
    <w:rsid w:val="76B84F1C"/>
    <w:rsid w:val="76BA3971"/>
    <w:rsid w:val="76D653DD"/>
    <w:rsid w:val="76D886DA"/>
    <w:rsid w:val="76DCBAC2"/>
    <w:rsid w:val="76F0C1B7"/>
    <w:rsid w:val="76FC7C3B"/>
    <w:rsid w:val="76FD3B2F"/>
    <w:rsid w:val="770306E9"/>
    <w:rsid w:val="77166F87"/>
    <w:rsid w:val="77360E3E"/>
    <w:rsid w:val="7765CF89"/>
    <w:rsid w:val="77720F3A"/>
    <w:rsid w:val="778058AC"/>
    <w:rsid w:val="778F6165"/>
    <w:rsid w:val="779B321B"/>
    <w:rsid w:val="779C7ADE"/>
    <w:rsid w:val="77A2ED8B"/>
    <w:rsid w:val="77A670B6"/>
    <w:rsid w:val="77A728F1"/>
    <w:rsid w:val="77A8A7E7"/>
    <w:rsid w:val="77AB3871"/>
    <w:rsid w:val="77B2D68A"/>
    <w:rsid w:val="77D07480"/>
    <w:rsid w:val="77D12CA5"/>
    <w:rsid w:val="77DC9920"/>
    <w:rsid w:val="77FBC87E"/>
    <w:rsid w:val="780E177C"/>
    <w:rsid w:val="7811F72C"/>
    <w:rsid w:val="781BFF44"/>
    <w:rsid w:val="782BBC8F"/>
    <w:rsid w:val="782F6452"/>
    <w:rsid w:val="784DA309"/>
    <w:rsid w:val="7850D8A1"/>
    <w:rsid w:val="7865FAA6"/>
    <w:rsid w:val="7875B563"/>
    <w:rsid w:val="787AE25C"/>
    <w:rsid w:val="788FB101"/>
    <w:rsid w:val="7897C3D8"/>
    <w:rsid w:val="78B2AB66"/>
    <w:rsid w:val="78B883DF"/>
    <w:rsid w:val="78C3CC0B"/>
    <w:rsid w:val="78C6C6A3"/>
    <w:rsid w:val="78C89C1C"/>
    <w:rsid w:val="78CA9F78"/>
    <w:rsid w:val="78CFC436"/>
    <w:rsid w:val="78EFFB6D"/>
    <w:rsid w:val="7906DBCF"/>
    <w:rsid w:val="79106DE9"/>
    <w:rsid w:val="792B318D"/>
    <w:rsid w:val="7930EBA1"/>
    <w:rsid w:val="793569AB"/>
    <w:rsid w:val="7948E642"/>
    <w:rsid w:val="794E921C"/>
    <w:rsid w:val="7950129B"/>
    <w:rsid w:val="79575D54"/>
    <w:rsid w:val="795DBD22"/>
    <w:rsid w:val="7961A2C5"/>
    <w:rsid w:val="796969AA"/>
    <w:rsid w:val="79699683"/>
    <w:rsid w:val="7998C4D6"/>
    <w:rsid w:val="799BABF0"/>
    <w:rsid w:val="79A23227"/>
    <w:rsid w:val="79A56ED0"/>
    <w:rsid w:val="79C59F9A"/>
    <w:rsid w:val="79F87532"/>
    <w:rsid w:val="79FB678D"/>
    <w:rsid w:val="7A0513B8"/>
    <w:rsid w:val="7A0A438E"/>
    <w:rsid w:val="7A164E37"/>
    <w:rsid w:val="7A17215F"/>
    <w:rsid w:val="7A2203DF"/>
    <w:rsid w:val="7A23FBED"/>
    <w:rsid w:val="7A3A8B9F"/>
    <w:rsid w:val="7A3D376B"/>
    <w:rsid w:val="7A3DDAAC"/>
    <w:rsid w:val="7A42C652"/>
    <w:rsid w:val="7A43CC8B"/>
    <w:rsid w:val="7A467EED"/>
    <w:rsid w:val="7A4ED46E"/>
    <w:rsid w:val="7A89EB1E"/>
    <w:rsid w:val="7AA9F12F"/>
    <w:rsid w:val="7AAB9D8C"/>
    <w:rsid w:val="7AB3A60A"/>
    <w:rsid w:val="7AB56433"/>
    <w:rsid w:val="7ABF50B5"/>
    <w:rsid w:val="7AC9A182"/>
    <w:rsid w:val="7AC9D32E"/>
    <w:rsid w:val="7ACB7931"/>
    <w:rsid w:val="7AD67D78"/>
    <w:rsid w:val="7AE888D3"/>
    <w:rsid w:val="7AF1A748"/>
    <w:rsid w:val="7B00F248"/>
    <w:rsid w:val="7B036991"/>
    <w:rsid w:val="7B06E24E"/>
    <w:rsid w:val="7B0FFD6D"/>
    <w:rsid w:val="7B11FF0F"/>
    <w:rsid w:val="7B397DFB"/>
    <w:rsid w:val="7B535423"/>
    <w:rsid w:val="7B68FC6B"/>
    <w:rsid w:val="7B6AEC10"/>
    <w:rsid w:val="7B772031"/>
    <w:rsid w:val="7B818D6C"/>
    <w:rsid w:val="7B8FA98C"/>
    <w:rsid w:val="7B9CB13C"/>
    <w:rsid w:val="7BB3DEA6"/>
    <w:rsid w:val="7BC134D9"/>
    <w:rsid w:val="7BCCFC5B"/>
    <w:rsid w:val="7BD5740D"/>
    <w:rsid w:val="7BEEC45B"/>
    <w:rsid w:val="7BFD0CC8"/>
    <w:rsid w:val="7C2A115A"/>
    <w:rsid w:val="7C2C214C"/>
    <w:rsid w:val="7C31329E"/>
    <w:rsid w:val="7C318A4B"/>
    <w:rsid w:val="7C43971A"/>
    <w:rsid w:val="7C61E3D9"/>
    <w:rsid w:val="7C62025C"/>
    <w:rsid w:val="7C633EDA"/>
    <w:rsid w:val="7C66439D"/>
    <w:rsid w:val="7C7ED6E2"/>
    <w:rsid w:val="7C8614D2"/>
    <w:rsid w:val="7CA1BB76"/>
    <w:rsid w:val="7CBBB94E"/>
    <w:rsid w:val="7CD3891D"/>
    <w:rsid w:val="7CE2E7BF"/>
    <w:rsid w:val="7CEFD640"/>
    <w:rsid w:val="7CFCC9AA"/>
    <w:rsid w:val="7D0BC9D7"/>
    <w:rsid w:val="7D0C61E1"/>
    <w:rsid w:val="7D0CEAA9"/>
    <w:rsid w:val="7D0F9884"/>
    <w:rsid w:val="7D125150"/>
    <w:rsid w:val="7D2B03A8"/>
    <w:rsid w:val="7D36EED2"/>
    <w:rsid w:val="7D4BE571"/>
    <w:rsid w:val="7D558BAB"/>
    <w:rsid w:val="7D5860EB"/>
    <w:rsid w:val="7D58FAC1"/>
    <w:rsid w:val="7D5FC759"/>
    <w:rsid w:val="7D725231"/>
    <w:rsid w:val="7D742BD5"/>
    <w:rsid w:val="7DA3393C"/>
    <w:rsid w:val="7DA6D7A8"/>
    <w:rsid w:val="7DB644DC"/>
    <w:rsid w:val="7DC72D0E"/>
    <w:rsid w:val="7DCFB7CF"/>
    <w:rsid w:val="7DD62A29"/>
    <w:rsid w:val="7DD7DB48"/>
    <w:rsid w:val="7DDFEDC7"/>
    <w:rsid w:val="7DEFC58B"/>
    <w:rsid w:val="7DF7153D"/>
    <w:rsid w:val="7DFE8DC1"/>
    <w:rsid w:val="7E01AAB4"/>
    <w:rsid w:val="7E03B395"/>
    <w:rsid w:val="7E03E184"/>
    <w:rsid w:val="7E14FC1A"/>
    <w:rsid w:val="7E1BC840"/>
    <w:rsid w:val="7E270139"/>
    <w:rsid w:val="7E2C6D8B"/>
    <w:rsid w:val="7E5C75D4"/>
    <w:rsid w:val="7E5E713C"/>
    <w:rsid w:val="7E9AA549"/>
    <w:rsid w:val="7E9C598A"/>
    <w:rsid w:val="7EAA0139"/>
    <w:rsid w:val="7EB12BED"/>
    <w:rsid w:val="7EB1F32E"/>
    <w:rsid w:val="7EB6D8EC"/>
    <w:rsid w:val="7EB9612C"/>
    <w:rsid w:val="7EBE5AE8"/>
    <w:rsid w:val="7EBF993E"/>
    <w:rsid w:val="7EC91D10"/>
    <w:rsid w:val="7EDAC76A"/>
    <w:rsid w:val="7EE021E5"/>
    <w:rsid w:val="7EE497FD"/>
    <w:rsid w:val="7EE53162"/>
    <w:rsid w:val="7EEABFE7"/>
    <w:rsid w:val="7EFB1683"/>
    <w:rsid w:val="7EFF55B0"/>
    <w:rsid w:val="7F0B09BA"/>
    <w:rsid w:val="7F0F2FD2"/>
    <w:rsid w:val="7F1E5ADD"/>
    <w:rsid w:val="7F232E40"/>
    <w:rsid w:val="7F248533"/>
    <w:rsid w:val="7F266CB3"/>
    <w:rsid w:val="7F349E2C"/>
    <w:rsid w:val="7F380CD7"/>
    <w:rsid w:val="7F42B4CF"/>
    <w:rsid w:val="7F48CC27"/>
    <w:rsid w:val="7F5C082E"/>
    <w:rsid w:val="7F672139"/>
    <w:rsid w:val="7F876188"/>
    <w:rsid w:val="7F8943DF"/>
    <w:rsid w:val="7F91AB71"/>
    <w:rsid w:val="7F940AA4"/>
    <w:rsid w:val="7FB63689"/>
    <w:rsid w:val="7FC472FE"/>
    <w:rsid w:val="7FC5E160"/>
    <w:rsid w:val="7FD6A713"/>
    <w:rsid w:val="7FE3E915"/>
    <w:rsid w:val="7FF50F09"/>
    <w:rsid w:val="7FF7A95C"/>
    <w:rsid w:val="7FFB7F61"/>
    <w:rsid w:val="7FFD39B1"/>
    <w:rsid w:val="7FFE66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91D671"/>
  <w15:chartTrackingRefBased/>
  <w15:docId w15:val="{0A46D0F3-083E-4D64-BF6C-21951EC7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DAA"/>
    <w:pPr>
      <w:spacing w:after="0" w:line="240" w:lineRule="auto"/>
    </w:pPr>
    <w:rPr>
      <w:rFonts w:ascii="Calibri" w:hAnsi="Calibri" w:cs="Calibri"/>
    </w:rPr>
  </w:style>
  <w:style w:type="paragraph" w:styleId="Heading1">
    <w:name w:val="heading 1"/>
    <w:basedOn w:val="Normal"/>
    <w:next w:val="Normal"/>
    <w:link w:val="Heading1Char"/>
    <w:uiPriority w:val="9"/>
    <w:qFormat/>
    <w:rsid w:val="000F67B0"/>
    <w:pPr>
      <w:keepNext/>
      <w:keepLines/>
      <w:spacing w:before="240"/>
      <w:ind w:left="567" w:hanging="567"/>
      <w:outlineLvl w:val="0"/>
    </w:pPr>
    <w:rPr>
      <w:rFonts w:eastAsiaTheme="majorEastAsia"/>
      <w:color w:val="2F5496" w:themeColor="accent1" w:themeShade="BF"/>
      <w:sz w:val="32"/>
      <w:szCs w:val="32"/>
    </w:rPr>
  </w:style>
  <w:style w:type="paragraph" w:styleId="Heading2">
    <w:name w:val="heading 2"/>
    <w:basedOn w:val="Heading1"/>
    <w:next w:val="Normal"/>
    <w:link w:val="Heading2Char"/>
    <w:uiPriority w:val="9"/>
    <w:unhideWhenUsed/>
    <w:qFormat/>
    <w:rsid w:val="00AB5FA4"/>
    <w:pPr>
      <w:spacing w:before="180"/>
      <w:outlineLvl w:val="1"/>
    </w:pPr>
    <w:rPr>
      <w:sz w:val="26"/>
      <w:szCs w:val="26"/>
    </w:rPr>
  </w:style>
  <w:style w:type="paragraph" w:styleId="Heading3">
    <w:name w:val="heading 3"/>
    <w:basedOn w:val="Heading2"/>
    <w:next w:val="Normal"/>
    <w:link w:val="Heading3Char"/>
    <w:uiPriority w:val="9"/>
    <w:unhideWhenUsed/>
    <w:qFormat/>
    <w:pPr>
      <w:spacing w:before="40"/>
      <w:outlineLvl w:val="2"/>
    </w:pPr>
    <w:rPr>
      <w:rFonts w:asciiTheme="majorHAnsi"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A83DAA"/>
    <w:pPr>
      <w:keepNext/>
      <w:keepLines/>
      <w:spacing w:before="120" w:after="120"/>
      <w:ind w:left="567" w:hanging="567"/>
      <w:outlineLvl w:val="4"/>
    </w:pPr>
    <w:rPr>
      <w:rFonts w:asciiTheme="majorHAnsi" w:eastAsiaTheme="majorEastAsia" w:hAnsiTheme="majorHAnsi" w:cstheme="majorBidi"/>
      <w:b/>
      <w:color w:val="2F5496"/>
    </w:rPr>
  </w:style>
  <w:style w:type="paragraph" w:styleId="Heading9">
    <w:name w:val="heading 9"/>
    <w:basedOn w:val="Normal"/>
    <w:next w:val="Normal"/>
    <w:link w:val="Heading9Char"/>
    <w:uiPriority w:val="9"/>
    <w:semiHidden/>
    <w:unhideWhenUsed/>
    <w:qFormat/>
    <w:rsid w:val="005613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7B0"/>
    <w:rPr>
      <w:rFonts w:ascii="Calibri" w:eastAsiaTheme="majorEastAsia" w:hAnsi="Calibri" w:cs="Calibri"/>
      <w:color w:val="2F5496" w:themeColor="accent1" w:themeShade="BF"/>
      <w:sz w:val="32"/>
      <w:szCs w:val="32"/>
    </w:rPr>
  </w:style>
  <w:style w:type="character" w:customStyle="1" w:styleId="Heading2Char">
    <w:name w:val="Heading 2 Char"/>
    <w:basedOn w:val="DefaultParagraphFont"/>
    <w:link w:val="Heading2"/>
    <w:uiPriority w:val="9"/>
    <w:rsid w:val="005613A1"/>
    <w:rPr>
      <w:rFonts w:ascii="Calibri" w:eastAsiaTheme="majorEastAsia" w:hAnsi="Calibri" w:cs="Calibri"/>
      <w:color w:val="2F5496" w:themeColor="accent1" w:themeShade="BF"/>
      <w:sz w:val="26"/>
      <w:szCs w:val="26"/>
    </w:rPr>
  </w:style>
  <w:style w:type="paragraph" w:customStyle="1" w:styleId="msonormal0">
    <w:name w:val="msonormal"/>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E417F0"/>
  </w:style>
  <w:style w:type="character" w:customStyle="1" w:styleId="textrun">
    <w:name w:val="textrun"/>
    <w:basedOn w:val="DefaultParagraphFont"/>
    <w:rsid w:val="00E417F0"/>
  </w:style>
  <w:style w:type="character" w:customStyle="1" w:styleId="normaltextrun">
    <w:name w:val="normaltextrun"/>
    <w:basedOn w:val="DefaultParagraphFont"/>
    <w:rsid w:val="00E417F0"/>
  </w:style>
  <w:style w:type="paragraph" w:customStyle="1" w:styleId="outlineelement">
    <w:name w:val="outlineelement"/>
    <w:basedOn w:val="Normal"/>
    <w:rsid w:val="00E417F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rackchangetextdeletion">
    <w:name w:val="trackchangetextdeletion"/>
    <w:basedOn w:val="DefaultParagraphFont"/>
    <w:rsid w:val="00E417F0"/>
  </w:style>
  <w:style w:type="character" w:customStyle="1" w:styleId="trackchangetextinsertion">
    <w:name w:val="trackchangetextinsertion"/>
    <w:basedOn w:val="DefaultParagraphFont"/>
    <w:rsid w:val="00E417F0"/>
  </w:style>
  <w:style w:type="character" w:customStyle="1" w:styleId="fieldrange">
    <w:name w:val="fieldrange"/>
    <w:basedOn w:val="DefaultParagraphFont"/>
    <w:rsid w:val="00E417F0"/>
  </w:style>
  <w:style w:type="character" w:customStyle="1" w:styleId="pagebreakblob">
    <w:name w:val="pagebreakblob"/>
    <w:basedOn w:val="DefaultParagraphFont"/>
    <w:rsid w:val="00E417F0"/>
  </w:style>
  <w:style w:type="character" w:customStyle="1" w:styleId="pagebreakborderspan">
    <w:name w:val="pagebreakborderspan"/>
    <w:basedOn w:val="DefaultParagraphFont"/>
    <w:rsid w:val="00E417F0"/>
  </w:style>
  <w:style w:type="character" w:customStyle="1" w:styleId="pagebreaktextspan">
    <w:name w:val="pagebreaktextspan"/>
    <w:basedOn w:val="DefaultParagraphFont"/>
    <w:rsid w:val="00E417F0"/>
  </w:style>
  <w:style w:type="character" w:customStyle="1" w:styleId="superscript">
    <w:name w:val="superscript"/>
    <w:basedOn w:val="DefaultParagraphFont"/>
    <w:rsid w:val="00E417F0"/>
  </w:style>
  <w:style w:type="character" w:styleId="Hyperlink">
    <w:name w:val="Hyperlink"/>
    <w:aliases w:val="超级链接,Style 58,超?级链,超????,하이퍼링크2,하이퍼링크21,超链接1,CEO_Hyperlink"/>
    <w:basedOn w:val="DefaultParagraphFont"/>
    <w:uiPriority w:val="99"/>
    <w:unhideWhenUsed/>
    <w:qFormat/>
    <w:rsid w:val="00E417F0"/>
    <w:rPr>
      <w:color w:val="0000FF"/>
      <w:u w:val="single"/>
    </w:rPr>
  </w:style>
  <w:style w:type="character" w:customStyle="1" w:styleId="linebreakblob">
    <w:name w:val="linebreakblob"/>
    <w:basedOn w:val="DefaultParagraphFont"/>
    <w:rsid w:val="00E417F0"/>
  </w:style>
  <w:style w:type="character" w:customStyle="1" w:styleId="bcx7">
    <w:name w:val="bcx7"/>
    <w:basedOn w:val="DefaultParagraphFont"/>
    <w:rsid w:val="00E417F0"/>
  </w:style>
  <w:style w:type="character" w:styleId="UnresolvedMention">
    <w:name w:val="Unresolved Mention"/>
    <w:basedOn w:val="DefaultParagraphFont"/>
    <w:uiPriority w:val="99"/>
    <w:unhideWhenUsed/>
    <w:rsid w:val="00E417F0"/>
    <w:rPr>
      <w:color w:val="605E5C"/>
      <w:shd w:val="clear" w:color="auto" w:fill="E1DFDD"/>
    </w:rPr>
  </w:style>
  <w:style w:type="paragraph" w:styleId="Title">
    <w:name w:val="Title"/>
    <w:basedOn w:val="Normal"/>
    <w:next w:val="Normal"/>
    <w:link w:val="TitleChar"/>
    <w:uiPriority w:val="10"/>
    <w:qFormat/>
    <w:rsid w:val="00E417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F0"/>
    <w:rPr>
      <w:rFonts w:asciiTheme="majorHAnsi" w:eastAsiaTheme="majorEastAsia" w:hAnsiTheme="majorHAnsi" w:cstheme="majorBidi"/>
      <w:spacing w:val="-10"/>
      <w:kern w:val="28"/>
      <w:sz w:val="56"/>
      <w:szCs w:val="56"/>
    </w:rPr>
  </w:style>
  <w:style w:type="character" w:customStyle="1" w:styleId="scxw33153122">
    <w:name w:val="scxw33153122"/>
    <w:basedOn w:val="DefaultParagraphFont"/>
    <w:rsid w:val="00E417F0"/>
  </w:style>
  <w:style w:type="paragraph" w:styleId="Header">
    <w:name w:val="header"/>
    <w:basedOn w:val="Normal"/>
    <w:link w:val="HeaderChar"/>
    <w:uiPriority w:val="99"/>
    <w:unhideWhenUsed/>
    <w:rsid w:val="00CD1524"/>
    <w:pPr>
      <w:tabs>
        <w:tab w:val="center" w:pos="4513"/>
        <w:tab w:val="right" w:pos="9026"/>
      </w:tabs>
    </w:pPr>
  </w:style>
  <w:style w:type="character" w:customStyle="1" w:styleId="HeaderChar">
    <w:name w:val="Header Char"/>
    <w:basedOn w:val="DefaultParagraphFont"/>
    <w:link w:val="Header"/>
    <w:uiPriority w:val="99"/>
    <w:rsid w:val="00CD1524"/>
  </w:style>
  <w:style w:type="paragraph" w:styleId="Footer">
    <w:name w:val="footer"/>
    <w:basedOn w:val="Normal"/>
    <w:link w:val="FooterChar"/>
    <w:uiPriority w:val="99"/>
    <w:unhideWhenUsed/>
    <w:rsid w:val="00CD1524"/>
    <w:pPr>
      <w:tabs>
        <w:tab w:val="center" w:pos="4513"/>
        <w:tab w:val="right" w:pos="9026"/>
      </w:tabs>
    </w:pPr>
  </w:style>
  <w:style w:type="character" w:customStyle="1" w:styleId="FooterChar">
    <w:name w:val="Footer Char"/>
    <w:basedOn w:val="DefaultParagraphFont"/>
    <w:link w:val="Footer"/>
    <w:uiPriority w:val="99"/>
    <w:rsid w:val="00CD1524"/>
  </w:style>
  <w:style w:type="paragraph" w:styleId="BalloonText">
    <w:name w:val="Balloon Text"/>
    <w:basedOn w:val="Normal"/>
    <w:link w:val="BalloonTextChar"/>
    <w:uiPriority w:val="99"/>
    <w:semiHidden/>
    <w:unhideWhenUsed/>
    <w:rsid w:val="00CB6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E2"/>
    <w:rPr>
      <w:rFonts w:ascii="Segoe UI" w:hAnsi="Segoe UI" w:cs="Segoe UI"/>
      <w:sz w:val="18"/>
      <w:szCs w:val="18"/>
    </w:rPr>
  </w:style>
  <w:style w:type="character" w:styleId="CommentReference">
    <w:name w:val="annotation reference"/>
    <w:rsid w:val="00CB6EE2"/>
    <w:rPr>
      <w:sz w:val="16"/>
      <w:szCs w:val="16"/>
    </w:rPr>
  </w:style>
  <w:style w:type="paragraph" w:styleId="CommentText">
    <w:name w:val="annotation text"/>
    <w:basedOn w:val="Normal"/>
    <w:link w:val="CommentTextChar"/>
    <w:rsid w:val="00CB6EE2"/>
    <w:pPr>
      <w:spacing w:before="120"/>
    </w:pPr>
    <w:rPr>
      <w:rFonts w:eastAsiaTheme="minorEastAsia" w:cs="Times New Roman"/>
      <w:sz w:val="20"/>
      <w:lang w:val="en-US" w:eastAsia="fr-FR"/>
    </w:rPr>
  </w:style>
  <w:style w:type="character" w:customStyle="1" w:styleId="CommentTextChar">
    <w:name w:val="Comment Text Char"/>
    <w:basedOn w:val="DefaultParagraphFont"/>
    <w:link w:val="CommentText"/>
    <w:rsid w:val="00CB6EE2"/>
    <w:rPr>
      <w:rFonts w:ascii="Calibri" w:eastAsiaTheme="minorEastAsia" w:hAnsi="Calibri" w:cs="Times New Roman"/>
      <w:sz w:val="20"/>
      <w:lang w:val="en-US" w:eastAsia="fr-FR"/>
    </w:rPr>
  </w:style>
  <w:style w:type="table" w:styleId="TableGrid">
    <w:name w:val="Table Grid"/>
    <w:basedOn w:val="TableNormal"/>
    <w:uiPriority w:val="39"/>
    <w:rsid w:val="00CB6EE2"/>
    <w:pPr>
      <w:spacing w:after="0" w:line="240" w:lineRule="auto"/>
    </w:pPr>
    <w:rPr>
      <w:rFonts w:ascii="Times New Roman" w:eastAsiaTheme="minorEastAsia"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NUMBERED PARAGRAPH"/>
    <w:basedOn w:val="Normal"/>
    <w:link w:val="ListParagraphChar"/>
    <w:uiPriority w:val="34"/>
    <w:qFormat/>
    <w:rsid w:val="00CB6EE2"/>
    <w:pPr>
      <w:spacing w:before="120"/>
      <w:ind w:left="510"/>
    </w:pPr>
    <w:rPr>
      <w:rFonts w:eastAsia="PMingLiU" w:cs="Times New Roman"/>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CB6EE2"/>
    <w:rPr>
      <w:rFonts w:ascii="Calibri" w:eastAsia="PMingLiU" w:hAnsi="Calibri" w:cs="Times New Roman"/>
      <w:lang w:val="en-US" w:eastAsia="zh-TW"/>
    </w:rPr>
  </w:style>
  <w:style w:type="paragraph" w:customStyle="1" w:styleId="Tableheadwhitecentred">
    <w:name w:val="Table head white centred"/>
    <w:basedOn w:val="Normal"/>
    <w:rsid w:val="00CB6EE2"/>
    <w:pPr>
      <w:spacing w:before="120"/>
    </w:pPr>
    <w:rPr>
      <w:rFonts w:eastAsiaTheme="minorEastAsia" w:cs="Times New Roman"/>
      <w:sz w:val="21"/>
      <w:lang w:val="en-US" w:eastAsia="fr-FR"/>
    </w:rPr>
  </w:style>
  <w:style w:type="paragraph" w:customStyle="1" w:styleId="boxtext">
    <w:name w:val="box_text"/>
    <w:basedOn w:val="Normal"/>
    <w:link w:val="boxtextChar"/>
    <w:rsid w:val="00AD0723"/>
    <w:pPr>
      <w:spacing w:before="60" w:after="60"/>
    </w:pPr>
    <w:rPr>
      <w:rFonts w:eastAsiaTheme="minorEastAsia"/>
      <w:lang w:val="en-US" w:eastAsia="fr-FR"/>
    </w:rPr>
  </w:style>
  <w:style w:type="character" w:customStyle="1" w:styleId="boxtextChar">
    <w:name w:val="box_text Char"/>
    <w:basedOn w:val="DefaultParagraphFont"/>
    <w:link w:val="boxtext"/>
    <w:locked/>
    <w:rsid w:val="00AD0723"/>
    <w:rPr>
      <w:rFonts w:ascii="Calibri" w:eastAsiaTheme="minorEastAsia" w:hAnsi="Calibri" w:cs="Calibri"/>
      <w:lang w:val="en-US" w:eastAsia="fr-FR"/>
    </w:rPr>
  </w:style>
  <w:style w:type="paragraph" w:customStyle="1" w:styleId="Tabletextcentred">
    <w:name w:val="Table text centred"/>
    <w:basedOn w:val="Normal"/>
    <w:rsid w:val="00CB6EE2"/>
    <w:pPr>
      <w:spacing w:before="120"/>
    </w:pPr>
    <w:rPr>
      <w:rFonts w:eastAsiaTheme="minorEastAsia" w:cs="Times New Roman"/>
      <w:sz w:val="21"/>
      <w:lang w:eastAsia="fr-FR"/>
    </w:rPr>
  </w:style>
  <w:style w:type="paragraph" w:customStyle="1" w:styleId="Tabletextrightaligned">
    <w:name w:val="Table text right aligned"/>
    <w:basedOn w:val="Normal"/>
    <w:rsid w:val="00CB6EE2"/>
    <w:pPr>
      <w:spacing w:before="120"/>
    </w:pPr>
    <w:rPr>
      <w:rFonts w:eastAsiaTheme="minorEastAsia" w:cs="Times New Roman"/>
      <w:sz w:val="21"/>
      <w:lang w:eastAsia="fr-FR"/>
    </w:rPr>
  </w:style>
  <w:style w:type="table" w:styleId="ListTable3-Accent1">
    <w:name w:val="List Table 3 Accent 1"/>
    <w:basedOn w:val="TableNormal"/>
    <w:uiPriority w:val="48"/>
    <w:rsid w:val="0030161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link w:val="NormalWebChar"/>
    <w:uiPriority w:val="99"/>
    <w:rsid w:val="00951E14"/>
    <w:pPr>
      <w:spacing w:before="100" w:beforeAutospacing="1" w:after="100" w:afterAutospacing="1"/>
    </w:pPr>
    <w:rPr>
      <w:rFonts w:eastAsia="SimSun" w:cs="Times New Roman"/>
      <w:sz w:val="21"/>
      <w:szCs w:val="24"/>
      <w:lang w:val="en-US" w:eastAsia="zh-CN"/>
    </w:rPr>
  </w:style>
  <w:style w:type="character" w:customStyle="1" w:styleId="NormalWebChar">
    <w:name w:val="Normal (Web) Char"/>
    <w:link w:val="NormalWeb"/>
    <w:uiPriority w:val="99"/>
    <w:locked/>
    <w:rsid w:val="00951E14"/>
    <w:rPr>
      <w:rFonts w:ascii="Calibri" w:eastAsia="SimSun" w:hAnsi="Calibri" w:cs="Times New Roman"/>
      <w:sz w:val="21"/>
      <w:szCs w:val="24"/>
      <w:lang w:val="en-US" w:eastAsia="zh-CN"/>
    </w:rPr>
  </w:style>
  <w:style w:type="paragraph" w:styleId="PlainText">
    <w:name w:val="Plain Text"/>
    <w:basedOn w:val="Normal"/>
    <w:link w:val="PlainTextChar"/>
    <w:uiPriority w:val="99"/>
    <w:unhideWhenUsed/>
    <w:rsid w:val="00951E14"/>
    <w:rPr>
      <w:rFonts w:ascii="Courier New" w:eastAsia="SimSun" w:hAnsi="Courier New" w:cs="Courier New"/>
      <w:sz w:val="20"/>
      <w:lang w:val="en-US" w:eastAsia="zh-CN"/>
    </w:rPr>
  </w:style>
  <w:style w:type="character" w:customStyle="1" w:styleId="PlainTextChar">
    <w:name w:val="Plain Text Char"/>
    <w:basedOn w:val="DefaultParagraphFont"/>
    <w:link w:val="PlainText"/>
    <w:uiPriority w:val="99"/>
    <w:rsid w:val="00951E14"/>
    <w:rPr>
      <w:rFonts w:ascii="Courier New" w:eastAsia="SimSun" w:hAnsi="Courier New" w:cs="Courier New"/>
      <w:sz w:val="20"/>
      <w:lang w:val="en-US" w:eastAsia="zh-CN"/>
    </w:rPr>
  </w:style>
  <w:style w:type="character" w:styleId="Emphasis">
    <w:name w:val="Emphasis"/>
    <w:basedOn w:val="DefaultParagraphFont"/>
    <w:uiPriority w:val="20"/>
    <w:qFormat/>
    <w:rsid w:val="00951E14"/>
    <w:rPr>
      <w:i/>
      <w:iCs/>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uiPriority w:val="99"/>
    <w:rsid w:val="00951E14"/>
    <w:rPr>
      <w:rFonts w:eastAsiaTheme="minorEastAsia" w:cs="Times New Roman"/>
      <w:sz w:val="20"/>
      <w:szCs w:val="20"/>
      <w:lang w:val="en-US" w:eastAsia="fr-FR"/>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uiPriority w:val="99"/>
    <w:rsid w:val="00951E14"/>
    <w:rPr>
      <w:rFonts w:ascii="Calibri" w:eastAsiaTheme="minorEastAsia" w:hAnsi="Calibri" w:cs="Times New Roman"/>
      <w:sz w:val="20"/>
      <w:szCs w:val="20"/>
      <w:lang w:val="en-US" w:eastAsia="fr-FR"/>
    </w:rPr>
  </w:style>
  <w:style w:type="character" w:customStyle="1" w:styleId="normalWSISChar">
    <w:name w:val="normal WSIS Char"/>
    <w:basedOn w:val="DefaultParagraphFont"/>
    <w:link w:val="normalWSIS"/>
    <w:locked/>
    <w:rsid w:val="00951E14"/>
    <w:rPr>
      <w:rFonts w:ascii="Calibri" w:eastAsia="SimSun" w:hAnsi="Calibri" w:cs="Arial"/>
      <w:sz w:val="20"/>
    </w:rPr>
  </w:style>
  <w:style w:type="paragraph" w:customStyle="1" w:styleId="normalWSIS">
    <w:name w:val="normal WSIS"/>
    <w:basedOn w:val="ListParagraph"/>
    <w:link w:val="normalWSISChar"/>
    <w:qFormat/>
    <w:rsid w:val="00951E14"/>
    <w:pPr>
      <w:numPr>
        <w:numId w:val="11"/>
      </w:numPr>
      <w:tabs>
        <w:tab w:val="left" w:pos="426"/>
      </w:tabs>
      <w:spacing w:after="200"/>
    </w:pPr>
    <w:rPr>
      <w:rFonts w:eastAsia="SimSun" w:cs="Arial"/>
      <w:sz w:val="20"/>
      <w:lang w:val="en-GB" w:eastAsia="en-US"/>
    </w:rPr>
  </w:style>
  <w:style w:type="paragraph" w:styleId="Revision">
    <w:name w:val="Revision"/>
    <w:hidden/>
    <w:uiPriority w:val="99"/>
    <w:semiHidden/>
    <w:rsid w:val="00E15447"/>
    <w:pPr>
      <w:spacing w:after="0" w:line="240" w:lineRule="auto"/>
    </w:pPr>
  </w:style>
  <w:style w:type="paragraph" w:styleId="CommentSubject">
    <w:name w:val="annotation subject"/>
    <w:basedOn w:val="CommentText"/>
    <w:next w:val="CommentText"/>
    <w:link w:val="CommentSubjectChar"/>
    <w:uiPriority w:val="99"/>
    <w:semiHidden/>
    <w:unhideWhenUsed/>
    <w:rsid w:val="00E15447"/>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E15447"/>
    <w:rPr>
      <w:rFonts w:ascii="Calibri" w:eastAsiaTheme="minorEastAsia" w:hAnsi="Calibri" w:cs="Times New Roman"/>
      <w:b/>
      <w:bCs/>
      <w:sz w:val="20"/>
      <w:szCs w:val="20"/>
      <w:lang w:val="en-US" w:eastAsia="fr-FR"/>
    </w:rPr>
  </w:style>
  <w:style w:type="character" w:styleId="Mention">
    <w:name w:val="Mention"/>
    <w:basedOn w:val="DefaultParagraphFont"/>
    <w:uiPriority w:val="99"/>
    <w:unhideWhenUsed/>
    <w:rsid w:val="00E15447"/>
    <w:rPr>
      <w:color w:val="2B579A"/>
      <w:shd w:val="clear" w:color="auto" w:fill="E1DFDD"/>
    </w:rPr>
  </w:style>
  <w:style w:type="character" w:customStyle="1" w:styleId="Heading5Char">
    <w:name w:val="Heading 5 Char"/>
    <w:basedOn w:val="DefaultParagraphFont"/>
    <w:link w:val="Heading5"/>
    <w:uiPriority w:val="9"/>
    <w:rsid w:val="00A83DAA"/>
    <w:rPr>
      <w:rFonts w:asciiTheme="majorHAnsi" w:eastAsiaTheme="majorEastAsia" w:hAnsiTheme="majorHAnsi" w:cstheme="majorBidi"/>
      <w:b/>
      <w:color w:val="2F5496"/>
    </w:rPr>
  </w:style>
  <w:style w:type="character" w:customStyle="1" w:styleId="Heading3Char">
    <w:name w:val="Heading 3 Char"/>
    <w:basedOn w:val="DefaultParagraphFont"/>
    <w:link w:val="Heading3"/>
    <w:uiPriority w:val="9"/>
    <w:rsid w:val="005613A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477F2"/>
    <w:pPr>
      <w:spacing w:line="259" w:lineRule="auto"/>
      <w:outlineLvl w:val="9"/>
    </w:pPr>
    <w:rPr>
      <w:lang w:val="en-US"/>
    </w:rPr>
  </w:style>
  <w:style w:type="paragraph" w:styleId="TOC1">
    <w:name w:val="toc 1"/>
    <w:basedOn w:val="Normal"/>
    <w:next w:val="Normal"/>
    <w:autoRedefine/>
    <w:uiPriority w:val="39"/>
    <w:unhideWhenUsed/>
    <w:rsid w:val="00B87922"/>
    <w:pPr>
      <w:tabs>
        <w:tab w:val="right" w:leader="dot" w:pos="9060"/>
      </w:tabs>
      <w:spacing w:before="60"/>
      <w:ind w:left="567" w:hanging="567"/>
    </w:pPr>
  </w:style>
  <w:style w:type="paragraph" w:styleId="TOC2">
    <w:name w:val="toc 2"/>
    <w:basedOn w:val="Normal"/>
    <w:next w:val="Normal"/>
    <w:autoRedefine/>
    <w:uiPriority w:val="39"/>
    <w:unhideWhenUsed/>
    <w:rsid w:val="00B87922"/>
    <w:pPr>
      <w:tabs>
        <w:tab w:val="left" w:pos="1134"/>
        <w:tab w:val="right" w:leader="dot" w:pos="9060"/>
      </w:tabs>
      <w:spacing w:before="40"/>
      <w:ind w:left="1134" w:hanging="567"/>
    </w:pPr>
  </w:style>
  <w:style w:type="paragraph" w:styleId="TOC3">
    <w:name w:val="toc 3"/>
    <w:basedOn w:val="Normal"/>
    <w:next w:val="Normal"/>
    <w:autoRedefine/>
    <w:uiPriority w:val="39"/>
    <w:unhideWhenUsed/>
    <w:rsid w:val="0054694C"/>
    <w:pPr>
      <w:spacing w:after="100"/>
      <w:ind w:left="1814" w:hanging="680"/>
    </w:pPr>
  </w:style>
  <w:style w:type="character" w:styleId="Strong">
    <w:name w:val="Strong"/>
    <w:basedOn w:val="DefaultParagraphFont"/>
    <w:uiPriority w:val="22"/>
    <w:qFormat/>
    <w:rsid w:val="00BB21D9"/>
    <w:rPr>
      <w:b/>
      <w:bCs/>
    </w:rPr>
  </w:style>
  <w:style w:type="character" w:styleId="FollowedHyperlink">
    <w:name w:val="FollowedHyperlink"/>
    <w:basedOn w:val="DefaultParagraphFont"/>
    <w:uiPriority w:val="99"/>
    <w:semiHidden/>
    <w:unhideWhenUsed/>
    <w:rsid w:val="00150E96"/>
    <w:rPr>
      <w:color w:val="954F72" w:themeColor="followedHyperlink"/>
      <w:u w:val="single"/>
    </w:rPr>
  </w:style>
  <w:style w:type="character" w:styleId="FootnoteReference">
    <w:name w:val="footnote reference"/>
    <w:basedOn w:val="DefaultParagraphFont"/>
    <w:uiPriority w:val="99"/>
    <w:semiHidden/>
    <w:unhideWhenUsed/>
    <w:rsid w:val="00714D19"/>
    <w:rPr>
      <w:vertAlign w:val="superscript"/>
    </w:rPr>
  </w:style>
  <w:style w:type="paragraph" w:customStyle="1" w:styleId="xmsolistparagraph">
    <w:name w:val="x_msolistparagraph"/>
    <w:basedOn w:val="Normal"/>
    <w:rsid w:val="00043C9F"/>
    <w:pPr>
      <w:ind w:left="720"/>
    </w:pPr>
    <w:rPr>
      <w:lang w:eastAsia="en-GB"/>
    </w:rPr>
  </w:style>
  <w:style w:type="paragraph" w:customStyle="1" w:styleId="Source">
    <w:name w:val="Source"/>
    <w:basedOn w:val="Normal"/>
    <w:next w:val="Title1"/>
    <w:autoRedefine/>
    <w:rsid w:val="00DE1637"/>
    <w:pPr>
      <w:tabs>
        <w:tab w:val="left" w:pos="567"/>
        <w:tab w:val="left" w:pos="1134"/>
        <w:tab w:val="left" w:pos="1701"/>
        <w:tab w:val="left" w:pos="2268"/>
        <w:tab w:val="left" w:pos="2835"/>
      </w:tabs>
      <w:overflowPunct w:val="0"/>
      <w:autoSpaceDE w:val="0"/>
      <w:autoSpaceDN w:val="0"/>
      <w:adjustRightInd w:val="0"/>
      <w:spacing w:before="840"/>
      <w:jc w:val="center"/>
      <w:textAlignment w:val="baseline"/>
    </w:pPr>
    <w:rPr>
      <w:rFonts w:eastAsia="Times New Roman" w:cs="Times New Roman"/>
      <w:b/>
      <w:sz w:val="28"/>
      <w:szCs w:val="20"/>
    </w:rPr>
  </w:style>
  <w:style w:type="paragraph" w:customStyle="1" w:styleId="Headingb">
    <w:name w:val="Heading_b"/>
    <w:basedOn w:val="Heading5"/>
    <w:next w:val="Normal"/>
    <w:rsid w:val="00AB5FA4"/>
    <w:pPr>
      <w:tabs>
        <w:tab w:val="left" w:pos="567"/>
        <w:tab w:val="left" w:pos="1134"/>
        <w:tab w:val="left" w:pos="1701"/>
        <w:tab w:val="left" w:pos="2268"/>
        <w:tab w:val="left" w:pos="2835"/>
      </w:tabs>
      <w:overflowPunct w:val="0"/>
      <w:autoSpaceDE w:val="0"/>
      <w:autoSpaceDN w:val="0"/>
      <w:adjustRightInd w:val="0"/>
      <w:textAlignment w:val="baseline"/>
      <w:outlineLvl w:val="0"/>
    </w:pPr>
    <w:rPr>
      <w:rFonts w:eastAsia="Times New Roman" w:cs="Times New Roman"/>
      <w:b w:val="0"/>
      <w:szCs w:val="20"/>
    </w:rPr>
  </w:style>
  <w:style w:type="paragraph" w:customStyle="1" w:styleId="Title1">
    <w:name w:val="Title 1"/>
    <w:basedOn w:val="Source"/>
    <w:next w:val="Normal"/>
    <w:rsid w:val="00DE1637"/>
    <w:pPr>
      <w:spacing w:before="240"/>
    </w:pPr>
    <w:rPr>
      <w:b w:val="0"/>
      <w:caps/>
    </w:rPr>
  </w:style>
  <w:style w:type="paragraph" w:customStyle="1" w:styleId="dnum">
    <w:name w:val="dnum"/>
    <w:basedOn w:val="Normal"/>
    <w:rsid w:val="00DE1637"/>
    <w:pPr>
      <w:framePr w:hSpace="181" w:wrap="around" w:vAnchor="page" w:hAnchor="margin" w:y="852"/>
      <w:shd w:val="solid" w:color="FFFFFF" w:fill="FFFFFF"/>
      <w:tabs>
        <w:tab w:val="left" w:pos="567"/>
        <w:tab w:val="left" w:pos="1134"/>
        <w:tab w:val="left" w:pos="1701"/>
        <w:tab w:val="left" w:pos="1871"/>
        <w:tab w:val="left" w:pos="2268"/>
        <w:tab w:val="left" w:pos="2835"/>
      </w:tabs>
      <w:overflowPunct w:val="0"/>
      <w:autoSpaceDE w:val="0"/>
      <w:autoSpaceDN w:val="0"/>
      <w:adjustRightInd w:val="0"/>
      <w:spacing w:before="120"/>
      <w:textAlignment w:val="baseline"/>
    </w:pPr>
    <w:rPr>
      <w:rFonts w:eastAsia="Times New Roman" w:cs="Times New Roman"/>
      <w:b/>
      <w:bCs/>
      <w:sz w:val="24"/>
      <w:szCs w:val="20"/>
    </w:rPr>
  </w:style>
  <w:style w:type="paragraph" w:customStyle="1" w:styleId="Table">
    <w:name w:val="Table_#"/>
    <w:basedOn w:val="Normal"/>
    <w:next w:val="Normal"/>
    <w:rsid w:val="00DE1637"/>
    <w:pPr>
      <w:keepNext/>
      <w:tabs>
        <w:tab w:val="left" w:pos="794"/>
        <w:tab w:val="left" w:pos="1191"/>
        <w:tab w:val="left" w:pos="1588"/>
        <w:tab w:val="left" w:pos="1985"/>
      </w:tabs>
      <w:spacing w:before="560" w:after="120"/>
      <w:jc w:val="center"/>
    </w:pPr>
    <w:rPr>
      <w:rFonts w:ascii="Times New Roman" w:eastAsia="Times New Roman" w:hAnsi="Times New Roman" w:cs="Times New Roman"/>
      <w:caps/>
      <w:sz w:val="24"/>
      <w:szCs w:val="20"/>
    </w:rPr>
  </w:style>
  <w:style w:type="character" w:customStyle="1" w:styleId="apple-style-span">
    <w:name w:val="apple-style-span"/>
    <w:basedOn w:val="DefaultParagraphFont"/>
    <w:rsid w:val="00DE1637"/>
  </w:style>
  <w:style w:type="character" w:styleId="SubtleEmphasis">
    <w:name w:val="Subtle Emphasis"/>
    <w:basedOn w:val="DefaultParagraphFont"/>
    <w:uiPriority w:val="19"/>
    <w:qFormat/>
    <w:rsid w:val="00B366BB"/>
    <w:rPr>
      <w:i/>
      <w:iCs/>
      <w:color w:val="404040" w:themeColor="text1" w:themeTint="BF"/>
    </w:rPr>
  </w:style>
  <w:style w:type="paragraph" w:customStyle="1" w:styleId="tabletitle">
    <w:name w:val="table_title"/>
    <w:basedOn w:val="Normal"/>
    <w:qFormat/>
    <w:rsid w:val="00007BBE"/>
    <w:pPr>
      <w:keepNext/>
      <w:spacing w:after="120"/>
      <w:jc w:val="both"/>
    </w:pPr>
    <w:rPr>
      <w:b/>
      <w:bCs/>
      <w:color w:val="4472C4"/>
    </w:rPr>
  </w:style>
  <w:style w:type="paragraph" w:customStyle="1" w:styleId="boxhead">
    <w:name w:val="box_head"/>
    <w:basedOn w:val="Normal"/>
    <w:qFormat/>
    <w:rsid w:val="00AD0723"/>
    <w:pPr>
      <w:spacing w:before="120" w:after="60"/>
    </w:pPr>
    <w:rPr>
      <w:rFonts w:eastAsia="Calibri"/>
      <w:b/>
      <w:u w:val="single"/>
      <w:lang w:eastAsia="zh-CN"/>
    </w:rPr>
  </w:style>
  <w:style w:type="paragraph" w:customStyle="1" w:styleId="boxbullet">
    <w:name w:val="box_bullet"/>
    <w:basedOn w:val="Normal"/>
    <w:qFormat/>
    <w:rsid w:val="00AD0723"/>
    <w:pPr>
      <w:numPr>
        <w:numId w:val="33"/>
      </w:numPr>
      <w:spacing w:before="60" w:after="60"/>
      <w:ind w:left="714" w:hanging="357"/>
      <w:jc w:val="both"/>
    </w:pPr>
    <w:rPr>
      <w:rFonts w:eastAsiaTheme="minorEastAsia"/>
      <w:lang w:eastAsia="zh-CN"/>
    </w:rPr>
  </w:style>
  <w:style w:type="paragraph" w:customStyle="1" w:styleId="Boxbullet2">
    <w:name w:val="Box_bullet2"/>
    <w:basedOn w:val="Normal"/>
    <w:qFormat/>
    <w:rsid w:val="00AD0723"/>
    <w:pPr>
      <w:numPr>
        <w:ilvl w:val="1"/>
        <w:numId w:val="33"/>
      </w:numPr>
      <w:spacing w:before="60" w:after="60"/>
      <w:ind w:left="1434" w:hanging="357"/>
      <w:jc w:val="both"/>
    </w:pPr>
    <w:rPr>
      <w:rFonts w:eastAsiaTheme="minorEastAsia" w:cs="Times New Roman"/>
      <w:lang w:eastAsia="zh-CN"/>
    </w:rPr>
  </w:style>
  <w:style w:type="paragraph" w:customStyle="1" w:styleId="tabletext">
    <w:name w:val="table_text"/>
    <w:basedOn w:val="Normal"/>
    <w:rsid w:val="00AB5FA4"/>
    <w:pPr>
      <w:spacing w:before="80" w:after="80"/>
      <w:jc w:val="both"/>
    </w:pPr>
    <w:rPr>
      <w:rFonts w:eastAsiaTheme="minorEastAsia"/>
      <w:lang w:eastAsia="zh-CN"/>
    </w:rPr>
  </w:style>
  <w:style w:type="paragraph" w:styleId="TOC4">
    <w:name w:val="toc 4"/>
    <w:basedOn w:val="Normal"/>
    <w:next w:val="Normal"/>
    <w:autoRedefine/>
    <w:uiPriority w:val="39"/>
    <w:unhideWhenUsed/>
    <w:rsid w:val="00A83DAA"/>
    <w:pPr>
      <w:spacing w:after="100" w:line="259" w:lineRule="auto"/>
      <w:ind w:left="660"/>
    </w:pPr>
    <w:rPr>
      <w:rFonts w:asciiTheme="minorHAnsi" w:eastAsiaTheme="minorEastAsia" w:hAnsiTheme="minorHAnsi" w:cstheme="minorBidi"/>
      <w:lang w:eastAsia="en-GB"/>
    </w:rPr>
  </w:style>
  <w:style w:type="character" w:customStyle="1" w:styleId="Heading9Char">
    <w:name w:val="Heading 9 Char"/>
    <w:basedOn w:val="DefaultParagraphFont"/>
    <w:link w:val="Heading9"/>
    <w:uiPriority w:val="9"/>
    <w:semiHidden/>
    <w:rsid w:val="005613A1"/>
    <w:rPr>
      <w:rFonts w:asciiTheme="majorHAnsi" w:eastAsiaTheme="majorEastAsia" w:hAnsiTheme="majorHAnsi" w:cstheme="majorBidi"/>
      <w:i/>
      <w:iCs/>
      <w:color w:val="272727" w:themeColor="text1" w:themeTint="D8"/>
      <w:sz w:val="21"/>
      <w:szCs w:val="21"/>
    </w:rPr>
  </w:style>
  <w:style w:type="paragraph" w:styleId="TOC5">
    <w:name w:val="toc 5"/>
    <w:basedOn w:val="Normal"/>
    <w:next w:val="Normal"/>
    <w:autoRedefine/>
    <w:uiPriority w:val="39"/>
    <w:unhideWhenUsed/>
    <w:rsid w:val="00A83DAA"/>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A83DAA"/>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A83DAA"/>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A83DAA"/>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A83DAA"/>
    <w:pPr>
      <w:spacing w:after="100" w:line="259" w:lineRule="auto"/>
      <w:ind w:left="1760"/>
    </w:pPr>
    <w:rPr>
      <w:rFonts w:asciiTheme="minorHAnsi" w:eastAsiaTheme="minorEastAsia" w:hAnsiTheme="minorHAnsi" w:cstheme="minorBidi"/>
      <w:lang w:eastAsia="en-GB"/>
    </w:rPr>
  </w:style>
  <w:style w:type="character" w:customStyle="1" w:styleId="A0">
    <w:name w:val="A0"/>
    <w:uiPriority w:val="99"/>
    <w:rsid w:val="00394238"/>
    <w:rPr>
      <w:color w:val="40404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3373">
      <w:bodyDiv w:val="1"/>
      <w:marLeft w:val="0"/>
      <w:marRight w:val="0"/>
      <w:marTop w:val="0"/>
      <w:marBottom w:val="0"/>
      <w:divBdr>
        <w:top w:val="none" w:sz="0" w:space="0" w:color="auto"/>
        <w:left w:val="none" w:sz="0" w:space="0" w:color="auto"/>
        <w:bottom w:val="none" w:sz="0" w:space="0" w:color="auto"/>
        <w:right w:val="none" w:sz="0" w:space="0" w:color="auto"/>
      </w:divBdr>
    </w:div>
    <w:div w:id="85854243">
      <w:bodyDiv w:val="1"/>
      <w:marLeft w:val="0"/>
      <w:marRight w:val="0"/>
      <w:marTop w:val="0"/>
      <w:marBottom w:val="0"/>
      <w:divBdr>
        <w:top w:val="none" w:sz="0" w:space="0" w:color="auto"/>
        <w:left w:val="none" w:sz="0" w:space="0" w:color="auto"/>
        <w:bottom w:val="none" w:sz="0" w:space="0" w:color="auto"/>
        <w:right w:val="none" w:sz="0" w:space="0" w:color="auto"/>
      </w:divBdr>
    </w:div>
    <w:div w:id="141124730">
      <w:bodyDiv w:val="1"/>
      <w:marLeft w:val="0"/>
      <w:marRight w:val="0"/>
      <w:marTop w:val="0"/>
      <w:marBottom w:val="0"/>
      <w:divBdr>
        <w:top w:val="none" w:sz="0" w:space="0" w:color="auto"/>
        <w:left w:val="none" w:sz="0" w:space="0" w:color="auto"/>
        <w:bottom w:val="none" w:sz="0" w:space="0" w:color="auto"/>
        <w:right w:val="none" w:sz="0" w:space="0" w:color="auto"/>
      </w:divBdr>
    </w:div>
    <w:div w:id="601769589">
      <w:bodyDiv w:val="1"/>
      <w:marLeft w:val="0"/>
      <w:marRight w:val="0"/>
      <w:marTop w:val="0"/>
      <w:marBottom w:val="0"/>
      <w:divBdr>
        <w:top w:val="none" w:sz="0" w:space="0" w:color="auto"/>
        <w:left w:val="none" w:sz="0" w:space="0" w:color="auto"/>
        <w:bottom w:val="none" w:sz="0" w:space="0" w:color="auto"/>
        <w:right w:val="none" w:sz="0" w:space="0" w:color="auto"/>
      </w:divBdr>
    </w:div>
    <w:div w:id="730998923">
      <w:bodyDiv w:val="1"/>
      <w:marLeft w:val="0"/>
      <w:marRight w:val="0"/>
      <w:marTop w:val="0"/>
      <w:marBottom w:val="0"/>
      <w:divBdr>
        <w:top w:val="none" w:sz="0" w:space="0" w:color="auto"/>
        <w:left w:val="none" w:sz="0" w:space="0" w:color="auto"/>
        <w:bottom w:val="none" w:sz="0" w:space="0" w:color="auto"/>
        <w:right w:val="none" w:sz="0" w:space="0" w:color="auto"/>
      </w:divBdr>
      <w:divsChild>
        <w:div w:id="19287999">
          <w:marLeft w:val="0"/>
          <w:marRight w:val="0"/>
          <w:marTop w:val="0"/>
          <w:marBottom w:val="0"/>
          <w:divBdr>
            <w:top w:val="none" w:sz="0" w:space="0" w:color="auto"/>
            <w:left w:val="none" w:sz="0" w:space="0" w:color="auto"/>
            <w:bottom w:val="none" w:sz="0" w:space="0" w:color="auto"/>
            <w:right w:val="none" w:sz="0" w:space="0" w:color="auto"/>
          </w:divBdr>
        </w:div>
        <w:div w:id="31614945">
          <w:marLeft w:val="0"/>
          <w:marRight w:val="0"/>
          <w:marTop w:val="0"/>
          <w:marBottom w:val="0"/>
          <w:divBdr>
            <w:top w:val="none" w:sz="0" w:space="0" w:color="auto"/>
            <w:left w:val="none" w:sz="0" w:space="0" w:color="auto"/>
            <w:bottom w:val="none" w:sz="0" w:space="0" w:color="auto"/>
            <w:right w:val="none" w:sz="0" w:space="0" w:color="auto"/>
          </w:divBdr>
        </w:div>
        <w:div w:id="55205876">
          <w:marLeft w:val="0"/>
          <w:marRight w:val="0"/>
          <w:marTop w:val="0"/>
          <w:marBottom w:val="0"/>
          <w:divBdr>
            <w:top w:val="none" w:sz="0" w:space="0" w:color="auto"/>
            <w:left w:val="none" w:sz="0" w:space="0" w:color="auto"/>
            <w:bottom w:val="none" w:sz="0" w:space="0" w:color="auto"/>
            <w:right w:val="none" w:sz="0" w:space="0" w:color="auto"/>
          </w:divBdr>
        </w:div>
        <w:div w:id="70396067">
          <w:marLeft w:val="0"/>
          <w:marRight w:val="0"/>
          <w:marTop w:val="0"/>
          <w:marBottom w:val="0"/>
          <w:divBdr>
            <w:top w:val="none" w:sz="0" w:space="0" w:color="auto"/>
            <w:left w:val="none" w:sz="0" w:space="0" w:color="auto"/>
            <w:bottom w:val="none" w:sz="0" w:space="0" w:color="auto"/>
            <w:right w:val="none" w:sz="0" w:space="0" w:color="auto"/>
          </w:divBdr>
        </w:div>
        <w:div w:id="125198635">
          <w:marLeft w:val="0"/>
          <w:marRight w:val="0"/>
          <w:marTop w:val="0"/>
          <w:marBottom w:val="0"/>
          <w:divBdr>
            <w:top w:val="none" w:sz="0" w:space="0" w:color="auto"/>
            <w:left w:val="none" w:sz="0" w:space="0" w:color="auto"/>
            <w:bottom w:val="none" w:sz="0" w:space="0" w:color="auto"/>
            <w:right w:val="none" w:sz="0" w:space="0" w:color="auto"/>
          </w:divBdr>
        </w:div>
        <w:div w:id="164323352">
          <w:marLeft w:val="0"/>
          <w:marRight w:val="0"/>
          <w:marTop w:val="0"/>
          <w:marBottom w:val="0"/>
          <w:divBdr>
            <w:top w:val="none" w:sz="0" w:space="0" w:color="auto"/>
            <w:left w:val="none" w:sz="0" w:space="0" w:color="auto"/>
            <w:bottom w:val="none" w:sz="0" w:space="0" w:color="auto"/>
            <w:right w:val="none" w:sz="0" w:space="0" w:color="auto"/>
          </w:divBdr>
        </w:div>
        <w:div w:id="168642884">
          <w:marLeft w:val="0"/>
          <w:marRight w:val="0"/>
          <w:marTop w:val="0"/>
          <w:marBottom w:val="0"/>
          <w:divBdr>
            <w:top w:val="none" w:sz="0" w:space="0" w:color="auto"/>
            <w:left w:val="none" w:sz="0" w:space="0" w:color="auto"/>
            <w:bottom w:val="none" w:sz="0" w:space="0" w:color="auto"/>
            <w:right w:val="none" w:sz="0" w:space="0" w:color="auto"/>
          </w:divBdr>
        </w:div>
        <w:div w:id="208491874">
          <w:marLeft w:val="0"/>
          <w:marRight w:val="0"/>
          <w:marTop w:val="0"/>
          <w:marBottom w:val="0"/>
          <w:divBdr>
            <w:top w:val="none" w:sz="0" w:space="0" w:color="auto"/>
            <w:left w:val="none" w:sz="0" w:space="0" w:color="auto"/>
            <w:bottom w:val="none" w:sz="0" w:space="0" w:color="auto"/>
            <w:right w:val="none" w:sz="0" w:space="0" w:color="auto"/>
          </w:divBdr>
        </w:div>
        <w:div w:id="247082876">
          <w:marLeft w:val="0"/>
          <w:marRight w:val="0"/>
          <w:marTop w:val="0"/>
          <w:marBottom w:val="0"/>
          <w:divBdr>
            <w:top w:val="none" w:sz="0" w:space="0" w:color="auto"/>
            <w:left w:val="none" w:sz="0" w:space="0" w:color="auto"/>
            <w:bottom w:val="none" w:sz="0" w:space="0" w:color="auto"/>
            <w:right w:val="none" w:sz="0" w:space="0" w:color="auto"/>
          </w:divBdr>
        </w:div>
        <w:div w:id="264460467">
          <w:marLeft w:val="0"/>
          <w:marRight w:val="0"/>
          <w:marTop w:val="0"/>
          <w:marBottom w:val="0"/>
          <w:divBdr>
            <w:top w:val="none" w:sz="0" w:space="0" w:color="auto"/>
            <w:left w:val="none" w:sz="0" w:space="0" w:color="auto"/>
            <w:bottom w:val="none" w:sz="0" w:space="0" w:color="auto"/>
            <w:right w:val="none" w:sz="0" w:space="0" w:color="auto"/>
          </w:divBdr>
        </w:div>
        <w:div w:id="320042456">
          <w:marLeft w:val="0"/>
          <w:marRight w:val="0"/>
          <w:marTop w:val="0"/>
          <w:marBottom w:val="0"/>
          <w:divBdr>
            <w:top w:val="none" w:sz="0" w:space="0" w:color="auto"/>
            <w:left w:val="none" w:sz="0" w:space="0" w:color="auto"/>
            <w:bottom w:val="none" w:sz="0" w:space="0" w:color="auto"/>
            <w:right w:val="none" w:sz="0" w:space="0" w:color="auto"/>
          </w:divBdr>
        </w:div>
        <w:div w:id="337930221">
          <w:marLeft w:val="0"/>
          <w:marRight w:val="0"/>
          <w:marTop w:val="0"/>
          <w:marBottom w:val="0"/>
          <w:divBdr>
            <w:top w:val="none" w:sz="0" w:space="0" w:color="auto"/>
            <w:left w:val="none" w:sz="0" w:space="0" w:color="auto"/>
            <w:bottom w:val="none" w:sz="0" w:space="0" w:color="auto"/>
            <w:right w:val="none" w:sz="0" w:space="0" w:color="auto"/>
          </w:divBdr>
        </w:div>
        <w:div w:id="343821578">
          <w:marLeft w:val="0"/>
          <w:marRight w:val="0"/>
          <w:marTop w:val="0"/>
          <w:marBottom w:val="0"/>
          <w:divBdr>
            <w:top w:val="none" w:sz="0" w:space="0" w:color="auto"/>
            <w:left w:val="none" w:sz="0" w:space="0" w:color="auto"/>
            <w:bottom w:val="none" w:sz="0" w:space="0" w:color="auto"/>
            <w:right w:val="none" w:sz="0" w:space="0" w:color="auto"/>
          </w:divBdr>
        </w:div>
        <w:div w:id="432552520">
          <w:marLeft w:val="0"/>
          <w:marRight w:val="0"/>
          <w:marTop w:val="0"/>
          <w:marBottom w:val="0"/>
          <w:divBdr>
            <w:top w:val="none" w:sz="0" w:space="0" w:color="auto"/>
            <w:left w:val="none" w:sz="0" w:space="0" w:color="auto"/>
            <w:bottom w:val="none" w:sz="0" w:space="0" w:color="auto"/>
            <w:right w:val="none" w:sz="0" w:space="0" w:color="auto"/>
          </w:divBdr>
          <w:divsChild>
            <w:div w:id="1209074016">
              <w:marLeft w:val="0"/>
              <w:marRight w:val="0"/>
              <w:marTop w:val="0"/>
              <w:marBottom w:val="0"/>
              <w:divBdr>
                <w:top w:val="none" w:sz="0" w:space="0" w:color="auto"/>
                <w:left w:val="none" w:sz="0" w:space="0" w:color="auto"/>
                <w:bottom w:val="none" w:sz="0" w:space="0" w:color="auto"/>
                <w:right w:val="none" w:sz="0" w:space="0" w:color="auto"/>
              </w:divBdr>
            </w:div>
            <w:div w:id="1243105111">
              <w:marLeft w:val="0"/>
              <w:marRight w:val="0"/>
              <w:marTop w:val="0"/>
              <w:marBottom w:val="0"/>
              <w:divBdr>
                <w:top w:val="none" w:sz="0" w:space="0" w:color="auto"/>
                <w:left w:val="none" w:sz="0" w:space="0" w:color="auto"/>
                <w:bottom w:val="none" w:sz="0" w:space="0" w:color="auto"/>
                <w:right w:val="none" w:sz="0" w:space="0" w:color="auto"/>
              </w:divBdr>
            </w:div>
            <w:div w:id="1597445687">
              <w:marLeft w:val="0"/>
              <w:marRight w:val="0"/>
              <w:marTop w:val="0"/>
              <w:marBottom w:val="0"/>
              <w:divBdr>
                <w:top w:val="none" w:sz="0" w:space="0" w:color="auto"/>
                <w:left w:val="none" w:sz="0" w:space="0" w:color="auto"/>
                <w:bottom w:val="none" w:sz="0" w:space="0" w:color="auto"/>
                <w:right w:val="none" w:sz="0" w:space="0" w:color="auto"/>
              </w:divBdr>
            </w:div>
            <w:div w:id="1732803041">
              <w:marLeft w:val="0"/>
              <w:marRight w:val="0"/>
              <w:marTop w:val="0"/>
              <w:marBottom w:val="0"/>
              <w:divBdr>
                <w:top w:val="none" w:sz="0" w:space="0" w:color="auto"/>
                <w:left w:val="none" w:sz="0" w:space="0" w:color="auto"/>
                <w:bottom w:val="none" w:sz="0" w:space="0" w:color="auto"/>
                <w:right w:val="none" w:sz="0" w:space="0" w:color="auto"/>
              </w:divBdr>
            </w:div>
            <w:div w:id="1740245994">
              <w:marLeft w:val="0"/>
              <w:marRight w:val="0"/>
              <w:marTop w:val="0"/>
              <w:marBottom w:val="0"/>
              <w:divBdr>
                <w:top w:val="none" w:sz="0" w:space="0" w:color="auto"/>
                <w:left w:val="none" w:sz="0" w:space="0" w:color="auto"/>
                <w:bottom w:val="none" w:sz="0" w:space="0" w:color="auto"/>
                <w:right w:val="none" w:sz="0" w:space="0" w:color="auto"/>
              </w:divBdr>
            </w:div>
          </w:divsChild>
        </w:div>
        <w:div w:id="462650044">
          <w:marLeft w:val="0"/>
          <w:marRight w:val="0"/>
          <w:marTop w:val="0"/>
          <w:marBottom w:val="0"/>
          <w:divBdr>
            <w:top w:val="none" w:sz="0" w:space="0" w:color="auto"/>
            <w:left w:val="none" w:sz="0" w:space="0" w:color="auto"/>
            <w:bottom w:val="none" w:sz="0" w:space="0" w:color="auto"/>
            <w:right w:val="none" w:sz="0" w:space="0" w:color="auto"/>
          </w:divBdr>
        </w:div>
        <w:div w:id="476844075">
          <w:marLeft w:val="0"/>
          <w:marRight w:val="0"/>
          <w:marTop w:val="0"/>
          <w:marBottom w:val="0"/>
          <w:divBdr>
            <w:top w:val="none" w:sz="0" w:space="0" w:color="auto"/>
            <w:left w:val="none" w:sz="0" w:space="0" w:color="auto"/>
            <w:bottom w:val="none" w:sz="0" w:space="0" w:color="auto"/>
            <w:right w:val="none" w:sz="0" w:space="0" w:color="auto"/>
          </w:divBdr>
        </w:div>
        <w:div w:id="546797221">
          <w:marLeft w:val="0"/>
          <w:marRight w:val="0"/>
          <w:marTop w:val="0"/>
          <w:marBottom w:val="0"/>
          <w:divBdr>
            <w:top w:val="none" w:sz="0" w:space="0" w:color="auto"/>
            <w:left w:val="none" w:sz="0" w:space="0" w:color="auto"/>
            <w:bottom w:val="none" w:sz="0" w:space="0" w:color="auto"/>
            <w:right w:val="none" w:sz="0" w:space="0" w:color="auto"/>
          </w:divBdr>
        </w:div>
        <w:div w:id="629752987">
          <w:marLeft w:val="0"/>
          <w:marRight w:val="0"/>
          <w:marTop w:val="0"/>
          <w:marBottom w:val="0"/>
          <w:divBdr>
            <w:top w:val="none" w:sz="0" w:space="0" w:color="auto"/>
            <w:left w:val="none" w:sz="0" w:space="0" w:color="auto"/>
            <w:bottom w:val="none" w:sz="0" w:space="0" w:color="auto"/>
            <w:right w:val="none" w:sz="0" w:space="0" w:color="auto"/>
          </w:divBdr>
        </w:div>
        <w:div w:id="672562019">
          <w:marLeft w:val="0"/>
          <w:marRight w:val="0"/>
          <w:marTop w:val="0"/>
          <w:marBottom w:val="0"/>
          <w:divBdr>
            <w:top w:val="none" w:sz="0" w:space="0" w:color="auto"/>
            <w:left w:val="none" w:sz="0" w:space="0" w:color="auto"/>
            <w:bottom w:val="none" w:sz="0" w:space="0" w:color="auto"/>
            <w:right w:val="none" w:sz="0" w:space="0" w:color="auto"/>
          </w:divBdr>
        </w:div>
        <w:div w:id="676536696">
          <w:marLeft w:val="0"/>
          <w:marRight w:val="0"/>
          <w:marTop w:val="0"/>
          <w:marBottom w:val="0"/>
          <w:divBdr>
            <w:top w:val="none" w:sz="0" w:space="0" w:color="auto"/>
            <w:left w:val="none" w:sz="0" w:space="0" w:color="auto"/>
            <w:bottom w:val="none" w:sz="0" w:space="0" w:color="auto"/>
            <w:right w:val="none" w:sz="0" w:space="0" w:color="auto"/>
          </w:divBdr>
        </w:div>
        <w:div w:id="696583647">
          <w:marLeft w:val="0"/>
          <w:marRight w:val="0"/>
          <w:marTop w:val="0"/>
          <w:marBottom w:val="0"/>
          <w:divBdr>
            <w:top w:val="none" w:sz="0" w:space="0" w:color="auto"/>
            <w:left w:val="none" w:sz="0" w:space="0" w:color="auto"/>
            <w:bottom w:val="none" w:sz="0" w:space="0" w:color="auto"/>
            <w:right w:val="none" w:sz="0" w:space="0" w:color="auto"/>
          </w:divBdr>
        </w:div>
        <w:div w:id="749304717">
          <w:marLeft w:val="0"/>
          <w:marRight w:val="0"/>
          <w:marTop w:val="0"/>
          <w:marBottom w:val="0"/>
          <w:divBdr>
            <w:top w:val="none" w:sz="0" w:space="0" w:color="auto"/>
            <w:left w:val="none" w:sz="0" w:space="0" w:color="auto"/>
            <w:bottom w:val="none" w:sz="0" w:space="0" w:color="auto"/>
            <w:right w:val="none" w:sz="0" w:space="0" w:color="auto"/>
          </w:divBdr>
        </w:div>
        <w:div w:id="781800618">
          <w:marLeft w:val="0"/>
          <w:marRight w:val="0"/>
          <w:marTop w:val="0"/>
          <w:marBottom w:val="0"/>
          <w:divBdr>
            <w:top w:val="none" w:sz="0" w:space="0" w:color="auto"/>
            <w:left w:val="none" w:sz="0" w:space="0" w:color="auto"/>
            <w:bottom w:val="none" w:sz="0" w:space="0" w:color="auto"/>
            <w:right w:val="none" w:sz="0" w:space="0" w:color="auto"/>
          </w:divBdr>
        </w:div>
        <w:div w:id="796220875">
          <w:marLeft w:val="0"/>
          <w:marRight w:val="0"/>
          <w:marTop w:val="0"/>
          <w:marBottom w:val="0"/>
          <w:divBdr>
            <w:top w:val="none" w:sz="0" w:space="0" w:color="auto"/>
            <w:left w:val="none" w:sz="0" w:space="0" w:color="auto"/>
            <w:bottom w:val="none" w:sz="0" w:space="0" w:color="auto"/>
            <w:right w:val="none" w:sz="0" w:space="0" w:color="auto"/>
          </w:divBdr>
        </w:div>
        <w:div w:id="831415137">
          <w:marLeft w:val="0"/>
          <w:marRight w:val="0"/>
          <w:marTop w:val="0"/>
          <w:marBottom w:val="0"/>
          <w:divBdr>
            <w:top w:val="none" w:sz="0" w:space="0" w:color="auto"/>
            <w:left w:val="none" w:sz="0" w:space="0" w:color="auto"/>
            <w:bottom w:val="none" w:sz="0" w:space="0" w:color="auto"/>
            <w:right w:val="none" w:sz="0" w:space="0" w:color="auto"/>
          </w:divBdr>
          <w:divsChild>
            <w:div w:id="387193915">
              <w:marLeft w:val="0"/>
              <w:marRight w:val="0"/>
              <w:marTop w:val="0"/>
              <w:marBottom w:val="0"/>
              <w:divBdr>
                <w:top w:val="none" w:sz="0" w:space="0" w:color="auto"/>
                <w:left w:val="none" w:sz="0" w:space="0" w:color="auto"/>
                <w:bottom w:val="none" w:sz="0" w:space="0" w:color="auto"/>
                <w:right w:val="none" w:sz="0" w:space="0" w:color="auto"/>
              </w:divBdr>
            </w:div>
            <w:div w:id="525751016">
              <w:marLeft w:val="0"/>
              <w:marRight w:val="0"/>
              <w:marTop w:val="0"/>
              <w:marBottom w:val="0"/>
              <w:divBdr>
                <w:top w:val="none" w:sz="0" w:space="0" w:color="auto"/>
                <w:left w:val="none" w:sz="0" w:space="0" w:color="auto"/>
                <w:bottom w:val="none" w:sz="0" w:space="0" w:color="auto"/>
                <w:right w:val="none" w:sz="0" w:space="0" w:color="auto"/>
              </w:divBdr>
            </w:div>
            <w:div w:id="1876889108">
              <w:marLeft w:val="0"/>
              <w:marRight w:val="0"/>
              <w:marTop w:val="0"/>
              <w:marBottom w:val="0"/>
              <w:divBdr>
                <w:top w:val="none" w:sz="0" w:space="0" w:color="auto"/>
                <w:left w:val="none" w:sz="0" w:space="0" w:color="auto"/>
                <w:bottom w:val="none" w:sz="0" w:space="0" w:color="auto"/>
                <w:right w:val="none" w:sz="0" w:space="0" w:color="auto"/>
              </w:divBdr>
            </w:div>
          </w:divsChild>
        </w:div>
        <w:div w:id="864635491">
          <w:marLeft w:val="0"/>
          <w:marRight w:val="0"/>
          <w:marTop w:val="0"/>
          <w:marBottom w:val="0"/>
          <w:divBdr>
            <w:top w:val="none" w:sz="0" w:space="0" w:color="auto"/>
            <w:left w:val="none" w:sz="0" w:space="0" w:color="auto"/>
            <w:bottom w:val="none" w:sz="0" w:space="0" w:color="auto"/>
            <w:right w:val="none" w:sz="0" w:space="0" w:color="auto"/>
          </w:divBdr>
        </w:div>
        <w:div w:id="874078102">
          <w:marLeft w:val="0"/>
          <w:marRight w:val="0"/>
          <w:marTop w:val="0"/>
          <w:marBottom w:val="0"/>
          <w:divBdr>
            <w:top w:val="none" w:sz="0" w:space="0" w:color="auto"/>
            <w:left w:val="none" w:sz="0" w:space="0" w:color="auto"/>
            <w:bottom w:val="none" w:sz="0" w:space="0" w:color="auto"/>
            <w:right w:val="none" w:sz="0" w:space="0" w:color="auto"/>
          </w:divBdr>
        </w:div>
        <w:div w:id="928390493">
          <w:marLeft w:val="0"/>
          <w:marRight w:val="0"/>
          <w:marTop w:val="0"/>
          <w:marBottom w:val="0"/>
          <w:divBdr>
            <w:top w:val="none" w:sz="0" w:space="0" w:color="auto"/>
            <w:left w:val="none" w:sz="0" w:space="0" w:color="auto"/>
            <w:bottom w:val="none" w:sz="0" w:space="0" w:color="auto"/>
            <w:right w:val="none" w:sz="0" w:space="0" w:color="auto"/>
          </w:divBdr>
        </w:div>
        <w:div w:id="992952651">
          <w:marLeft w:val="0"/>
          <w:marRight w:val="0"/>
          <w:marTop w:val="0"/>
          <w:marBottom w:val="0"/>
          <w:divBdr>
            <w:top w:val="none" w:sz="0" w:space="0" w:color="auto"/>
            <w:left w:val="none" w:sz="0" w:space="0" w:color="auto"/>
            <w:bottom w:val="none" w:sz="0" w:space="0" w:color="auto"/>
            <w:right w:val="none" w:sz="0" w:space="0" w:color="auto"/>
          </w:divBdr>
        </w:div>
        <w:div w:id="1021585481">
          <w:marLeft w:val="0"/>
          <w:marRight w:val="0"/>
          <w:marTop w:val="0"/>
          <w:marBottom w:val="0"/>
          <w:divBdr>
            <w:top w:val="none" w:sz="0" w:space="0" w:color="auto"/>
            <w:left w:val="none" w:sz="0" w:space="0" w:color="auto"/>
            <w:bottom w:val="none" w:sz="0" w:space="0" w:color="auto"/>
            <w:right w:val="none" w:sz="0" w:space="0" w:color="auto"/>
          </w:divBdr>
        </w:div>
        <w:div w:id="1041399017">
          <w:marLeft w:val="0"/>
          <w:marRight w:val="0"/>
          <w:marTop w:val="0"/>
          <w:marBottom w:val="0"/>
          <w:divBdr>
            <w:top w:val="none" w:sz="0" w:space="0" w:color="auto"/>
            <w:left w:val="none" w:sz="0" w:space="0" w:color="auto"/>
            <w:bottom w:val="none" w:sz="0" w:space="0" w:color="auto"/>
            <w:right w:val="none" w:sz="0" w:space="0" w:color="auto"/>
          </w:divBdr>
        </w:div>
        <w:div w:id="1044715327">
          <w:marLeft w:val="0"/>
          <w:marRight w:val="0"/>
          <w:marTop w:val="0"/>
          <w:marBottom w:val="0"/>
          <w:divBdr>
            <w:top w:val="none" w:sz="0" w:space="0" w:color="auto"/>
            <w:left w:val="none" w:sz="0" w:space="0" w:color="auto"/>
            <w:bottom w:val="none" w:sz="0" w:space="0" w:color="auto"/>
            <w:right w:val="none" w:sz="0" w:space="0" w:color="auto"/>
          </w:divBdr>
        </w:div>
        <w:div w:id="1124419918">
          <w:marLeft w:val="0"/>
          <w:marRight w:val="0"/>
          <w:marTop w:val="0"/>
          <w:marBottom w:val="0"/>
          <w:divBdr>
            <w:top w:val="none" w:sz="0" w:space="0" w:color="auto"/>
            <w:left w:val="none" w:sz="0" w:space="0" w:color="auto"/>
            <w:bottom w:val="none" w:sz="0" w:space="0" w:color="auto"/>
            <w:right w:val="none" w:sz="0" w:space="0" w:color="auto"/>
          </w:divBdr>
        </w:div>
        <w:div w:id="1130395205">
          <w:marLeft w:val="0"/>
          <w:marRight w:val="0"/>
          <w:marTop w:val="0"/>
          <w:marBottom w:val="0"/>
          <w:divBdr>
            <w:top w:val="none" w:sz="0" w:space="0" w:color="auto"/>
            <w:left w:val="none" w:sz="0" w:space="0" w:color="auto"/>
            <w:bottom w:val="none" w:sz="0" w:space="0" w:color="auto"/>
            <w:right w:val="none" w:sz="0" w:space="0" w:color="auto"/>
          </w:divBdr>
        </w:div>
        <w:div w:id="1142116616">
          <w:marLeft w:val="0"/>
          <w:marRight w:val="0"/>
          <w:marTop w:val="0"/>
          <w:marBottom w:val="0"/>
          <w:divBdr>
            <w:top w:val="none" w:sz="0" w:space="0" w:color="auto"/>
            <w:left w:val="none" w:sz="0" w:space="0" w:color="auto"/>
            <w:bottom w:val="none" w:sz="0" w:space="0" w:color="auto"/>
            <w:right w:val="none" w:sz="0" w:space="0" w:color="auto"/>
          </w:divBdr>
        </w:div>
        <w:div w:id="1173034055">
          <w:marLeft w:val="0"/>
          <w:marRight w:val="0"/>
          <w:marTop w:val="0"/>
          <w:marBottom w:val="0"/>
          <w:divBdr>
            <w:top w:val="none" w:sz="0" w:space="0" w:color="auto"/>
            <w:left w:val="none" w:sz="0" w:space="0" w:color="auto"/>
            <w:bottom w:val="none" w:sz="0" w:space="0" w:color="auto"/>
            <w:right w:val="none" w:sz="0" w:space="0" w:color="auto"/>
          </w:divBdr>
          <w:divsChild>
            <w:div w:id="504439324">
              <w:marLeft w:val="0"/>
              <w:marRight w:val="0"/>
              <w:marTop w:val="0"/>
              <w:marBottom w:val="0"/>
              <w:divBdr>
                <w:top w:val="none" w:sz="0" w:space="0" w:color="auto"/>
                <w:left w:val="none" w:sz="0" w:space="0" w:color="auto"/>
                <w:bottom w:val="none" w:sz="0" w:space="0" w:color="auto"/>
                <w:right w:val="none" w:sz="0" w:space="0" w:color="auto"/>
              </w:divBdr>
            </w:div>
            <w:div w:id="654988409">
              <w:marLeft w:val="0"/>
              <w:marRight w:val="0"/>
              <w:marTop w:val="0"/>
              <w:marBottom w:val="0"/>
              <w:divBdr>
                <w:top w:val="none" w:sz="0" w:space="0" w:color="auto"/>
                <w:left w:val="none" w:sz="0" w:space="0" w:color="auto"/>
                <w:bottom w:val="none" w:sz="0" w:space="0" w:color="auto"/>
                <w:right w:val="none" w:sz="0" w:space="0" w:color="auto"/>
              </w:divBdr>
            </w:div>
            <w:div w:id="767695510">
              <w:marLeft w:val="0"/>
              <w:marRight w:val="0"/>
              <w:marTop w:val="0"/>
              <w:marBottom w:val="0"/>
              <w:divBdr>
                <w:top w:val="none" w:sz="0" w:space="0" w:color="auto"/>
                <w:left w:val="none" w:sz="0" w:space="0" w:color="auto"/>
                <w:bottom w:val="none" w:sz="0" w:space="0" w:color="auto"/>
                <w:right w:val="none" w:sz="0" w:space="0" w:color="auto"/>
              </w:divBdr>
            </w:div>
            <w:div w:id="1475873356">
              <w:marLeft w:val="0"/>
              <w:marRight w:val="0"/>
              <w:marTop w:val="0"/>
              <w:marBottom w:val="0"/>
              <w:divBdr>
                <w:top w:val="none" w:sz="0" w:space="0" w:color="auto"/>
                <w:left w:val="none" w:sz="0" w:space="0" w:color="auto"/>
                <w:bottom w:val="none" w:sz="0" w:space="0" w:color="auto"/>
                <w:right w:val="none" w:sz="0" w:space="0" w:color="auto"/>
              </w:divBdr>
            </w:div>
          </w:divsChild>
        </w:div>
        <w:div w:id="1250581050">
          <w:marLeft w:val="0"/>
          <w:marRight w:val="0"/>
          <w:marTop w:val="0"/>
          <w:marBottom w:val="0"/>
          <w:divBdr>
            <w:top w:val="none" w:sz="0" w:space="0" w:color="auto"/>
            <w:left w:val="none" w:sz="0" w:space="0" w:color="auto"/>
            <w:bottom w:val="none" w:sz="0" w:space="0" w:color="auto"/>
            <w:right w:val="none" w:sz="0" w:space="0" w:color="auto"/>
          </w:divBdr>
        </w:div>
        <w:div w:id="1281181950">
          <w:marLeft w:val="0"/>
          <w:marRight w:val="0"/>
          <w:marTop w:val="0"/>
          <w:marBottom w:val="0"/>
          <w:divBdr>
            <w:top w:val="none" w:sz="0" w:space="0" w:color="auto"/>
            <w:left w:val="none" w:sz="0" w:space="0" w:color="auto"/>
            <w:bottom w:val="none" w:sz="0" w:space="0" w:color="auto"/>
            <w:right w:val="none" w:sz="0" w:space="0" w:color="auto"/>
          </w:divBdr>
        </w:div>
        <w:div w:id="1291672176">
          <w:marLeft w:val="0"/>
          <w:marRight w:val="0"/>
          <w:marTop w:val="0"/>
          <w:marBottom w:val="0"/>
          <w:divBdr>
            <w:top w:val="none" w:sz="0" w:space="0" w:color="auto"/>
            <w:left w:val="none" w:sz="0" w:space="0" w:color="auto"/>
            <w:bottom w:val="none" w:sz="0" w:space="0" w:color="auto"/>
            <w:right w:val="none" w:sz="0" w:space="0" w:color="auto"/>
          </w:divBdr>
        </w:div>
        <w:div w:id="1303269865">
          <w:marLeft w:val="0"/>
          <w:marRight w:val="0"/>
          <w:marTop w:val="0"/>
          <w:marBottom w:val="0"/>
          <w:divBdr>
            <w:top w:val="none" w:sz="0" w:space="0" w:color="auto"/>
            <w:left w:val="none" w:sz="0" w:space="0" w:color="auto"/>
            <w:bottom w:val="none" w:sz="0" w:space="0" w:color="auto"/>
            <w:right w:val="none" w:sz="0" w:space="0" w:color="auto"/>
          </w:divBdr>
        </w:div>
        <w:div w:id="1392970599">
          <w:marLeft w:val="0"/>
          <w:marRight w:val="0"/>
          <w:marTop w:val="0"/>
          <w:marBottom w:val="0"/>
          <w:divBdr>
            <w:top w:val="none" w:sz="0" w:space="0" w:color="auto"/>
            <w:left w:val="none" w:sz="0" w:space="0" w:color="auto"/>
            <w:bottom w:val="none" w:sz="0" w:space="0" w:color="auto"/>
            <w:right w:val="none" w:sz="0" w:space="0" w:color="auto"/>
          </w:divBdr>
          <w:divsChild>
            <w:div w:id="1998878921">
              <w:marLeft w:val="-75"/>
              <w:marRight w:val="0"/>
              <w:marTop w:val="30"/>
              <w:marBottom w:val="30"/>
              <w:divBdr>
                <w:top w:val="none" w:sz="0" w:space="0" w:color="auto"/>
                <w:left w:val="none" w:sz="0" w:space="0" w:color="auto"/>
                <w:bottom w:val="none" w:sz="0" w:space="0" w:color="auto"/>
                <w:right w:val="none" w:sz="0" w:space="0" w:color="auto"/>
              </w:divBdr>
              <w:divsChild>
                <w:div w:id="26764776">
                  <w:marLeft w:val="0"/>
                  <w:marRight w:val="0"/>
                  <w:marTop w:val="0"/>
                  <w:marBottom w:val="0"/>
                  <w:divBdr>
                    <w:top w:val="none" w:sz="0" w:space="0" w:color="auto"/>
                    <w:left w:val="none" w:sz="0" w:space="0" w:color="auto"/>
                    <w:bottom w:val="none" w:sz="0" w:space="0" w:color="auto"/>
                    <w:right w:val="none" w:sz="0" w:space="0" w:color="auto"/>
                  </w:divBdr>
                  <w:divsChild>
                    <w:div w:id="1204290280">
                      <w:marLeft w:val="0"/>
                      <w:marRight w:val="0"/>
                      <w:marTop w:val="0"/>
                      <w:marBottom w:val="0"/>
                      <w:divBdr>
                        <w:top w:val="none" w:sz="0" w:space="0" w:color="auto"/>
                        <w:left w:val="none" w:sz="0" w:space="0" w:color="auto"/>
                        <w:bottom w:val="none" w:sz="0" w:space="0" w:color="auto"/>
                        <w:right w:val="none" w:sz="0" w:space="0" w:color="auto"/>
                      </w:divBdr>
                    </w:div>
                  </w:divsChild>
                </w:div>
                <w:div w:id="210269819">
                  <w:marLeft w:val="0"/>
                  <w:marRight w:val="0"/>
                  <w:marTop w:val="0"/>
                  <w:marBottom w:val="0"/>
                  <w:divBdr>
                    <w:top w:val="none" w:sz="0" w:space="0" w:color="auto"/>
                    <w:left w:val="none" w:sz="0" w:space="0" w:color="auto"/>
                    <w:bottom w:val="none" w:sz="0" w:space="0" w:color="auto"/>
                    <w:right w:val="none" w:sz="0" w:space="0" w:color="auto"/>
                  </w:divBdr>
                  <w:divsChild>
                    <w:div w:id="1844394829">
                      <w:marLeft w:val="0"/>
                      <w:marRight w:val="0"/>
                      <w:marTop w:val="0"/>
                      <w:marBottom w:val="0"/>
                      <w:divBdr>
                        <w:top w:val="none" w:sz="0" w:space="0" w:color="auto"/>
                        <w:left w:val="none" w:sz="0" w:space="0" w:color="auto"/>
                        <w:bottom w:val="none" w:sz="0" w:space="0" w:color="auto"/>
                        <w:right w:val="none" w:sz="0" w:space="0" w:color="auto"/>
                      </w:divBdr>
                    </w:div>
                  </w:divsChild>
                </w:div>
                <w:div w:id="332144247">
                  <w:marLeft w:val="0"/>
                  <w:marRight w:val="0"/>
                  <w:marTop w:val="0"/>
                  <w:marBottom w:val="0"/>
                  <w:divBdr>
                    <w:top w:val="none" w:sz="0" w:space="0" w:color="auto"/>
                    <w:left w:val="none" w:sz="0" w:space="0" w:color="auto"/>
                    <w:bottom w:val="none" w:sz="0" w:space="0" w:color="auto"/>
                    <w:right w:val="none" w:sz="0" w:space="0" w:color="auto"/>
                  </w:divBdr>
                  <w:divsChild>
                    <w:div w:id="339084676">
                      <w:marLeft w:val="0"/>
                      <w:marRight w:val="0"/>
                      <w:marTop w:val="0"/>
                      <w:marBottom w:val="0"/>
                      <w:divBdr>
                        <w:top w:val="none" w:sz="0" w:space="0" w:color="auto"/>
                        <w:left w:val="none" w:sz="0" w:space="0" w:color="auto"/>
                        <w:bottom w:val="none" w:sz="0" w:space="0" w:color="auto"/>
                        <w:right w:val="none" w:sz="0" w:space="0" w:color="auto"/>
                      </w:divBdr>
                    </w:div>
                  </w:divsChild>
                </w:div>
                <w:div w:id="588126149">
                  <w:marLeft w:val="0"/>
                  <w:marRight w:val="0"/>
                  <w:marTop w:val="0"/>
                  <w:marBottom w:val="0"/>
                  <w:divBdr>
                    <w:top w:val="none" w:sz="0" w:space="0" w:color="auto"/>
                    <w:left w:val="none" w:sz="0" w:space="0" w:color="auto"/>
                    <w:bottom w:val="none" w:sz="0" w:space="0" w:color="auto"/>
                    <w:right w:val="none" w:sz="0" w:space="0" w:color="auto"/>
                  </w:divBdr>
                  <w:divsChild>
                    <w:div w:id="1032847518">
                      <w:marLeft w:val="0"/>
                      <w:marRight w:val="0"/>
                      <w:marTop w:val="0"/>
                      <w:marBottom w:val="0"/>
                      <w:divBdr>
                        <w:top w:val="none" w:sz="0" w:space="0" w:color="auto"/>
                        <w:left w:val="none" w:sz="0" w:space="0" w:color="auto"/>
                        <w:bottom w:val="none" w:sz="0" w:space="0" w:color="auto"/>
                        <w:right w:val="none" w:sz="0" w:space="0" w:color="auto"/>
                      </w:divBdr>
                    </w:div>
                  </w:divsChild>
                </w:div>
                <w:div w:id="637035642">
                  <w:marLeft w:val="0"/>
                  <w:marRight w:val="0"/>
                  <w:marTop w:val="0"/>
                  <w:marBottom w:val="0"/>
                  <w:divBdr>
                    <w:top w:val="none" w:sz="0" w:space="0" w:color="auto"/>
                    <w:left w:val="none" w:sz="0" w:space="0" w:color="auto"/>
                    <w:bottom w:val="none" w:sz="0" w:space="0" w:color="auto"/>
                    <w:right w:val="none" w:sz="0" w:space="0" w:color="auto"/>
                  </w:divBdr>
                  <w:divsChild>
                    <w:div w:id="867840124">
                      <w:marLeft w:val="0"/>
                      <w:marRight w:val="0"/>
                      <w:marTop w:val="0"/>
                      <w:marBottom w:val="0"/>
                      <w:divBdr>
                        <w:top w:val="none" w:sz="0" w:space="0" w:color="auto"/>
                        <w:left w:val="none" w:sz="0" w:space="0" w:color="auto"/>
                        <w:bottom w:val="none" w:sz="0" w:space="0" w:color="auto"/>
                        <w:right w:val="none" w:sz="0" w:space="0" w:color="auto"/>
                      </w:divBdr>
                    </w:div>
                  </w:divsChild>
                </w:div>
                <w:div w:id="668216003">
                  <w:marLeft w:val="0"/>
                  <w:marRight w:val="0"/>
                  <w:marTop w:val="0"/>
                  <w:marBottom w:val="0"/>
                  <w:divBdr>
                    <w:top w:val="none" w:sz="0" w:space="0" w:color="auto"/>
                    <w:left w:val="none" w:sz="0" w:space="0" w:color="auto"/>
                    <w:bottom w:val="none" w:sz="0" w:space="0" w:color="auto"/>
                    <w:right w:val="none" w:sz="0" w:space="0" w:color="auto"/>
                  </w:divBdr>
                  <w:divsChild>
                    <w:div w:id="1775976984">
                      <w:marLeft w:val="0"/>
                      <w:marRight w:val="0"/>
                      <w:marTop w:val="0"/>
                      <w:marBottom w:val="0"/>
                      <w:divBdr>
                        <w:top w:val="none" w:sz="0" w:space="0" w:color="auto"/>
                        <w:left w:val="none" w:sz="0" w:space="0" w:color="auto"/>
                        <w:bottom w:val="none" w:sz="0" w:space="0" w:color="auto"/>
                        <w:right w:val="none" w:sz="0" w:space="0" w:color="auto"/>
                      </w:divBdr>
                    </w:div>
                  </w:divsChild>
                </w:div>
                <w:div w:id="693849219">
                  <w:marLeft w:val="0"/>
                  <w:marRight w:val="0"/>
                  <w:marTop w:val="0"/>
                  <w:marBottom w:val="0"/>
                  <w:divBdr>
                    <w:top w:val="none" w:sz="0" w:space="0" w:color="auto"/>
                    <w:left w:val="none" w:sz="0" w:space="0" w:color="auto"/>
                    <w:bottom w:val="none" w:sz="0" w:space="0" w:color="auto"/>
                    <w:right w:val="none" w:sz="0" w:space="0" w:color="auto"/>
                  </w:divBdr>
                  <w:divsChild>
                    <w:div w:id="1773353522">
                      <w:marLeft w:val="0"/>
                      <w:marRight w:val="0"/>
                      <w:marTop w:val="0"/>
                      <w:marBottom w:val="0"/>
                      <w:divBdr>
                        <w:top w:val="none" w:sz="0" w:space="0" w:color="auto"/>
                        <w:left w:val="none" w:sz="0" w:space="0" w:color="auto"/>
                        <w:bottom w:val="none" w:sz="0" w:space="0" w:color="auto"/>
                        <w:right w:val="none" w:sz="0" w:space="0" w:color="auto"/>
                      </w:divBdr>
                    </w:div>
                  </w:divsChild>
                </w:div>
                <w:div w:id="768431253">
                  <w:marLeft w:val="0"/>
                  <w:marRight w:val="0"/>
                  <w:marTop w:val="0"/>
                  <w:marBottom w:val="0"/>
                  <w:divBdr>
                    <w:top w:val="none" w:sz="0" w:space="0" w:color="auto"/>
                    <w:left w:val="none" w:sz="0" w:space="0" w:color="auto"/>
                    <w:bottom w:val="none" w:sz="0" w:space="0" w:color="auto"/>
                    <w:right w:val="none" w:sz="0" w:space="0" w:color="auto"/>
                  </w:divBdr>
                  <w:divsChild>
                    <w:div w:id="829372247">
                      <w:marLeft w:val="0"/>
                      <w:marRight w:val="0"/>
                      <w:marTop w:val="0"/>
                      <w:marBottom w:val="0"/>
                      <w:divBdr>
                        <w:top w:val="none" w:sz="0" w:space="0" w:color="auto"/>
                        <w:left w:val="none" w:sz="0" w:space="0" w:color="auto"/>
                        <w:bottom w:val="none" w:sz="0" w:space="0" w:color="auto"/>
                        <w:right w:val="none" w:sz="0" w:space="0" w:color="auto"/>
                      </w:divBdr>
                    </w:div>
                  </w:divsChild>
                </w:div>
                <w:div w:id="807670515">
                  <w:marLeft w:val="0"/>
                  <w:marRight w:val="0"/>
                  <w:marTop w:val="0"/>
                  <w:marBottom w:val="0"/>
                  <w:divBdr>
                    <w:top w:val="none" w:sz="0" w:space="0" w:color="auto"/>
                    <w:left w:val="none" w:sz="0" w:space="0" w:color="auto"/>
                    <w:bottom w:val="none" w:sz="0" w:space="0" w:color="auto"/>
                    <w:right w:val="none" w:sz="0" w:space="0" w:color="auto"/>
                  </w:divBdr>
                  <w:divsChild>
                    <w:div w:id="147678073">
                      <w:marLeft w:val="0"/>
                      <w:marRight w:val="0"/>
                      <w:marTop w:val="0"/>
                      <w:marBottom w:val="0"/>
                      <w:divBdr>
                        <w:top w:val="none" w:sz="0" w:space="0" w:color="auto"/>
                        <w:left w:val="none" w:sz="0" w:space="0" w:color="auto"/>
                        <w:bottom w:val="none" w:sz="0" w:space="0" w:color="auto"/>
                        <w:right w:val="none" w:sz="0" w:space="0" w:color="auto"/>
                      </w:divBdr>
                    </w:div>
                  </w:divsChild>
                </w:div>
                <w:div w:id="816846328">
                  <w:marLeft w:val="0"/>
                  <w:marRight w:val="0"/>
                  <w:marTop w:val="0"/>
                  <w:marBottom w:val="0"/>
                  <w:divBdr>
                    <w:top w:val="none" w:sz="0" w:space="0" w:color="auto"/>
                    <w:left w:val="none" w:sz="0" w:space="0" w:color="auto"/>
                    <w:bottom w:val="none" w:sz="0" w:space="0" w:color="auto"/>
                    <w:right w:val="none" w:sz="0" w:space="0" w:color="auto"/>
                  </w:divBdr>
                  <w:divsChild>
                    <w:div w:id="1581989143">
                      <w:marLeft w:val="0"/>
                      <w:marRight w:val="0"/>
                      <w:marTop w:val="0"/>
                      <w:marBottom w:val="0"/>
                      <w:divBdr>
                        <w:top w:val="none" w:sz="0" w:space="0" w:color="auto"/>
                        <w:left w:val="none" w:sz="0" w:space="0" w:color="auto"/>
                        <w:bottom w:val="none" w:sz="0" w:space="0" w:color="auto"/>
                        <w:right w:val="none" w:sz="0" w:space="0" w:color="auto"/>
                      </w:divBdr>
                    </w:div>
                  </w:divsChild>
                </w:div>
                <w:div w:id="873006633">
                  <w:marLeft w:val="0"/>
                  <w:marRight w:val="0"/>
                  <w:marTop w:val="0"/>
                  <w:marBottom w:val="0"/>
                  <w:divBdr>
                    <w:top w:val="none" w:sz="0" w:space="0" w:color="auto"/>
                    <w:left w:val="none" w:sz="0" w:space="0" w:color="auto"/>
                    <w:bottom w:val="none" w:sz="0" w:space="0" w:color="auto"/>
                    <w:right w:val="none" w:sz="0" w:space="0" w:color="auto"/>
                  </w:divBdr>
                  <w:divsChild>
                    <w:div w:id="1221017289">
                      <w:marLeft w:val="0"/>
                      <w:marRight w:val="0"/>
                      <w:marTop w:val="0"/>
                      <w:marBottom w:val="0"/>
                      <w:divBdr>
                        <w:top w:val="none" w:sz="0" w:space="0" w:color="auto"/>
                        <w:left w:val="none" w:sz="0" w:space="0" w:color="auto"/>
                        <w:bottom w:val="none" w:sz="0" w:space="0" w:color="auto"/>
                        <w:right w:val="none" w:sz="0" w:space="0" w:color="auto"/>
                      </w:divBdr>
                    </w:div>
                  </w:divsChild>
                </w:div>
                <w:div w:id="1097363012">
                  <w:marLeft w:val="0"/>
                  <w:marRight w:val="0"/>
                  <w:marTop w:val="0"/>
                  <w:marBottom w:val="0"/>
                  <w:divBdr>
                    <w:top w:val="none" w:sz="0" w:space="0" w:color="auto"/>
                    <w:left w:val="none" w:sz="0" w:space="0" w:color="auto"/>
                    <w:bottom w:val="none" w:sz="0" w:space="0" w:color="auto"/>
                    <w:right w:val="none" w:sz="0" w:space="0" w:color="auto"/>
                  </w:divBdr>
                  <w:divsChild>
                    <w:div w:id="272788539">
                      <w:marLeft w:val="0"/>
                      <w:marRight w:val="0"/>
                      <w:marTop w:val="0"/>
                      <w:marBottom w:val="0"/>
                      <w:divBdr>
                        <w:top w:val="none" w:sz="0" w:space="0" w:color="auto"/>
                        <w:left w:val="none" w:sz="0" w:space="0" w:color="auto"/>
                        <w:bottom w:val="none" w:sz="0" w:space="0" w:color="auto"/>
                        <w:right w:val="none" w:sz="0" w:space="0" w:color="auto"/>
                      </w:divBdr>
                    </w:div>
                  </w:divsChild>
                </w:div>
                <w:div w:id="1229456394">
                  <w:marLeft w:val="0"/>
                  <w:marRight w:val="0"/>
                  <w:marTop w:val="0"/>
                  <w:marBottom w:val="0"/>
                  <w:divBdr>
                    <w:top w:val="none" w:sz="0" w:space="0" w:color="auto"/>
                    <w:left w:val="none" w:sz="0" w:space="0" w:color="auto"/>
                    <w:bottom w:val="none" w:sz="0" w:space="0" w:color="auto"/>
                    <w:right w:val="none" w:sz="0" w:space="0" w:color="auto"/>
                  </w:divBdr>
                  <w:divsChild>
                    <w:div w:id="1708990611">
                      <w:marLeft w:val="0"/>
                      <w:marRight w:val="0"/>
                      <w:marTop w:val="0"/>
                      <w:marBottom w:val="0"/>
                      <w:divBdr>
                        <w:top w:val="none" w:sz="0" w:space="0" w:color="auto"/>
                        <w:left w:val="none" w:sz="0" w:space="0" w:color="auto"/>
                        <w:bottom w:val="none" w:sz="0" w:space="0" w:color="auto"/>
                        <w:right w:val="none" w:sz="0" w:space="0" w:color="auto"/>
                      </w:divBdr>
                    </w:div>
                  </w:divsChild>
                </w:div>
                <w:div w:id="1422334767">
                  <w:marLeft w:val="0"/>
                  <w:marRight w:val="0"/>
                  <w:marTop w:val="0"/>
                  <w:marBottom w:val="0"/>
                  <w:divBdr>
                    <w:top w:val="none" w:sz="0" w:space="0" w:color="auto"/>
                    <w:left w:val="none" w:sz="0" w:space="0" w:color="auto"/>
                    <w:bottom w:val="none" w:sz="0" w:space="0" w:color="auto"/>
                    <w:right w:val="none" w:sz="0" w:space="0" w:color="auto"/>
                  </w:divBdr>
                  <w:divsChild>
                    <w:div w:id="175266674">
                      <w:marLeft w:val="0"/>
                      <w:marRight w:val="0"/>
                      <w:marTop w:val="0"/>
                      <w:marBottom w:val="0"/>
                      <w:divBdr>
                        <w:top w:val="none" w:sz="0" w:space="0" w:color="auto"/>
                        <w:left w:val="none" w:sz="0" w:space="0" w:color="auto"/>
                        <w:bottom w:val="none" w:sz="0" w:space="0" w:color="auto"/>
                        <w:right w:val="none" w:sz="0" w:space="0" w:color="auto"/>
                      </w:divBdr>
                    </w:div>
                  </w:divsChild>
                </w:div>
                <w:div w:id="1576814237">
                  <w:marLeft w:val="0"/>
                  <w:marRight w:val="0"/>
                  <w:marTop w:val="0"/>
                  <w:marBottom w:val="0"/>
                  <w:divBdr>
                    <w:top w:val="none" w:sz="0" w:space="0" w:color="auto"/>
                    <w:left w:val="none" w:sz="0" w:space="0" w:color="auto"/>
                    <w:bottom w:val="none" w:sz="0" w:space="0" w:color="auto"/>
                    <w:right w:val="none" w:sz="0" w:space="0" w:color="auto"/>
                  </w:divBdr>
                  <w:divsChild>
                    <w:div w:id="1220701407">
                      <w:marLeft w:val="0"/>
                      <w:marRight w:val="0"/>
                      <w:marTop w:val="0"/>
                      <w:marBottom w:val="0"/>
                      <w:divBdr>
                        <w:top w:val="none" w:sz="0" w:space="0" w:color="auto"/>
                        <w:left w:val="none" w:sz="0" w:space="0" w:color="auto"/>
                        <w:bottom w:val="none" w:sz="0" w:space="0" w:color="auto"/>
                        <w:right w:val="none" w:sz="0" w:space="0" w:color="auto"/>
                      </w:divBdr>
                    </w:div>
                  </w:divsChild>
                </w:div>
                <w:div w:id="1838420629">
                  <w:marLeft w:val="0"/>
                  <w:marRight w:val="0"/>
                  <w:marTop w:val="0"/>
                  <w:marBottom w:val="0"/>
                  <w:divBdr>
                    <w:top w:val="none" w:sz="0" w:space="0" w:color="auto"/>
                    <w:left w:val="none" w:sz="0" w:space="0" w:color="auto"/>
                    <w:bottom w:val="none" w:sz="0" w:space="0" w:color="auto"/>
                    <w:right w:val="none" w:sz="0" w:space="0" w:color="auto"/>
                  </w:divBdr>
                  <w:divsChild>
                    <w:div w:id="1875462972">
                      <w:marLeft w:val="0"/>
                      <w:marRight w:val="0"/>
                      <w:marTop w:val="0"/>
                      <w:marBottom w:val="0"/>
                      <w:divBdr>
                        <w:top w:val="none" w:sz="0" w:space="0" w:color="auto"/>
                        <w:left w:val="none" w:sz="0" w:space="0" w:color="auto"/>
                        <w:bottom w:val="none" w:sz="0" w:space="0" w:color="auto"/>
                        <w:right w:val="none" w:sz="0" w:space="0" w:color="auto"/>
                      </w:divBdr>
                    </w:div>
                  </w:divsChild>
                </w:div>
                <w:div w:id="1879512791">
                  <w:marLeft w:val="0"/>
                  <w:marRight w:val="0"/>
                  <w:marTop w:val="0"/>
                  <w:marBottom w:val="0"/>
                  <w:divBdr>
                    <w:top w:val="none" w:sz="0" w:space="0" w:color="auto"/>
                    <w:left w:val="none" w:sz="0" w:space="0" w:color="auto"/>
                    <w:bottom w:val="none" w:sz="0" w:space="0" w:color="auto"/>
                    <w:right w:val="none" w:sz="0" w:space="0" w:color="auto"/>
                  </w:divBdr>
                  <w:divsChild>
                    <w:div w:id="1254360624">
                      <w:marLeft w:val="0"/>
                      <w:marRight w:val="0"/>
                      <w:marTop w:val="0"/>
                      <w:marBottom w:val="0"/>
                      <w:divBdr>
                        <w:top w:val="none" w:sz="0" w:space="0" w:color="auto"/>
                        <w:left w:val="none" w:sz="0" w:space="0" w:color="auto"/>
                        <w:bottom w:val="none" w:sz="0" w:space="0" w:color="auto"/>
                        <w:right w:val="none" w:sz="0" w:space="0" w:color="auto"/>
                      </w:divBdr>
                    </w:div>
                  </w:divsChild>
                </w:div>
                <w:div w:id="1904901398">
                  <w:marLeft w:val="0"/>
                  <w:marRight w:val="0"/>
                  <w:marTop w:val="0"/>
                  <w:marBottom w:val="0"/>
                  <w:divBdr>
                    <w:top w:val="none" w:sz="0" w:space="0" w:color="auto"/>
                    <w:left w:val="none" w:sz="0" w:space="0" w:color="auto"/>
                    <w:bottom w:val="none" w:sz="0" w:space="0" w:color="auto"/>
                    <w:right w:val="none" w:sz="0" w:space="0" w:color="auto"/>
                  </w:divBdr>
                  <w:divsChild>
                    <w:div w:id="56906877">
                      <w:marLeft w:val="0"/>
                      <w:marRight w:val="0"/>
                      <w:marTop w:val="0"/>
                      <w:marBottom w:val="0"/>
                      <w:divBdr>
                        <w:top w:val="none" w:sz="0" w:space="0" w:color="auto"/>
                        <w:left w:val="none" w:sz="0" w:space="0" w:color="auto"/>
                        <w:bottom w:val="none" w:sz="0" w:space="0" w:color="auto"/>
                        <w:right w:val="none" w:sz="0" w:space="0" w:color="auto"/>
                      </w:divBdr>
                    </w:div>
                  </w:divsChild>
                </w:div>
                <w:div w:id="2018146701">
                  <w:marLeft w:val="0"/>
                  <w:marRight w:val="0"/>
                  <w:marTop w:val="0"/>
                  <w:marBottom w:val="0"/>
                  <w:divBdr>
                    <w:top w:val="none" w:sz="0" w:space="0" w:color="auto"/>
                    <w:left w:val="none" w:sz="0" w:space="0" w:color="auto"/>
                    <w:bottom w:val="none" w:sz="0" w:space="0" w:color="auto"/>
                    <w:right w:val="none" w:sz="0" w:space="0" w:color="auto"/>
                  </w:divBdr>
                  <w:divsChild>
                    <w:div w:id="399908062">
                      <w:marLeft w:val="0"/>
                      <w:marRight w:val="0"/>
                      <w:marTop w:val="0"/>
                      <w:marBottom w:val="0"/>
                      <w:divBdr>
                        <w:top w:val="none" w:sz="0" w:space="0" w:color="auto"/>
                        <w:left w:val="none" w:sz="0" w:space="0" w:color="auto"/>
                        <w:bottom w:val="none" w:sz="0" w:space="0" w:color="auto"/>
                        <w:right w:val="none" w:sz="0" w:space="0" w:color="auto"/>
                      </w:divBdr>
                    </w:div>
                  </w:divsChild>
                </w:div>
                <w:div w:id="2045785671">
                  <w:marLeft w:val="0"/>
                  <w:marRight w:val="0"/>
                  <w:marTop w:val="0"/>
                  <w:marBottom w:val="0"/>
                  <w:divBdr>
                    <w:top w:val="none" w:sz="0" w:space="0" w:color="auto"/>
                    <w:left w:val="none" w:sz="0" w:space="0" w:color="auto"/>
                    <w:bottom w:val="none" w:sz="0" w:space="0" w:color="auto"/>
                    <w:right w:val="none" w:sz="0" w:space="0" w:color="auto"/>
                  </w:divBdr>
                  <w:divsChild>
                    <w:div w:id="1852404907">
                      <w:marLeft w:val="0"/>
                      <w:marRight w:val="0"/>
                      <w:marTop w:val="0"/>
                      <w:marBottom w:val="0"/>
                      <w:divBdr>
                        <w:top w:val="none" w:sz="0" w:space="0" w:color="auto"/>
                        <w:left w:val="none" w:sz="0" w:space="0" w:color="auto"/>
                        <w:bottom w:val="none" w:sz="0" w:space="0" w:color="auto"/>
                        <w:right w:val="none" w:sz="0" w:space="0" w:color="auto"/>
                      </w:divBdr>
                    </w:div>
                  </w:divsChild>
                </w:div>
                <w:div w:id="2069330904">
                  <w:marLeft w:val="0"/>
                  <w:marRight w:val="0"/>
                  <w:marTop w:val="0"/>
                  <w:marBottom w:val="0"/>
                  <w:divBdr>
                    <w:top w:val="none" w:sz="0" w:space="0" w:color="auto"/>
                    <w:left w:val="none" w:sz="0" w:space="0" w:color="auto"/>
                    <w:bottom w:val="none" w:sz="0" w:space="0" w:color="auto"/>
                    <w:right w:val="none" w:sz="0" w:space="0" w:color="auto"/>
                  </w:divBdr>
                  <w:divsChild>
                    <w:div w:id="869297877">
                      <w:marLeft w:val="0"/>
                      <w:marRight w:val="0"/>
                      <w:marTop w:val="0"/>
                      <w:marBottom w:val="0"/>
                      <w:divBdr>
                        <w:top w:val="none" w:sz="0" w:space="0" w:color="auto"/>
                        <w:left w:val="none" w:sz="0" w:space="0" w:color="auto"/>
                        <w:bottom w:val="none" w:sz="0" w:space="0" w:color="auto"/>
                        <w:right w:val="none" w:sz="0" w:space="0" w:color="auto"/>
                      </w:divBdr>
                    </w:div>
                  </w:divsChild>
                </w:div>
                <w:div w:id="2076968570">
                  <w:marLeft w:val="0"/>
                  <w:marRight w:val="0"/>
                  <w:marTop w:val="0"/>
                  <w:marBottom w:val="0"/>
                  <w:divBdr>
                    <w:top w:val="none" w:sz="0" w:space="0" w:color="auto"/>
                    <w:left w:val="none" w:sz="0" w:space="0" w:color="auto"/>
                    <w:bottom w:val="none" w:sz="0" w:space="0" w:color="auto"/>
                    <w:right w:val="none" w:sz="0" w:space="0" w:color="auto"/>
                  </w:divBdr>
                  <w:divsChild>
                    <w:div w:id="1701471929">
                      <w:marLeft w:val="0"/>
                      <w:marRight w:val="0"/>
                      <w:marTop w:val="0"/>
                      <w:marBottom w:val="0"/>
                      <w:divBdr>
                        <w:top w:val="none" w:sz="0" w:space="0" w:color="auto"/>
                        <w:left w:val="none" w:sz="0" w:space="0" w:color="auto"/>
                        <w:bottom w:val="none" w:sz="0" w:space="0" w:color="auto"/>
                        <w:right w:val="none" w:sz="0" w:space="0" w:color="auto"/>
                      </w:divBdr>
                    </w:div>
                  </w:divsChild>
                </w:div>
                <w:div w:id="2102791789">
                  <w:marLeft w:val="0"/>
                  <w:marRight w:val="0"/>
                  <w:marTop w:val="0"/>
                  <w:marBottom w:val="0"/>
                  <w:divBdr>
                    <w:top w:val="none" w:sz="0" w:space="0" w:color="auto"/>
                    <w:left w:val="none" w:sz="0" w:space="0" w:color="auto"/>
                    <w:bottom w:val="none" w:sz="0" w:space="0" w:color="auto"/>
                    <w:right w:val="none" w:sz="0" w:space="0" w:color="auto"/>
                  </w:divBdr>
                  <w:divsChild>
                    <w:div w:id="545607322">
                      <w:marLeft w:val="0"/>
                      <w:marRight w:val="0"/>
                      <w:marTop w:val="0"/>
                      <w:marBottom w:val="0"/>
                      <w:divBdr>
                        <w:top w:val="none" w:sz="0" w:space="0" w:color="auto"/>
                        <w:left w:val="none" w:sz="0" w:space="0" w:color="auto"/>
                        <w:bottom w:val="none" w:sz="0" w:space="0" w:color="auto"/>
                        <w:right w:val="none" w:sz="0" w:space="0" w:color="auto"/>
                      </w:divBdr>
                    </w:div>
                  </w:divsChild>
                </w:div>
                <w:div w:id="2116092548">
                  <w:marLeft w:val="0"/>
                  <w:marRight w:val="0"/>
                  <w:marTop w:val="0"/>
                  <w:marBottom w:val="0"/>
                  <w:divBdr>
                    <w:top w:val="none" w:sz="0" w:space="0" w:color="auto"/>
                    <w:left w:val="none" w:sz="0" w:space="0" w:color="auto"/>
                    <w:bottom w:val="none" w:sz="0" w:space="0" w:color="auto"/>
                    <w:right w:val="none" w:sz="0" w:space="0" w:color="auto"/>
                  </w:divBdr>
                  <w:divsChild>
                    <w:div w:id="1166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4628">
          <w:marLeft w:val="0"/>
          <w:marRight w:val="0"/>
          <w:marTop w:val="0"/>
          <w:marBottom w:val="0"/>
          <w:divBdr>
            <w:top w:val="none" w:sz="0" w:space="0" w:color="auto"/>
            <w:left w:val="none" w:sz="0" w:space="0" w:color="auto"/>
            <w:bottom w:val="none" w:sz="0" w:space="0" w:color="auto"/>
            <w:right w:val="none" w:sz="0" w:space="0" w:color="auto"/>
          </w:divBdr>
        </w:div>
        <w:div w:id="1444156813">
          <w:marLeft w:val="0"/>
          <w:marRight w:val="0"/>
          <w:marTop w:val="0"/>
          <w:marBottom w:val="0"/>
          <w:divBdr>
            <w:top w:val="none" w:sz="0" w:space="0" w:color="auto"/>
            <w:left w:val="none" w:sz="0" w:space="0" w:color="auto"/>
            <w:bottom w:val="none" w:sz="0" w:space="0" w:color="auto"/>
            <w:right w:val="none" w:sz="0" w:space="0" w:color="auto"/>
          </w:divBdr>
        </w:div>
        <w:div w:id="1447969513">
          <w:marLeft w:val="0"/>
          <w:marRight w:val="0"/>
          <w:marTop w:val="0"/>
          <w:marBottom w:val="0"/>
          <w:divBdr>
            <w:top w:val="none" w:sz="0" w:space="0" w:color="auto"/>
            <w:left w:val="none" w:sz="0" w:space="0" w:color="auto"/>
            <w:bottom w:val="none" w:sz="0" w:space="0" w:color="auto"/>
            <w:right w:val="none" w:sz="0" w:space="0" w:color="auto"/>
          </w:divBdr>
        </w:div>
        <w:div w:id="1562012786">
          <w:marLeft w:val="0"/>
          <w:marRight w:val="0"/>
          <w:marTop w:val="0"/>
          <w:marBottom w:val="0"/>
          <w:divBdr>
            <w:top w:val="none" w:sz="0" w:space="0" w:color="auto"/>
            <w:left w:val="none" w:sz="0" w:space="0" w:color="auto"/>
            <w:bottom w:val="none" w:sz="0" w:space="0" w:color="auto"/>
            <w:right w:val="none" w:sz="0" w:space="0" w:color="auto"/>
          </w:divBdr>
        </w:div>
        <w:div w:id="1575551241">
          <w:marLeft w:val="0"/>
          <w:marRight w:val="0"/>
          <w:marTop w:val="0"/>
          <w:marBottom w:val="0"/>
          <w:divBdr>
            <w:top w:val="none" w:sz="0" w:space="0" w:color="auto"/>
            <w:left w:val="none" w:sz="0" w:space="0" w:color="auto"/>
            <w:bottom w:val="none" w:sz="0" w:space="0" w:color="auto"/>
            <w:right w:val="none" w:sz="0" w:space="0" w:color="auto"/>
          </w:divBdr>
        </w:div>
        <w:div w:id="1587955732">
          <w:marLeft w:val="0"/>
          <w:marRight w:val="0"/>
          <w:marTop w:val="0"/>
          <w:marBottom w:val="0"/>
          <w:divBdr>
            <w:top w:val="none" w:sz="0" w:space="0" w:color="auto"/>
            <w:left w:val="none" w:sz="0" w:space="0" w:color="auto"/>
            <w:bottom w:val="none" w:sz="0" w:space="0" w:color="auto"/>
            <w:right w:val="none" w:sz="0" w:space="0" w:color="auto"/>
          </w:divBdr>
        </w:div>
        <w:div w:id="1671642259">
          <w:marLeft w:val="0"/>
          <w:marRight w:val="0"/>
          <w:marTop w:val="0"/>
          <w:marBottom w:val="0"/>
          <w:divBdr>
            <w:top w:val="none" w:sz="0" w:space="0" w:color="auto"/>
            <w:left w:val="none" w:sz="0" w:space="0" w:color="auto"/>
            <w:bottom w:val="none" w:sz="0" w:space="0" w:color="auto"/>
            <w:right w:val="none" w:sz="0" w:space="0" w:color="auto"/>
          </w:divBdr>
        </w:div>
        <w:div w:id="1765221847">
          <w:marLeft w:val="0"/>
          <w:marRight w:val="0"/>
          <w:marTop w:val="0"/>
          <w:marBottom w:val="0"/>
          <w:divBdr>
            <w:top w:val="none" w:sz="0" w:space="0" w:color="auto"/>
            <w:left w:val="none" w:sz="0" w:space="0" w:color="auto"/>
            <w:bottom w:val="none" w:sz="0" w:space="0" w:color="auto"/>
            <w:right w:val="none" w:sz="0" w:space="0" w:color="auto"/>
          </w:divBdr>
          <w:divsChild>
            <w:div w:id="1014302610">
              <w:marLeft w:val="0"/>
              <w:marRight w:val="0"/>
              <w:marTop w:val="0"/>
              <w:marBottom w:val="0"/>
              <w:divBdr>
                <w:top w:val="none" w:sz="0" w:space="0" w:color="auto"/>
                <w:left w:val="none" w:sz="0" w:space="0" w:color="auto"/>
                <w:bottom w:val="none" w:sz="0" w:space="0" w:color="auto"/>
                <w:right w:val="none" w:sz="0" w:space="0" w:color="auto"/>
              </w:divBdr>
            </w:div>
            <w:div w:id="1079867148">
              <w:marLeft w:val="0"/>
              <w:marRight w:val="0"/>
              <w:marTop w:val="0"/>
              <w:marBottom w:val="0"/>
              <w:divBdr>
                <w:top w:val="none" w:sz="0" w:space="0" w:color="auto"/>
                <w:left w:val="none" w:sz="0" w:space="0" w:color="auto"/>
                <w:bottom w:val="none" w:sz="0" w:space="0" w:color="auto"/>
                <w:right w:val="none" w:sz="0" w:space="0" w:color="auto"/>
              </w:divBdr>
            </w:div>
          </w:divsChild>
        </w:div>
        <w:div w:id="1803842316">
          <w:marLeft w:val="0"/>
          <w:marRight w:val="0"/>
          <w:marTop w:val="0"/>
          <w:marBottom w:val="0"/>
          <w:divBdr>
            <w:top w:val="none" w:sz="0" w:space="0" w:color="auto"/>
            <w:left w:val="none" w:sz="0" w:space="0" w:color="auto"/>
            <w:bottom w:val="none" w:sz="0" w:space="0" w:color="auto"/>
            <w:right w:val="none" w:sz="0" w:space="0" w:color="auto"/>
          </w:divBdr>
        </w:div>
        <w:div w:id="1832942128">
          <w:marLeft w:val="0"/>
          <w:marRight w:val="0"/>
          <w:marTop w:val="0"/>
          <w:marBottom w:val="0"/>
          <w:divBdr>
            <w:top w:val="none" w:sz="0" w:space="0" w:color="auto"/>
            <w:left w:val="none" w:sz="0" w:space="0" w:color="auto"/>
            <w:bottom w:val="none" w:sz="0" w:space="0" w:color="auto"/>
            <w:right w:val="none" w:sz="0" w:space="0" w:color="auto"/>
          </w:divBdr>
        </w:div>
        <w:div w:id="1840656698">
          <w:marLeft w:val="0"/>
          <w:marRight w:val="0"/>
          <w:marTop w:val="0"/>
          <w:marBottom w:val="0"/>
          <w:divBdr>
            <w:top w:val="none" w:sz="0" w:space="0" w:color="auto"/>
            <w:left w:val="none" w:sz="0" w:space="0" w:color="auto"/>
            <w:bottom w:val="none" w:sz="0" w:space="0" w:color="auto"/>
            <w:right w:val="none" w:sz="0" w:space="0" w:color="auto"/>
          </w:divBdr>
        </w:div>
        <w:div w:id="1842812332">
          <w:marLeft w:val="0"/>
          <w:marRight w:val="0"/>
          <w:marTop w:val="0"/>
          <w:marBottom w:val="0"/>
          <w:divBdr>
            <w:top w:val="none" w:sz="0" w:space="0" w:color="auto"/>
            <w:left w:val="none" w:sz="0" w:space="0" w:color="auto"/>
            <w:bottom w:val="none" w:sz="0" w:space="0" w:color="auto"/>
            <w:right w:val="none" w:sz="0" w:space="0" w:color="auto"/>
          </w:divBdr>
          <w:divsChild>
            <w:div w:id="36592225">
              <w:marLeft w:val="-75"/>
              <w:marRight w:val="0"/>
              <w:marTop w:val="30"/>
              <w:marBottom w:val="30"/>
              <w:divBdr>
                <w:top w:val="none" w:sz="0" w:space="0" w:color="auto"/>
                <w:left w:val="none" w:sz="0" w:space="0" w:color="auto"/>
                <w:bottom w:val="none" w:sz="0" w:space="0" w:color="auto"/>
                <w:right w:val="none" w:sz="0" w:space="0" w:color="auto"/>
              </w:divBdr>
              <w:divsChild>
                <w:div w:id="13383100">
                  <w:marLeft w:val="0"/>
                  <w:marRight w:val="0"/>
                  <w:marTop w:val="0"/>
                  <w:marBottom w:val="0"/>
                  <w:divBdr>
                    <w:top w:val="none" w:sz="0" w:space="0" w:color="auto"/>
                    <w:left w:val="none" w:sz="0" w:space="0" w:color="auto"/>
                    <w:bottom w:val="none" w:sz="0" w:space="0" w:color="auto"/>
                    <w:right w:val="none" w:sz="0" w:space="0" w:color="auto"/>
                  </w:divBdr>
                  <w:divsChild>
                    <w:div w:id="1849950902">
                      <w:marLeft w:val="0"/>
                      <w:marRight w:val="0"/>
                      <w:marTop w:val="0"/>
                      <w:marBottom w:val="0"/>
                      <w:divBdr>
                        <w:top w:val="none" w:sz="0" w:space="0" w:color="auto"/>
                        <w:left w:val="none" w:sz="0" w:space="0" w:color="auto"/>
                        <w:bottom w:val="none" w:sz="0" w:space="0" w:color="auto"/>
                        <w:right w:val="none" w:sz="0" w:space="0" w:color="auto"/>
                      </w:divBdr>
                    </w:div>
                  </w:divsChild>
                </w:div>
                <w:div w:id="26296731">
                  <w:marLeft w:val="0"/>
                  <w:marRight w:val="0"/>
                  <w:marTop w:val="0"/>
                  <w:marBottom w:val="0"/>
                  <w:divBdr>
                    <w:top w:val="none" w:sz="0" w:space="0" w:color="auto"/>
                    <w:left w:val="none" w:sz="0" w:space="0" w:color="auto"/>
                    <w:bottom w:val="none" w:sz="0" w:space="0" w:color="auto"/>
                    <w:right w:val="none" w:sz="0" w:space="0" w:color="auto"/>
                  </w:divBdr>
                  <w:divsChild>
                    <w:div w:id="1137993278">
                      <w:marLeft w:val="0"/>
                      <w:marRight w:val="0"/>
                      <w:marTop w:val="0"/>
                      <w:marBottom w:val="0"/>
                      <w:divBdr>
                        <w:top w:val="none" w:sz="0" w:space="0" w:color="auto"/>
                        <w:left w:val="none" w:sz="0" w:space="0" w:color="auto"/>
                        <w:bottom w:val="none" w:sz="0" w:space="0" w:color="auto"/>
                        <w:right w:val="none" w:sz="0" w:space="0" w:color="auto"/>
                      </w:divBdr>
                    </w:div>
                  </w:divsChild>
                </w:div>
                <w:div w:id="28655098">
                  <w:marLeft w:val="0"/>
                  <w:marRight w:val="0"/>
                  <w:marTop w:val="0"/>
                  <w:marBottom w:val="0"/>
                  <w:divBdr>
                    <w:top w:val="none" w:sz="0" w:space="0" w:color="auto"/>
                    <w:left w:val="none" w:sz="0" w:space="0" w:color="auto"/>
                    <w:bottom w:val="none" w:sz="0" w:space="0" w:color="auto"/>
                    <w:right w:val="none" w:sz="0" w:space="0" w:color="auto"/>
                  </w:divBdr>
                  <w:divsChild>
                    <w:div w:id="1669020055">
                      <w:marLeft w:val="0"/>
                      <w:marRight w:val="0"/>
                      <w:marTop w:val="0"/>
                      <w:marBottom w:val="0"/>
                      <w:divBdr>
                        <w:top w:val="none" w:sz="0" w:space="0" w:color="auto"/>
                        <w:left w:val="none" w:sz="0" w:space="0" w:color="auto"/>
                        <w:bottom w:val="none" w:sz="0" w:space="0" w:color="auto"/>
                        <w:right w:val="none" w:sz="0" w:space="0" w:color="auto"/>
                      </w:divBdr>
                    </w:div>
                  </w:divsChild>
                </w:div>
                <w:div w:id="152140978">
                  <w:marLeft w:val="0"/>
                  <w:marRight w:val="0"/>
                  <w:marTop w:val="0"/>
                  <w:marBottom w:val="0"/>
                  <w:divBdr>
                    <w:top w:val="none" w:sz="0" w:space="0" w:color="auto"/>
                    <w:left w:val="none" w:sz="0" w:space="0" w:color="auto"/>
                    <w:bottom w:val="none" w:sz="0" w:space="0" w:color="auto"/>
                    <w:right w:val="none" w:sz="0" w:space="0" w:color="auto"/>
                  </w:divBdr>
                  <w:divsChild>
                    <w:div w:id="1786266012">
                      <w:marLeft w:val="0"/>
                      <w:marRight w:val="0"/>
                      <w:marTop w:val="0"/>
                      <w:marBottom w:val="0"/>
                      <w:divBdr>
                        <w:top w:val="none" w:sz="0" w:space="0" w:color="auto"/>
                        <w:left w:val="none" w:sz="0" w:space="0" w:color="auto"/>
                        <w:bottom w:val="none" w:sz="0" w:space="0" w:color="auto"/>
                        <w:right w:val="none" w:sz="0" w:space="0" w:color="auto"/>
                      </w:divBdr>
                    </w:div>
                  </w:divsChild>
                </w:div>
                <w:div w:id="216624458">
                  <w:marLeft w:val="0"/>
                  <w:marRight w:val="0"/>
                  <w:marTop w:val="0"/>
                  <w:marBottom w:val="0"/>
                  <w:divBdr>
                    <w:top w:val="none" w:sz="0" w:space="0" w:color="auto"/>
                    <w:left w:val="none" w:sz="0" w:space="0" w:color="auto"/>
                    <w:bottom w:val="none" w:sz="0" w:space="0" w:color="auto"/>
                    <w:right w:val="none" w:sz="0" w:space="0" w:color="auto"/>
                  </w:divBdr>
                  <w:divsChild>
                    <w:div w:id="1348604376">
                      <w:marLeft w:val="0"/>
                      <w:marRight w:val="0"/>
                      <w:marTop w:val="0"/>
                      <w:marBottom w:val="0"/>
                      <w:divBdr>
                        <w:top w:val="none" w:sz="0" w:space="0" w:color="auto"/>
                        <w:left w:val="none" w:sz="0" w:space="0" w:color="auto"/>
                        <w:bottom w:val="none" w:sz="0" w:space="0" w:color="auto"/>
                        <w:right w:val="none" w:sz="0" w:space="0" w:color="auto"/>
                      </w:divBdr>
                    </w:div>
                  </w:divsChild>
                </w:div>
                <w:div w:id="232785843">
                  <w:marLeft w:val="0"/>
                  <w:marRight w:val="0"/>
                  <w:marTop w:val="0"/>
                  <w:marBottom w:val="0"/>
                  <w:divBdr>
                    <w:top w:val="none" w:sz="0" w:space="0" w:color="auto"/>
                    <w:left w:val="none" w:sz="0" w:space="0" w:color="auto"/>
                    <w:bottom w:val="none" w:sz="0" w:space="0" w:color="auto"/>
                    <w:right w:val="none" w:sz="0" w:space="0" w:color="auto"/>
                  </w:divBdr>
                  <w:divsChild>
                    <w:div w:id="997075194">
                      <w:marLeft w:val="0"/>
                      <w:marRight w:val="0"/>
                      <w:marTop w:val="0"/>
                      <w:marBottom w:val="0"/>
                      <w:divBdr>
                        <w:top w:val="none" w:sz="0" w:space="0" w:color="auto"/>
                        <w:left w:val="none" w:sz="0" w:space="0" w:color="auto"/>
                        <w:bottom w:val="none" w:sz="0" w:space="0" w:color="auto"/>
                        <w:right w:val="none" w:sz="0" w:space="0" w:color="auto"/>
                      </w:divBdr>
                    </w:div>
                  </w:divsChild>
                </w:div>
                <w:div w:id="317391824">
                  <w:marLeft w:val="0"/>
                  <w:marRight w:val="0"/>
                  <w:marTop w:val="0"/>
                  <w:marBottom w:val="0"/>
                  <w:divBdr>
                    <w:top w:val="none" w:sz="0" w:space="0" w:color="auto"/>
                    <w:left w:val="none" w:sz="0" w:space="0" w:color="auto"/>
                    <w:bottom w:val="none" w:sz="0" w:space="0" w:color="auto"/>
                    <w:right w:val="none" w:sz="0" w:space="0" w:color="auto"/>
                  </w:divBdr>
                  <w:divsChild>
                    <w:div w:id="1787577052">
                      <w:marLeft w:val="0"/>
                      <w:marRight w:val="0"/>
                      <w:marTop w:val="0"/>
                      <w:marBottom w:val="0"/>
                      <w:divBdr>
                        <w:top w:val="none" w:sz="0" w:space="0" w:color="auto"/>
                        <w:left w:val="none" w:sz="0" w:space="0" w:color="auto"/>
                        <w:bottom w:val="none" w:sz="0" w:space="0" w:color="auto"/>
                        <w:right w:val="none" w:sz="0" w:space="0" w:color="auto"/>
                      </w:divBdr>
                    </w:div>
                  </w:divsChild>
                </w:div>
                <w:div w:id="395783670">
                  <w:marLeft w:val="0"/>
                  <w:marRight w:val="0"/>
                  <w:marTop w:val="0"/>
                  <w:marBottom w:val="0"/>
                  <w:divBdr>
                    <w:top w:val="none" w:sz="0" w:space="0" w:color="auto"/>
                    <w:left w:val="none" w:sz="0" w:space="0" w:color="auto"/>
                    <w:bottom w:val="none" w:sz="0" w:space="0" w:color="auto"/>
                    <w:right w:val="none" w:sz="0" w:space="0" w:color="auto"/>
                  </w:divBdr>
                  <w:divsChild>
                    <w:div w:id="732389313">
                      <w:marLeft w:val="0"/>
                      <w:marRight w:val="0"/>
                      <w:marTop w:val="0"/>
                      <w:marBottom w:val="0"/>
                      <w:divBdr>
                        <w:top w:val="none" w:sz="0" w:space="0" w:color="auto"/>
                        <w:left w:val="none" w:sz="0" w:space="0" w:color="auto"/>
                        <w:bottom w:val="none" w:sz="0" w:space="0" w:color="auto"/>
                        <w:right w:val="none" w:sz="0" w:space="0" w:color="auto"/>
                      </w:divBdr>
                    </w:div>
                  </w:divsChild>
                </w:div>
                <w:div w:id="409081145">
                  <w:marLeft w:val="0"/>
                  <w:marRight w:val="0"/>
                  <w:marTop w:val="0"/>
                  <w:marBottom w:val="0"/>
                  <w:divBdr>
                    <w:top w:val="none" w:sz="0" w:space="0" w:color="auto"/>
                    <w:left w:val="none" w:sz="0" w:space="0" w:color="auto"/>
                    <w:bottom w:val="none" w:sz="0" w:space="0" w:color="auto"/>
                    <w:right w:val="none" w:sz="0" w:space="0" w:color="auto"/>
                  </w:divBdr>
                  <w:divsChild>
                    <w:div w:id="474834947">
                      <w:marLeft w:val="0"/>
                      <w:marRight w:val="0"/>
                      <w:marTop w:val="0"/>
                      <w:marBottom w:val="0"/>
                      <w:divBdr>
                        <w:top w:val="none" w:sz="0" w:space="0" w:color="auto"/>
                        <w:left w:val="none" w:sz="0" w:space="0" w:color="auto"/>
                        <w:bottom w:val="none" w:sz="0" w:space="0" w:color="auto"/>
                        <w:right w:val="none" w:sz="0" w:space="0" w:color="auto"/>
                      </w:divBdr>
                    </w:div>
                    <w:div w:id="1933511271">
                      <w:marLeft w:val="0"/>
                      <w:marRight w:val="0"/>
                      <w:marTop w:val="0"/>
                      <w:marBottom w:val="0"/>
                      <w:divBdr>
                        <w:top w:val="none" w:sz="0" w:space="0" w:color="auto"/>
                        <w:left w:val="none" w:sz="0" w:space="0" w:color="auto"/>
                        <w:bottom w:val="none" w:sz="0" w:space="0" w:color="auto"/>
                        <w:right w:val="none" w:sz="0" w:space="0" w:color="auto"/>
                      </w:divBdr>
                    </w:div>
                  </w:divsChild>
                </w:div>
                <w:div w:id="411581749">
                  <w:marLeft w:val="0"/>
                  <w:marRight w:val="0"/>
                  <w:marTop w:val="0"/>
                  <w:marBottom w:val="0"/>
                  <w:divBdr>
                    <w:top w:val="none" w:sz="0" w:space="0" w:color="auto"/>
                    <w:left w:val="none" w:sz="0" w:space="0" w:color="auto"/>
                    <w:bottom w:val="none" w:sz="0" w:space="0" w:color="auto"/>
                    <w:right w:val="none" w:sz="0" w:space="0" w:color="auto"/>
                  </w:divBdr>
                  <w:divsChild>
                    <w:div w:id="621571621">
                      <w:marLeft w:val="0"/>
                      <w:marRight w:val="0"/>
                      <w:marTop w:val="0"/>
                      <w:marBottom w:val="0"/>
                      <w:divBdr>
                        <w:top w:val="none" w:sz="0" w:space="0" w:color="auto"/>
                        <w:left w:val="none" w:sz="0" w:space="0" w:color="auto"/>
                        <w:bottom w:val="none" w:sz="0" w:space="0" w:color="auto"/>
                        <w:right w:val="none" w:sz="0" w:space="0" w:color="auto"/>
                      </w:divBdr>
                    </w:div>
                  </w:divsChild>
                </w:div>
                <w:div w:id="485977830">
                  <w:marLeft w:val="0"/>
                  <w:marRight w:val="0"/>
                  <w:marTop w:val="0"/>
                  <w:marBottom w:val="0"/>
                  <w:divBdr>
                    <w:top w:val="none" w:sz="0" w:space="0" w:color="auto"/>
                    <w:left w:val="none" w:sz="0" w:space="0" w:color="auto"/>
                    <w:bottom w:val="none" w:sz="0" w:space="0" w:color="auto"/>
                    <w:right w:val="none" w:sz="0" w:space="0" w:color="auto"/>
                  </w:divBdr>
                  <w:divsChild>
                    <w:div w:id="1740984473">
                      <w:marLeft w:val="0"/>
                      <w:marRight w:val="0"/>
                      <w:marTop w:val="0"/>
                      <w:marBottom w:val="0"/>
                      <w:divBdr>
                        <w:top w:val="none" w:sz="0" w:space="0" w:color="auto"/>
                        <w:left w:val="none" w:sz="0" w:space="0" w:color="auto"/>
                        <w:bottom w:val="none" w:sz="0" w:space="0" w:color="auto"/>
                        <w:right w:val="none" w:sz="0" w:space="0" w:color="auto"/>
                      </w:divBdr>
                    </w:div>
                  </w:divsChild>
                </w:div>
                <w:div w:id="527765555">
                  <w:marLeft w:val="0"/>
                  <w:marRight w:val="0"/>
                  <w:marTop w:val="0"/>
                  <w:marBottom w:val="0"/>
                  <w:divBdr>
                    <w:top w:val="none" w:sz="0" w:space="0" w:color="auto"/>
                    <w:left w:val="none" w:sz="0" w:space="0" w:color="auto"/>
                    <w:bottom w:val="none" w:sz="0" w:space="0" w:color="auto"/>
                    <w:right w:val="none" w:sz="0" w:space="0" w:color="auto"/>
                  </w:divBdr>
                  <w:divsChild>
                    <w:div w:id="2120368143">
                      <w:marLeft w:val="0"/>
                      <w:marRight w:val="0"/>
                      <w:marTop w:val="0"/>
                      <w:marBottom w:val="0"/>
                      <w:divBdr>
                        <w:top w:val="none" w:sz="0" w:space="0" w:color="auto"/>
                        <w:left w:val="none" w:sz="0" w:space="0" w:color="auto"/>
                        <w:bottom w:val="none" w:sz="0" w:space="0" w:color="auto"/>
                        <w:right w:val="none" w:sz="0" w:space="0" w:color="auto"/>
                      </w:divBdr>
                    </w:div>
                  </w:divsChild>
                </w:div>
                <w:div w:id="690958668">
                  <w:marLeft w:val="0"/>
                  <w:marRight w:val="0"/>
                  <w:marTop w:val="0"/>
                  <w:marBottom w:val="0"/>
                  <w:divBdr>
                    <w:top w:val="none" w:sz="0" w:space="0" w:color="auto"/>
                    <w:left w:val="none" w:sz="0" w:space="0" w:color="auto"/>
                    <w:bottom w:val="none" w:sz="0" w:space="0" w:color="auto"/>
                    <w:right w:val="none" w:sz="0" w:space="0" w:color="auto"/>
                  </w:divBdr>
                  <w:divsChild>
                    <w:div w:id="1546091666">
                      <w:marLeft w:val="0"/>
                      <w:marRight w:val="0"/>
                      <w:marTop w:val="0"/>
                      <w:marBottom w:val="0"/>
                      <w:divBdr>
                        <w:top w:val="none" w:sz="0" w:space="0" w:color="auto"/>
                        <w:left w:val="none" w:sz="0" w:space="0" w:color="auto"/>
                        <w:bottom w:val="none" w:sz="0" w:space="0" w:color="auto"/>
                        <w:right w:val="none" w:sz="0" w:space="0" w:color="auto"/>
                      </w:divBdr>
                    </w:div>
                  </w:divsChild>
                </w:div>
                <w:div w:id="725758976">
                  <w:marLeft w:val="0"/>
                  <w:marRight w:val="0"/>
                  <w:marTop w:val="0"/>
                  <w:marBottom w:val="0"/>
                  <w:divBdr>
                    <w:top w:val="none" w:sz="0" w:space="0" w:color="auto"/>
                    <w:left w:val="none" w:sz="0" w:space="0" w:color="auto"/>
                    <w:bottom w:val="none" w:sz="0" w:space="0" w:color="auto"/>
                    <w:right w:val="none" w:sz="0" w:space="0" w:color="auto"/>
                  </w:divBdr>
                  <w:divsChild>
                    <w:div w:id="229929796">
                      <w:marLeft w:val="0"/>
                      <w:marRight w:val="0"/>
                      <w:marTop w:val="0"/>
                      <w:marBottom w:val="0"/>
                      <w:divBdr>
                        <w:top w:val="none" w:sz="0" w:space="0" w:color="auto"/>
                        <w:left w:val="none" w:sz="0" w:space="0" w:color="auto"/>
                        <w:bottom w:val="none" w:sz="0" w:space="0" w:color="auto"/>
                        <w:right w:val="none" w:sz="0" w:space="0" w:color="auto"/>
                      </w:divBdr>
                    </w:div>
                  </w:divsChild>
                </w:div>
                <w:div w:id="799149770">
                  <w:marLeft w:val="0"/>
                  <w:marRight w:val="0"/>
                  <w:marTop w:val="0"/>
                  <w:marBottom w:val="0"/>
                  <w:divBdr>
                    <w:top w:val="none" w:sz="0" w:space="0" w:color="auto"/>
                    <w:left w:val="none" w:sz="0" w:space="0" w:color="auto"/>
                    <w:bottom w:val="none" w:sz="0" w:space="0" w:color="auto"/>
                    <w:right w:val="none" w:sz="0" w:space="0" w:color="auto"/>
                  </w:divBdr>
                  <w:divsChild>
                    <w:div w:id="1781413046">
                      <w:marLeft w:val="0"/>
                      <w:marRight w:val="0"/>
                      <w:marTop w:val="0"/>
                      <w:marBottom w:val="0"/>
                      <w:divBdr>
                        <w:top w:val="none" w:sz="0" w:space="0" w:color="auto"/>
                        <w:left w:val="none" w:sz="0" w:space="0" w:color="auto"/>
                        <w:bottom w:val="none" w:sz="0" w:space="0" w:color="auto"/>
                        <w:right w:val="none" w:sz="0" w:space="0" w:color="auto"/>
                      </w:divBdr>
                    </w:div>
                  </w:divsChild>
                </w:div>
                <w:div w:id="821240503">
                  <w:marLeft w:val="0"/>
                  <w:marRight w:val="0"/>
                  <w:marTop w:val="0"/>
                  <w:marBottom w:val="0"/>
                  <w:divBdr>
                    <w:top w:val="none" w:sz="0" w:space="0" w:color="auto"/>
                    <w:left w:val="none" w:sz="0" w:space="0" w:color="auto"/>
                    <w:bottom w:val="none" w:sz="0" w:space="0" w:color="auto"/>
                    <w:right w:val="none" w:sz="0" w:space="0" w:color="auto"/>
                  </w:divBdr>
                  <w:divsChild>
                    <w:div w:id="486942340">
                      <w:marLeft w:val="0"/>
                      <w:marRight w:val="0"/>
                      <w:marTop w:val="0"/>
                      <w:marBottom w:val="0"/>
                      <w:divBdr>
                        <w:top w:val="none" w:sz="0" w:space="0" w:color="auto"/>
                        <w:left w:val="none" w:sz="0" w:space="0" w:color="auto"/>
                        <w:bottom w:val="none" w:sz="0" w:space="0" w:color="auto"/>
                        <w:right w:val="none" w:sz="0" w:space="0" w:color="auto"/>
                      </w:divBdr>
                    </w:div>
                  </w:divsChild>
                </w:div>
                <w:div w:id="896744673">
                  <w:marLeft w:val="0"/>
                  <w:marRight w:val="0"/>
                  <w:marTop w:val="0"/>
                  <w:marBottom w:val="0"/>
                  <w:divBdr>
                    <w:top w:val="none" w:sz="0" w:space="0" w:color="auto"/>
                    <w:left w:val="none" w:sz="0" w:space="0" w:color="auto"/>
                    <w:bottom w:val="none" w:sz="0" w:space="0" w:color="auto"/>
                    <w:right w:val="none" w:sz="0" w:space="0" w:color="auto"/>
                  </w:divBdr>
                  <w:divsChild>
                    <w:div w:id="697202117">
                      <w:marLeft w:val="0"/>
                      <w:marRight w:val="0"/>
                      <w:marTop w:val="0"/>
                      <w:marBottom w:val="0"/>
                      <w:divBdr>
                        <w:top w:val="none" w:sz="0" w:space="0" w:color="auto"/>
                        <w:left w:val="none" w:sz="0" w:space="0" w:color="auto"/>
                        <w:bottom w:val="none" w:sz="0" w:space="0" w:color="auto"/>
                        <w:right w:val="none" w:sz="0" w:space="0" w:color="auto"/>
                      </w:divBdr>
                    </w:div>
                  </w:divsChild>
                </w:div>
                <w:div w:id="992566321">
                  <w:marLeft w:val="0"/>
                  <w:marRight w:val="0"/>
                  <w:marTop w:val="0"/>
                  <w:marBottom w:val="0"/>
                  <w:divBdr>
                    <w:top w:val="none" w:sz="0" w:space="0" w:color="auto"/>
                    <w:left w:val="none" w:sz="0" w:space="0" w:color="auto"/>
                    <w:bottom w:val="none" w:sz="0" w:space="0" w:color="auto"/>
                    <w:right w:val="none" w:sz="0" w:space="0" w:color="auto"/>
                  </w:divBdr>
                  <w:divsChild>
                    <w:div w:id="1784180068">
                      <w:marLeft w:val="0"/>
                      <w:marRight w:val="0"/>
                      <w:marTop w:val="0"/>
                      <w:marBottom w:val="0"/>
                      <w:divBdr>
                        <w:top w:val="none" w:sz="0" w:space="0" w:color="auto"/>
                        <w:left w:val="none" w:sz="0" w:space="0" w:color="auto"/>
                        <w:bottom w:val="none" w:sz="0" w:space="0" w:color="auto"/>
                        <w:right w:val="none" w:sz="0" w:space="0" w:color="auto"/>
                      </w:divBdr>
                    </w:div>
                  </w:divsChild>
                </w:div>
                <w:div w:id="1111709363">
                  <w:marLeft w:val="0"/>
                  <w:marRight w:val="0"/>
                  <w:marTop w:val="0"/>
                  <w:marBottom w:val="0"/>
                  <w:divBdr>
                    <w:top w:val="none" w:sz="0" w:space="0" w:color="auto"/>
                    <w:left w:val="none" w:sz="0" w:space="0" w:color="auto"/>
                    <w:bottom w:val="none" w:sz="0" w:space="0" w:color="auto"/>
                    <w:right w:val="none" w:sz="0" w:space="0" w:color="auto"/>
                  </w:divBdr>
                  <w:divsChild>
                    <w:div w:id="479658162">
                      <w:marLeft w:val="0"/>
                      <w:marRight w:val="0"/>
                      <w:marTop w:val="0"/>
                      <w:marBottom w:val="0"/>
                      <w:divBdr>
                        <w:top w:val="none" w:sz="0" w:space="0" w:color="auto"/>
                        <w:left w:val="none" w:sz="0" w:space="0" w:color="auto"/>
                        <w:bottom w:val="none" w:sz="0" w:space="0" w:color="auto"/>
                        <w:right w:val="none" w:sz="0" w:space="0" w:color="auto"/>
                      </w:divBdr>
                    </w:div>
                  </w:divsChild>
                </w:div>
                <w:div w:id="1119447685">
                  <w:marLeft w:val="0"/>
                  <w:marRight w:val="0"/>
                  <w:marTop w:val="0"/>
                  <w:marBottom w:val="0"/>
                  <w:divBdr>
                    <w:top w:val="none" w:sz="0" w:space="0" w:color="auto"/>
                    <w:left w:val="none" w:sz="0" w:space="0" w:color="auto"/>
                    <w:bottom w:val="none" w:sz="0" w:space="0" w:color="auto"/>
                    <w:right w:val="none" w:sz="0" w:space="0" w:color="auto"/>
                  </w:divBdr>
                  <w:divsChild>
                    <w:div w:id="959610750">
                      <w:marLeft w:val="0"/>
                      <w:marRight w:val="0"/>
                      <w:marTop w:val="0"/>
                      <w:marBottom w:val="0"/>
                      <w:divBdr>
                        <w:top w:val="none" w:sz="0" w:space="0" w:color="auto"/>
                        <w:left w:val="none" w:sz="0" w:space="0" w:color="auto"/>
                        <w:bottom w:val="none" w:sz="0" w:space="0" w:color="auto"/>
                        <w:right w:val="none" w:sz="0" w:space="0" w:color="auto"/>
                      </w:divBdr>
                    </w:div>
                  </w:divsChild>
                </w:div>
                <w:div w:id="1144397774">
                  <w:marLeft w:val="0"/>
                  <w:marRight w:val="0"/>
                  <w:marTop w:val="0"/>
                  <w:marBottom w:val="0"/>
                  <w:divBdr>
                    <w:top w:val="none" w:sz="0" w:space="0" w:color="auto"/>
                    <w:left w:val="none" w:sz="0" w:space="0" w:color="auto"/>
                    <w:bottom w:val="none" w:sz="0" w:space="0" w:color="auto"/>
                    <w:right w:val="none" w:sz="0" w:space="0" w:color="auto"/>
                  </w:divBdr>
                  <w:divsChild>
                    <w:div w:id="1245604510">
                      <w:marLeft w:val="0"/>
                      <w:marRight w:val="0"/>
                      <w:marTop w:val="0"/>
                      <w:marBottom w:val="0"/>
                      <w:divBdr>
                        <w:top w:val="none" w:sz="0" w:space="0" w:color="auto"/>
                        <w:left w:val="none" w:sz="0" w:space="0" w:color="auto"/>
                        <w:bottom w:val="none" w:sz="0" w:space="0" w:color="auto"/>
                        <w:right w:val="none" w:sz="0" w:space="0" w:color="auto"/>
                      </w:divBdr>
                    </w:div>
                  </w:divsChild>
                </w:div>
                <w:div w:id="1226381901">
                  <w:marLeft w:val="0"/>
                  <w:marRight w:val="0"/>
                  <w:marTop w:val="0"/>
                  <w:marBottom w:val="0"/>
                  <w:divBdr>
                    <w:top w:val="none" w:sz="0" w:space="0" w:color="auto"/>
                    <w:left w:val="none" w:sz="0" w:space="0" w:color="auto"/>
                    <w:bottom w:val="none" w:sz="0" w:space="0" w:color="auto"/>
                    <w:right w:val="none" w:sz="0" w:space="0" w:color="auto"/>
                  </w:divBdr>
                  <w:divsChild>
                    <w:div w:id="1406684474">
                      <w:marLeft w:val="0"/>
                      <w:marRight w:val="0"/>
                      <w:marTop w:val="0"/>
                      <w:marBottom w:val="0"/>
                      <w:divBdr>
                        <w:top w:val="none" w:sz="0" w:space="0" w:color="auto"/>
                        <w:left w:val="none" w:sz="0" w:space="0" w:color="auto"/>
                        <w:bottom w:val="none" w:sz="0" w:space="0" w:color="auto"/>
                        <w:right w:val="none" w:sz="0" w:space="0" w:color="auto"/>
                      </w:divBdr>
                    </w:div>
                    <w:div w:id="2113670050">
                      <w:marLeft w:val="0"/>
                      <w:marRight w:val="0"/>
                      <w:marTop w:val="0"/>
                      <w:marBottom w:val="0"/>
                      <w:divBdr>
                        <w:top w:val="none" w:sz="0" w:space="0" w:color="auto"/>
                        <w:left w:val="none" w:sz="0" w:space="0" w:color="auto"/>
                        <w:bottom w:val="none" w:sz="0" w:space="0" w:color="auto"/>
                        <w:right w:val="none" w:sz="0" w:space="0" w:color="auto"/>
                      </w:divBdr>
                    </w:div>
                  </w:divsChild>
                </w:div>
                <w:div w:id="1238904927">
                  <w:marLeft w:val="0"/>
                  <w:marRight w:val="0"/>
                  <w:marTop w:val="0"/>
                  <w:marBottom w:val="0"/>
                  <w:divBdr>
                    <w:top w:val="none" w:sz="0" w:space="0" w:color="auto"/>
                    <w:left w:val="none" w:sz="0" w:space="0" w:color="auto"/>
                    <w:bottom w:val="none" w:sz="0" w:space="0" w:color="auto"/>
                    <w:right w:val="none" w:sz="0" w:space="0" w:color="auto"/>
                  </w:divBdr>
                  <w:divsChild>
                    <w:div w:id="984162752">
                      <w:marLeft w:val="0"/>
                      <w:marRight w:val="0"/>
                      <w:marTop w:val="0"/>
                      <w:marBottom w:val="0"/>
                      <w:divBdr>
                        <w:top w:val="none" w:sz="0" w:space="0" w:color="auto"/>
                        <w:left w:val="none" w:sz="0" w:space="0" w:color="auto"/>
                        <w:bottom w:val="none" w:sz="0" w:space="0" w:color="auto"/>
                        <w:right w:val="none" w:sz="0" w:space="0" w:color="auto"/>
                      </w:divBdr>
                    </w:div>
                  </w:divsChild>
                </w:div>
                <w:div w:id="1244491146">
                  <w:marLeft w:val="0"/>
                  <w:marRight w:val="0"/>
                  <w:marTop w:val="0"/>
                  <w:marBottom w:val="0"/>
                  <w:divBdr>
                    <w:top w:val="none" w:sz="0" w:space="0" w:color="auto"/>
                    <w:left w:val="none" w:sz="0" w:space="0" w:color="auto"/>
                    <w:bottom w:val="none" w:sz="0" w:space="0" w:color="auto"/>
                    <w:right w:val="none" w:sz="0" w:space="0" w:color="auto"/>
                  </w:divBdr>
                  <w:divsChild>
                    <w:div w:id="439909916">
                      <w:marLeft w:val="0"/>
                      <w:marRight w:val="0"/>
                      <w:marTop w:val="0"/>
                      <w:marBottom w:val="0"/>
                      <w:divBdr>
                        <w:top w:val="none" w:sz="0" w:space="0" w:color="auto"/>
                        <w:left w:val="none" w:sz="0" w:space="0" w:color="auto"/>
                        <w:bottom w:val="none" w:sz="0" w:space="0" w:color="auto"/>
                        <w:right w:val="none" w:sz="0" w:space="0" w:color="auto"/>
                      </w:divBdr>
                    </w:div>
                    <w:div w:id="655453757">
                      <w:marLeft w:val="0"/>
                      <w:marRight w:val="0"/>
                      <w:marTop w:val="0"/>
                      <w:marBottom w:val="0"/>
                      <w:divBdr>
                        <w:top w:val="none" w:sz="0" w:space="0" w:color="auto"/>
                        <w:left w:val="none" w:sz="0" w:space="0" w:color="auto"/>
                        <w:bottom w:val="none" w:sz="0" w:space="0" w:color="auto"/>
                        <w:right w:val="none" w:sz="0" w:space="0" w:color="auto"/>
                      </w:divBdr>
                    </w:div>
                  </w:divsChild>
                </w:div>
                <w:div w:id="1270163930">
                  <w:marLeft w:val="0"/>
                  <w:marRight w:val="0"/>
                  <w:marTop w:val="0"/>
                  <w:marBottom w:val="0"/>
                  <w:divBdr>
                    <w:top w:val="none" w:sz="0" w:space="0" w:color="auto"/>
                    <w:left w:val="none" w:sz="0" w:space="0" w:color="auto"/>
                    <w:bottom w:val="none" w:sz="0" w:space="0" w:color="auto"/>
                    <w:right w:val="none" w:sz="0" w:space="0" w:color="auto"/>
                  </w:divBdr>
                  <w:divsChild>
                    <w:div w:id="1577860906">
                      <w:marLeft w:val="0"/>
                      <w:marRight w:val="0"/>
                      <w:marTop w:val="0"/>
                      <w:marBottom w:val="0"/>
                      <w:divBdr>
                        <w:top w:val="none" w:sz="0" w:space="0" w:color="auto"/>
                        <w:left w:val="none" w:sz="0" w:space="0" w:color="auto"/>
                        <w:bottom w:val="none" w:sz="0" w:space="0" w:color="auto"/>
                        <w:right w:val="none" w:sz="0" w:space="0" w:color="auto"/>
                      </w:divBdr>
                    </w:div>
                  </w:divsChild>
                </w:div>
                <w:div w:id="1279871451">
                  <w:marLeft w:val="0"/>
                  <w:marRight w:val="0"/>
                  <w:marTop w:val="0"/>
                  <w:marBottom w:val="0"/>
                  <w:divBdr>
                    <w:top w:val="none" w:sz="0" w:space="0" w:color="auto"/>
                    <w:left w:val="none" w:sz="0" w:space="0" w:color="auto"/>
                    <w:bottom w:val="none" w:sz="0" w:space="0" w:color="auto"/>
                    <w:right w:val="none" w:sz="0" w:space="0" w:color="auto"/>
                  </w:divBdr>
                  <w:divsChild>
                    <w:div w:id="544295493">
                      <w:marLeft w:val="0"/>
                      <w:marRight w:val="0"/>
                      <w:marTop w:val="0"/>
                      <w:marBottom w:val="0"/>
                      <w:divBdr>
                        <w:top w:val="none" w:sz="0" w:space="0" w:color="auto"/>
                        <w:left w:val="none" w:sz="0" w:space="0" w:color="auto"/>
                        <w:bottom w:val="none" w:sz="0" w:space="0" w:color="auto"/>
                        <w:right w:val="none" w:sz="0" w:space="0" w:color="auto"/>
                      </w:divBdr>
                    </w:div>
                  </w:divsChild>
                </w:div>
                <w:div w:id="1356417802">
                  <w:marLeft w:val="0"/>
                  <w:marRight w:val="0"/>
                  <w:marTop w:val="0"/>
                  <w:marBottom w:val="0"/>
                  <w:divBdr>
                    <w:top w:val="none" w:sz="0" w:space="0" w:color="auto"/>
                    <w:left w:val="none" w:sz="0" w:space="0" w:color="auto"/>
                    <w:bottom w:val="none" w:sz="0" w:space="0" w:color="auto"/>
                    <w:right w:val="none" w:sz="0" w:space="0" w:color="auto"/>
                  </w:divBdr>
                  <w:divsChild>
                    <w:div w:id="1197736982">
                      <w:marLeft w:val="0"/>
                      <w:marRight w:val="0"/>
                      <w:marTop w:val="0"/>
                      <w:marBottom w:val="0"/>
                      <w:divBdr>
                        <w:top w:val="none" w:sz="0" w:space="0" w:color="auto"/>
                        <w:left w:val="none" w:sz="0" w:space="0" w:color="auto"/>
                        <w:bottom w:val="none" w:sz="0" w:space="0" w:color="auto"/>
                        <w:right w:val="none" w:sz="0" w:space="0" w:color="auto"/>
                      </w:divBdr>
                    </w:div>
                  </w:divsChild>
                </w:div>
                <w:div w:id="1383796633">
                  <w:marLeft w:val="0"/>
                  <w:marRight w:val="0"/>
                  <w:marTop w:val="0"/>
                  <w:marBottom w:val="0"/>
                  <w:divBdr>
                    <w:top w:val="none" w:sz="0" w:space="0" w:color="auto"/>
                    <w:left w:val="none" w:sz="0" w:space="0" w:color="auto"/>
                    <w:bottom w:val="none" w:sz="0" w:space="0" w:color="auto"/>
                    <w:right w:val="none" w:sz="0" w:space="0" w:color="auto"/>
                  </w:divBdr>
                  <w:divsChild>
                    <w:div w:id="89546437">
                      <w:marLeft w:val="0"/>
                      <w:marRight w:val="0"/>
                      <w:marTop w:val="0"/>
                      <w:marBottom w:val="0"/>
                      <w:divBdr>
                        <w:top w:val="none" w:sz="0" w:space="0" w:color="auto"/>
                        <w:left w:val="none" w:sz="0" w:space="0" w:color="auto"/>
                        <w:bottom w:val="none" w:sz="0" w:space="0" w:color="auto"/>
                        <w:right w:val="none" w:sz="0" w:space="0" w:color="auto"/>
                      </w:divBdr>
                    </w:div>
                  </w:divsChild>
                </w:div>
                <w:div w:id="1427000737">
                  <w:marLeft w:val="0"/>
                  <w:marRight w:val="0"/>
                  <w:marTop w:val="0"/>
                  <w:marBottom w:val="0"/>
                  <w:divBdr>
                    <w:top w:val="none" w:sz="0" w:space="0" w:color="auto"/>
                    <w:left w:val="none" w:sz="0" w:space="0" w:color="auto"/>
                    <w:bottom w:val="none" w:sz="0" w:space="0" w:color="auto"/>
                    <w:right w:val="none" w:sz="0" w:space="0" w:color="auto"/>
                  </w:divBdr>
                  <w:divsChild>
                    <w:div w:id="1803890410">
                      <w:marLeft w:val="0"/>
                      <w:marRight w:val="0"/>
                      <w:marTop w:val="0"/>
                      <w:marBottom w:val="0"/>
                      <w:divBdr>
                        <w:top w:val="none" w:sz="0" w:space="0" w:color="auto"/>
                        <w:left w:val="none" w:sz="0" w:space="0" w:color="auto"/>
                        <w:bottom w:val="none" w:sz="0" w:space="0" w:color="auto"/>
                        <w:right w:val="none" w:sz="0" w:space="0" w:color="auto"/>
                      </w:divBdr>
                    </w:div>
                  </w:divsChild>
                </w:div>
                <w:div w:id="1501584212">
                  <w:marLeft w:val="0"/>
                  <w:marRight w:val="0"/>
                  <w:marTop w:val="0"/>
                  <w:marBottom w:val="0"/>
                  <w:divBdr>
                    <w:top w:val="none" w:sz="0" w:space="0" w:color="auto"/>
                    <w:left w:val="none" w:sz="0" w:space="0" w:color="auto"/>
                    <w:bottom w:val="none" w:sz="0" w:space="0" w:color="auto"/>
                    <w:right w:val="none" w:sz="0" w:space="0" w:color="auto"/>
                  </w:divBdr>
                  <w:divsChild>
                    <w:div w:id="765804706">
                      <w:marLeft w:val="0"/>
                      <w:marRight w:val="0"/>
                      <w:marTop w:val="0"/>
                      <w:marBottom w:val="0"/>
                      <w:divBdr>
                        <w:top w:val="none" w:sz="0" w:space="0" w:color="auto"/>
                        <w:left w:val="none" w:sz="0" w:space="0" w:color="auto"/>
                        <w:bottom w:val="none" w:sz="0" w:space="0" w:color="auto"/>
                        <w:right w:val="none" w:sz="0" w:space="0" w:color="auto"/>
                      </w:divBdr>
                    </w:div>
                    <w:div w:id="857087634">
                      <w:marLeft w:val="0"/>
                      <w:marRight w:val="0"/>
                      <w:marTop w:val="0"/>
                      <w:marBottom w:val="0"/>
                      <w:divBdr>
                        <w:top w:val="none" w:sz="0" w:space="0" w:color="auto"/>
                        <w:left w:val="none" w:sz="0" w:space="0" w:color="auto"/>
                        <w:bottom w:val="none" w:sz="0" w:space="0" w:color="auto"/>
                        <w:right w:val="none" w:sz="0" w:space="0" w:color="auto"/>
                      </w:divBdr>
                    </w:div>
                  </w:divsChild>
                </w:div>
                <w:div w:id="1518228325">
                  <w:marLeft w:val="0"/>
                  <w:marRight w:val="0"/>
                  <w:marTop w:val="0"/>
                  <w:marBottom w:val="0"/>
                  <w:divBdr>
                    <w:top w:val="none" w:sz="0" w:space="0" w:color="auto"/>
                    <w:left w:val="none" w:sz="0" w:space="0" w:color="auto"/>
                    <w:bottom w:val="none" w:sz="0" w:space="0" w:color="auto"/>
                    <w:right w:val="none" w:sz="0" w:space="0" w:color="auto"/>
                  </w:divBdr>
                  <w:divsChild>
                    <w:div w:id="644285262">
                      <w:marLeft w:val="0"/>
                      <w:marRight w:val="0"/>
                      <w:marTop w:val="0"/>
                      <w:marBottom w:val="0"/>
                      <w:divBdr>
                        <w:top w:val="none" w:sz="0" w:space="0" w:color="auto"/>
                        <w:left w:val="none" w:sz="0" w:space="0" w:color="auto"/>
                        <w:bottom w:val="none" w:sz="0" w:space="0" w:color="auto"/>
                        <w:right w:val="none" w:sz="0" w:space="0" w:color="auto"/>
                      </w:divBdr>
                    </w:div>
                  </w:divsChild>
                </w:div>
                <w:div w:id="1657101625">
                  <w:marLeft w:val="0"/>
                  <w:marRight w:val="0"/>
                  <w:marTop w:val="0"/>
                  <w:marBottom w:val="0"/>
                  <w:divBdr>
                    <w:top w:val="none" w:sz="0" w:space="0" w:color="auto"/>
                    <w:left w:val="none" w:sz="0" w:space="0" w:color="auto"/>
                    <w:bottom w:val="none" w:sz="0" w:space="0" w:color="auto"/>
                    <w:right w:val="none" w:sz="0" w:space="0" w:color="auto"/>
                  </w:divBdr>
                  <w:divsChild>
                    <w:div w:id="957568028">
                      <w:marLeft w:val="0"/>
                      <w:marRight w:val="0"/>
                      <w:marTop w:val="0"/>
                      <w:marBottom w:val="0"/>
                      <w:divBdr>
                        <w:top w:val="none" w:sz="0" w:space="0" w:color="auto"/>
                        <w:left w:val="none" w:sz="0" w:space="0" w:color="auto"/>
                        <w:bottom w:val="none" w:sz="0" w:space="0" w:color="auto"/>
                        <w:right w:val="none" w:sz="0" w:space="0" w:color="auto"/>
                      </w:divBdr>
                    </w:div>
                  </w:divsChild>
                </w:div>
                <w:div w:id="1694072537">
                  <w:marLeft w:val="0"/>
                  <w:marRight w:val="0"/>
                  <w:marTop w:val="0"/>
                  <w:marBottom w:val="0"/>
                  <w:divBdr>
                    <w:top w:val="none" w:sz="0" w:space="0" w:color="auto"/>
                    <w:left w:val="none" w:sz="0" w:space="0" w:color="auto"/>
                    <w:bottom w:val="none" w:sz="0" w:space="0" w:color="auto"/>
                    <w:right w:val="none" w:sz="0" w:space="0" w:color="auto"/>
                  </w:divBdr>
                  <w:divsChild>
                    <w:div w:id="82071570">
                      <w:marLeft w:val="0"/>
                      <w:marRight w:val="0"/>
                      <w:marTop w:val="0"/>
                      <w:marBottom w:val="0"/>
                      <w:divBdr>
                        <w:top w:val="none" w:sz="0" w:space="0" w:color="auto"/>
                        <w:left w:val="none" w:sz="0" w:space="0" w:color="auto"/>
                        <w:bottom w:val="none" w:sz="0" w:space="0" w:color="auto"/>
                        <w:right w:val="none" w:sz="0" w:space="0" w:color="auto"/>
                      </w:divBdr>
                    </w:div>
                    <w:div w:id="1643653316">
                      <w:marLeft w:val="0"/>
                      <w:marRight w:val="0"/>
                      <w:marTop w:val="0"/>
                      <w:marBottom w:val="0"/>
                      <w:divBdr>
                        <w:top w:val="none" w:sz="0" w:space="0" w:color="auto"/>
                        <w:left w:val="none" w:sz="0" w:space="0" w:color="auto"/>
                        <w:bottom w:val="none" w:sz="0" w:space="0" w:color="auto"/>
                        <w:right w:val="none" w:sz="0" w:space="0" w:color="auto"/>
                      </w:divBdr>
                    </w:div>
                  </w:divsChild>
                </w:div>
                <w:div w:id="1784764218">
                  <w:marLeft w:val="0"/>
                  <w:marRight w:val="0"/>
                  <w:marTop w:val="0"/>
                  <w:marBottom w:val="0"/>
                  <w:divBdr>
                    <w:top w:val="none" w:sz="0" w:space="0" w:color="auto"/>
                    <w:left w:val="none" w:sz="0" w:space="0" w:color="auto"/>
                    <w:bottom w:val="none" w:sz="0" w:space="0" w:color="auto"/>
                    <w:right w:val="none" w:sz="0" w:space="0" w:color="auto"/>
                  </w:divBdr>
                  <w:divsChild>
                    <w:div w:id="1417242717">
                      <w:marLeft w:val="0"/>
                      <w:marRight w:val="0"/>
                      <w:marTop w:val="0"/>
                      <w:marBottom w:val="0"/>
                      <w:divBdr>
                        <w:top w:val="none" w:sz="0" w:space="0" w:color="auto"/>
                        <w:left w:val="none" w:sz="0" w:space="0" w:color="auto"/>
                        <w:bottom w:val="none" w:sz="0" w:space="0" w:color="auto"/>
                        <w:right w:val="none" w:sz="0" w:space="0" w:color="auto"/>
                      </w:divBdr>
                    </w:div>
                  </w:divsChild>
                </w:div>
                <w:div w:id="1835564435">
                  <w:marLeft w:val="0"/>
                  <w:marRight w:val="0"/>
                  <w:marTop w:val="0"/>
                  <w:marBottom w:val="0"/>
                  <w:divBdr>
                    <w:top w:val="none" w:sz="0" w:space="0" w:color="auto"/>
                    <w:left w:val="none" w:sz="0" w:space="0" w:color="auto"/>
                    <w:bottom w:val="none" w:sz="0" w:space="0" w:color="auto"/>
                    <w:right w:val="none" w:sz="0" w:space="0" w:color="auto"/>
                  </w:divBdr>
                  <w:divsChild>
                    <w:div w:id="1249271120">
                      <w:marLeft w:val="0"/>
                      <w:marRight w:val="0"/>
                      <w:marTop w:val="0"/>
                      <w:marBottom w:val="0"/>
                      <w:divBdr>
                        <w:top w:val="none" w:sz="0" w:space="0" w:color="auto"/>
                        <w:left w:val="none" w:sz="0" w:space="0" w:color="auto"/>
                        <w:bottom w:val="none" w:sz="0" w:space="0" w:color="auto"/>
                        <w:right w:val="none" w:sz="0" w:space="0" w:color="auto"/>
                      </w:divBdr>
                    </w:div>
                  </w:divsChild>
                </w:div>
                <w:div w:id="1861384506">
                  <w:marLeft w:val="0"/>
                  <w:marRight w:val="0"/>
                  <w:marTop w:val="0"/>
                  <w:marBottom w:val="0"/>
                  <w:divBdr>
                    <w:top w:val="none" w:sz="0" w:space="0" w:color="auto"/>
                    <w:left w:val="none" w:sz="0" w:space="0" w:color="auto"/>
                    <w:bottom w:val="none" w:sz="0" w:space="0" w:color="auto"/>
                    <w:right w:val="none" w:sz="0" w:space="0" w:color="auto"/>
                  </w:divBdr>
                  <w:divsChild>
                    <w:div w:id="1936329702">
                      <w:marLeft w:val="0"/>
                      <w:marRight w:val="0"/>
                      <w:marTop w:val="0"/>
                      <w:marBottom w:val="0"/>
                      <w:divBdr>
                        <w:top w:val="none" w:sz="0" w:space="0" w:color="auto"/>
                        <w:left w:val="none" w:sz="0" w:space="0" w:color="auto"/>
                        <w:bottom w:val="none" w:sz="0" w:space="0" w:color="auto"/>
                        <w:right w:val="none" w:sz="0" w:space="0" w:color="auto"/>
                      </w:divBdr>
                    </w:div>
                  </w:divsChild>
                </w:div>
                <w:div w:id="1945336739">
                  <w:marLeft w:val="0"/>
                  <w:marRight w:val="0"/>
                  <w:marTop w:val="0"/>
                  <w:marBottom w:val="0"/>
                  <w:divBdr>
                    <w:top w:val="none" w:sz="0" w:space="0" w:color="auto"/>
                    <w:left w:val="none" w:sz="0" w:space="0" w:color="auto"/>
                    <w:bottom w:val="none" w:sz="0" w:space="0" w:color="auto"/>
                    <w:right w:val="none" w:sz="0" w:space="0" w:color="auto"/>
                  </w:divBdr>
                  <w:divsChild>
                    <w:div w:id="1816675246">
                      <w:marLeft w:val="0"/>
                      <w:marRight w:val="0"/>
                      <w:marTop w:val="0"/>
                      <w:marBottom w:val="0"/>
                      <w:divBdr>
                        <w:top w:val="none" w:sz="0" w:space="0" w:color="auto"/>
                        <w:left w:val="none" w:sz="0" w:space="0" w:color="auto"/>
                        <w:bottom w:val="none" w:sz="0" w:space="0" w:color="auto"/>
                        <w:right w:val="none" w:sz="0" w:space="0" w:color="auto"/>
                      </w:divBdr>
                    </w:div>
                  </w:divsChild>
                </w:div>
                <w:div w:id="1979190180">
                  <w:marLeft w:val="0"/>
                  <w:marRight w:val="0"/>
                  <w:marTop w:val="0"/>
                  <w:marBottom w:val="0"/>
                  <w:divBdr>
                    <w:top w:val="none" w:sz="0" w:space="0" w:color="auto"/>
                    <w:left w:val="none" w:sz="0" w:space="0" w:color="auto"/>
                    <w:bottom w:val="none" w:sz="0" w:space="0" w:color="auto"/>
                    <w:right w:val="none" w:sz="0" w:space="0" w:color="auto"/>
                  </w:divBdr>
                  <w:divsChild>
                    <w:div w:id="752355028">
                      <w:marLeft w:val="0"/>
                      <w:marRight w:val="0"/>
                      <w:marTop w:val="0"/>
                      <w:marBottom w:val="0"/>
                      <w:divBdr>
                        <w:top w:val="none" w:sz="0" w:space="0" w:color="auto"/>
                        <w:left w:val="none" w:sz="0" w:space="0" w:color="auto"/>
                        <w:bottom w:val="none" w:sz="0" w:space="0" w:color="auto"/>
                        <w:right w:val="none" w:sz="0" w:space="0" w:color="auto"/>
                      </w:divBdr>
                    </w:div>
                  </w:divsChild>
                </w:div>
                <w:div w:id="1988774682">
                  <w:marLeft w:val="0"/>
                  <w:marRight w:val="0"/>
                  <w:marTop w:val="0"/>
                  <w:marBottom w:val="0"/>
                  <w:divBdr>
                    <w:top w:val="none" w:sz="0" w:space="0" w:color="auto"/>
                    <w:left w:val="none" w:sz="0" w:space="0" w:color="auto"/>
                    <w:bottom w:val="none" w:sz="0" w:space="0" w:color="auto"/>
                    <w:right w:val="none" w:sz="0" w:space="0" w:color="auto"/>
                  </w:divBdr>
                  <w:divsChild>
                    <w:div w:id="1713767564">
                      <w:marLeft w:val="0"/>
                      <w:marRight w:val="0"/>
                      <w:marTop w:val="0"/>
                      <w:marBottom w:val="0"/>
                      <w:divBdr>
                        <w:top w:val="none" w:sz="0" w:space="0" w:color="auto"/>
                        <w:left w:val="none" w:sz="0" w:space="0" w:color="auto"/>
                        <w:bottom w:val="none" w:sz="0" w:space="0" w:color="auto"/>
                        <w:right w:val="none" w:sz="0" w:space="0" w:color="auto"/>
                      </w:divBdr>
                    </w:div>
                  </w:divsChild>
                </w:div>
                <w:div w:id="2042851625">
                  <w:marLeft w:val="0"/>
                  <w:marRight w:val="0"/>
                  <w:marTop w:val="0"/>
                  <w:marBottom w:val="0"/>
                  <w:divBdr>
                    <w:top w:val="none" w:sz="0" w:space="0" w:color="auto"/>
                    <w:left w:val="none" w:sz="0" w:space="0" w:color="auto"/>
                    <w:bottom w:val="none" w:sz="0" w:space="0" w:color="auto"/>
                    <w:right w:val="none" w:sz="0" w:space="0" w:color="auto"/>
                  </w:divBdr>
                  <w:divsChild>
                    <w:div w:id="765465761">
                      <w:marLeft w:val="0"/>
                      <w:marRight w:val="0"/>
                      <w:marTop w:val="0"/>
                      <w:marBottom w:val="0"/>
                      <w:divBdr>
                        <w:top w:val="none" w:sz="0" w:space="0" w:color="auto"/>
                        <w:left w:val="none" w:sz="0" w:space="0" w:color="auto"/>
                        <w:bottom w:val="none" w:sz="0" w:space="0" w:color="auto"/>
                        <w:right w:val="none" w:sz="0" w:space="0" w:color="auto"/>
                      </w:divBdr>
                    </w:div>
                    <w:div w:id="1142503192">
                      <w:marLeft w:val="0"/>
                      <w:marRight w:val="0"/>
                      <w:marTop w:val="0"/>
                      <w:marBottom w:val="0"/>
                      <w:divBdr>
                        <w:top w:val="none" w:sz="0" w:space="0" w:color="auto"/>
                        <w:left w:val="none" w:sz="0" w:space="0" w:color="auto"/>
                        <w:bottom w:val="none" w:sz="0" w:space="0" w:color="auto"/>
                        <w:right w:val="none" w:sz="0" w:space="0" w:color="auto"/>
                      </w:divBdr>
                    </w:div>
                  </w:divsChild>
                </w:div>
                <w:div w:id="2051492867">
                  <w:marLeft w:val="0"/>
                  <w:marRight w:val="0"/>
                  <w:marTop w:val="0"/>
                  <w:marBottom w:val="0"/>
                  <w:divBdr>
                    <w:top w:val="none" w:sz="0" w:space="0" w:color="auto"/>
                    <w:left w:val="none" w:sz="0" w:space="0" w:color="auto"/>
                    <w:bottom w:val="none" w:sz="0" w:space="0" w:color="auto"/>
                    <w:right w:val="none" w:sz="0" w:space="0" w:color="auto"/>
                  </w:divBdr>
                  <w:divsChild>
                    <w:div w:id="1149596063">
                      <w:marLeft w:val="0"/>
                      <w:marRight w:val="0"/>
                      <w:marTop w:val="0"/>
                      <w:marBottom w:val="0"/>
                      <w:divBdr>
                        <w:top w:val="none" w:sz="0" w:space="0" w:color="auto"/>
                        <w:left w:val="none" w:sz="0" w:space="0" w:color="auto"/>
                        <w:bottom w:val="none" w:sz="0" w:space="0" w:color="auto"/>
                        <w:right w:val="none" w:sz="0" w:space="0" w:color="auto"/>
                      </w:divBdr>
                    </w:div>
                  </w:divsChild>
                </w:div>
                <w:div w:id="2122188834">
                  <w:marLeft w:val="0"/>
                  <w:marRight w:val="0"/>
                  <w:marTop w:val="0"/>
                  <w:marBottom w:val="0"/>
                  <w:divBdr>
                    <w:top w:val="none" w:sz="0" w:space="0" w:color="auto"/>
                    <w:left w:val="none" w:sz="0" w:space="0" w:color="auto"/>
                    <w:bottom w:val="none" w:sz="0" w:space="0" w:color="auto"/>
                    <w:right w:val="none" w:sz="0" w:space="0" w:color="auto"/>
                  </w:divBdr>
                  <w:divsChild>
                    <w:div w:id="7673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8854">
          <w:marLeft w:val="0"/>
          <w:marRight w:val="0"/>
          <w:marTop w:val="0"/>
          <w:marBottom w:val="0"/>
          <w:divBdr>
            <w:top w:val="none" w:sz="0" w:space="0" w:color="auto"/>
            <w:left w:val="none" w:sz="0" w:space="0" w:color="auto"/>
            <w:bottom w:val="none" w:sz="0" w:space="0" w:color="auto"/>
            <w:right w:val="none" w:sz="0" w:space="0" w:color="auto"/>
          </w:divBdr>
        </w:div>
        <w:div w:id="1945336821">
          <w:marLeft w:val="0"/>
          <w:marRight w:val="0"/>
          <w:marTop w:val="0"/>
          <w:marBottom w:val="0"/>
          <w:divBdr>
            <w:top w:val="none" w:sz="0" w:space="0" w:color="auto"/>
            <w:left w:val="none" w:sz="0" w:space="0" w:color="auto"/>
            <w:bottom w:val="none" w:sz="0" w:space="0" w:color="auto"/>
            <w:right w:val="none" w:sz="0" w:space="0" w:color="auto"/>
          </w:divBdr>
          <w:divsChild>
            <w:div w:id="643699526">
              <w:marLeft w:val="0"/>
              <w:marRight w:val="0"/>
              <w:marTop w:val="0"/>
              <w:marBottom w:val="0"/>
              <w:divBdr>
                <w:top w:val="none" w:sz="0" w:space="0" w:color="auto"/>
                <w:left w:val="none" w:sz="0" w:space="0" w:color="auto"/>
                <w:bottom w:val="none" w:sz="0" w:space="0" w:color="auto"/>
                <w:right w:val="none" w:sz="0" w:space="0" w:color="auto"/>
              </w:divBdr>
            </w:div>
            <w:div w:id="865409470">
              <w:marLeft w:val="0"/>
              <w:marRight w:val="0"/>
              <w:marTop w:val="0"/>
              <w:marBottom w:val="0"/>
              <w:divBdr>
                <w:top w:val="none" w:sz="0" w:space="0" w:color="auto"/>
                <w:left w:val="none" w:sz="0" w:space="0" w:color="auto"/>
                <w:bottom w:val="none" w:sz="0" w:space="0" w:color="auto"/>
                <w:right w:val="none" w:sz="0" w:space="0" w:color="auto"/>
              </w:divBdr>
            </w:div>
          </w:divsChild>
        </w:div>
        <w:div w:id="1950165550">
          <w:marLeft w:val="0"/>
          <w:marRight w:val="0"/>
          <w:marTop w:val="0"/>
          <w:marBottom w:val="0"/>
          <w:divBdr>
            <w:top w:val="none" w:sz="0" w:space="0" w:color="auto"/>
            <w:left w:val="none" w:sz="0" w:space="0" w:color="auto"/>
            <w:bottom w:val="none" w:sz="0" w:space="0" w:color="auto"/>
            <w:right w:val="none" w:sz="0" w:space="0" w:color="auto"/>
          </w:divBdr>
        </w:div>
        <w:div w:id="1958368919">
          <w:marLeft w:val="0"/>
          <w:marRight w:val="0"/>
          <w:marTop w:val="0"/>
          <w:marBottom w:val="0"/>
          <w:divBdr>
            <w:top w:val="none" w:sz="0" w:space="0" w:color="auto"/>
            <w:left w:val="none" w:sz="0" w:space="0" w:color="auto"/>
            <w:bottom w:val="none" w:sz="0" w:space="0" w:color="auto"/>
            <w:right w:val="none" w:sz="0" w:space="0" w:color="auto"/>
          </w:divBdr>
        </w:div>
        <w:div w:id="1978485395">
          <w:marLeft w:val="0"/>
          <w:marRight w:val="0"/>
          <w:marTop w:val="0"/>
          <w:marBottom w:val="0"/>
          <w:divBdr>
            <w:top w:val="none" w:sz="0" w:space="0" w:color="auto"/>
            <w:left w:val="none" w:sz="0" w:space="0" w:color="auto"/>
            <w:bottom w:val="none" w:sz="0" w:space="0" w:color="auto"/>
            <w:right w:val="none" w:sz="0" w:space="0" w:color="auto"/>
          </w:divBdr>
        </w:div>
        <w:div w:id="2085251766">
          <w:marLeft w:val="0"/>
          <w:marRight w:val="0"/>
          <w:marTop w:val="0"/>
          <w:marBottom w:val="0"/>
          <w:divBdr>
            <w:top w:val="none" w:sz="0" w:space="0" w:color="auto"/>
            <w:left w:val="none" w:sz="0" w:space="0" w:color="auto"/>
            <w:bottom w:val="none" w:sz="0" w:space="0" w:color="auto"/>
            <w:right w:val="none" w:sz="0" w:space="0" w:color="auto"/>
          </w:divBdr>
        </w:div>
        <w:div w:id="2097743362">
          <w:marLeft w:val="0"/>
          <w:marRight w:val="0"/>
          <w:marTop w:val="0"/>
          <w:marBottom w:val="0"/>
          <w:divBdr>
            <w:top w:val="none" w:sz="0" w:space="0" w:color="auto"/>
            <w:left w:val="none" w:sz="0" w:space="0" w:color="auto"/>
            <w:bottom w:val="none" w:sz="0" w:space="0" w:color="auto"/>
            <w:right w:val="none" w:sz="0" w:space="0" w:color="auto"/>
          </w:divBdr>
        </w:div>
        <w:div w:id="2098288451">
          <w:marLeft w:val="0"/>
          <w:marRight w:val="0"/>
          <w:marTop w:val="0"/>
          <w:marBottom w:val="0"/>
          <w:divBdr>
            <w:top w:val="none" w:sz="0" w:space="0" w:color="auto"/>
            <w:left w:val="none" w:sz="0" w:space="0" w:color="auto"/>
            <w:bottom w:val="none" w:sz="0" w:space="0" w:color="auto"/>
            <w:right w:val="none" w:sz="0" w:space="0" w:color="auto"/>
          </w:divBdr>
        </w:div>
        <w:div w:id="2122650790">
          <w:marLeft w:val="0"/>
          <w:marRight w:val="0"/>
          <w:marTop w:val="0"/>
          <w:marBottom w:val="0"/>
          <w:divBdr>
            <w:top w:val="none" w:sz="0" w:space="0" w:color="auto"/>
            <w:left w:val="none" w:sz="0" w:space="0" w:color="auto"/>
            <w:bottom w:val="none" w:sz="0" w:space="0" w:color="auto"/>
            <w:right w:val="none" w:sz="0" w:space="0" w:color="auto"/>
          </w:divBdr>
        </w:div>
      </w:divsChild>
    </w:div>
    <w:div w:id="850535571">
      <w:bodyDiv w:val="1"/>
      <w:marLeft w:val="0"/>
      <w:marRight w:val="0"/>
      <w:marTop w:val="0"/>
      <w:marBottom w:val="0"/>
      <w:divBdr>
        <w:top w:val="none" w:sz="0" w:space="0" w:color="auto"/>
        <w:left w:val="none" w:sz="0" w:space="0" w:color="auto"/>
        <w:bottom w:val="none" w:sz="0" w:space="0" w:color="auto"/>
        <w:right w:val="none" w:sz="0" w:space="0" w:color="auto"/>
      </w:divBdr>
    </w:div>
    <w:div w:id="917521284">
      <w:bodyDiv w:val="1"/>
      <w:marLeft w:val="0"/>
      <w:marRight w:val="0"/>
      <w:marTop w:val="0"/>
      <w:marBottom w:val="0"/>
      <w:divBdr>
        <w:top w:val="none" w:sz="0" w:space="0" w:color="auto"/>
        <w:left w:val="none" w:sz="0" w:space="0" w:color="auto"/>
        <w:bottom w:val="none" w:sz="0" w:space="0" w:color="auto"/>
        <w:right w:val="none" w:sz="0" w:space="0" w:color="auto"/>
      </w:divBdr>
    </w:div>
    <w:div w:id="1142044765">
      <w:bodyDiv w:val="1"/>
      <w:marLeft w:val="0"/>
      <w:marRight w:val="0"/>
      <w:marTop w:val="0"/>
      <w:marBottom w:val="0"/>
      <w:divBdr>
        <w:top w:val="none" w:sz="0" w:space="0" w:color="auto"/>
        <w:left w:val="none" w:sz="0" w:space="0" w:color="auto"/>
        <w:bottom w:val="none" w:sz="0" w:space="0" w:color="auto"/>
        <w:right w:val="none" w:sz="0" w:space="0" w:color="auto"/>
      </w:divBdr>
    </w:div>
    <w:div w:id="1382366160">
      <w:bodyDiv w:val="1"/>
      <w:marLeft w:val="0"/>
      <w:marRight w:val="0"/>
      <w:marTop w:val="0"/>
      <w:marBottom w:val="0"/>
      <w:divBdr>
        <w:top w:val="none" w:sz="0" w:space="0" w:color="auto"/>
        <w:left w:val="none" w:sz="0" w:space="0" w:color="auto"/>
        <w:bottom w:val="none" w:sz="0" w:space="0" w:color="auto"/>
        <w:right w:val="none" w:sz="0" w:space="0" w:color="auto"/>
      </w:divBdr>
    </w:div>
    <w:div w:id="1449010533">
      <w:bodyDiv w:val="1"/>
      <w:marLeft w:val="0"/>
      <w:marRight w:val="0"/>
      <w:marTop w:val="0"/>
      <w:marBottom w:val="0"/>
      <w:divBdr>
        <w:top w:val="none" w:sz="0" w:space="0" w:color="auto"/>
        <w:left w:val="none" w:sz="0" w:space="0" w:color="auto"/>
        <w:bottom w:val="none" w:sz="0" w:space="0" w:color="auto"/>
        <w:right w:val="none" w:sz="0" w:space="0" w:color="auto"/>
      </w:divBdr>
    </w:div>
    <w:div w:id="1524901955">
      <w:bodyDiv w:val="1"/>
      <w:marLeft w:val="0"/>
      <w:marRight w:val="0"/>
      <w:marTop w:val="0"/>
      <w:marBottom w:val="0"/>
      <w:divBdr>
        <w:top w:val="none" w:sz="0" w:space="0" w:color="auto"/>
        <w:left w:val="none" w:sz="0" w:space="0" w:color="auto"/>
        <w:bottom w:val="none" w:sz="0" w:space="0" w:color="auto"/>
        <w:right w:val="none" w:sz="0" w:space="0" w:color="auto"/>
      </w:divBdr>
    </w:div>
    <w:div w:id="1779719910">
      <w:bodyDiv w:val="1"/>
      <w:marLeft w:val="0"/>
      <w:marRight w:val="0"/>
      <w:marTop w:val="0"/>
      <w:marBottom w:val="0"/>
      <w:divBdr>
        <w:top w:val="none" w:sz="0" w:space="0" w:color="auto"/>
        <w:left w:val="none" w:sz="0" w:space="0" w:color="auto"/>
        <w:bottom w:val="none" w:sz="0" w:space="0" w:color="auto"/>
        <w:right w:val="none" w:sz="0" w:space="0" w:color="auto"/>
      </w:divBdr>
    </w:div>
    <w:div w:id="1807971748">
      <w:bodyDiv w:val="1"/>
      <w:marLeft w:val="0"/>
      <w:marRight w:val="0"/>
      <w:marTop w:val="0"/>
      <w:marBottom w:val="0"/>
      <w:divBdr>
        <w:top w:val="none" w:sz="0" w:space="0" w:color="auto"/>
        <w:left w:val="none" w:sz="0" w:space="0" w:color="auto"/>
        <w:bottom w:val="none" w:sz="0" w:space="0" w:color="auto"/>
        <w:right w:val="none" w:sz="0" w:space="0" w:color="auto"/>
      </w:divBdr>
    </w:div>
    <w:div w:id="1827162648">
      <w:bodyDiv w:val="1"/>
      <w:marLeft w:val="0"/>
      <w:marRight w:val="0"/>
      <w:marTop w:val="0"/>
      <w:marBottom w:val="0"/>
      <w:divBdr>
        <w:top w:val="none" w:sz="0" w:space="0" w:color="auto"/>
        <w:left w:val="none" w:sz="0" w:space="0" w:color="auto"/>
        <w:bottom w:val="none" w:sz="0" w:space="0" w:color="auto"/>
        <w:right w:val="none" w:sz="0" w:space="0" w:color="auto"/>
      </w:divBdr>
    </w:div>
    <w:div w:id="1831096723">
      <w:bodyDiv w:val="1"/>
      <w:marLeft w:val="0"/>
      <w:marRight w:val="0"/>
      <w:marTop w:val="0"/>
      <w:marBottom w:val="0"/>
      <w:divBdr>
        <w:top w:val="none" w:sz="0" w:space="0" w:color="auto"/>
        <w:left w:val="none" w:sz="0" w:space="0" w:color="auto"/>
        <w:bottom w:val="none" w:sz="0" w:space="0" w:color="auto"/>
        <w:right w:val="none" w:sz="0" w:space="0" w:color="auto"/>
      </w:divBdr>
    </w:div>
    <w:div w:id="1854878282">
      <w:bodyDiv w:val="1"/>
      <w:marLeft w:val="0"/>
      <w:marRight w:val="0"/>
      <w:marTop w:val="0"/>
      <w:marBottom w:val="0"/>
      <w:divBdr>
        <w:top w:val="none" w:sz="0" w:space="0" w:color="auto"/>
        <w:left w:val="none" w:sz="0" w:space="0" w:color="auto"/>
        <w:bottom w:val="none" w:sz="0" w:space="0" w:color="auto"/>
        <w:right w:val="none" w:sz="0" w:space="0" w:color="auto"/>
      </w:divBdr>
      <w:divsChild>
        <w:div w:id="4866703">
          <w:marLeft w:val="0"/>
          <w:marRight w:val="0"/>
          <w:marTop w:val="0"/>
          <w:marBottom w:val="0"/>
          <w:divBdr>
            <w:top w:val="none" w:sz="0" w:space="0" w:color="auto"/>
            <w:left w:val="none" w:sz="0" w:space="0" w:color="auto"/>
            <w:bottom w:val="none" w:sz="0" w:space="0" w:color="auto"/>
            <w:right w:val="none" w:sz="0" w:space="0" w:color="auto"/>
          </w:divBdr>
        </w:div>
        <w:div w:id="7953295">
          <w:marLeft w:val="0"/>
          <w:marRight w:val="0"/>
          <w:marTop w:val="0"/>
          <w:marBottom w:val="0"/>
          <w:divBdr>
            <w:top w:val="none" w:sz="0" w:space="0" w:color="auto"/>
            <w:left w:val="none" w:sz="0" w:space="0" w:color="auto"/>
            <w:bottom w:val="none" w:sz="0" w:space="0" w:color="auto"/>
            <w:right w:val="none" w:sz="0" w:space="0" w:color="auto"/>
          </w:divBdr>
        </w:div>
        <w:div w:id="16125174">
          <w:marLeft w:val="0"/>
          <w:marRight w:val="0"/>
          <w:marTop w:val="0"/>
          <w:marBottom w:val="0"/>
          <w:divBdr>
            <w:top w:val="none" w:sz="0" w:space="0" w:color="auto"/>
            <w:left w:val="none" w:sz="0" w:space="0" w:color="auto"/>
            <w:bottom w:val="none" w:sz="0" w:space="0" w:color="auto"/>
            <w:right w:val="none" w:sz="0" w:space="0" w:color="auto"/>
          </w:divBdr>
        </w:div>
        <w:div w:id="19209885">
          <w:marLeft w:val="0"/>
          <w:marRight w:val="0"/>
          <w:marTop w:val="0"/>
          <w:marBottom w:val="0"/>
          <w:divBdr>
            <w:top w:val="none" w:sz="0" w:space="0" w:color="auto"/>
            <w:left w:val="none" w:sz="0" w:space="0" w:color="auto"/>
            <w:bottom w:val="none" w:sz="0" w:space="0" w:color="auto"/>
            <w:right w:val="none" w:sz="0" w:space="0" w:color="auto"/>
          </w:divBdr>
        </w:div>
        <w:div w:id="26566285">
          <w:marLeft w:val="0"/>
          <w:marRight w:val="0"/>
          <w:marTop w:val="0"/>
          <w:marBottom w:val="0"/>
          <w:divBdr>
            <w:top w:val="none" w:sz="0" w:space="0" w:color="auto"/>
            <w:left w:val="none" w:sz="0" w:space="0" w:color="auto"/>
            <w:bottom w:val="none" w:sz="0" w:space="0" w:color="auto"/>
            <w:right w:val="none" w:sz="0" w:space="0" w:color="auto"/>
          </w:divBdr>
        </w:div>
        <w:div w:id="30112566">
          <w:marLeft w:val="0"/>
          <w:marRight w:val="0"/>
          <w:marTop w:val="0"/>
          <w:marBottom w:val="0"/>
          <w:divBdr>
            <w:top w:val="none" w:sz="0" w:space="0" w:color="auto"/>
            <w:left w:val="none" w:sz="0" w:space="0" w:color="auto"/>
            <w:bottom w:val="none" w:sz="0" w:space="0" w:color="auto"/>
            <w:right w:val="none" w:sz="0" w:space="0" w:color="auto"/>
          </w:divBdr>
        </w:div>
        <w:div w:id="44456754">
          <w:marLeft w:val="0"/>
          <w:marRight w:val="0"/>
          <w:marTop w:val="0"/>
          <w:marBottom w:val="0"/>
          <w:divBdr>
            <w:top w:val="none" w:sz="0" w:space="0" w:color="auto"/>
            <w:left w:val="none" w:sz="0" w:space="0" w:color="auto"/>
            <w:bottom w:val="none" w:sz="0" w:space="0" w:color="auto"/>
            <w:right w:val="none" w:sz="0" w:space="0" w:color="auto"/>
          </w:divBdr>
        </w:div>
        <w:div w:id="55932855">
          <w:marLeft w:val="0"/>
          <w:marRight w:val="0"/>
          <w:marTop w:val="0"/>
          <w:marBottom w:val="0"/>
          <w:divBdr>
            <w:top w:val="none" w:sz="0" w:space="0" w:color="auto"/>
            <w:left w:val="none" w:sz="0" w:space="0" w:color="auto"/>
            <w:bottom w:val="none" w:sz="0" w:space="0" w:color="auto"/>
            <w:right w:val="none" w:sz="0" w:space="0" w:color="auto"/>
          </w:divBdr>
        </w:div>
        <w:div w:id="58288958">
          <w:marLeft w:val="0"/>
          <w:marRight w:val="0"/>
          <w:marTop w:val="0"/>
          <w:marBottom w:val="0"/>
          <w:divBdr>
            <w:top w:val="none" w:sz="0" w:space="0" w:color="auto"/>
            <w:left w:val="none" w:sz="0" w:space="0" w:color="auto"/>
            <w:bottom w:val="none" w:sz="0" w:space="0" w:color="auto"/>
            <w:right w:val="none" w:sz="0" w:space="0" w:color="auto"/>
          </w:divBdr>
        </w:div>
        <w:div w:id="68701667">
          <w:marLeft w:val="0"/>
          <w:marRight w:val="0"/>
          <w:marTop w:val="0"/>
          <w:marBottom w:val="0"/>
          <w:divBdr>
            <w:top w:val="none" w:sz="0" w:space="0" w:color="auto"/>
            <w:left w:val="none" w:sz="0" w:space="0" w:color="auto"/>
            <w:bottom w:val="none" w:sz="0" w:space="0" w:color="auto"/>
            <w:right w:val="none" w:sz="0" w:space="0" w:color="auto"/>
          </w:divBdr>
        </w:div>
        <w:div w:id="74598355">
          <w:marLeft w:val="0"/>
          <w:marRight w:val="0"/>
          <w:marTop w:val="0"/>
          <w:marBottom w:val="0"/>
          <w:divBdr>
            <w:top w:val="none" w:sz="0" w:space="0" w:color="auto"/>
            <w:left w:val="none" w:sz="0" w:space="0" w:color="auto"/>
            <w:bottom w:val="none" w:sz="0" w:space="0" w:color="auto"/>
            <w:right w:val="none" w:sz="0" w:space="0" w:color="auto"/>
          </w:divBdr>
        </w:div>
        <w:div w:id="74861243">
          <w:marLeft w:val="0"/>
          <w:marRight w:val="0"/>
          <w:marTop w:val="0"/>
          <w:marBottom w:val="0"/>
          <w:divBdr>
            <w:top w:val="none" w:sz="0" w:space="0" w:color="auto"/>
            <w:left w:val="none" w:sz="0" w:space="0" w:color="auto"/>
            <w:bottom w:val="none" w:sz="0" w:space="0" w:color="auto"/>
            <w:right w:val="none" w:sz="0" w:space="0" w:color="auto"/>
          </w:divBdr>
        </w:div>
        <w:div w:id="81343685">
          <w:marLeft w:val="0"/>
          <w:marRight w:val="0"/>
          <w:marTop w:val="0"/>
          <w:marBottom w:val="0"/>
          <w:divBdr>
            <w:top w:val="none" w:sz="0" w:space="0" w:color="auto"/>
            <w:left w:val="none" w:sz="0" w:space="0" w:color="auto"/>
            <w:bottom w:val="none" w:sz="0" w:space="0" w:color="auto"/>
            <w:right w:val="none" w:sz="0" w:space="0" w:color="auto"/>
          </w:divBdr>
        </w:div>
        <w:div w:id="82920695">
          <w:marLeft w:val="0"/>
          <w:marRight w:val="0"/>
          <w:marTop w:val="0"/>
          <w:marBottom w:val="0"/>
          <w:divBdr>
            <w:top w:val="none" w:sz="0" w:space="0" w:color="auto"/>
            <w:left w:val="none" w:sz="0" w:space="0" w:color="auto"/>
            <w:bottom w:val="none" w:sz="0" w:space="0" w:color="auto"/>
            <w:right w:val="none" w:sz="0" w:space="0" w:color="auto"/>
          </w:divBdr>
        </w:div>
        <w:div w:id="88356523">
          <w:marLeft w:val="0"/>
          <w:marRight w:val="0"/>
          <w:marTop w:val="0"/>
          <w:marBottom w:val="0"/>
          <w:divBdr>
            <w:top w:val="none" w:sz="0" w:space="0" w:color="auto"/>
            <w:left w:val="none" w:sz="0" w:space="0" w:color="auto"/>
            <w:bottom w:val="none" w:sz="0" w:space="0" w:color="auto"/>
            <w:right w:val="none" w:sz="0" w:space="0" w:color="auto"/>
          </w:divBdr>
        </w:div>
        <w:div w:id="94132832">
          <w:marLeft w:val="0"/>
          <w:marRight w:val="0"/>
          <w:marTop w:val="0"/>
          <w:marBottom w:val="0"/>
          <w:divBdr>
            <w:top w:val="none" w:sz="0" w:space="0" w:color="auto"/>
            <w:left w:val="none" w:sz="0" w:space="0" w:color="auto"/>
            <w:bottom w:val="none" w:sz="0" w:space="0" w:color="auto"/>
            <w:right w:val="none" w:sz="0" w:space="0" w:color="auto"/>
          </w:divBdr>
        </w:div>
        <w:div w:id="109129784">
          <w:marLeft w:val="0"/>
          <w:marRight w:val="0"/>
          <w:marTop w:val="0"/>
          <w:marBottom w:val="0"/>
          <w:divBdr>
            <w:top w:val="none" w:sz="0" w:space="0" w:color="auto"/>
            <w:left w:val="none" w:sz="0" w:space="0" w:color="auto"/>
            <w:bottom w:val="none" w:sz="0" w:space="0" w:color="auto"/>
            <w:right w:val="none" w:sz="0" w:space="0" w:color="auto"/>
          </w:divBdr>
        </w:div>
        <w:div w:id="110167868">
          <w:marLeft w:val="0"/>
          <w:marRight w:val="0"/>
          <w:marTop w:val="0"/>
          <w:marBottom w:val="0"/>
          <w:divBdr>
            <w:top w:val="none" w:sz="0" w:space="0" w:color="auto"/>
            <w:left w:val="none" w:sz="0" w:space="0" w:color="auto"/>
            <w:bottom w:val="none" w:sz="0" w:space="0" w:color="auto"/>
            <w:right w:val="none" w:sz="0" w:space="0" w:color="auto"/>
          </w:divBdr>
        </w:div>
        <w:div w:id="129826931">
          <w:marLeft w:val="0"/>
          <w:marRight w:val="0"/>
          <w:marTop w:val="0"/>
          <w:marBottom w:val="0"/>
          <w:divBdr>
            <w:top w:val="none" w:sz="0" w:space="0" w:color="auto"/>
            <w:left w:val="none" w:sz="0" w:space="0" w:color="auto"/>
            <w:bottom w:val="none" w:sz="0" w:space="0" w:color="auto"/>
            <w:right w:val="none" w:sz="0" w:space="0" w:color="auto"/>
          </w:divBdr>
        </w:div>
        <w:div w:id="134379590">
          <w:marLeft w:val="0"/>
          <w:marRight w:val="0"/>
          <w:marTop w:val="0"/>
          <w:marBottom w:val="0"/>
          <w:divBdr>
            <w:top w:val="none" w:sz="0" w:space="0" w:color="auto"/>
            <w:left w:val="none" w:sz="0" w:space="0" w:color="auto"/>
            <w:bottom w:val="none" w:sz="0" w:space="0" w:color="auto"/>
            <w:right w:val="none" w:sz="0" w:space="0" w:color="auto"/>
          </w:divBdr>
        </w:div>
        <w:div w:id="141773024">
          <w:marLeft w:val="0"/>
          <w:marRight w:val="0"/>
          <w:marTop w:val="0"/>
          <w:marBottom w:val="0"/>
          <w:divBdr>
            <w:top w:val="none" w:sz="0" w:space="0" w:color="auto"/>
            <w:left w:val="none" w:sz="0" w:space="0" w:color="auto"/>
            <w:bottom w:val="none" w:sz="0" w:space="0" w:color="auto"/>
            <w:right w:val="none" w:sz="0" w:space="0" w:color="auto"/>
          </w:divBdr>
          <w:divsChild>
            <w:div w:id="329606137">
              <w:marLeft w:val="0"/>
              <w:marRight w:val="0"/>
              <w:marTop w:val="0"/>
              <w:marBottom w:val="0"/>
              <w:divBdr>
                <w:top w:val="none" w:sz="0" w:space="0" w:color="auto"/>
                <w:left w:val="none" w:sz="0" w:space="0" w:color="auto"/>
                <w:bottom w:val="none" w:sz="0" w:space="0" w:color="auto"/>
                <w:right w:val="none" w:sz="0" w:space="0" w:color="auto"/>
              </w:divBdr>
            </w:div>
            <w:div w:id="724333388">
              <w:marLeft w:val="0"/>
              <w:marRight w:val="0"/>
              <w:marTop w:val="0"/>
              <w:marBottom w:val="0"/>
              <w:divBdr>
                <w:top w:val="none" w:sz="0" w:space="0" w:color="auto"/>
                <w:left w:val="none" w:sz="0" w:space="0" w:color="auto"/>
                <w:bottom w:val="none" w:sz="0" w:space="0" w:color="auto"/>
                <w:right w:val="none" w:sz="0" w:space="0" w:color="auto"/>
              </w:divBdr>
            </w:div>
            <w:div w:id="1234318430">
              <w:marLeft w:val="0"/>
              <w:marRight w:val="0"/>
              <w:marTop w:val="0"/>
              <w:marBottom w:val="0"/>
              <w:divBdr>
                <w:top w:val="none" w:sz="0" w:space="0" w:color="auto"/>
                <w:left w:val="none" w:sz="0" w:space="0" w:color="auto"/>
                <w:bottom w:val="none" w:sz="0" w:space="0" w:color="auto"/>
                <w:right w:val="none" w:sz="0" w:space="0" w:color="auto"/>
              </w:divBdr>
            </w:div>
            <w:div w:id="1307278335">
              <w:marLeft w:val="0"/>
              <w:marRight w:val="0"/>
              <w:marTop w:val="0"/>
              <w:marBottom w:val="0"/>
              <w:divBdr>
                <w:top w:val="none" w:sz="0" w:space="0" w:color="auto"/>
                <w:left w:val="none" w:sz="0" w:space="0" w:color="auto"/>
                <w:bottom w:val="none" w:sz="0" w:space="0" w:color="auto"/>
                <w:right w:val="none" w:sz="0" w:space="0" w:color="auto"/>
              </w:divBdr>
            </w:div>
            <w:div w:id="1578786815">
              <w:marLeft w:val="0"/>
              <w:marRight w:val="0"/>
              <w:marTop w:val="0"/>
              <w:marBottom w:val="0"/>
              <w:divBdr>
                <w:top w:val="none" w:sz="0" w:space="0" w:color="auto"/>
                <w:left w:val="none" w:sz="0" w:space="0" w:color="auto"/>
                <w:bottom w:val="none" w:sz="0" w:space="0" w:color="auto"/>
                <w:right w:val="none" w:sz="0" w:space="0" w:color="auto"/>
              </w:divBdr>
            </w:div>
          </w:divsChild>
        </w:div>
        <w:div w:id="153227594">
          <w:marLeft w:val="0"/>
          <w:marRight w:val="0"/>
          <w:marTop w:val="0"/>
          <w:marBottom w:val="0"/>
          <w:divBdr>
            <w:top w:val="none" w:sz="0" w:space="0" w:color="auto"/>
            <w:left w:val="none" w:sz="0" w:space="0" w:color="auto"/>
            <w:bottom w:val="none" w:sz="0" w:space="0" w:color="auto"/>
            <w:right w:val="none" w:sz="0" w:space="0" w:color="auto"/>
          </w:divBdr>
        </w:div>
        <w:div w:id="153842139">
          <w:marLeft w:val="0"/>
          <w:marRight w:val="0"/>
          <w:marTop w:val="0"/>
          <w:marBottom w:val="0"/>
          <w:divBdr>
            <w:top w:val="none" w:sz="0" w:space="0" w:color="auto"/>
            <w:left w:val="none" w:sz="0" w:space="0" w:color="auto"/>
            <w:bottom w:val="none" w:sz="0" w:space="0" w:color="auto"/>
            <w:right w:val="none" w:sz="0" w:space="0" w:color="auto"/>
          </w:divBdr>
        </w:div>
        <w:div w:id="155390497">
          <w:marLeft w:val="0"/>
          <w:marRight w:val="0"/>
          <w:marTop w:val="0"/>
          <w:marBottom w:val="0"/>
          <w:divBdr>
            <w:top w:val="none" w:sz="0" w:space="0" w:color="auto"/>
            <w:left w:val="none" w:sz="0" w:space="0" w:color="auto"/>
            <w:bottom w:val="none" w:sz="0" w:space="0" w:color="auto"/>
            <w:right w:val="none" w:sz="0" w:space="0" w:color="auto"/>
          </w:divBdr>
        </w:div>
        <w:div w:id="156966973">
          <w:marLeft w:val="0"/>
          <w:marRight w:val="0"/>
          <w:marTop w:val="0"/>
          <w:marBottom w:val="0"/>
          <w:divBdr>
            <w:top w:val="none" w:sz="0" w:space="0" w:color="auto"/>
            <w:left w:val="none" w:sz="0" w:space="0" w:color="auto"/>
            <w:bottom w:val="none" w:sz="0" w:space="0" w:color="auto"/>
            <w:right w:val="none" w:sz="0" w:space="0" w:color="auto"/>
          </w:divBdr>
        </w:div>
        <w:div w:id="157963323">
          <w:marLeft w:val="0"/>
          <w:marRight w:val="0"/>
          <w:marTop w:val="0"/>
          <w:marBottom w:val="0"/>
          <w:divBdr>
            <w:top w:val="none" w:sz="0" w:space="0" w:color="auto"/>
            <w:left w:val="none" w:sz="0" w:space="0" w:color="auto"/>
            <w:bottom w:val="none" w:sz="0" w:space="0" w:color="auto"/>
            <w:right w:val="none" w:sz="0" w:space="0" w:color="auto"/>
          </w:divBdr>
        </w:div>
        <w:div w:id="161705204">
          <w:marLeft w:val="0"/>
          <w:marRight w:val="0"/>
          <w:marTop w:val="0"/>
          <w:marBottom w:val="0"/>
          <w:divBdr>
            <w:top w:val="none" w:sz="0" w:space="0" w:color="auto"/>
            <w:left w:val="none" w:sz="0" w:space="0" w:color="auto"/>
            <w:bottom w:val="none" w:sz="0" w:space="0" w:color="auto"/>
            <w:right w:val="none" w:sz="0" w:space="0" w:color="auto"/>
          </w:divBdr>
        </w:div>
        <w:div w:id="163060604">
          <w:marLeft w:val="0"/>
          <w:marRight w:val="0"/>
          <w:marTop w:val="0"/>
          <w:marBottom w:val="0"/>
          <w:divBdr>
            <w:top w:val="none" w:sz="0" w:space="0" w:color="auto"/>
            <w:left w:val="none" w:sz="0" w:space="0" w:color="auto"/>
            <w:bottom w:val="none" w:sz="0" w:space="0" w:color="auto"/>
            <w:right w:val="none" w:sz="0" w:space="0" w:color="auto"/>
          </w:divBdr>
        </w:div>
        <w:div w:id="169375109">
          <w:marLeft w:val="0"/>
          <w:marRight w:val="0"/>
          <w:marTop w:val="0"/>
          <w:marBottom w:val="0"/>
          <w:divBdr>
            <w:top w:val="none" w:sz="0" w:space="0" w:color="auto"/>
            <w:left w:val="none" w:sz="0" w:space="0" w:color="auto"/>
            <w:bottom w:val="none" w:sz="0" w:space="0" w:color="auto"/>
            <w:right w:val="none" w:sz="0" w:space="0" w:color="auto"/>
          </w:divBdr>
        </w:div>
        <w:div w:id="174467002">
          <w:marLeft w:val="0"/>
          <w:marRight w:val="0"/>
          <w:marTop w:val="0"/>
          <w:marBottom w:val="0"/>
          <w:divBdr>
            <w:top w:val="none" w:sz="0" w:space="0" w:color="auto"/>
            <w:left w:val="none" w:sz="0" w:space="0" w:color="auto"/>
            <w:bottom w:val="none" w:sz="0" w:space="0" w:color="auto"/>
            <w:right w:val="none" w:sz="0" w:space="0" w:color="auto"/>
          </w:divBdr>
        </w:div>
        <w:div w:id="174806120">
          <w:marLeft w:val="0"/>
          <w:marRight w:val="0"/>
          <w:marTop w:val="0"/>
          <w:marBottom w:val="0"/>
          <w:divBdr>
            <w:top w:val="none" w:sz="0" w:space="0" w:color="auto"/>
            <w:left w:val="none" w:sz="0" w:space="0" w:color="auto"/>
            <w:bottom w:val="none" w:sz="0" w:space="0" w:color="auto"/>
            <w:right w:val="none" w:sz="0" w:space="0" w:color="auto"/>
          </w:divBdr>
        </w:div>
        <w:div w:id="177815105">
          <w:marLeft w:val="0"/>
          <w:marRight w:val="0"/>
          <w:marTop w:val="0"/>
          <w:marBottom w:val="0"/>
          <w:divBdr>
            <w:top w:val="none" w:sz="0" w:space="0" w:color="auto"/>
            <w:left w:val="none" w:sz="0" w:space="0" w:color="auto"/>
            <w:bottom w:val="none" w:sz="0" w:space="0" w:color="auto"/>
            <w:right w:val="none" w:sz="0" w:space="0" w:color="auto"/>
          </w:divBdr>
        </w:div>
        <w:div w:id="185750029">
          <w:marLeft w:val="0"/>
          <w:marRight w:val="0"/>
          <w:marTop w:val="0"/>
          <w:marBottom w:val="0"/>
          <w:divBdr>
            <w:top w:val="none" w:sz="0" w:space="0" w:color="auto"/>
            <w:left w:val="none" w:sz="0" w:space="0" w:color="auto"/>
            <w:bottom w:val="none" w:sz="0" w:space="0" w:color="auto"/>
            <w:right w:val="none" w:sz="0" w:space="0" w:color="auto"/>
          </w:divBdr>
        </w:div>
        <w:div w:id="186137727">
          <w:marLeft w:val="0"/>
          <w:marRight w:val="0"/>
          <w:marTop w:val="0"/>
          <w:marBottom w:val="0"/>
          <w:divBdr>
            <w:top w:val="none" w:sz="0" w:space="0" w:color="auto"/>
            <w:left w:val="none" w:sz="0" w:space="0" w:color="auto"/>
            <w:bottom w:val="none" w:sz="0" w:space="0" w:color="auto"/>
            <w:right w:val="none" w:sz="0" w:space="0" w:color="auto"/>
          </w:divBdr>
        </w:div>
        <w:div w:id="189029502">
          <w:marLeft w:val="0"/>
          <w:marRight w:val="0"/>
          <w:marTop w:val="0"/>
          <w:marBottom w:val="0"/>
          <w:divBdr>
            <w:top w:val="none" w:sz="0" w:space="0" w:color="auto"/>
            <w:left w:val="none" w:sz="0" w:space="0" w:color="auto"/>
            <w:bottom w:val="none" w:sz="0" w:space="0" w:color="auto"/>
            <w:right w:val="none" w:sz="0" w:space="0" w:color="auto"/>
          </w:divBdr>
        </w:div>
        <w:div w:id="189952364">
          <w:marLeft w:val="0"/>
          <w:marRight w:val="0"/>
          <w:marTop w:val="0"/>
          <w:marBottom w:val="0"/>
          <w:divBdr>
            <w:top w:val="none" w:sz="0" w:space="0" w:color="auto"/>
            <w:left w:val="none" w:sz="0" w:space="0" w:color="auto"/>
            <w:bottom w:val="none" w:sz="0" w:space="0" w:color="auto"/>
            <w:right w:val="none" w:sz="0" w:space="0" w:color="auto"/>
          </w:divBdr>
          <w:divsChild>
            <w:div w:id="210464873">
              <w:marLeft w:val="0"/>
              <w:marRight w:val="0"/>
              <w:marTop w:val="0"/>
              <w:marBottom w:val="0"/>
              <w:divBdr>
                <w:top w:val="none" w:sz="0" w:space="0" w:color="auto"/>
                <w:left w:val="none" w:sz="0" w:space="0" w:color="auto"/>
                <w:bottom w:val="none" w:sz="0" w:space="0" w:color="auto"/>
                <w:right w:val="none" w:sz="0" w:space="0" w:color="auto"/>
              </w:divBdr>
            </w:div>
            <w:div w:id="422337429">
              <w:marLeft w:val="0"/>
              <w:marRight w:val="0"/>
              <w:marTop w:val="0"/>
              <w:marBottom w:val="0"/>
              <w:divBdr>
                <w:top w:val="none" w:sz="0" w:space="0" w:color="auto"/>
                <w:left w:val="none" w:sz="0" w:space="0" w:color="auto"/>
                <w:bottom w:val="none" w:sz="0" w:space="0" w:color="auto"/>
                <w:right w:val="none" w:sz="0" w:space="0" w:color="auto"/>
              </w:divBdr>
            </w:div>
            <w:div w:id="422914394">
              <w:marLeft w:val="0"/>
              <w:marRight w:val="0"/>
              <w:marTop w:val="0"/>
              <w:marBottom w:val="0"/>
              <w:divBdr>
                <w:top w:val="none" w:sz="0" w:space="0" w:color="auto"/>
                <w:left w:val="none" w:sz="0" w:space="0" w:color="auto"/>
                <w:bottom w:val="none" w:sz="0" w:space="0" w:color="auto"/>
                <w:right w:val="none" w:sz="0" w:space="0" w:color="auto"/>
              </w:divBdr>
            </w:div>
            <w:div w:id="827752300">
              <w:marLeft w:val="0"/>
              <w:marRight w:val="0"/>
              <w:marTop w:val="0"/>
              <w:marBottom w:val="0"/>
              <w:divBdr>
                <w:top w:val="none" w:sz="0" w:space="0" w:color="auto"/>
                <w:left w:val="none" w:sz="0" w:space="0" w:color="auto"/>
                <w:bottom w:val="none" w:sz="0" w:space="0" w:color="auto"/>
                <w:right w:val="none" w:sz="0" w:space="0" w:color="auto"/>
              </w:divBdr>
            </w:div>
            <w:div w:id="1730377227">
              <w:marLeft w:val="0"/>
              <w:marRight w:val="0"/>
              <w:marTop w:val="0"/>
              <w:marBottom w:val="0"/>
              <w:divBdr>
                <w:top w:val="none" w:sz="0" w:space="0" w:color="auto"/>
                <w:left w:val="none" w:sz="0" w:space="0" w:color="auto"/>
                <w:bottom w:val="none" w:sz="0" w:space="0" w:color="auto"/>
                <w:right w:val="none" w:sz="0" w:space="0" w:color="auto"/>
              </w:divBdr>
            </w:div>
          </w:divsChild>
        </w:div>
        <w:div w:id="189955255">
          <w:marLeft w:val="0"/>
          <w:marRight w:val="0"/>
          <w:marTop w:val="0"/>
          <w:marBottom w:val="0"/>
          <w:divBdr>
            <w:top w:val="none" w:sz="0" w:space="0" w:color="auto"/>
            <w:left w:val="none" w:sz="0" w:space="0" w:color="auto"/>
            <w:bottom w:val="none" w:sz="0" w:space="0" w:color="auto"/>
            <w:right w:val="none" w:sz="0" w:space="0" w:color="auto"/>
          </w:divBdr>
        </w:div>
        <w:div w:id="203833519">
          <w:marLeft w:val="0"/>
          <w:marRight w:val="0"/>
          <w:marTop w:val="0"/>
          <w:marBottom w:val="0"/>
          <w:divBdr>
            <w:top w:val="none" w:sz="0" w:space="0" w:color="auto"/>
            <w:left w:val="none" w:sz="0" w:space="0" w:color="auto"/>
            <w:bottom w:val="none" w:sz="0" w:space="0" w:color="auto"/>
            <w:right w:val="none" w:sz="0" w:space="0" w:color="auto"/>
          </w:divBdr>
        </w:div>
        <w:div w:id="215699680">
          <w:marLeft w:val="0"/>
          <w:marRight w:val="0"/>
          <w:marTop w:val="0"/>
          <w:marBottom w:val="0"/>
          <w:divBdr>
            <w:top w:val="none" w:sz="0" w:space="0" w:color="auto"/>
            <w:left w:val="none" w:sz="0" w:space="0" w:color="auto"/>
            <w:bottom w:val="none" w:sz="0" w:space="0" w:color="auto"/>
            <w:right w:val="none" w:sz="0" w:space="0" w:color="auto"/>
          </w:divBdr>
        </w:div>
        <w:div w:id="222374310">
          <w:marLeft w:val="0"/>
          <w:marRight w:val="0"/>
          <w:marTop w:val="0"/>
          <w:marBottom w:val="0"/>
          <w:divBdr>
            <w:top w:val="none" w:sz="0" w:space="0" w:color="auto"/>
            <w:left w:val="none" w:sz="0" w:space="0" w:color="auto"/>
            <w:bottom w:val="none" w:sz="0" w:space="0" w:color="auto"/>
            <w:right w:val="none" w:sz="0" w:space="0" w:color="auto"/>
          </w:divBdr>
        </w:div>
        <w:div w:id="224031225">
          <w:marLeft w:val="0"/>
          <w:marRight w:val="0"/>
          <w:marTop w:val="0"/>
          <w:marBottom w:val="0"/>
          <w:divBdr>
            <w:top w:val="none" w:sz="0" w:space="0" w:color="auto"/>
            <w:left w:val="none" w:sz="0" w:space="0" w:color="auto"/>
            <w:bottom w:val="none" w:sz="0" w:space="0" w:color="auto"/>
            <w:right w:val="none" w:sz="0" w:space="0" w:color="auto"/>
          </w:divBdr>
        </w:div>
        <w:div w:id="230582326">
          <w:marLeft w:val="0"/>
          <w:marRight w:val="0"/>
          <w:marTop w:val="0"/>
          <w:marBottom w:val="0"/>
          <w:divBdr>
            <w:top w:val="none" w:sz="0" w:space="0" w:color="auto"/>
            <w:left w:val="none" w:sz="0" w:space="0" w:color="auto"/>
            <w:bottom w:val="none" w:sz="0" w:space="0" w:color="auto"/>
            <w:right w:val="none" w:sz="0" w:space="0" w:color="auto"/>
          </w:divBdr>
        </w:div>
        <w:div w:id="234363352">
          <w:marLeft w:val="0"/>
          <w:marRight w:val="0"/>
          <w:marTop w:val="0"/>
          <w:marBottom w:val="0"/>
          <w:divBdr>
            <w:top w:val="none" w:sz="0" w:space="0" w:color="auto"/>
            <w:left w:val="none" w:sz="0" w:space="0" w:color="auto"/>
            <w:bottom w:val="none" w:sz="0" w:space="0" w:color="auto"/>
            <w:right w:val="none" w:sz="0" w:space="0" w:color="auto"/>
          </w:divBdr>
        </w:div>
        <w:div w:id="237327171">
          <w:marLeft w:val="0"/>
          <w:marRight w:val="0"/>
          <w:marTop w:val="0"/>
          <w:marBottom w:val="0"/>
          <w:divBdr>
            <w:top w:val="none" w:sz="0" w:space="0" w:color="auto"/>
            <w:left w:val="none" w:sz="0" w:space="0" w:color="auto"/>
            <w:bottom w:val="none" w:sz="0" w:space="0" w:color="auto"/>
            <w:right w:val="none" w:sz="0" w:space="0" w:color="auto"/>
          </w:divBdr>
        </w:div>
        <w:div w:id="238906726">
          <w:marLeft w:val="0"/>
          <w:marRight w:val="0"/>
          <w:marTop w:val="0"/>
          <w:marBottom w:val="0"/>
          <w:divBdr>
            <w:top w:val="none" w:sz="0" w:space="0" w:color="auto"/>
            <w:left w:val="none" w:sz="0" w:space="0" w:color="auto"/>
            <w:bottom w:val="none" w:sz="0" w:space="0" w:color="auto"/>
            <w:right w:val="none" w:sz="0" w:space="0" w:color="auto"/>
          </w:divBdr>
        </w:div>
        <w:div w:id="242614301">
          <w:marLeft w:val="0"/>
          <w:marRight w:val="0"/>
          <w:marTop w:val="0"/>
          <w:marBottom w:val="0"/>
          <w:divBdr>
            <w:top w:val="none" w:sz="0" w:space="0" w:color="auto"/>
            <w:left w:val="none" w:sz="0" w:space="0" w:color="auto"/>
            <w:bottom w:val="none" w:sz="0" w:space="0" w:color="auto"/>
            <w:right w:val="none" w:sz="0" w:space="0" w:color="auto"/>
          </w:divBdr>
        </w:div>
        <w:div w:id="243882872">
          <w:marLeft w:val="0"/>
          <w:marRight w:val="0"/>
          <w:marTop w:val="0"/>
          <w:marBottom w:val="0"/>
          <w:divBdr>
            <w:top w:val="none" w:sz="0" w:space="0" w:color="auto"/>
            <w:left w:val="none" w:sz="0" w:space="0" w:color="auto"/>
            <w:bottom w:val="none" w:sz="0" w:space="0" w:color="auto"/>
            <w:right w:val="none" w:sz="0" w:space="0" w:color="auto"/>
          </w:divBdr>
        </w:div>
        <w:div w:id="255527877">
          <w:marLeft w:val="0"/>
          <w:marRight w:val="0"/>
          <w:marTop w:val="0"/>
          <w:marBottom w:val="0"/>
          <w:divBdr>
            <w:top w:val="none" w:sz="0" w:space="0" w:color="auto"/>
            <w:left w:val="none" w:sz="0" w:space="0" w:color="auto"/>
            <w:bottom w:val="none" w:sz="0" w:space="0" w:color="auto"/>
            <w:right w:val="none" w:sz="0" w:space="0" w:color="auto"/>
          </w:divBdr>
        </w:div>
        <w:div w:id="255872487">
          <w:marLeft w:val="0"/>
          <w:marRight w:val="0"/>
          <w:marTop w:val="0"/>
          <w:marBottom w:val="0"/>
          <w:divBdr>
            <w:top w:val="none" w:sz="0" w:space="0" w:color="auto"/>
            <w:left w:val="none" w:sz="0" w:space="0" w:color="auto"/>
            <w:bottom w:val="none" w:sz="0" w:space="0" w:color="auto"/>
            <w:right w:val="none" w:sz="0" w:space="0" w:color="auto"/>
          </w:divBdr>
        </w:div>
        <w:div w:id="255943059">
          <w:marLeft w:val="0"/>
          <w:marRight w:val="0"/>
          <w:marTop w:val="0"/>
          <w:marBottom w:val="0"/>
          <w:divBdr>
            <w:top w:val="none" w:sz="0" w:space="0" w:color="auto"/>
            <w:left w:val="none" w:sz="0" w:space="0" w:color="auto"/>
            <w:bottom w:val="none" w:sz="0" w:space="0" w:color="auto"/>
            <w:right w:val="none" w:sz="0" w:space="0" w:color="auto"/>
          </w:divBdr>
        </w:div>
        <w:div w:id="258297120">
          <w:marLeft w:val="0"/>
          <w:marRight w:val="0"/>
          <w:marTop w:val="0"/>
          <w:marBottom w:val="0"/>
          <w:divBdr>
            <w:top w:val="none" w:sz="0" w:space="0" w:color="auto"/>
            <w:left w:val="none" w:sz="0" w:space="0" w:color="auto"/>
            <w:bottom w:val="none" w:sz="0" w:space="0" w:color="auto"/>
            <w:right w:val="none" w:sz="0" w:space="0" w:color="auto"/>
          </w:divBdr>
        </w:div>
        <w:div w:id="261570122">
          <w:marLeft w:val="0"/>
          <w:marRight w:val="0"/>
          <w:marTop w:val="0"/>
          <w:marBottom w:val="0"/>
          <w:divBdr>
            <w:top w:val="none" w:sz="0" w:space="0" w:color="auto"/>
            <w:left w:val="none" w:sz="0" w:space="0" w:color="auto"/>
            <w:bottom w:val="none" w:sz="0" w:space="0" w:color="auto"/>
            <w:right w:val="none" w:sz="0" w:space="0" w:color="auto"/>
          </w:divBdr>
          <w:divsChild>
            <w:div w:id="67458955">
              <w:marLeft w:val="0"/>
              <w:marRight w:val="0"/>
              <w:marTop w:val="0"/>
              <w:marBottom w:val="0"/>
              <w:divBdr>
                <w:top w:val="none" w:sz="0" w:space="0" w:color="auto"/>
                <w:left w:val="none" w:sz="0" w:space="0" w:color="auto"/>
                <w:bottom w:val="none" w:sz="0" w:space="0" w:color="auto"/>
                <w:right w:val="none" w:sz="0" w:space="0" w:color="auto"/>
              </w:divBdr>
            </w:div>
            <w:div w:id="582375065">
              <w:marLeft w:val="0"/>
              <w:marRight w:val="0"/>
              <w:marTop w:val="0"/>
              <w:marBottom w:val="0"/>
              <w:divBdr>
                <w:top w:val="none" w:sz="0" w:space="0" w:color="auto"/>
                <w:left w:val="none" w:sz="0" w:space="0" w:color="auto"/>
                <w:bottom w:val="none" w:sz="0" w:space="0" w:color="auto"/>
                <w:right w:val="none" w:sz="0" w:space="0" w:color="auto"/>
              </w:divBdr>
            </w:div>
            <w:div w:id="1583445007">
              <w:marLeft w:val="0"/>
              <w:marRight w:val="0"/>
              <w:marTop w:val="0"/>
              <w:marBottom w:val="0"/>
              <w:divBdr>
                <w:top w:val="none" w:sz="0" w:space="0" w:color="auto"/>
                <w:left w:val="none" w:sz="0" w:space="0" w:color="auto"/>
                <w:bottom w:val="none" w:sz="0" w:space="0" w:color="auto"/>
                <w:right w:val="none" w:sz="0" w:space="0" w:color="auto"/>
              </w:divBdr>
            </w:div>
            <w:div w:id="2114588496">
              <w:marLeft w:val="0"/>
              <w:marRight w:val="0"/>
              <w:marTop w:val="0"/>
              <w:marBottom w:val="0"/>
              <w:divBdr>
                <w:top w:val="none" w:sz="0" w:space="0" w:color="auto"/>
                <w:left w:val="none" w:sz="0" w:space="0" w:color="auto"/>
                <w:bottom w:val="none" w:sz="0" w:space="0" w:color="auto"/>
                <w:right w:val="none" w:sz="0" w:space="0" w:color="auto"/>
              </w:divBdr>
            </w:div>
          </w:divsChild>
        </w:div>
        <w:div w:id="275067806">
          <w:marLeft w:val="0"/>
          <w:marRight w:val="0"/>
          <w:marTop w:val="0"/>
          <w:marBottom w:val="0"/>
          <w:divBdr>
            <w:top w:val="none" w:sz="0" w:space="0" w:color="auto"/>
            <w:left w:val="none" w:sz="0" w:space="0" w:color="auto"/>
            <w:bottom w:val="none" w:sz="0" w:space="0" w:color="auto"/>
            <w:right w:val="none" w:sz="0" w:space="0" w:color="auto"/>
          </w:divBdr>
        </w:div>
        <w:div w:id="296690889">
          <w:marLeft w:val="0"/>
          <w:marRight w:val="0"/>
          <w:marTop w:val="0"/>
          <w:marBottom w:val="0"/>
          <w:divBdr>
            <w:top w:val="none" w:sz="0" w:space="0" w:color="auto"/>
            <w:left w:val="none" w:sz="0" w:space="0" w:color="auto"/>
            <w:bottom w:val="none" w:sz="0" w:space="0" w:color="auto"/>
            <w:right w:val="none" w:sz="0" w:space="0" w:color="auto"/>
          </w:divBdr>
        </w:div>
        <w:div w:id="304939996">
          <w:marLeft w:val="0"/>
          <w:marRight w:val="0"/>
          <w:marTop w:val="0"/>
          <w:marBottom w:val="0"/>
          <w:divBdr>
            <w:top w:val="none" w:sz="0" w:space="0" w:color="auto"/>
            <w:left w:val="none" w:sz="0" w:space="0" w:color="auto"/>
            <w:bottom w:val="none" w:sz="0" w:space="0" w:color="auto"/>
            <w:right w:val="none" w:sz="0" w:space="0" w:color="auto"/>
          </w:divBdr>
        </w:div>
        <w:div w:id="306279001">
          <w:marLeft w:val="0"/>
          <w:marRight w:val="0"/>
          <w:marTop w:val="0"/>
          <w:marBottom w:val="0"/>
          <w:divBdr>
            <w:top w:val="none" w:sz="0" w:space="0" w:color="auto"/>
            <w:left w:val="none" w:sz="0" w:space="0" w:color="auto"/>
            <w:bottom w:val="none" w:sz="0" w:space="0" w:color="auto"/>
            <w:right w:val="none" w:sz="0" w:space="0" w:color="auto"/>
          </w:divBdr>
        </w:div>
        <w:div w:id="319428649">
          <w:marLeft w:val="0"/>
          <w:marRight w:val="0"/>
          <w:marTop w:val="0"/>
          <w:marBottom w:val="0"/>
          <w:divBdr>
            <w:top w:val="none" w:sz="0" w:space="0" w:color="auto"/>
            <w:left w:val="none" w:sz="0" w:space="0" w:color="auto"/>
            <w:bottom w:val="none" w:sz="0" w:space="0" w:color="auto"/>
            <w:right w:val="none" w:sz="0" w:space="0" w:color="auto"/>
          </w:divBdr>
          <w:divsChild>
            <w:div w:id="260574614">
              <w:marLeft w:val="0"/>
              <w:marRight w:val="0"/>
              <w:marTop w:val="0"/>
              <w:marBottom w:val="0"/>
              <w:divBdr>
                <w:top w:val="none" w:sz="0" w:space="0" w:color="auto"/>
                <w:left w:val="none" w:sz="0" w:space="0" w:color="auto"/>
                <w:bottom w:val="none" w:sz="0" w:space="0" w:color="auto"/>
                <w:right w:val="none" w:sz="0" w:space="0" w:color="auto"/>
              </w:divBdr>
            </w:div>
            <w:div w:id="803622464">
              <w:marLeft w:val="0"/>
              <w:marRight w:val="0"/>
              <w:marTop w:val="0"/>
              <w:marBottom w:val="0"/>
              <w:divBdr>
                <w:top w:val="none" w:sz="0" w:space="0" w:color="auto"/>
                <w:left w:val="none" w:sz="0" w:space="0" w:color="auto"/>
                <w:bottom w:val="none" w:sz="0" w:space="0" w:color="auto"/>
                <w:right w:val="none" w:sz="0" w:space="0" w:color="auto"/>
              </w:divBdr>
            </w:div>
            <w:div w:id="922832106">
              <w:marLeft w:val="0"/>
              <w:marRight w:val="0"/>
              <w:marTop w:val="0"/>
              <w:marBottom w:val="0"/>
              <w:divBdr>
                <w:top w:val="none" w:sz="0" w:space="0" w:color="auto"/>
                <w:left w:val="none" w:sz="0" w:space="0" w:color="auto"/>
                <w:bottom w:val="none" w:sz="0" w:space="0" w:color="auto"/>
                <w:right w:val="none" w:sz="0" w:space="0" w:color="auto"/>
              </w:divBdr>
            </w:div>
            <w:div w:id="1439567130">
              <w:marLeft w:val="0"/>
              <w:marRight w:val="0"/>
              <w:marTop w:val="0"/>
              <w:marBottom w:val="0"/>
              <w:divBdr>
                <w:top w:val="none" w:sz="0" w:space="0" w:color="auto"/>
                <w:left w:val="none" w:sz="0" w:space="0" w:color="auto"/>
                <w:bottom w:val="none" w:sz="0" w:space="0" w:color="auto"/>
                <w:right w:val="none" w:sz="0" w:space="0" w:color="auto"/>
              </w:divBdr>
            </w:div>
            <w:div w:id="1566376170">
              <w:marLeft w:val="0"/>
              <w:marRight w:val="0"/>
              <w:marTop w:val="0"/>
              <w:marBottom w:val="0"/>
              <w:divBdr>
                <w:top w:val="none" w:sz="0" w:space="0" w:color="auto"/>
                <w:left w:val="none" w:sz="0" w:space="0" w:color="auto"/>
                <w:bottom w:val="none" w:sz="0" w:space="0" w:color="auto"/>
                <w:right w:val="none" w:sz="0" w:space="0" w:color="auto"/>
              </w:divBdr>
            </w:div>
          </w:divsChild>
        </w:div>
        <w:div w:id="326058337">
          <w:marLeft w:val="0"/>
          <w:marRight w:val="0"/>
          <w:marTop w:val="0"/>
          <w:marBottom w:val="0"/>
          <w:divBdr>
            <w:top w:val="none" w:sz="0" w:space="0" w:color="auto"/>
            <w:left w:val="none" w:sz="0" w:space="0" w:color="auto"/>
            <w:bottom w:val="none" w:sz="0" w:space="0" w:color="auto"/>
            <w:right w:val="none" w:sz="0" w:space="0" w:color="auto"/>
          </w:divBdr>
        </w:div>
        <w:div w:id="329676874">
          <w:marLeft w:val="0"/>
          <w:marRight w:val="0"/>
          <w:marTop w:val="0"/>
          <w:marBottom w:val="0"/>
          <w:divBdr>
            <w:top w:val="none" w:sz="0" w:space="0" w:color="auto"/>
            <w:left w:val="none" w:sz="0" w:space="0" w:color="auto"/>
            <w:bottom w:val="none" w:sz="0" w:space="0" w:color="auto"/>
            <w:right w:val="none" w:sz="0" w:space="0" w:color="auto"/>
          </w:divBdr>
        </w:div>
        <w:div w:id="332222604">
          <w:marLeft w:val="0"/>
          <w:marRight w:val="0"/>
          <w:marTop w:val="0"/>
          <w:marBottom w:val="0"/>
          <w:divBdr>
            <w:top w:val="none" w:sz="0" w:space="0" w:color="auto"/>
            <w:left w:val="none" w:sz="0" w:space="0" w:color="auto"/>
            <w:bottom w:val="none" w:sz="0" w:space="0" w:color="auto"/>
            <w:right w:val="none" w:sz="0" w:space="0" w:color="auto"/>
          </w:divBdr>
        </w:div>
        <w:div w:id="334497883">
          <w:marLeft w:val="0"/>
          <w:marRight w:val="0"/>
          <w:marTop w:val="0"/>
          <w:marBottom w:val="0"/>
          <w:divBdr>
            <w:top w:val="none" w:sz="0" w:space="0" w:color="auto"/>
            <w:left w:val="none" w:sz="0" w:space="0" w:color="auto"/>
            <w:bottom w:val="none" w:sz="0" w:space="0" w:color="auto"/>
            <w:right w:val="none" w:sz="0" w:space="0" w:color="auto"/>
          </w:divBdr>
        </w:div>
        <w:div w:id="336887001">
          <w:marLeft w:val="0"/>
          <w:marRight w:val="0"/>
          <w:marTop w:val="0"/>
          <w:marBottom w:val="0"/>
          <w:divBdr>
            <w:top w:val="none" w:sz="0" w:space="0" w:color="auto"/>
            <w:left w:val="none" w:sz="0" w:space="0" w:color="auto"/>
            <w:bottom w:val="none" w:sz="0" w:space="0" w:color="auto"/>
            <w:right w:val="none" w:sz="0" w:space="0" w:color="auto"/>
          </w:divBdr>
        </w:div>
        <w:div w:id="338436660">
          <w:marLeft w:val="0"/>
          <w:marRight w:val="0"/>
          <w:marTop w:val="0"/>
          <w:marBottom w:val="0"/>
          <w:divBdr>
            <w:top w:val="none" w:sz="0" w:space="0" w:color="auto"/>
            <w:left w:val="none" w:sz="0" w:space="0" w:color="auto"/>
            <w:bottom w:val="none" w:sz="0" w:space="0" w:color="auto"/>
            <w:right w:val="none" w:sz="0" w:space="0" w:color="auto"/>
          </w:divBdr>
        </w:div>
        <w:div w:id="340545618">
          <w:marLeft w:val="0"/>
          <w:marRight w:val="0"/>
          <w:marTop w:val="0"/>
          <w:marBottom w:val="0"/>
          <w:divBdr>
            <w:top w:val="none" w:sz="0" w:space="0" w:color="auto"/>
            <w:left w:val="none" w:sz="0" w:space="0" w:color="auto"/>
            <w:bottom w:val="none" w:sz="0" w:space="0" w:color="auto"/>
            <w:right w:val="none" w:sz="0" w:space="0" w:color="auto"/>
          </w:divBdr>
        </w:div>
        <w:div w:id="342368190">
          <w:marLeft w:val="0"/>
          <w:marRight w:val="0"/>
          <w:marTop w:val="0"/>
          <w:marBottom w:val="0"/>
          <w:divBdr>
            <w:top w:val="none" w:sz="0" w:space="0" w:color="auto"/>
            <w:left w:val="none" w:sz="0" w:space="0" w:color="auto"/>
            <w:bottom w:val="none" w:sz="0" w:space="0" w:color="auto"/>
            <w:right w:val="none" w:sz="0" w:space="0" w:color="auto"/>
          </w:divBdr>
        </w:div>
        <w:div w:id="346254858">
          <w:marLeft w:val="0"/>
          <w:marRight w:val="0"/>
          <w:marTop w:val="0"/>
          <w:marBottom w:val="0"/>
          <w:divBdr>
            <w:top w:val="none" w:sz="0" w:space="0" w:color="auto"/>
            <w:left w:val="none" w:sz="0" w:space="0" w:color="auto"/>
            <w:bottom w:val="none" w:sz="0" w:space="0" w:color="auto"/>
            <w:right w:val="none" w:sz="0" w:space="0" w:color="auto"/>
          </w:divBdr>
        </w:div>
        <w:div w:id="350254822">
          <w:marLeft w:val="0"/>
          <w:marRight w:val="0"/>
          <w:marTop w:val="0"/>
          <w:marBottom w:val="0"/>
          <w:divBdr>
            <w:top w:val="none" w:sz="0" w:space="0" w:color="auto"/>
            <w:left w:val="none" w:sz="0" w:space="0" w:color="auto"/>
            <w:bottom w:val="none" w:sz="0" w:space="0" w:color="auto"/>
            <w:right w:val="none" w:sz="0" w:space="0" w:color="auto"/>
          </w:divBdr>
          <w:divsChild>
            <w:div w:id="501815265">
              <w:marLeft w:val="0"/>
              <w:marRight w:val="0"/>
              <w:marTop w:val="0"/>
              <w:marBottom w:val="0"/>
              <w:divBdr>
                <w:top w:val="none" w:sz="0" w:space="0" w:color="auto"/>
                <w:left w:val="none" w:sz="0" w:space="0" w:color="auto"/>
                <w:bottom w:val="none" w:sz="0" w:space="0" w:color="auto"/>
                <w:right w:val="none" w:sz="0" w:space="0" w:color="auto"/>
              </w:divBdr>
            </w:div>
          </w:divsChild>
        </w:div>
        <w:div w:id="360395503">
          <w:marLeft w:val="0"/>
          <w:marRight w:val="0"/>
          <w:marTop w:val="0"/>
          <w:marBottom w:val="0"/>
          <w:divBdr>
            <w:top w:val="none" w:sz="0" w:space="0" w:color="auto"/>
            <w:left w:val="none" w:sz="0" w:space="0" w:color="auto"/>
            <w:bottom w:val="none" w:sz="0" w:space="0" w:color="auto"/>
            <w:right w:val="none" w:sz="0" w:space="0" w:color="auto"/>
          </w:divBdr>
        </w:div>
        <w:div w:id="366105738">
          <w:marLeft w:val="0"/>
          <w:marRight w:val="0"/>
          <w:marTop w:val="0"/>
          <w:marBottom w:val="0"/>
          <w:divBdr>
            <w:top w:val="none" w:sz="0" w:space="0" w:color="auto"/>
            <w:left w:val="none" w:sz="0" w:space="0" w:color="auto"/>
            <w:bottom w:val="none" w:sz="0" w:space="0" w:color="auto"/>
            <w:right w:val="none" w:sz="0" w:space="0" w:color="auto"/>
          </w:divBdr>
        </w:div>
        <w:div w:id="367493054">
          <w:marLeft w:val="0"/>
          <w:marRight w:val="0"/>
          <w:marTop w:val="0"/>
          <w:marBottom w:val="0"/>
          <w:divBdr>
            <w:top w:val="none" w:sz="0" w:space="0" w:color="auto"/>
            <w:left w:val="none" w:sz="0" w:space="0" w:color="auto"/>
            <w:bottom w:val="none" w:sz="0" w:space="0" w:color="auto"/>
            <w:right w:val="none" w:sz="0" w:space="0" w:color="auto"/>
          </w:divBdr>
        </w:div>
        <w:div w:id="387455263">
          <w:marLeft w:val="0"/>
          <w:marRight w:val="0"/>
          <w:marTop w:val="0"/>
          <w:marBottom w:val="0"/>
          <w:divBdr>
            <w:top w:val="none" w:sz="0" w:space="0" w:color="auto"/>
            <w:left w:val="none" w:sz="0" w:space="0" w:color="auto"/>
            <w:bottom w:val="none" w:sz="0" w:space="0" w:color="auto"/>
            <w:right w:val="none" w:sz="0" w:space="0" w:color="auto"/>
          </w:divBdr>
        </w:div>
        <w:div w:id="388849296">
          <w:marLeft w:val="0"/>
          <w:marRight w:val="0"/>
          <w:marTop w:val="0"/>
          <w:marBottom w:val="0"/>
          <w:divBdr>
            <w:top w:val="none" w:sz="0" w:space="0" w:color="auto"/>
            <w:left w:val="none" w:sz="0" w:space="0" w:color="auto"/>
            <w:bottom w:val="none" w:sz="0" w:space="0" w:color="auto"/>
            <w:right w:val="none" w:sz="0" w:space="0" w:color="auto"/>
          </w:divBdr>
        </w:div>
        <w:div w:id="391008188">
          <w:marLeft w:val="0"/>
          <w:marRight w:val="0"/>
          <w:marTop w:val="0"/>
          <w:marBottom w:val="0"/>
          <w:divBdr>
            <w:top w:val="none" w:sz="0" w:space="0" w:color="auto"/>
            <w:left w:val="none" w:sz="0" w:space="0" w:color="auto"/>
            <w:bottom w:val="none" w:sz="0" w:space="0" w:color="auto"/>
            <w:right w:val="none" w:sz="0" w:space="0" w:color="auto"/>
          </w:divBdr>
        </w:div>
        <w:div w:id="409086089">
          <w:marLeft w:val="0"/>
          <w:marRight w:val="0"/>
          <w:marTop w:val="0"/>
          <w:marBottom w:val="0"/>
          <w:divBdr>
            <w:top w:val="none" w:sz="0" w:space="0" w:color="auto"/>
            <w:left w:val="none" w:sz="0" w:space="0" w:color="auto"/>
            <w:bottom w:val="none" w:sz="0" w:space="0" w:color="auto"/>
            <w:right w:val="none" w:sz="0" w:space="0" w:color="auto"/>
          </w:divBdr>
        </w:div>
        <w:div w:id="412625335">
          <w:marLeft w:val="0"/>
          <w:marRight w:val="0"/>
          <w:marTop w:val="0"/>
          <w:marBottom w:val="0"/>
          <w:divBdr>
            <w:top w:val="none" w:sz="0" w:space="0" w:color="auto"/>
            <w:left w:val="none" w:sz="0" w:space="0" w:color="auto"/>
            <w:bottom w:val="none" w:sz="0" w:space="0" w:color="auto"/>
            <w:right w:val="none" w:sz="0" w:space="0" w:color="auto"/>
          </w:divBdr>
        </w:div>
        <w:div w:id="418065871">
          <w:marLeft w:val="0"/>
          <w:marRight w:val="0"/>
          <w:marTop w:val="0"/>
          <w:marBottom w:val="0"/>
          <w:divBdr>
            <w:top w:val="none" w:sz="0" w:space="0" w:color="auto"/>
            <w:left w:val="none" w:sz="0" w:space="0" w:color="auto"/>
            <w:bottom w:val="none" w:sz="0" w:space="0" w:color="auto"/>
            <w:right w:val="none" w:sz="0" w:space="0" w:color="auto"/>
          </w:divBdr>
          <w:divsChild>
            <w:div w:id="245919955">
              <w:marLeft w:val="0"/>
              <w:marRight w:val="0"/>
              <w:marTop w:val="0"/>
              <w:marBottom w:val="0"/>
              <w:divBdr>
                <w:top w:val="none" w:sz="0" w:space="0" w:color="auto"/>
                <w:left w:val="none" w:sz="0" w:space="0" w:color="auto"/>
                <w:bottom w:val="none" w:sz="0" w:space="0" w:color="auto"/>
                <w:right w:val="none" w:sz="0" w:space="0" w:color="auto"/>
              </w:divBdr>
            </w:div>
            <w:div w:id="451175071">
              <w:marLeft w:val="0"/>
              <w:marRight w:val="0"/>
              <w:marTop w:val="0"/>
              <w:marBottom w:val="0"/>
              <w:divBdr>
                <w:top w:val="none" w:sz="0" w:space="0" w:color="auto"/>
                <w:left w:val="none" w:sz="0" w:space="0" w:color="auto"/>
                <w:bottom w:val="none" w:sz="0" w:space="0" w:color="auto"/>
                <w:right w:val="none" w:sz="0" w:space="0" w:color="auto"/>
              </w:divBdr>
            </w:div>
            <w:div w:id="736782984">
              <w:marLeft w:val="0"/>
              <w:marRight w:val="0"/>
              <w:marTop w:val="0"/>
              <w:marBottom w:val="0"/>
              <w:divBdr>
                <w:top w:val="none" w:sz="0" w:space="0" w:color="auto"/>
                <w:left w:val="none" w:sz="0" w:space="0" w:color="auto"/>
                <w:bottom w:val="none" w:sz="0" w:space="0" w:color="auto"/>
                <w:right w:val="none" w:sz="0" w:space="0" w:color="auto"/>
              </w:divBdr>
            </w:div>
            <w:div w:id="1912883429">
              <w:marLeft w:val="0"/>
              <w:marRight w:val="0"/>
              <w:marTop w:val="0"/>
              <w:marBottom w:val="0"/>
              <w:divBdr>
                <w:top w:val="none" w:sz="0" w:space="0" w:color="auto"/>
                <w:left w:val="none" w:sz="0" w:space="0" w:color="auto"/>
                <w:bottom w:val="none" w:sz="0" w:space="0" w:color="auto"/>
                <w:right w:val="none" w:sz="0" w:space="0" w:color="auto"/>
              </w:divBdr>
            </w:div>
            <w:div w:id="2116096024">
              <w:marLeft w:val="0"/>
              <w:marRight w:val="0"/>
              <w:marTop w:val="0"/>
              <w:marBottom w:val="0"/>
              <w:divBdr>
                <w:top w:val="none" w:sz="0" w:space="0" w:color="auto"/>
                <w:left w:val="none" w:sz="0" w:space="0" w:color="auto"/>
                <w:bottom w:val="none" w:sz="0" w:space="0" w:color="auto"/>
                <w:right w:val="none" w:sz="0" w:space="0" w:color="auto"/>
              </w:divBdr>
            </w:div>
          </w:divsChild>
        </w:div>
        <w:div w:id="428625739">
          <w:marLeft w:val="0"/>
          <w:marRight w:val="0"/>
          <w:marTop w:val="0"/>
          <w:marBottom w:val="0"/>
          <w:divBdr>
            <w:top w:val="none" w:sz="0" w:space="0" w:color="auto"/>
            <w:left w:val="none" w:sz="0" w:space="0" w:color="auto"/>
            <w:bottom w:val="none" w:sz="0" w:space="0" w:color="auto"/>
            <w:right w:val="none" w:sz="0" w:space="0" w:color="auto"/>
          </w:divBdr>
        </w:div>
        <w:div w:id="434062653">
          <w:marLeft w:val="0"/>
          <w:marRight w:val="0"/>
          <w:marTop w:val="0"/>
          <w:marBottom w:val="0"/>
          <w:divBdr>
            <w:top w:val="none" w:sz="0" w:space="0" w:color="auto"/>
            <w:left w:val="none" w:sz="0" w:space="0" w:color="auto"/>
            <w:bottom w:val="none" w:sz="0" w:space="0" w:color="auto"/>
            <w:right w:val="none" w:sz="0" w:space="0" w:color="auto"/>
          </w:divBdr>
        </w:div>
        <w:div w:id="434449808">
          <w:marLeft w:val="0"/>
          <w:marRight w:val="0"/>
          <w:marTop w:val="0"/>
          <w:marBottom w:val="0"/>
          <w:divBdr>
            <w:top w:val="none" w:sz="0" w:space="0" w:color="auto"/>
            <w:left w:val="none" w:sz="0" w:space="0" w:color="auto"/>
            <w:bottom w:val="none" w:sz="0" w:space="0" w:color="auto"/>
            <w:right w:val="none" w:sz="0" w:space="0" w:color="auto"/>
          </w:divBdr>
        </w:div>
        <w:div w:id="436677265">
          <w:marLeft w:val="0"/>
          <w:marRight w:val="0"/>
          <w:marTop w:val="0"/>
          <w:marBottom w:val="0"/>
          <w:divBdr>
            <w:top w:val="none" w:sz="0" w:space="0" w:color="auto"/>
            <w:left w:val="none" w:sz="0" w:space="0" w:color="auto"/>
            <w:bottom w:val="none" w:sz="0" w:space="0" w:color="auto"/>
            <w:right w:val="none" w:sz="0" w:space="0" w:color="auto"/>
          </w:divBdr>
        </w:div>
        <w:div w:id="450245277">
          <w:marLeft w:val="0"/>
          <w:marRight w:val="0"/>
          <w:marTop w:val="0"/>
          <w:marBottom w:val="0"/>
          <w:divBdr>
            <w:top w:val="none" w:sz="0" w:space="0" w:color="auto"/>
            <w:left w:val="none" w:sz="0" w:space="0" w:color="auto"/>
            <w:bottom w:val="none" w:sz="0" w:space="0" w:color="auto"/>
            <w:right w:val="none" w:sz="0" w:space="0" w:color="auto"/>
          </w:divBdr>
        </w:div>
        <w:div w:id="453056675">
          <w:marLeft w:val="0"/>
          <w:marRight w:val="0"/>
          <w:marTop w:val="0"/>
          <w:marBottom w:val="0"/>
          <w:divBdr>
            <w:top w:val="none" w:sz="0" w:space="0" w:color="auto"/>
            <w:left w:val="none" w:sz="0" w:space="0" w:color="auto"/>
            <w:bottom w:val="none" w:sz="0" w:space="0" w:color="auto"/>
            <w:right w:val="none" w:sz="0" w:space="0" w:color="auto"/>
          </w:divBdr>
        </w:div>
        <w:div w:id="458496961">
          <w:marLeft w:val="0"/>
          <w:marRight w:val="0"/>
          <w:marTop w:val="0"/>
          <w:marBottom w:val="0"/>
          <w:divBdr>
            <w:top w:val="none" w:sz="0" w:space="0" w:color="auto"/>
            <w:left w:val="none" w:sz="0" w:space="0" w:color="auto"/>
            <w:bottom w:val="none" w:sz="0" w:space="0" w:color="auto"/>
            <w:right w:val="none" w:sz="0" w:space="0" w:color="auto"/>
          </w:divBdr>
          <w:divsChild>
            <w:div w:id="199361583">
              <w:marLeft w:val="0"/>
              <w:marRight w:val="0"/>
              <w:marTop w:val="0"/>
              <w:marBottom w:val="0"/>
              <w:divBdr>
                <w:top w:val="none" w:sz="0" w:space="0" w:color="auto"/>
                <w:left w:val="none" w:sz="0" w:space="0" w:color="auto"/>
                <w:bottom w:val="none" w:sz="0" w:space="0" w:color="auto"/>
                <w:right w:val="none" w:sz="0" w:space="0" w:color="auto"/>
              </w:divBdr>
            </w:div>
            <w:div w:id="345640709">
              <w:marLeft w:val="0"/>
              <w:marRight w:val="0"/>
              <w:marTop w:val="0"/>
              <w:marBottom w:val="0"/>
              <w:divBdr>
                <w:top w:val="none" w:sz="0" w:space="0" w:color="auto"/>
                <w:left w:val="none" w:sz="0" w:space="0" w:color="auto"/>
                <w:bottom w:val="none" w:sz="0" w:space="0" w:color="auto"/>
                <w:right w:val="none" w:sz="0" w:space="0" w:color="auto"/>
              </w:divBdr>
            </w:div>
            <w:div w:id="384108955">
              <w:marLeft w:val="0"/>
              <w:marRight w:val="0"/>
              <w:marTop w:val="0"/>
              <w:marBottom w:val="0"/>
              <w:divBdr>
                <w:top w:val="none" w:sz="0" w:space="0" w:color="auto"/>
                <w:left w:val="none" w:sz="0" w:space="0" w:color="auto"/>
                <w:bottom w:val="none" w:sz="0" w:space="0" w:color="auto"/>
                <w:right w:val="none" w:sz="0" w:space="0" w:color="auto"/>
              </w:divBdr>
            </w:div>
            <w:div w:id="964773386">
              <w:marLeft w:val="0"/>
              <w:marRight w:val="0"/>
              <w:marTop w:val="0"/>
              <w:marBottom w:val="0"/>
              <w:divBdr>
                <w:top w:val="none" w:sz="0" w:space="0" w:color="auto"/>
                <w:left w:val="none" w:sz="0" w:space="0" w:color="auto"/>
                <w:bottom w:val="none" w:sz="0" w:space="0" w:color="auto"/>
                <w:right w:val="none" w:sz="0" w:space="0" w:color="auto"/>
              </w:divBdr>
            </w:div>
            <w:div w:id="2120099430">
              <w:marLeft w:val="0"/>
              <w:marRight w:val="0"/>
              <w:marTop w:val="0"/>
              <w:marBottom w:val="0"/>
              <w:divBdr>
                <w:top w:val="none" w:sz="0" w:space="0" w:color="auto"/>
                <w:left w:val="none" w:sz="0" w:space="0" w:color="auto"/>
                <w:bottom w:val="none" w:sz="0" w:space="0" w:color="auto"/>
                <w:right w:val="none" w:sz="0" w:space="0" w:color="auto"/>
              </w:divBdr>
            </w:div>
          </w:divsChild>
        </w:div>
        <w:div w:id="468086042">
          <w:marLeft w:val="0"/>
          <w:marRight w:val="0"/>
          <w:marTop w:val="0"/>
          <w:marBottom w:val="0"/>
          <w:divBdr>
            <w:top w:val="none" w:sz="0" w:space="0" w:color="auto"/>
            <w:left w:val="none" w:sz="0" w:space="0" w:color="auto"/>
            <w:bottom w:val="none" w:sz="0" w:space="0" w:color="auto"/>
            <w:right w:val="none" w:sz="0" w:space="0" w:color="auto"/>
          </w:divBdr>
        </w:div>
        <w:div w:id="477963194">
          <w:marLeft w:val="0"/>
          <w:marRight w:val="0"/>
          <w:marTop w:val="0"/>
          <w:marBottom w:val="0"/>
          <w:divBdr>
            <w:top w:val="none" w:sz="0" w:space="0" w:color="auto"/>
            <w:left w:val="none" w:sz="0" w:space="0" w:color="auto"/>
            <w:bottom w:val="none" w:sz="0" w:space="0" w:color="auto"/>
            <w:right w:val="none" w:sz="0" w:space="0" w:color="auto"/>
          </w:divBdr>
        </w:div>
        <w:div w:id="486171016">
          <w:marLeft w:val="0"/>
          <w:marRight w:val="0"/>
          <w:marTop w:val="0"/>
          <w:marBottom w:val="0"/>
          <w:divBdr>
            <w:top w:val="none" w:sz="0" w:space="0" w:color="auto"/>
            <w:left w:val="none" w:sz="0" w:space="0" w:color="auto"/>
            <w:bottom w:val="none" w:sz="0" w:space="0" w:color="auto"/>
            <w:right w:val="none" w:sz="0" w:space="0" w:color="auto"/>
          </w:divBdr>
        </w:div>
        <w:div w:id="488863063">
          <w:marLeft w:val="0"/>
          <w:marRight w:val="0"/>
          <w:marTop w:val="0"/>
          <w:marBottom w:val="0"/>
          <w:divBdr>
            <w:top w:val="none" w:sz="0" w:space="0" w:color="auto"/>
            <w:left w:val="none" w:sz="0" w:space="0" w:color="auto"/>
            <w:bottom w:val="none" w:sz="0" w:space="0" w:color="auto"/>
            <w:right w:val="none" w:sz="0" w:space="0" w:color="auto"/>
          </w:divBdr>
        </w:div>
        <w:div w:id="494759329">
          <w:marLeft w:val="0"/>
          <w:marRight w:val="0"/>
          <w:marTop w:val="0"/>
          <w:marBottom w:val="0"/>
          <w:divBdr>
            <w:top w:val="none" w:sz="0" w:space="0" w:color="auto"/>
            <w:left w:val="none" w:sz="0" w:space="0" w:color="auto"/>
            <w:bottom w:val="none" w:sz="0" w:space="0" w:color="auto"/>
            <w:right w:val="none" w:sz="0" w:space="0" w:color="auto"/>
          </w:divBdr>
        </w:div>
        <w:div w:id="500047817">
          <w:marLeft w:val="0"/>
          <w:marRight w:val="0"/>
          <w:marTop w:val="0"/>
          <w:marBottom w:val="0"/>
          <w:divBdr>
            <w:top w:val="none" w:sz="0" w:space="0" w:color="auto"/>
            <w:left w:val="none" w:sz="0" w:space="0" w:color="auto"/>
            <w:bottom w:val="none" w:sz="0" w:space="0" w:color="auto"/>
            <w:right w:val="none" w:sz="0" w:space="0" w:color="auto"/>
          </w:divBdr>
        </w:div>
        <w:div w:id="513223963">
          <w:marLeft w:val="0"/>
          <w:marRight w:val="0"/>
          <w:marTop w:val="0"/>
          <w:marBottom w:val="0"/>
          <w:divBdr>
            <w:top w:val="none" w:sz="0" w:space="0" w:color="auto"/>
            <w:left w:val="none" w:sz="0" w:space="0" w:color="auto"/>
            <w:bottom w:val="none" w:sz="0" w:space="0" w:color="auto"/>
            <w:right w:val="none" w:sz="0" w:space="0" w:color="auto"/>
          </w:divBdr>
        </w:div>
        <w:div w:id="515577596">
          <w:marLeft w:val="0"/>
          <w:marRight w:val="0"/>
          <w:marTop w:val="0"/>
          <w:marBottom w:val="0"/>
          <w:divBdr>
            <w:top w:val="none" w:sz="0" w:space="0" w:color="auto"/>
            <w:left w:val="none" w:sz="0" w:space="0" w:color="auto"/>
            <w:bottom w:val="none" w:sz="0" w:space="0" w:color="auto"/>
            <w:right w:val="none" w:sz="0" w:space="0" w:color="auto"/>
          </w:divBdr>
        </w:div>
        <w:div w:id="528955959">
          <w:marLeft w:val="0"/>
          <w:marRight w:val="0"/>
          <w:marTop w:val="0"/>
          <w:marBottom w:val="0"/>
          <w:divBdr>
            <w:top w:val="none" w:sz="0" w:space="0" w:color="auto"/>
            <w:left w:val="none" w:sz="0" w:space="0" w:color="auto"/>
            <w:bottom w:val="none" w:sz="0" w:space="0" w:color="auto"/>
            <w:right w:val="none" w:sz="0" w:space="0" w:color="auto"/>
          </w:divBdr>
        </w:div>
        <w:div w:id="530537821">
          <w:marLeft w:val="0"/>
          <w:marRight w:val="0"/>
          <w:marTop w:val="0"/>
          <w:marBottom w:val="0"/>
          <w:divBdr>
            <w:top w:val="none" w:sz="0" w:space="0" w:color="auto"/>
            <w:left w:val="none" w:sz="0" w:space="0" w:color="auto"/>
            <w:bottom w:val="none" w:sz="0" w:space="0" w:color="auto"/>
            <w:right w:val="none" w:sz="0" w:space="0" w:color="auto"/>
          </w:divBdr>
        </w:div>
        <w:div w:id="536621008">
          <w:marLeft w:val="0"/>
          <w:marRight w:val="0"/>
          <w:marTop w:val="0"/>
          <w:marBottom w:val="0"/>
          <w:divBdr>
            <w:top w:val="none" w:sz="0" w:space="0" w:color="auto"/>
            <w:left w:val="none" w:sz="0" w:space="0" w:color="auto"/>
            <w:bottom w:val="none" w:sz="0" w:space="0" w:color="auto"/>
            <w:right w:val="none" w:sz="0" w:space="0" w:color="auto"/>
          </w:divBdr>
        </w:div>
        <w:div w:id="539244698">
          <w:marLeft w:val="0"/>
          <w:marRight w:val="0"/>
          <w:marTop w:val="0"/>
          <w:marBottom w:val="0"/>
          <w:divBdr>
            <w:top w:val="none" w:sz="0" w:space="0" w:color="auto"/>
            <w:left w:val="none" w:sz="0" w:space="0" w:color="auto"/>
            <w:bottom w:val="none" w:sz="0" w:space="0" w:color="auto"/>
            <w:right w:val="none" w:sz="0" w:space="0" w:color="auto"/>
          </w:divBdr>
        </w:div>
        <w:div w:id="545068513">
          <w:marLeft w:val="0"/>
          <w:marRight w:val="0"/>
          <w:marTop w:val="0"/>
          <w:marBottom w:val="0"/>
          <w:divBdr>
            <w:top w:val="none" w:sz="0" w:space="0" w:color="auto"/>
            <w:left w:val="none" w:sz="0" w:space="0" w:color="auto"/>
            <w:bottom w:val="none" w:sz="0" w:space="0" w:color="auto"/>
            <w:right w:val="none" w:sz="0" w:space="0" w:color="auto"/>
          </w:divBdr>
        </w:div>
        <w:div w:id="550118859">
          <w:marLeft w:val="0"/>
          <w:marRight w:val="0"/>
          <w:marTop w:val="0"/>
          <w:marBottom w:val="0"/>
          <w:divBdr>
            <w:top w:val="none" w:sz="0" w:space="0" w:color="auto"/>
            <w:left w:val="none" w:sz="0" w:space="0" w:color="auto"/>
            <w:bottom w:val="none" w:sz="0" w:space="0" w:color="auto"/>
            <w:right w:val="none" w:sz="0" w:space="0" w:color="auto"/>
          </w:divBdr>
        </w:div>
        <w:div w:id="551306863">
          <w:marLeft w:val="0"/>
          <w:marRight w:val="0"/>
          <w:marTop w:val="0"/>
          <w:marBottom w:val="0"/>
          <w:divBdr>
            <w:top w:val="none" w:sz="0" w:space="0" w:color="auto"/>
            <w:left w:val="none" w:sz="0" w:space="0" w:color="auto"/>
            <w:bottom w:val="none" w:sz="0" w:space="0" w:color="auto"/>
            <w:right w:val="none" w:sz="0" w:space="0" w:color="auto"/>
          </w:divBdr>
        </w:div>
        <w:div w:id="570769896">
          <w:marLeft w:val="0"/>
          <w:marRight w:val="0"/>
          <w:marTop w:val="0"/>
          <w:marBottom w:val="0"/>
          <w:divBdr>
            <w:top w:val="none" w:sz="0" w:space="0" w:color="auto"/>
            <w:left w:val="none" w:sz="0" w:space="0" w:color="auto"/>
            <w:bottom w:val="none" w:sz="0" w:space="0" w:color="auto"/>
            <w:right w:val="none" w:sz="0" w:space="0" w:color="auto"/>
          </w:divBdr>
        </w:div>
        <w:div w:id="586303042">
          <w:marLeft w:val="0"/>
          <w:marRight w:val="0"/>
          <w:marTop w:val="0"/>
          <w:marBottom w:val="0"/>
          <w:divBdr>
            <w:top w:val="none" w:sz="0" w:space="0" w:color="auto"/>
            <w:left w:val="none" w:sz="0" w:space="0" w:color="auto"/>
            <w:bottom w:val="none" w:sz="0" w:space="0" w:color="auto"/>
            <w:right w:val="none" w:sz="0" w:space="0" w:color="auto"/>
          </w:divBdr>
        </w:div>
        <w:div w:id="589778130">
          <w:marLeft w:val="0"/>
          <w:marRight w:val="0"/>
          <w:marTop w:val="0"/>
          <w:marBottom w:val="0"/>
          <w:divBdr>
            <w:top w:val="none" w:sz="0" w:space="0" w:color="auto"/>
            <w:left w:val="none" w:sz="0" w:space="0" w:color="auto"/>
            <w:bottom w:val="none" w:sz="0" w:space="0" w:color="auto"/>
            <w:right w:val="none" w:sz="0" w:space="0" w:color="auto"/>
          </w:divBdr>
        </w:div>
        <w:div w:id="604382812">
          <w:marLeft w:val="0"/>
          <w:marRight w:val="0"/>
          <w:marTop w:val="0"/>
          <w:marBottom w:val="0"/>
          <w:divBdr>
            <w:top w:val="none" w:sz="0" w:space="0" w:color="auto"/>
            <w:left w:val="none" w:sz="0" w:space="0" w:color="auto"/>
            <w:bottom w:val="none" w:sz="0" w:space="0" w:color="auto"/>
            <w:right w:val="none" w:sz="0" w:space="0" w:color="auto"/>
          </w:divBdr>
        </w:div>
        <w:div w:id="607272859">
          <w:marLeft w:val="0"/>
          <w:marRight w:val="0"/>
          <w:marTop w:val="0"/>
          <w:marBottom w:val="0"/>
          <w:divBdr>
            <w:top w:val="none" w:sz="0" w:space="0" w:color="auto"/>
            <w:left w:val="none" w:sz="0" w:space="0" w:color="auto"/>
            <w:bottom w:val="none" w:sz="0" w:space="0" w:color="auto"/>
            <w:right w:val="none" w:sz="0" w:space="0" w:color="auto"/>
          </w:divBdr>
        </w:div>
        <w:div w:id="628124222">
          <w:marLeft w:val="0"/>
          <w:marRight w:val="0"/>
          <w:marTop w:val="0"/>
          <w:marBottom w:val="0"/>
          <w:divBdr>
            <w:top w:val="none" w:sz="0" w:space="0" w:color="auto"/>
            <w:left w:val="none" w:sz="0" w:space="0" w:color="auto"/>
            <w:bottom w:val="none" w:sz="0" w:space="0" w:color="auto"/>
            <w:right w:val="none" w:sz="0" w:space="0" w:color="auto"/>
          </w:divBdr>
          <w:divsChild>
            <w:div w:id="107161511">
              <w:marLeft w:val="0"/>
              <w:marRight w:val="0"/>
              <w:marTop w:val="0"/>
              <w:marBottom w:val="0"/>
              <w:divBdr>
                <w:top w:val="none" w:sz="0" w:space="0" w:color="auto"/>
                <w:left w:val="none" w:sz="0" w:space="0" w:color="auto"/>
                <w:bottom w:val="none" w:sz="0" w:space="0" w:color="auto"/>
                <w:right w:val="none" w:sz="0" w:space="0" w:color="auto"/>
              </w:divBdr>
            </w:div>
            <w:div w:id="169104024">
              <w:marLeft w:val="0"/>
              <w:marRight w:val="0"/>
              <w:marTop w:val="0"/>
              <w:marBottom w:val="0"/>
              <w:divBdr>
                <w:top w:val="none" w:sz="0" w:space="0" w:color="auto"/>
                <w:left w:val="none" w:sz="0" w:space="0" w:color="auto"/>
                <w:bottom w:val="none" w:sz="0" w:space="0" w:color="auto"/>
                <w:right w:val="none" w:sz="0" w:space="0" w:color="auto"/>
              </w:divBdr>
            </w:div>
            <w:div w:id="837035897">
              <w:marLeft w:val="0"/>
              <w:marRight w:val="0"/>
              <w:marTop w:val="0"/>
              <w:marBottom w:val="0"/>
              <w:divBdr>
                <w:top w:val="none" w:sz="0" w:space="0" w:color="auto"/>
                <w:left w:val="none" w:sz="0" w:space="0" w:color="auto"/>
                <w:bottom w:val="none" w:sz="0" w:space="0" w:color="auto"/>
                <w:right w:val="none" w:sz="0" w:space="0" w:color="auto"/>
              </w:divBdr>
            </w:div>
            <w:div w:id="900210711">
              <w:marLeft w:val="0"/>
              <w:marRight w:val="0"/>
              <w:marTop w:val="0"/>
              <w:marBottom w:val="0"/>
              <w:divBdr>
                <w:top w:val="none" w:sz="0" w:space="0" w:color="auto"/>
                <w:left w:val="none" w:sz="0" w:space="0" w:color="auto"/>
                <w:bottom w:val="none" w:sz="0" w:space="0" w:color="auto"/>
                <w:right w:val="none" w:sz="0" w:space="0" w:color="auto"/>
              </w:divBdr>
            </w:div>
            <w:div w:id="1683972951">
              <w:marLeft w:val="0"/>
              <w:marRight w:val="0"/>
              <w:marTop w:val="0"/>
              <w:marBottom w:val="0"/>
              <w:divBdr>
                <w:top w:val="none" w:sz="0" w:space="0" w:color="auto"/>
                <w:left w:val="none" w:sz="0" w:space="0" w:color="auto"/>
                <w:bottom w:val="none" w:sz="0" w:space="0" w:color="auto"/>
                <w:right w:val="none" w:sz="0" w:space="0" w:color="auto"/>
              </w:divBdr>
            </w:div>
          </w:divsChild>
        </w:div>
        <w:div w:id="630476746">
          <w:marLeft w:val="0"/>
          <w:marRight w:val="0"/>
          <w:marTop w:val="0"/>
          <w:marBottom w:val="0"/>
          <w:divBdr>
            <w:top w:val="none" w:sz="0" w:space="0" w:color="auto"/>
            <w:left w:val="none" w:sz="0" w:space="0" w:color="auto"/>
            <w:bottom w:val="none" w:sz="0" w:space="0" w:color="auto"/>
            <w:right w:val="none" w:sz="0" w:space="0" w:color="auto"/>
          </w:divBdr>
        </w:div>
        <w:div w:id="634987599">
          <w:marLeft w:val="0"/>
          <w:marRight w:val="0"/>
          <w:marTop w:val="0"/>
          <w:marBottom w:val="0"/>
          <w:divBdr>
            <w:top w:val="none" w:sz="0" w:space="0" w:color="auto"/>
            <w:left w:val="none" w:sz="0" w:space="0" w:color="auto"/>
            <w:bottom w:val="none" w:sz="0" w:space="0" w:color="auto"/>
            <w:right w:val="none" w:sz="0" w:space="0" w:color="auto"/>
          </w:divBdr>
        </w:div>
        <w:div w:id="643967484">
          <w:marLeft w:val="0"/>
          <w:marRight w:val="0"/>
          <w:marTop w:val="0"/>
          <w:marBottom w:val="0"/>
          <w:divBdr>
            <w:top w:val="none" w:sz="0" w:space="0" w:color="auto"/>
            <w:left w:val="none" w:sz="0" w:space="0" w:color="auto"/>
            <w:bottom w:val="none" w:sz="0" w:space="0" w:color="auto"/>
            <w:right w:val="none" w:sz="0" w:space="0" w:color="auto"/>
          </w:divBdr>
        </w:div>
        <w:div w:id="645280958">
          <w:marLeft w:val="0"/>
          <w:marRight w:val="0"/>
          <w:marTop w:val="0"/>
          <w:marBottom w:val="0"/>
          <w:divBdr>
            <w:top w:val="none" w:sz="0" w:space="0" w:color="auto"/>
            <w:left w:val="none" w:sz="0" w:space="0" w:color="auto"/>
            <w:bottom w:val="none" w:sz="0" w:space="0" w:color="auto"/>
            <w:right w:val="none" w:sz="0" w:space="0" w:color="auto"/>
          </w:divBdr>
        </w:div>
        <w:div w:id="649166471">
          <w:marLeft w:val="0"/>
          <w:marRight w:val="0"/>
          <w:marTop w:val="0"/>
          <w:marBottom w:val="0"/>
          <w:divBdr>
            <w:top w:val="none" w:sz="0" w:space="0" w:color="auto"/>
            <w:left w:val="none" w:sz="0" w:space="0" w:color="auto"/>
            <w:bottom w:val="none" w:sz="0" w:space="0" w:color="auto"/>
            <w:right w:val="none" w:sz="0" w:space="0" w:color="auto"/>
          </w:divBdr>
        </w:div>
        <w:div w:id="650330013">
          <w:marLeft w:val="0"/>
          <w:marRight w:val="0"/>
          <w:marTop w:val="0"/>
          <w:marBottom w:val="0"/>
          <w:divBdr>
            <w:top w:val="none" w:sz="0" w:space="0" w:color="auto"/>
            <w:left w:val="none" w:sz="0" w:space="0" w:color="auto"/>
            <w:bottom w:val="none" w:sz="0" w:space="0" w:color="auto"/>
            <w:right w:val="none" w:sz="0" w:space="0" w:color="auto"/>
          </w:divBdr>
          <w:divsChild>
            <w:div w:id="1183859978">
              <w:marLeft w:val="0"/>
              <w:marRight w:val="0"/>
              <w:marTop w:val="0"/>
              <w:marBottom w:val="0"/>
              <w:divBdr>
                <w:top w:val="none" w:sz="0" w:space="0" w:color="auto"/>
                <w:left w:val="none" w:sz="0" w:space="0" w:color="auto"/>
                <w:bottom w:val="none" w:sz="0" w:space="0" w:color="auto"/>
                <w:right w:val="none" w:sz="0" w:space="0" w:color="auto"/>
              </w:divBdr>
            </w:div>
          </w:divsChild>
        </w:div>
        <w:div w:id="657654952">
          <w:marLeft w:val="0"/>
          <w:marRight w:val="0"/>
          <w:marTop w:val="0"/>
          <w:marBottom w:val="0"/>
          <w:divBdr>
            <w:top w:val="none" w:sz="0" w:space="0" w:color="auto"/>
            <w:left w:val="none" w:sz="0" w:space="0" w:color="auto"/>
            <w:bottom w:val="none" w:sz="0" w:space="0" w:color="auto"/>
            <w:right w:val="none" w:sz="0" w:space="0" w:color="auto"/>
          </w:divBdr>
        </w:div>
        <w:div w:id="663123781">
          <w:marLeft w:val="0"/>
          <w:marRight w:val="0"/>
          <w:marTop w:val="0"/>
          <w:marBottom w:val="0"/>
          <w:divBdr>
            <w:top w:val="none" w:sz="0" w:space="0" w:color="auto"/>
            <w:left w:val="none" w:sz="0" w:space="0" w:color="auto"/>
            <w:bottom w:val="none" w:sz="0" w:space="0" w:color="auto"/>
            <w:right w:val="none" w:sz="0" w:space="0" w:color="auto"/>
          </w:divBdr>
        </w:div>
        <w:div w:id="664626444">
          <w:marLeft w:val="0"/>
          <w:marRight w:val="0"/>
          <w:marTop w:val="0"/>
          <w:marBottom w:val="0"/>
          <w:divBdr>
            <w:top w:val="none" w:sz="0" w:space="0" w:color="auto"/>
            <w:left w:val="none" w:sz="0" w:space="0" w:color="auto"/>
            <w:bottom w:val="none" w:sz="0" w:space="0" w:color="auto"/>
            <w:right w:val="none" w:sz="0" w:space="0" w:color="auto"/>
          </w:divBdr>
        </w:div>
        <w:div w:id="671566978">
          <w:marLeft w:val="0"/>
          <w:marRight w:val="0"/>
          <w:marTop w:val="0"/>
          <w:marBottom w:val="0"/>
          <w:divBdr>
            <w:top w:val="none" w:sz="0" w:space="0" w:color="auto"/>
            <w:left w:val="none" w:sz="0" w:space="0" w:color="auto"/>
            <w:bottom w:val="none" w:sz="0" w:space="0" w:color="auto"/>
            <w:right w:val="none" w:sz="0" w:space="0" w:color="auto"/>
          </w:divBdr>
        </w:div>
        <w:div w:id="682363191">
          <w:marLeft w:val="0"/>
          <w:marRight w:val="0"/>
          <w:marTop w:val="0"/>
          <w:marBottom w:val="0"/>
          <w:divBdr>
            <w:top w:val="none" w:sz="0" w:space="0" w:color="auto"/>
            <w:left w:val="none" w:sz="0" w:space="0" w:color="auto"/>
            <w:bottom w:val="none" w:sz="0" w:space="0" w:color="auto"/>
            <w:right w:val="none" w:sz="0" w:space="0" w:color="auto"/>
          </w:divBdr>
        </w:div>
        <w:div w:id="684745857">
          <w:marLeft w:val="0"/>
          <w:marRight w:val="0"/>
          <w:marTop w:val="0"/>
          <w:marBottom w:val="0"/>
          <w:divBdr>
            <w:top w:val="none" w:sz="0" w:space="0" w:color="auto"/>
            <w:left w:val="none" w:sz="0" w:space="0" w:color="auto"/>
            <w:bottom w:val="none" w:sz="0" w:space="0" w:color="auto"/>
            <w:right w:val="none" w:sz="0" w:space="0" w:color="auto"/>
          </w:divBdr>
        </w:div>
        <w:div w:id="687214390">
          <w:marLeft w:val="0"/>
          <w:marRight w:val="0"/>
          <w:marTop w:val="0"/>
          <w:marBottom w:val="0"/>
          <w:divBdr>
            <w:top w:val="none" w:sz="0" w:space="0" w:color="auto"/>
            <w:left w:val="none" w:sz="0" w:space="0" w:color="auto"/>
            <w:bottom w:val="none" w:sz="0" w:space="0" w:color="auto"/>
            <w:right w:val="none" w:sz="0" w:space="0" w:color="auto"/>
          </w:divBdr>
        </w:div>
        <w:div w:id="692073043">
          <w:marLeft w:val="0"/>
          <w:marRight w:val="0"/>
          <w:marTop w:val="0"/>
          <w:marBottom w:val="0"/>
          <w:divBdr>
            <w:top w:val="none" w:sz="0" w:space="0" w:color="auto"/>
            <w:left w:val="none" w:sz="0" w:space="0" w:color="auto"/>
            <w:bottom w:val="none" w:sz="0" w:space="0" w:color="auto"/>
            <w:right w:val="none" w:sz="0" w:space="0" w:color="auto"/>
          </w:divBdr>
        </w:div>
        <w:div w:id="697045192">
          <w:marLeft w:val="0"/>
          <w:marRight w:val="0"/>
          <w:marTop w:val="0"/>
          <w:marBottom w:val="0"/>
          <w:divBdr>
            <w:top w:val="none" w:sz="0" w:space="0" w:color="auto"/>
            <w:left w:val="none" w:sz="0" w:space="0" w:color="auto"/>
            <w:bottom w:val="none" w:sz="0" w:space="0" w:color="auto"/>
            <w:right w:val="none" w:sz="0" w:space="0" w:color="auto"/>
          </w:divBdr>
        </w:div>
        <w:div w:id="698434668">
          <w:marLeft w:val="0"/>
          <w:marRight w:val="0"/>
          <w:marTop w:val="0"/>
          <w:marBottom w:val="0"/>
          <w:divBdr>
            <w:top w:val="none" w:sz="0" w:space="0" w:color="auto"/>
            <w:left w:val="none" w:sz="0" w:space="0" w:color="auto"/>
            <w:bottom w:val="none" w:sz="0" w:space="0" w:color="auto"/>
            <w:right w:val="none" w:sz="0" w:space="0" w:color="auto"/>
          </w:divBdr>
        </w:div>
        <w:div w:id="699160997">
          <w:marLeft w:val="0"/>
          <w:marRight w:val="0"/>
          <w:marTop w:val="0"/>
          <w:marBottom w:val="0"/>
          <w:divBdr>
            <w:top w:val="none" w:sz="0" w:space="0" w:color="auto"/>
            <w:left w:val="none" w:sz="0" w:space="0" w:color="auto"/>
            <w:bottom w:val="none" w:sz="0" w:space="0" w:color="auto"/>
            <w:right w:val="none" w:sz="0" w:space="0" w:color="auto"/>
          </w:divBdr>
        </w:div>
        <w:div w:id="700475660">
          <w:marLeft w:val="0"/>
          <w:marRight w:val="0"/>
          <w:marTop w:val="0"/>
          <w:marBottom w:val="0"/>
          <w:divBdr>
            <w:top w:val="none" w:sz="0" w:space="0" w:color="auto"/>
            <w:left w:val="none" w:sz="0" w:space="0" w:color="auto"/>
            <w:bottom w:val="none" w:sz="0" w:space="0" w:color="auto"/>
            <w:right w:val="none" w:sz="0" w:space="0" w:color="auto"/>
          </w:divBdr>
        </w:div>
        <w:div w:id="701441677">
          <w:marLeft w:val="0"/>
          <w:marRight w:val="0"/>
          <w:marTop w:val="0"/>
          <w:marBottom w:val="0"/>
          <w:divBdr>
            <w:top w:val="none" w:sz="0" w:space="0" w:color="auto"/>
            <w:left w:val="none" w:sz="0" w:space="0" w:color="auto"/>
            <w:bottom w:val="none" w:sz="0" w:space="0" w:color="auto"/>
            <w:right w:val="none" w:sz="0" w:space="0" w:color="auto"/>
          </w:divBdr>
        </w:div>
        <w:div w:id="702751848">
          <w:marLeft w:val="0"/>
          <w:marRight w:val="0"/>
          <w:marTop w:val="0"/>
          <w:marBottom w:val="0"/>
          <w:divBdr>
            <w:top w:val="none" w:sz="0" w:space="0" w:color="auto"/>
            <w:left w:val="none" w:sz="0" w:space="0" w:color="auto"/>
            <w:bottom w:val="none" w:sz="0" w:space="0" w:color="auto"/>
            <w:right w:val="none" w:sz="0" w:space="0" w:color="auto"/>
          </w:divBdr>
        </w:div>
        <w:div w:id="708190622">
          <w:marLeft w:val="0"/>
          <w:marRight w:val="0"/>
          <w:marTop w:val="0"/>
          <w:marBottom w:val="0"/>
          <w:divBdr>
            <w:top w:val="none" w:sz="0" w:space="0" w:color="auto"/>
            <w:left w:val="none" w:sz="0" w:space="0" w:color="auto"/>
            <w:bottom w:val="none" w:sz="0" w:space="0" w:color="auto"/>
            <w:right w:val="none" w:sz="0" w:space="0" w:color="auto"/>
          </w:divBdr>
        </w:div>
        <w:div w:id="714743413">
          <w:marLeft w:val="0"/>
          <w:marRight w:val="0"/>
          <w:marTop w:val="0"/>
          <w:marBottom w:val="0"/>
          <w:divBdr>
            <w:top w:val="none" w:sz="0" w:space="0" w:color="auto"/>
            <w:left w:val="none" w:sz="0" w:space="0" w:color="auto"/>
            <w:bottom w:val="none" w:sz="0" w:space="0" w:color="auto"/>
            <w:right w:val="none" w:sz="0" w:space="0" w:color="auto"/>
          </w:divBdr>
          <w:divsChild>
            <w:div w:id="94981912">
              <w:marLeft w:val="0"/>
              <w:marRight w:val="0"/>
              <w:marTop w:val="0"/>
              <w:marBottom w:val="0"/>
              <w:divBdr>
                <w:top w:val="none" w:sz="0" w:space="0" w:color="auto"/>
                <w:left w:val="none" w:sz="0" w:space="0" w:color="auto"/>
                <w:bottom w:val="none" w:sz="0" w:space="0" w:color="auto"/>
                <w:right w:val="none" w:sz="0" w:space="0" w:color="auto"/>
              </w:divBdr>
            </w:div>
            <w:div w:id="293216950">
              <w:marLeft w:val="0"/>
              <w:marRight w:val="0"/>
              <w:marTop w:val="0"/>
              <w:marBottom w:val="0"/>
              <w:divBdr>
                <w:top w:val="none" w:sz="0" w:space="0" w:color="auto"/>
                <w:left w:val="none" w:sz="0" w:space="0" w:color="auto"/>
                <w:bottom w:val="none" w:sz="0" w:space="0" w:color="auto"/>
                <w:right w:val="none" w:sz="0" w:space="0" w:color="auto"/>
              </w:divBdr>
            </w:div>
            <w:div w:id="649359508">
              <w:marLeft w:val="0"/>
              <w:marRight w:val="0"/>
              <w:marTop w:val="0"/>
              <w:marBottom w:val="0"/>
              <w:divBdr>
                <w:top w:val="none" w:sz="0" w:space="0" w:color="auto"/>
                <w:left w:val="none" w:sz="0" w:space="0" w:color="auto"/>
                <w:bottom w:val="none" w:sz="0" w:space="0" w:color="auto"/>
                <w:right w:val="none" w:sz="0" w:space="0" w:color="auto"/>
              </w:divBdr>
            </w:div>
            <w:div w:id="1060134997">
              <w:marLeft w:val="0"/>
              <w:marRight w:val="0"/>
              <w:marTop w:val="0"/>
              <w:marBottom w:val="0"/>
              <w:divBdr>
                <w:top w:val="none" w:sz="0" w:space="0" w:color="auto"/>
                <w:left w:val="none" w:sz="0" w:space="0" w:color="auto"/>
                <w:bottom w:val="none" w:sz="0" w:space="0" w:color="auto"/>
                <w:right w:val="none" w:sz="0" w:space="0" w:color="auto"/>
              </w:divBdr>
            </w:div>
            <w:div w:id="1860045782">
              <w:marLeft w:val="0"/>
              <w:marRight w:val="0"/>
              <w:marTop w:val="0"/>
              <w:marBottom w:val="0"/>
              <w:divBdr>
                <w:top w:val="none" w:sz="0" w:space="0" w:color="auto"/>
                <w:left w:val="none" w:sz="0" w:space="0" w:color="auto"/>
                <w:bottom w:val="none" w:sz="0" w:space="0" w:color="auto"/>
                <w:right w:val="none" w:sz="0" w:space="0" w:color="auto"/>
              </w:divBdr>
            </w:div>
          </w:divsChild>
        </w:div>
        <w:div w:id="727267784">
          <w:marLeft w:val="0"/>
          <w:marRight w:val="0"/>
          <w:marTop w:val="0"/>
          <w:marBottom w:val="0"/>
          <w:divBdr>
            <w:top w:val="none" w:sz="0" w:space="0" w:color="auto"/>
            <w:left w:val="none" w:sz="0" w:space="0" w:color="auto"/>
            <w:bottom w:val="none" w:sz="0" w:space="0" w:color="auto"/>
            <w:right w:val="none" w:sz="0" w:space="0" w:color="auto"/>
          </w:divBdr>
          <w:divsChild>
            <w:div w:id="104496513">
              <w:marLeft w:val="0"/>
              <w:marRight w:val="0"/>
              <w:marTop w:val="0"/>
              <w:marBottom w:val="0"/>
              <w:divBdr>
                <w:top w:val="none" w:sz="0" w:space="0" w:color="auto"/>
                <w:left w:val="none" w:sz="0" w:space="0" w:color="auto"/>
                <w:bottom w:val="none" w:sz="0" w:space="0" w:color="auto"/>
                <w:right w:val="none" w:sz="0" w:space="0" w:color="auto"/>
              </w:divBdr>
            </w:div>
            <w:div w:id="1633318688">
              <w:marLeft w:val="0"/>
              <w:marRight w:val="0"/>
              <w:marTop w:val="0"/>
              <w:marBottom w:val="0"/>
              <w:divBdr>
                <w:top w:val="none" w:sz="0" w:space="0" w:color="auto"/>
                <w:left w:val="none" w:sz="0" w:space="0" w:color="auto"/>
                <w:bottom w:val="none" w:sz="0" w:space="0" w:color="auto"/>
                <w:right w:val="none" w:sz="0" w:space="0" w:color="auto"/>
              </w:divBdr>
            </w:div>
            <w:div w:id="1714963295">
              <w:marLeft w:val="0"/>
              <w:marRight w:val="0"/>
              <w:marTop w:val="0"/>
              <w:marBottom w:val="0"/>
              <w:divBdr>
                <w:top w:val="none" w:sz="0" w:space="0" w:color="auto"/>
                <w:left w:val="none" w:sz="0" w:space="0" w:color="auto"/>
                <w:bottom w:val="none" w:sz="0" w:space="0" w:color="auto"/>
                <w:right w:val="none" w:sz="0" w:space="0" w:color="auto"/>
              </w:divBdr>
            </w:div>
          </w:divsChild>
        </w:div>
        <w:div w:id="727342607">
          <w:marLeft w:val="0"/>
          <w:marRight w:val="0"/>
          <w:marTop w:val="0"/>
          <w:marBottom w:val="0"/>
          <w:divBdr>
            <w:top w:val="none" w:sz="0" w:space="0" w:color="auto"/>
            <w:left w:val="none" w:sz="0" w:space="0" w:color="auto"/>
            <w:bottom w:val="none" w:sz="0" w:space="0" w:color="auto"/>
            <w:right w:val="none" w:sz="0" w:space="0" w:color="auto"/>
          </w:divBdr>
          <w:divsChild>
            <w:div w:id="32390059">
              <w:marLeft w:val="0"/>
              <w:marRight w:val="0"/>
              <w:marTop w:val="0"/>
              <w:marBottom w:val="0"/>
              <w:divBdr>
                <w:top w:val="none" w:sz="0" w:space="0" w:color="auto"/>
                <w:left w:val="none" w:sz="0" w:space="0" w:color="auto"/>
                <w:bottom w:val="none" w:sz="0" w:space="0" w:color="auto"/>
                <w:right w:val="none" w:sz="0" w:space="0" w:color="auto"/>
              </w:divBdr>
            </w:div>
            <w:div w:id="342167052">
              <w:marLeft w:val="0"/>
              <w:marRight w:val="0"/>
              <w:marTop w:val="0"/>
              <w:marBottom w:val="0"/>
              <w:divBdr>
                <w:top w:val="none" w:sz="0" w:space="0" w:color="auto"/>
                <w:left w:val="none" w:sz="0" w:space="0" w:color="auto"/>
                <w:bottom w:val="none" w:sz="0" w:space="0" w:color="auto"/>
                <w:right w:val="none" w:sz="0" w:space="0" w:color="auto"/>
              </w:divBdr>
            </w:div>
            <w:div w:id="1284967132">
              <w:marLeft w:val="0"/>
              <w:marRight w:val="0"/>
              <w:marTop w:val="0"/>
              <w:marBottom w:val="0"/>
              <w:divBdr>
                <w:top w:val="none" w:sz="0" w:space="0" w:color="auto"/>
                <w:left w:val="none" w:sz="0" w:space="0" w:color="auto"/>
                <w:bottom w:val="none" w:sz="0" w:space="0" w:color="auto"/>
                <w:right w:val="none" w:sz="0" w:space="0" w:color="auto"/>
              </w:divBdr>
            </w:div>
            <w:div w:id="1531410817">
              <w:marLeft w:val="0"/>
              <w:marRight w:val="0"/>
              <w:marTop w:val="0"/>
              <w:marBottom w:val="0"/>
              <w:divBdr>
                <w:top w:val="none" w:sz="0" w:space="0" w:color="auto"/>
                <w:left w:val="none" w:sz="0" w:space="0" w:color="auto"/>
                <w:bottom w:val="none" w:sz="0" w:space="0" w:color="auto"/>
                <w:right w:val="none" w:sz="0" w:space="0" w:color="auto"/>
              </w:divBdr>
            </w:div>
            <w:div w:id="1947612532">
              <w:marLeft w:val="0"/>
              <w:marRight w:val="0"/>
              <w:marTop w:val="0"/>
              <w:marBottom w:val="0"/>
              <w:divBdr>
                <w:top w:val="none" w:sz="0" w:space="0" w:color="auto"/>
                <w:left w:val="none" w:sz="0" w:space="0" w:color="auto"/>
                <w:bottom w:val="none" w:sz="0" w:space="0" w:color="auto"/>
                <w:right w:val="none" w:sz="0" w:space="0" w:color="auto"/>
              </w:divBdr>
            </w:div>
          </w:divsChild>
        </w:div>
        <w:div w:id="728770957">
          <w:marLeft w:val="0"/>
          <w:marRight w:val="0"/>
          <w:marTop w:val="0"/>
          <w:marBottom w:val="0"/>
          <w:divBdr>
            <w:top w:val="none" w:sz="0" w:space="0" w:color="auto"/>
            <w:left w:val="none" w:sz="0" w:space="0" w:color="auto"/>
            <w:bottom w:val="none" w:sz="0" w:space="0" w:color="auto"/>
            <w:right w:val="none" w:sz="0" w:space="0" w:color="auto"/>
          </w:divBdr>
        </w:div>
        <w:div w:id="729617570">
          <w:marLeft w:val="0"/>
          <w:marRight w:val="0"/>
          <w:marTop w:val="0"/>
          <w:marBottom w:val="0"/>
          <w:divBdr>
            <w:top w:val="none" w:sz="0" w:space="0" w:color="auto"/>
            <w:left w:val="none" w:sz="0" w:space="0" w:color="auto"/>
            <w:bottom w:val="none" w:sz="0" w:space="0" w:color="auto"/>
            <w:right w:val="none" w:sz="0" w:space="0" w:color="auto"/>
          </w:divBdr>
        </w:div>
        <w:div w:id="731124864">
          <w:marLeft w:val="0"/>
          <w:marRight w:val="0"/>
          <w:marTop w:val="0"/>
          <w:marBottom w:val="0"/>
          <w:divBdr>
            <w:top w:val="none" w:sz="0" w:space="0" w:color="auto"/>
            <w:left w:val="none" w:sz="0" w:space="0" w:color="auto"/>
            <w:bottom w:val="none" w:sz="0" w:space="0" w:color="auto"/>
            <w:right w:val="none" w:sz="0" w:space="0" w:color="auto"/>
          </w:divBdr>
        </w:div>
        <w:div w:id="732197953">
          <w:marLeft w:val="0"/>
          <w:marRight w:val="0"/>
          <w:marTop w:val="0"/>
          <w:marBottom w:val="0"/>
          <w:divBdr>
            <w:top w:val="none" w:sz="0" w:space="0" w:color="auto"/>
            <w:left w:val="none" w:sz="0" w:space="0" w:color="auto"/>
            <w:bottom w:val="none" w:sz="0" w:space="0" w:color="auto"/>
            <w:right w:val="none" w:sz="0" w:space="0" w:color="auto"/>
          </w:divBdr>
        </w:div>
        <w:div w:id="733428760">
          <w:marLeft w:val="0"/>
          <w:marRight w:val="0"/>
          <w:marTop w:val="0"/>
          <w:marBottom w:val="0"/>
          <w:divBdr>
            <w:top w:val="none" w:sz="0" w:space="0" w:color="auto"/>
            <w:left w:val="none" w:sz="0" w:space="0" w:color="auto"/>
            <w:bottom w:val="none" w:sz="0" w:space="0" w:color="auto"/>
            <w:right w:val="none" w:sz="0" w:space="0" w:color="auto"/>
          </w:divBdr>
        </w:div>
        <w:div w:id="742216215">
          <w:marLeft w:val="0"/>
          <w:marRight w:val="0"/>
          <w:marTop w:val="0"/>
          <w:marBottom w:val="0"/>
          <w:divBdr>
            <w:top w:val="none" w:sz="0" w:space="0" w:color="auto"/>
            <w:left w:val="none" w:sz="0" w:space="0" w:color="auto"/>
            <w:bottom w:val="none" w:sz="0" w:space="0" w:color="auto"/>
            <w:right w:val="none" w:sz="0" w:space="0" w:color="auto"/>
          </w:divBdr>
        </w:div>
        <w:div w:id="750473028">
          <w:marLeft w:val="0"/>
          <w:marRight w:val="0"/>
          <w:marTop w:val="0"/>
          <w:marBottom w:val="0"/>
          <w:divBdr>
            <w:top w:val="none" w:sz="0" w:space="0" w:color="auto"/>
            <w:left w:val="none" w:sz="0" w:space="0" w:color="auto"/>
            <w:bottom w:val="none" w:sz="0" w:space="0" w:color="auto"/>
            <w:right w:val="none" w:sz="0" w:space="0" w:color="auto"/>
          </w:divBdr>
        </w:div>
        <w:div w:id="761342428">
          <w:marLeft w:val="0"/>
          <w:marRight w:val="0"/>
          <w:marTop w:val="0"/>
          <w:marBottom w:val="0"/>
          <w:divBdr>
            <w:top w:val="none" w:sz="0" w:space="0" w:color="auto"/>
            <w:left w:val="none" w:sz="0" w:space="0" w:color="auto"/>
            <w:bottom w:val="none" w:sz="0" w:space="0" w:color="auto"/>
            <w:right w:val="none" w:sz="0" w:space="0" w:color="auto"/>
          </w:divBdr>
        </w:div>
        <w:div w:id="780343372">
          <w:marLeft w:val="0"/>
          <w:marRight w:val="0"/>
          <w:marTop w:val="0"/>
          <w:marBottom w:val="0"/>
          <w:divBdr>
            <w:top w:val="none" w:sz="0" w:space="0" w:color="auto"/>
            <w:left w:val="none" w:sz="0" w:space="0" w:color="auto"/>
            <w:bottom w:val="none" w:sz="0" w:space="0" w:color="auto"/>
            <w:right w:val="none" w:sz="0" w:space="0" w:color="auto"/>
          </w:divBdr>
        </w:div>
        <w:div w:id="780345407">
          <w:marLeft w:val="0"/>
          <w:marRight w:val="0"/>
          <w:marTop w:val="0"/>
          <w:marBottom w:val="0"/>
          <w:divBdr>
            <w:top w:val="none" w:sz="0" w:space="0" w:color="auto"/>
            <w:left w:val="none" w:sz="0" w:space="0" w:color="auto"/>
            <w:bottom w:val="none" w:sz="0" w:space="0" w:color="auto"/>
            <w:right w:val="none" w:sz="0" w:space="0" w:color="auto"/>
          </w:divBdr>
        </w:div>
        <w:div w:id="789125531">
          <w:marLeft w:val="0"/>
          <w:marRight w:val="0"/>
          <w:marTop w:val="0"/>
          <w:marBottom w:val="0"/>
          <w:divBdr>
            <w:top w:val="none" w:sz="0" w:space="0" w:color="auto"/>
            <w:left w:val="none" w:sz="0" w:space="0" w:color="auto"/>
            <w:bottom w:val="none" w:sz="0" w:space="0" w:color="auto"/>
            <w:right w:val="none" w:sz="0" w:space="0" w:color="auto"/>
          </w:divBdr>
        </w:div>
        <w:div w:id="791943493">
          <w:marLeft w:val="0"/>
          <w:marRight w:val="0"/>
          <w:marTop w:val="0"/>
          <w:marBottom w:val="0"/>
          <w:divBdr>
            <w:top w:val="none" w:sz="0" w:space="0" w:color="auto"/>
            <w:left w:val="none" w:sz="0" w:space="0" w:color="auto"/>
            <w:bottom w:val="none" w:sz="0" w:space="0" w:color="auto"/>
            <w:right w:val="none" w:sz="0" w:space="0" w:color="auto"/>
          </w:divBdr>
        </w:div>
        <w:div w:id="793212266">
          <w:marLeft w:val="0"/>
          <w:marRight w:val="0"/>
          <w:marTop w:val="0"/>
          <w:marBottom w:val="0"/>
          <w:divBdr>
            <w:top w:val="none" w:sz="0" w:space="0" w:color="auto"/>
            <w:left w:val="none" w:sz="0" w:space="0" w:color="auto"/>
            <w:bottom w:val="none" w:sz="0" w:space="0" w:color="auto"/>
            <w:right w:val="none" w:sz="0" w:space="0" w:color="auto"/>
          </w:divBdr>
        </w:div>
        <w:div w:id="795873241">
          <w:marLeft w:val="0"/>
          <w:marRight w:val="0"/>
          <w:marTop w:val="0"/>
          <w:marBottom w:val="0"/>
          <w:divBdr>
            <w:top w:val="none" w:sz="0" w:space="0" w:color="auto"/>
            <w:left w:val="none" w:sz="0" w:space="0" w:color="auto"/>
            <w:bottom w:val="none" w:sz="0" w:space="0" w:color="auto"/>
            <w:right w:val="none" w:sz="0" w:space="0" w:color="auto"/>
          </w:divBdr>
        </w:div>
        <w:div w:id="804590414">
          <w:marLeft w:val="0"/>
          <w:marRight w:val="0"/>
          <w:marTop w:val="0"/>
          <w:marBottom w:val="0"/>
          <w:divBdr>
            <w:top w:val="none" w:sz="0" w:space="0" w:color="auto"/>
            <w:left w:val="none" w:sz="0" w:space="0" w:color="auto"/>
            <w:bottom w:val="none" w:sz="0" w:space="0" w:color="auto"/>
            <w:right w:val="none" w:sz="0" w:space="0" w:color="auto"/>
          </w:divBdr>
        </w:div>
        <w:div w:id="808209922">
          <w:marLeft w:val="0"/>
          <w:marRight w:val="0"/>
          <w:marTop w:val="0"/>
          <w:marBottom w:val="0"/>
          <w:divBdr>
            <w:top w:val="none" w:sz="0" w:space="0" w:color="auto"/>
            <w:left w:val="none" w:sz="0" w:space="0" w:color="auto"/>
            <w:bottom w:val="none" w:sz="0" w:space="0" w:color="auto"/>
            <w:right w:val="none" w:sz="0" w:space="0" w:color="auto"/>
          </w:divBdr>
        </w:div>
        <w:div w:id="813717798">
          <w:marLeft w:val="0"/>
          <w:marRight w:val="0"/>
          <w:marTop w:val="0"/>
          <w:marBottom w:val="0"/>
          <w:divBdr>
            <w:top w:val="none" w:sz="0" w:space="0" w:color="auto"/>
            <w:left w:val="none" w:sz="0" w:space="0" w:color="auto"/>
            <w:bottom w:val="none" w:sz="0" w:space="0" w:color="auto"/>
            <w:right w:val="none" w:sz="0" w:space="0" w:color="auto"/>
          </w:divBdr>
        </w:div>
        <w:div w:id="814102300">
          <w:marLeft w:val="0"/>
          <w:marRight w:val="0"/>
          <w:marTop w:val="0"/>
          <w:marBottom w:val="0"/>
          <w:divBdr>
            <w:top w:val="none" w:sz="0" w:space="0" w:color="auto"/>
            <w:left w:val="none" w:sz="0" w:space="0" w:color="auto"/>
            <w:bottom w:val="none" w:sz="0" w:space="0" w:color="auto"/>
            <w:right w:val="none" w:sz="0" w:space="0" w:color="auto"/>
          </w:divBdr>
        </w:div>
        <w:div w:id="814640666">
          <w:marLeft w:val="0"/>
          <w:marRight w:val="0"/>
          <w:marTop w:val="0"/>
          <w:marBottom w:val="0"/>
          <w:divBdr>
            <w:top w:val="none" w:sz="0" w:space="0" w:color="auto"/>
            <w:left w:val="none" w:sz="0" w:space="0" w:color="auto"/>
            <w:bottom w:val="none" w:sz="0" w:space="0" w:color="auto"/>
            <w:right w:val="none" w:sz="0" w:space="0" w:color="auto"/>
          </w:divBdr>
        </w:div>
        <w:div w:id="820733358">
          <w:marLeft w:val="0"/>
          <w:marRight w:val="0"/>
          <w:marTop w:val="0"/>
          <w:marBottom w:val="0"/>
          <w:divBdr>
            <w:top w:val="none" w:sz="0" w:space="0" w:color="auto"/>
            <w:left w:val="none" w:sz="0" w:space="0" w:color="auto"/>
            <w:bottom w:val="none" w:sz="0" w:space="0" w:color="auto"/>
            <w:right w:val="none" w:sz="0" w:space="0" w:color="auto"/>
          </w:divBdr>
          <w:divsChild>
            <w:div w:id="308556002">
              <w:marLeft w:val="0"/>
              <w:marRight w:val="0"/>
              <w:marTop w:val="0"/>
              <w:marBottom w:val="0"/>
              <w:divBdr>
                <w:top w:val="none" w:sz="0" w:space="0" w:color="auto"/>
                <w:left w:val="none" w:sz="0" w:space="0" w:color="auto"/>
                <w:bottom w:val="none" w:sz="0" w:space="0" w:color="auto"/>
                <w:right w:val="none" w:sz="0" w:space="0" w:color="auto"/>
              </w:divBdr>
            </w:div>
            <w:div w:id="1761562086">
              <w:marLeft w:val="0"/>
              <w:marRight w:val="0"/>
              <w:marTop w:val="0"/>
              <w:marBottom w:val="0"/>
              <w:divBdr>
                <w:top w:val="none" w:sz="0" w:space="0" w:color="auto"/>
                <w:left w:val="none" w:sz="0" w:space="0" w:color="auto"/>
                <w:bottom w:val="none" w:sz="0" w:space="0" w:color="auto"/>
                <w:right w:val="none" w:sz="0" w:space="0" w:color="auto"/>
              </w:divBdr>
            </w:div>
            <w:div w:id="1916278927">
              <w:marLeft w:val="0"/>
              <w:marRight w:val="0"/>
              <w:marTop w:val="0"/>
              <w:marBottom w:val="0"/>
              <w:divBdr>
                <w:top w:val="none" w:sz="0" w:space="0" w:color="auto"/>
                <w:left w:val="none" w:sz="0" w:space="0" w:color="auto"/>
                <w:bottom w:val="none" w:sz="0" w:space="0" w:color="auto"/>
                <w:right w:val="none" w:sz="0" w:space="0" w:color="auto"/>
              </w:divBdr>
            </w:div>
          </w:divsChild>
        </w:div>
        <w:div w:id="824707181">
          <w:marLeft w:val="0"/>
          <w:marRight w:val="0"/>
          <w:marTop w:val="0"/>
          <w:marBottom w:val="0"/>
          <w:divBdr>
            <w:top w:val="none" w:sz="0" w:space="0" w:color="auto"/>
            <w:left w:val="none" w:sz="0" w:space="0" w:color="auto"/>
            <w:bottom w:val="none" w:sz="0" w:space="0" w:color="auto"/>
            <w:right w:val="none" w:sz="0" w:space="0" w:color="auto"/>
          </w:divBdr>
        </w:div>
        <w:div w:id="827987765">
          <w:marLeft w:val="0"/>
          <w:marRight w:val="0"/>
          <w:marTop w:val="0"/>
          <w:marBottom w:val="0"/>
          <w:divBdr>
            <w:top w:val="none" w:sz="0" w:space="0" w:color="auto"/>
            <w:left w:val="none" w:sz="0" w:space="0" w:color="auto"/>
            <w:bottom w:val="none" w:sz="0" w:space="0" w:color="auto"/>
            <w:right w:val="none" w:sz="0" w:space="0" w:color="auto"/>
          </w:divBdr>
        </w:div>
        <w:div w:id="836574046">
          <w:marLeft w:val="0"/>
          <w:marRight w:val="0"/>
          <w:marTop w:val="0"/>
          <w:marBottom w:val="0"/>
          <w:divBdr>
            <w:top w:val="none" w:sz="0" w:space="0" w:color="auto"/>
            <w:left w:val="none" w:sz="0" w:space="0" w:color="auto"/>
            <w:bottom w:val="none" w:sz="0" w:space="0" w:color="auto"/>
            <w:right w:val="none" w:sz="0" w:space="0" w:color="auto"/>
          </w:divBdr>
        </w:div>
        <w:div w:id="837112831">
          <w:marLeft w:val="0"/>
          <w:marRight w:val="0"/>
          <w:marTop w:val="0"/>
          <w:marBottom w:val="0"/>
          <w:divBdr>
            <w:top w:val="none" w:sz="0" w:space="0" w:color="auto"/>
            <w:left w:val="none" w:sz="0" w:space="0" w:color="auto"/>
            <w:bottom w:val="none" w:sz="0" w:space="0" w:color="auto"/>
            <w:right w:val="none" w:sz="0" w:space="0" w:color="auto"/>
          </w:divBdr>
        </w:div>
        <w:div w:id="843011380">
          <w:marLeft w:val="0"/>
          <w:marRight w:val="0"/>
          <w:marTop w:val="0"/>
          <w:marBottom w:val="0"/>
          <w:divBdr>
            <w:top w:val="none" w:sz="0" w:space="0" w:color="auto"/>
            <w:left w:val="none" w:sz="0" w:space="0" w:color="auto"/>
            <w:bottom w:val="none" w:sz="0" w:space="0" w:color="auto"/>
            <w:right w:val="none" w:sz="0" w:space="0" w:color="auto"/>
          </w:divBdr>
        </w:div>
        <w:div w:id="846486039">
          <w:marLeft w:val="0"/>
          <w:marRight w:val="0"/>
          <w:marTop w:val="0"/>
          <w:marBottom w:val="0"/>
          <w:divBdr>
            <w:top w:val="none" w:sz="0" w:space="0" w:color="auto"/>
            <w:left w:val="none" w:sz="0" w:space="0" w:color="auto"/>
            <w:bottom w:val="none" w:sz="0" w:space="0" w:color="auto"/>
            <w:right w:val="none" w:sz="0" w:space="0" w:color="auto"/>
          </w:divBdr>
        </w:div>
        <w:div w:id="853763054">
          <w:marLeft w:val="0"/>
          <w:marRight w:val="0"/>
          <w:marTop w:val="0"/>
          <w:marBottom w:val="0"/>
          <w:divBdr>
            <w:top w:val="none" w:sz="0" w:space="0" w:color="auto"/>
            <w:left w:val="none" w:sz="0" w:space="0" w:color="auto"/>
            <w:bottom w:val="none" w:sz="0" w:space="0" w:color="auto"/>
            <w:right w:val="none" w:sz="0" w:space="0" w:color="auto"/>
          </w:divBdr>
        </w:div>
        <w:div w:id="861170703">
          <w:marLeft w:val="0"/>
          <w:marRight w:val="0"/>
          <w:marTop w:val="0"/>
          <w:marBottom w:val="0"/>
          <w:divBdr>
            <w:top w:val="none" w:sz="0" w:space="0" w:color="auto"/>
            <w:left w:val="none" w:sz="0" w:space="0" w:color="auto"/>
            <w:bottom w:val="none" w:sz="0" w:space="0" w:color="auto"/>
            <w:right w:val="none" w:sz="0" w:space="0" w:color="auto"/>
          </w:divBdr>
        </w:div>
        <w:div w:id="872183725">
          <w:marLeft w:val="0"/>
          <w:marRight w:val="0"/>
          <w:marTop w:val="0"/>
          <w:marBottom w:val="0"/>
          <w:divBdr>
            <w:top w:val="none" w:sz="0" w:space="0" w:color="auto"/>
            <w:left w:val="none" w:sz="0" w:space="0" w:color="auto"/>
            <w:bottom w:val="none" w:sz="0" w:space="0" w:color="auto"/>
            <w:right w:val="none" w:sz="0" w:space="0" w:color="auto"/>
          </w:divBdr>
          <w:divsChild>
            <w:div w:id="88356262">
              <w:marLeft w:val="0"/>
              <w:marRight w:val="0"/>
              <w:marTop w:val="0"/>
              <w:marBottom w:val="0"/>
              <w:divBdr>
                <w:top w:val="none" w:sz="0" w:space="0" w:color="auto"/>
                <w:left w:val="none" w:sz="0" w:space="0" w:color="auto"/>
                <w:bottom w:val="none" w:sz="0" w:space="0" w:color="auto"/>
                <w:right w:val="none" w:sz="0" w:space="0" w:color="auto"/>
              </w:divBdr>
            </w:div>
            <w:div w:id="1195580948">
              <w:marLeft w:val="0"/>
              <w:marRight w:val="0"/>
              <w:marTop w:val="0"/>
              <w:marBottom w:val="0"/>
              <w:divBdr>
                <w:top w:val="none" w:sz="0" w:space="0" w:color="auto"/>
                <w:left w:val="none" w:sz="0" w:space="0" w:color="auto"/>
                <w:bottom w:val="none" w:sz="0" w:space="0" w:color="auto"/>
                <w:right w:val="none" w:sz="0" w:space="0" w:color="auto"/>
              </w:divBdr>
            </w:div>
          </w:divsChild>
        </w:div>
        <w:div w:id="872696358">
          <w:marLeft w:val="0"/>
          <w:marRight w:val="0"/>
          <w:marTop w:val="0"/>
          <w:marBottom w:val="0"/>
          <w:divBdr>
            <w:top w:val="none" w:sz="0" w:space="0" w:color="auto"/>
            <w:left w:val="none" w:sz="0" w:space="0" w:color="auto"/>
            <w:bottom w:val="none" w:sz="0" w:space="0" w:color="auto"/>
            <w:right w:val="none" w:sz="0" w:space="0" w:color="auto"/>
          </w:divBdr>
        </w:div>
        <w:div w:id="878976041">
          <w:marLeft w:val="0"/>
          <w:marRight w:val="0"/>
          <w:marTop w:val="0"/>
          <w:marBottom w:val="0"/>
          <w:divBdr>
            <w:top w:val="none" w:sz="0" w:space="0" w:color="auto"/>
            <w:left w:val="none" w:sz="0" w:space="0" w:color="auto"/>
            <w:bottom w:val="none" w:sz="0" w:space="0" w:color="auto"/>
            <w:right w:val="none" w:sz="0" w:space="0" w:color="auto"/>
          </w:divBdr>
        </w:div>
        <w:div w:id="890187883">
          <w:marLeft w:val="0"/>
          <w:marRight w:val="0"/>
          <w:marTop w:val="0"/>
          <w:marBottom w:val="0"/>
          <w:divBdr>
            <w:top w:val="none" w:sz="0" w:space="0" w:color="auto"/>
            <w:left w:val="none" w:sz="0" w:space="0" w:color="auto"/>
            <w:bottom w:val="none" w:sz="0" w:space="0" w:color="auto"/>
            <w:right w:val="none" w:sz="0" w:space="0" w:color="auto"/>
          </w:divBdr>
        </w:div>
        <w:div w:id="892036448">
          <w:marLeft w:val="0"/>
          <w:marRight w:val="0"/>
          <w:marTop w:val="0"/>
          <w:marBottom w:val="0"/>
          <w:divBdr>
            <w:top w:val="none" w:sz="0" w:space="0" w:color="auto"/>
            <w:left w:val="none" w:sz="0" w:space="0" w:color="auto"/>
            <w:bottom w:val="none" w:sz="0" w:space="0" w:color="auto"/>
            <w:right w:val="none" w:sz="0" w:space="0" w:color="auto"/>
          </w:divBdr>
        </w:div>
        <w:div w:id="892274800">
          <w:marLeft w:val="0"/>
          <w:marRight w:val="0"/>
          <w:marTop w:val="0"/>
          <w:marBottom w:val="0"/>
          <w:divBdr>
            <w:top w:val="none" w:sz="0" w:space="0" w:color="auto"/>
            <w:left w:val="none" w:sz="0" w:space="0" w:color="auto"/>
            <w:bottom w:val="none" w:sz="0" w:space="0" w:color="auto"/>
            <w:right w:val="none" w:sz="0" w:space="0" w:color="auto"/>
          </w:divBdr>
        </w:div>
        <w:div w:id="911694156">
          <w:marLeft w:val="0"/>
          <w:marRight w:val="0"/>
          <w:marTop w:val="0"/>
          <w:marBottom w:val="0"/>
          <w:divBdr>
            <w:top w:val="none" w:sz="0" w:space="0" w:color="auto"/>
            <w:left w:val="none" w:sz="0" w:space="0" w:color="auto"/>
            <w:bottom w:val="none" w:sz="0" w:space="0" w:color="auto"/>
            <w:right w:val="none" w:sz="0" w:space="0" w:color="auto"/>
          </w:divBdr>
        </w:div>
        <w:div w:id="912621050">
          <w:marLeft w:val="0"/>
          <w:marRight w:val="0"/>
          <w:marTop w:val="0"/>
          <w:marBottom w:val="0"/>
          <w:divBdr>
            <w:top w:val="none" w:sz="0" w:space="0" w:color="auto"/>
            <w:left w:val="none" w:sz="0" w:space="0" w:color="auto"/>
            <w:bottom w:val="none" w:sz="0" w:space="0" w:color="auto"/>
            <w:right w:val="none" w:sz="0" w:space="0" w:color="auto"/>
          </w:divBdr>
        </w:div>
        <w:div w:id="919946638">
          <w:marLeft w:val="0"/>
          <w:marRight w:val="0"/>
          <w:marTop w:val="0"/>
          <w:marBottom w:val="0"/>
          <w:divBdr>
            <w:top w:val="none" w:sz="0" w:space="0" w:color="auto"/>
            <w:left w:val="none" w:sz="0" w:space="0" w:color="auto"/>
            <w:bottom w:val="none" w:sz="0" w:space="0" w:color="auto"/>
            <w:right w:val="none" w:sz="0" w:space="0" w:color="auto"/>
          </w:divBdr>
        </w:div>
        <w:div w:id="925845153">
          <w:marLeft w:val="0"/>
          <w:marRight w:val="0"/>
          <w:marTop w:val="0"/>
          <w:marBottom w:val="0"/>
          <w:divBdr>
            <w:top w:val="none" w:sz="0" w:space="0" w:color="auto"/>
            <w:left w:val="none" w:sz="0" w:space="0" w:color="auto"/>
            <w:bottom w:val="none" w:sz="0" w:space="0" w:color="auto"/>
            <w:right w:val="none" w:sz="0" w:space="0" w:color="auto"/>
          </w:divBdr>
        </w:div>
        <w:div w:id="925922458">
          <w:marLeft w:val="0"/>
          <w:marRight w:val="0"/>
          <w:marTop w:val="0"/>
          <w:marBottom w:val="0"/>
          <w:divBdr>
            <w:top w:val="none" w:sz="0" w:space="0" w:color="auto"/>
            <w:left w:val="none" w:sz="0" w:space="0" w:color="auto"/>
            <w:bottom w:val="none" w:sz="0" w:space="0" w:color="auto"/>
            <w:right w:val="none" w:sz="0" w:space="0" w:color="auto"/>
          </w:divBdr>
        </w:div>
        <w:div w:id="950405496">
          <w:marLeft w:val="0"/>
          <w:marRight w:val="0"/>
          <w:marTop w:val="0"/>
          <w:marBottom w:val="0"/>
          <w:divBdr>
            <w:top w:val="none" w:sz="0" w:space="0" w:color="auto"/>
            <w:left w:val="none" w:sz="0" w:space="0" w:color="auto"/>
            <w:bottom w:val="none" w:sz="0" w:space="0" w:color="auto"/>
            <w:right w:val="none" w:sz="0" w:space="0" w:color="auto"/>
          </w:divBdr>
        </w:div>
        <w:div w:id="954603793">
          <w:marLeft w:val="0"/>
          <w:marRight w:val="0"/>
          <w:marTop w:val="0"/>
          <w:marBottom w:val="0"/>
          <w:divBdr>
            <w:top w:val="none" w:sz="0" w:space="0" w:color="auto"/>
            <w:left w:val="none" w:sz="0" w:space="0" w:color="auto"/>
            <w:bottom w:val="none" w:sz="0" w:space="0" w:color="auto"/>
            <w:right w:val="none" w:sz="0" w:space="0" w:color="auto"/>
          </w:divBdr>
        </w:div>
        <w:div w:id="959840540">
          <w:marLeft w:val="0"/>
          <w:marRight w:val="0"/>
          <w:marTop w:val="0"/>
          <w:marBottom w:val="0"/>
          <w:divBdr>
            <w:top w:val="none" w:sz="0" w:space="0" w:color="auto"/>
            <w:left w:val="none" w:sz="0" w:space="0" w:color="auto"/>
            <w:bottom w:val="none" w:sz="0" w:space="0" w:color="auto"/>
            <w:right w:val="none" w:sz="0" w:space="0" w:color="auto"/>
          </w:divBdr>
        </w:div>
        <w:div w:id="962149643">
          <w:marLeft w:val="0"/>
          <w:marRight w:val="0"/>
          <w:marTop w:val="0"/>
          <w:marBottom w:val="0"/>
          <w:divBdr>
            <w:top w:val="none" w:sz="0" w:space="0" w:color="auto"/>
            <w:left w:val="none" w:sz="0" w:space="0" w:color="auto"/>
            <w:bottom w:val="none" w:sz="0" w:space="0" w:color="auto"/>
            <w:right w:val="none" w:sz="0" w:space="0" w:color="auto"/>
          </w:divBdr>
        </w:div>
        <w:div w:id="965038966">
          <w:marLeft w:val="0"/>
          <w:marRight w:val="0"/>
          <w:marTop w:val="0"/>
          <w:marBottom w:val="0"/>
          <w:divBdr>
            <w:top w:val="none" w:sz="0" w:space="0" w:color="auto"/>
            <w:left w:val="none" w:sz="0" w:space="0" w:color="auto"/>
            <w:bottom w:val="none" w:sz="0" w:space="0" w:color="auto"/>
            <w:right w:val="none" w:sz="0" w:space="0" w:color="auto"/>
          </w:divBdr>
        </w:div>
        <w:div w:id="965040647">
          <w:marLeft w:val="0"/>
          <w:marRight w:val="0"/>
          <w:marTop w:val="0"/>
          <w:marBottom w:val="0"/>
          <w:divBdr>
            <w:top w:val="none" w:sz="0" w:space="0" w:color="auto"/>
            <w:left w:val="none" w:sz="0" w:space="0" w:color="auto"/>
            <w:bottom w:val="none" w:sz="0" w:space="0" w:color="auto"/>
            <w:right w:val="none" w:sz="0" w:space="0" w:color="auto"/>
          </w:divBdr>
        </w:div>
        <w:div w:id="967852362">
          <w:marLeft w:val="0"/>
          <w:marRight w:val="0"/>
          <w:marTop w:val="0"/>
          <w:marBottom w:val="0"/>
          <w:divBdr>
            <w:top w:val="none" w:sz="0" w:space="0" w:color="auto"/>
            <w:left w:val="none" w:sz="0" w:space="0" w:color="auto"/>
            <w:bottom w:val="none" w:sz="0" w:space="0" w:color="auto"/>
            <w:right w:val="none" w:sz="0" w:space="0" w:color="auto"/>
          </w:divBdr>
        </w:div>
        <w:div w:id="969894935">
          <w:marLeft w:val="0"/>
          <w:marRight w:val="0"/>
          <w:marTop w:val="0"/>
          <w:marBottom w:val="0"/>
          <w:divBdr>
            <w:top w:val="none" w:sz="0" w:space="0" w:color="auto"/>
            <w:left w:val="none" w:sz="0" w:space="0" w:color="auto"/>
            <w:bottom w:val="none" w:sz="0" w:space="0" w:color="auto"/>
            <w:right w:val="none" w:sz="0" w:space="0" w:color="auto"/>
          </w:divBdr>
        </w:div>
        <w:div w:id="973372144">
          <w:marLeft w:val="0"/>
          <w:marRight w:val="0"/>
          <w:marTop w:val="0"/>
          <w:marBottom w:val="0"/>
          <w:divBdr>
            <w:top w:val="none" w:sz="0" w:space="0" w:color="auto"/>
            <w:left w:val="none" w:sz="0" w:space="0" w:color="auto"/>
            <w:bottom w:val="none" w:sz="0" w:space="0" w:color="auto"/>
            <w:right w:val="none" w:sz="0" w:space="0" w:color="auto"/>
          </w:divBdr>
        </w:div>
        <w:div w:id="978726425">
          <w:marLeft w:val="0"/>
          <w:marRight w:val="0"/>
          <w:marTop w:val="0"/>
          <w:marBottom w:val="0"/>
          <w:divBdr>
            <w:top w:val="none" w:sz="0" w:space="0" w:color="auto"/>
            <w:left w:val="none" w:sz="0" w:space="0" w:color="auto"/>
            <w:bottom w:val="none" w:sz="0" w:space="0" w:color="auto"/>
            <w:right w:val="none" w:sz="0" w:space="0" w:color="auto"/>
          </w:divBdr>
        </w:div>
        <w:div w:id="984044961">
          <w:marLeft w:val="0"/>
          <w:marRight w:val="0"/>
          <w:marTop w:val="0"/>
          <w:marBottom w:val="0"/>
          <w:divBdr>
            <w:top w:val="none" w:sz="0" w:space="0" w:color="auto"/>
            <w:left w:val="none" w:sz="0" w:space="0" w:color="auto"/>
            <w:bottom w:val="none" w:sz="0" w:space="0" w:color="auto"/>
            <w:right w:val="none" w:sz="0" w:space="0" w:color="auto"/>
          </w:divBdr>
        </w:div>
        <w:div w:id="993491899">
          <w:marLeft w:val="0"/>
          <w:marRight w:val="0"/>
          <w:marTop w:val="0"/>
          <w:marBottom w:val="0"/>
          <w:divBdr>
            <w:top w:val="none" w:sz="0" w:space="0" w:color="auto"/>
            <w:left w:val="none" w:sz="0" w:space="0" w:color="auto"/>
            <w:bottom w:val="none" w:sz="0" w:space="0" w:color="auto"/>
            <w:right w:val="none" w:sz="0" w:space="0" w:color="auto"/>
          </w:divBdr>
        </w:div>
        <w:div w:id="995182256">
          <w:marLeft w:val="0"/>
          <w:marRight w:val="0"/>
          <w:marTop w:val="0"/>
          <w:marBottom w:val="0"/>
          <w:divBdr>
            <w:top w:val="none" w:sz="0" w:space="0" w:color="auto"/>
            <w:left w:val="none" w:sz="0" w:space="0" w:color="auto"/>
            <w:bottom w:val="none" w:sz="0" w:space="0" w:color="auto"/>
            <w:right w:val="none" w:sz="0" w:space="0" w:color="auto"/>
          </w:divBdr>
        </w:div>
        <w:div w:id="995231369">
          <w:marLeft w:val="0"/>
          <w:marRight w:val="0"/>
          <w:marTop w:val="0"/>
          <w:marBottom w:val="0"/>
          <w:divBdr>
            <w:top w:val="none" w:sz="0" w:space="0" w:color="auto"/>
            <w:left w:val="none" w:sz="0" w:space="0" w:color="auto"/>
            <w:bottom w:val="none" w:sz="0" w:space="0" w:color="auto"/>
            <w:right w:val="none" w:sz="0" w:space="0" w:color="auto"/>
          </w:divBdr>
          <w:divsChild>
            <w:div w:id="295335856">
              <w:marLeft w:val="0"/>
              <w:marRight w:val="0"/>
              <w:marTop w:val="0"/>
              <w:marBottom w:val="0"/>
              <w:divBdr>
                <w:top w:val="none" w:sz="0" w:space="0" w:color="auto"/>
                <w:left w:val="none" w:sz="0" w:space="0" w:color="auto"/>
                <w:bottom w:val="none" w:sz="0" w:space="0" w:color="auto"/>
                <w:right w:val="none" w:sz="0" w:space="0" w:color="auto"/>
              </w:divBdr>
            </w:div>
            <w:div w:id="478037248">
              <w:marLeft w:val="0"/>
              <w:marRight w:val="0"/>
              <w:marTop w:val="0"/>
              <w:marBottom w:val="0"/>
              <w:divBdr>
                <w:top w:val="none" w:sz="0" w:space="0" w:color="auto"/>
                <w:left w:val="none" w:sz="0" w:space="0" w:color="auto"/>
                <w:bottom w:val="none" w:sz="0" w:space="0" w:color="auto"/>
                <w:right w:val="none" w:sz="0" w:space="0" w:color="auto"/>
              </w:divBdr>
            </w:div>
            <w:div w:id="1315064247">
              <w:marLeft w:val="0"/>
              <w:marRight w:val="0"/>
              <w:marTop w:val="0"/>
              <w:marBottom w:val="0"/>
              <w:divBdr>
                <w:top w:val="none" w:sz="0" w:space="0" w:color="auto"/>
                <w:left w:val="none" w:sz="0" w:space="0" w:color="auto"/>
                <w:bottom w:val="none" w:sz="0" w:space="0" w:color="auto"/>
                <w:right w:val="none" w:sz="0" w:space="0" w:color="auto"/>
              </w:divBdr>
            </w:div>
          </w:divsChild>
        </w:div>
        <w:div w:id="1003702387">
          <w:marLeft w:val="0"/>
          <w:marRight w:val="0"/>
          <w:marTop w:val="0"/>
          <w:marBottom w:val="0"/>
          <w:divBdr>
            <w:top w:val="none" w:sz="0" w:space="0" w:color="auto"/>
            <w:left w:val="none" w:sz="0" w:space="0" w:color="auto"/>
            <w:bottom w:val="none" w:sz="0" w:space="0" w:color="auto"/>
            <w:right w:val="none" w:sz="0" w:space="0" w:color="auto"/>
          </w:divBdr>
        </w:div>
        <w:div w:id="1007902062">
          <w:marLeft w:val="0"/>
          <w:marRight w:val="0"/>
          <w:marTop w:val="0"/>
          <w:marBottom w:val="0"/>
          <w:divBdr>
            <w:top w:val="none" w:sz="0" w:space="0" w:color="auto"/>
            <w:left w:val="none" w:sz="0" w:space="0" w:color="auto"/>
            <w:bottom w:val="none" w:sz="0" w:space="0" w:color="auto"/>
            <w:right w:val="none" w:sz="0" w:space="0" w:color="auto"/>
          </w:divBdr>
        </w:div>
        <w:div w:id="1023752302">
          <w:marLeft w:val="0"/>
          <w:marRight w:val="0"/>
          <w:marTop w:val="0"/>
          <w:marBottom w:val="0"/>
          <w:divBdr>
            <w:top w:val="none" w:sz="0" w:space="0" w:color="auto"/>
            <w:left w:val="none" w:sz="0" w:space="0" w:color="auto"/>
            <w:bottom w:val="none" w:sz="0" w:space="0" w:color="auto"/>
            <w:right w:val="none" w:sz="0" w:space="0" w:color="auto"/>
          </w:divBdr>
        </w:div>
        <w:div w:id="1028525590">
          <w:marLeft w:val="0"/>
          <w:marRight w:val="0"/>
          <w:marTop w:val="0"/>
          <w:marBottom w:val="0"/>
          <w:divBdr>
            <w:top w:val="none" w:sz="0" w:space="0" w:color="auto"/>
            <w:left w:val="none" w:sz="0" w:space="0" w:color="auto"/>
            <w:bottom w:val="none" w:sz="0" w:space="0" w:color="auto"/>
            <w:right w:val="none" w:sz="0" w:space="0" w:color="auto"/>
          </w:divBdr>
        </w:div>
        <w:div w:id="1043214056">
          <w:marLeft w:val="0"/>
          <w:marRight w:val="0"/>
          <w:marTop w:val="0"/>
          <w:marBottom w:val="0"/>
          <w:divBdr>
            <w:top w:val="none" w:sz="0" w:space="0" w:color="auto"/>
            <w:left w:val="none" w:sz="0" w:space="0" w:color="auto"/>
            <w:bottom w:val="none" w:sz="0" w:space="0" w:color="auto"/>
            <w:right w:val="none" w:sz="0" w:space="0" w:color="auto"/>
          </w:divBdr>
          <w:divsChild>
            <w:div w:id="668944859">
              <w:marLeft w:val="0"/>
              <w:marRight w:val="0"/>
              <w:marTop w:val="0"/>
              <w:marBottom w:val="0"/>
              <w:divBdr>
                <w:top w:val="none" w:sz="0" w:space="0" w:color="auto"/>
                <w:left w:val="none" w:sz="0" w:space="0" w:color="auto"/>
                <w:bottom w:val="none" w:sz="0" w:space="0" w:color="auto"/>
                <w:right w:val="none" w:sz="0" w:space="0" w:color="auto"/>
              </w:divBdr>
            </w:div>
            <w:div w:id="700206167">
              <w:marLeft w:val="0"/>
              <w:marRight w:val="0"/>
              <w:marTop w:val="0"/>
              <w:marBottom w:val="0"/>
              <w:divBdr>
                <w:top w:val="none" w:sz="0" w:space="0" w:color="auto"/>
                <w:left w:val="none" w:sz="0" w:space="0" w:color="auto"/>
                <w:bottom w:val="none" w:sz="0" w:space="0" w:color="auto"/>
                <w:right w:val="none" w:sz="0" w:space="0" w:color="auto"/>
              </w:divBdr>
            </w:div>
            <w:div w:id="1334801027">
              <w:marLeft w:val="0"/>
              <w:marRight w:val="0"/>
              <w:marTop w:val="0"/>
              <w:marBottom w:val="0"/>
              <w:divBdr>
                <w:top w:val="none" w:sz="0" w:space="0" w:color="auto"/>
                <w:left w:val="none" w:sz="0" w:space="0" w:color="auto"/>
                <w:bottom w:val="none" w:sz="0" w:space="0" w:color="auto"/>
                <w:right w:val="none" w:sz="0" w:space="0" w:color="auto"/>
              </w:divBdr>
            </w:div>
            <w:div w:id="1913272750">
              <w:marLeft w:val="0"/>
              <w:marRight w:val="0"/>
              <w:marTop w:val="0"/>
              <w:marBottom w:val="0"/>
              <w:divBdr>
                <w:top w:val="none" w:sz="0" w:space="0" w:color="auto"/>
                <w:left w:val="none" w:sz="0" w:space="0" w:color="auto"/>
                <w:bottom w:val="none" w:sz="0" w:space="0" w:color="auto"/>
                <w:right w:val="none" w:sz="0" w:space="0" w:color="auto"/>
              </w:divBdr>
            </w:div>
            <w:div w:id="2133206036">
              <w:marLeft w:val="0"/>
              <w:marRight w:val="0"/>
              <w:marTop w:val="0"/>
              <w:marBottom w:val="0"/>
              <w:divBdr>
                <w:top w:val="none" w:sz="0" w:space="0" w:color="auto"/>
                <w:left w:val="none" w:sz="0" w:space="0" w:color="auto"/>
                <w:bottom w:val="none" w:sz="0" w:space="0" w:color="auto"/>
                <w:right w:val="none" w:sz="0" w:space="0" w:color="auto"/>
              </w:divBdr>
            </w:div>
          </w:divsChild>
        </w:div>
        <w:div w:id="1060636606">
          <w:marLeft w:val="0"/>
          <w:marRight w:val="0"/>
          <w:marTop w:val="0"/>
          <w:marBottom w:val="0"/>
          <w:divBdr>
            <w:top w:val="none" w:sz="0" w:space="0" w:color="auto"/>
            <w:left w:val="none" w:sz="0" w:space="0" w:color="auto"/>
            <w:bottom w:val="none" w:sz="0" w:space="0" w:color="auto"/>
            <w:right w:val="none" w:sz="0" w:space="0" w:color="auto"/>
          </w:divBdr>
        </w:div>
        <w:div w:id="1069961022">
          <w:marLeft w:val="0"/>
          <w:marRight w:val="0"/>
          <w:marTop w:val="0"/>
          <w:marBottom w:val="0"/>
          <w:divBdr>
            <w:top w:val="none" w:sz="0" w:space="0" w:color="auto"/>
            <w:left w:val="none" w:sz="0" w:space="0" w:color="auto"/>
            <w:bottom w:val="none" w:sz="0" w:space="0" w:color="auto"/>
            <w:right w:val="none" w:sz="0" w:space="0" w:color="auto"/>
          </w:divBdr>
        </w:div>
        <w:div w:id="1083801433">
          <w:marLeft w:val="0"/>
          <w:marRight w:val="0"/>
          <w:marTop w:val="0"/>
          <w:marBottom w:val="0"/>
          <w:divBdr>
            <w:top w:val="none" w:sz="0" w:space="0" w:color="auto"/>
            <w:left w:val="none" w:sz="0" w:space="0" w:color="auto"/>
            <w:bottom w:val="none" w:sz="0" w:space="0" w:color="auto"/>
            <w:right w:val="none" w:sz="0" w:space="0" w:color="auto"/>
          </w:divBdr>
        </w:div>
        <w:div w:id="1085416005">
          <w:marLeft w:val="0"/>
          <w:marRight w:val="0"/>
          <w:marTop w:val="0"/>
          <w:marBottom w:val="0"/>
          <w:divBdr>
            <w:top w:val="none" w:sz="0" w:space="0" w:color="auto"/>
            <w:left w:val="none" w:sz="0" w:space="0" w:color="auto"/>
            <w:bottom w:val="none" w:sz="0" w:space="0" w:color="auto"/>
            <w:right w:val="none" w:sz="0" w:space="0" w:color="auto"/>
          </w:divBdr>
        </w:div>
        <w:div w:id="1085758195">
          <w:marLeft w:val="0"/>
          <w:marRight w:val="0"/>
          <w:marTop w:val="0"/>
          <w:marBottom w:val="0"/>
          <w:divBdr>
            <w:top w:val="none" w:sz="0" w:space="0" w:color="auto"/>
            <w:left w:val="none" w:sz="0" w:space="0" w:color="auto"/>
            <w:bottom w:val="none" w:sz="0" w:space="0" w:color="auto"/>
            <w:right w:val="none" w:sz="0" w:space="0" w:color="auto"/>
          </w:divBdr>
        </w:div>
        <w:div w:id="1101874164">
          <w:marLeft w:val="0"/>
          <w:marRight w:val="0"/>
          <w:marTop w:val="0"/>
          <w:marBottom w:val="0"/>
          <w:divBdr>
            <w:top w:val="none" w:sz="0" w:space="0" w:color="auto"/>
            <w:left w:val="none" w:sz="0" w:space="0" w:color="auto"/>
            <w:bottom w:val="none" w:sz="0" w:space="0" w:color="auto"/>
            <w:right w:val="none" w:sz="0" w:space="0" w:color="auto"/>
          </w:divBdr>
          <w:divsChild>
            <w:div w:id="385446347">
              <w:marLeft w:val="0"/>
              <w:marRight w:val="0"/>
              <w:marTop w:val="0"/>
              <w:marBottom w:val="0"/>
              <w:divBdr>
                <w:top w:val="none" w:sz="0" w:space="0" w:color="auto"/>
                <w:left w:val="none" w:sz="0" w:space="0" w:color="auto"/>
                <w:bottom w:val="none" w:sz="0" w:space="0" w:color="auto"/>
                <w:right w:val="none" w:sz="0" w:space="0" w:color="auto"/>
              </w:divBdr>
            </w:div>
            <w:div w:id="401104747">
              <w:marLeft w:val="0"/>
              <w:marRight w:val="0"/>
              <w:marTop w:val="0"/>
              <w:marBottom w:val="0"/>
              <w:divBdr>
                <w:top w:val="none" w:sz="0" w:space="0" w:color="auto"/>
                <w:left w:val="none" w:sz="0" w:space="0" w:color="auto"/>
                <w:bottom w:val="none" w:sz="0" w:space="0" w:color="auto"/>
                <w:right w:val="none" w:sz="0" w:space="0" w:color="auto"/>
              </w:divBdr>
            </w:div>
            <w:div w:id="488518806">
              <w:marLeft w:val="0"/>
              <w:marRight w:val="0"/>
              <w:marTop w:val="0"/>
              <w:marBottom w:val="0"/>
              <w:divBdr>
                <w:top w:val="none" w:sz="0" w:space="0" w:color="auto"/>
                <w:left w:val="none" w:sz="0" w:space="0" w:color="auto"/>
                <w:bottom w:val="none" w:sz="0" w:space="0" w:color="auto"/>
                <w:right w:val="none" w:sz="0" w:space="0" w:color="auto"/>
              </w:divBdr>
            </w:div>
            <w:div w:id="1076824365">
              <w:marLeft w:val="0"/>
              <w:marRight w:val="0"/>
              <w:marTop w:val="0"/>
              <w:marBottom w:val="0"/>
              <w:divBdr>
                <w:top w:val="none" w:sz="0" w:space="0" w:color="auto"/>
                <w:left w:val="none" w:sz="0" w:space="0" w:color="auto"/>
                <w:bottom w:val="none" w:sz="0" w:space="0" w:color="auto"/>
                <w:right w:val="none" w:sz="0" w:space="0" w:color="auto"/>
              </w:divBdr>
            </w:div>
            <w:div w:id="1969359908">
              <w:marLeft w:val="0"/>
              <w:marRight w:val="0"/>
              <w:marTop w:val="0"/>
              <w:marBottom w:val="0"/>
              <w:divBdr>
                <w:top w:val="none" w:sz="0" w:space="0" w:color="auto"/>
                <w:left w:val="none" w:sz="0" w:space="0" w:color="auto"/>
                <w:bottom w:val="none" w:sz="0" w:space="0" w:color="auto"/>
                <w:right w:val="none" w:sz="0" w:space="0" w:color="auto"/>
              </w:divBdr>
            </w:div>
          </w:divsChild>
        </w:div>
        <w:div w:id="1121916023">
          <w:marLeft w:val="0"/>
          <w:marRight w:val="0"/>
          <w:marTop w:val="0"/>
          <w:marBottom w:val="0"/>
          <w:divBdr>
            <w:top w:val="none" w:sz="0" w:space="0" w:color="auto"/>
            <w:left w:val="none" w:sz="0" w:space="0" w:color="auto"/>
            <w:bottom w:val="none" w:sz="0" w:space="0" w:color="auto"/>
            <w:right w:val="none" w:sz="0" w:space="0" w:color="auto"/>
          </w:divBdr>
        </w:div>
        <w:div w:id="1123423107">
          <w:marLeft w:val="0"/>
          <w:marRight w:val="0"/>
          <w:marTop w:val="0"/>
          <w:marBottom w:val="0"/>
          <w:divBdr>
            <w:top w:val="none" w:sz="0" w:space="0" w:color="auto"/>
            <w:left w:val="none" w:sz="0" w:space="0" w:color="auto"/>
            <w:bottom w:val="none" w:sz="0" w:space="0" w:color="auto"/>
            <w:right w:val="none" w:sz="0" w:space="0" w:color="auto"/>
          </w:divBdr>
        </w:div>
        <w:div w:id="1128012594">
          <w:marLeft w:val="0"/>
          <w:marRight w:val="0"/>
          <w:marTop w:val="0"/>
          <w:marBottom w:val="0"/>
          <w:divBdr>
            <w:top w:val="none" w:sz="0" w:space="0" w:color="auto"/>
            <w:left w:val="none" w:sz="0" w:space="0" w:color="auto"/>
            <w:bottom w:val="none" w:sz="0" w:space="0" w:color="auto"/>
            <w:right w:val="none" w:sz="0" w:space="0" w:color="auto"/>
          </w:divBdr>
        </w:div>
        <w:div w:id="1132597942">
          <w:marLeft w:val="0"/>
          <w:marRight w:val="0"/>
          <w:marTop w:val="0"/>
          <w:marBottom w:val="0"/>
          <w:divBdr>
            <w:top w:val="none" w:sz="0" w:space="0" w:color="auto"/>
            <w:left w:val="none" w:sz="0" w:space="0" w:color="auto"/>
            <w:bottom w:val="none" w:sz="0" w:space="0" w:color="auto"/>
            <w:right w:val="none" w:sz="0" w:space="0" w:color="auto"/>
          </w:divBdr>
        </w:div>
        <w:div w:id="1135486887">
          <w:marLeft w:val="0"/>
          <w:marRight w:val="0"/>
          <w:marTop w:val="0"/>
          <w:marBottom w:val="0"/>
          <w:divBdr>
            <w:top w:val="none" w:sz="0" w:space="0" w:color="auto"/>
            <w:left w:val="none" w:sz="0" w:space="0" w:color="auto"/>
            <w:bottom w:val="none" w:sz="0" w:space="0" w:color="auto"/>
            <w:right w:val="none" w:sz="0" w:space="0" w:color="auto"/>
          </w:divBdr>
        </w:div>
        <w:div w:id="1141726404">
          <w:marLeft w:val="0"/>
          <w:marRight w:val="0"/>
          <w:marTop w:val="0"/>
          <w:marBottom w:val="0"/>
          <w:divBdr>
            <w:top w:val="none" w:sz="0" w:space="0" w:color="auto"/>
            <w:left w:val="none" w:sz="0" w:space="0" w:color="auto"/>
            <w:bottom w:val="none" w:sz="0" w:space="0" w:color="auto"/>
            <w:right w:val="none" w:sz="0" w:space="0" w:color="auto"/>
          </w:divBdr>
        </w:div>
        <w:div w:id="1144353590">
          <w:marLeft w:val="0"/>
          <w:marRight w:val="0"/>
          <w:marTop w:val="0"/>
          <w:marBottom w:val="0"/>
          <w:divBdr>
            <w:top w:val="none" w:sz="0" w:space="0" w:color="auto"/>
            <w:left w:val="none" w:sz="0" w:space="0" w:color="auto"/>
            <w:bottom w:val="none" w:sz="0" w:space="0" w:color="auto"/>
            <w:right w:val="none" w:sz="0" w:space="0" w:color="auto"/>
          </w:divBdr>
        </w:div>
        <w:div w:id="1150168747">
          <w:marLeft w:val="0"/>
          <w:marRight w:val="0"/>
          <w:marTop w:val="0"/>
          <w:marBottom w:val="0"/>
          <w:divBdr>
            <w:top w:val="none" w:sz="0" w:space="0" w:color="auto"/>
            <w:left w:val="none" w:sz="0" w:space="0" w:color="auto"/>
            <w:bottom w:val="none" w:sz="0" w:space="0" w:color="auto"/>
            <w:right w:val="none" w:sz="0" w:space="0" w:color="auto"/>
          </w:divBdr>
        </w:div>
        <w:div w:id="1158035735">
          <w:marLeft w:val="0"/>
          <w:marRight w:val="0"/>
          <w:marTop w:val="0"/>
          <w:marBottom w:val="0"/>
          <w:divBdr>
            <w:top w:val="none" w:sz="0" w:space="0" w:color="auto"/>
            <w:left w:val="none" w:sz="0" w:space="0" w:color="auto"/>
            <w:bottom w:val="none" w:sz="0" w:space="0" w:color="auto"/>
            <w:right w:val="none" w:sz="0" w:space="0" w:color="auto"/>
          </w:divBdr>
          <w:divsChild>
            <w:div w:id="1719737514">
              <w:marLeft w:val="-75"/>
              <w:marRight w:val="0"/>
              <w:marTop w:val="30"/>
              <w:marBottom w:val="30"/>
              <w:divBdr>
                <w:top w:val="none" w:sz="0" w:space="0" w:color="auto"/>
                <w:left w:val="none" w:sz="0" w:space="0" w:color="auto"/>
                <w:bottom w:val="none" w:sz="0" w:space="0" w:color="auto"/>
                <w:right w:val="none" w:sz="0" w:space="0" w:color="auto"/>
              </w:divBdr>
              <w:divsChild>
                <w:div w:id="25717518">
                  <w:marLeft w:val="0"/>
                  <w:marRight w:val="0"/>
                  <w:marTop w:val="0"/>
                  <w:marBottom w:val="0"/>
                  <w:divBdr>
                    <w:top w:val="none" w:sz="0" w:space="0" w:color="auto"/>
                    <w:left w:val="none" w:sz="0" w:space="0" w:color="auto"/>
                    <w:bottom w:val="none" w:sz="0" w:space="0" w:color="auto"/>
                    <w:right w:val="none" w:sz="0" w:space="0" w:color="auto"/>
                  </w:divBdr>
                  <w:divsChild>
                    <w:div w:id="1491868754">
                      <w:marLeft w:val="0"/>
                      <w:marRight w:val="0"/>
                      <w:marTop w:val="0"/>
                      <w:marBottom w:val="0"/>
                      <w:divBdr>
                        <w:top w:val="none" w:sz="0" w:space="0" w:color="auto"/>
                        <w:left w:val="none" w:sz="0" w:space="0" w:color="auto"/>
                        <w:bottom w:val="none" w:sz="0" w:space="0" w:color="auto"/>
                        <w:right w:val="none" w:sz="0" w:space="0" w:color="auto"/>
                      </w:divBdr>
                    </w:div>
                  </w:divsChild>
                </w:div>
                <w:div w:id="42101950">
                  <w:marLeft w:val="0"/>
                  <w:marRight w:val="0"/>
                  <w:marTop w:val="0"/>
                  <w:marBottom w:val="0"/>
                  <w:divBdr>
                    <w:top w:val="none" w:sz="0" w:space="0" w:color="auto"/>
                    <w:left w:val="none" w:sz="0" w:space="0" w:color="auto"/>
                    <w:bottom w:val="none" w:sz="0" w:space="0" w:color="auto"/>
                    <w:right w:val="none" w:sz="0" w:space="0" w:color="auto"/>
                  </w:divBdr>
                  <w:divsChild>
                    <w:div w:id="1538204141">
                      <w:marLeft w:val="0"/>
                      <w:marRight w:val="0"/>
                      <w:marTop w:val="0"/>
                      <w:marBottom w:val="0"/>
                      <w:divBdr>
                        <w:top w:val="none" w:sz="0" w:space="0" w:color="auto"/>
                        <w:left w:val="none" w:sz="0" w:space="0" w:color="auto"/>
                        <w:bottom w:val="none" w:sz="0" w:space="0" w:color="auto"/>
                        <w:right w:val="none" w:sz="0" w:space="0" w:color="auto"/>
                      </w:divBdr>
                    </w:div>
                  </w:divsChild>
                </w:div>
                <w:div w:id="247353842">
                  <w:marLeft w:val="0"/>
                  <w:marRight w:val="0"/>
                  <w:marTop w:val="0"/>
                  <w:marBottom w:val="0"/>
                  <w:divBdr>
                    <w:top w:val="none" w:sz="0" w:space="0" w:color="auto"/>
                    <w:left w:val="none" w:sz="0" w:space="0" w:color="auto"/>
                    <w:bottom w:val="none" w:sz="0" w:space="0" w:color="auto"/>
                    <w:right w:val="none" w:sz="0" w:space="0" w:color="auto"/>
                  </w:divBdr>
                  <w:divsChild>
                    <w:div w:id="1275944647">
                      <w:marLeft w:val="0"/>
                      <w:marRight w:val="0"/>
                      <w:marTop w:val="0"/>
                      <w:marBottom w:val="0"/>
                      <w:divBdr>
                        <w:top w:val="none" w:sz="0" w:space="0" w:color="auto"/>
                        <w:left w:val="none" w:sz="0" w:space="0" w:color="auto"/>
                        <w:bottom w:val="none" w:sz="0" w:space="0" w:color="auto"/>
                        <w:right w:val="none" w:sz="0" w:space="0" w:color="auto"/>
                      </w:divBdr>
                    </w:div>
                  </w:divsChild>
                </w:div>
                <w:div w:id="255672106">
                  <w:marLeft w:val="0"/>
                  <w:marRight w:val="0"/>
                  <w:marTop w:val="0"/>
                  <w:marBottom w:val="0"/>
                  <w:divBdr>
                    <w:top w:val="none" w:sz="0" w:space="0" w:color="auto"/>
                    <w:left w:val="none" w:sz="0" w:space="0" w:color="auto"/>
                    <w:bottom w:val="none" w:sz="0" w:space="0" w:color="auto"/>
                    <w:right w:val="none" w:sz="0" w:space="0" w:color="auto"/>
                  </w:divBdr>
                  <w:divsChild>
                    <w:div w:id="1904174591">
                      <w:marLeft w:val="0"/>
                      <w:marRight w:val="0"/>
                      <w:marTop w:val="0"/>
                      <w:marBottom w:val="0"/>
                      <w:divBdr>
                        <w:top w:val="none" w:sz="0" w:space="0" w:color="auto"/>
                        <w:left w:val="none" w:sz="0" w:space="0" w:color="auto"/>
                        <w:bottom w:val="none" w:sz="0" w:space="0" w:color="auto"/>
                        <w:right w:val="none" w:sz="0" w:space="0" w:color="auto"/>
                      </w:divBdr>
                    </w:div>
                  </w:divsChild>
                </w:div>
                <w:div w:id="324362883">
                  <w:marLeft w:val="0"/>
                  <w:marRight w:val="0"/>
                  <w:marTop w:val="0"/>
                  <w:marBottom w:val="0"/>
                  <w:divBdr>
                    <w:top w:val="none" w:sz="0" w:space="0" w:color="auto"/>
                    <w:left w:val="none" w:sz="0" w:space="0" w:color="auto"/>
                    <w:bottom w:val="none" w:sz="0" w:space="0" w:color="auto"/>
                    <w:right w:val="none" w:sz="0" w:space="0" w:color="auto"/>
                  </w:divBdr>
                  <w:divsChild>
                    <w:div w:id="1017728583">
                      <w:marLeft w:val="0"/>
                      <w:marRight w:val="0"/>
                      <w:marTop w:val="0"/>
                      <w:marBottom w:val="0"/>
                      <w:divBdr>
                        <w:top w:val="none" w:sz="0" w:space="0" w:color="auto"/>
                        <w:left w:val="none" w:sz="0" w:space="0" w:color="auto"/>
                        <w:bottom w:val="none" w:sz="0" w:space="0" w:color="auto"/>
                        <w:right w:val="none" w:sz="0" w:space="0" w:color="auto"/>
                      </w:divBdr>
                    </w:div>
                  </w:divsChild>
                </w:div>
                <w:div w:id="353847309">
                  <w:marLeft w:val="0"/>
                  <w:marRight w:val="0"/>
                  <w:marTop w:val="0"/>
                  <w:marBottom w:val="0"/>
                  <w:divBdr>
                    <w:top w:val="none" w:sz="0" w:space="0" w:color="auto"/>
                    <w:left w:val="none" w:sz="0" w:space="0" w:color="auto"/>
                    <w:bottom w:val="none" w:sz="0" w:space="0" w:color="auto"/>
                    <w:right w:val="none" w:sz="0" w:space="0" w:color="auto"/>
                  </w:divBdr>
                  <w:divsChild>
                    <w:div w:id="1925607239">
                      <w:marLeft w:val="0"/>
                      <w:marRight w:val="0"/>
                      <w:marTop w:val="0"/>
                      <w:marBottom w:val="0"/>
                      <w:divBdr>
                        <w:top w:val="none" w:sz="0" w:space="0" w:color="auto"/>
                        <w:left w:val="none" w:sz="0" w:space="0" w:color="auto"/>
                        <w:bottom w:val="none" w:sz="0" w:space="0" w:color="auto"/>
                        <w:right w:val="none" w:sz="0" w:space="0" w:color="auto"/>
                      </w:divBdr>
                    </w:div>
                  </w:divsChild>
                </w:div>
                <w:div w:id="375082370">
                  <w:marLeft w:val="0"/>
                  <w:marRight w:val="0"/>
                  <w:marTop w:val="0"/>
                  <w:marBottom w:val="0"/>
                  <w:divBdr>
                    <w:top w:val="none" w:sz="0" w:space="0" w:color="auto"/>
                    <w:left w:val="none" w:sz="0" w:space="0" w:color="auto"/>
                    <w:bottom w:val="none" w:sz="0" w:space="0" w:color="auto"/>
                    <w:right w:val="none" w:sz="0" w:space="0" w:color="auto"/>
                  </w:divBdr>
                  <w:divsChild>
                    <w:div w:id="1218393929">
                      <w:marLeft w:val="0"/>
                      <w:marRight w:val="0"/>
                      <w:marTop w:val="0"/>
                      <w:marBottom w:val="0"/>
                      <w:divBdr>
                        <w:top w:val="none" w:sz="0" w:space="0" w:color="auto"/>
                        <w:left w:val="none" w:sz="0" w:space="0" w:color="auto"/>
                        <w:bottom w:val="none" w:sz="0" w:space="0" w:color="auto"/>
                        <w:right w:val="none" w:sz="0" w:space="0" w:color="auto"/>
                      </w:divBdr>
                    </w:div>
                  </w:divsChild>
                </w:div>
                <w:div w:id="410588275">
                  <w:marLeft w:val="0"/>
                  <w:marRight w:val="0"/>
                  <w:marTop w:val="0"/>
                  <w:marBottom w:val="0"/>
                  <w:divBdr>
                    <w:top w:val="none" w:sz="0" w:space="0" w:color="auto"/>
                    <w:left w:val="none" w:sz="0" w:space="0" w:color="auto"/>
                    <w:bottom w:val="none" w:sz="0" w:space="0" w:color="auto"/>
                    <w:right w:val="none" w:sz="0" w:space="0" w:color="auto"/>
                  </w:divBdr>
                  <w:divsChild>
                    <w:div w:id="902135757">
                      <w:marLeft w:val="0"/>
                      <w:marRight w:val="0"/>
                      <w:marTop w:val="0"/>
                      <w:marBottom w:val="0"/>
                      <w:divBdr>
                        <w:top w:val="none" w:sz="0" w:space="0" w:color="auto"/>
                        <w:left w:val="none" w:sz="0" w:space="0" w:color="auto"/>
                        <w:bottom w:val="none" w:sz="0" w:space="0" w:color="auto"/>
                        <w:right w:val="none" w:sz="0" w:space="0" w:color="auto"/>
                      </w:divBdr>
                    </w:div>
                  </w:divsChild>
                </w:div>
                <w:div w:id="459346021">
                  <w:marLeft w:val="0"/>
                  <w:marRight w:val="0"/>
                  <w:marTop w:val="0"/>
                  <w:marBottom w:val="0"/>
                  <w:divBdr>
                    <w:top w:val="none" w:sz="0" w:space="0" w:color="auto"/>
                    <w:left w:val="none" w:sz="0" w:space="0" w:color="auto"/>
                    <w:bottom w:val="none" w:sz="0" w:space="0" w:color="auto"/>
                    <w:right w:val="none" w:sz="0" w:space="0" w:color="auto"/>
                  </w:divBdr>
                  <w:divsChild>
                    <w:div w:id="140081838">
                      <w:marLeft w:val="0"/>
                      <w:marRight w:val="0"/>
                      <w:marTop w:val="0"/>
                      <w:marBottom w:val="0"/>
                      <w:divBdr>
                        <w:top w:val="none" w:sz="0" w:space="0" w:color="auto"/>
                        <w:left w:val="none" w:sz="0" w:space="0" w:color="auto"/>
                        <w:bottom w:val="none" w:sz="0" w:space="0" w:color="auto"/>
                        <w:right w:val="none" w:sz="0" w:space="0" w:color="auto"/>
                      </w:divBdr>
                    </w:div>
                  </w:divsChild>
                </w:div>
                <w:div w:id="464277298">
                  <w:marLeft w:val="0"/>
                  <w:marRight w:val="0"/>
                  <w:marTop w:val="0"/>
                  <w:marBottom w:val="0"/>
                  <w:divBdr>
                    <w:top w:val="none" w:sz="0" w:space="0" w:color="auto"/>
                    <w:left w:val="none" w:sz="0" w:space="0" w:color="auto"/>
                    <w:bottom w:val="none" w:sz="0" w:space="0" w:color="auto"/>
                    <w:right w:val="none" w:sz="0" w:space="0" w:color="auto"/>
                  </w:divBdr>
                  <w:divsChild>
                    <w:div w:id="210698507">
                      <w:marLeft w:val="0"/>
                      <w:marRight w:val="0"/>
                      <w:marTop w:val="0"/>
                      <w:marBottom w:val="0"/>
                      <w:divBdr>
                        <w:top w:val="none" w:sz="0" w:space="0" w:color="auto"/>
                        <w:left w:val="none" w:sz="0" w:space="0" w:color="auto"/>
                        <w:bottom w:val="none" w:sz="0" w:space="0" w:color="auto"/>
                        <w:right w:val="none" w:sz="0" w:space="0" w:color="auto"/>
                      </w:divBdr>
                    </w:div>
                  </w:divsChild>
                </w:div>
                <w:div w:id="535628402">
                  <w:marLeft w:val="0"/>
                  <w:marRight w:val="0"/>
                  <w:marTop w:val="0"/>
                  <w:marBottom w:val="0"/>
                  <w:divBdr>
                    <w:top w:val="none" w:sz="0" w:space="0" w:color="auto"/>
                    <w:left w:val="none" w:sz="0" w:space="0" w:color="auto"/>
                    <w:bottom w:val="none" w:sz="0" w:space="0" w:color="auto"/>
                    <w:right w:val="none" w:sz="0" w:space="0" w:color="auto"/>
                  </w:divBdr>
                  <w:divsChild>
                    <w:div w:id="663239868">
                      <w:marLeft w:val="0"/>
                      <w:marRight w:val="0"/>
                      <w:marTop w:val="0"/>
                      <w:marBottom w:val="0"/>
                      <w:divBdr>
                        <w:top w:val="none" w:sz="0" w:space="0" w:color="auto"/>
                        <w:left w:val="none" w:sz="0" w:space="0" w:color="auto"/>
                        <w:bottom w:val="none" w:sz="0" w:space="0" w:color="auto"/>
                        <w:right w:val="none" w:sz="0" w:space="0" w:color="auto"/>
                      </w:divBdr>
                    </w:div>
                  </w:divsChild>
                </w:div>
                <w:div w:id="569658954">
                  <w:marLeft w:val="0"/>
                  <w:marRight w:val="0"/>
                  <w:marTop w:val="0"/>
                  <w:marBottom w:val="0"/>
                  <w:divBdr>
                    <w:top w:val="none" w:sz="0" w:space="0" w:color="auto"/>
                    <w:left w:val="none" w:sz="0" w:space="0" w:color="auto"/>
                    <w:bottom w:val="none" w:sz="0" w:space="0" w:color="auto"/>
                    <w:right w:val="none" w:sz="0" w:space="0" w:color="auto"/>
                  </w:divBdr>
                  <w:divsChild>
                    <w:div w:id="1835953401">
                      <w:marLeft w:val="0"/>
                      <w:marRight w:val="0"/>
                      <w:marTop w:val="0"/>
                      <w:marBottom w:val="0"/>
                      <w:divBdr>
                        <w:top w:val="none" w:sz="0" w:space="0" w:color="auto"/>
                        <w:left w:val="none" w:sz="0" w:space="0" w:color="auto"/>
                        <w:bottom w:val="none" w:sz="0" w:space="0" w:color="auto"/>
                        <w:right w:val="none" w:sz="0" w:space="0" w:color="auto"/>
                      </w:divBdr>
                    </w:div>
                  </w:divsChild>
                </w:div>
                <w:div w:id="707797059">
                  <w:marLeft w:val="0"/>
                  <w:marRight w:val="0"/>
                  <w:marTop w:val="0"/>
                  <w:marBottom w:val="0"/>
                  <w:divBdr>
                    <w:top w:val="none" w:sz="0" w:space="0" w:color="auto"/>
                    <w:left w:val="none" w:sz="0" w:space="0" w:color="auto"/>
                    <w:bottom w:val="none" w:sz="0" w:space="0" w:color="auto"/>
                    <w:right w:val="none" w:sz="0" w:space="0" w:color="auto"/>
                  </w:divBdr>
                  <w:divsChild>
                    <w:div w:id="338780405">
                      <w:marLeft w:val="0"/>
                      <w:marRight w:val="0"/>
                      <w:marTop w:val="0"/>
                      <w:marBottom w:val="0"/>
                      <w:divBdr>
                        <w:top w:val="none" w:sz="0" w:space="0" w:color="auto"/>
                        <w:left w:val="none" w:sz="0" w:space="0" w:color="auto"/>
                        <w:bottom w:val="none" w:sz="0" w:space="0" w:color="auto"/>
                        <w:right w:val="none" w:sz="0" w:space="0" w:color="auto"/>
                      </w:divBdr>
                    </w:div>
                  </w:divsChild>
                </w:div>
                <w:div w:id="757366616">
                  <w:marLeft w:val="0"/>
                  <w:marRight w:val="0"/>
                  <w:marTop w:val="0"/>
                  <w:marBottom w:val="0"/>
                  <w:divBdr>
                    <w:top w:val="none" w:sz="0" w:space="0" w:color="auto"/>
                    <w:left w:val="none" w:sz="0" w:space="0" w:color="auto"/>
                    <w:bottom w:val="none" w:sz="0" w:space="0" w:color="auto"/>
                    <w:right w:val="none" w:sz="0" w:space="0" w:color="auto"/>
                  </w:divBdr>
                  <w:divsChild>
                    <w:div w:id="551040482">
                      <w:marLeft w:val="0"/>
                      <w:marRight w:val="0"/>
                      <w:marTop w:val="0"/>
                      <w:marBottom w:val="0"/>
                      <w:divBdr>
                        <w:top w:val="none" w:sz="0" w:space="0" w:color="auto"/>
                        <w:left w:val="none" w:sz="0" w:space="0" w:color="auto"/>
                        <w:bottom w:val="none" w:sz="0" w:space="0" w:color="auto"/>
                        <w:right w:val="none" w:sz="0" w:space="0" w:color="auto"/>
                      </w:divBdr>
                    </w:div>
                  </w:divsChild>
                </w:div>
                <w:div w:id="787894805">
                  <w:marLeft w:val="0"/>
                  <w:marRight w:val="0"/>
                  <w:marTop w:val="0"/>
                  <w:marBottom w:val="0"/>
                  <w:divBdr>
                    <w:top w:val="none" w:sz="0" w:space="0" w:color="auto"/>
                    <w:left w:val="none" w:sz="0" w:space="0" w:color="auto"/>
                    <w:bottom w:val="none" w:sz="0" w:space="0" w:color="auto"/>
                    <w:right w:val="none" w:sz="0" w:space="0" w:color="auto"/>
                  </w:divBdr>
                  <w:divsChild>
                    <w:div w:id="260648090">
                      <w:marLeft w:val="0"/>
                      <w:marRight w:val="0"/>
                      <w:marTop w:val="0"/>
                      <w:marBottom w:val="0"/>
                      <w:divBdr>
                        <w:top w:val="none" w:sz="0" w:space="0" w:color="auto"/>
                        <w:left w:val="none" w:sz="0" w:space="0" w:color="auto"/>
                        <w:bottom w:val="none" w:sz="0" w:space="0" w:color="auto"/>
                        <w:right w:val="none" w:sz="0" w:space="0" w:color="auto"/>
                      </w:divBdr>
                    </w:div>
                  </w:divsChild>
                </w:div>
                <w:div w:id="822433489">
                  <w:marLeft w:val="0"/>
                  <w:marRight w:val="0"/>
                  <w:marTop w:val="0"/>
                  <w:marBottom w:val="0"/>
                  <w:divBdr>
                    <w:top w:val="none" w:sz="0" w:space="0" w:color="auto"/>
                    <w:left w:val="none" w:sz="0" w:space="0" w:color="auto"/>
                    <w:bottom w:val="none" w:sz="0" w:space="0" w:color="auto"/>
                    <w:right w:val="none" w:sz="0" w:space="0" w:color="auto"/>
                  </w:divBdr>
                  <w:divsChild>
                    <w:div w:id="84882150">
                      <w:marLeft w:val="0"/>
                      <w:marRight w:val="0"/>
                      <w:marTop w:val="0"/>
                      <w:marBottom w:val="0"/>
                      <w:divBdr>
                        <w:top w:val="none" w:sz="0" w:space="0" w:color="auto"/>
                        <w:left w:val="none" w:sz="0" w:space="0" w:color="auto"/>
                        <w:bottom w:val="none" w:sz="0" w:space="0" w:color="auto"/>
                        <w:right w:val="none" w:sz="0" w:space="0" w:color="auto"/>
                      </w:divBdr>
                    </w:div>
                  </w:divsChild>
                </w:div>
                <w:div w:id="827600334">
                  <w:marLeft w:val="0"/>
                  <w:marRight w:val="0"/>
                  <w:marTop w:val="0"/>
                  <w:marBottom w:val="0"/>
                  <w:divBdr>
                    <w:top w:val="none" w:sz="0" w:space="0" w:color="auto"/>
                    <w:left w:val="none" w:sz="0" w:space="0" w:color="auto"/>
                    <w:bottom w:val="none" w:sz="0" w:space="0" w:color="auto"/>
                    <w:right w:val="none" w:sz="0" w:space="0" w:color="auto"/>
                  </w:divBdr>
                  <w:divsChild>
                    <w:div w:id="538904885">
                      <w:marLeft w:val="0"/>
                      <w:marRight w:val="0"/>
                      <w:marTop w:val="0"/>
                      <w:marBottom w:val="0"/>
                      <w:divBdr>
                        <w:top w:val="none" w:sz="0" w:space="0" w:color="auto"/>
                        <w:left w:val="none" w:sz="0" w:space="0" w:color="auto"/>
                        <w:bottom w:val="none" w:sz="0" w:space="0" w:color="auto"/>
                        <w:right w:val="none" w:sz="0" w:space="0" w:color="auto"/>
                      </w:divBdr>
                    </w:div>
                    <w:div w:id="1505122678">
                      <w:marLeft w:val="0"/>
                      <w:marRight w:val="0"/>
                      <w:marTop w:val="0"/>
                      <w:marBottom w:val="0"/>
                      <w:divBdr>
                        <w:top w:val="none" w:sz="0" w:space="0" w:color="auto"/>
                        <w:left w:val="none" w:sz="0" w:space="0" w:color="auto"/>
                        <w:bottom w:val="none" w:sz="0" w:space="0" w:color="auto"/>
                        <w:right w:val="none" w:sz="0" w:space="0" w:color="auto"/>
                      </w:divBdr>
                    </w:div>
                  </w:divsChild>
                </w:div>
                <w:div w:id="842552162">
                  <w:marLeft w:val="0"/>
                  <w:marRight w:val="0"/>
                  <w:marTop w:val="0"/>
                  <w:marBottom w:val="0"/>
                  <w:divBdr>
                    <w:top w:val="none" w:sz="0" w:space="0" w:color="auto"/>
                    <w:left w:val="none" w:sz="0" w:space="0" w:color="auto"/>
                    <w:bottom w:val="none" w:sz="0" w:space="0" w:color="auto"/>
                    <w:right w:val="none" w:sz="0" w:space="0" w:color="auto"/>
                  </w:divBdr>
                  <w:divsChild>
                    <w:div w:id="1134985016">
                      <w:marLeft w:val="0"/>
                      <w:marRight w:val="0"/>
                      <w:marTop w:val="0"/>
                      <w:marBottom w:val="0"/>
                      <w:divBdr>
                        <w:top w:val="none" w:sz="0" w:space="0" w:color="auto"/>
                        <w:left w:val="none" w:sz="0" w:space="0" w:color="auto"/>
                        <w:bottom w:val="none" w:sz="0" w:space="0" w:color="auto"/>
                        <w:right w:val="none" w:sz="0" w:space="0" w:color="auto"/>
                      </w:divBdr>
                    </w:div>
                  </w:divsChild>
                </w:div>
                <w:div w:id="1003316298">
                  <w:marLeft w:val="0"/>
                  <w:marRight w:val="0"/>
                  <w:marTop w:val="0"/>
                  <w:marBottom w:val="0"/>
                  <w:divBdr>
                    <w:top w:val="none" w:sz="0" w:space="0" w:color="auto"/>
                    <w:left w:val="none" w:sz="0" w:space="0" w:color="auto"/>
                    <w:bottom w:val="none" w:sz="0" w:space="0" w:color="auto"/>
                    <w:right w:val="none" w:sz="0" w:space="0" w:color="auto"/>
                  </w:divBdr>
                  <w:divsChild>
                    <w:div w:id="2143420791">
                      <w:marLeft w:val="0"/>
                      <w:marRight w:val="0"/>
                      <w:marTop w:val="0"/>
                      <w:marBottom w:val="0"/>
                      <w:divBdr>
                        <w:top w:val="none" w:sz="0" w:space="0" w:color="auto"/>
                        <w:left w:val="none" w:sz="0" w:space="0" w:color="auto"/>
                        <w:bottom w:val="none" w:sz="0" w:space="0" w:color="auto"/>
                        <w:right w:val="none" w:sz="0" w:space="0" w:color="auto"/>
                      </w:divBdr>
                    </w:div>
                  </w:divsChild>
                </w:div>
                <w:div w:id="1005012298">
                  <w:marLeft w:val="0"/>
                  <w:marRight w:val="0"/>
                  <w:marTop w:val="0"/>
                  <w:marBottom w:val="0"/>
                  <w:divBdr>
                    <w:top w:val="none" w:sz="0" w:space="0" w:color="auto"/>
                    <w:left w:val="none" w:sz="0" w:space="0" w:color="auto"/>
                    <w:bottom w:val="none" w:sz="0" w:space="0" w:color="auto"/>
                    <w:right w:val="none" w:sz="0" w:space="0" w:color="auto"/>
                  </w:divBdr>
                  <w:divsChild>
                    <w:div w:id="256136613">
                      <w:marLeft w:val="0"/>
                      <w:marRight w:val="0"/>
                      <w:marTop w:val="0"/>
                      <w:marBottom w:val="0"/>
                      <w:divBdr>
                        <w:top w:val="none" w:sz="0" w:space="0" w:color="auto"/>
                        <w:left w:val="none" w:sz="0" w:space="0" w:color="auto"/>
                        <w:bottom w:val="none" w:sz="0" w:space="0" w:color="auto"/>
                        <w:right w:val="none" w:sz="0" w:space="0" w:color="auto"/>
                      </w:divBdr>
                    </w:div>
                  </w:divsChild>
                </w:div>
                <w:div w:id="1008753575">
                  <w:marLeft w:val="0"/>
                  <w:marRight w:val="0"/>
                  <w:marTop w:val="0"/>
                  <w:marBottom w:val="0"/>
                  <w:divBdr>
                    <w:top w:val="none" w:sz="0" w:space="0" w:color="auto"/>
                    <w:left w:val="none" w:sz="0" w:space="0" w:color="auto"/>
                    <w:bottom w:val="none" w:sz="0" w:space="0" w:color="auto"/>
                    <w:right w:val="none" w:sz="0" w:space="0" w:color="auto"/>
                  </w:divBdr>
                  <w:divsChild>
                    <w:div w:id="113990777">
                      <w:marLeft w:val="0"/>
                      <w:marRight w:val="0"/>
                      <w:marTop w:val="0"/>
                      <w:marBottom w:val="0"/>
                      <w:divBdr>
                        <w:top w:val="none" w:sz="0" w:space="0" w:color="auto"/>
                        <w:left w:val="none" w:sz="0" w:space="0" w:color="auto"/>
                        <w:bottom w:val="none" w:sz="0" w:space="0" w:color="auto"/>
                        <w:right w:val="none" w:sz="0" w:space="0" w:color="auto"/>
                      </w:divBdr>
                    </w:div>
                  </w:divsChild>
                </w:div>
                <w:div w:id="1058435524">
                  <w:marLeft w:val="0"/>
                  <w:marRight w:val="0"/>
                  <w:marTop w:val="0"/>
                  <w:marBottom w:val="0"/>
                  <w:divBdr>
                    <w:top w:val="none" w:sz="0" w:space="0" w:color="auto"/>
                    <w:left w:val="none" w:sz="0" w:space="0" w:color="auto"/>
                    <w:bottom w:val="none" w:sz="0" w:space="0" w:color="auto"/>
                    <w:right w:val="none" w:sz="0" w:space="0" w:color="auto"/>
                  </w:divBdr>
                  <w:divsChild>
                    <w:div w:id="1529099276">
                      <w:marLeft w:val="0"/>
                      <w:marRight w:val="0"/>
                      <w:marTop w:val="0"/>
                      <w:marBottom w:val="0"/>
                      <w:divBdr>
                        <w:top w:val="none" w:sz="0" w:space="0" w:color="auto"/>
                        <w:left w:val="none" w:sz="0" w:space="0" w:color="auto"/>
                        <w:bottom w:val="none" w:sz="0" w:space="0" w:color="auto"/>
                        <w:right w:val="none" w:sz="0" w:space="0" w:color="auto"/>
                      </w:divBdr>
                    </w:div>
                  </w:divsChild>
                </w:div>
                <w:div w:id="1118139857">
                  <w:marLeft w:val="0"/>
                  <w:marRight w:val="0"/>
                  <w:marTop w:val="0"/>
                  <w:marBottom w:val="0"/>
                  <w:divBdr>
                    <w:top w:val="none" w:sz="0" w:space="0" w:color="auto"/>
                    <w:left w:val="none" w:sz="0" w:space="0" w:color="auto"/>
                    <w:bottom w:val="none" w:sz="0" w:space="0" w:color="auto"/>
                    <w:right w:val="none" w:sz="0" w:space="0" w:color="auto"/>
                  </w:divBdr>
                  <w:divsChild>
                    <w:div w:id="1389958691">
                      <w:marLeft w:val="0"/>
                      <w:marRight w:val="0"/>
                      <w:marTop w:val="0"/>
                      <w:marBottom w:val="0"/>
                      <w:divBdr>
                        <w:top w:val="none" w:sz="0" w:space="0" w:color="auto"/>
                        <w:left w:val="none" w:sz="0" w:space="0" w:color="auto"/>
                        <w:bottom w:val="none" w:sz="0" w:space="0" w:color="auto"/>
                        <w:right w:val="none" w:sz="0" w:space="0" w:color="auto"/>
                      </w:divBdr>
                    </w:div>
                  </w:divsChild>
                </w:div>
                <w:div w:id="1144395066">
                  <w:marLeft w:val="0"/>
                  <w:marRight w:val="0"/>
                  <w:marTop w:val="0"/>
                  <w:marBottom w:val="0"/>
                  <w:divBdr>
                    <w:top w:val="none" w:sz="0" w:space="0" w:color="auto"/>
                    <w:left w:val="none" w:sz="0" w:space="0" w:color="auto"/>
                    <w:bottom w:val="none" w:sz="0" w:space="0" w:color="auto"/>
                    <w:right w:val="none" w:sz="0" w:space="0" w:color="auto"/>
                  </w:divBdr>
                  <w:divsChild>
                    <w:div w:id="621886246">
                      <w:marLeft w:val="0"/>
                      <w:marRight w:val="0"/>
                      <w:marTop w:val="0"/>
                      <w:marBottom w:val="0"/>
                      <w:divBdr>
                        <w:top w:val="none" w:sz="0" w:space="0" w:color="auto"/>
                        <w:left w:val="none" w:sz="0" w:space="0" w:color="auto"/>
                        <w:bottom w:val="none" w:sz="0" w:space="0" w:color="auto"/>
                        <w:right w:val="none" w:sz="0" w:space="0" w:color="auto"/>
                      </w:divBdr>
                    </w:div>
                    <w:div w:id="754935546">
                      <w:marLeft w:val="0"/>
                      <w:marRight w:val="0"/>
                      <w:marTop w:val="0"/>
                      <w:marBottom w:val="0"/>
                      <w:divBdr>
                        <w:top w:val="none" w:sz="0" w:space="0" w:color="auto"/>
                        <w:left w:val="none" w:sz="0" w:space="0" w:color="auto"/>
                        <w:bottom w:val="none" w:sz="0" w:space="0" w:color="auto"/>
                        <w:right w:val="none" w:sz="0" w:space="0" w:color="auto"/>
                      </w:divBdr>
                    </w:div>
                  </w:divsChild>
                </w:div>
                <w:div w:id="1151018077">
                  <w:marLeft w:val="0"/>
                  <w:marRight w:val="0"/>
                  <w:marTop w:val="0"/>
                  <w:marBottom w:val="0"/>
                  <w:divBdr>
                    <w:top w:val="none" w:sz="0" w:space="0" w:color="auto"/>
                    <w:left w:val="none" w:sz="0" w:space="0" w:color="auto"/>
                    <w:bottom w:val="none" w:sz="0" w:space="0" w:color="auto"/>
                    <w:right w:val="none" w:sz="0" w:space="0" w:color="auto"/>
                  </w:divBdr>
                  <w:divsChild>
                    <w:div w:id="1220677618">
                      <w:marLeft w:val="0"/>
                      <w:marRight w:val="0"/>
                      <w:marTop w:val="0"/>
                      <w:marBottom w:val="0"/>
                      <w:divBdr>
                        <w:top w:val="none" w:sz="0" w:space="0" w:color="auto"/>
                        <w:left w:val="none" w:sz="0" w:space="0" w:color="auto"/>
                        <w:bottom w:val="none" w:sz="0" w:space="0" w:color="auto"/>
                        <w:right w:val="none" w:sz="0" w:space="0" w:color="auto"/>
                      </w:divBdr>
                    </w:div>
                  </w:divsChild>
                </w:div>
                <w:div w:id="1267228501">
                  <w:marLeft w:val="0"/>
                  <w:marRight w:val="0"/>
                  <w:marTop w:val="0"/>
                  <w:marBottom w:val="0"/>
                  <w:divBdr>
                    <w:top w:val="none" w:sz="0" w:space="0" w:color="auto"/>
                    <w:left w:val="none" w:sz="0" w:space="0" w:color="auto"/>
                    <w:bottom w:val="none" w:sz="0" w:space="0" w:color="auto"/>
                    <w:right w:val="none" w:sz="0" w:space="0" w:color="auto"/>
                  </w:divBdr>
                  <w:divsChild>
                    <w:div w:id="1883707649">
                      <w:marLeft w:val="0"/>
                      <w:marRight w:val="0"/>
                      <w:marTop w:val="0"/>
                      <w:marBottom w:val="0"/>
                      <w:divBdr>
                        <w:top w:val="none" w:sz="0" w:space="0" w:color="auto"/>
                        <w:left w:val="none" w:sz="0" w:space="0" w:color="auto"/>
                        <w:bottom w:val="none" w:sz="0" w:space="0" w:color="auto"/>
                        <w:right w:val="none" w:sz="0" w:space="0" w:color="auto"/>
                      </w:divBdr>
                    </w:div>
                  </w:divsChild>
                </w:div>
                <w:div w:id="1331449769">
                  <w:marLeft w:val="0"/>
                  <w:marRight w:val="0"/>
                  <w:marTop w:val="0"/>
                  <w:marBottom w:val="0"/>
                  <w:divBdr>
                    <w:top w:val="none" w:sz="0" w:space="0" w:color="auto"/>
                    <w:left w:val="none" w:sz="0" w:space="0" w:color="auto"/>
                    <w:bottom w:val="none" w:sz="0" w:space="0" w:color="auto"/>
                    <w:right w:val="none" w:sz="0" w:space="0" w:color="auto"/>
                  </w:divBdr>
                  <w:divsChild>
                    <w:div w:id="671689146">
                      <w:marLeft w:val="0"/>
                      <w:marRight w:val="0"/>
                      <w:marTop w:val="0"/>
                      <w:marBottom w:val="0"/>
                      <w:divBdr>
                        <w:top w:val="none" w:sz="0" w:space="0" w:color="auto"/>
                        <w:left w:val="none" w:sz="0" w:space="0" w:color="auto"/>
                        <w:bottom w:val="none" w:sz="0" w:space="0" w:color="auto"/>
                        <w:right w:val="none" w:sz="0" w:space="0" w:color="auto"/>
                      </w:divBdr>
                    </w:div>
                  </w:divsChild>
                </w:div>
                <w:div w:id="1489633938">
                  <w:marLeft w:val="0"/>
                  <w:marRight w:val="0"/>
                  <w:marTop w:val="0"/>
                  <w:marBottom w:val="0"/>
                  <w:divBdr>
                    <w:top w:val="none" w:sz="0" w:space="0" w:color="auto"/>
                    <w:left w:val="none" w:sz="0" w:space="0" w:color="auto"/>
                    <w:bottom w:val="none" w:sz="0" w:space="0" w:color="auto"/>
                    <w:right w:val="none" w:sz="0" w:space="0" w:color="auto"/>
                  </w:divBdr>
                  <w:divsChild>
                    <w:div w:id="640699206">
                      <w:marLeft w:val="0"/>
                      <w:marRight w:val="0"/>
                      <w:marTop w:val="0"/>
                      <w:marBottom w:val="0"/>
                      <w:divBdr>
                        <w:top w:val="none" w:sz="0" w:space="0" w:color="auto"/>
                        <w:left w:val="none" w:sz="0" w:space="0" w:color="auto"/>
                        <w:bottom w:val="none" w:sz="0" w:space="0" w:color="auto"/>
                        <w:right w:val="none" w:sz="0" w:space="0" w:color="auto"/>
                      </w:divBdr>
                    </w:div>
                  </w:divsChild>
                </w:div>
                <w:div w:id="1509177334">
                  <w:marLeft w:val="0"/>
                  <w:marRight w:val="0"/>
                  <w:marTop w:val="0"/>
                  <w:marBottom w:val="0"/>
                  <w:divBdr>
                    <w:top w:val="none" w:sz="0" w:space="0" w:color="auto"/>
                    <w:left w:val="none" w:sz="0" w:space="0" w:color="auto"/>
                    <w:bottom w:val="none" w:sz="0" w:space="0" w:color="auto"/>
                    <w:right w:val="none" w:sz="0" w:space="0" w:color="auto"/>
                  </w:divBdr>
                  <w:divsChild>
                    <w:div w:id="253126599">
                      <w:marLeft w:val="0"/>
                      <w:marRight w:val="0"/>
                      <w:marTop w:val="0"/>
                      <w:marBottom w:val="0"/>
                      <w:divBdr>
                        <w:top w:val="none" w:sz="0" w:space="0" w:color="auto"/>
                        <w:left w:val="none" w:sz="0" w:space="0" w:color="auto"/>
                        <w:bottom w:val="none" w:sz="0" w:space="0" w:color="auto"/>
                        <w:right w:val="none" w:sz="0" w:space="0" w:color="auto"/>
                      </w:divBdr>
                    </w:div>
                    <w:div w:id="1573077624">
                      <w:marLeft w:val="0"/>
                      <w:marRight w:val="0"/>
                      <w:marTop w:val="0"/>
                      <w:marBottom w:val="0"/>
                      <w:divBdr>
                        <w:top w:val="none" w:sz="0" w:space="0" w:color="auto"/>
                        <w:left w:val="none" w:sz="0" w:space="0" w:color="auto"/>
                        <w:bottom w:val="none" w:sz="0" w:space="0" w:color="auto"/>
                        <w:right w:val="none" w:sz="0" w:space="0" w:color="auto"/>
                      </w:divBdr>
                    </w:div>
                  </w:divsChild>
                </w:div>
                <w:div w:id="1529298343">
                  <w:marLeft w:val="0"/>
                  <w:marRight w:val="0"/>
                  <w:marTop w:val="0"/>
                  <w:marBottom w:val="0"/>
                  <w:divBdr>
                    <w:top w:val="none" w:sz="0" w:space="0" w:color="auto"/>
                    <w:left w:val="none" w:sz="0" w:space="0" w:color="auto"/>
                    <w:bottom w:val="none" w:sz="0" w:space="0" w:color="auto"/>
                    <w:right w:val="none" w:sz="0" w:space="0" w:color="auto"/>
                  </w:divBdr>
                  <w:divsChild>
                    <w:div w:id="200167235">
                      <w:marLeft w:val="0"/>
                      <w:marRight w:val="0"/>
                      <w:marTop w:val="0"/>
                      <w:marBottom w:val="0"/>
                      <w:divBdr>
                        <w:top w:val="none" w:sz="0" w:space="0" w:color="auto"/>
                        <w:left w:val="none" w:sz="0" w:space="0" w:color="auto"/>
                        <w:bottom w:val="none" w:sz="0" w:space="0" w:color="auto"/>
                        <w:right w:val="none" w:sz="0" w:space="0" w:color="auto"/>
                      </w:divBdr>
                    </w:div>
                  </w:divsChild>
                </w:div>
                <w:div w:id="1610235869">
                  <w:marLeft w:val="0"/>
                  <w:marRight w:val="0"/>
                  <w:marTop w:val="0"/>
                  <w:marBottom w:val="0"/>
                  <w:divBdr>
                    <w:top w:val="none" w:sz="0" w:space="0" w:color="auto"/>
                    <w:left w:val="none" w:sz="0" w:space="0" w:color="auto"/>
                    <w:bottom w:val="none" w:sz="0" w:space="0" w:color="auto"/>
                    <w:right w:val="none" w:sz="0" w:space="0" w:color="auto"/>
                  </w:divBdr>
                  <w:divsChild>
                    <w:div w:id="430735051">
                      <w:marLeft w:val="0"/>
                      <w:marRight w:val="0"/>
                      <w:marTop w:val="0"/>
                      <w:marBottom w:val="0"/>
                      <w:divBdr>
                        <w:top w:val="none" w:sz="0" w:space="0" w:color="auto"/>
                        <w:left w:val="none" w:sz="0" w:space="0" w:color="auto"/>
                        <w:bottom w:val="none" w:sz="0" w:space="0" w:color="auto"/>
                        <w:right w:val="none" w:sz="0" w:space="0" w:color="auto"/>
                      </w:divBdr>
                    </w:div>
                  </w:divsChild>
                </w:div>
                <w:div w:id="1618561444">
                  <w:marLeft w:val="0"/>
                  <w:marRight w:val="0"/>
                  <w:marTop w:val="0"/>
                  <w:marBottom w:val="0"/>
                  <w:divBdr>
                    <w:top w:val="none" w:sz="0" w:space="0" w:color="auto"/>
                    <w:left w:val="none" w:sz="0" w:space="0" w:color="auto"/>
                    <w:bottom w:val="none" w:sz="0" w:space="0" w:color="auto"/>
                    <w:right w:val="none" w:sz="0" w:space="0" w:color="auto"/>
                  </w:divBdr>
                  <w:divsChild>
                    <w:div w:id="881554386">
                      <w:marLeft w:val="0"/>
                      <w:marRight w:val="0"/>
                      <w:marTop w:val="0"/>
                      <w:marBottom w:val="0"/>
                      <w:divBdr>
                        <w:top w:val="none" w:sz="0" w:space="0" w:color="auto"/>
                        <w:left w:val="none" w:sz="0" w:space="0" w:color="auto"/>
                        <w:bottom w:val="none" w:sz="0" w:space="0" w:color="auto"/>
                        <w:right w:val="none" w:sz="0" w:space="0" w:color="auto"/>
                      </w:divBdr>
                    </w:div>
                  </w:divsChild>
                </w:div>
                <w:div w:id="1642613744">
                  <w:marLeft w:val="0"/>
                  <w:marRight w:val="0"/>
                  <w:marTop w:val="0"/>
                  <w:marBottom w:val="0"/>
                  <w:divBdr>
                    <w:top w:val="none" w:sz="0" w:space="0" w:color="auto"/>
                    <w:left w:val="none" w:sz="0" w:space="0" w:color="auto"/>
                    <w:bottom w:val="none" w:sz="0" w:space="0" w:color="auto"/>
                    <w:right w:val="none" w:sz="0" w:space="0" w:color="auto"/>
                  </w:divBdr>
                  <w:divsChild>
                    <w:div w:id="681592132">
                      <w:marLeft w:val="0"/>
                      <w:marRight w:val="0"/>
                      <w:marTop w:val="0"/>
                      <w:marBottom w:val="0"/>
                      <w:divBdr>
                        <w:top w:val="none" w:sz="0" w:space="0" w:color="auto"/>
                        <w:left w:val="none" w:sz="0" w:space="0" w:color="auto"/>
                        <w:bottom w:val="none" w:sz="0" w:space="0" w:color="auto"/>
                        <w:right w:val="none" w:sz="0" w:space="0" w:color="auto"/>
                      </w:divBdr>
                    </w:div>
                  </w:divsChild>
                </w:div>
                <w:div w:id="1672374268">
                  <w:marLeft w:val="0"/>
                  <w:marRight w:val="0"/>
                  <w:marTop w:val="0"/>
                  <w:marBottom w:val="0"/>
                  <w:divBdr>
                    <w:top w:val="none" w:sz="0" w:space="0" w:color="auto"/>
                    <w:left w:val="none" w:sz="0" w:space="0" w:color="auto"/>
                    <w:bottom w:val="none" w:sz="0" w:space="0" w:color="auto"/>
                    <w:right w:val="none" w:sz="0" w:space="0" w:color="auto"/>
                  </w:divBdr>
                  <w:divsChild>
                    <w:div w:id="846754443">
                      <w:marLeft w:val="0"/>
                      <w:marRight w:val="0"/>
                      <w:marTop w:val="0"/>
                      <w:marBottom w:val="0"/>
                      <w:divBdr>
                        <w:top w:val="none" w:sz="0" w:space="0" w:color="auto"/>
                        <w:left w:val="none" w:sz="0" w:space="0" w:color="auto"/>
                        <w:bottom w:val="none" w:sz="0" w:space="0" w:color="auto"/>
                        <w:right w:val="none" w:sz="0" w:space="0" w:color="auto"/>
                      </w:divBdr>
                    </w:div>
                    <w:div w:id="1582328468">
                      <w:marLeft w:val="0"/>
                      <w:marRight w:val="0"/>
                      <w:marTop w:val="0"/>
                      <w:marBottom w:val="0"/>
                      <w:divBdr>
                        <w:top w:val="none" w:sz="0" w:space="0" w:color="auto"/>
                        <w:left w:val="none" w:sz="0" w:space="0" w:color="auto"/>
                        <w:bottom w:val="none" w:sz="0" w:space="0" w:color="auto"/>
                        <w:right w:val="none" w:sz="0" w:space="0" w:color="auto"/>
                      </w:divBdr>
                    </w:div>
                  </w:divsChild>
                </w:div>
                <w:div w:id="1856264601">
                  <w:marLeft w:val="0"/>
                  <w:marRight w:val="0"/>
                  <w:marTop w:val="0"/>
                  <w:marBottom w:val="0"/>
                  <w:divBdr>
                    <w:top w:val="none" w:sz="0" w:space="0" w:color="auto"/>
                    <w:left w:val="none" w:sz="0" w:space="0" w:color="auto"/>
                    <w:bottom w:val="none" w:sz="0" w:space="0" w:color="auto"/>
                    <w:right w:val="none" w:sz="0" w:space="0" w:color="auto"/>
                  </w:divBdr>
                  <w:divsChild>
                    <w:div w:id="1467351240">
                      <w:marLeft w:val="0"/>
                      <w:marRight w:val="0"/>
                      <w:marTop w:val="0"/>
                      <w:marBottom w:val="0"/>
                      <w:divBdr>
                        <w:top w:val="none" w:sz="0" w:space="0" w:color="auto"/>
                        <w:left w:val="none" w:sz="0" w:space="0" w:color="auto"/>
                        <w:bottom w:val="none" w:sz="0" w:space="0" w:color="auto"/>
                        <w:right w:val="none" w:sz="0" w:space="0" w:color="auto"/>
                      </w:divBdr>
                    </w:div>
                  </w:divsChild>
                </w:div>
                <w:div w:id="1883597088">
                  <w:marLeft w:val="0"/>
                  <w:marRight w:val="0"/>
                  <w:marTop w:val="0"/>
                  <w:marBottom w:val="0"/>
                  <w:divBdr>
                    <w:top w:val="none" w:sz="0" w:space="0" w:color="auto"/>
                    <w:left w:val="none" w:sz="0" w:space="0" w:color="auto"/>
                    <w:bottom w:val="none" w:sz="0" w:space="0" w:color="auto"/>
                    <w:right w:val="none" w:sz="0" w:space="0" w:color="auto"/>
                  </w:divBdr>
                  <w:divsChild>
                    <w:div w:id="338117986">
                      <w:marLeft w:val="0"/>
                      <w:marRight w:val="0"/>
                      <w:marTop w:val="0"/>
                      <w:marBottom w:val="0"/>
                      <w:divBdr>
                        <w:top w:val="none" w:sz="0" w:space="0" w:color="auto"/>
                        <w:left w:val="none" w:sz="0" w:space="0" w:color="auto"/>
                        <w:bottom w:val="none" w:sz="0" w:space="0" w:color="auto"/>
                        <w:right w:val="none" w:sz="0" w:space="0" w:color="auto"/>
                      </w:divBdr>
                    </w:div>
                  </w:divsChild>
                </w:div>
                <w:div w:id="1931959988">
                  <w:marLeft w:val="0"/>
                  <w:marRight w:val="0"/>
                  <w:marTop w:val="0"/>
                  <w:marBottom w:val="0"/>
                  <w:divBdr>
                    <w:top w:val="none" w:sz="0" w:space="0" w:color="auto"/>
                    <w:left w:val="none" w:sz="0" w:space="0" w:color="auto"/>
                    <w:bottom w:val="none" w:sz="0" w:space="0" w:color="auto"/>
                    <w:right w:val="none" w:sz="0" w:space="0" w:color="auto"/>
                  </w:divBdr>
                  <w:divsChild>
                    <w:div w:id="1463309314">
                      <w:marLeft w:val="0"/>
                      <w:marRight w:val="0"/>
                      <w:marTop w:val="0"/>
                      <w:marBottom w:val="0"/>
                      <w:divBdr>
                        <w:top w:val="none" w:sz="0" w:space="0" w:color="auto"/>
                        <w:left w:val="none" w:sz="0" w:space="0" w:color="auto"/>
                        <w:bottom w:val="none" w:sz="0" w:space="0" w:color="auto"/>
                        <w:right w:val="none" w:sz="0" w:space="0" w:color="auto"/>
                      </w:divBdr>
                    </w:div>
                    <w:div w:id="1596549583">
                      <w:marLeft w:val="0"/>
                      <w:marRight w:val="0"/>
                      <w:marTop w:val="0"/>
                      <w:marBottom w:val="0"/>
                      <w:divBdr>
                        <w:top w:val="none" w:sz="0" w:space="0" w:color="auto"/>
                        <w:left w:val="none" w:sz="0" w:space="0" w:color="auto"/>
                        <w:bottom w:val="none" w:sz="0" w:space="0" w:color="auto"/>
                        <w:right w:val="none" w:sz="0" w:space="0" w:color="auto"/>
                      </w:divBdr>
                    </w:div>
                  </w:divsChild>
                </w:div>
                <w:div w:id="1951160498">
                  <w:marLeft w:val="0"/>
                  <w:marRight w:val="0"/>
                  <w:marTop w:val="0"/>
                  <w:marBottom w:val="0"/>
                  <w:divBdr>
                    <w:top w:val="none" w:sz="0" w:space="0" w:color="auto"/>
                    <w:left w:val="none" w:sz="0" w:space="0" w:color="auto"/>
                    <w:bottom w:val="none" w:sz="0" w:space="0" w:color="auto"/>
                    <w:right w:val="none" w:sz="0" w:space="0" w:color="auto"/>
                  </w:divBdr>
                  <w:divsChild>
                    <w:div w:id="1541937490">
                      <w:marLeft w:val="0"/>
                      <w:marRight w:val="0"/>
                      <w:marTop w:val="0"/>
                      <w:marBottom w:val="0"/>
                      <w:divBdr>
                        <w:top w:val="none" w:sz="0" w:space="0" w:color="auto"/>
                        <w:left w:val="none" w:sz="0" w:space="0" w:color="auto"/>
                        <w:bottom w:val="none" w:sz="0" w:space="0" w:color="auto"/>
                        <w:right w:val="none" w:sz="0" w:space="0" w:color="auto"/>
                      </w:divBdr>
                    </w:div>
                  </w:divsChild>
                </w:div>
                <w:div w:id="1961524515">
                  <w:marLeft w:val="0"/>
                  <w:marRight w:val="0"/>
                  <w:marTop w:val="0"/>
                  <w:marBottom w:val="0"/>
                  <w:divBdr>
                    <w:top w:val="none" w:sz="0" w:space="0" w:color="auto"/>
                    <w:left w:val="none" w:sz="0" w:space="0" w:color="auto"/>
                    <w:bottom w:val="none" w:sz="0" w:space="0" w:color="auto"/>
                    <w:right w:val="none" w:sz="0" w:space="0" w:color="auto"/>
                  </w:divBdr>
                  <w:divsChild>
                    <w:div w:id="1437092292">
                      <w:marLeft w:val="0"/>
                      <w:marRight w:val="0"/>
                      <w:marTop w:val="0"/>
                      <w:marBottom w:val="0"/>
                      <w:divBdr>
                        <w:top w:val="none" w:sz="0" w:space="0" w:color="auto"/>
                        <w:left w:val="none" w:sz="0" w:space="0" w:color="auto"/>
                        <w:bottom w:val="none" w:sz="0" w:space="0" w:color="auto"/>
                        <w:right w:val="none" w:sz="0" w:space="0" w:color="auto"/>
                      </w:divBdr>
                    </w:div>
                  </w:divsChild>
                </w:div>
                <w:div w:id="2034378026">
                  <w:marLeft w:val="0"/>
                  <w:marRight w:val="0"/>
                  <w:marTop w:val="0"/>
                  <w:marBottom w:val="0"/>
                  <w:divBdr>
                    <w:top w:val="none" w:sz="0" w:space="0" w:color="auto"/>
                    <w:left w:val="none" w:sz="0" w:space="0" w:color="auto"/>
                    <w:bottom w:val="none" w:sz="0" w:space="0" w:color="auto"/>
                    <w:right w:val="none" w:sz="0" w:space="0" w:color="auto"/>
                  </w:divBdr>
                  <w:divsChild>
                    <w:div w:id="309409095">
                      <w:marLeft w:val="0"/>
                      <w:marRight w:val="0"/>
                      <w:marTop w:val="0"/>
                      <w:marBottom w:val="0"/>
                      <w:divBdr>
                        <w:top w:val="none" w:sz="0" w:space="0" w:color="auto"/>
                        <w:left w:val="none" w:sz="0" w:space="0" w:color="auto"/>
                        <w:bottom w:val="none" w:sz="0" w:space="0" w:color="auto"/>
                        <w:right w:val="none" w:sz="0" w:space="0" w:color="auto"/>
                      </w:divBdr>
                    </w:div>
                  </w:divsChild>
                </w:div>
                <w:div w:id="2043892702">
                  <w:marLeft w:val="0"/>
                  <w:marRight w:val="0"/>
                  <w:marTop w:val="0"/>
                  <w:marBottom w:val="0"/>
                  <w:divBdr>
                    <w:top w:val="none" w:sz="0" w:space="0" w:color="auto"/>
                    <w:left w:val="none" w:sz="0" w:space="0" w:color="auto"/>
                    <w:bottom w:val="none" w:sz="0" w:space="0" w:color="auto"/>
                    <w:right w:val="none" w:sz="0" w:space="0" w:color="auto"/>
                  </w:divBdr>
                  <w:divsChild>
                    <w:div w:id="1972324233">
                      <w:marLeft w:val="0"/>
                      <w:marRight w:val="0"/>
                      <w:marTop w:val="0"/>
                      <w:marBottom w:val="0"/>
                      <w:divBdr>
                        <w:top w:val="none" w:sz="0" w:space="0" w:color="auto"/>
                        <w:left w:val="none" w:sz="0" w:space="0" w:color="auto"/>
                        <w:bottom w:val="none" w:sz="0" w:space="0" w:color="auto"/>
                        <w:right w:val="none" w:sz="0" w:space="0" w:color="auto"/>
                      </w:divBdr>
                    </w:div>
                  </w:divsChild>
                </w:div>
                <w:div w:id="2092578258">
                  <w:marLeft w:val="0"/>
                  <w:marRight w:val="0"/>
                  <w:marTop w:val="0"/>
                  <w:marBottom w:val="0"/>
                  <w:divBdr>
                    <w:top w:val="none" w:sz="0" w:space="0" w:color="auto"/>
                    <w:left w:val="none" w:sz="0" w:space="0" w:color="auto"/>
                    <w:bottom w:val="none" w:sz="0" w:space="0" w:color="auto"/>
                    <w:right w:val="none" w:sz="0" w:space="0" w:color="auto"/>
                  </w:divBdr>
                  <w:divsChild>
                    <w:div w:id="1177385192">
                      <w:marLeft w:val="0"/>
                      <w:marRight w:val="0"/>
                      <w:marTop w:val="0"/>
                      <w:marBottom w:val="0"/>
                      <w:divBdr>
                        <w:top w:val="none" w:sz="0" w:space="0" w:color="auto"/>
                        <w:left w:val="none" w:sz="0" w:space="0" w:color="auto"/>
                        <w:bottom w:val="none" w:sz="0" w:space="0" w:color="auto"/>
                        <w:right w:val="none" w:sz="0" w:space="0" w:color="auto"/>
                      </w:divBdr>
                    </w:div>
                    <w:div w:id="202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6402">
          <w:marLeft w:val="0"/>
          <w:marRight w:val="0"/>
          <w:marTop w:val="0"/>
          <w:marBottom w:val="0"/>
          <w:divBdr>
            <w:top w:val="none" w:sz="0" w:space="0" w:color="auto"/>
            <w:left w:val="none" w:sz="0" w:space="0" w:color="auto"/>
            <w:bottom w:val="none" w:sz="0" w:space="0" w:color="auto"/>
            <w:right w:val="none" w:sz="0" w:space="0" w:color="auto"/>
          </w:divBdr>
        </w:div>
        <w:div w:id="1166096383">
          <w:marLeft w:val="0"/>
          <w:marRight w:val="0"/>
          <w:marTop w:val="0"/>
          <w:marBottom w:val="0"/>
          <w:divBdr>
            <w:top w:val="none" w:sz="0" w:space="0" w:color="auto"/>
            <w:left w:val="none" w:sz="0" w:space="0" w:color="auto"/>
            <w:bottom w:val="none" w:sz="0" w:space="0" w:color="auto"/>
            <w:right w:val="none" w:sz="0" w:space="0" w:color="auto"/>
          </w:divBdr>
        </w:div>
        <w:div w:id="1173909421">
          <w:marLeft w:val="0"/>
          <w:marRight w:val="0"/>
          <w:marTop w:val="0"/>
          <w:marBottom w:val="0"/>
          <w:divBdr>
            <w:top w:val="none" w:sz="0" w:space="0" w:color="auto"/>
            <w:left w:val="none" w:sz="0" w:space="0" w:color="auto"/>
            <w:bottom w:val="none" w:sz="0" w:space="0" w:color="auto"/>
            <w:right w:val="none" w:sz="0" w:space="0" w:color="auto"/>
          </w:divBdr>
        </w:div>
        <w:div w:id="1184124497">
          <w:marLeft w:val="0"/>
          <w:marRight w:val="0"/>
          <w:marTop w:val="0"/>
          <w:marBottom w:val="0"/>
          <w:divBdr>
            <w:top w:val="none" w:sz="0" w:space="0" w:color="auto"/>
            <w:left w:val="none" w:sz="0" w:space="0" w:color="auto"/>
            <w:bottom w:val="none" w:sz="0" w:space="0" w:color="auto"/>
            <w:right w:val="none" w:sz="0" w:space="0" w:color="auto"/>
          </w:divBdr>
        </w:div>
        <w:div w:id="1184707526">
          <w:marLeft w:val="0"/>
          <w:marRight w:val="0"/>
          <w:marTop w:val="0"/>
          <w:marBottom w:val="0"/>
          <w:divBdr>
            <w:top w:val="none" w:sz="0" w:space="0" w:color="auto"/>
            <w:left w:val="none" w:sz="0" w:space="0" w:color="auto"/>
            <w:bottom w:val="none" w:sz="0" w:space="0" w:color="auto"/>
            <w:right w:val="none" w:sz="0" w:space="0" w:color="auto"/>
          </w:divBdr>
        </w:div>
        <w:div w:id="1205369590">
          <w:marLeft w:val="0"/>
          <w:marRight w:val="0"/>
          <w:marTop w:val="0"/>
          <w:marBottom w:val="0"/>
          <w:divBdr>
            <w:top w:val="none" w:sz="0" w:space="0" w:color="auto"/>
            <w:left w:val="none" w:sz="0" w:space="0" w:color="auto"/>
            <w:bottom w:val="none" w:sz="0" w:space="0" w:color="auto"/>
            <w:right w:val="none" w:sz="0" w:space="0" w:color="auto"/>
          </w:divBdr>
          <w:divsChild>
            <w:div w:id="403189808">
              <w:marLeft w:val="0"/>
              <w:marRight w:val="0"/>
              <w:marTop w:val="0"/>
              <w:marBottom w:val="0"/>
              <w:divBdr>
                <w:top w:val="none" w:sz="0" w:space="0" w:color="auto"/>
                <w:left w:val="none" w:sz="0" w:space="0" w:color="auto"/>
                <w:bottom w:val="none" w:sz="0" w:space="0" w:color="auto"/>
                <w:right w:val="none" w:sz="0" w:space="0" w:color="auto"/>
              </w:divBdr>
            </w:div>
            <w:div w:id="794253320">
              <w:marLeft w:val="0"/>
              <w:marRight w:val="0"/>
              <w:marTop w:val="0"/>
              <w:marBottom w:val="0"/>
              <w:divBdr>
                <w:top w:val="none" w:sz="0" w:space="0" w:color="auto"/>
                <w:left w:val="none" w:sz="0" w:space="0" w:color="auto"/>
                <w:bottom w:val="none" w:sz="0" w:space="0" w:color="auto"/>
                <w:right w:val="none" w:sz="0" w:space="0" w:color="auto"/>
              </w:divBdr>
            </w:div>
            <w:div w:id="1246038199">
              <w:marLeft w:val="0"/>
              <w:marRight w:val="0"/>
              <w:marTop w:val="0"/>
              <w:marBottom w:val="0"/>
              <w:divBdr>
                <w:top w:val="none" w:sz="0" w:space="0" w:color="auto"/>
                <w:left w:val="none" w:sz="0" w:space="0" w:color="auto"/>
                <w:bottom w:val="none" w:sz="0" w:space="0" w:color="auto"/>
                <w:right w:val="none" w:sz="0" w:space="0" w:color="auto"/>
              </w:divBdr>
            </w:div>
            <w:div w:id="1330864411">
              <w:marLeft w:val="0"/>
              <w:marRight w:val="0"/>
              <w:marTop w:val="0"/>
              <w:marBottom w:val="0"/>
              <w:divBdr>
                <w:top w:val="none" w:sz="0" w:space="0" w:color="auto"/>
                <w:left w:val="none" w:sz="0" w:space="0" w:color="auto"/>
                <w:bottom w:val="none" w:sz="0" w:space="0" w:color="auto"/>
                <w:right w:val="none" w:sz="0" w:space="0" w:color="auto"/>
              </w:divBdr>
            </w:div>
            <w:div w:id="1915968610">
              <w:marLeft w:val="0"/>
              <w:marRight w:val="0"/>
              <w:marTop w:val="0"/>
              <w:marBottom w:val="0"/>
              <w:divBdr>
                <w:top w:val="none" w:sz="0" w:space="0" w:color="auto"/>
                <w:left w:val="none" w:sz="0" w:space="0" w:color="auto"/>
                <w:bottom w:val="none" w:sz="0" w:space="0" w:color="auto"/>
                <w:right w:val="none" w:sz="0" w:space="0" w:color="auto"/>
              </w:divBdr>
            </w:div>
          </w:divsChild>
        </w:div>
        <w:div w:id="1207714678">
          <w:marLeft w:val="0"/>
          <w:marRight w:val="0"/>
          <w:marTop w:val="0"/>
          <w:marBottom w:val="0"/>
          <w:divBdr>
            <w:top w:val="none" w:sz="0" w:space="0" w:color="auto"/>
            <w:left w:val="none" w:sz="0" w:space="0" w:color="auto"/>
            <w:bottom w:val="none" w:sz="0" w:space="0" w:color="auto"/>
            <w:right w:val="none" w:sz="0" w:space="0" w:color="auto"/>
          </w:divBdr>
        </w:div>
        <w:div w:id="1226066477">
          <w:marLeft w:val="0"/>
          <w:marRight w:val="0"/>
          <w:marTop w:val="0"/>
          <w:marBottom w:val="0"/>
          <w:divBdr>
            <w:top w:val="none" w:sz="0" w:space="0" w:color="auto"/>
            <w:left w:val="none" w:sz="0" w:space="0" w:color="auto"/>
            <w:bottom w:val="none" w:sz="0" w:space="0" w:color="auto"/>
            <w:right w:val="none" w:sz="0" w:space="0" w:color="auto"/>
          </w:divBdr>
        </w:div>
        <w:div w:id="1227299796">
          <w:marLeft w:val="0"/>
          <w:marRight w:val="0"/>
          <w:marTop w:val="0"/>
          <w:marBottom w:val="0"/>
          <w:divBdr>
            <w:top w:val="none" w:sz="0" w:space="0" w:color="auto"/>
            <w:left w:val="none" w:sz="0" w:space="0" w:color="auto"/>
            <w:bottom w:val="none" w:sz="0" w:space="0" w:color="auto"/>
            <w:right w:val="none" w:sz="0" w:space="0" w:color="auto"/>
          </w:divBdr>
          <w:divsChild>
            <w:div w:id="76558875">
              <w:marLeft w:val="0"/>
              <w:marRight w:val="0"/>
              <w:marTop w:val="0"/>
              <w:marBottom w:val="0"/>
              <w:divBdr>
                <w:top w:val="none" w:sz="0" w:space="0" w:color="auto"/>
                <w:left w:val="none" w:sz="0" w:space="0" w:color="auto"/>
                <w:bottom w:val="none" w:sz="0" w:space="0" w:color="auto"/>
                <w:right w:val="none" w:sz="0" w:space="0" w:color="auto"/>
              </w:divBdr>
            </w:div>
            <w:div w:id="856699546">
              <w:marLeft w:val="0"/>
              <w:marRight w:val="0"/>
              <w:marTop w:val="0"/>
              <w:marBottom w:val="0"/>
              <w:divBdr>
                <w:top w:val="none" w:sz="0" w:space="0" w:color="auto"/>
                <w:left w:val="none" w:sz="0" w:space="0" w:color="auto"/>
                <w:bottom w:val="none" w:sz="0" w:space="0" w:color="auto"/>
                <w:right w:val="none" w:sz="0" w:space="0" w:color="auto"/>
              </w:divBdr>
            </w:div>
            <w:div w:id="957612819">
              <w:marLeft w:val="0"/>
              <w:marRight w:val="0"/>
              <w:marTop w:val="0"/>
              <w:marBottom w:val="0"/>
              <w:divBdr>
                <w:top w:val="none" w:sz="0" w:space="0" w:color="auto"/>
                <w:left w:val="none" w:sz="0" w:space="0" w:color="auto"/>
                <w:bottom w:val="none" w:sz="0" w:space="0" w:color="auto"/>
                <w:right w:val="none" w:sz="0" w:space="0" w:color="auto"/>
              </w:divBdr>
            </w:div>
            <w:div w:id="1534728492">
              <w:marLeft w:val="0"/>
              <w:marRight w:val="0"/>
              <w:marTop w:val="0"/>
              <w:marBottom w:val="0"/>
              <w:divBdr>
                <w:top w:val="none" w:sz="0" w:space="0" w:color="auto"/>
                <w:left w:val="none" w:sz="0" w:space="0" w:color="auto"/>
                <w:bottom w:val="none" w:sz="0" w:space="0" w:color="auto"/>
                <w:right w:val="none" w:sz="0" w:space="0" w:color="auto"/>
              </w:divBdr>
            </w:div>
            <w:div w:id="1868247886">
              <w:marLeft w:val="0"/>
              <w:marRight w:val="0"/>
              <w:marTop w:val="0"/>
              <w:marBottom w:val="0"/>
              <w:divBdr>
                <w:top w:val="none" w:sz="0" w:space="0" w:color="auto"/>
                <w:left w:val="none" w:sz="0" w:space="0" w:color="auto"/>
                <w:bottom w:val="none" w:sz="0" w:space="0" w:color="auto"/>
                <w:right w:val="none" w:sz="0" w:space="0" w:color="auto"/>
              </w:divBdr>
            </w:div>
          </w:divsChild>
        </w:div>
        <w:div w:id="1229731011">
          <w:marLeft w:val="0"/>
          <w:marRight w:val="0"/>
          <w:marTop w:val="0"/>
          <w:marBottom w:val="0"/>
          <w:divBdr>
            <w:top w:val="none" w:sz="0" w:space="0" w:color="auto"/>
            <w:left w:val="none" w:sz="0" w:space="0" w:color="auto"/>
            <w:bottom w:val="none" w:sz="0" w:space="0" w:color="auto"/>
            <w:right w:val="none" w:sz="0" w:space="0" w:color="auto"/>
          </w:divBdr>
        </w:div>
        <w:div w:id="1237671817">
          <w:marLeft w:val="0"/>
          <w:marRight w:val="0"/>
          <w:marTop w:val="0"/>
          <w:marBottom w:val="0"/>
          <w:divBdr>
            <w:top w:val="none" w:sz="0" w:space="0" w:color="auto"/>
            <w:left w:val="none" w:sz="0" w:space="0" w:color="auto"/>
            <w:bottom w:val="none" w:sz="0" w:space="0" w:color="auto"/>
            <w:right w:val="none" w:sz="0" w:space="0" w:color="auto"/>
          </w:divBdr>
        </w:div>
        <w:div w:id="1247375899">
          <w:marLeft w:val="0"/>
          <w:marRight w:val="0"/>
          <w:marTop w:val="0"/>
          <w:marBottom w:val="0"/>
          <w:divBdr>
            <w:top w:val="none" w:sz="0" w:space="0" w:color="auto"/>
            <w:left w:val="none" w:sz="0" w:space="0" w:color="auto"/>
            <w:bottom w:val="none" w:sz="0" w:space="0" w:color="auto"/>
            <w:right w:val="none" w:sz="0" w:space="0" w:color="auto"/>
          </w:divBdr>
        </w:div>
        <w:div w:id="1261528032">
          <w:marLeft w:val="0"/>
          <w:marRight w:val="0"/>
          <w:marTop w:val="0"/>
          <w:marBottom w:val="0"/>
          <w:divBdr>
            <w:top w:val="none" w:sz="0" w:space="0" w:color="auto"/>
            <w:left w:val="none" w:sz="0" w:space="0" w:color="auto"/>
            <w:bottom w:val="none" w:sz="0" w:space="0" w:color="auto"/>
            <w:right w:val="none" w:sz="0" w:space="0" w:color="auto"/>
          </w:divBdr>
        </w:div>
        <w:div w:id="1271939687">
          <w:marLeft w:val="0"/>
          <w:marRight w:val="0"/>
          <w:marTop w:val="0"/>
          <w:marBottom w:val="0"/>
          <w:divBdr>
            <w:top w:val="none" w:sz="0" w:space="0" w:color="auto"/>
            <w:left w:val="none" w:sz="0" w:space="0" w:color="auto"/>
            <w:bottom w:val="none" w:sz="0" w:space="0" w:color="auto"/>
            <w:right w:val="none" w:sz="0" w:space="0" w:color="auto"/>
          </w:divBdr>
        </w:div>
        <w:div w:id="1272279101">
          <w:marLeft w:val="0"/>
          <w:marRight w:val="0"/>
          <w:marTop w:val="0"/>
          <w:marBottom w:val="0"/>
          <w:divBdr>
            <w:top w:val="none" w:sz="0" w:space="0" w:color="auto"/>
            <w:left w:val="none" w:sz="0" w:space="0" w:color="auto"/>
            <w:bottom w:val="none" w:sz="0" w:space="0" w:color="auto"/>
            <w:right w:val="none" w:sz="0" w:space="0" w:color="auto"/>
          </w:divBdr>
        </w:div>
        <w:div w:id="1275362013">
          <w:marLeft w:val="0"/>
          <w:marRight w:val="0"/>
          <w:marTop w:val="0"/>
          <w:marBottom w:val="0"/>
          <w:divBdr>
            <w:top w:val="none" w:sz="0" w:space="0" w:color="auto"/>
            <w:left w:val="none" w:sz="0" w:space="0" w:color="auto"/>
            <w:bottom w:val="none" w:sz="0" w:space="0" w:color="auto"/>
            <w:right w:val="none" w:sz="0" w:space="0" w:color="auto"/>
          </w:divBdr>
        </w:div>
        <w:div w:id="1280717186">
          <w:marLeft w:val="0"/>
          <w:marRight w:val="0"/>
          <w:marTop w:val="0"/>
          <w:marBottom w:val="0"/>
          <w:divBdr>
            <w:top w:val="none" w:sz="0" w:space="0" w:color="auto"/>
            <w:left w:val="none" w:sz="0" w:space="0" w:color="auto"/>
            <w:bottom w:val="none" w:sz="0" w:space="0" w:color="auto"/>
            <w:right w:val="none" w:sz="0" w:space="0" w:color="auto"/>
          </w:divBdr>
        </w:div>
        <w:div w:id="1288045575">
          <w:marLeft w:val="0"/>
          <w:marRight w:val="0"/>
          <w:marTop w:val="0"/>
          <w:marBottom w:val="0"/>
          <w:divBdr>
            <w:top w:val="none" w:sz="0" w:space="0" w:color="auto"/>
            <w:left w:val="none" w:sz="0" w:space="0" w:color="auto"/>
            <w:bottom w:val="none" w:sz="0" w:space="0" w:color="auto"/>
            <w:right w:val="none" w:sz="0" w:space="0" w:color="auto"/>
          </w:divBdr>
        </w:div>
        <w:div w:id="1289629704">
          <w:marLeft w:val="0"/>
          <w:marRight w:val="0"/>
          <w:marTop w:val="0"/>
          <w:marBottom w:val="0"/>
          <w:divBdr>
            <w:top w:val="none" w:sz="0" w:space="0" w:color="auto"/>
            <w:left w:val="none" w:sz="0" w:space="0" w:color="auto"/>
            <w:bottom w:val="none" w:sz="0" w:space="0" w:color="auto"/>
            <w:right w:val="none" w:sz="0" w:space="0" w:color="auto"/>
          </w:divBdr>
        </w:div>
        <w:div w:id="1309703940">
          <w:marLeft w:val="0"/>
          <w:marRight w:val="0"/>
          <w:marTop w:val="0"/>
          <w:marBottom w:val="0"/>
          <w:divBdr>
            <w:top w:val="none" w:sz="0" w:space="0" w:color="auto"/>
            <w:left w:val="none" w:sz="0" w:space="0" w:color="auto"/>
            <w:bottom w:val="none" w:sz="0" w:space="0" w:color="auto"/>
            <w:right w:val="none" w:sz="0" w:space="0" w:color="auto"/>
          </w:divBdr>
        </w:div>
        <w:div w:id="1315329647">
          <w:marLeft w:val="0"/>
          <w:marRight w:val="0"/>
          <w:marTop w:val="0"/>
          <w:marBottom w:val="0"/>
          <w:divBdr>
            <w:top w:val="none" w:sz="0" w:space="0" w:color="auto"/>
            <w:left w:val="none" w:sz="0" w:space="0" w:color="auto"/>
            <w:bottom w:val="none" w:sz="0" w:space="0" w:color="auto"/>
            <w:right w:val="none" w:sz="0" w:space="0" w:color="auto"/>
          </w:divBdr>
          <w:divsChild>
            <w:div w:id="1318146230">
              <w:marLeft w:val="0"/>
              <w:marRight w:val="0"/>
              <w:marTop w:val="0"/>
              <w:marBottom w:val="0"/>
              <w:divBdr>
                <w:top w:val="none" w:sz="0" w:space="0" w:color="auto"/>
                <w:left w:val="none" w:sz="0" w:space="0" w:color="auto"/>
                <w:bottom w:val="none" w:sz="0" w:space="0" w:color="auto"/>
                <w:right w:val="none" w:sz="0" w:space="0" w:color="auto"/>
              </w:divBdr>
            </w:div>
            <w:div w:id="1486505958">
              <w:marLeft w:val="0"/>
              <w:marRight w:val="0"/>
              <w:marTop w:val="0"/>
              <w:marBottom w:val="0"/>
              <w:divBdr>
                <w:top w:val="none" w:sz="0" w:space="0" w:color="auto"/>
                <w:left w:val="none" w:sz="0" w:space="0" w:color="auto"/>
                <w:bottom w:val="none" w:sz="0" w:space="0" w:color="auto"/>
                <w:right w:val="none" w:sz="0" w:space="0" w:color="auto"/>
              </w:divBdr>
            </w:div>
            <w:div w:id="1947302786">
              <w:marLeft w:val="0"/>
              <w:marRight w:val="0"/>
              <w:marTop w:val="0"/>
              <w:marBottom w:val="0"/>
              <w:divBdr>
                <w:top w:val="none" w:sz="0" w:space="0" w:color="auto"/>
                <w:left w:val="none" w:sz="0" w:space="0" w:color="auto"/>
                <w:bottom w:val="none" w:sz="0" w:space="0" w:color="auto"/>
                <w:right w:val="none" w:sz="0" w:space="0" w:color="auto"/>
              </w:divBdr>
            </w:div>
          </w:divsChild>
        </w:div>
        <w:div w:id="1316685554">
          <w:marLeft w:val="0"/>
          <w:marRight w:val="0"/>
          <w:marTop w:val="0"/>
          <w:marBottom w:val="0"/>
          <w:divBdr>
            <w:top w:val="none" w:sz="0" w:space="0" w:color="auto"/>
            <w:left w:val="none" w:sz="0" w:space="0" w:color="auto"/>
            <w:bottom w:val="none" w:sz="0" w:space="0" w:color="auto"/>
            <w:right w:val="none" w:sz="0" w:space="0" w:color="auto"/>
          </w:divBdr>
        </w:div>
        <w:div w:id="1318219192">
          <w:marLeft w:val="0"/>
          <w:marRight w:val="0"/>
          <w:marTop w:val="0"/>
          <w:marBottom w:val="0"/>
          <w:divBdr>
            <w:top w:val="none" w:sz="0" w:space="0" w:color="auto"/>
            <w:left w:val="none" w:sz="0" w:space="0" w:color="auto"/>
            <w:bottom w:val="none" w:sz="0" w:space="0" w:color="auto"/>
            <w:right w:val="none" w:sz="0" w:space="0" w:color="auto"/>
          </w:divBdr>
        </w:div>
        <w:div w:id="1319378222">
          <w:marLeft w:val="0"/>
          <w:marRight w:val="0"/>
          <w:marTop w:val="0"/>
          <w:marBottom w:val="0"/>
          <w:divBdr>
            <w:top w:val="none" w:sz="0" w:space="0" w:color="auto"/>
            <w:left w:val="none" w:sz="0" w:space="0" w:color="auto"/>
            <w:bottom w:val="none" w:sz="0" w:space="0" w:color="auto"/>
            <w:right w:val="none" w:sz="0" w:space="0" w:color="auto"/>
          </w:divBdr>
        </w:div>
        <w:div w:id="1322923529">
          <w:marLeft w:val="0"/>
          <w:marRight w:val="0"/>
          <w:marTop w:val="0"/>
          <w:marBottom w:val="0"/>
          <w:divBdr>
            <w:top w:val="none" w:sz="0" w:space="0" w:color="auto"/>
            <w:left w:val="none" w:sz="0" w:space="0" w:color="auto"/>
            <w:bottom w:val="none" w:sz="0" w:space="0" w:color="auto"/>
            <w:right w:val="none" w:sz="0" w:space="0" w:color="auto"/>
          </w:divBdr>
          <w:divsChild>
            <w:div w:id="913975311">
              <w:marLeft w:val="0"/>
              <w:marRight w:val="0"/>
              <w:marTop w:val="0"/>
              <w:marBottom w:val="0"/>
              <w:divBdr>
                <w:top w:val="none" w:sz="0" w:space="0" w:color="auto"/>
                <w:left w:val="none" w:sz="0" w:space="0" w:color="auto"/>
                <w:bottom w:val="none" w:sz="0" w:space="0" w:color="auto"/>
                <w:right w:val="none" w:sz="0" w:space="0" w:color="auto"/>
              </w:divBdr>
            </w:div>
            <w:div w:id="993878588">
              <w:marLeft w:val="0"/>
              <w:marRight w:val="0"/>
              <w:marTop w:val="0"/>
              <w:marBottom w:val="0"/>
              <w:divBdr>
                <w:top w:val="none" w:sz="0" w:space="0" w:color="auto"/>
                <w:left w:val="none" w:sz="0" w:space="0" w:color="auto"/>
                <w:bottom w:val="none" w:sz="0" w:space="0" w:color="auto"/>
                <w:right w:val="none" w:sz="0" w:space="0" w:color="auto"/>
              </w:divBdr>
            </w:div>
            <w:div w:id="1120101144">
              <w:marLeft w:val="0"/>
              <w:marRight w:val="0"/>
              <w:marTop w:val="0"/>
              <w:marBottom w:val="0"/>
              <w:divBdr>
                <w:top w:val="none" w:sz="0" w:space="0" w:color="auto"/>
                <w:left w:val="none" w:sz="0" w:space="0" w:color="auto"/>
                <w:bottom w:val="none" w:sz="0" w:space="0" w:color="auto"/>
                <w:right w:val="none" w:sz="0" w:space="0" w:color="auto"/>
              </w:divBdr>
            </w:div>
            <w:div w:id="1195117400">
              <w:marLeft w:val="0"/>
              <w:marRight w:val="0"/>
              <w:marTop w:val="0"/>
              <w:marBottom w:val="0"/>
              <w:divBdr>
                <w:top w:val="none" w:sz="0" w:space="0" w:color="auto"/>
                <w:left w:val="none" w:sz="0" w:space="0" w:color="auto"/>
                <w:bottom w:val="none" w:sz="0" w:space="0" w:color="auto"/>
                <w:right w:val="none" w:sz="0" w:space="0" w:color="auto"/>
              </w:divBdr>
            </w:div>
            <w:div w:id="1533031740">
              <w:marLeft w:val="0"/>
              <w:marRight w:val="0"/>
              <w:marTop w:val="0"/>
              <w:marBottom w:val="0"/>
              <w:divBdr>
                <w:top w:val="none" w:sz="0" w:space="0" w:color="auto"/>
                <w:left w:val="none" w:sz="0" w:space="0" w:color="auto"/>
                <w:bottom w:val="none" w:sz="0" w:space="0" w:color="auto"/>
                <w:right w:val="none" w:sz="0" w:space="0" w:color="auto"/>
              </w:divBdr>
            </w:div>
          </w:divsChild>
        </w:div>
        <w:div w:id="1325088563">
          <w:marLeft w:val="0"/>
          <w:marRight w:val="0"/>
          <w:marTop w:val="0"/>
          <w:marBottom w:val="0"/>
          <w:divBdr>
            <w:top w:val="none" w:sz="0" w:space="0" w:color="auto"/>
            <w:left w:val="none" w:sz="0" w:space="0" w:color="auto"/>
            <w:bottom w:val="none" w:sz="0" w:space="0" w:color="auto"/>
            <w:right w:val="none" w:sz="0" w:space="0" w:color="auto"/>
          </w:divBdr>
        </w:div>
        <w:div w:id="1355690071">
          <w:marLeft w:val="0"/>
          <w:marRight w:val="0"/>
          <w:marTop w:val="0"/>
          <w:marBottom w:val="0"/>
          <w:divBdr>
            <w:top w:val="none" w:sz="0" w:space="0" w:color="auto"/>
            <w:left w:val="none" w:sz="0" w:space="0" w:color="auto"/>
            <w:bottom w:val="none" w:sz="0" w:space="0" w:color="auto"/>
            <w:right w:val="none" w:sz="0" w:space="0" w:color="auto"/>
          </w:divBdr>
        </w:div>
        <w:div w:id="1366297779">
          <w:marLeft w:val="0"/>
          <w:marRight w:val="0"/>
          <w:marTop w:val="0"/>
          <w:marBottom w:val="0"/>
          <w:divBdr>
            <w:top w:val="none" w:sz="0" w:space="0" w:color="auto"/>
            <w:left w:val="none" w:sz="0" w:space="0" w:color="auto"/>
            <w:bottom w:val="none" w:sz="0" w:space="0" w:color="auto"/>
            <w:right w:val="none" w:sz="0" w:space="0" w:color="auto"/>
          </w:divBdr>
        </w:div>
        <w:div w:id="1377897439">
          <w:marLeft w:val="0"/>
          <w:marRight w:val="0"/>
          <w:marTop w:val="0"/>
          <w:marBottom w:val="0"/>
          <w:divBdr>
            <w:top w:val="none" w:sz="0" w:space="0" w:color="auto"/>
            <w:left w:val="none" w:sz="0" w:space="0" w:color="auto"/>
            <w:bottom w:val="none" w:sz="0" w:space="0" w:color="auto"/>
            <w:right w:val="none" w:sz="0" w:space="0" w:color="auto"/>
          </w:divBdr>
        </w:div>
        <w:div w:id="1378050235">
          <w:marLeft w:val="0"/>
          <w:marRight w:val="0"/>
          <w:marTop w:val="0"/>
          <w:marBottom w:val="0"/>
          <w:divBdr>
            <w:top w:val="none" w:sz="0" w:space="0" w:color="auto"/>
            <w:left w:val="none" w:sz="0" w:space="0" w:color="auto"/>
            <w:bottom w:val="none" w:sz="0" w:space="0" w:color="auto"/>
            <w:right w:val="none" w:sz="0" w:space="0" w:color="auto"/>
          </w:divBdr>
        </w:div>
        <w:div w:id="1385564338">
          <w:marLeft w:val="0"/>
          <w:marRight w:val="0"/>
          <w:marTop w:val="0"/>
          <w:marBottom w:val="0"/>
          <w:divBdr>
            <w:top w:val="none" w:sz="0" w:space="0" w:color="auto"/>
            <w:left w:val="none" w:sz="0" w:space="0" w:color="auto"/>
            <w:bottom w:val="none" w:sz="0" w:space="0" w:color="auto"/>
            <w:right w:val="none" w:sz="0" w:space="0" w:color="auto"/>
          </w:divBdr>
        </w:div>
        <w:div w:id="1385832572">
          <w:marLeft w:val="0"/>
          <w:marRight w:val="0"/>
          <w:marTop w:val="0"/>
          <w:marBottom w:val="0"/>
          <w:divBdr>
            <w:top w:val="none" w:sz="0" w:space="0" w:color="auto"/>
            <w:left w:val="none" w:sz="0" w:space="0" w:color="auto"/>
            <w:bottom w:val="none" w:sz="0" w:space="0" w:color="auto"/>
            <w:right w:val="none" w:sz="0" w:space="0" w:color="auto"/>
          </w:divBdr>
        </w:div>
        <w:div w:id="1394355516">
          <w:marLeft w:val="0"/>
          <w:marRight w:val="0"/>
          <w:marTop w:val="0"/>
          <w:marBottom w:val="0"/>
          <w:divBdr>
            <w:top w:val="none" w:sz="0" w:space="0" w:color="auto"/>
            <w:left w:val="none" w:sz="0" w:space="0" w:color="auto"/>
            <w:bottom w:val="none" w:sz="0" w:space="0" w:color="auto"/>
            <w:right w:val="none" w:sz="0" w:space="0" w:color="auto"/>
          </w:divBdr>
        </w:div>
        <w:div w:id="1405564462">
          <w:marLeft w:val="0"/>
          <w:marRight w:val="0"/>
          <w:marTop w:val="0"/>
          <w:marBottom w:val="0"/>
          <w:divBdr>
            <w:top w:val="none" w:sz="0" w:space="0" w:color="auto"/>
            <w:left w:val="none" w:sz="0" w:space="0" w:color="auto"/>
            <w:bottom w:val="none" w:sz="0" w:space="0" w:color="auto"/>
            <w:right w:val="none" w:sz="0" w:space="0" w:color="auto"/>
          </w:divBdr>
        </w:div>
        <w:div w:id="1421296320">
          <w:marLeft w:val="0"/>
          <w:marRight w:val="0"/>
          <w:marTop w:val="0"/>
          <w:marBottom w:val="0"/>
          <w:divBdr>
            <w:top w:val="none" w:sz="0" w:space="0" w:color="auto"/>
            <w:left w:val="none" w:sz="0" w:space="0" w:color="auto"/>
            <w:bottom w:val="none" w:sz="0" w:space="0" w:color="auto"/>
            <w:right w:val="none" w:sz="0" w:space="0" w:color="auto"/>
          </w:divBdr>
        </w:div>
        <w:div w:id="1423452869">
          <w:marLeft w:val="0"/>
          <w:marRight w:val="0"/>
          <w:marTop w:val="0"/>
          <w:marBottom w:val="0"/>
          <w:divBdr>
            <w:top w:val="none" w:sz="0" w:space="0" w:color="auto"/>
            <w:left w:val="none" w:sz="0" w:space="0" w:color="auto"/>
            <w:bottom w:val="none" w:sz="0" w:space="0" w:color="auto"/>
            <w:right w:val="none" w:sz="0" w:space="0" w:color="auto"/>
          </w:divBdr>
        </w:div>
        <w:div w:id="1430781985">
          <w:marLeft w:val="0"/>
          <w:marRight w:val="0"/>
          <w:marTop w:val="0"/>
          <w:marBottom w:val="0"/>
          <w:divBdr>
            <w:top w:val="none" w:sz="0" w:space="0" w:color="auto"/>
            <w:left w:val="none" w:sz="0" w:space="0" w:color="auto"/>
            <w:bottom w:val="none" w:sz="0" w:space="0" w:color="auto"/>
            <w:right w:val="none" w:sz="0" w:space="0" w:color="auto"/>
          </w:divBdr>
        </w:div>
        <w:div w:id="1431312531">
          <w:marLeft w:val="0"/>
          <w:marRight w:val="0"/>
          <w:marTop w:val="0"/>
          <w:marBottom w:val="0"/>
          <w:divBdr>
            <w:top w:val="none" w:sz="0" w:space="0" w:color="auto"/>
            <w:left w:val="none" w:sz="0" w:space="0" w:color="auto"/>
            <w:bottom w:val="none" w:sz="0" w:space="0" w:color="auto"/>
            <w:right w:val="none" w:sz="0" w:space="0" w:color="auto"/>
          </w:divBdr>
          <w:divsChild>
            <w:div w:id="1362973220">
              <w:marLeft w:val="0"/>
              <w:marRight w:val="0"/>
              <w:marTop w:val="0"/>
              <w:marBottom w:val="0"/>
              <w:divBdr>
                <w:top w:val="none" w:sz="0" w:space="0" w:color="auto"/>
                <w:left w:val="none" w:sz="0" w:space="0" w:color="auto"/>
                <w:bottom w:val="none" w:sz="0" w:space="0" w:color="auto"/>
                <w:right w:val="none" w:sz="0" w:space="0" w:color="auto"/>
              </w:divBdr>
            </w:div>
            <w:div w:id="1959993405">
              <w:marLeft w:val="0"/>
              <w:marRight w:val="0"/>
              <w:marTop w:val="0"/>
              <w:marBottom w:val="0"/>
              <w:divBdr>
                <w:top w:val="none" w:sz="0" w:space="0" w:color="auto"/>
                <w:left w:val="none" w:sz="0" w:space="0" w:color="auto"/>
                <w:bottom w:val="none" w:sz="0" w:space="0" w:color="auto"/>
                <w:right w:val="none" w:sz="0" w:space="0" w:color="auto"/>
              </w:divBdr>
            </w:div>
          </w:divsChild>
        </w:div>
        <w:div w:id="1431780331">
          <w:marLeft w:val="0"/>
          <w:marRight w:val="0"/>
          <w:marTop w:val="0"/>
          <w:marBottom w:val="0"/>
          <w:divBdr>
            <w:top w:val="none" w:sz="0" w:space="0" w:color="auto"/>
            <w:left w:val="none" w:sz="0" w:space="0" w:color="auto"/>
            <w:bottom w:val="none" w:sz="0" w:space="0" w:color="auto"/>
            <w:right w:val="none" w:sz="0" w:space="0" w:color="auto"/>
          </w:divBdr>
        </w:div>
        <w:div w:id="1435400862">
          <w:marLeft w:val="0"/>
          <w:marRight w:val="0"/>
          <w:marTop w:val="0"/>
          <w:marBottom w:val="0"/>
          <w:divBdr>
            <w:top w:val="none" w:sz="0" w:space="0" w:color="auto"/>
            <w:left w:val="none" w:sz="0" w:space="0" w:color="auto"/>
            <w:bottom w:val="none" w:sz="0" w:space="0" w:color="auto"/>
            <w:right w:val="none" w:sz="0" w:space="0" w:color="auto"/>
          </w:divBdr>
        </w:div>
        <w:div w:id="1436901550">
          <w:marLeft w:val="0"/>
          <w:marRight w:val="0"/>
          <w:marTop w:val="0"/>
          <w:marBottom w:val="0"/>
          <w:divBdr>
            <w:top w:val="none" w:sz="0" w:space="0" w:color="auto"/>
            <w:left w:val="none" w:sz="0" w:space="0" w:color="auto"/>
            <w:bottom w:val="none" w:sz="0" w:space="0" w:color="auto"/>
            <w:right w:val="none" w:sz="0" w:space="0" w:color="auto"/>
          </w:divBdr>
        </w:div>
        <w:div w:id="1464689890">
          <w:marLeft w:val="0"/>
          <w:marRight w:val="0"/>
          <w:marTop w:val="0"/>
          <w:marBottom w:val="0"/>
          <w:divBdr>
            <w:top w:val="none" w:sz="0" w:space="0" w:color="auto"/>
            <w:left w:val="none" w:sz="0" w:space="0" w:color="auto"/>
            <w:bottom w:val="none" w:sz="0" w:space="0" w:color="auto"/>
            <w:right w:val="none" w:sz="0" w:space="0" w:color="auto"/>
          </w:divBdr>
        </w:div>
        <w:div w:id="1467820357">
          <w:marLeft w:val="0"/>
          <w:marRight w:val="0"/>
          <w:marTop w:val="0"/>
          <w:marBottom w:val="0"/>
          <w:divBdr>
            <w:top w:val="none" w:sz="0" w:space="0" w:color="auto"/>
            <w:left w:val="none" w:sz="0" w:space="0" w:color="auto"/>
            <w:bottom w:val="none" w:sz="0" w:space="0" w:color="auto"/>
            <w:right w:val="none" w:sz="0" w:space="0" w:color="auto"/>
          </w:divBdr>
        </w:div>
        <w:div w:id="1469976965">
          <w:marLeft w:val="0"/>
          <w:marRight w:val="0"/>
          <w:marTop w:val="0"/>
          <w:marBottom w:val="0"/>
          <w:divBdr>
            <w:top w:val="none" w:sz="0" w:space="0" w:color="auto"/>
            <w:left w:val="none" w:sz="0" w:space="0" w:color="auto"/>
            <w:bottom w:val="none" w:sz="0" w:space="0" w:color="auto"/>
            <w:right w:val="none" w:sz="0" w:space="0" w:color="auto"/>
          </w:divBdr>
        </w:div>
        <w:div w:id="1475565289">
          <w:marLeft w:val="0"/>
          <w:marRight w:val="0"/>
          <w:marTop w:val="0"/>
          <w:marBottom w:val="0"/>
          <w:divBdr>
            <w:top w:val="none" w:sz="0" w:space="0" w:color="auto"/>
            <w:left w:val="none" w:sz="0" w:space="0" w:color="auto"/>
            <w:bottom w:val="none" w:sz="0" w:space="0" w:color="auto"/>
            <w:right w:val="none" w:sz="0" w:space="0" w:color="auto"/>
          </w:divBdr>
        </w:div>
        <w:div w:id="1476726879">
          <w:marLeft w:val="0"/>
          <w:marRight w:val="0"/>
          <w:marTop w:val="0"/>
          <w:marBottom w:val="0"/>
          <w:divBdr>
            <w:top w:val="none" w:sz="0" w:space="0" w:color="auto"/>
            <w:left w:val="none" w:sz="0" w:space="0" w:color="auto"/>
            <w:bottom w:val="none" w:sz="0" w:space="0" w:color="auto"/>
            <w:right w:val="none" w:sz="0" w:space="0" w:color="auto"/>
          </w:divBdr>
        </w:div>
        <w:div w:id="1480615111">
          <w:marLeft w:val="0"/>
          <w:marRight w:val="0"/>
          <w:marTop w:val="0"/>
          <w:marBottom w:val="0"/>
          <w:divBdr>
            <w:top w:val="none" w:sz="0" w:space="0" w:color="auto"/>
            <w:left w:val="none" w:sz="0" w:space="0" w:color="auto"/>
            <w:bottom w:val="none" w:sz="0" w:space="0" w:color="auto"/>
            <w:right w:val="none" w:sz="0" w:space="0" w:color="auto"/>
          </w:divBdr>
        </w:div>
        <w:div w:id="1484587679">
          <w:marLeft w:val="0"/>
          <w:marRight w:val="0"/>
          <w:marTop w:val="0"/>
          <w:marBottom w:val="0"/>
          <w:divBdr>
            <w:top w:val="none" w:sz="0" w:space="0" w:color="auto"/>
            <w:left w:val="none" w:sz="0" w:space="0" w:color="auto"/>
            <w:bottom w:val="none" w:sz="0" w:space="0" w:color="auto"/>
            <w:right w:val="none" w:sz="0" w:space="0" w:color="auto"/>
          </w:divBdr>
        </w:div>
        <w:div w:id="1487044473">
          <w:marLeft w:val="0"/>
          <w:marRight w:val="0"/>
          <w:marTop w:val="0"/>
          <w:marBottom w:val="0"/>
          <w:divBdr>
            <w:top w:val="none" w:sz="0" w:space="0" w:color="auto"/>
            <w:left w:val="none" w:sz="0" w:space="0" w:color="auto"/>
            <w:bottom w:val="none" w:sz="0" w:space="0" w:color="auto"/>
            <w:right w:val="none" w:sz="0" w:space="0" w:color="auto"/>
          </w:divBdr>
        </w:div>
        <w:div w:id="1491019042">
          <w:marLeft w:val="0"/>
          <w:marRight w:val="0"/>
          <w:marTop w:val="0"/>
          <w:marBottom w:val="0"/>
          <w:divBdr>
            <w:top w:val="none" w:sz="0" w:space="0" w:color="auto"/>
            <w:left w:val="none" w:sz="0" w:space="0" w:color="auto"/>
            <w:bottom w:val="none" w:sz="0" w:space="0" w:color="auto"/>
            <w:right w:val="none" w:sz="0" w:space="0" w:color="auto"/>
          </w:divBdr>
        </w:div>
        <w:div w:id="1491676262">
          <w:marLeft w:val="0"/>
          <w:marRight w:val="0"/>
          <w:marTop w:val="0"/>
          <w:marBottom w:val="0"/>
          <w:divBdr>
            <w:top w:val="none" w:sz="0" w:space="0" w:color="auto"/>
            <w:left w:val="none" w:sz="0" w:space="0" w:color="auto"/>
            <w:bottom w:val="none" w:sz="0" w:space="0" w:color="auto"/>
            <w:right w:val="none" w:sz="0" w:space="0" w:color="auto"/>
          </w:divBdr>
        </w:div>
        <w:div w:id="1491752344">
          <w:marLeft w:val="0"/>
          <w:marRight w:val="0"/>
          <w:marTop w:val="0"/>
          <w:marBottom w:val="0"/>
          <w:divBdr>
            <w:top w:val="none" w:sz="0" w:space="0" w:color="auto"/>
            <w:left w:val="none" w:sz="0" w:space="0" w:color="auto"/>
            <w:bottom w:val="none" w:sz="0" w:space="0" w:color="auto"/>
            <w:right w:val="none" w:sz="0" w:space="0" w:color="auto"/>
          </w:divBdr>
        </w:div>
        <w:div w:id="1497653707">
          <w:marLeft w:val="0"/>
          <w:marRight w:val="0"/>
          <w:marTop w:val="0"/>
          <w:marBottom w:val="0"/>
          <w:divBdr>
            <w:top w:val="none" w:sz="0" w:space="0" w:color="auto"/>
            <w:left w:val="none" w:sz="0" w:space="0" w:color="auto"/>
            <w:bottom w:val="none" w:sz="0" w:space="0" w:color="auto"/>
            <w:right w:val="none" w:sz="0" w:space="0" w:color="auto"/>
          </w:divBdr>
          <w:divsChild>
            <w:div w:id="787046366">
              <w:marLeft w:val="0"/>
              <w:marRight w:val="0"/>
              <w:marTop w:val="0"/>
              <w:marBottom w:val="0"/>
              <w:divBdr>
                <w:top w:val="none" w:sz="0" w:space="0" w:color="auto"/>
                <w:left w:val="none" w:sz="0" w:space="0" w:color="auto"/>
                <w:bottom w:val="none" w:sz="0" w:space="0" w:color="auto"/>
                <w:right w:val="none" w:sz="0" w:space="0" w:color="auto"/>
              </w:divBdr>
            </w:div>
            <w:div w:id="1481582422">
              <w:marLeft w:val="0"/>
              <w:marRight w:val="0"/>
              <w:marTop w:val="0"/>
              <w:marBottom w:val="0"/>
              <w:divBdr>
                <w:top w:val="none" w:sz="0" w:space="0" w:color="auto"/>
                <w:left w:val="none" w:sz="0" w:space="0" w:color="auto"/>
                <w:bottom w:val="none" w:sz="0" w:space="0" w:color="auto"/>
                <w:right w:val="none" w:sz="0" w:space="0" w:color="auto"/>
              </w:divBdr>
            </w:div>
            <w:div w:id="1665548919">
              <w:marLeft w:val="0"/>
              <w:marRight w:val="0"/>
              <w:marTop w:val="0"/>
              <w:marBottom w:val="0"/>
              <w:divBdr>
                <w:top w:val="none" w:sz="0" w:space="0" w:color="auto"/>
                <w:left w:val="none" w:sz="0" w:space="0" w:color="auto"/>
                <w:bottom w:val="none" w:sz="0" w:space="0" w:color="auto"/>
                <w:right w:val="none" w:sz="0" w:space="0" w:color="auto"/>
              </w:divBdr>
            </w:div>
            <w:div w:id="2048145158">
              <w:marLeft w:val="0"/>
              <w:marRight w:val="0"/>
              <w:marTop w:val="0"/>
              <w:marBottom w:val="0"/>
              <w:divBdr>
                <w:top w:val="none" w:sz="0" w:space="0" w:color="auto"/>
                <w:left w:val="none" w:sz="0" w:space="0" w:color="auto"/>
                <w:bottom w:val="none" w:sz="0" w:space="0" w:color="auto"/>
                <w:right w:val="none" w:sz="0" w:space="0" w:color="auto"/>
              </w:divBdr>
            </w:div>
          </w:divsChild>
        </w:div>
        <w:div w:id="1500852329">
          <w:marLeft w:val="0"/>
          <w:marRight w:val="0"/>
          <w:marTop w:val="0"/>
          <w:marBottom w:val="0"/>
          <w:divBdr>
            <w:top w:val="none" w:sz="0" w:space="0" w:color="auto"/>
            <w:left w:val="none" w:sz="0" w:space="0" w:color="auto"/>
            <w:bottom w:val="none" w:sz="0" w:space="0" w:color="auto"/>
            <w:right w:val="none" w:sz="0" w:space="0" w:color="auto"/>
          </w:divBdr>
        </w:div>
        <w:div w:id="1513761307">
          <w:marLeft w:val="0"/>
          <w:marRight w:val="0"/>
          <w:marTop w:val="0"/>
          <w:marBottom w:val="0"/>
          <w:divBdr>
            <w:top w:val="none" w:sz="0" w:space="0" w:color="auto"/>
            <w:left w:val="none" w:sz="0" w:space="0" w:color="auto"/>
            <w:bottom w:val="none" w:sz="0" w:space="0" w:color="auto"/>
            <w:right w:val="none" w:sz="0" w:space="0" w:color="auto"/>
          </w:divBdr>
        </w:div>
        <w:div w:id="1519156757">
          <w:marLeft w:val="0"/>
          <w:marRight w:val="0"/>
          <w:marTop w:val="0"/>
          <w:marBottom w:val="0"/>
          <w:divBdr>
            <w:top w:val="none" w:sz="0" w:space="0" w:color="auto"/>
            <w:left w:val="none" w:sz="0" w:space="0" w:color="auto"/>
            <w:bottom w:val="none" w:sz="0" w:space="0" w:color="auto"/>
            <w:right w:val="none" w:sz="0" w:space="0" w:color="auto"/>
          </w:divBdr>
        </w:div>
        <w:div w:id="1522011397">
          <w:marLeft w:val="0"/>
          <w:marRight w:val="0"/>
          <w:marTop w:val="0"/>
          <w:marBottom w:val="0"/>
          <w:divBdr>
            <w:top w:val="none" w:sz="0" w:space="0" w:color="auto"/>
            <w:left w:val="none" w:sz="0" w:space="0" w:color="auto"/>
            <w:bottom w:val="none" w:sz="0" w:space="0" w:color="auto"/>
            <w:right w:val="none" w:sz="0" w:space="0" w:color="auto"/>
          </w:divBdr>
        </w:div>
        <w:div w:id="1527407081">
          <w:marLeft w:val="0"/>
          <w:marRight w:val="0"/>
          <w:marTop w:val="0"/>
          <w:marBottom w:val="0"/>
          <w:divBdr>
            <w:top w:val="none" w:sz="0" w:space="0" w:color="auto"/>
            <w:left w:val="none" w:sz="0" w:space="0" w:color="auto"/>
            <w:bottom w:val="none" w:sz="0" w:space="0" w:color="auto"/>
            <w:right w:val="none" w:sz="0" w:space="0" w:color="auto"/>
          </w:divBdr>
        </w:div>
        <w:div w:id="1527870504">
          <w:marLeft w:val="0"/>
          <w:marRight w:val="0"/>
          <w:marTop w:val="0"/>
          <w:marBottom w:val="0"/>
          <w:divBdr>
            <w:top w:val="none" w:sz="0" w:space="0" w:color="auto"/>
            <w:left w:val="none" w:sz="0" w:space="0" w:color="auto"/>
            <w:bottom w:val="none" w:sz="0" w:space="0" w:color="auto"/>
            <w:right w:val="none" w:sz="0" w:space="0" w:color="auto"/>
          </w:divBdr>
        </w:div>
        <w:div w:id="1530147470">
          <w:marLeft w:val="0"/>
          <w:marRight w:val="0"/>
          <w:marTop w:val="0"/>
          <w:marBottom w:val="0"/>
          <w:divBdr>
            <w:top w:val="none" w:sz="0" w:space="0" w:color="auto"/>
            <w:left w:val="none" w:sz="0" w:space="0" w:color="auto"/>
            <w:bottom w:val="none" w:sz="0" w:space="0" w:color="auto"/>
            <w:right w:val="none" w:sz="0" w:space="0" w:color="auto"/>
          </w:divBdr>
          <w:divsChild>
            <w:div w:id="1227838365">
              <w:marLeft w:val="0"/>
              <w:marRight w:val="0"/>
              <w:marTop w:val="0"/>
              <w:marBottom w:val="0"/>
              <w:divBdr>
                <w:top w:val="none" w:sz="0" w:space="0" w:color="auto"/>
                <w:left w:val="none" w:sz="0" w:space="0" w:color="auto"/>
                <w:bottom w:val="none" w:sz="0" w:space="0" w:color="auto"/>
                <w:right w:val="none" w:sz="0" w:space="0" w:color="auto"/>
              </w:divBdr>
            </w:div>
            <w:div w:id="1450472571">
              <w:marLeft w:val="0"/>
              <w:marRight w:val="0"/>
              <w:marTop w:val="0"/>
              <w:marBottom w:val="0"/>
              <w:divBdr>
                <w:top w:val="none" w:sz="0" w:space="0" w:color="auto"/>
                <w:left w:val="none" w:sz="0" w:space="0" w:color="auto"/>
                <w:bottom w:val="none" w:sz="0" w:space="0" w:color="auto"/>
                <w:right w:val="none" w:sz="0" w:space="0" w:color="auto"/>
              </w:divBdr>
            </w:div>
          </w:divsChild>
        </w:div>
        <w:div w:id="1531457743">
          <w:marLeft w:val="0"/>
          <w:marRight w:val="0"/>
          <w:marTop w:val="0"/>
          <w:marBottom w:val="0"/>
          <w:divBdr>
            <w:top w:val="none" w:sz="0" w:space="0" w:color="auto"/>
            <w:left w:val="none" w:sz="0" w:space="0" w:color="auto"/>
            <w:bottom w:val="none" w:sz="0" w:space="0" w:color="auto"/>
            <w:right w:val="none" w:sz="0" w:space="0" w:color="auto"/>
          </w:divBdr>
        </w:div>
        <w:div w:id="1540849303">
          <w:marLeft w:val="0"/>
          <w:marRight w:val="0"/>
          <w:marTop w:val="0"/>
          <w:marBottom w:val="0"/>
          <w:divBdr>
            <w:top w:val="none" w:sz="0" w:space="0" w:color="auto"/>
            <w:left w:val="none" w:sz="0" w:space="0" w:color="auto"/>
            <w:bottom w:val="none" w:sz="0" w:space="0" w:color="auto"/>
            <w:right w:val="none" w:sz="0" w:space="0" w:color="auto"/>
          </w:divBdr>
        </w:div>
        <w:div w:id="1546723486">
          <w:marLeft w:val="0"/>
          <w:marRight w:val="0"/>
          <w:marTop w:val="0"/>
          <w:marBottom w:val="0"/>
          <w:divBdr>
            <w:top w:val="none" w:sz="0" w:space="0" w:color="auto"/>
            <w:left w:val="none" w:sz="0" w:space="0" w:color="auto"/>
            <w:bottom w:val="none" w:sz="0" w:space="0" w:color="auto"/>
            <w:right w:val="none" w:sz="0" w:space="0" w:color="auto"/>
          </w:divBdr>
        </w:div>
        <w:div w:id="1556356315">
          <w:marLeft w:val="0"/>
          <w:marRight w:val="0"/>
          <w:marTop w:val="0"/>
          <w:marBottom w:val="0"/>
          <w:divBdr>
            <w:top w:val="none" w:sz="0" w:space="0" w:color="auto"/>
            <w:left w:val="none" w:sz="0" w:space="0" w:color="auto"/>
            <w:bottom w:val="none" w:sz="0" w:space="0" w:color="auto"/>
            <w:right w:val="none" w:sz="0" w:space="0" w:color="auto"/>
          </w:divBdr>
        </w:div>
        <w:div w:id="1568028192">
          <w:marLeft w:val="0"/>
          <w:marRight w:val="0"/>
          <w:marTop w:val="0"/>
          <w:marBottom w:val="0"/>
          <w:divBdr>
            <w:top w:val="none" w:sz="0" w:space="0" w:color="auto"/>
            <w:left w:val="none" w:sz="0" w:space="0" w:color="auto"/>
            <w:bottom w:val="none" w:sz="0" w:space="0" w:color="auto"/>
            <w:right w:val="none" w:sz="0" w:space="0" w:color="auto"/>
          </w:divBdr>
        </w:div>
        <w:div w:id="1574856324">
          <w:marLeft w:val="0"/>
          <w:marRight w:val="0"/>
          <w:marTop w:val="0"/>
          <w:marBottom w:val="0"/>
          <w:divBdr>
            <w:top w:val="none" w:sz="0" w:space="0" w:color="auto"/>
            <w:left w:val="none" w:sz="0" w:space="0" w:color="auto"/>
            <w:bottom w:val="none" w:sz="0" w:space="0" w:color="auto"/>
            <w:right w:val="none" w:sz="0" w:space="0" w:color="auto"/>
          </w:divBdr>
          <w:divsChild>
            <w:div w:id="523901306">
              <w:marLeft w:val="0"/>
              <w:marRight w:val="0"/>
              <w:marTop w:val="0"/>
              <w:marBottom w:val="0"/>
              <w:divBdr>
                <w:top w:val="none" w:sz="0" w:space="0" w:color="auto"/>
                <w:left w:val="none" w:sz="0" w:space="0" w:color="auto"/>
                <w:bottom w:val="none" w:sz="0" w:space="0" w:color="auto"/>
                <w:right w:val="none" w:sz="0" w:space="0" w:color="auto"/>
              </w:divBdr>
            </w:div>
            <w:div w:id="1035500852">
              <w:marLeft w:val="0"/>
              <w:marRight w:val="0"/>
              <w:marTop w:val="0"/>
              <w:marBottom w:val="0"/>
              <w:divBdr>
                <w:top w:val="none" w:sz="0" w:space="0" w:color="auto"/>
                <w:left w:val="none" w:sz="0" w:space="0" w:color="auto"/>
                <w:bottom w:val="none" w:sz="0" w:space="0" w:color="auto"/>
                <w:right w:val="none" w:sz="0" w:space="0" w:color="auto"/>
              </w:divBdr>
            </w:div>
            <w:div w:id="1279332782">
              <w:marLeft w:val="0"/>
              <w:marRight w:val="0"/>
              <w:marTop w:val="0"/>
              <w:marBottom w:val="0"/>
              <w:divBdr>
                <w:top w:val="none" w:sz="0" w:space="0" w:color="auto"/>
                <w:left w:val="none" w:sz="0" w:space="0" w:color="auto"/>
                <w:bottom w:val="none" w:sz="0" w:space="0" w:color="auto"/>
                <w:right w:val="none" w:sz="0" w:space="0" w:color="auto"/>
              </w:divBdr>
            </w:div>
            <w:div w:id="1628045703">
              <w:marLeft w:val="0"/>
              <w:marRight w:val="0"/>
              <w:marTop w:val="0"/>
              <w:marBottom w:val="0"/>
              <w:divBdr>
                <w:top w:val="none" w:sz="0" w:space="0" w:color="auto"/>
                <w:left w:val="none" w:sz="0" w:space="0" w:color="auto"/>
                <w:bottom w:val="none" w:sz="0" w:space="0" w:color="auto"/>
                <w:right w:val="none" w:sz="0" w:space="0" w:color="auto"/>
              </w:divBdr>
            </w:div>
            <w:div w:id="1946575597">
              <w:marLeft w:val="0"/>
              <w:marRight w:val="0"/>
              <w:marTop w:val="0"/>
              <w:marBottom w:val="0"/>
              <w:divBdr>
                <w:top w:val="none" w:sz="0" w:space="0" w:color="auto"/>
                <w:left w:val="none" w:sz="0" w:space="0" w:color="auto"/>
                <w:bottom w:val="none" w:sz="0" w:space="0" w:color="auto"/>
                <w:right w:val="none" w:sz="0" w:space="0" w:color="auto"/>
              </w:divBdr>
            </w:div>
          </w:divsChild>
        </w:div>
        <w:div w:id="1577397984">
          <w:marLeft w:val="0"/>
          <w:marRight w:val="0"/>
          <w:marTop w:val="0"/>
          <w:marBottom w:val="0"/>
          <w:divBdr>
            <w:top w:val="none" w:sz="0" w:space="0" w:color="auto"/>
            <w:left w:val="none" w:sz="0" w:space="0" w:color="auto"/>
            <w:bottom w:val="none" w:sz="0" w:space="0" w:color="auto"/>
            <w:right w:val="none" w:sz="0" w:space="0" w:color="auto"/>
          </w:divBdr>
        </w:div>
        <w:div w:id="1583031701">
          <w:marLeft w:val="0"/>
          <w:marRight w:val="0"/>
          <w:marTop w:val="0"/>
          <w:marBottom w:val="0"/>
          <w:divBdr>
            <w:top w:val="none" w:sz="0" w:space="0" w:color="auto"/>
            <w:left w:val="none" w:sz="0" w:space="0" w:color="auto"/>
            <w:bottom w:val="none" w:sz="0" w:space="0" w:color="auto"/>
            <w:right w:val="none" w:sz="0" w:space="0" w:color="auto"/>
          </w:divBdr>
        </w:div>
        <w:div w:id="1589076576">
          <w:marLeft w:val="0"/>
          <w:marRight w:val="0"/>
          <w:marTop w:val="0"/>
          <w:marBottom w:val="0"/>
          <w:divBdr>
            <w:top w:val="none" w:sz="0" w:space="0" w:color="auto"/>
            <w:left w:val="none" w:sz="0" w:space="0" w:color="auto"/>
            <w:bottom w:val="none" w:sz="0" w:space="0" w:color="auto"/>
            <w:right w:val="none" w:sz="0" w:space="0" w:color="auto"/>
          </w:divBdr>
        </w:div>
        <w:div w:id="1601642527">
          <w:marLeft w:val="0"/>
          <w:marRight w:val="0"/>
          <w:marTop w:val="0"/>
          <w:marBottom w:val="0"/>
          <w:divBdr>
            <w:top w:val="none" w:sz="0" w:space="0" w:color="auto"/>
            <w:left w:val="none" w:sz="0" w:space="0" w:color="auto"/>
            <w:bottom w:val="none" w:sz="0" w:space="0" w:color="auto"/>
            <w:right w:val="none" w:sz="0" w:space="0" w:color="auto"/>
          </w:divBdr>
        </w:div>
        <w:div w:id="1602838167">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
        <w:div w:id="1617054045">
          <w:marLeft w:val="0"/>
          <w:marRight w:val="0"/>
          <w:marTop w:val="0"/>
          <w:marBottom w:val="0"/>
          <w:divBdr>
            <w:top w:val="none" w:sz="0" w:space="0" w:color="auto"/>
            <w:left w:val="none" w:sz="0" w:space="0" w:color="auto"/>
            <w:bottom w:val="none" w:sz="0" w:space="0" w:color="auto"/>
            <w:right w:val="none" w:sz="0" w:space="0" w:color="auto"/>
          </w:divBdr>
        </w:div>
        <w:div w:id="1623077312">
          <w:marLeft w:val="0"/>
          <w:marRight w:val="0"/>
          <w:marTop w:val="0"/>
          <w:marBottom w:val="0"/>
          <w:divBdr>
            <w:top w:val="none" w:sz="0" w:space="0" w:color="auto"/>
            <w:left w:val="none" w:sz="0" w:space="0" w:color="auto"/>
            <w:bottom w:val="none" w:sz="0" w:space="0" w:color="auto"/>
            <w:right w:val="none" w:sz="0" w:space="0" w:color="auto"/>
          </w:divBdr>
        </w:div>
        <w:div w:id="1633713578">
          <w:marLeft w:val="0"/>
          <w:marRight w:val="0"/>
          <w:marTop w:val="0"/>
          <w:marBottom w:val="0"/>
          <w:divBdr>
            <w:top w:val="none" w:sz="0" w:space="0" w:color="auto"/>
            <w:left w:val="none" w:sz="0" w:space="0" w:color="auto"/>
            <w:bottom w:val="none" w:sz="0" w:space="0" w:color="auto"/>
            <w:right w:val="none" w:sz="0" w:space="0" w:color="auto"/>
          </w:divBdr>
        </w:div>
        <w:div w:id="1642225887">
          <w:marLeft w:val="0"/>
          <w:marRight w:val="0"/>
          <w:marTop w:val="0"/>
          <w:marBottom w:val="0"/>
          <w:divBdr>
            <w:top w:val="none" w:sz="0" w:space="0" w:color="auto"/>
            <w:left w:val="none" w:sz="0" w:space="0" w:color="auto"/>
            <w:bottom w:val="none" w:sz="0" w:space="0" w:color="auto"/>
            <w:right w:val="none" w:sz="0" w:space="0" w:color="auto"/>
          </w:divBdr>
        </w:div>
        <w:div w:id="1647855959">
          <w:marLeft w:val="0"/>
          <w:marRight w:val="0"/>
          <w:marTop w:val="0"/>
          <w:marBottom w:val="0"/>
          <w:divBdr>
            <w:top w:val="none" w:sz="0" w:space="0" w:color="auto"/>
            <w:left w:val="none" w:sz="0" w:space="0" w:color="auto"/>
            <w:bottom w:val="none" w:sz="0" w:space="0" w:color="auto"/>
            <w:right w:val="none" w:sz="0" w:space="0" w:color="auto"/>
          </w:divBdr>
        </w:div>
        <w:div w:id="1648632869">
          <w:marLeft w:val="0"/>
          <w:marRight w:val="0"/>
          <w:marTop w:val="0"/>
          <w:marBottom w:val="0"/>
          <w:divBdr>
            <w:top w:val="none" w:sz="0" w:space="0" w:color="auto"/>
            <w:left w:val="none" w:sz="0" w:space="0" w:color="auto"/>
            <w:bottom w:val="none" w:sz="0" w:space="0" w:color="auto"/>
            <w:right w:val="none" w:sz="0" w:space="0" w:color="auto"/>
          </w:divBdr>
        </w:div>
        <w:div w:id="1648782535">
          <w:marLeft w:val="0"/>
          <w:marRight w:val="0"/>
          <w:marTop w:val="0"/>
          <w:marBottom w:val="0"/>
          <w:divBdr>
            <w:top w:val="none" w:sz="0" w:space="0" w:color="auto"/>
            <w:left w:val="none" w:sz="0" w:space="0" w:color="auto"/>
            <w:bottom w:val="none" w:sz="0" w:space="0" w:color="auto"/>
            <w:right w:val="none" w:sz="0" w:space="0" w:color="auto"/>
          </w:divBdr>
        </w:div>
        <w:div w:id="1649044415">
          <w:marLeft w:val="0"/>
          <w:marRight w:val="0"/>
          <w:marTop w:val="0"/>
          <w:marBottom w:val="0"/>
          <w:divBdr>
            <w:top w:val="none" w:sz="0" w:space="0" w:color="auto"/>
            <w:left w:val="none" w:sz="0" w:space="0" w:color="auto"/>
            <w:bottom w:val="none" w:sz="0" w:space="0" w:color="auto"/>
            <w:right w:val="none" w:sz="0" w:space="0" w:color="auto"/>
          </w:divBdr>
        </w:div>
        <w:div w:id="1651669633">
          <w:marLeft w:val="0"/>
          <w:marRight w:val="0"/>
          <w:marTop w:val="0"/>
          <w:marBottom w:val="0"/>
          <w:divBdr>
            <w:top w:val="none" w:sz="0" w:space="0" w:color="auto"/>
            <w:left w:val="none" w:sz="0" w:space="0" w:color="auto"/>
            <w:bottom w:val="none" w:sz="0" w:space="0" w:color="auto"/>
            <w:right w:val="none" w:sz="0" w:space="0" w:color="auto"/>
          </w:divBdr>
        </w:div>
        <w:div w:id="1653411498">
          <w:marLeft w:val="0"/>
          <w:marRight w:val="0"/>
          <w:marTop w:val="0"/>
          <w:marBottom w:val="0"/>
          <w:divBdr>
            <w:top w:val="none" w:sz="0" w:space="0" w:color="auto"/>
            <w:left w:val="none" w:sz="0" w:space="0" w:color="auto"/>
            <w:bottom w:val="none" w:sz="0" w:space="0" w:color="auto"/>
            <w:right w:val="none" w:sz="0" w:space="0" w:color="auto"/>
          </w:divBdr>
        </w:div>
        <w:div w:id="1655596673">
          <w:marLeft w:val="0"/>
          <w:marRight w:val="0"/>
          <w:marTop w:val="0"/>
          <w:marBottom w:val="0"/>
          <w:divBdr>
            <w:top w:val="none" w:sz="0" w:space="0" w:color="auto"/>
            <w:left w:val="none" w:sz="0" w:space="0" w:color="auto"/>
            <w:bottom w:val="none" w:sz="0" w:space="0" w:color="auto"/>
            <w:right w:val="none" w:sz="0" w:space="0" w:color="auto"/>
          </w:divBdr>
        </w:div>
        <w:div w:id="1679964223">
          <w:marLeft w:val="0"/>
          <w:marRight w:val="0"/>
          <w:marTop w:val="0"/>
          <w:marBottom w:val="0"/>
          <w:divBdr>
            <w:top w:val="none" w:sz="0" w:space="0" w:color="auto"/>
            <w:left w:val="none" w:sz="0" w:space="0" w:color="auto"/>
            <w:bottom w:val="none" w:sz="0" w:space="0" w:color="auto"/>
            <w:right w:val="none" w:sz="0" w:space="0" w:color="auto"/>
          </w:divBdr>
        </w:div>
        <w:div w:id="1699545868">
          <w:marLeft w:val="0"/>
          <w:marRight w:val="0"/>
          <w:marTop w:val="0"/>
          <w:marBottom w:val="0"/>
          <w:divBdr>
            <w:top w:val="none" w:sz="0" w:space="0" w:color="auto"/>
            <w:left w:val="none" w:sz="0" w:space="0" w:color="auto"/>
            <w:bottom w:val="none" w:sz="0" w:space="0" w:color="auto"/>
            <w:right w:val="none" w:sz="0" w:space="0" w:color="auto"/>
          </w:divBdr>
        </w:div>
        <w:div w:id="1700666566">
          <w:marLeft w:val="0"/>
          <w:marRight w:val="0"/>
          <w:marTop w:val="0"/>
          <w:marBottom w:val="0"/>
          <w:divBdr>
            <w:top w:val="none" w:sz="0" w:space="0" w:color="auto"/>
            <w:left w:val="none" w:sz="0" w:space="0" w:color="auto"/>
            <w:bottom w:val="none" w:sz="0" w:space="0" w:color="auto"/>
            <w:right w:val="none" w:sz="0" w:space="0" w:color="auto"/>
          </w:divBdr>
        </w:div>
        <w:div w:id="1718434184">
          <w:marLeft w:val="0"/>
          <w:marRight w:val="0"/>
          <w:marTop w:val="0"/>
          <w:marBottom w:val="0"/>
          <w:divBdr>
            <w:top w:val="none" w:sz="0" w:space="0" w:color="auto"/>
            <w:left w:val="none" w:sz="0" w:space="0" w:color="auto"/>
            <w:bottom w:val="none" w:sz="0" w:space="0" w:color="auto"/>
            <w:right w:val="none" w:sz="0" w:space="0" w:color="auto"/>
          </w:divBdr>
        </w:div>
        <w:div w:id="1727679917">
          <w:marLeft w:val="0"/>
          <w:marRight w:val="0"/>
          <w:marTop w:val="0"/>
          <w:marBottom w:val="0"/>
          <w:divBdr>
            <w:top w:val="none" w:sz="0" w:space="0" w:color="auto"/>
            <w:left w:val="none" w:sz="0" w:space="0" w:color="auto"/>
            <w:bottom w:val="none" w:sz="0" w:space="0" w:color="auto"/>
            <w:right w:val="none" w:sz="0" w:space="0" w:color="auto"/>
          </w:divBdr>
        </w:div>
        <w:div w:id="1729838793">
          <w:marLeft w:val="0"/>
          <w:marRight w:val="0"/>
          <w:marTop w:val="0"/>
          <w:marBottom w:val="0"/>
          <w:divBdr>
            <w:top w:val="none" w:sz="0" w:space="0" w:color="auto"/>
            <w:left w:val="none" w:sz="0" w:space="0" w:color="auto"/>
            <w:bottom w:val="none" w:sz="0" w:space="0" w:color="auto"/>
            <w:right w:val="none" w:sz="0" w:space="0" w:color="auto"/>
          </w:divBdr>
        </w:div>
        <w:div w:id="1731230821">
          <w:marLeft w:val="0"/>
          <w:marRight w:val="0"/>
          <w:marTop w:val="0"/>
          <w:marBottom w:val="0"/>
          <w:divBdr>
            <w:top w:val="none" w:sz="0" w:space="0" w:color="auto"/>
            <w:left w:val="none" w:sz="0" w:space="0" w:color="auto"/>
            <w:bottom w:val="none" w:sz="0" w:space="0" w:color="auto"/>
            <w:right w:val="none" w:sz="0" w:space="0" w:color="auto"/>
          </w:divBdr>
          <w:divsChild>
            <w:div w:id="179125624">
              <w:marLeft w:val="0"/>
              <w:marRight w:val="0"/>
              <w:marTop w:val="0"/>
              <w:marBottom w:val="0"/>
              <w:divBdr>
                <w:top w:val="none" w:sz="0" w:space="0" w:color="auto"/>
                <w:left w:val="none" w:sz="0" w:space="0" w:color="auto"/>
                <w:bottom w:val="none" w:sz="0" w:space="0" w:color="auto"/>
                <w:right w:val="none" w:sz="0" w:space="0" w:color="auto"/>
              </w:divBdr>
            </w:div>
            <w:div w:id="562834362">
              <w:marLeft w:val="0"/>
              <w:marRight w:val="0"/>
              <w:marTop w:val="0"/>
              <w:marBottom w:val="0"/>
              <w:divBdr>
                <w:top w:val="none" w:sz="0" w:space="0" w:color="auto"/>
                <w:left w:val="none" w:sz="0" w:space="0" w:color="auto"/>
                <w:bottom w:val="none" w:sz="0" w:space="0" w:color="auto"/>
                <w:right w:val="none" w:sz="0" w:space="0" w:color="auto"/>
              </w:divBdr>
            </w:div>
            <w:div w:id="799037801">
              <w:marLeft w:val="0"/>
              <w:marRight w:val="0"/>
              <w:marTop w:val="0"/>
              <w:marBottom w:val="0"/>
              <w:divBdr>
                <w:top w:val="none" w:sz="0" w:space="0" w:color="auto"/>
                <w:left w:val="none" w:sz="0" w:space="0" w:color="auto"/>
                <w:bottom w:val="none" w:sz="0" w:space="0" w:color="auto"/>
                <w:right w:val="none" w:sz="0" w:space="0" w:color="auto"/>
              </w:divBdr>
            </w:div>
            <w:div w:id="1020428136">
              <w:marLeft w:val="0"/>
              <w:marRight w:val="0"/>
              <w:marTop w:val="0"/>
              <w:marBottom w:val="0"/>
              <w:divBdr>
                <w:top w:val="none" w:sz="0" w:space="0" w:color="auto"/>
                <w:left w:val="none" w:sz="0" w:space="0" w:color="auto"/>
                <w:bottom w:val="none" w:sz="0" w:space="0" w:color="auto"/>
                <w:right w:val="none" w:sz="0" w:space="0" w:color="auto"/>
              </w:divBdr>
            </w:div>
          </w:divsChild>
        </w:div>
        <w:div w:id="1731272677">
          <w:marLeft w:val="0"/>
          <w:marRight w:val="0"/>
          <w:marTop w:val="0"/>
          <w:marBottom w:val="0"/>
          <w:divBdr>
            <w:top w:val="none" w:sz="0" w:space="0" w:color="auto"/>
            <w:left w:val="none" w:sz="0" w:space="0" w:color="auto"/>
            <w:bottom w:val="none" w:sz="0" w:space="0" w:color="auto"/>
            <w:right w:val="none" w:sz="0" w:space="0" w:color="auto"/>
          </w:divBdr>
        </w:div>
        <w:div w:id="1738089167">
          <w:marLeft w:val="0"/>
          <w:marRight w:val="0"/>
          <w:marTop w:val="0"/>
          <w:marBottom w:val="0"/>
          <w:divBdr>
            <w:top w:val="none" w:sz="0" w:space="0" w:color="auto"/>
            <w:left w:val="none" w:sz="0" w:space="0" w:color="auto"/>
            <w:bottom w:val="none" w:sz="0" w:space="0" w:color="auto"/>
            <w:right w:val="none" w:sz="0" w:space="0" w:color="auto"/>
          </w:divBdr>
        </w:div>
        <w:div w:id="1738236102">
          <w:marLeft w:val="0"/>
          <w:marRight w:val="0"/>
          <w:marTop w:val="0"/>
          <w:marBottom w:val="0"/>
          <w:divBdr>
            <w:top w:val="none" w:sz="0" w:space="0" w:color="auto"/>
            <w:left w:val="none" w:sz="0" w:space="0" w:color="auto"/>
            <w:bottom w:val="none" w:sz="0" w:space="0" w:color="auto"/>
            <w:right w:val="none" w:sz="0" w:space="0" w:color="auto"/>
          </w:divBdr>
        </w:div>
        <w:div w:id="1745059579">
          <w:marLeft w:val="0"/>
          <w:marRight w:val="0"/>
          <w:marTop w:val="0"/>
          <w:marBottom w:val="0"/>
          <w:divBdr>
            <w:top w:val="none" w:sz="0" w:space="0" w:color="auto"/>
            <w:left w:val="none" w:sz="0" w:space="0" w:color="auto"/>
            <w:bottom w:val="none" w:sz="0" w:space="0" w:color="auto"/>
            <w:right w:val="none" w:sz="0" w:space="0" w:color="auto"/>
          </w:divBdr>
          <w:divsChild>
            <w:div w:id="943263711">
              <w:marLeft w:val="-75"/>
              <w:marRight w:val="0"/>
              <w:marTop w:val="30"/>
              <w:marBottom w:val="30"/>
              <w:divBdr>
                <w:top w:val="none" w:sz="0" w:space="0" w:color="auto"/>
                <w:left w:val="none" w:sz="0" w:space="0" w:color="auto"/>
                <w:bottom w:val="none" w:sz="0" w:space="0" w:color="auto"/>
                <w:right w:val="none" w:sz="0" w:space="0" w:color="auto"/>
              </w:divBdr>
              <w:divsChild>
                <w:div w:id="25297958">
                  <w:marLeft w:val="0"/>
                  <w:marRight w:val="0"/>
                  <w:marTop w:val="0"/>
                  <w:marBottom w:val="0"/>
                  <w:divBdr>
                    <w:top w:val="none" w:sz="0" w:space="0" w:color="auto"/>
                    <w:left w:val="none" w:sz="0" w:space="0" w:color="auto"/>
                    <w:bottom w:val="none" w:sz="0" w:space="0" w:color="auto"/>
                    <w:right w:val="none" w:sz="0" w:space="0" w:color="auto"/>
                  </w:divBdr>
                  <w:divsChild>
                    <w:div w:id="156574689">
                      <w:marLeft w:val="0"/>
                      <w:marRight w:val="0"/>
                      <w:marTop w:val="0"/>
                      <w:marBottom w:val="0"/>
                      <w:divBdr>
                        <w:top w:val="none" w:sz="0" w:space="0" w:color="auto"/>
                        <w:left w:val="none" w:sz="0" w:space="0" w:color="auto"/>
                        <w:bottom w:val="none" w:sz="0" w:space="0" w:color="auto"/>
                        <w:right w:val="none" w:sz="0" w:space="0" w:color="auto"/>
                      </w:divBdr>
                    </w:div>
                    <w:div w:id="1043284153">
                      <w:marLeft w:val="0"/>
                      <w:marRight w:val="0"/>
                      <w:marTop w:val="0"/>
                      <w:marBottom w:val="0"/>
                      <w:divBdr>
                        <w:top w:val="none" w:sz="0" w:space="0" w:color="auto"/>
                        <w:left w:val="none" w:sz="0" w:space="0" w:color="auto"/>
                        <w:bottom w:val="none" w:sz="0" w:space="0" w:color="auto"/>
                        <w:right w:val="none" w:sz="0" w:space="0" w:color="auto"/>
                      </w:divBdr>
                    </w:div>
                  </w:divsChild>
                </w:div>
                <w:div w:id="34932892">
                  <w:marLeft w:val="0"/>
                  <w:marRight w:val="0"/>
                  <w:marTop w:val="0"/>
                  <w:marBottom w:val="0"/>
                  <w:divBdr>
                    <w:top w:val="none" w:sz="0" w:space="0" w:color="auto"/>
                    <w:left w:val="none" w:sz="0" w:space="0" w:color="auto"/>
                    <w:bottom w:val="none" w:sz="0" w:space="0" w:color="auto"/>
                    <w:right w:val="none" w:sz="0" w:space="0" w:color="auto"/>
                  </w:divBdr>
                  <w:divsChild>
                    <w:div w:id="1097024730">
                      <w:marLeft w:val="0"/>
                      <w:marRight w:val="0"/>
                      <w:marTop w:val="0"/>
                      <w:marBottom w:val="0"/>
                      <w:divBdr>
                        <w:top w:val="none" w:sz="0" w:space="0" w:color="auto"/>
                        <w:left w:val="none" w:sz="0" w:space="0" w:color="auto"/>
                        <w:bottom w:val="none" w:sz="0" w:space="0" w:color="auto"/>
                        <w:right w:val="none" w:sz="0" w:space="0" w:color="auto"/>
                      </w:divBdr>
                    </w:div>
                  </w:divsChild>
                </w:div>
                <w:div w:id="37248662">
                  <w:marLeft w:val="0"/>
                  <w:marRight w:val="0"/>
                  <w:marTop w:val="0"/>
                  <w:marBottom w:val="0"/>
                  <w:divBdr>
                    <w:top w:val="none" w:sz="0" w:space="0" w:color="auto"/>
                    <w:left w:val="none" w:sz="0" w:space="0" w:color="auto"/>
                    <w:bottom w:val="none" w:sz="0" w:space="0" w:color="auto"/>
                    <w:right w:val="none" w:sz="0" w:space="0" w:color="auto"/>
                  </w:divBdr>
                  <w:divsChild>
                    <w:div w:id="708382807">
                      <w:marLeft w:val="0"/>
                      <w:marRight w:val="0"/>
                      <w:marTop w:val="0"/>
                      <w:marBottom w:val="0"/>
                      <w:divBdr>
                        <w:top w:val="none" w:sz="0" w:space="0" w:color="auto"/>
                        <w:left w:val="none" w:sz="0" w:space="0" w:color="auto"/>
                        <w:bottom w:val="none" w:sz="0" w:space="0" w:color="auto"/>
                        <w:right w:val="none" w:sz="0" w:space="0" w:color="auto"/>
                      </w:divBdr>
                    </w:div>
                    <w:div w:id="1724593719">
                      <w:marLeft w:val="0"/>
                      <w:marRight w:val="0"/>
                      <w:marTop w:val="0"/>
                      <w:marBottom w:val="0"/>
                      <w:divBdr>
                        <w:top w:val="none" w:sz="0" w:space="0" w:color="auto"/>
                        <w:left w:val="none" w:sz="0" w:space="0" w:color="auto"/>
                        <w:bottom w:val="none" w:sz="0" w:space="0" w:color="auto"/>
                        <w:right w:val="none" w:sz="0" w:space="0" w:color="auto"/>
                      </w:divBdr>
                    </w:div>
                  </w:divsChild>
                </w:div>
                <w:div w:id="40442011">
                  <w:marLeft w:val="0"/>
                  <w:marRight w:val="0"/>
                  <w:marTop w:val="0"/>
                  <w:marBottom w:val="0"/>
                  <w:divBdr>
                    <w:top w:val="none" w:sz="0" w:space="0" w:color="auto"/>
                    <w:left w:val="none" w:sz="0" w:space="0" w:color="auto"/>
                    <w:bottom w:val="none" w:sz="0" w:space="0" w:color="auto"/>
                    <w:right w:val="none" w:sz="0" w:space="0" w:color="auto"/>
                  </w:divBdr>
                  <w:divsChild>
                    <w:div w:id="1748990931">
                      <w:marLeft w:val="0"/>
                      <w:marRight w:val="0"/>
                      <w:marTop w:val="0"/>
                      <w:marBottom w:val="0"/>
                      <w:divBdr>
                        <w:top w:val="none" w:sz="0" w:space="0" w:color="auto"/>
                        <w:left w:val="none" w:sz="0" w:space="0" w:color="auto"/>
                        <w:bottom w:val="none" w:sz="0" w:space="0" w:color="auto"/>
                        <w:right w:val="none" w:sz="0" w:space="0" w:color="auto"/>
                      </w:divBdr>
                    </w:div>
                  </w:divsChild>
                </w:div>
                <w:div w:id="71507015">
                  <w:marLeft w:val="0"/>
                  <w:marRight w:val="0"/>
                  <w:marTop w:val="0"/>
                  <w:marBottom w:val="0"/>
                  <w:divBdr>
                    <w:top w:val="none" w:sz="0" w:space="0" w:color="auto"/>
                    <w:left w:val="none" w:sz="0" w:space="0" w:color="auto"/>
                    <w:bottom w:val="none" w:sz="0" w:space="0" w:color="auto"/>
                    <w:right w:val="none" w:sz="0" w:space="0" w:color="auto"/>
                  </w:divBdr>
                  <w:divsChild>
                    <w:div w:id="2137798950">
                      <w:marLeft w:val="0"/>
                      <w:marRight w:val="0"/>
                      <w:marTop w:val="0"/>
                      <w:marBottom w:val="0"/>
                      <w:divBdr>
                        <w:top w:val="none" w:sz="0" w:space="0" w:color="auto"/>
                        <w:left w:val="none" w:sz="0" w:space="0" w:color="auto"/>
                        <w:bottom w:val="none" w:sz="0" w:space="0" w:color="auto"/>
                        <w:right w:val="none" w:sz="0" w:space="0" w:color="auto"/>
                      </w:divBdr>
                    </w:div>
                  </w:divsChild>
                </w:div>
                <w:div w:id="72625174">
                  <w:marLeft w:val="0"/>
                  <w:marRight w:val="0"/>
                  <w:marTop w:val="0"/>
                  <w:marBottom w:val="0"/>
                  <w:divBdr>
                    <w:top w:val="none" w:sz="0" w:space="0" w:color="auto"/>
                    <w:left w:val="none" w:sz="0" w:space="0" w:color="auto"/>
                    <w:bottom w:val="none" w:sz="0" w:space="0" w:color="auto"/>
                    <w:right w:val="none" w:sz="0" w:space="0" w:color="auto"/>
                  </w:divBdr>
                  <w:divsChild>
                    <w:div w:id="2078747544">
                      <w:marLeft w:val="0"/>
                      <w:marRight w:val="0"/>
                      <w:marTop w:val="0"/>
                      <w:marBottom w:val="0"/>
                      <w:divBdr>
                        <w:top w:val="none" w:sz="0" w:space="0" w:color="auto"/>
                        <w:left w:val="none" w:sz="0" w:space="0" w:color="auto"/>
                        <w:bottom w:val="none" w:sz="0" w:space="0" w:color="auto"/>
                        <w:right w:val="none" w:sz="0" w:space="0" w:color="auto"/>
                      </w:divBdr>
                    </w:div>
                  </w:divsChild>
                </w:div>
                <w:div w:id="181171911">
                  <w:marLeft w:val="0"/>
                  <w:marRight w:val="0"/>
                  <w:marTop w:val="0"/>
                  <w:marBottom w:val="0"/>
                  <w:divBdr>
                    <w:top w:val="none" w:sz="0" w:space="0" w:color="auto"/>
                    <w:left w:val="none" w:sz="0" w:space="0" w:color="auto"/>
                    <w:bottom w:val="none" w:sz="0" w:space="0" w:color="auto"/>
                    <w:right w:val="none" w:sz="0" w:space="0" w:color="auto"/>
                  </w:divBdr>
                  <w:divsChild>
                    <w:div w:id="24597136">
                      <w:marLeft w:val="0"/>
                      <w:marRight w:val="0"/>
                      <w:marTop w:val="0"/>
                      <w:marBottom w:val="0"/>
                      <w:divBdr>
                        <w:top w:val="none" w:sz="0" w:space="0" w:color="auto"/>
                        <w:left w:val="none" w:sz="0" w:space="0" w:color="auto"/>
                        <w:bottom w:val="none" w:sz="0" w:space="0" w:color="auto"/>
                        <w:right w:val="none" w:sz="0" w:space="0" w:color="auto"/>
                      </w:divBdr>
                    </w:div>
                  </w:divsChild>
                </w:div>
                <w:div w:id="194969810">
                  <w:marLeft w:val="0"/>
                  <w:marRight w:val="0"/>
                  <w:marTop w:val="0"/>
                  <w:marBottom w:val="0"/>
                  <w:divBdr>
                    <w:top w:val="none" w:sz="0" w:space="0" w:color="auto"/>
                    <w:left w:val="none" w:sz="0" w:space="0" w:color="auto"/>
                    <w:bottom w:val="none" w:sz="0" w:space="0" w:color="auto"/>
                    <w:right w:val="none" w:sz="0" w:space="0" w:color="auto"/>
                  </w:divBdr>
                  <w:divsChild>
                    <w:div w:id="844131529">
                      <w:marLeft w:val="0"/>
                      <w:marRight w:val="0"/>
                      <w:marTop w:val="0"/>
                      <w:marBottom w:val="0"/>
                      <w:divBdr>
                        <w:top w:val="none" w:sz="0" w:space="0" w:color="auto"/>
                        <w:left w:val="none" w:sz="0" w:space="0" w:color="auto"/>
                        <w:bottom w:val="none" w:sz="0" w:space="0" w:color="auto"/>
                        <w:right w:val="none" w:sz="0" w:space="0" w:color="auto"/>
                      </w:divBdr>
                    </w:div>
                  </w:divsChild>
                </w:div>
                <w:div w:id="251740880">
                  <w:marLeft w:val="0"/>
                  <w:marRight w:val="0"/>
                  <w:marTop w:val="0"/>
                  <w:marBottom w:val="0"/>
                  <w:divBdr>
                    <w:top w:val="none" w:sz="0" w:space="0" w:color="auto"/>
                    <w:left w:val="none" w:sz="0" w:space="0" w:color="auto"/>
                    <w:bottom w:val="none" w:sz="0" w:space="0" w:color="auto"/>
                    <w:right w:val="none" w:sz="0" w:space="0" w:color="auto"/>
                  </w:divBdr>
                  <w:divsChild>
                    <w:div w:id="620042000">
                      <w:marLeft w:val="0"/>
                      <w:marRight w:val="0"/>
                      <w:marTop w:val="0"/>
                      <w:marBottom w:val="0"/>
                      <w:divBdr>
                        <w:top w:val="none" w:sz="0" w:space="0" w:color="auto"/>
                        <w:left w:val="none" w:sz="0" w:space="0" w:color="auto"/>
                        <w:bottom w:val="none" w:sz="0" w:space="0" w:color="auto"/>
                        <w:right w:val="none" w:sz="0" w:space="0" w:color="auto"/>
                      </w:divBdr>
                    </w:div>
                    <w:div w:id="1141769387">
                      <w:marLeft w:val="0"/>
                      <w:marRight w:val="0"/>
                      <w:marTop w:val="0"/>
                      <w:marBottom w:val="0"/>
                      <w:divBdr>
                        <w:top w:val="none" w:sz="0" w:space="0" w:color="auto"/>
                        <w:left w:val="none" w:sz="0" w:space="0" w:color="auto"/>
                        <w:bottom w:val="none" w:sz="0" w:space="0" w:color="auto"/>
                        <w:right w:val="none" w:sz="0" w:space="0" w:color="auto"/>
                      </w:divBdr>
                    </w:div>
                    <w:div w:id="1430806989">
                      <w:marLeft w:val="0"/>
                      <w:marRight w:val="0"/>
                      <w:marTop w:val="0"/>
                      <w:marBottom w:val="0"/>
                      <w:divBdr>
                        <w:top w:val="none" w:sz="0" w:space="0" w:color="auto"/>
                        <w:left w:val="none" w:sz="0" w:space="0" w:color="auto"/>
                        <w:bottom w:val="none" w:sz="0" w:space="0" w:color="auto"/>
                        <w:right w:val="none" w:sz="0" w:space="0" w:color="auto"/>
                      </w:divBdr>
                    </w:div>
                    <w:div w:id="1467623549">
                      <w:marLeft w:val="0"/>
                      <w:marRight w:val="0"/>
                      <w:marTop w:val="0"/>
                      <w:marBottom w:val="0"/>
                      <w:divBdr>
                        <w:top w:val="none" w:sz="0" w:space="0" w:color="auto"/>
                        <w:left w:val="none" w:sz="0" w:space="0" w:color="auto"/>
                        <w:bottom w:val="none" w:sz="0" w:space="0" w:color="auto"/>
                        <w:right w:val="none" w:sz="0" w:space="0" w:color="auto"/>
                      </w:divBdr>
                    </w:div>
                  </w:divsChild>
                </w:div>
                <w:div w:id="259218575">
                  <w:marLeft w:val="0"/>
                  <w:marRight w:val="0"/>
                  <w:marTop w:val="0"/>
                  <w:marBottom w:val="0"/>
                  <w:divBdr>
                    <w:top w:val="none" w:sz="0" w:space="0" w:color="auto"/>
                    <w:left w:val="none" w:sz="0" w:space="0" w:color="auto"/>
                    <w:bottom w:val="none" w:sz="0" w:space="0" w:color="auto"/>
                    <w:right w:val="none" w:sz="0" w:space="0" w:color="auto"/>
                  </w:divBdr>
                  <w:divsChild>
                    <w:div w:id="919094043">
                      <w:marLeft w:val="0"/>
                      <w:marRight w:val="0"/>
                      <w:marTop w:val="0"/>
                      <w:marBottom w:val="0"/>
                      <w:divBdr>
                        <w:top w:val="none" w:sz="0" w:space="0" w:color="auto"/>
                        <w:left w:val="none" w:sz="0" w:space="0" w:color="auto"/>
                        <w:bottom w:val="none" w:sz="0" w:space="0" w:color="auto"/>
                        <w:right w:val="none" w:sz="0" w:space="0" w:color="auto"/>
                      </w:divBdr>
                    </w:div>
                  </w:divsChild>
                </w:div>
                <w:div w:id="271976850">
                  <w:marLeft w:val="0"/>
                  <w:marRight w:val="0"/>
                  <w:marTop w:val="0"/>
                  <w:marBottom w:val="0"/>
                  <w:divBdr>
                    <w:top w:val="none" w:sz="0" w:space="0" w:color="auto"/>
                    <w:left w:val="none" w:sz="0" w:space="0" w:color="auto"/>
                    <w:bottom w:val="none" w:sz="0" w:space="0" w:color="auto"/>
                    <w:right w:val="none" w:sz="0" w:space="0" w:color="auto"/>
                  </w:divBdr>
                  <w:divsChild>
                    <w:div w:id="969675587">
                      <w:marLeft w:val="0"/>
                      <w:marRight w:val="0"/>
                      <w:marTop w:val="0"/>
                      <w:marBottom w:val="0"/>
                      <w:divBdr>
                        <w:top w:val="none" w:sz="0" w:space="0" w:color="auto"/>
                        <w:left w:val="none" w:sz="0" w:space="0" w:color="auto"/>
                        <w:bottom w:val="none" w:sz="0" w:space="0" w:color="auto"/>
                        <w:right w:val="none" w:sz="0" w:space="0" w:color="auto"/>
                      </w:divBdr>
                    </w:div>
                  </w:divsChild>
                </w:div>
                <w:div w:id="315260261">
                  <w:marLeft w:val="0"/>
                  <w:marRight w:val="0"/>
                  <w:marTop w:val="0"/>
                  <w:marBottom w:val="0"/>
                  <w:divBdr>
                    <w:top w:val="none" w:sz="0" w:space="0" w:color="auto"/>
                    <w:left w:val="none" w:sz="0" w:space="0" w:color="auto"/>
                    <w:bottom w:val="none" w:sz="0" w:space="0" w:color="auto"/>
                    <w:right w:val="none" w:sz="0" w:space="0" w:color="auto"/>
                  </w:divBdr>
                  <w:divsChild>
                    <w:div w:id="2086760273">
                      <w:marLeft w:val="0"/>
                      <w:marRight w:val="0"/>
                      <w:marTop w:val="0"/>
                      <w:marBottom w:val="0"/>
                      <w:divBdr>
                        <w:top w:val="none" w:sz="0" w:space="0" w:color="auto"/>
                        <w:left w:val="none" w:sz="0" w:space="0" w:color="auto"/>
                        <w:bottom w:val="none" w:sz="0" w:space="0" w:color="auto"/>
                        <w:right w:val="none" w:sz="0" w:space="0" w:color="auto"/>
                      </w:divBdr>
                    </w:div>
                  </w:divsChild>
                </w:div>
                <w:div w:id="332993567">
                  <w:marLeft w:val="0"/>
                  <w:marRight w:val="0"/>
                  <w:marTop w:val="0"/>
                  <w:marBottom w:val="0"/>
                  <w:divBdr>
                    <w:top w:val="none" w:sz="0" w:space="0" w:color="auto"/>
                    <w:left w:val="none" w:sz="0" w:space="0" w:color="auto"/>
                    <w:bottom w:val="none" w:sz="0" w:space="0" w:color="auto"/>
                    <w:right w:val="none" w:sz="0" w:space="0" w:color="auto"/>
                  </w:divBdr>
                  <w:divsChild>
                    <w:div w:id="928346921">
                      <w:marLeft w:val="0"/>
                      <w:marRight w:val="0"/>
                      <w:marTop w:val="0"/>
                      <w:marBottom w:val="0"/>
                      <w:divBdr>
                        <w:top w:val="none" w:sz="0" w:space="0" w:color="auto"/>
                        <w:left w:val="none" w:sz="0" w:space="0" w:color="auto"/>
                        <w:bottom w:val="none" w:sz="0" w:space="0" w:color="auto"/>
                        <w:right w:val="none" w:sz="0" w:space="0" w:color="auto"/>
                      </w:divBdr>
                    </w:div>
                  </w:divsChild>
                </w:div>
                <w:div w:id="385950588">
                  <w:marLeft w:val="0"/>
                  <w:marRight w:val="0"/>
                  <w:marTop w:val="0"/>
                  <w:marBottom w:val="0"/>
                  <w:divBdr>
                    <w:top w:val="none" w:sz="0" w:space="0" w:color="auto"/>
                    <w:left w:val="none" w:sz="0" w:space="0" w:color="auto"/>
                    <w:bottom w:val="none" w:sz="0" w:space="0" w:color="auto"/>
                    <w:right w:val="none" w:sz="0" w:space="0" w:color="auto"/>
                  </w:divBdr>
                  <w:divsChild>
                    <w:div w:id="1193571947">
                      <w:marLeft w:val="0"/>
                      <w:marRight w:val="0"/>
                      <w:marTop w:val="0"/>
                      <w:marBottom w:val="0"/>
                      <w:divBdr>
                        <w:top w:val="none" w:sz="0" w:space="0" w:color="auto"/>
                        <w:left w:val="none" w:sz="0" w:space="0" w:color="auto"/>
                        <w:bottom w:val="none" w:sz="0" w:space="0" w:color="auto"/>
                        <w:right w:val="none" w:sz="0" w:space="0" w:color="auto"/>
                      </w:divBdr>
                    </w:div>
                  </w:divsChild>
                </w:div>
                <w:div w:id="389692745">
                  <w:marLeft w:val="0"/>
                  <w:marRight w:val="0"/>
                  <w:marTop w:val="0"/>
                  <w:marBottom w:val="0"/>
                  <w:divBdr>
                    <w:top w:val="none" w:sz="0" w:space="0" w:color="auto"/>
                    <w:left w:val="none" w:sz="0" w:space="0" w:color="auto"/>
                    <w:bottom w:val="none" w:sz="0" w:space="0" w:color="auto"/>
                    <w:right w:val="none" w:sz="0" w:space="0" w:color="auto"/>
                  </w:divBdr>
                  <w:divsChild>
                    <w:div w:id="1836149241">
                      <w:marLeft w:val="0"/>
                      <w:marRight w:val="0"/>
                      <w:marTop w:val="0"/>
                      <w:marBottom w:val="0"/>
                      <w:divBdr>
                        <w:top w:val="none" w:sz="0" w:space="0" w:color="auto"/>
                        <w:left w:val="none" w:sz="0" w:space="0" w:color="auto"/>
                        <w:bottom w:val="none" w:sz="0" w:space="0" w:color="auto"/>
                        <w:right w:val="none" w:sz="0" w:space="0" w:color="auto"/>
                      </w:divBdr>
                    </w:div>
                  </w:divsChild>
                </w:div>
                <w:div w:id="481890620">
                  <w:marLeft w:val="0"/>
                  <w:marRight w:val="0"/>
                  <w:marTop w:val="0"/>
                  <w:marBottom w:val="0"/>
                  <w:divBdr>
                    <w:top w:val="none" w:sz="0" w:space="0" w:color="auto"/>
                    <w:left w:val="none" w:sz="0" w:space="0" w:color="auto"/>
                    <w:bottom w:val="none" w:sz="0" w:space="0" w:color="auto"/>
                    <w:right w:val="none" w:sz="0" w:space="0" w:color="auto"/>
                  </w:divBdr>
                  <w:divsChild>
                    <w:div w:id="35356600">
                      <w:marLeft w:val="0"/>
                      <w:marRight w:val="0"/>
                      <w:marTop w:val="0"/>
                      <w:marBottom w:val="0"/>
                      <w:divBdr>
                        <w:top w:val="none" w:sz="0" w:space="0" w:color="auto"/>
                        <w:left w:val="none" w:sz="0" w:space="0" w:color="auto"/>
                        <w:bottom w:val="none" w:sz="0" w:space="0" w:color="auto"/>
                        <w:right w:val="none" w:sz="0" w:space="0" w:color="auto"/>
                      </w:divBdr>
                    </w:div>
                    <w:div w:id="654843416">
                      <w:marLeft w:val="0"/>
                      <w:marRight w:val="0"/>
                      <w:marTop w:val="0"/>
                      <w:marBottom w:val="0"/>
                      <w:divBdr>
                        <w:top w:val="none" w:sz="0" w:space="0" w:color="auto"/>
                        <w:left w:val="none" w:sz="0" w:space="0" w:color="auto"/>
                        <w:bottom w:val="none" w:sz="0" w:space="0" w:color="auto"/>
                        <w:right w:val="none" w:sz="0" w:space="0" w:color="auto"/>
                      </w:divBdr>
                    </w:div>
                    <w:div w:id="1433430027">
                      <w:marLeft w:val="0"/>
                      <w:marRight w:val="0"/>
                      <w:marTop w:val="0"/>
                      <w:marBottom w:val="0"/>
                      <w:divBdr>
                        <w:top w:val="none" w:sz="0" w:space="0" w:color="auto"/>
                        <w:left w:val="none" w:sz="0" w:space="0" w:color="auto"/>
                        <w:bottom w:val="none" w:sz="0" w:space="0" w:color="auto"/>
                        <w:right w:val="none" w:sz="0" w:space="0" w:color="auto"/>
                      </w:divBdr>
                    </w:div>
                  </w:divsChild>
                </w:div>
                <w:div w:id="500196836">
                  <w:marLeft w:val="0"/>
                  <w:marRight w:val="0"/>
                  <w:marTop w:val="0"/>
                  <w:marBottom w:val="0"/>
                  <w:divBdr>
                    <w:top w:val="none" w:sz="0" w:space="0" w:color="auto"/>
                    <w:left w:val="none" w:sz="0" w:space="0" w:color="auto"/>
                    <w:bottom w:val="none" w:sz="0" w:space="0" w:color="auto"/>
                    <w:right w:val="none" w:sz="0" w:space="0" w:color="auto"/>
                  </w:divBdr>
                  <w:divsChild>
                    <w:div w:id="67776097">
                      <w:marLeft w:val="0"/>
                      <w:marRight w:val="0"/>
                      <w:marTop w:val="0"/>
                      <w:marBottom w:val="0"/>
                      <w:divBdr>
                        <w:top w:val="none" w:sz="0" w:space="0" w:color="auto"/>
                        <w:left w:val="none" w:sz="0" w:space="0" w:color="auto"/>
                        <w:bottom w:val="none" w:sz="0" w:space="0" w:color="auto"/>
                        <w:right w:val="none" w:sz="0" w:space="0" w:color="auto"/>
                      </w:divBdr>
                    </w:div>
                    <w:div w:id="1732193727">
                      <w:marLeft w:val="0"/>
                      <w:marRight w:val="0"/>
                      <w:marTop w:val="0"/>
                      <w:marBottom w:val="0"/>
                      <w:divBdr>
                        <w:top w:val="none" w:sz="0" w:space="0" w:color="auto"/>
                        <w:left w:val="none" w:sz="0" w:space="0" w:color="auto"/>
                        <w:bottom w:val="none" w:sz="0" w:space="0" w:color="auto"/>
                        <w:right w:val="none" w:sz="0" w:space="0" w:color="auto"/>
                      </w:divBdr>
                    </w:div>
                  </w:divsChild>
                </w:div>
                <w:div w:id="506022093">
                  <w:marLeft w:val="0"/>
                  <w:marRight w:val="0"/>
                  <w:marTop w:val="0"/>
                  <w:marBottom w:val="0"/>
                  <w:divBdr>
                    <w:top w:val="none" w:sz="0" w:space="0" w:color="auto"/>
                    <w:left w:val="none" w:sz="0" w:space="0" w:color="auto"/>
                    <w:bottom w:val="none" w:sz="0" w:space="0" w:color="auto"/>
                    <w:right w:val="none" w:sz="0" w:space="0" w:color="auto"/>
                  </w:divBdr>
                  <w:divsChild>
                    <w:div w:id="459419754">
                      <w:marLeft w:val="0"/>
                      <w:marRight w:val="0"/>
                      <w:marTop w:val="0"/>
                      <w:marBottom w:val="0"/>
                      <w:divBdr>
                        <w:top w:val="none" w:sz="0" w:space="0" w:color="auto"/>
                        <w:left w:val="none" w:sz="0" w:space="0" w:color="auto"/>
                        <w:bottom w:val="none" w:sz="0" w:space="0" w:color="auto"/>
                        <w:right w:val="none" w:sz="0" w:space="0" w:color="auto"/>
                      </w:divBdr>
                    </w:div>
                    <w:div w:id="2060201928">
                      <w:marLeft w:val="0"/>
                      <w:marRight w:val="0"/>
                      <w:marTop w:val="0"/>
                      <w:marBottom w:val="0"/>
                      <w:divBdr>
                        <w:top w:val="none" w:sz="0" w:space="0" w:color="auto"/>
                        <w:left w:val="none" w:sz="0" w:space="0" w:color="auto"/>
                        <w:bottom w:val="none" w:sz="0" w:space="0" w:color="auto"/>
                        <w:right w:val="none" w:sz="0" w:space="0" w:color="auto"/>
                      </w:divBdr>
                    </w:div>
                  </w:divsChild>
                </w:div>
                <w:div w:id="539515224">
                  <w:marLeft w:val="0"/>
                  <w:marRight w:val="0"/>
                  <w:marTop w:val="0"/>
                  <w:marBottom w:val="0"/>
                  <w:divBdr>
                    <w:top w:val="none" w:sz="0" w:space="0" w:color="auto"/>
                    <w:left w:val="none" w:sz="0" w:space="0" w:color="auto"/>
                    <w:bottom w:val="none" w:sz="0" w:space="0" w:color="auto"/>
                    <w:right w:val="none" w:sz="0" w:space="0" w:color="auto"/>
                  </w:divBdr>
                  <w:divsChild>
                    <w:div w:id="1349714484">
                      <w:marLeft w:val="0"/>
                      <w:marRight w:val="0"/>
                      <w:marTop w:val="0"/>
                      <w:marBottom w:val="0"/>
                      <w:divBdr>
                        <w:top w:val="none" w:sz="0" w:space="0" w:color="auto"/>
                        <w:left w:val="none" w:sz="0" w:space="0" w:color="auto"/>
                        <w:bottom w:val="none" w:sz="0" w:space="0" w:color="auto"/>
                        <w:right w:val="none" w:sz="0" w:space="0" w:color="auto"/>
                      </w:divBdr>
                    </w:div>
                  </w:divsChild>
                </w:div>
                <w:div w:id="601256940">
                  <w:marLeft w:val="0"/>
                  <w:marRight w:val="0"/>
                  <w:marTop w:val="0"/>
                  <w:marBottom w:val="0"/>
                  <w:divBdr>
                    <w:top w:val="none" w:sz="0" w:space="0" w:color="auto"/>
                    <w:left w:val="none" w:sz="0" w:space="0" w:color="auto"/>
                    <w:bottom w:val="none" w:sz="0" w:space="0" w:color="auto"/>
                    <w:right w:val="none" w:sz="0" w:space="0" w:color="auto"/>
                  </w:divBdr>
                  <w:divsChild>
                    <w:div w:id="804811905">
                      <w:marLeft w:val="0"/>
                      <w:marRight w:val="0"/>
                      <w:marTop w:val="0"/>
                      <w:marBottom w:val="0"/>
                      <w:divBdr>
                        <w:top w:val="none" w:sz="0" w:space="0" w:color="auto"/>
                        <w:left w:val="none" w:sz="0" w:space="0" w:color="auto"/>
                        <w:bottom w:val="none" w:sz="0" w:space="0" w:color="auto"/>
                        <w:right w:val="none" w:sz="0" w:space="0" w:color="auto"/>
                      </w:divBdr>
                    </w:div>
                  </w:divsChild>
                </w:div>
                <w:div w:id="646131094">
                  <w:marLeft w:val="0"/>
                  <w:marRight w:val="0"/>
                  <w:marTop w:val="0"/>
                  <w:marBottom w:val="0"/>
                  <w:divBdr>
                    <w:top w:val="none" w:sz="0" w:space="0" w:color="auto"/>
                    <w:left w:val="none" w:sz="0" w:space="0" w:color="auto"/>
                    <w:bottom w:val="none" w:sz="0" w:space="0" w:color="auto"/>
                    <w:right w:val="none" w:sz="0" w:space="0" w:color="auto"/>
                  </w:divBdr>
                  <w:divsChild>
                    <w:div w:id="1040128363">
                      <w:marLeft w:val="0"/>
                      <w:marRight w:val="0"/>
                      <w:marTop w:val="0"/>
                      <w:marBottom w:val="0"/>
                      <w:divBdr>
                        <w:top w:val="none" w:sz="0" w:space="0" w:color="auto"/>
                        <w:left w:val="none" w:sz="0" w:space="0" w:color="auto"/>
                        <w:bottom w:val="none" w:sz="0" w:space="0" w:color="auto"/>
                        <w:right w:val="none" w:sz="0" w:space="0" w:color="auto"/>
                      </w:divBdr>
                    </w:div>
                  </w:divsChild>
                </w:div>
                <w:div w:id="647827168">
                  <w:marLeft w:val="0"/>
                  <w:marRight w:val="0"/>
                  <w:marTop w:val="0"/>
                  <w:marBottom w:val="0"/>
                  <w:divBdr>
                    <w:top w:val="none" w:sz="0" w:space="0" w:color="auto"/>
                    <w:left w:val="none" w:sz="0" w:space="0" w:color="auto"/>
                    <w:bottom w:val="none" w:sz="0" w:space="0" w:color="auto"/>
                    <w:right w:val="none" w:sz="0" w:space="0" w:color="auto"/>
                  </w:divBdr>
                  <w:divsChild>
                    <w:div w:id="475026469">
                      <w:marLeft w:val="0"/>
                      <w:marRight w:val="0"/>
                      <w:marTop w:val="0"/>
                      <w:marBottom w:val="0"/>
                      <w:divBdr>
                        <w:top w:val="none" w:sz="0" w:space="0" w:color="auto"/>
                        <w:left w:val="none" w:sz="0" w:space="0" w:color="auto"/>
                        <w:bottom w:val="none" w:sz="0" w:space="0" w:color="auto"/>
                        <w:right w:val="none" w:sz="0" w:space="0" w:color="auto"/>
                      </w:divBdr>
                    </w:div>
                  </w:divsChild>
                </w:div>
                <w:div w:id="723140968">
                  <w:marLeft w:val="0"/>
                  <w:marRight w:val="0"/>
                  <w:marTop w:val="0"/>
                  <w:marBottom w:val="0"/>
                  <w:divBdr>
                    <w:top w:val="none" w:sz="0" w:space="0" w:color="auto"/>
                    <w:left w:val="none" w:sz="0" w:space="0" w:color="auto"/>
                    <w:bottom w:val="none" w:sz="0" w:space="0" w:color="auto"/>
                    <w:right w:val="none" w:sz="0" w:space="0" w:color="auto"/>
                  </w:divBdr>
                  <w:divsChild>
                    <w:div w:id="1948536482">
                      <w:marLeft w:val="0"/>
                      <w:marRight w:val="0"/>
                      <w:marTop w:val="0"/>
                      <w:marBottom w:val="0"/>
                      <w:divBdr>
                        <w:top w:val="none" w:sz="0" w:space="0" w:color="auto"/>
                        <w:left w:val="none" w:sz="0" w:space="0" w:color="auto"/>
                        <w:bottom w:val="none" w:sz="0" w:space="0" w:color="auto"/>
                        <w:right w:val="none" w:sz="0" w:space="0" w:color="auto"/>
                      </w:divBdr>
                    </w:div>
                  </w:divsChild>
                </w:div>
                <w:div w:id="749351009">
                  <w:marLeft w:val="0"/>
                  <w:marRight w:val="0"/>
                  <w:marTop w:val="0"/>
                  <w:marBottom w:val="0"/>
                  <w:divBdr>
                    <w:top w:val="none" w:sz="0" w:space="0" w:color="auto"/>
                    <w:left w:val="none" w:sz="0" w:space="0" w:color="auto"/>
                    <w:bottom w:val="none" w:sz="0" w:space="0" w:color="auto"/>
                    <w:right w:val="none" w:sz="0" w:space="0" w:color="auto"/>
                  </w:divBdr>
                  <w:divsChild>
                    <w:div w:id="293875486">
                      <w:marLeft w:val="0"/>
                      <w:marRight w:val="0"/>
                      <w:marTop w:val="0"/>
                      <w:marBottom w:val="0"/>
                      <w:divBdr>
                        <w:top w:val="none" w:sz="0" w:space="0" w:color="auto"/>
                        <w:left w:val="none" w:sz="0" w:space="0" w:color="auto"/>
                        <w:bottom w:val="none" w:sz="0" w:space="0" w:color="auto"/>
                        <w:right w:val="none" w:sz="0" w:space="0" w:color="auto"/>
                      </w:divBdr>
                    </w:div>
                  </w:divsChild>
                </w:div>
                <w:div w:id="755173260">
                  <w:marLeft w:val="0"/>
                  <w:marRight w:val="0"/>
                  <w:marTop w:val="0"/>
                  <w:marBottom w:val="0"/>
                  <w:divBdr>
                    <w:top w:val="none" w:sz="0" w:space="0" w:color="auto"/>
                    <w:left w:val="none" w:sz="0" w:space="0" w:color="auto"/>
                    <w:bottom w:val="none" w:sz="0" w:space="0" w:color="auto"/>
                    <w:right w:val="none" w:sz="0" w:space="0" w:color="auto"/>
                  </w:divBdr>
                  <w:divsChild>
                    <w:div w:id="1033462582">
                      <w:marLeft w:val="0"/>
                      <w:marRight w:val="0"/>
                      <w:marTop w:val="0"/>
                      <w:marBottom w:val="0"/>
                      <w:divBdr>
                        <w:top w:val="none" w:sz="0" w:space="0" w:color="auto"/>
                        <w:left w:val="none" w:sz="0" w:space="0" w:color="auto"/>
                        <w:bottom w:val="none" w:sz="0" w:space="0" w:color="auto"/>
                        <w:right w:val="none" w:sz="0" w:space="0" w:color="auto"/>
                      </w:divBdr>
                    </w:div>
                    <w:div w:id="2135294457">
                      <w:marLeft w:val="0"/>
                      <w:marRight w:val="0"/>
                      <w:marTop w:val="0"/>
                      <w:marBottom w:val="0"/>
                      <w:divBdr>
                        <w:top w:val="none" w:sz="0" w:space="0" w:color="auto"/>
                        <w:left w:val="none" w:sz="0" w:space="0" w:color="auto"/>
                        <w:bottom w:val="none" w:sz="0" w:space="0" w:color="auto"/>
                        <w:right w:val="none" w:sz="0" w:space="0" w:color="auto"/>
                      </w:divBdr>
                    </w:div>
                  </w:divsChild>
                </w:div>
                <w:div w:id="866061329">
                  <w:marLeft w:val="0"/>
                  <w:marRight w:val="0"/>
                  <w:marTop w:val="0"/>
                  <w:marBottom w:val="0"/>
                  <w:divBdr>
                    <w:top w:val="none" w:sz="0" w:space="0" w:color="auto"/>
                    <w:left w:val="none" w:sz="0" w:space="0" w:color="auto"/>
                    <w:bottom w:val="none" w:sz="0" w:space="0" w:color="auto"/>
                    <w:right w:val="none" w:sz="0" w:space="0" w:color="auto"/>
                  </w:divBdr>
                  <w:divsChild>
                    <w:div w:id="1416318763">
                      <w:marLeft w:val="0"/>
                      <w:marRight w:val="0"/>
                      <w:marTop w:val="0"/>
                      <w:marBottom w:val="0"/>
                      <w:divBdr>
                        <w:top w:val="none" w:sz="0" w:space="0" w:color="auto"/>
                        <w:left w:val="none" w:sz="0" w:space="0" w:color="auto"/>
                        <w:bottom w:val="none" w:sz="0" w:space="0" w:color="auto"/>
                        <w:right w:val="none" w:sz="0" w:space="0" w:color="auto"/>
                      </w:divBdr>
                    </w:div>
                  </w:divsChild>
                </w:div>
                <w:div w:id="902956420">
                  <w:marLeft w:val="0"/>
                  <w:marRight w:val="0"/>
                  <w:marTop w:val="0"/>
                  <w:marBottom w:val="0"/>
                  <w:divBdr>
                    <w:top w:val="none" w:sz="0" w:space="0" w:color="auto"/>
                    <w:left w:val="none" w:sz="0" w:space="0" w:color="auto"/>
                    <w:bottom w:val="none" w:sz="0" w:space="0" w:color="auto"/>
                    <w:right w:val="none" w:sz="0" w:space="0" w:color="auto"/>
                  </w:divBdr>
                  <w:divsChild>
                    <w:div w:id="800226147">
                      <w:marLeft w:val="0"/>
                      <w:marRight w:val="0"/>
                      <w:marTop w:val="0"/>
                      <w:marBottom w:val="0"/>
                      <w:divBdr>
                        <w:top w:val="none" w:sz="0" w:space="0" w:color="auto"/>
                        <w:left w:val="none" w:sz="0" w:space="0" w:color="auto"/>
                        <w:bottom w:val="none" w:sz="0" w:space="0" w:color="auto"/>
                        <w:right w:val="none" w:sz="0" w:space="0" w:color="auto"/>
                      </w:divBdr>
                    </w:div>
                  </w:divsChild>
                </w:div>
                <w:div w:id="913127299">
                  <w:marLeft w:val="0"/>
                  <w:marRight w:val="0"/>
                  <w:marTop w:val="0"/>
                  <w:marBottom w:val="0"/>
                  <w:divBdr>
                    <w:top w:val="none" w:sz="0" w:space="0" w:color="auto"/>
                    <w:left w:val="none" w:sz="0" w:space="0" w:color="auto"/>
                    <w:bottom w:val="none" w:sz="0" w:space="0" w:color="auto"/>
                    <w:right w:val="none" w:sz="0" w:space="0" w:color="auto"/>
                  </w:divBdr>
                  <w:divsChild>
                    <w:div w:id="735977385">
                      <w:marLeft w:val="0"/>
                      <w:marRight w:val="0"/>
                      <w:marTop w:val="0"/>
                      <w:marBottom w:val="0"/>
                      <w:divBdr>
                        <w:top w:val="none" w:sz="0" w:space="0" w:color="auto"/>
                        <w:left w:val="none" w:sz="0" w:space="0" w:color="auto"/>
                        <w:bottom w:val="none" w:sz="0" w:space="0" w:color="auto"/>
                        <w:right w:val="none" w:sz="0" w:space="0" w:color="auto"/>
                      </w:divBdr>
                    </w:div>
                    <w:div w:id="2003308583">
                      <w:marLeft w:val="0"/>
                      <w:marRight w:val="0"/>
                      <w:marTop w:val="0"/>
                      <w:marBottom w:val="0"/>
                      <w:divBdr>
                        <w:top w:val="none" w:sz="0" w:space="0" w:color="auto"/>
                        <w:left w:val="none" w:sz="0" w:space="0" w:color="auto"/>
                        <w:bottom w:val="none" w:sz="0" w:space="0" w:color="auto"/>
                        <w:right w:val="none" w:sz="0" w:space="0" w:color="auto"/>
                      </w:divBdr>
                    </w:div>
                  </w:divsChild>
                </w:div>
                <w:div w:id="921599746">
                  <w:marLeft w:val="0"/>
                  <w:marRight w:val="0"/>
                  <w:marTop w:val="0"/>
                  <w:marBottom w:val="0"/>
                  <w:divBdr>
                    <w:top w:val="none" w:sz="0" w:space="0" w:color="auto"/>
                    <w:left w:val="none" w:sz="0" w:space="0" w:color="auto"/>
                    <w:bottom w:val="none" w:sz="0" w:space="0" w:color="auto"/>
                    <w:right w:val="none" w:sz="0" w:space="0" w:color="auto"/>
                  </w:divBdr>
                  <w:divsChild>
                    <w:div w:id="1256785054">
                      <w:marLeft w:val="0"/>
                      <w:marRight w:val="0"/>
                      <w:marTop w:val="0"/>
                      <w:marBottom w:val="0"/>
                      <w:divBdr>
                        <w:top w:val="none" w:sz="0" w:space="0" w:color="auto"/>
                        <w:left w:val="none" w:sz="0" w:space="0" w:color="auto"/>
                        <w:bottom w:val="none" w:sz="0" w:space="0" w:color="auto"/>
                        <w:right w:val="none" w:sz="0" w:space="0" w:color="auto"/>
                      </w:divBdr>
                    </w:div>
                  </w:divsChild>
                </w:div>
                <w:div w:id="955284637">
                  <w:marLeft w:val="0"/>
                  <w:marRight w:val="0"/>
                  <w:marTop w:val="0"/>
                  <w:marBottom w:val="0"/>
                  <w:divBdr>
                    <w:top w:val="none" w:sz="0" w:space="0" w:color="auto"/>
                    <w:left w:val="none" w:sz="0" w:space="0" w:color="auto"/>
                    <w:bottom w:val="none" w:sz="0" w:space="0" w:color="auto"/>
                    <w:right w:val="none" w:sz="0" w:space="0" w:color="auto"/>
                  </w:divBdr>
                  <w:divsChild>
                    <w:div w:id="619648480">
                      <w:marLeft w:val="0"/>
                      <w:marRight w:val="0"/>
                      <w:marTop w:val="0"/>
                      <w:marBottom w:val="0"/>
                      <w:divBdr>
                        <w:top w:val="none" w:sz="0" w:space="0" w:color="auto"/>
                        <w:left w:val="none" w:sz="0" w:space="0" w:color="auto"/>
                        <w:bottom w:val="none" w:sz="0" w:space="0" w:color="auto"/>
                        <w:right w:val="none" w:sz="0" w:space="0" w:color="auto"/>
                      </w:divBdr>
                    </w:div>
                  </w:divsChild>
                </w:div>
                <w:div w:id="965500801">
                  <w:marLeft w:val="0"/>
                  <w:marRight w:val="0"/>
                  <w:marTop w:val="0"/>
                  <w:marBottom w:val="0"/>
                  <w:divBdr>
                    <w:top w:val="none" w:sz="0" w:space="0" w:color="auto"/>
                    <w:left w:val="none" w:sz="0" w:space="0" w:color="auto"/>
                    <w:bottom w:val="none" w:sz="0" w:space="0" w:color="auto"/>
                    <w:right w:val="none" w:sz="0" w:space="0" w:color="auto"/>
                  </w:divBdr>
                  <w:divsChild>
                    <w:div w:id="702293857">
                      <w:marLeft w:val="0"/>
                      <w:marRight w:val="0"/>
                      <w:marTop w:val="0"/>
                      <w:marBottom w:val="0"/>
                      <w:divBdr>
                        <w:top w:val="none" w:sz="0" w:space="0" w:color="auto"/>
                        <w:left w:val="none" w:sz="0" w:space="0" w:color="auto"/>
                        <w:bottom w:val="none" w:sz="0" w:space="0" w:color="auto"/>
                        <w:right w:val="none" w:sz="0" w:space="0" w:color="auto"/>
                      </w:divBdr>
                    </w:div>
                  </w:divsChild>
                </w:div>
                <w:div w:id="970403836">
                  <w:marLeft w:val="0"/>
                  <w:marRight w:val="0"/>
                  <w:marTop w:val="0"/>
                  <w:marBottom w:val="0"/>
                  <w:divBdr>
                    <w:top w:val="none" w:sz="0" w:space="0" w:color="auto"/>
                    <w:left w:val="none" w:sz="0" w:space="0" w:color="auto"/>
                    <w:bottom w:val="none" w:sz="0" w:space="0" w:color="auto"/>
                    <w:right w:val="none" w:sz="0" w:space="0" w:color="auto"/>
                  </w:divBdr>
                  <w:divsChild>
                    <w:div w:id="1127507790">
                      <w:marLeft w:val="0"/>
                      <w:marRight w:val="0"/>
                      <w:marTop w:val="0"/>
                      <w:marBottom w:val="0"/>
                      <w:divBdr>
                        <w:top w:val="none" w:sz="0" w:space="0" w:color="auto"/>
                        <w:left w:val="none" w:sz="0" w:space="0" w:color="auto"/>
                        <w:bottom w:val="none" w:sz="0" w:space="0" w:color="auto"/>
                        <w:right w:val="none" w:sz="0" w:space="0" w:color="auto"/>
                      </w:divBdr>
                    </w:div>
                  </w:divsChild>
                </w:div>
                <w:div w:id="1002003227">
                  <w:marLeft w:val="0"/>
                  <w:marRight w:val="0"/>
                  <w:marTop w:val="0"/>
                  <w:marBottom w:val="0"/>
                  <w:divBdr>
                    <w:top w:val="none" w:sz="0" w:space="0" w:color="auto"/>
                    <w:left w:val="none" w:sz="0" w:space="0" w:color="auto"/>
                    <w:bottom w:val="none" w:sz="0" w:space="0" w:color="auto"/>
                    <w:right w:val="none" w:sz="0" w:space="0" w:color="auto"/>
                  </w:divBdr>
                  <w:divsChild>
                    <w:div w:id="129637763">
                      <w:marLeft w:val="0"/>
                      <w:marRight w:val="0"/>
                      <w:marTop w:val="0"/>
                      <w:marBottom w:val="0"/>
                      <w:divBdr>
                        <w:top w:val="none" w:sz="0" w:space="0" w:color="auto"/>
                        <w:left w:val="none" w:sz="0" w:space="0" w:color="auto"/>
                        <w:bottom w:val="none" w:sz="0" w:space="0" w:color="auto"/>
                        <w:right w:val="none" w:sz="0" w:space="0" w:color="auto"/>
                      </w:divBdr>
                    </w:div>
                  </w:divsChild>
                </w:div>
                <w:div w:id="1009868233">
                  <w:marLeft w:val="0"/>
                  <w:marRight w:val="0"/>
                  <w:marTop w:val="0"/>
                  <w:marBottom w:val="0"/>
                  <w:divBdr>
                    <w:top w:val="none" w:sz="0" w:space="0" w:color="auto"/>
                    <w:left w:val="none" w:sz="0" w:space="0" w:color="auto"/>
                    <w:bottom w:val="none" w:sz="0" w:space="0" w:color="auto"/>
                    <w:right w:val="none" w:sz="0" w:space="0" w:color="auto"/>
                  </w:divBdr>
                  <w:divsChild>
                    <w:div w:id="907813084">
                      <w:marLeft w:val="0"/>
                      <w:marRight w:val="0"/>
                      <w:marTop w:val="0"/>
                      <w:marBottom w:val="0"/>
                      <w:divBdr>
                        <w:top w:val="none" w:sz="0" w:space="0" w:color="auto"/>
                        <w:left w:val="none" w:sz="0" w:space="0" w:color="auto"/>
                        <w:bottom w:val="none" w:sz="0" w:space="0" w:color="auto"/>
                        <w:right w:val="none" w:sz="0" w:space="0" w:color="auto"/>
                      </w:divBdr>
                    </w:div>
                    <w:div w:id="1459640798">
                      <w:marLeft w:val="0"/>
                      <w:marRight w:val="0"/>
                      <w:marTop w:val="0"/>
                      <w:marBottom w:val="0"/>
                      <w:divBdr>
                        <w:top w:val="none" w:sz="0" w:space="0" w:color="auto"/>
                        <w:left w:val="none" w:sz="0" w:space="0" w:color="auto"/>
                        <w:bottom w:val="none" w:sz="0" w:space="0" w:color="auto"/>
                        <w:right w:val="none" w:sz="0" w:space="0" w:color="auto"/>
                      </w:divBdr>
                    </w:div>
                  </w:divsChild>
                </w:div>
                <w:div w:id="1018657528">
                  <w:marLeft w:val="0"/>
                  <w:marRight w:val="0"/>
                  <w:marTop w:val="0"/>
                  <w:marBottom w:val="0"/>
                  <w:divBdr>
                    <w:top w:val="none" w:sz="0" w:space="0" w:color="auto"/>
                    <w:left w:val="none" w:sz="0" w:space="0" w:color="auto"/>
                    <w:bottom w:val="none" w:sz="0" w:space="0" w:color="auto"/>
                    <w:right w:val="none" w:sz="0" w:space="0" w:color="auto"/>
                  </w:divBdr>
                  <w:divsChild>
                    <w:div w:id="856500775">
                      <w:marLeft w:val="0"/>
                      <w:marRight w:val="0"/>
                      <w:marTop w:val="0"/>
                      <w:marBottom w:val="0"/>
                      <w:divBdr>
                        <w:top w:val="none" w:sz="0" w:space="0" w:color="auto"/>
                        <w:left w:val="none" w:sz="0" w:space="0" w:color="auto"/>
                        <w:bottom w:val="none" w:sz="0" w:space="0" w:color="auto"/>
                        <w:right w:val="none" w:sz="0" w:space="0" w:color="auto"/>
                      </w:divBdr>
                    </w:div>
                  </w:divsChild>
                </w:div>
                <w:div w:id="1021206398">
                  <w:marLeft w:val="0"/>
                  <w:marRight w:val="0"/>
                  <w:marTop w:val="0"/>
                  <w:marBottom w:val="0"/>
                  <w:divBdr>
                    <w:top w:val="none" w:sz="0" w:space="0" w:color="auto"/>
                    <w:left w:val="none" w:sz="0" w:space="0" w:color="auto"/>
                    <w:bottom w:val="none" w:sz="0" w:space="0" w:color="auto"/>
                    <w:right w:val="none" w:sz="0" w:space="0" w:color="auto"/>
                  </w:divBdr>
                  <w:divsChild>
                    <w:div w:id="773983558">
                      <w:marLeft w:val="0"/>
                      <w:marRight w:val="0"/>
                      <w:marTop w:val="0"/>
                      <w:marBottom w:val="0"/>
                      <w:divBdr>
                        <w:top w:val="none" w:sz="0" w:space="0" w:color="auto"/>
                        <w:left w:val="none" w:sz="0" w:space="0" w:color="auto"/>
                        <w:bottom w:val="none" w:sz="0" w:space="0" w:color="auto"/>
                        <w:right w:val="none" w:sz="0" w:space="0" w:color="auto"/>
                      </w:divBdr>
                    </w:div>
                    <w:div w:id="1910456309">
                      <w:marLeft w:val="0"/>
                      <w:marRight w:val="0"/>
                      <w:marTop w:val="0"/>
                      <w:marBottom w:val="0"/>
                      <w:divBdr>
                        <w:top w:val="none" w:sz="0" w:space="0" w:color="auto"/>
                        <w:left w:val="none" w:sz="0" w:space="0" w:color="auto"/>
                        <w:bottom w:val="none" w:sz="0" w:space="0" w:color="auto"/>
                        <w:right w:val="none" w:sz="0" w:space="0" w:color="auto"/>
                      </w:divBdr>
                    </w:div>
                    <w:div w:id="1951817294">
                      <w:marLeft w:val="0"/>
                      <w:marRight w:val="0"/>
                      <w:marTop w:val="0"/>
                      <w:marBottom w:val="0"/>
                      <w:divBdr>
                        <w:top w:val="none" w:sz="0" w:space="0" w:color="auto"/>
                        <w:left w:val="none" w:sz="0" w:space="0" w:color="auto"/>
                        <w:bottom w:val="none" w:sz="0" w:space="0" w:color="auto"/>
                        <w:right w:val="none" w:sz="0" w:space="0" w:color="auto"/>
                      </w:divBdr>
                    </w:div>
                  </w:divsChild>
                </w:div>
                <w:div w:id="1034845683">
                  <w:marLeft w:val="0"/>
                  <w:marRight w:val="0"/>
                  <w:marTop w:val="0"/>
                  <w:marBottom w:val="0"/>
                  <w:divBdr>
                    <w:top w:val="none" w:sz="0" w:space="0" w:color="auto"/>
                    <w:left w:val="none" w:sz="0" w:space="0" w:color="auto"/>
                    <w:bottom w:val="none" w:sz="0" w:space="0" w:color="auto"/>
                    <w:right w:val="none" w:sz="0" w:space="0" w:color="auto"/>
                  </w:divBdr>
                  <w:divsChild>
                    <w:div w:id="326984005">
                      <w:marLeft w:val="0"/>
                      <w:marRight w:val="0"/>
                      <w:marTop w:val="0"/>
                      <w:marBottom w:val="0"/>
                      <w:divBdr>
                        <w:top w:val="none" w:sz="0" w:space="0" w:color="auto"/>
                        <w:left w:val="none" w:sz="0" w:space="0" w:color="auto"/>
                        <w:bottom w:val="none" w:sz="0" w:space="0" w:color="auto"/>
                        <w:right w:val="none" w:sz="0" w:space="0" w:color="auto"/>
                      </w:divBdr>
                    </w:div>
                  </w:divsChild>
                </w:div>
                <w:div w:id="1037894290">
                  <w:marLeft w:val="0"/>
                  <w:marRight w:val="0"/>
                  <w:marTop w:val="0"/>
                  <w:marBottom w:val="0"/>
                  <w:divBdr>
                    <w:top w:val="none" w:sz="0" w:space="0" w:color="auto"/>
                    <w:left w:val="none" w:sz="0" w:space="0" w:color="auto"/>
                    <w:bottom w:val="none" w:sz="0" w:space="0" w:color="auto"/>
                    <w:right w:val="none" w:sz="0" w:space="0" w:color="auto"/>
                  </w:divBdr>
                  <w:divsChild>
                    <w:div w:id="201133148">
                      <w:marLeft w:val="0"/>
                      <w:marRight w:val="0"/>
                      <w:marTop w:val="0"/>
                      <w:marBottom w:val="0"/>
                      <w:divBdr>
                        <w:top w:val="none" w:sz="0" w:space="0" w:color="auto"/>
                        <w:left w:val="none" w:sz="0" w:space="0" w:color="auto"/>
                        <w:bottom w:val="none" w:sz="0" w:space="0" w:color="auto"/>
                        <w:right w:val="none" w:sz="0" w:space="0" w:color="auto"/>
                      </w:divBdr>
                    </w:div>
                    <w:div w:id="551582138">
                      <w:marLeft w:val="0"/>
                      <w:marRight w:val="0"/>
                      <w:marTop w:val="0"/>
                      <w:marBottom w:val="0"/>
                      <w:divBdr>
                        <w:top w:val="none" w:sz="0" w:space="0" w:color="auto"/>
                        <w:left w:val="none" w:sz="0" w:space="0" w:color="auto"/>
                        <w:bottom w:val="none" w:sz="0" w:space="0" w:color="auto"/>
                        <w:right w:val="none" w:sz="0" w:space="0" w:color="auto"/>
                      </w:divBdr>
                    </w:div>
                  </w:divsChild>
                </w:div>
                <w:div w:id="1038044483">
                  <w:marLeft w:val="0"/>
                  <w:marRight w:val="0"/>
                  <w:marTop w:val="0"/>
                  <w:marBottom w:val="0"/>
                  <w:divBdr>
                    <w:top w:val="none" w:sz="0" w:space="0" w:color="auto"/>
                    <w:left w:val="none" w:sz="0" w:space="0" w:color="auto"/>
                    <w:bottom w:val="none" w:sz="0" w:space="0" w:color="auto"/>
                    <w:right w:val="none" w:sz="0" w:space="0" w:color="auto"/>
                  </w:divBdr>
                  <w:divsChild>
                    <w:div w:id="1739742139">
                      <w:marLeft w:val="0"/>
                      <w:marRight w:val="0"/>
                      <w:marTop w:val="0"/>
                      <w:marBottom w:val="0"/>
                      <w:divBdr>
                        <w:top w:val="none" w:sz="0" w:space="0" w:color="auto"/>
                        <w:left w:val="none" w:sz="0" w:space="0" w:color="auto"/>
                        <w:bottom w:val="none" w:sz="0" w:space="0" w:color="auto"/>
                        <w:right w:val="none" w:sz="0" w:space="0" w:color="auto"/>
                      </w:divBdr>
                    </w:div>
                  </w:divsChild>
                </w:div>
                <w:div w:id="1041595552">
                  <w:marLeft w:val="0"/>
                  <w:marRight w:val="0"/>
                  <w:marTop w:val="0"/>
                  <w:marBottom w:val="0"/>
                  <w:divBdr>
                    <w:top w:val="none" w:sz="0" w:space="0" w:color="auto"/>
                    <w:left w:val="none" w:sz="0" w:space="0" w:color="auto"/>
                    <w:bottom w:val="none" w:sz="0" w:space="0" w:color="auto"/>
                    <w:right w:val="none" w:sz="0" w:space="0" w:color="auto"/>
                  </w:divBdr>
                  <w:divsChild>
                    <w:div w:id="83185604">
                      <w:marLeft w:val="0"/>
                      <w:marRight w:val="0"/>
                      <w:marTop w:val="0"/>
                      <w:marBottom w:val="0"/>
                      <w:divBdr>
                        <w:top w:val="none" w:sz="0" w:space="0" w:color="auto"/>
                        <w:left w:val="none" w:sz="0" w:space="0" w:color="auto"/>
                        <w:bottom w:val="none" w:sz="0" w:space="0" w:color="auto"/>
                        <w:right w:val="none" w:sz="0" w:space="0" w:color="auto"/>
                      </w:divBdr>
                    </w:div>
                  </w:divsChild>
                </w:div>
                <w:div w:id="1044984107">
                  <w:marLeft w:val="0"/>
                  <w:marRight w:val="0"/>
                  <w:marTop w:val="0"/>
                  <w:marBottom w:val="0"/>
                  <w:divBdr>
                    <w:top w:val="none" w:sz="0" w:space="0" w:color="auto"/>
                    <w:left w:val="none" w:sz="0" w:space="0" w:color="auto"/>
                    <w:bottom w:val="none" w:sz="0" w:space="0" w:color="auto"/>
                    <w:right w:val="none" w:sz="0" w:space="0" w:color="auto"/>
                  </w:divBdr>
                  <w:divsChild>
                    <w:div w:id="1551770582">
                      <w:marLeft w:val="0"/>
                      <w:marRight w:val="0"/>
                      <w:marTop w:val="0"/>
                      <w:marBottom w:val="0"/>
                      <w:divBdr>
                        <w:top w:val="none" w:sz="0" w:space="0" w:color="auto"/>
                        <w:left w:val="none" w:sz="0" w:space="0" w:color="auto"/>
                        <w:bottom w:val="none" w:sz="0" w:space="0" w:color="auto"/>
                        <w:right w:val="none" w:sz="0" w:space="0" w:color="auto"/>
                      </w:divBdr>
                    </w:div>
                    <w:div w:id="1777284682">
                      <w:marLeft w:val="0"/>
                      <w:marRight w:val="0"/>
                      <w:marTop w:val="0"/>
                      <w:marBottom w:val="0"/>
                      <w:divBdr>
                        <w:top w:val="none" w:sz="0" w:space="0" w:color="auto"/>
                        <w:left w:val="none" w:sz="0" w:space="0" w:color="auto"/>
                        <w:bottom w:val="none" w:sz="0" w:space="0" w:color="auto"/>
                        <w:right w:val="none" w:sz="0" w:space="0" w:color="auto"/>
                      </w:divBdr>
                    </w:div>
                  </w:divsChild>
                </w:div>
                <w:div w:id="1063410959">
                  <w:marLeft w:val="0"/>
                  <w:marRight w:val="0"/>
                  <w:marTop w:val="0"/>
                  <w:marBottom w:val="0"/>
                  <w:divBdr>
                    <w:top w:val="none" w:sz="0" w:space="0" w:color="auto"/>
                    <w:left w:val="none" w:sz="0" w:space="0" w:color="auto"/>
                    <w:bottom w:val="none" w:sz="0" w:space="0" w:color="auto"/>
                    <w:right w:val="none" w:sz="0" w:space="0" w:color="auto"/>
                  </w:divBdr>
                  <w:divsChild>
                    <w:div w:id="642080801">
                      <w:marLeft w:val="0"/>
                      <w:marRight w:val="0"/>
                      <w:marTop w:val="0"/>
                      <w:marBottom w:val="0"/>
                      <w:divBdr>
                        <w:top w:val="none" w:sz="0" w:space="0" w:color="auto"/>
                        <w:left w:val="none" w:sz="0" w:space="0" w:color="auto"/>
                        <w:bottom w:val="none" w:sz="0" w:space="0" w:color="auto"/>
                        <w:right w:val="none" w:sz="0" w:space="0" w:color="auto"/>
                      </w:divBdr>
                    </w:div>
                    <w:div w:id="1843424629">
                      <w:marLeft w:val="0"/>
                      <w:marRight w:val="0"/>
                      <w:marTop w:val="0"/>
                      <w:marBottom w:val="0"/>
                      <w:divBdr>
                        <w:top w:val="none" w:sz="0" w:space="0" w:color="auto"/>
                        <w:left w:val="none" w:sz="0" w:space="0" w:color="auto"/>
                        <w:bottom w:val="none" w:sz="0" w:space="0" w:color="auto"/>
                        <w:right w:val="none" w:sz="0" w:space="0" w:color="auto"/>
                      </w:divBdr>
                    </w:div>
                  </w:divsChild>
                </w:div>
                <w:div w:id="1102799916">
                  <w:marLeft w:val="0"/>
                  <w:marRight w:val="0"/>
                  <w:marTop w:val="0"/>
                  <w:marBottom w:val="0"/>
                  <w:divBdr>
                    <w:top w:val="none" w:sz="0" w:space="0" w:color="auto"/>
                    <w:left w:val="none" w:sz="0" w:space="0" w:color="auto"/>
                    <w:bottom w:val="none" w:sz="0" w:space="0" w:color="auto"/>
                    <w:right w:val="none" w:sz="0" w:space="0" w:color="auto"/>
                  </w:divBdr>
                  <w:divsChild>
                    <w:div w:id="666204357">
                      <w:marLeft w:val="0"/>
                      <w:marRight w:val="0"/>
                      <w:marTop w:val="0"/>
                      <w:marBottom w:val="0"/>
                      <w:divBdr>
                        <w:top w:val="none" w:sz="0" w:space="0" w:color="auto"/>
                        <w:left w:val="none" w:sz="0" w:space="0" w:color="auto"/>
                        <w:bottom w:val="none" w:sz="0" w:space="0" w:color="auto"/>
                        <w:right w:val="none" w:sz="0" w:space="0" w:color="auto"/>
                      </w:divBdr>
                    </w:div>
                  </w:divsChild>
                </w:div>
                <w:div w:id="1126585973">
                  <w:marLeft w:val="0"/>
                  <w:marRight w:val="0"/>
                  <w:marTop w:val="0"/>
                  <w:marBottom w:val="0"/>
                  <w:divBdr>
                    <w:top w:val="none" w:sz="0" w:space="0" w:color="auto"/>
                    <w:left w:val="none" w:sz="0" w:space="0" w:color="auto"/>
                    <w:bottom w:val="none" w:sz="0" w:space="0" w:color="auto"/>
                    <w:right w:val="none" w:sz="0" w:space="0" w:color="auto"/>
                  </w:divBdr>
                  <w:divsChild>
                    <w:div w:id="1852988037">
                      <w:marLeft w:val="0"/>
                      <w:marRight w:val="0"/>
                      <w:marTop w:val="0"/>
                      <w:marBottom w:val="0"/>
                      <w:divBdr>
                        <w:top w:val="none" w:sz="0" w:space="0" w:color="auto"/>
                        <w:left w:val="none" w:sz="0" w:space="0" w:color="auto"/>
                        <w:bottom w:val="none" w:sz="0" w:space="0" w:color="auto"/>
                        <w:right w:val="none" w:sz="0" w:space="0" w:color="auto"/>
                      </w:divBdr>
                    </w:div>
                  </w:divsChild>
                </w:div>
                <w:div w:id="1137071725">
                  <w:marLeft w:val="0"/>
                  <w:marRight w:val="0"/>
                  <w:marTop w:val="0"/>
                  <w:marBottom w:val="0"/>
                  <w:divBdr>
                    <w:top w:val="none" w:sz="0" w:space="0" w:color="auto"/>
                    <w:left w:val="none" w:sz="0" w:space="0" w:color="auto"/>
                    <w:bottom w:val="none" w:sz="0" w:space="0" w:color="auto"/>
                    <w:right w:val="none" w:sz="0" w:space="0" w:color="auto"/>
                  </w:divBdr>
                  <w:divsChild>
                    <w:div w:id="748191718">
                      <w:marLeft w:val="0"/>
                      <w:marRight w:val="0"/>
                      <w:marTop w:val="0"/>
                      <w:marBottom w:val="0"/>
                      <w:divBdr>
                        <w:top w:val="none" w:sz="0" w:space="0" w:color="auto"/>
                        <w:left w:val="none" w:sz="0" w:space="0" w:color="auto"/>
                        <w:bottom w:val="none" w:sz="0" w:space="0" w:color="auto"/>
                        <w:right w:val="none" w:sz="0" w:space="0" w:color="auto"/>
                      </w:divBdr>
                    </w:div>
                  </w:divsChild>
                </w:div>
                <w:div w:id="1140421239">
                  <w:marLeft w:val="0"/>
                  <w:marRight w:val="0"/>
                  <w:marTop w:val="0"/>
                  <w:marBottom w:val="0"/>
                  <w:divBdr>
                    <w:top w:val="none" w:sz="0" w:space="0" w:color="auto"/>
                    <w:left w:val="none" w:sz="0" w:space="0" w:color="auto"/>
                    <w:bottom w:val="none" w:sz="0" w:space="0" w:color="auto"/>
                    <w:right w:val="none" w:sz="0" w:space="0" w:color="auto"/>
                  </w:divBdr>
                  <w:divsChild>
                    <w:div w:id="1692299827">
                      <w:marLeft w:val="0"/>
                      <w:marRight w:val="0"/>
                      <w:marTop w:val="0"/>
                      <w:marBottom w:val="0"/>
                      <w:divBdr>
                        <w:top w:val="none" w:sz="0" w:space="0" w:color="auto"/>
                        <w:left w:val="none" w:sz="0" w:space="0" w:color="auto"/>
                        <w:bottom w:val="none" w:sz="0" w:space="0" w:color="auto"/>
                        <w:right w:val="none" w:sz="0" w:space="0" w:color="auto"/>
                      </w:divBdr>
                    </w:div>
                  </w:divsChild>
                </w:div>
                <w:div w:id="1223368431">
                  <w:marLeft w:val="0"/>
                  <w:marRight w:val="0"/>
                  <w:marTop w:val="0"/>
                  <w:marBottom w:val="0"/>
                  <w:divBdr>
                    <w:top w:val="none" w:sz="0" w:space="0" w:color="auto"/>
                    <w:left w:val="none" w:sz="0" w:space="0" w:color="auto"/>
                    <w:bottom w:val="none" w:sz="0" w:space="0" w:color="auto"/>
                    <w:right w:val="none" w:sz="0" w:space="0" w:color="auto"/>
                  </w:divBdr>
                  <w:divsChild>
                    <w:div w:id="372735097">
                      <w:marLeft w:val="0"/>
                      <w:marRight w:val="0"/>
                      <w:marTop w:val="0"/>
                      <w:marBottom w:val="0"/>
                      <w:divBdr>
                        <w:top w:val="none" w:sz="0" w:space="0" w:color="auto"/>
                        <w:left w:val="none" w:sz="0" w:space="0" w:color="auto"/>
                        <w:bottom w:val="none" w:sz="0" w:space="0" w:color="auto"/>
                        <w:right w:val="none" w:sz="0" w:space="0" w:color="auto"/>
                      </w:divBdr>
                    </w:div>
                    <w:div w:id="1280185139">
                      <w:marLeft w:val="0"/>
                      <w:marRight w:val="0"/>
                      <w:marTop w:val="0"/>
                      <w:marBottom w:val="0"/>
                      <w:divBdr>
                        <w:top w:val="none" w:sz="0" w:space="0" w:color="auto"/>
                        <w:left w:val="none" w:sz="0" w:space="0" w:color="auto"/>
                        <w:bottom w:val="none" w:sz="0" w:space="0" w:color="auto"/>
                        <w:right w:val="none" w:sz="0" w:space="0" w:color="auto"/>
                      </w:divBdr>
                    </w:div>
                  </w:divsChild>
                </w:div>
                <w:div w:id="1237859338">
                  <w:marLeft w:val="0"/>
                  <w:marRight w:val="0"/>
                  <w:marTop w:val="0"/>
                  <w:marBottom w:val="0"/>
                  <w:divBdr>
                    <w:top w:val="none" w:sz="0" w:space="0" w:color="auto"/>
                    <w:left w:val="none" w:sz="0" w:space="0" w:color="auto"/>
                    <w:bottom w:val="none" w:sz="0" w:space="0" w:color="auto"/>
                    <w:right w:val="none" w:sz="0" w:space="0" w:color="auto"/>
                  </w:divBdr>
                  <w:divsChild>
                    <w:div w:id="1826973131">
                      <w:marLeft w:val="0"/>
                      <w:marRight w:val="0"/>
                      <w:marTop w:val="0"/>
                      <w:marBottom w:val="0"/>
                      <w:divBdr>
                        <w:top w:val="none" w:sz="0" w:space="0" w:color="auto"/>
                        <w:left w:val="none" w:sz="0" w:space="0" w:color="auto"/>
                        <w:bottom w:val="none" w:sz="0" w:space="0" w:color="auto"/>
                        <w:right w:val="none" w:sz="0" w:space="0" w:color="auto"/>
                      </w:divBdr>
                    </w:div>
                  </w:divsChild>
                </w:div>
                <w:div w:id="1246063618">
                  <w:marLeft w:val="0"/>
                  <w:marRight w:val="0"/>
                  <w:marTop w:val="0"/>
                  <w:marBottom w:val="0"/>
                  <w:divBdr>
                    <w:top w:val="none" w:sz="0" w:space="0" w:color="auto"/>
                    <w:left w:val="none" w:sz="0" w:space="0" w:color="auto"/>
                    <w:bottom w:val="none" w:sz="0" w:space="0" w:color="auto"/>
                    <w:right w:val="none" w:sz="0" w:space="0" w:color="auto"/>
                  </w:divBdr>
                  <w:divsChild>
                    <w:div w:id="1809736699">
                      <w:marLeft w:val="0"/>
                      <w:marRight w:val="0"/>
                      <w:marTop w:val="0"/>
                      <w:marBottom w:val="0"/>
                      <w:divBdr>
                        <w:top w:val="none" w:sz="0" w:space="0" w:color="auto"/>
                        <w:left w:val="none" w:sz="0" w:space="0" w:color="auto"/>
                        <w:bottom w:val="none" w:sz="0" w:space="0" w:color="auto"/>
                        <w:right w:val="none" w:sz="0" w:space="0" w:color="auto"/>
                      </w:divBdr>
                    </w:div>
                  </w:divsChild>
                </w:div>
                <w:div w:id="1248156099">
                  <w:marLeft w:val="0"/>
                  <w:marRight w:val="0"/>
                  <w:marTop w:val="0"/>
                  <w:marBottom w:val="0"/>
                  <w:divBdr>
                    <w:top w:val="none" w:sz="0" w:space="0" w:color="auto"/>
                    <w:left w:val="none" w:sz="0" w:space="0" w:color="auto"/>
                    <w:bottom w:val="none" w:sz="0" w:space="0" w:color="auto"/>
                    <w:right w:val="none" w:sz="0" w:space="0" w:color="auto"/>
                  </w:divBdr>
                  <w:divsChild>
                    <w:div w:id="268128634">
                      <w:marLeft w:val="0"/>
                      <w:marRight w:val="0"/>
                      <w:marTop w:val="0"/>
                      <w:marBottom w:val="0"/>
                      <w:divBdr>
                        <w:top w:val="none" w:sz="0" w:space="0" w:color="auto"/>
                        <w:left w:val="none" w:sz="0" w:space="0" w:color="auto"/>
                        <w:bottom w:val="none" w:sz="0" w:space="0" w:color="auto"/>
                        <w:right w:val="none" w:sz="0" w:space="0" w:color="auto"/>
                      </w:divBdr>
                    </w:div>
                    <w:div w:id="734940102">
                      <w:marLeft w:val="0"/>
                      <w:marRight w:val="0"/>
                      <w:marTop w:val="0"/>
                      <w:marBottom w:val="0"/>
                      <w:divBdr>
                        <w:top w:val="none" w:sz="0" w:space="0" w:color="auto"/>
                        <w:left w:val="none" w:sz="0" w:space="0" w:color="auto"/>
                        <w:bottom w:val="none" w:sz="0" w:space="0" w:color="auto"/>
                        <w:right w:val="none" w:sz="0" w:space="0" w:color="auto"/>
                      </w:divBdr>
                    </w:div>
                  </w:divsChild>
                </w:div>
                <w:div w:id="1289579869">
                  <w:marLeft w:val="0"/>
                  <w:marRight w:val="0"/>
                  <w:marTop w:val="0"/>
                  <w:marBottom w:val="0"/>
                  <w:divBdr>
                    <w:top w:val="none" w:sz="0" w:space="0" w:color="auto"/>
                    <w:left w:val="none" w:sz="0" w:space="0" w:color="auto"/>
                    <w:bottom w:val="none" w:sz="0" w:space="0" w:color="auto"/>
                    <w:right w:val="none" w:sz="0" w:space="0" w:color="auto"/>
                  </w:divBdr>
                  <w:divsChild>
                    <w:div w:id="758795708">
                      <w:marLeft w:val="0"/>
                      <w:marRight w:val="0"/>
                      <w:marTop w:val="0"/>
                      <w:marBottom w:val="0"/>
                      <w:divBdr>
                        <w:top w:val="none" w:sz="0" w:space="0" w:color="auto"/>
                        <w:left w:val="none" w:sz="0" w:space="0" w:color="auto"/>
                        <w:bottom w:val="none" w:sz="0" w:space="0" w:color="auto"/>
                        <w:right w:val="none" w:sz="0" w:space="0" w:color="auto"/>
                      </w:divBdr>
                    </w:div>
                    <w:div w:id="777411431">
                      <w:marLeft w:val="0"/>
                      <w:marRight w:val="0"/>
                      <w:marTop w:val="0"/>
                      <w:marBottom w:val="0"/>
                      <w:divBdr>
                        <w:top w:val="none" w:sz="0" w:space="0" w:color="auto"/>
                        <w:left w:val="none" w:sz="0" w:space="0" w:color="auto"/>
                        <w:bottom w:val="none" w:sz="0" w:space="0" w:color="auto"/>
                        <w:right w:val="none" w:sz="0" w:space="0" w:color="auto"/>
                      </w:divBdr>
                    </w:div>
                  </w:divsChild>
                </w:div>
                <w:div w:id="1290815726">
                  <w:marLeft w:val="0"/>
                  <w:marRight w:val="0"/>
                  <w:marTop w:val="0"/>
                  <w:marBottom w:val="0"/>
                  <w:divBdr>
                    <w:top w:val="none" w:sz="0" w:space="0" w:color="auto"/>
                    <w:left w:val="none" w:sz="0" w:space="0" w:color="auto"/>
                    <w:bottom w:val="none" w:sz="0" w:space="0" w:color="auto"/>
                    <w:right w:val="none" w:sz="0" w:space="0" w:color="auto"/>
                  </w:divBdr>
                  <w:divsChild>
                    <w:div w:id="1181311055">
                      <w:marLeft w:val="0"/>
                      <w:marRight w:val="0"/>
                      <w:marTop w:val="0"/>
                      <w:marBottom w:val="0"/>
                      <w:divBdr>
                        <w:top w:val="none" w:sz="0" w:space="0" w:color="auto"/>
                        <w:left w:val="none" w:sz="0" w:space="0" w:color="auto"/>
                        <w:bottom w:val="none" w:sz="0" w:space="0" w:color="auto"/>
                        <w:right w:val="none" w:sz="0" w:space="0" w:color="auto"/>
                      </w:divBdr>
                    </w:div>
                  </w:divsChild>
                </w:div>
                <w:div w:id="1320234097">
                  <w:marLeft w:val="0"/>
                  <w:marRight w:val="0"/>
                  <w:marTop w:val="0"/>
                  <w:marBottom w:val="0"/>
                  <w:divBdr>
                    <w:top w:val="none" w:sz="0" w:space="0" w:color="auto"/>
                    <w:left w:val="none" w:sz="0" w:space="0" w:color="auto"/>
                    <w:bottom w:val="none" w:sz="0" w:space="0" w:color="auto"/>
                    <w:right w:val="none" w:sz="0" w:space="0" w:color="auto"/>
                  </w:divBdr>
                  <w:divsChild>
                    <w:div w:id="1690914543">
                      <w:marLeft w:val="0"/>
                      <w:marRight w:val="0"/>
                      <w:marTop w:val="0"/>
                      <w:marBottom w:val="0"/>
                      <w:divBdr>
                        <w:top w:val="none" w:sz="0" w:space="0" w:color="auto"/>
                        <w:left w:val="none" w:sz="0" w:space="0" w:color="auto"/>
                        <w:bottom w:val="none" w:sz="0" w:space="0" w:color="auto"/>
                        <w:right w:val="none" w:sz="0" w:space="0" w:color="auto"/>
                      </w:divBdr>
                    </w:div>
                  </w:divsChild>
                </w:div>
                <w:div w:id="1373577026">
                  <w:marLeft w:val="0"/>
                  <w:marRight w:val="0"/>
                  <w:marTop w:val="0"/>
                  <w:marBottom w:val="0"/>
                  <w:divBdr>
                    <w:top w:val="none" w:sz="0" w:space="0" w:color="auto"/>
                    <w:left w:val="none" w:sz="0" w:space="0" w:color="auto"/>
                    <w:bottom w:val="none" w:sz="0" w:space="0" w:color="auto"/>
                    <w:right w:val="none" w:sz="0" w:space="0" w:color="auto"/>
                  </w:divBdr>
                  <w:divsChild>
                    <w:div w:id="2057267643">
                      <w:marLeft w:val="0"/>
                      <w:marRight w:val="0"/>
                      <w:marTop w:val="0"/>
                      <w:marBottom w:val="0"/>
                      <w:divBdr>
                        <w:top w:val="none" w:sz="0" w:space="0" w:color="auto"/>
                        <w:left w:val="none" w:sz="0" w:space="0" w:color="auto"/>
                        <w:bottom w:val="none" w:sz="0" w:space="0" w:color="auto"/>
                        <w:right w:val="none" w:sz="0" w:space="0" w:color="auto"/>
                      </w:divBdr>
                    </w:div>
                  </w:divsChild>
                </w:div>
                <w:div w:id="1421292893">
                  <w:marLeft w:val="0"/>
                  <w:marRight w:val="0"/>
                  <w:marTop w:val="0"/>
                  <w:marBottom w:val="0"/>
                  <w:divBdr>
                    <w:top w:val="none" w:sz="0" w:space="0" w:color="auto"/>
                    <w:left w:val="none" w:sz="0" w:space="0" w:color="auto"/>
                    <w:bottom w:val="none" w:sz="0" w:space="0" w:color="auto"/>
                    <w:right w:val="none" w:sz="0" w:space="0" w:color="auto"/>
                  </w:divBdr>
                  <w:divsChild>
                    <w:div w:id="720906692">
                      <w:marLeft w:val="0"/>
                      <w:marRight w:val="0"/>
                      <w:marTop w:val="0"/>
                      <w:marBottom w:val="0"/>
                      <w:divBdr>
                        <w:top w:val="none" w:sz="0" w:space="0" w:color="auto"/>
                        <w:left w:val="none" w:sz="0" w:space="0" w:color="auto"/>
                        <w:bottom w:val="none" w:sz="0" w:space="0" w:color="auto"/>
                        <w:right w:val="none" w:sz="0" w:space="0" w:color="auto"/>
                      </w:divBdr>
                    </w:div>
                  </w:divsChild>
                </w:div>
                <w:div w:id="1439136940">
                  <w:marLeft w:val="0"/>
                  <w:marRight w:val="0"/>
                  <w:marTop w:val="0"/>
                  <w:marBottom w:val="0"/>
                  <w:divBdr>
                    <w:top w:val="none" w:sz="0" w:space="0" w:color="auto"/>
                    <w:left w:val="none" w:sz="0" w:space="0" w:color="auto"/>
                    <w:bottom w:val="none" w:sz="0" w:space="0" w:color="auto"/>
                    <w:right w:val="none" w:sz="0" w:space="0" w:color="auto"/>
                  </w:divBdr>
                  <w:divsChild>
                    <w:div w:id="1180897377">
                      <w:marLeft w:val="0"/>
                      <w:marRight w:val="0"/>
                      <w:marTop w:val="0"/>
                      <w:marBottom w:val="0"/>
                      <w:divBdr>
                        <w:top w:val="none" w:sz="0" w:space="0" w:color="auto"/>
                        <w:left w:val="none" w:sz="0" w:space="0" w:color="auto"/>
                        <w:bottom w:val="none" w:sz="0" w:space="0" w:color="auto"/>
                        <w:right w:val="none" w:sz="0" w:space="0" w:color="auto"/>
                      </w:divBdr>
                    </w:div>
                    <w:div w:id="2052730128">
                      <w:marLeft w:val="0"/>
                      <w:marRight w:val="0"/>
                      <w:marTop w:val="0"/>
                      <w:marBottom w:val="0"/>
                      <w:divBdr>
                        <w:top w:val="none" w:sz="0" w:space="0" w:color="auto"/>
                        <w:left w:val="none" w:sz="0" w:space="0" w:color="auto"/>
                        <w:bottom w:val="none" w:sz="0" w:space="0" w:color="auto"/>
                        <w:right w:val="none" w:sz="0" w:space="0" w:color="auto"/>
                      </w:divBdr>
                    </w:div>
                  </w:divsChild>
                </w:div>
                <w:div w:id="1479296992">
                  <w:marLeft w:val="0"/>
                  <w:marRight w:val="0"/>
                  <w:marTop w:val="0"/>
                  <w:marBottom w:val="0"/>
                  <w:divBdr>
                    <w:top w:val="none" w:sz="0" w:space="0" w:color="auto"/>
                    <w:left w:val="none" w:sz="0" w:space="0" w:color="auto"/>
                    <w:bottom w:val="none" w:sz="0" w:space="0" w:color="auto"/>
                    <w:right w:val="none" w:sz="0" w:space="0" w:color="auto"/>
                  </w:divBdr>
                  <w:divsChild>
                    <w:div w:id="2106151597">
                      <w:marLeft w:val="0"/>
                      <w:marRight w:val="0"/>
                      <w:marTop w:val="0"/>
                      <w:marBottom w:val="0"/>
                      <w:divBdr>
                        <w:top w:val="none" w:sz="0" w:space="0" w:color="auto"/>
                        <w:left w:val="none" w:sz="0" w:space="0" w:color="auto"/>
                        <w:bottom w:val="none" w:sz="0" w:space="0" w:color="auto"/>
                        <w:right w:val="none" w:sz="0" w:space="0" w:color="auto"/>
                      </w:divBdr>
                    </w:div>
                  </w:divsChild>
                </w:div>
                <w:div w:id="1480800770">
                  <w:marLeft w:val="0"/>
                  <w:marRight w:val="0"/>
                  <w:marTop w:val="0"/>
                  <w:marBottom w:val="0"/>
                  <w:divBdr>
                    <w:top w:val="none" w:sz="0" w:space="0" w:color="auto"/>
                    <w:left w:val="none" w:sz="0" w:space="0" w:color="auto"/>
                    <w:bottom w:val="none" w:sz="0" w:space="0" w:color="auto"/>
                    <w:right w:val="none" w:sz="0" w:space="0" w:color="auto"/>
                  </w:divBdr>
                  <w:divsChild>
                    <w:div w:id="823543595">
                      <w:marLeft w:val="0"/>
                      <w:marRight w:val="0"/>
                      <w:marTop w:val="0"/>
                      <w:marBottom w:val="0"/>
                      <w:divBdr>
                        <w:top w:val="none" w:sz="0" w:space="0" w:color="auto"/>
                        <w:left w:val="none" w:sz="0" w:space="0" w:color="auto"/>
                        <w:bottom w:val="none" w:sz="0" w:space="0" w:color="auto"/>
                        <w:right w:val="none" w:sz="0" w:space="0" w:color="auto"/>
                      </w:divBdr>
                    </w:div>
                  </w:divsChild>
                </w:div>
                <w:div w:id="1555892918">
                  <w:marLeft w:val="0"/>
                  <w:marRight w:val="0"/>
                  <w:marTop w:val="0"/>
                  <w:marBottom w:val="0"/>
                  <w:divBdr>
                    <w:top w:val="none" w:sz="0" w:space="0" w:color="auto"/>
                    <w:left w:val="none" w:sz="0" w:space="0" w:color="auto"/>
                    <w:bottom w:val="none" w:sz="0" w:space="0" w:color="auto"/>
                    <w:right w:val="none" w:sz="0" w:space="0" w:color="auto"/>
                  </w:divBdr>
                  <w:divsChild>
                    <w:div w:id="1156066463">
                      <w:marLeft w:val="0"/>
                      <w:marRight w:val="0"/>
                      <w:marTop w:val="0"/>
                      <w:marBottom w:val="0"/>
                      <w:divBdr>
                        <w:top w:val="none" w:sz="0" w:space="0" w:color="auto"/>
                        <w:left w:val="none" w:sz="0" w:space="0" w:color="auto"/>
                        <w:bottom w:val="none" w:sz="0" w:space="0" w:color="auto"/>
                        <w:right w:val="none" w:sz="0" w:space="0" w:color="auto"/>
                      </w:divBdr>
                    </w:div>
                    <w:div w:id="1322657963">
                      <w:marLeft w:val="0"/>
                      <w:marRight w:val="0"/>
                      <w:marTop w:val="0"/>
                      <w:marBottom w:val="0"/>
                      <w:divBdr>
                        <w:top w:val="none" w:sz="0" w:space="0" w:color="auto"/>
                        <w:left w:val="none" w:sz="0" w:space="0" w:color="auto"/>
                        <w:bottom w:val="none" w:sz="0" w:space="0" w:color="auto"/>
                        <w:right w:val="none" w:sz="0" w:space="0" w:color="auto"/>
                      </w:divBdr>
                    </w:div>
                  </w:divsChild>
                </w:div>
                <w:div w:id="1631477758">
                  <w:marLeft w:val="0"/>
                  <w:marRight w:val="0"/>
                  <w:marTop w:val="0"/>
                  <w:marBottom w:val="0"/>
                  <w:divBdr>
                    <w:top w:val="none" w:sz="0" w:space="0" w:color="auto"/>
                    <w:left w:val="none" w:sz="0" w:space="0" w:color="auto"/>
                    <w:bottom w:val="none" w:sz="0" w:space="0" w:color="auto"/>
                    <w:right w:val="none" w:sz="0" w:space="0" w:color="auto"/>
                  </w:divBdr>
                  <w:divsChild>
                    <w:div w:id="1574923558">
                      <w:marLeft w:val="0"/>
                      <w:marRight w:val="0"/>
                      <w:marTop w:val="0"/>
                      <w:marBottom w:val="0"/>
                      <w:divBdr>
                        <w:top w:val="none" w:sz="0" w:space="0" w:color="auto"/>
                        <w:left w:val="none" w:sz="0" w:space="0" w:color="auto"/>
                        <w:bottom w:val="none" w:sz="0" w:space="0" w:color="auto"/>
                        <w:right w:val="none" w:sz="0" w:space="0" w:color="auto"/>
                      </w:divBdr>
                    </w:div>
                    <w:div w:id="1854950134">
                      <w:marLeft w:val="0"/>
                      <w:marRight w:val="0"/>
                      <w:marTop w:val="0"/>
                      <w:marBottom w:val="0"/>
                      <w:divBdr>
                        <w:top w:val="none" w:sz="0" w:space="0" w:color="auto"/>
                        <w:left w:val="none" w:sz="0" w:space="0" w:color="auto"/>
                        <w:bottom w:val="none" w:sz="0" w:space="0" w:color="auto"/>
                        <w:right w:val="none" w:sz="0" w:space="0" w:color="auto"/>
                      </w:divBdr>
                    </w:div>
                  </w:divsChild>
                </w:div>
                <w:div w:id="1658262362">
                  <w:marLeft w:val="0"/>
                  <w:marRight w:val="0"/>
                  <w:marTop w:val="0"/>
                  <w:marBottom w:val="0"/>
                  <w:divBdr>
                    <w:top w:val="none" w:sz="0" w:space="0" w:color="auto"/>
                    <w:left w:val="none" w:sz="0" w:space="0" w:color="auto"/>
                    <w:bottom w:val="none" w:sz="0" w:space="0" w:color="auto"/>
                    <w:right w:val="none" w:sz="0" w:space="0" w:color="auto"/>
                  </w:divBdr>
                  <w:divsChild>
                    <w:div w:id="1633556351">
                      <w:marLeft w:val="0"/>
                      <w:marRight w:val="0"/>
                      <w:marTop w:val="0"/>
                      <w:marBottom w:val="0"/>
                      <w:divBdr>
                        <w:top w:val="none" w:sz="0" w:space="0" w:color="auto"/>
                        <w:left w:val="none" w:sz="0" w:space="0" w:color="auto"/>
                        <w:bottom w:val="none" w:sz="0" w:space="0" w:color="auto"/>
                        <w:right w:val="none" w:sz="0" w:space="0" w:color="auto"/>
                      </w:divBdr>
                    </w:div>
                  </w:divsChild>
                </w:div>
                <w:div w:id="1671642257">
                  <w:marLeft w:val="0"/>
                  <w:marRight w:val="0"/>
                  <w:marTop w:val="0"/>
                  <w:marBottom w:val="0"/>
                  <w:divBdr>
                    <w:top w:val="none" w:sz="0" w:space="0" w:color="auto"/>
                    <w:left w:val="none" w:sz="0" w:space="0" w:color="auto"/>
                    <w:bottom w:val="none" w:sz="0" w:space="0" w:color="auto"/>
                    <w:right w:val="none" w:sz="0" w:space="0" w:color="auto"/>
                  </w:divBdr>
                  <w:divsChild>
                    <w:div w:id="2036231882">
                      <w:marLeft w:val="0"/>
                      <w:marRight w:val="0"/>
                      <w:marTop w:val="0"/>
                      <w:marBottom w:val="0"/>
                      <w:divBdr>
                        <w:top w:val="none" w:sz="0" w:space="0" w:color="auto"/>
                        <w:left w:val="none" w:sz="0" w:space="0" w:color="auto"/>
                        <w:bottom w:val="none" w:sz="0" w:space="0" w:color="auto"/>
                        <w:right w:val="none" w:sz="0" w:space="0" w:color="auto"/>
                      </w:divBdr>
                    </w:div>
                  </w:divsChild>
                </w:div>
                <w:div w:id="1825734618">
                  <w:marLeft w:val="0"/>
                  <w:marRight w:val="0"/>
                  <w:marTop w:val="0"/>
                  <w:marBottom w:val="0"/>
                  <w:divBdr>
                    <w:top w:val="none" w:sz="0" w:space="0" w:color="auto"/>
                    <w:left w:val="none" w:sz="0" w:space="0" w:color="auto"/>
                    <w:bottom w:val="none" w:sz="0" w:space="0" w:color="auto"/>
                    <w:right w:val="none" w:sz="0" w:space="0" w:color="auto"/>
                  </w:divBdr>
                  <w:divsChild>
                    <w:div w:id="60563682">
                      <w:marLeft w:val="0"/>
                      <w:marRight w:val="0"/>
                      <w:marTop w:val="0"/>
                      <w:marBottom w:val="0"/>
                      <w:divBdr>
                        <w:top w:val="none" w:sz="0" w:space="0" w:color="auto"/>
                        <w:left w:val="none" w:sz="0" w:space="0" w:color="auto"/>
                        <w:bottom w:val="none" w:sz="0" w:space="0" w:color="auto"/>
                        <w:right w:val="none" w:sz="0" w:space="0" w:color="auto"/>
                      </w:divBdr>
                    </w:div>
                    <w:div w:id="486826541">
                      <w:marLeft w:val="0"/>
                      <w:marRight w:val="0"/>
                      <w:marTop w:val="0"/>
                      <w:marBottom w:val="0"/>
                      <w:divBdr>
                        <w:top w:val="none" w:sz="0" w:space="0" w:color="auto"/>
                        <w:left w:val="none" w:sz="0" w:space="0" w:color="auto"/>
                        <w:bottom w:val="none" w:sz="0" w:space="0" w:color="auto"/>
                        <w:right w:val="none" w:sz="0" w:space="0" w:color="auto"/>
                      </w:divBdr>
                    </w:div>
                  </w:divsChild>
                </w:div>
                <w:div w:id="1883439427">
                  <w:marLeft w:val="0"/>
                  <w:marRight w:val="0"/>
                  <w:marTop w:val="0"/>
                  <w:marBottom w:val="0"/>
                  <w:divBdr>
                    <w:top w:val="none" w:sz="0" w:space="0" w:color="auto"/>
                    <w:left w:val="none" w:sz="0" w:space="0" w:color="auto"/>
                    <w:bottom w:val="none" w:sz="0" w:space="0" w:color="auto"/>
                    <w:right w:val="none" w:sz="0" w:space="0" w:color="auto"/>
                  </w:divBdr>
                  <w:divsChild>
                    <w:div w:id="701058143">
                      <w:marLeft w:val="0"/>
                      <w:marRight w:val="0"/>
                      <w:marTop w:val="0"/>
                      <w:marBottom w:val="0"/>
                      <w:divBdr>
                        <w:top w:val="none" w:sz="0" w:space="0" w:color="auto"/>
                        <w:left w:val="none" w:sz="0" w:space="0" w:color="auto"/>
                        <w:bottom w:val="none" w:sz="0" w:space="0" w:color="auto"/>
                        <w:right w:val="none" w:sz="0" w:space="0" w:color="auto"/>
                      </w:divBdr>
                    </w:div>
                    <w:div w:id="1009213735">
                      <w:marLeft w:val="0"/>
                      <w:marRight w:val="0"/>
                      <w:marTop w:val="0"/>
                      <w:marBottom w:val="0"/>
                      <w:divBdr>
                        <w:top w:val="none" w:sz="0" w:space="0" w:color="auto"/>
                        <w:left w:val="none" w:sz="0" w:space="0" w:color="auto"/>
                        <w:bottom w:val="none" w:sz="0" w:space="0" w:color="auto"/>
                        <w:right w:val="none" w:sz="0" w:space="0" w:color="auto"/>
                      </w:divBdr>
                    </w:div>
                  </w:divsChild>
                </w:div>
                <w:div w:id="1966738951">
                  <w:marLeft w:val="0"/>
                  <w:marRight w:val="0"/>
                  <w:marTop w:val="0"/>
                  <w:marBottom w:val="0"/>
                  <w:divBdr>
                    <w:top w:val="none" w:sz="0" w:space="0" w:color="auto"/>
                    <w:left w:val="none" w:sz="0" w:space="0" w:color="auto"/>
                    <w:bottom w:val="none" w:sz="0" w:space="0" w:color="auto"/>
                    <w:right w:val="none" w:sz="0" w:space="0" w:color="auto"/>
                  </w:divBdr>
                  <w:divsChild>
                    <w:div w:id="1855611834">
                      <w:marLeft w:val="0"/>
                      <w:marRight w:val="0"/>
                      <w:marTop w:val="0"/>
                      <w:marBottom w:val="0"/>
                      <w:divBdr>
                        <w:top w:val="none" w:sz="0" w:space="0" w:color="auto"/>
                        <w:left w:val="none" w:sz="0" w:space="0" w:color="auto"/>
                        <w:bottom w:val="none" w:sz="0" w:space="0" w:color="auto"/>
                        <w:right w:val="none" w:sz="0" w:space="0" w:color="auto"/>
                      </w:divBdr>
                    </w:div>
                  </w:divsChild>
                </w:div>
                <w:div w:id="1992322919">
                  <w:marLeft w:val="0"/>
                  <w:marRight w:val="0"/>
                  <w:marTop w:val="0"/>
                  <w:marBottom w:val="0"/>
                  <w:divBdr>
                    <w:top w:val="none" w:sz="0" w:space="0" w:color="auto"/>
                    <w:left w:val="none" w:sz="0" w:space="0" w:color="auto"/>
                    <w:bottom w:val="none" w:sz="0" w:space="0" w:color="auto"/>
                    <w:right w:val="none" w:sz="0" w:space="0" w:color="auto"/>
                  </w:divBdr>
                  <w:divsChild>
                    <w:div w:id="1481997297">
                      <w:marLeft w:val="0"/>
                      <w:marRight w:val="0"/>
                      <w:marTop w:val="0"/>
                      <w:marBottom w:val="0"/>
                      <w:divBdr>
                        <w:top w:val="none" w:sz="0" w:space="0" w:color="auto"/>
                        <w:left w:val="none" w:sz="0" w:space="0" w:color="auto"/>
                        <w:bottom w:val="none" w:sz="0" w:space="0" w:color="auto"/>
                        <w:right w:val="none" w:sz="0" w:space="0" w:color="auto"/>
                      </w:divBdr>
                    </w:div>
                    <w:div w:id="183710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4019">
          <w:marLeft w:val="0"/>
          <w:marRight w:val="0"/>
          <w:marTop w:val="0"/>
          <w:marBottom w:val="0"/>
          <w:divBdr>
            <w:top w:val="none" w:sz="0" w:space="0" w:color="auto"/>
            <w:left w:val="none" w:sz="0" w:space="0" w:color="auto"/>
            <w:bottom w:val="none" w:sz="0" w:space="0" w:color="auto"/>
            <w:right w:val="none" w:sz="0" w:space="0" w:color="auto"/>
          </w:divBdr>
        </w:div>
        <w:div w:id="1757744266">
          <w:marLeft w:val="0"/>
          <w:marRight w:val="0"/>
          <w:marTop w:val="0"/>
          <w:marBottom w:val="0"/>
          <w:divBdr>
            <w:top w:val="none" w:sz="0" w:space="0" w:color="auto"/>
            <w:left w:val="none" w:sz="0" w:space="0" w:color="auto"/>
            <w:bottom w:val="none" w:sz="0" w:space="0" w:color="auto"/>
            <w:right w:val="none" w:sz="0" w:space="0" w:color="auto"/>
          </w:divBdr>
        </w:div>
        <w:div w:id="1758404634">
          <w:marLeft w:val="0"/>
          <w:marRight w:val="0"/>
          <w:marTop w:val="0"/>
          <w:marBottom w:val="0"/>
          <w:divBdr>
            <w:top w:val="none" w:sz="0" w:space="0" w:color="auto"/>
            <w:left w:val="none" w:sz="0" w:space="0" w:color="auto"/>
            <w:bottom w:val="none" w:sz="0" w:space="0" w:color="auto"/>
            <w:right w:val="none" w:sz="0" w:space="0" w:color="auto"/>
          </w:divBdr>
          <w:divsChild>
            <w:div w:id="1408260508">
              <w:marLeft w:val="-75"/>
              <w:marRight w:val="0"/>
              <w:marTop w:val="30"/>
              <w:marBottom w:val="30"/>
              <w:divBdr>
                <w:top w:val="none" w:sz="0" w:space="0" w:color="auto"/>
                <w:left w:val="none" w:sz="0" w:space="0" w:color="auto"/>
                <w:bottom w:val="none" w:sz="0" w:space="0" w:color="auto"/>
                <w:right w:val="none" w:sz="0" w:space="0" w:color="auto"/>
              </w:divBdr>
              <w:divsChild>
                <w:div w:id="59595530">
                  <w:marLeft w:val="0"/>
                  <w:marRight w:val="0"/>
                  <w:marTop w:val="0"/>
                  <w:marBottom w:val="0"/>
                  <w:divBdr>
                    <w:top w:val="none" w:sz="0" w:space="0" w:color="auto"/>
                    <w:left w:val="none" w:sz="0" w:space="0" w:color="auto"/>
                    <w:bottom w:val="none" w:sz="0" w:space="0" w:color="auto"/>
                    <w:right w:val="none" w:sz="0" w:space="0" w:color="auto"/>
                  </w:divBdr>
                  <w:divsChild>
                    <w:div w:id="62801785">
                      <w:marLeft w:val="0"/>
                      <w:marRight w:val="0"/>
                      <w:marTop w:val="0"/>
                      <w:marBottom w:val="0"/>
                      <w:divBdr>
                        <w:top w:val="none" w:sz="0" w:space="0" w:color="auto"/>
                        <w:left w:val="none" w:sz="0" w:space="0" w:color="auto"/>
                        <w:bottom w:val="none" w:sz="0" w:space="0" w:color="auto"/>
                        <w:right w:val="none" w:sz="0" w:space="0" w:color="auto"/>
                      </w:divBdr>
                    </w:div>
                  </w:divsChild>
                </w:div>
                <w:div w:id="285357901">
                  <w:marLeft w:val="0"/>
                  <w:marRight w:val="0"/>
                  <w:marTop w:val="0"/>
                  <w:marBottom w:val="0"/>
                  <w:divBdr>
                    <w:top w:val="none" w:sz="0" w:space="0" w:color="auto"/>
                    <w:left w:val="none" w:sz="0" w:space="0" w:color="auto"/>
                    <w:bottom w:val="none" w:sz="0" w:space="0" w:color="auto"/>
                    <w:right w:val="none" w:sz="0" w:space="0" w:color="auto"/>
                  </w:divBdr>
                  <w:divsChild>
                    <w:div w:id="1981569391">
                      <w:marLeft w:val="0"/>
                      <w:marRight w:val="0"/>
                      <w:marTop w:val="0"/>
                      <w:marBottom w:val="0"/>
                      <w:divBdr>
                        <w:top w:val="none" w:sz="0" w:space="0" w:color="auto"/>
                        <w:left w:val="none" w:sz="0" w:space="0" w:color="auto"/>
                        <w:bottom w:val="none" w:sz="0" w:space="0" w:color="auto"/>
                        <w:right w:val="none" w:sz="0" w:space="0" w:color="auto"/>
                      </w:divBdr>
                    </w:div>
                  </w:divsChild>
                </w:div>
                <w:div w:id="344670555">
                  <w:marLeft w:val="0"/>
                  <w:marRight w:val="0"/>
                  <w:marTop w:val="0"/>
                  <w:marBottom w:val="0"/>
                  <w:divBdr>
                    <w:top w:val="none" w:sz="0" w:space="0" w:color="auto"/>
                    <w:left w:val="none" w:sz="0" w:space="0" w:color="auto"/>
                    <w:bottom w:val="none" w:sz="0" w:space="0" w:color="auto"/>
                    <w:right w:val="none" w:sz="0" w:space="0" w:color="auto"/>
                  </w:divBdr>
                  <w:divsChild>
                    <w:div w:id="204101578">
                      <w:marLeft w:val="0"/>
                      <w:marRight w:val="0"/>
                      <w:marTop w:val="0"/>
                      <w:marBottom w:val="0"/>
                      <w:divBdr>
                        <w:top w:val="none" w:sz="0" w:space="0" w:color="auto"/>
                        <w:left w:val="none" w:sz="0" w:space="0" w:color="auto"/>
                        <w:bottom w:val="none" w:sz="0" w:space="0" w:color="auto"/>
                        <w:right w:val="none" w:sz="0" w:space="0" w:color="auto"/>
                      </w:divBdr>
                    </w:div>
                  </w:divsChild>
                </w:div>
                <w:div w:id="630211081">
                  <w:marLeft w:val="0"/>
                  <w:marRight w:val="0"/>
                  <w:marTop w:val="0"/>
                  <w:marBottom w:val="0"/>
                  <w:divBdr>
                    <w:top w:val="none" w:sz="0" w:space="0" w:color="auto"/>
                    <w:left w:val="none" w:sz="0" w:space="0" w:color="auto"/>
                    <w:bottom w:val="none" w:sz="0" w:space="0" w:color="auto"/>
                    <w:right w:val="none" w:sz="0" w:space="0" w:color="auto"/>
                  </w:divBdr>
                  <w:divsChild>
                    <w:div w:id="118454802">
                      <w:marLeft w:val="0"/>
                      <w:marRight w:val="0"/>
                      <w:marTop w:val="0"/>
                      <w:marBottom w:val="0"/>
                      <w:divBdr>
                        <w:top w:val="none" w:sz="0" w:space="0" w:color="auto"/>
                        <w:left w:val="none" w:sz="0" w:space="0" w:color="auto"/>
                        <w:bottom w:val="none" w:sz="0" w:space="0" w:color="auto"/>
                        <w:right w:val="none" w:sz="0" w:space="0" w:color="auto"/>
                      </w:divBdr>
                    </w:div>
                  </w:divsChild>
                </w:div>
                <w:div w:id="811599489">
                  <w:marLeft w:val="0"/>
                  <w:marRight w:val="0"/>
                  <w:marTop w:val="0"/>
                  <w:marBottom w:val="0"/>
                  <w:divBdr>
                    <w:top w:val="none" w:sz="0" w:space="0" w:color="auto"/>
                    <w:left w:val="none" w:sz="0" w:space="0" w:color="auto"/>
                    <w:bottom w:val="none" w:sz="0" w:space="0" w:color="auto"/>
                    <w:right w:val="none" w:sz="0" w:space="0" w:color="auto"/>
                  </w:divBdr>
                  <w:divsChild>
                    <w:div w:id="799802703">
                      <w:marLeft w:val="0"/>
                      <w:marRight w:val="0"/>
                      <w:marTop w:val="0"/>
                      <w:marBottom w:val="0"/>
                      <w:divBdr>
                        <w:top w:val="none" w:sz="0" w:space="0" w:color="auto"/>
                        <w:left w:val="none" w:sz="0" w:space="0" w:color="auto"/>
                        <w:bottom w:val="none" w:sz="0" w:space="0" w:color="auto"/>
                        <w:right w:val="none" w:sz="0" w:space="0" w:color="auto"/>
                      </w:divBdr>
                    </w:div>
                  </w:divsChild>
                </w:div>
                <w:div w:id="845559826">
                  <w:marLeft w:val="0"/>
                  <w:marRight w:val="0"/>
                  <w:marTop w:val="0"/>
                  <w:marBottom w:val="0"/>
                  <w:divBdr>
                    <w:top w:val="none" w:sz="0" w:space="0" w:color="auto"/>
                    <w:left w:val="none" w:sz="0" w:space="0" w:color="auto"/>
                    <w:bottom w:val="none" w:sz="0" w:space="0" w:color="auto"/>
                    <w:right w:val="none" w:sz="0" w:space="0" w:color="auto"/>
                  </w:divBdr>
                  <w:divsChild>
                    <w:div w:id="492647232">
                      <w:marLeft w:val="0"/>
                      <w:marRight w:val="0"/>
                      <w:marTop w:val="0"/>
                      <w:marBottom w:val="0"/>
                      <w:divBdr>
                        <w:top w:val="none" w:sz="0" w:space="0" w:color="auto"/>
                        <w:left w:val="none" w:sz="0" w:space="0" w:color="auto"/>
                        <w:bottom w:val="none" w:sz="0" w:space="0" w:color="auto"/>
                        <w:right w:val="none" w:sz="0" w:space="0" w:color="auto"/>
                      </w:divBdr>
                    </w:div>
                  </w:divsChild>
                </w:div>
                <w:div w:id="849686927">
                  <w:marLeft w:val="0"/>
                  <w:marRight w:val="0"/>
                  <w:marTop w:val="0"/>
                  <w:marBottom w:val="0"/>
                  <w:divBdr>
                    <w:top w:val="none" w:sz="0" w:space="0" w:color="auto"/>
                    <w:left w:val="none" w:sz="0" w:space="0" w:color="auto"/>
                    <w:bottom w:val="none" w:sz="0" w:space="0" w:color="auto"/>
                    <w:right w:val="none" w:sz="0" w:space="0" w:color="auto"/>
                  </w:divBdr>
                  <w:divsChild>
                    <w:div w:id="829178115">
                      <w:marLeft w:val="0"/>
                      <w:marRight w:val="0"/>
                      <w:marTop w:val="0"/>
                      <w:marBottom w:val="0"/>
                      <w:divBdr>
                        <w:top w:val="none" w:sz="0" w:space="0" w:color="auto"/>
                        <w:left w:val="none" w:sz="0" w:space="0" w:color="auto"/>
                        <w:bottom w:val="none" w:sz="0" w:space="0" w:color="auto"/>
                        <w:right w:val="none" w:sz="0" w:space="0" w:color="auto"/>
                      </w:divBdr>
                    </w:div>
                  </w:divsChild>
                </w:div>
                <w:div w:id="882864396">
                  <w:marLeft w:val="0"/>
                  <w:marRight w:val="0"/>
                  <w:marTop w:val="0"/>
                  <w:marBottom w:val="0"/>
                  <w:divBdr>
                    <w:top w:val="none" w:sz="0" w:space="0" w:color="auto"/>
                    <w:left w:val="none" w:sz="0" w:space="0" w:color="auto"/>
                    <w:bottom w:val="none" w:sz="0" w:space="0" w:color="auto"/>
                    <w:right w:val="none" w:sz="0" w:space="0" w:color="auto"/>
                  </w:divBdr>
                  <w:divsChild>
                    <w:div w:id="1583953635">
                      <w:marLeft w:val="0"/>
                      <w:marRight w:val="0"/>
                      <w:marTop w:val="0"/>
                      <w:marBottom w:val="0"/>
                      <w:divBdr>
                        <w:top w:val="none" w:sz="0" w:space="0" w:color="auto"/>
                        <w:left w:val="none" w:sz="0" w:space="0" w:color="auto"/>
                        <w:bottom w:val="none" w:sz="0" w:space="0" w:color="auto"/>
                        <w:right w:val="none" w:sz="0" w:space="0" w:color="auto"/>
                      </w:divBdr>
                    </w:div>
                  </w:divsChild>
                </w:div>
                <w:div w:id="981891162">
                  <w:marLeft w:val="0"/>
                  <w:marRight w:val="0"/>
                  <w:marTop w:val="0"/>
                  <w:marBottom w:val="0"/>
                  <w:divBdr>
                    <w:top w:val="none" w:sz="0" w:space="0" w:color="auto"/>
                    <w:left w:val="none" w:sz="0" w:space="0" w:color="auto"/>
                    <w:bottom w:val="none" w:sz="0" w:space="0" w:color="auto"/>
                    <w:right w:val="none" w:sz="0" w:space="0" w:color="auto"/>
                  </w:divBdr>
                  <w:divsChild>
                    <w:div w:id="1933004430">
                      <w:marLeft w:val="0"/>
                      <w:marRight w:val="0"/>
                      <w:marTop w:val="0"/>
                      <w:marBottom w:val="0"/>
                      <w:divBdr>
                        <w:top w:val="none" w:sz="0" w:space="0" w:color="auto"/>
                        <w:left w:val="none" w:sz="0" w:space="0" w:color="auto"/>
                        <w:bottom w:val="none" w:sz="0" w:space="0" w:color="auto"/>
                        <w:right w:val="none" w:sz="0" w:space="0" w:color="auto"/>
                      </w:divBdr>
                    </w:div>
                  </w:divsChild>
                </w:div>
                <w:div w:id="1107232410">
                  <w:marLeft w:val="0"/>
                  <w:marRight w:val="0"/>
                  <w:marTop w:val="0"/>
                  <w:marBottom w:val="0"/>
                  <w:divBdr>
                    <w:top w:val="none" w:sz="0" w:space="0" w:color="auto"/>
                    <w:left w:val="none" w:sz="0" w:space="0" w:color="auto"/>
                    <w:bottom w:val="none" w:sz="0" w:space="0" w:color="auto"/>
                    <w:right w:val="none" w:sz="0" w:space="0" w:color="auto"/>
                  </w:divBdr>
                  <w:divsChild>
                    <w:div w:id="1723017030">
                      <w:marLeft w:val="0"/>
                      <w:marRight w:val="0"/>
                      <w:marTop w:val="0"/>
                      <w:marBottom w:val="0"/>
                      <w:divBdr>
                        <w:top w:val="none" w:sz="0" w:space="0" w:color="auto"/>
                        <w:left w:val="none" w:sz="0" w:space="0" w:color="auto"/>
                        <w:bottom w:val="none" w:sz="0" w:space="0" w:color="auto"/>
                        <w:right w:val="none" w:sz="0" w:space="0" w:color="auto"/>
                      </w:divBdr>
                    </w:div>
                  </w:divsChild>
                </w:div>
                <w:div w:id="1280533313">
                  <w:marLeft w:val="0"/>
                  <w:marRight w:val="0"/>
                  <w:marTop w:val="0"/>
                  <w:marBottom w:val="0"/>
                  <w:divBdr>
                    <w:top w:val="none" w:sz="0" w:space="0" w:color="auto"/>
                    <w:left w:val="none" w:sz="0" w:space="0" w:color="auto"/>
                    <w:bottom w:val="none" w:sz="0" w:space="0" w:color="auto"/>
                    <w:right w:val="none" w:sz="0" w:space="0" w:color="auto"/>
                  </w:divBdr>
                  <w:divsChild>
                    <w:div w:id="492917331">
                      <w:marLeft w:val="0"/>
                      <w:marRight w:val="0"/>
                      <w:marTop w:val="0"/>
                      <w:marBottom w:val="0"/>
                      <w:divBdr>
                        <w:top w:val="none" w:sz="0" w:space="0" w:color="auto"/>
                        <w:left w:val="none" w:sz="0" w:space="0" w:color="auto"/>
                        <w:bottom w:val="none" w:sz="0" w:space="0" w:color="auto"/>
                        <w:right w:val="none" w:sz="0" w:space="0" w:color="auto"/>
                      </w:divBdr>
                    </w:div>
                  </w:divsChild>
                </w:div>
                <w:div w:id="1385762643">
                  <w:marLeft w:val="0"/>
                  <w:marRight w:val="0"/>
                  <w:marTop w:val="0"/>
                  <w:marBottom w:val="0"/>
                  <w:divBdr>
                    <w:top w:val="none" w:sz="0" w:space="0" w:color="auto"/>
                    <w:left w:val="none" w:sz="0" w:space="0" w:color="auto"/>
                    <w:bottom w:val="none" w:sz="0" w:space="0" w:color="auto"/>
                    <w:right w:val="none" w:sz="0" w:space="0" w:color="auto"/>
                  </w:divBdr>
                  <w:divsChild>
                    <w:div w:id="1586062745">
                      <w:marLeft w:val="0"/>
                      <w:marRight w:val="0"/>
                      <w:marTop w:val="0"/>
                      <w:marBottom w:val="0"/>
                      <w:divBdr>
                        <w:top w:val="none" w:sz="0" w:space="0" w:color="auto"/>
                        <w:left w:val="none" w:sz="0" w:space="0" w:color="auto"/>
                        <w:bottom w:val="none" w:sz="0" w:space="0" w:color="auto"/>
                        <w:right w:val="none" w:sz="0" w:space="0" w:color="auto"/>
                      </w:divBdr>
                    </w:div>
                  </w:divsChild>
                </w:div>
                <w:div w:id="1527256489">
                  <w:marLeft w:val="0"/>
                  <w:marRight w:val="0"/>
                  <w:marTop w:val="0"/>
                  <w:marBottom w:val="0"/>
                  <w:divBdr>
                    <w:top w:val="none" w:sz="0" w:space="0" w:color="auto"/>
                    <w:left w:val="none" w:sz="0" w:space="0" w:color="auto"/>
                    <w:bottom w:val="none" w:sz="0" w:space="0" w:color="auto"/>
                    <w:right w:val="none" w:sz="0" w:space="0" w:color="auto"/>
                  </w:divBdr>
                  <w:divsChild>
                    <w:div w:id="1122573757">
                      <w:marLeft w:val="0"/>
                      <w:marRight w:val="0"/>
                      <w:marTop w:val="0"/>
                      <w:marBottom w:val="0"/>
                      <w:divBdr>
                        <w:top w:val="none" w:sz="0" w:space="0" w:color="auto"/>
                        <w:left w:val="none" w:sz="0" w:space="0" w:color="auto"/>
                        <w:bottom w:val="none" w:sz="0" w:space="0" w:color="auto"/>
                        <w:right w:val="none" w:sz="0" w:space="0" w:color="auto"/>
                      </w:divBdr>
                    </w:div>
                  </w:divsChild>
                </w:div>
                <w:div w:id="1528058139">
                  <w:marLeft w:val="0"/>
                  <w:marRight w:val="0"/>
                  <w:marTop w:val="0"/>
                  <w:marBottom w:val="0"/>
                  <w:divBdr>
                    <w:top w:val="none" w:sz="0" w:space="0" w:color="auto"/>
                    <w:left w:val="none" w:sz="0" w:space="0" w:color="auto"/>
                    <w:bottom w:val="none" w:sz="0" w:space="0" w:color="auto"/>
                    <w:right w:val="none" w:sz="0" w:space="0" w:color="auto"/>
                  </w:divBdr>
                  <w:divsChild>
                    <w:div w:id="527135341">
                      <w:marLeft w:val="0"/>
                      <w:marRight w:val="0"/>
                      <w:marTop w:val="0"/>
                      <w:marBottom w:val="0"/>
                      <w:divBdr>
                        <w:top w:val="none" w:sz="0" w:space="0" w:color="auto"/>
                        <w:left w:val="none" w:sz="0" w:space="0" w:color="auto"/>
                        <w:bottom w:val="none" w:sz="0" w:space="0" w:color="auto"/>
                        <w:right w:val="none" w:sz="0" w:space="0" w:color="auto"/>
                      </w:divBdr>
                    </w:div>
                  </w:divsChild>
                </w:div>
                <w:div w:id="1569999908">
                  <w:marLeft w:val="0"/>
                  <w:marRight w:val="0"/>
                  <w:marTop w:val="0"/>
                  <w:marBottom w:val="0"/>
                  <w:divBdr>
                    <w:top w:val="none" w:sz="0" w:space="0" w:color="auto"/>
                    <w:left w:val="none" w:sz="0" w:space="0" w:color="auto"/>
                    <w:bottom w:val="none" w:sz="0" w:space="0" w:color="auto"/>
                    <w:right w:val="none" w:sz="0" w:space="0" w:color="auto"/>
                  </w:divBdr>
                  <w:divsChild>
                    <w:div w:id="1411124531">
                      <w:marLeft w:val="0"/>
                      <w:marRight w:val="0"/>
                      <w:marTop w:val="0"/>
                      <w:marBottom w:val="0"/>
                      <w:divBdr>
                        <w:top w:val="none" w:sz="0" w:space="0" w:color="auto"/>
                        <w:left w:val="none" w:sz="0" w:space="0" w:color="auto"/>
                        <w:bottom w:val="none" w:sz="0" w:space="0" w:color="auto"/>
                        <w:right w:val="none" w:sz="0" w:space="0" w:color="auto"/>
                      </w:divBdr>
                    </w:div>
                  </w:divsChild>
                </w:div>
                <w:div w:id="1660571944">
                  <w:marLeft w:val="0"/>
                  <w:marRight w:val="0"/>
                  <w:marTop w:val="0"/>
                  <w:marBottom w:val="0"/>
                  <w:divBdr>
                    <w:top w:val="none" w:sz="0" w:space="0" w:color="auto"/>
                    <w:left w:val="none" w:sz="0" w:space="0" w:color="auto"/>
                    <w:bottom w:val="none" w:sz="0" w:space="0" w:color="auto"/>
                    <w:right w:val="none" w:sz="0" w:space="0" w:color="auto"/>
                  </w:divBdr>
                  <w:divsChild>
                    <w:div w:id="2054962089">
                      <w:marLeft w:val="0"/>
                      <w:marRight w:val="0"/>
                      <w:marTop w:val="0"/>
                      <w:marBottom w:val="0"/>
                      <w:divBdr>
                        <w:top w:val="none" w:sz="0" w:space="0" w:color="auto"/>
                        <w:left w:val="none" w:sz="0" w:space="0" w:color="auto"/>
                        <w:bottom w:val="none" w:sz="0" w:space="0" w:color="auto"/>
                        <w:right w:val="none" w:sz="0" w:space="0" w:color="auto"/>
                      </w:divBdr>
                    </w:div>
                  </w:divsChild>
                </w:div>
                <w:div w:id="1662082362">
                  <w:marLeft w:val="0"/>
                  <w:marRight w:val="0"/>
                  <w:marTop w:val="0"/>
                  <w:marBottom w:val="0"/>
                  <w:divBdr>
                    <w:top w:val="none" w:sz="0" w:space="0" w:color="auto"/>
                    <w:left w:val="none" w:sz="0" w:space="0" w:color="auto"/>
                    <w:bottom w:val="none" w:sz="0" w:space="0" w:color="auto"/>
                    <w:right w:val="none" w:sz="0" w:space="0" w:color="auto"/>
                  </w:divBdr>
                  <w:divsChild>
                    <w:div w:id="1234926640">
                      <w:marLeft w:val="0"/>
                      <w:marRight w:val="0"/>
                      <w:marTop w:val="0"/>
                      <w:marBottom w:val="0"/>
                      <w:divBdr>
                        <w:top w:val="none" w:sz="0" w:space="0" w:color="auto"/>
                        <w:left w:val="none" w:sz="0" w:space="0" w:color="auto"/>
                        <w:bottom w:val="none" w:sz="0" w:space="0" w:color="auto"/>
                        <w:right w:val="none" w:sz="0" w:space="0" w:color="auto"/>
                      </w:divBdr>
                    </w:div>
                  </w:divsChild>
                </w:div>
                <w:div w:id="1671709627">
                  <w:marLeft w:val="0"/>
                  <w:marRight w:val="0"/>
                  <w:marTop w:val="0"/>
                  <w:marBottom w:val="0"/>
                  <w:divBdr>
                    <w:top w:val="none" w:sz="0" w:space="0" w:color="auto"/>
                    <w:left w:val="none" w:sz="0" w:space="0" w:color="auto"/>
                    <w:bottom w:val="none" w:sz="0" w:space="0" w:color="auto"/>
                    <w:right w:val="none" w:sz="0" w:space="0" w:color="auto"/>
                  </w:divBdr>
                  <w:divsChild>
                    <w:div w:id="709183742">
                      <w:marLeft w:val="0"/>
                      <w:marRight w:val="0"/>
                      <w:marTop w:val="0"/>
                      <w:marBottom w:val="0"/>
                      <w:divBdr>
                        <w:top w:val="none" w:sz="0" w:space="0" w:color="auto"/>
                        <w:left w:val="none" w:sz="0" w:space="0" w:color="auto"/>
                        <w:bottom w:val="none" w:sz="0" w:space="0" w:color="auto"/>
                        <w:right w:val="none" w:sz="0" w:space="0" w:color="auto"/>
                      </w:divBdr>
                    </w:div>
                  </w:divsChild>
                </w:div>
                <w:div w:id="1813644065">
                  <w:marLeft w:val="0"/>
                  <w:marRight w:val="0"/>
                  <w:marTop w:val="0"/>
                  <w:marBottom w:val="0"/>
                  <w:divBdr>
                    <w:top w:val="none" w:sz="0" w:space="0" w:color="auto"/>
                    <w:left w:val="none" w:sz="0" w:space="0" w:color="auto"/>
                    <w:bottom w:val="none" w:sz="0" w:space="0" w:color="auto"/>
                    <w:right w:val="none" w:sz="0" w:space="0" w:color="auto"/>
                  </w:divBdr>
                  <w:divsChild>
                    <w:div w:id="390346965">
                      <w:marLeft w:val="0"/>
                      <w:marRight w:val="0"/>
                      <w:marTop w:val="0"/>
                      <w:marBottom w:val="0"/>
                      <w:divBdr>
                        <w:top w:val="none" w:sz="0" w:space="0" w:color="auto"/>
                        <w:left w:val="none" w:sz="0" w:space="0" w:color="auto"/>
                        <w:bottom w:val="none" w:sz="0" w:space="0" w:color="auto"/>
                        <w:right w:val="none" w:sz="0" w:space="0" w:color="auto"/>
                      </w:divBdr>
                    </w:div>
                  </w:divsChild>
                </w:div>
                <w:div w:id="1949267677">
                  <w:marLeft w:val="0"/>
                  <w:marRight w:val="0"/>
                  <w:marTop w:val="0"/>
                  <w:marBottom w:val="0"/>
                  <w:divBdr>
                    <w:top w:val="none" w:sz="0" w:space="0" w:color="auto"/>
                    <w:left w:val="none" w:sz="0" w:space="0" w:color="auto"/>
                    <w:bottom w:val="none" w:sz="0" w:space="0" w:color="auto"/>
                    <w:right w:val="none" w:sz="0" w:space="0" w:color="auto"/>
                  </w:divBdr>
                  <w:divsChild>
                    <w:div w:id="76556731">
                      <w:marLeft w:val="0"/>
                      <w:marRight w:val="0"/>
                      <w:marTop w:val="0"/>
                      <w:marBottom w:val="0"/>
                      <w:divBdr>
                        <w:top w:val="none" w:sz="0" w:space="0" w:color="auto"/>
                        <w:left w:val="none" w:sz="0" w:space="0" w:color="auto"/>
                        <w:bottom w:val="none" w:sz="0" w:space="0" w:color="auto"/>
                        <w:right w:val="none" w:sz="0" w:space="0" w:color="auto"/>
                      </w:divBdr>
                    </w:div>
                  </w:divsChild>
                </w:div>
                <w:div w:id="2001543380">
                  <w:marLeft w:val="0"/>
                  <w:marRight w:val="0"/>
                  <w:marTop w:val="0"/>
                  <w:marBottom w:val="0"/>
                  <w:divBdr>
                    <w:top w:val="none" w:sz="0" w:space="0" w:color="auto"/>
                    <w:left w:val="none" w:sz="0" w:space="0" w:color="auto"/>
                    <w:bottom w:val="none" w:sz="0" w:space="0" w:color="auto"/>
                    <w:right w:val="none" w:sz="0" w:space="0" w:color="auto"/>
                  </w:divBdr>
                  <w:divsChild>
                    <w:div w:id="779186140">
                      <w:marLeft w:val="0"/>
                      <w:marRight w:val="0"/>
                      <w:marTop w:val="0"/>
                      <w:marBottom w:val="0"/>
                      <w:divBdr>
                        <w:top w:val="none" w:sz="0" w:space="0" w:color="auto"/>
                        <w:left w:val="none" w:sz="0" w:space="0" w:color="auto"/>
                        <w:bottom w:val="none" w:sz="0" w:space="0" w:color="auto"/>
                        <w:right w:val="none" w:sz="0" w:space="0" w:color="auto"/>
                      </w:divBdr>
                    </w:div>
                  </w:divsChild>
                </w:div>
                <w:div w:id="2068723483">
                  <w:marLeft w:val="0"/>
                  <w:marRight w:val="0"/>
                  <w:marTop w:val="0"/>
                  <w:marBottom w:val="0"/>
                  <w:divBdr>
                    <w:top w:val="none" w:sz="0" w:space="0" w:color="auto"/>
                    <w:left w:val="none" w:sz="0" w:space="0" w:color="auto"/>
                    <w:bottom w:val="none" w:sz="0" w:space="0" w:color="auto"/>
                    <w:right w:val="none" w:sz="0" w:space="0" w:color="auto"/>
                  </w:divBdr>
                  <w:divsChild>
                    <w:div w:id="97917266">
                      <w:marLeft w:val="0"/>
                      <w:marRight w:val="0"/>
                      <w:marTop w:val="0"/>
                      <w:marBottom w:val="0"/>
                      <w:divBdr>
                        <w:top w:val="none" w:sz="0" w:space="0" w:color="auto"/>
                        <w:left w:val="none" w:sz="0" w:space="0" w:color="auto"/>
                        <w:bottom w:val="none" w:sz="0" w:space="0" w:color="auto"/>
                        <w:right w:val="none" w:sz="0" w:space="0" w:color="auto"/>
                      </w:divBdr>
                    </w:div>
                  </w:divsChild>
                </w:div>
                <w:div w:id="2082025022">
                  <w:marLeft w:val="0"/>
                  <w:marRight w:val="0"/>
                  <w:marTop w:val="0"/>
                  <w:marBottom w:val="0"/>
                  <w:divBdr>
                    <w:top w:val="none" w:sz="0" w:space="0" w:color="auto"/>
                    <w:left w:val="none" w:sz="0" w:space="0" w:color="auto"/>
                    <w:bottom w:val="none" w:sz="0" w:space="0" w:color="auto"/>
                    <w:right w:val="none" w:sz="0" w:space="0" w:color="auto"/>
                  </w:divBdr>
                  <w:divsChild>
                    <w:div w:id="1641155728">
                      <w:marLeft w:val="0"/>
                      <w:marRight w:val="0"/>
                      <w:marTop w:val="0"/>
                      <w:marBottom w:val="0"/>
                      <w:divBdr>
                        <w:top w:val="none" w:sz="0" w:space="0" w:color="auto"/>
                        <w:left w:val="none" w:sz="0" w:space="0" w:color="auto"/>
                        <w:bottom w:val="none" w:sz="0" w:space="0" w:color="auto"/>
                        <w:right w:val="none" w:sz="0" w:space="0" w:color="auto"/>
                      </w:divBdr>
                    </w:div>
                  </w:divsChild>
                </w:div>
                <w:div w:id="2130664696">
                  <w:marLeft w:val="0"/>
                  <w:marRight w:val="0"/>
                  <w:marTop w:val="0"/>
                  <w:marBottom w:val="0"/>
                  <w:divBdr>
                    <w:top w:val="none" w:sz="0" w:space="0" w:color="auto"/>
                    <w:left w:val="none" w:sz="0" w:space="0" w:color="auto"/>
                    <w:bottom w:val="none" w:sz="0" w:space="0" w:color="auto"/>
                    <w:right w:val="none" w:sz="0" w:space="0" w:color="auto"/>
                  </w:divBdr>
                  <w:divsChild>
                    <w:div w:id="3550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67218">
          <w:marLeft w:val="0"/>
          <w:marRight w:val="0"/>
          <w:marTop w:val="0"/>
          <w:marBottom w:val="0"/>
          <w:divBdr>
            <w:top w:val="none" w:sz="0" w:space="0" w:color="auto"/>
            <w:left w:val="none" w:sz="0" w:space="0" w:color="auto"/>
            <w:bottom w:val="none" w:sz="0" w:space="0" w:color="auto"/>
            <w:right w:val="none" w:sz="0" w:space="0" w:color="auto"/>
          </w:divBdr>
        </w:div>
        <w:div w:id="1777678512">
          <w:marLeft w:val="0"/>
          <w:marRight w:val="0"/>
          <w:marTop w:val="0"/>
          <w:marBottom w:val="0"/>
          <w:divBdr>
            <w:top w:val="none" w:sz="0" w:space="0" w:color="auto"/>
            <w:left w:val="none" w:sz="0" w:space="0" w:color="auto"/>
            <w:bottom w:val="none" w:sz="0" w:space="0" w:color="auto"/>
            <w:right w:val="none" w:sz="0" w:space="0" w:color="auto"/>
          </w:divBdr>
        </w:div>
        <w:div w:id="1819567854">
          <w:marLeft w:val="0"/>
          <w:marRight w:val="0"/>
          <w:marTop w:val="0"/>
          <w:marBottom w:val="0"/>
          <w:divBdr>
            <w:top w:val="none" w:sz="0" w:space="0" w:color="auto"/>
            <w:left w:val="none" w:sz="0" w:space="0" w:color="auto"/>
            <w:bottom w:val="none" w:sz="0" w:space="0" w:color="auto"/>
            <w:right w:val="none" w:sz="0" w:space="0" w:color="auto"/>
          </w:divBdr>
        </w:div>
        <w:div w:id="1828932420">
          <w:marLeft w:val="0"/>
          <w:marRight w:val="0"/>
          <w:marTop w:val="0"/>
          <w:marBottom w:val="0"/>
          <w:divBdr>
            <w:top w:val="none" w:sz="0" w:space="0" w:color="auto"/>
            <w:left w:val="none" w:sz="0" w:space="0" w:color="auto"/>
            <w:bottom w:val="none" w:sz="0" w:space="0" w:color="auto"/>
            <w:right w:val="none" w:sz="0" w:space="0" w:color="auto"/>
          </w:divBdr>
        </w:div>
        <w:div w:id="1831675705">
          <w:marLeft w:val="0"/>
          <w:marRight w:val="0"/>
          <w:marTop w:val="0"/>
          <w:marBottom w:val="0"/>
          <w:divBdr>
            <w:top w:val="none" w:sz="0" w:space="0" w:color="auto"/>
            <w:left w:val="none" w:sz="0" w:space="0" w:color="auto"/>
            <w:bottom w:val="none" w:sz="0" w:space="0" w:color="auto"/>
            <w:right w:val="none" w:sz="0" w:space="0" w:color="auto"/>
          </w:divBdr>
        </w:div>
        <w:div w:id="1835294481">
          <w:marLeft w:val="0"/>
          <w:marRight w:val="0"/>
          <w:marTop w:val="0"/>
          <w:marBottom w:val="0"/>
          <w:divBdr>
            <w:top w:val="none" w:sz="0" w:space="0" w:color="auto"/>
            <w:left w:val="none" w:sz="0" w:space="0" w:color="auto"/>
            <w:bottom w:val="none" w:sz="0" w:space="0" w:color="auto"/>
            <w:right w:val="none" w:sz="0" w:space="0" w:color="auto"/>
          </w:divBdr>
        </w:div>
        <w:div w:id="1844273696">
          <w:marLeft w:val="0"/>
          <w:marRight w:val="0"/>
          <w:marTop w:val="0"/>
          <w:marBottom w:val="0"/>
          <w:divBdr>
            <w:top w:val="none" w:sz="0" w:space="0" w:color="auto"/>
            <w:left w:val="none" w:sz="0" w:space="0" w:color="auto"/>
            <w:bottom w:val="none" w:sz="0" w:space="0" w:color="auto"/>
            <w:right w:val="none" w:sz="0" w:space="0" w:color="auto"/>
          </w:divBdr>
        </w:div>
        <w:div w:id="1844852974">
          <w:marLeft w:val="0"/>
          <w:marRight w:val="0"/>
          <w:marTop w:val="0"/>
          <w:marBottom w:val="0"/>
          <w:divBdr>
            <w:top w:val="none" w:sz="0" w:space="0" w:color="auto"/>
            <w:left w:val="none" w:sz="0" w:space="0" w:color="auto"/>
            <w:bottom w:val="none" w:sz="0" w:space="0" w:color="auto"/>
            <w:right w:val="none" w:sz="0" w:space="0" w:color="auto"/>
          </w:divBdr>
        </w:div>
        <w:div w:id="1848255264">
          <w:marLeft w:val="0"/>
          <w:marRight w:val="0"/>
          <w:marTop w:val="0"/>
          <w:marBottom w:val="0"/>
          <w:divBdr>
            <w:top w:val="none" w:sz="0" w:space="0" w:color="auto"/>
            <w:left w:val="none" w:sz="0" w:space="0" w:color="auto"/>
            <w:bottom w:val="none" w:sz="0" w:space="0" w:color="auto"/>
            <w:right w:val="none" w:sz="0" w:space="0" w:color="auto"/>
          </w:divBdr>
          <w:divsChild>
            <w:div w:id="76826288">
              <w:marLeft w:val="0"/>
              <w:marRight w:val="0"/>
              <w:marTop w:val="0"/>
              <w:marBottom w:val="0"/>
              <w:divBdr>
                <w:top w:val="none" w:sz="0" w:space="0" w:color="auto"/>
                <w:left w:val="none" w:sz="0" w:space="0" w:color="auto"/>
                <w:bottom w:val="none" w:sz="0" w:space="0" w:color="auto"/>
                <w:right w:val="none" w:sz="0" w:space="0" w:color="auto"/>
              </w:divBdr>
            </w:div>
            <w:div w:id="781459651">
              <w:marLeft w:val="0"/>
              <w:marRight w:val="0"/>
              <w:marTop w:val="0"/>
              <w:marBottom w:val="0"/>
              <w:divBdr>
                <w:top w:val="none" w:sz="0" w:space="0" w:color="auto"/>
                <w:left w:val="none" w:sz="0" w:space="0" w:color="auto"/>
                <w:bottom w:val="none" w:sz="0" w:space="0" w:color="auto"/>
                <w:right w:val="none" w:sz="0" w:space="0" w:color="auto"/>
              </w:divBdr>
            </w:div>
            <w:div w:id="1682779677">
              <w:marLeft w:val="0"/>
              <w:marRight w:val="0"/>
              <w:marTop w:val="0"/>
              <w:marBottom w:val="0"/>
              <w:divBdr>
                <w:top w:val="none" w:sz="0" w:space="0" w:color="auto"/>
                <w:left w:val="none" w:sz="0" w:space="0" w:color="auto"/>
                <w:bottom w:val="none" w:sz="0" w:space="0" w:color="auto"/>
                <w:right w:val="none" w:sz="0" w:space="0" w:color="auto"/>
              </w:divBdr>
            </w:div>
            <w:div w:id="1890140678">
              <w:marLeft w:val="0"/>
              <w:marRight w:val="0"/>
              <w:marTop w:val="0"/>
              <w:marBottom w:val="0"/>
              <w:divBdr>
                <w:top w:val="none" w:sz="0" w:space="0" w:color="auto"/>
                <w:left w:val="none" w:sz="0" w:space="0" w:color="auto"/>
                <w:bottom w:val="none" w:sz="0" w:space="0" w:color="auto"/>
                <w:right w:val="none" w:sz="0" w:space="0" w:color="auto"/>
              </w:divBdr>
            </w:div>
            <w:div w:id="2088259679">
              <w:marLeft w:val="0"/>
              <w:marRight w:val="0"/>
              <w:marTop w:val="0"/>
              <w:marBottom w:val="0"/>
              <w:divBdr>
                <w:top w:val="none" w:sz="0" w:space="0" w:color="auto"/>
                <w:left w:val="none" w:sz="0" w:space="0" w:color="auto"/>
                <w:bottom w:val="none" w:sz="0" w:space="0" w:color="auto"/>
                <w:right w:val="none" w:sz="0" w:space="0" w:color="auto"/>
              </w:divBdr>
            </w:div>
          </w:divsChild>
        </w:div>
        <w:div w:id="1866944589">
          <w:marLeft w:val="0"/>
          <w:marRight w:val="0"/>
          <w:marTop w:val="0"/>
          <w:marBottom w:val="0"/>
          <w:divBdr>
            <w:top w:val="none" w:sz="0" w:space="0" w:color="auto"/>
            <w:left w:val="none" w:sz="0" w:space="0" w:color="auto"/>
            <w:bottom w:val="none" w:sz="0" w:space="0" w:color="auto"/>
            <w:right w:val="none" w:sz="0" w:space="0" w:color="auto"/>
          </w:divBdr>
          <w:divsChild>
            <w:div w:id="93981893">
              <w:marLeft w:val="0"/>
              <w:marRight w:val="0"/>
              <w:marTop w:val="0"/>
              <w:marBottom w:val="0"/>
              <w:divBdr>
                <w:top w:val="none" w:sz="0" w:space="0" w:color="auto"/>
                <w:left w:val="none" w:sz="0" w:space="0" w:color="auto"/>
                <w:bottom w:val="none" w:sz="0" w:space="0" w:color="auto"/>
                <w:right w:val="none" w:sz="0" w:space="0" w:color="auto"/>
              </w:divBdr>
            </w:div>
            <w:div w:id="1241794151">
              <w:marLeft w:val="0"/>
              <w:marRight w:val="0"/>
              <w:marTop w:val="0"/>
              <w:marBottom w:val="0"/>
              <w:divBdr>
                <w:top w:val="none" w:sz="0" w:space="0" w:color="auto"/>
                <w:left w:val="none" w:sz="0" w:space="0" w:color="auto"/>
                <w:bottom w:val="none" w:sz="0" w:space="0" w:color="auto"/>
                <w:right w:val="none" w:sz="0" w:space="0" w:color="auto"/>
              </w:divBdr>
            </w:div>
            <w:div w:id="1464468947">
              <w:marLeft w:val="0"/>
              <w:marRight w:val="0"/>
              <w:marTop w:val="0"/>
              <w:marBottom w:val="0"/>
              <w:divBdr>
                <w:top w:val="none" w:sz="0" w:space="0" w:color="auto"/>
                <w:left w:val="none" w:sz="0" w:space="0" w:color="auto"/>
                <w:bottom w:val="none" w:sz="0" w:space="0" w:color="auto"/>
                <w:right w:val="none" w:sz="0" w:space="0" w:color="auto"/>
              </w:divBdr>
            </w:div>
            <w:div w:id="1934241848">
              <w:marLeft w:val="0"/>
              <w:marRight w:val="0"/>
              <w:marTop w:val="0"/>
              <w:marBottom w:val="0"/>
              <w:divBdr>
                <w:top w:val="none" w:sz="0" w:space="0" w:color="auto"/>
                <w:left w:val="none" w:sz="0" w:space="0" w:color="auto"/>
                <w:bottom w:val="none" w:sz="0" w:space="0" w:color="auto"/>
                <w:right w:val="none" w:sz="0" w:space="0" w:color="auto"/>
              </w:divBdr>
            </w:div>
            <w:div w:id="1978416928">
              <w:marLeft w:val="0"/>
              <w:marRight w:val="0"/>
              <w:marTop w:val="0"/>
              <w:marBottom w:val="0"/>
              <w:divBdr>
                <w:top w:val="none" w:sz="0" w:space="0" w:color="auto"/>
                <w:left w:val="none" w:sz="0" w:space="0" w:color="auto"/>
                <w:bottom w:val="none" w:sz="0" w:space="0" w:color="auto"/>
                <w:right w:val="none" w:sz="0" w:space="0" w:color="auto"/>
              </w:divBdr>
            </w:div>
          </w:divsChild>
        </w:div>
        <w:div w:id="1871453209">
          <w:marLeft w:val="0"/>
          <w:marRight w:val="0"/>
          <w:marTop w:val="0"/>
          <w:marBottom w:val="0"/>
          <w:divBdr>
            <w:top w:val="none" w:sz="0" w:space="0" w:color="auto"/>
            <w:left w:val="none" w:sz="0" w:space="0" w:color="auto"/>
            <w:bottom w:val="none" w:sz="0" w:space="0" w:color="auto"/>
            <w:right w:val="none" w:sz="0" w:space="0" w:color="auto"/>
          </w:divBdr>
        </w:div>
        <w:div w:id="1873956068">
          <w:marLeft w:val="0"/>
          <w:marRight w:val="0"/>
          <w:marTop w:val="0"/>
          <w:marBottom w:val="0"/>
          <w:divBdr>
            <w:top w:val="none" w:sz="0" w:space="0" w:color="auto"/>
            <w:left w:val="none" w:sz="0" w:space="0" w:color="auto"/>
            <w:bottom w:val="none" w:sz="0" w:space="0" w:color="auto"/>
            <w:right w:val="none" w:sz="0" w:space="0" w:color="auto"/>
          </w:divBdr>
        </w:div>
        <w:div w:id="1876310289">
          <w:marLeft w:val="0"/>
          <w:marRight w:val="0"/>
          <w:marTop w:val="0"/>
          <w:marBottom w:val="0"/>
          <w:divBdr>
            <w:top w:val="none" w:sz="0" w:space="0" w:color="auto"/>
            <w:left w:val="none" w:sz="0" w:space="0" w:color="auto"/>
            <w:bottom w:val="none" w:sz="0" w:space="0" w:color="auto"/>
            <w:right w:val="none" w:sz="0" w:space="0" w:color="auto"/>
          </w:divBdr>
        </w:div>
        <w:div w:id="1880241493">
          <w:marLeft w:val="0"/>
          <w:marRight w:val="0"/>
          <w:marTop w:val="0"/>
          <w:marBottom w:val="0"/>
          <w:divBdr>
            <w:top w:val="none" w:sz="0" w:space="0" w:color="auto"/>
            <w:left w:val="none" w:sz="0" w:space="0" w:color="auto"/>
            <w:bottom w:val="none" w:sz="0" w:space="0" w:color="auto"/>
            <w:right w:val="none" w:sz="0" w:space="0" w:color="auto"/>
          </w:divBdr>
        </w:div>
        <w:div w:id="1893812942">
          <w:marLeft w:val="0"/>
          <w:marRight w:val="0"/>
          <w:marTop w:val="0"/>
          <w:marBottom w:val="0"/>
          <w:divBdr>
            <w:top w:val="none" w:sz="0" w:space="0" w:color="auto"/>
            <w:left w:val="none" w:sz="0" w:space="0" w:color="auto"/>
            <w:bottom w:val="none" w:sz="0" w:space="0" w:color="auto"/>
            <w:right w:val="none" w:sz="0" w:space="0" w:color="auto"/>
          </w:divBdr>
        </w:div>
        <w:div w:id="1901088501">
          <w:marLeft w:val="0"/>
          <w:marRight w:val="0"/>
          <w:marTop w:val="0"/>
          <w:marBottom w:val="0"/>
          <w:divBdr>
            <w:top w:val="none" w:sz="0" w:space="0" w:color="auto"/>
            <w:left w:val="none" w:sz="0" w:space="0" w:color="auto"/>
            <w:bottom w:val="none" w:sz="0" w:space="0" w:color="auto"/>
            <w:right w:val="none" w:sz="0" w:space="0" w:color="auto"/>
          </w:divBdr>
        </w:div>
        <w:div w:id="1911110988">
          <w:marLeft w:val="0"/>
          <w:marRight w:val="0"/>
          <w:marTop w:val="0"/>
          <w:marBottom w:val="0"/>
          <w:divBdr>
            <w:top w:val="none" w:sz="0" w:space="0" w:color="auto"/>
            <w:left w:val="none" w:sz="0" w:space="0" w:color="auto"/>
            <w:bottom w:val="none" w:sz="0" w:space="0" w:color="auto"/>
            <w:right w:val="none" w:sz="0" w:space="0" w:color="auto"/>
          </w:divBdr>
        </w:div>
        <w:div w:id="1921213129">
          <w:marLeft w:val="0"/>
          <w:marRight w:val="0"/>
          <w:marTop w:val="0"/>
          <w:marBottom w:val="0"/>
          <w:divBdr>
            <w:top w:val="none" w:sz="0" w:space="0" w:color="auto"/>
            <w:left w:val="none" w:sz="0" w:space="0" w:color="auto"/>
            <w:bottom w:val="none" w:sz="0" w:space="0" w:color="auto"/>
            <w:right w:val="none" w:sz="0" w:space="0" w:color="auto"/>
          </w:divBdr>
        </w:div>
        <w:div w:id="1928296903">
          <w:marLeft w:val="0"/>
          <w:marRight w:val="0"/>
          <w:marTop w:val="0"/>
          <w:marBottom w:val="0"/>
          <w:divBdr>
            <w:top w:val="none" w:sz="0" w:space="0" w:color="auto"/>
            <w:left w:val="none" w:sz="0" w:space="0" w:color="auto"/>
            <w:bottom w:val="none" w:sz="0" w:space="0" w:color="auto"/>
            <w:right w:val="none" w:sz="0" w:space="0" w:color="auto"/>
          </w:divBdr>
        </w:div>
        <w:div w:id="1930121195">
          <w:marLeft w:val="0"/>
          <w:marRight w:val="0"/>
          <w:marTop w:val="0"/>
          <w:marBottom w:val="0"/>
          <w:divBdr>
            <w:top w:val="none" w:sz="0" w:space="0" w:color="auto"/>
            <w:left w:val="none" w:sz="0" w:space="0" w:color="auto"/>
            <w:bottom w:val="none" w:sz="0" w:space="0" w:color="auto"/>
            <w:right w:val="none" w:sz="0" w:space="0" w:color="auto"/>
          </w:divBdr>
        </w:div>
        <w:div w:id="1938177869">
          <w:marLeft w:val="0"/>
          <w:marRight w:val="0"/>
          <w:marTop w:val="0"/>
          <w:marBottom w:val="0"/>
          <w:divBdr>
            <w:top w:val="none" w:sz="0" w:space="0" w:color="auto"/>
            <w:left w:val="none" w:sz="0" w:space="0" w:color="auto"/>
            <w:bottom w:val="none" w:sz="0" w:space="0" w:color="auto"/>
            <w:right w:val="none" w:sz="0" w:space="0" w:color="auto"/>
          </w:divBdr>
        </w:div>
        <w:div w:id="1946034185">
          <w:marLeft w:val="0"/>
          <w:marRight w:val="0"/>
          <w:marTop w:val="0"/>
          <w:marBottom w:val="0"/>
          <w:divBdr>
            <w:top w:val="none" w:sz="0" w:space="0" w:color="auto"/>
            <w:left w:val="none" w:sz="0" w:space="0" w:color="auto"/>
            <w:bottom w:val="none" w:sz="0" w:space="0" w:color="auto"/>
            <w:right w:val="none" w:sz="0" w:space="0" w:color="auto"/>
          </w:divBdr>
        </w:div>
        <w:div w:id="1981957059">
          <w:marLeft w:val="0"/>
          <w:marRight w:val="0"/>
          <w:marTop w:val="0"/>
          <w:marBottom w:val="0"/>
          <w:divBdr>
            <w:top w:val="none" w:sz="0" w:space="0" w:color="auto"/>
            <w:left w:val="none" w:sz="0" w:space="0" w:color="auto"/>
            <w:bottom w:val="none" w:sz="0" w:space="0" w:color="auto"/>
            <w:right w:val="none" w:sz="0" w:space="0" w:color="auto"/>
          </w:divBdr>
        </w:div>
        <w:div w:id="1983190787">
          <w:marLeft w:val="0"/>
          <w:marRight w:val="0"/>
          <w:marTop w:val="0"/>
          <w:marBottom w:val="0"/>
          <w:divBdr>
            <w:top w:val="none" w:sz="0" w:space="0" w:color="auto"/>
            <w:left w:val="none" w:sz="0" w:space="0" w:color="auto"/>
            <w:bottom w:val="none" w:sz="0" w:space="0" w:color="auto"/>
            <w:right w:val="none" w:sz="0" w:space="0" w:color="auto"/>
          </w:divBdr>
        </w:div>
        <w:div w:id="1988701190">
          <w:marLeft w:val="0"/>
          <w:marRight w:val="0"/>
          <w:marTop w:val="0"/>
          <w:marBottom w:val="0"/>
          <w:divBdr>
            <w:top w:val="none" w:sz="0" w:space="0" w:color="auto"/>
            <w:left w:val="none" w:sz="0" w:space="0" w:color="auto"/>
            <w:bottom w:val="none" w:sz="0" w:space="0" w:color="auto"/>
            <w:right w:val="none" w:sz="0" w:space="0" w:color="auto"/>
          </w:divBdr>
        </w:div>
        <w:div w:id="1995329556">
          <w:marLeft w:val="0"/>
          <w:marRight w:val="0"/>
          <w:marTop w:val="0"/>
          <w:marBottom w:val="0"/>
          <w:divBdr>
            <w:top w:val="none" w:sz="0" w:space="0" w:color="auto"/>
            <w:left w:val="none" w:sz="0" w:space="0" w:color="auto"/>
            <w:bottom w:val="none" w:sz="0" w:space="0" w:color="auto"/>
            <w:right w:val="none" w:sz="0" w:space="0" w:color="auto"/>
          </w:divBdr>
        </w:div>
        <w:div w:id="2003852733">
          <w:marLeft w:val="0"/>
          <w:marRight w:val="0"/>
          <w:marTop w:val="0"/>
          <w:marBottom w:val="0"/>
          <w:divBdr>
            <w:top w:val="none" w:sz="0" w:space="0" w:color="auto"/>
            <w:left w:val="none" w:sz="0" w:space="0" w:color="auto"/>
            <w:bottom w:val="none" w:sz="0" w:space="0" w:color="auto"/>
            <w:right w:val="none" w:sz="0" w:space="0" w:color="auto"/>
          </w:divBdr>
        </w:div>
        <w:div w:id="2014406297">
          <w:marLeft w:val="0"/>
          <w:marRight w:val="0"/>
          <w:marTop w:val="0"/>
          <w:marBottom w:val="0"/>
          <w:divBdr>
            <w:top w:val="none" w:sz="0" w:space="0" w:color="auto"/>
            <w:left w:val="none" w:sz="0" w:space="0" w:color="auto"/>
            <w:bottom w:val="none" w:sz="0" w:space="0" w:color="auto"/>
            <w:right w:val="none" w:sz="0" w:space="0" w:color="auto"/>
          </w:divBdr>
        </w:div>
        <w:div w:id="2018262140">
          <w:marLeft w:val="0"/>
          <w:marRight w:val="0"/>
          <w:marTop w:val="0"/>
          <w:marBottom w:val="0"/>
          <w:divBdr>
            <w:top w:val="none" w:sz="0" w:space="0" w:color="auto"/>
            <w:left w:val="none" w:sz="0" w:space="0" w:color="auto"/>
            <w:bottom w:val="none" w:sz="0" w:space="0" w:color="auto"/>
            <w:right w:val="none" w:sz="0" w:space="0" w:color="auto"/>
          </w:divBdr>
        </w:div>
        <w:div w:id="2040082747">
          <w:marLeft w:val="0"/>
          <w:marRight w:val="0"/>
          <w:marTop w:val="0"/>
          <w:marBottom w:val="0"/>
          <w:divBdr>
            <w:top w:val="none" w:sz="0" w:space="0" w:color="auto"/>
            <w:left w:val="none" w:sz="0" w:space="0" w:color="auto"/>
            <w:bottom w:val="none" w:sz="0" w:space="0" w:color="auto"/>
            <w:right w:val="none" w:sz="0" w:space="0" w:color="auto"/>
          </w:divBdr>
        </w:div>
        <w:div w:id="2044087615">
          <w:marLeft w:val="0"/>
          <w:marRight w:val="0"/>
          <w:marTop w:val="0"/>
          <w:marBottom w:val="0"/>
          <w:divBdr>
            <w:top w:val="none" w:sz="0" w:space="0" w:color="auto"/>
            <w:left w:val="none" w:sz="0" w:space="0" w:color="auto"/>
            <w:bottom w:val="none" w:sz="0" w:space="0" w:color="auto"/>
            <w:right w:val="none" w:sz="0" w:space="0" w:color="auto"/>
          </w:divBdr>
        </w:div>
        <w:div w:id="2045053726">
          <w:marLeft w:val="0"/>
          <w:marRight w:val="0"/>
          <w:marTop w:val="0"/>
          <w:marBottom w:val="0"/>
          <w:divBdr>
            <w:top w:val="none" w:sz="0" w:space="0" w:color="auto"/>
            <w:left w:val="none" w:sz="0" w:space="0" w:color="auto"/>
            <w:bottom w:val="none" w:sz="0" w:space="0" w:color="auto"/>
            <w:right w:val="none" w:sz="0" w:space="0" w:color="auto"/>
          </w:divBdr>
        </w:div>
        <w:div w:id="2046785182">
          <w:marLeft w:val="0"/>
          <w:marRight w:val="0"/>
          <w:marTop w:val="0"/>
          <w:marBottom w:val="0"/>
          <w:divBdr>
            <w:top w:val="none" w:sz="0" w:space="0" w:color="auto"/>
            <w:left w:val="none" w:sz="0" w:space="0" w:color="auto"/>
            <w:bottom w:val="none" w:sz="0" w:space="0" w:color="auto"/>
            <w:right w:val="none" w:sz="0" w:space="0" w:color="auto"/>
          </w:divBdr>
        </w:div>
        <w:div w:id="2048329755">
          <w:marLeft w:val="0"/>
          <w:marRight w:val="0"/>
          <w:marTop w:val="0"/>
          <w:marBottom w:val="0"/>
          <w:divBdr>
            <w:top w:val="none" w:sz="0" w:space="0" w:color="auto"/>
            <w:left w:val="none" w:sz="0" w:space="0" w:color="auto"/>
            <w:bottom w:val="none" w:sz="0" w:space="0" w:color="auto"/>
            <w:right w:val="none" w:sz="0" w:space="0" w:color="auto"/>
          </w:divBdr>
        </w:div>
        <w:div w:id="2050059882">
          <w:marLeft w:val="0"/>
          <w:marRight w:val="0"/>
          <w:marTop w:val="0"/>
          <w:marBottom w:val="0"/>
          <w:divBdr>
            <w:top w:val="none" w:sz="0" w:space="0" w:color="auto"/>
            <w:left w:val="none" w:sz="0" w:space="0" w:color="auto"/>
            <w:bottom w:val="none" w:sz="0" w:space="0" w:color="auto"/>
            <w:right w:val="none" w:sz="0" w:space="0" w:color="auto"/>
          </w:divBdr>
          <w:divsChild>
            <w:div w:id="124470888">
              <w:marLeft w:val="0"/>
              <w:marRight w:val="0"/>
              <w:marTop w:val="0"/>
              <w:marBottom w:val="0"/>
              <w:divBdr>
                <w:top w:val="none" w:sz="0" w:space="0" w:color="auto"/>
                <w:left w:val="none" w:sz="0" w:space="0" w:color="auto"/>
                <w:bottom w:val="none" w:sz="0" w:space="0" w:color="auto"/>
                <w:right w:val="none" w:sz="0" w:space="0" w:color="auto"/>
              </w:divBdr>
            </w:div>
            <w:div w:id="754861492">
              <w:marLeft w:val="0"/>
              <w:marRight w:val="0"/>
              <w:marTop w:val="0"/>
              <w:marBottom w:val="0"/>
              <w:divBdr>
                <w:top w:val="none" w:sz="0" w:space="0" w:color="auto"/>
                <w:left w:val="none" w:sz="0" w:space="0" w:color="auto"/>
                <w:bottom w:val="none" w:sz="0" w:space="0" w:color="auto"/>
                <w:right w:val="none" w:sz="0" w:space="0" w:color="auto"/>
              </w:divBdr>
            </w:div>
            <w:div w:id="1672371950">
              <w:marLeft w:val="0"/>
              <w:marRight w:val="0"/>
              <w:marTop w:val="0"/>
              <w:marBottom w:val="0"/>
              <w:divBdr>
                <w:top w:val="none" w:sz="0" w:space="0" w:color="auto"/>
                <w:left w:val="none" w:sz="0" w:space="0" w:color="auto"/>
                <w:bottom w:val="none" w:sz="0" w:space="0" w:color="auto"/>
                <w:right w:val="none" w:sz="0" w:space="0" w:color="auto"/>
              </w:divBdr>
            </w:div>
          </w:divsChild>
        </w:div>
        <w:div w:id="2051565305">
          <w:marLeft w:val="0"/>
          <w:marRight w:val="0"/>
          <w:marTop w:val="0"/>
          <w:marBottom w:val="0"/>
          <w:divBdr>
            <w:top w:val="none" w:sz="0" w:space="0" w:color="auto"/>
            <w:left w:val="none" w:sz="0" w:space="0" w:color="auto"/>
            <w:bottom w:val="none" w:sz="0" w:space="0" w:color="auto"/>
            <w:right w:val="none" w:sz="0" w:space="0" w:color="auto"/>
          </w:divBdr>
        </w:div>
        <w:div w:id="2054227306">
          <w:marLeft w:val="0"/>
          <w:marRight w:val="0"/>
          <w:marTop w:val="0"/>
          <w:marBottom w:val="0"/>
          <w:divBdr>
            <w:top w:val="none" w:sz="0" w:space="0" w:color="auto"/>
            <w:left w:val="none" w:sz="0" w:space="0" w:color="auto"/>
            <w:bottom w:val="none" w:sz="0" w:space="0" w:color="auto"/>
            <w:right w:val="none" w:sz="0" w:space="0" w:color="auto"/>
          </w:divBdr>
        </w:div>
        <w:div w:id="2057774966">
          <w:marLeft w:val="0"/>
          <w:marRight w:val="0"/>
          <w:marTop w:val="0"/>
          <w:marBottom w:val="0"/>
          <w:divBdr>
            <w:top w:val="none" w:sz="0" w:space="0" w:color="auto"/>
            <w:left w:val="none" w:sz="0" w:space="0" w:color="auto"/>
            <w:bottom w:val="none" w:sz="0" w:space="0" w:color="auto"/>
            <w:right w:val="none" w:sz="0" w:space="0" w:color="auto"/>
          </w:divBdr>
        </w:div>
        <w:div w:id="2071879474">
          <w:marLeft w:val="0"/>
          <w:marRight w:val="0"/>
          <w:marTop w:val="0"/>
          <w:marBottom w:val="0"/>
          <w:divBdr>
            <w:top w:val="none" w:sz="0" w:space="0" w:color="auto"/>
            <w:left w:val="none" w:sz="0" w:space="0" w:color="auto"/>
            <w:bottom w:val="none" w:sz="0" w:space="0" w:color="auto"/>
            <w:right w:val="none" w:sz="0" w:space="0" w:color="auto"/>
          </w:divBdr>
        </w:div>
        <w:div w:id="2075472252">
          <w:marLeft w:val="0"/>
          <w:marRight w:val="0"/>
          <w:marTop w:val="0"/>
          <w:marBottom w:val="0"/>
          <w:divBdr>
            <w:top w:val="none" w:sz="0" w:space="0" w:color="auto"/>
            <w:left w:val="none" w:sz="0" w:space="0" w:color="auto"/>
            <w:bottom w:val="none" w:sz="0" w:space="0" w:color="auto"/>
            <w:right w:val="none" w:sz="0" w:space="0" w:color="auto"/>
          </w:divBdr>
        </w:div>
        <w:div w:id="2085176566">
          <w:marLeft w:val="0"/>
          <w:marRight w:val="0"/>
          <w:marTop w:val="0"/>
          <w:marBottom w:val="0"/>
          <w:divBdr>
            <w:top w:val="none" w:sz="0" w:space="0" w:color="auto"/>
            <w:left w:val="none" w:sz="0" w:space="0" w:color="auto"/>
            <w:bottom w:val="none" w:sz="0" w:space="0" w:color="auto"/>
            <w:right w:val="none" w:sz="0" w:space="0" w:color="auto"/>
          </w:divBdr>
        </w:div>
        <w:div w:id="2104643028">
          <w:marLeft w:val="0"/>
          <w:marRight w:val="0"/>
          <w:marTop w:val="0"/>
          <w:marBottom w:val="0"/>
          <w:divBdr>
            <w:top w:val="none" w:sz="0" w:space="0" w:color="auto"/>
            <w:left w:val="none" w:sz="0" w:space="0" w:color="auto"/>
            <w:bottom w:val="none" w:sz="0" w:space="0" w:color="auto"/>
            <w:right w:val="none" w:sz="0" w:space="0" w:color="auto"/>
          </w:divBdr>
        </w:div>
        <w:div w:id="2109042644">
          <w:marLeft w:val="0"/>
          <w:marRight w:val="0"/>
          <w:marTop w:val="0"/>
          <w:marBottom w:val="0"/>
          <w:divBdr>
            <w:top w:val="none" w:sz="0" w:space="0" w:color="auto"/>
            <w:left w:val="none" w:sz="0" w:space="0" w:color="auto"/>
            <w:bottom w:val="none" w:sz="0" w:space="0" w:color="auto"/>
            <w:right w:val="none" w:sz="0" w:space="0" w:color="auto"/>
          </w:divBdr>
        </w:div>
        <w:div w:id="2110849035">
          <w:marLeft w:val="0"/>
          <w:marRight w:val="0"/>
          <w:marTop w:val="0"/>
          <w:marBottom w:val="0"/>
          <w:divBdr>
            <w:top w:val="none" w:sz="0" w:space="0" w:color="auto"/>
            <w:left w:val="none" w:sz="0" w:space="0" w:color="auto"/>
            <w:bottom w:val="none" w:sz="0" w:space="0" w:color="auto"/>
            <w:right w:val="none" w:sz="0" w:space="0" w:color="auto"/>
          </w:divBdr>
        </w:div>
        <w:div w:id="2120906121">
          <w:marLeft w:val="0"/>
          <w:marRight w:val="0"/>
          <w:marTop w:val="0"/>
          <w:marBottom w:val="0"/>
          <w:divBdr>
            <w:top w:val="none" w:sz="0" w:space="0" w:color="auto"/>
            <w:left w:val="none" w:sz="0" w:space="0" w:color="auto"/>
            <w:bottom w:val="none" w:sz="0" w:space="0" w:color="auto"/>
            <w:right w:val="none" w:sz="0" w:space="0" w:color="auto"/>
          </w:divBdr>
        </w:div>
        <w:div w:id="2121413905">
          <w:marLeft w:val="0"/>
          <w:marRight w:val="0"/>
          <w:marTop w:val="0"/>
          <w:marBottom w:val="0"/>
          <w:divBdr>
            <w:top w:val="none" w:sz="0" w:space="0" w:color="auto"/>
            <w:left w:val="none" w:sz="0" w:space="0" w:color="auto"/>
            <w:bottom w:val="none" w:sz="0" w:space="0" w:color="auto"/>
            <w:right w:val="none" w:sz="0" w:space="0" w:color="auto"/>
          </w:divBdr>
        </w:div>
        <w:div w:id="2124885602">
          <w:marLeft w:val="0"/>
          <w:marRight w:val="0"/>
          <w:marTop w:val="0"/>
          <w:marBottom w:val="0"/>
          <w:divBdr>
            <w:top w:val="none" w:sz="0" w:space="0" w:color="auto"/>
            <w:left w:val="none" w:sz="0" w:space="0" w:color="auto"/>
            <w:bottom w:val="none" w:sz="0" w:space="0" w:color="auto"/>
            <w:right w:val="none" w:sz="0" w:space="0" w:color="auto"/>
          </w:divBdr>
        </w:div>
        <w:div w:id="2125270575">
          <w:marLeft w:val="0"/>
          <w:marRight w:val="0"/>
          <w:marTop w:val="0"/>
          <w:marBottom w:val="0"/>
          <w:divBdr>
            <w:top w:val="none" w:sz="0" w:space="0" w:color="auto"/>
            <w:left w:val="none" w:sz="0" w:space="0" w:color="auto"/>
            <w:bottom w:val="none" w:sz="0" w:space="0" w:color="auto"/>
            <w:right w:val="none" w:sz="0" w:space="0" w:color="auto"/>
          </w:divBdr>
        </w:div>
        <w:div w:id="2127388415">
          <w:marLeft w:val="0"/>
          <w:marRight w:val="0"/>
          <w:marTop w:val="0"/>
          <w:marBottom w:val="0"/>
          <w:divBdr>
            <w:top w:val="none" w:sz="0" w:space="0" w:color="auto"/>
            <w:left w:val="none" w:sz="0" w:space="0" w:color="auto"/>
            <w:bottom w:val="none" w:sz="0" w:space="0" w:color="auto"/>
            <w:right w:val="none" w:sz="0" w:space="0" w:color="auto"/>
          </w:divBdr>
        </w:div>
        <w:div w:id="2130471483">
          <w:marLeft w:val="0"/>
          <w:marRight w:val="0"/>
          <w:marTop w:val="0"/>
          <w:marBottom w:val="0"/>
          <w:divBdr>
            <w:top w:val="none" w:sz="0" w:space="0" w:color="auto"/>
            <w:left w:val="none" w:sz="0" w:space="0" w:color="auto"/>
            <w:bottom w:val="none" w:sz="0" w:space="0" w:color="auto"/>
            <w:right w:val="none" w:sz="0" w:space="0" w:color="auto"/>
          </w:divBdr>
        </w:div>
        <w:div w:id="2139296423">
          <w:marLeft w:val="0"/>
          <w:marRight w:val="0"/>
          <w:marTop w:val="0"/>
          <w:marBottom w:val="0"/>
          <w:divBdr>
            <w:top w:val="none" w:sz="0" w:space="0" w:color="auto"/>
            <w:left w:val="none" w:sz="0" w:space="0" w:color="auto"/>
            <w:bottom w:val="none" w:sz="0" w:space="0" w:color="auto"/>
            <w:right w:val="none" w:sz="0" w:space="0" w:color="auto"/>
          </w:divBdr>
        </w:div>
        <w:div w:id="2146465910">
          <w:marLeft w:val="0"/>
          <w:marRight w:val="0"/>
          <w:marTop w:val="0"/>
          <w:marBottom w:val="0"/>
          <w:divBdr>
            <w:top w:val="none" w:sz="0" w:space="0" w:color="auto"/>
            <w:left w:val="none" w:sz="0" w:space="0" w:color="auto"/>
            <w:bottom w:val="none" w:sz="0" w:space="0" w:color="auto"/>
            <w:right w:val="none" w:sz="0" w:space="0" w:color="auto"/>
          </w:divBdr>
        </w:div>
        <w:div w:id="2146771734">
          <w:marLeft w:val="0"/>
          <w:marRight w:val="0"/>
          <w:marTop w:val="0"/>
          <w:marBottom w:val="0"/>
          <w:divBdr>
            <w:top w:val="none" w:sz="0" w:space="0" w:color="auto"/>
            <w:left w:val="none" w:sz="0" w:space="0" w:color="auto"/>
            <w:bottom w:val="none" w:sz="0" w:space="0" w:color="auto"/>
            <w:right w:val="none" w:sz="0" w:space="0" w:color="auto"/>
          </w:divBdr>
        </w:div>
      </w:divsChild>
    </w:div>
    <w:div w:id="1968317909">
      <w:bodyDiv w:val="1"/>
      <w:marLeft w:val="0"/>
      <w:marRight w:val="0"/>
      <w:marTop w:val="0"/>
      <w:marBottom w:val="0"/>
      <w:divBdr>
        <w:top w:val="none" w:sz="0" w:space="0" w:color="auto"/>
        <w:left w:val="none" w:sz="0" w:space="0" w:color="auto"/>
        <w:bottom w:val="none" w:sz="0" w:space="0" w:color="auto"/>
        <w:right w:val="none" w:sz="0" w:space="0" w:color="auto"/>
      </w:divBdr>
    </w:div>
    <w:div w:id="2029287138">
      <w:bodyDiv w:val="1"/>
      <w:marLeft w:val="0"/>
      <w:marRight w:val="0"/>
      <w:marTop w:val="0"/>
      <w:marBottom w:val="0"/>
      <w:divBdr>
        <w:top w:val="none" w:sz="0" w:space="0" w:color="auto"/>
        <w:left w:val="none" w:sz="0" w:space="0" w:color="auto"/>
        <w:bottom w:val="none" w:sz="0" w:space="0" w:color="auto"/>
        <w:right w:val="none" w:sz="0" w:space="0" w:color="auto"/>
      </w:divBdr>
      <w:divsChild>
        <w:div w:id="86003742">
          <w:marLeft w:val="0"/>
          <w:marRight w:val="0"/>
          <w:marTop w:val="0"/>
          <w:marBottom w:val="0"/>
          <w:divBdr>
            <w:top w:val="none" w:sz="0" w:space="0" w:color="auto"/>
            <w:left w:val="none" w:sz="0" w:space="0" w:color="auto"/>
            <w:bottom w:val="none" w:sz="0" w:space="0" w:color="auto"/>
            <w:right w:val="none" w:sz="0" w:space="0" w:color="auto"/>
          </w:divBdr>
        </w:div>
        <w:div w:id="92944185">
          <w:marLeft w:val="0"/>
          <w:marRight w:val="0"/>
          <w:marTop w:val="0"/>
          <w:marBottom w:val="0"/>
          <w:divBdr>
            <w:top w:val="none" w:sz="0" w:space="0" w:color="auto"/>
            <w:left w:val="none" w:sz="0" w:space="0" w:color="auto"/>
            <w:bottom w:val="none" w:sz="0" w:space="0" w:color="auto"/>
            <w:right w:val="none" w:sz="0" w:space="0" w:color="auto"/>
          </w:divBdr>
        </w:div>
        <w:div w:id="192768650">
          <w:marLeft w:val="0"/>
          <w:marRight w:val="0"/>
          <w:marTop w:val="0"/>
          <w:marBottom w:val="0"/>
          <w:divBdr>
            <w:top w:val="none" w:sz="0" w:space="0" w:color="auto"/>
            <w:left w:val="none" w:sz="0" w:space="0" w:color="auto"/>
            <w:bottom w:val="none" w:sz="0" w:space="0" w:color="auto"/>
            <w:right w:val="none" w:sz="0" w:space="0" w:color="auto"/>
          </w:divBdr>
        </w:div>
        <w:div w:id="306319090">
          <w:marLeft w:val="0"/>
          <w:marRight w:val="0"/>
          <w:marTop w:val="0"/>
          <w:marBottom w:val="0"/>
          <w:divBdr>
            <w:top w:val="none" w:sz="0" w:space="0" w:color="auto"/>
            <w:left w:val="none" w:sz="0" w:space="0" w:color="auto"/>
            <w:bottom w:val="none" w:sz="0" w:space="0" w:color="auto"/>
            <w:right w:val="none" w:sz="0" w:space="0" w:color="auto"/>
          </w:divBdr>
        </w:div>
        <w:div w:id="469059966">
          <w:marLeft w:val="0"/>
          <w:marRight w:val="0"/>
          <w:marTop w:val="0"/>
          <w:marBottom w:val="0"/>
          <w:divBdr>
            <w:top w:val="none" w:sz="0" w:space="0" w:color="auto"/>
            <w:left w:val="none" w:sz="0" w:space="0" w:color="auto"/>
            <w:bottom w:val="none" w:sz="0" w:space="0" w:color="auto"/>
            <w:right w:val="none" w:sz="0" w:space="0" w:color="auto"/>
          </w:divBdr>
        </w:div>
        <w:div w:id="470442496">
          <w:marLeft w:val="0"/>
          <w:marRight w:val="0"/>
          <w:marTop w:val="0"/>
          <w:marBottom w:val="0"/>
          <w:divBdr>
            <w:top w:val="none" w:sz="0" w:space="0" w:color="auto"/>
            <w:left w:val="none" w:sz="0" w:space="0" w:color="auto"/>
            <w:bottom w:val="none" w:sz="0" w:space="0" w:color="auto"/>
            <w:right w:val="none" w:sz="0" w:space="0" w:color="auto"/>
          </w:divBdr>
        </w:div>
        <w:div w:id="471412845">
          <w:marLeft w:val="0"/>
          <w:marRight w:val="0"/>
          <w:marTop w:val="0"/>
          <w:marBottom w:val="0"/>
          <w:divBdr>
            <w:top w:val="none" w:sz="0" w:space="0" w:color="auto"/>
            <w:left w:val="none" w:sz="0" w:space="0" w:color="auto"/>
            <w:bottom w:val="none" w:sz="0" w:space="0" w:color="auto"/>
            <w:right w:val="none" w:sz="0" w:space="0" w:color="auto"/>
          </w:divBdr>
        </w:div>
        <w:div w:id="479155496">
          <w:marLeft w:val="0"/>
          <w:marRight w:val="0"/>
          <w:marTop w:val="0"/>
          <w:marBottom w:val="0"/>
          <w:divBdr>
            <w:top w:val="none" w:sz="0" w:space="0" w:color="auto"/>
            <w:left w:val="none" w:sz="0" w:space="0" w:color="auto"/>
            <w:bottom w:val="none" w:sz="0" w:space="0" w:color="auto"/>
            <w:right w:val="none" w:sz="0" w:space="0" w:color="auto"/>
          </w:divBdr>
        </w:div>
        <w:div w:id="523325392">
          <w:marLeft w:val="0"/>
          <w:marRight w:val="0"/>
          <w:marTop w:val="0"/>
          <w:marBottom w:val="0"/>
          <w:divBdr>
            <w:top w:val="none" w:sz="0" w:space="0" w:color="auto"/>
            <w:left w:val="none" w:sz="0" w:space="0" w:color="auto"/>
            <w:bottom w:val="none" w:sz="0" w:space="0" w:color="auto"/>
            <w:right w:val="none" w:sz="0" w:space="0" w:color="auto"/>
          </w:divBdr>
        </w:div>
        <w:div w:id="559168412">
          <w:marLeft w:val="0"/>
          <w:marRight w:val="0"/>
          <w:marTop w:val="0"/>
          <w:marBottom w:val="0"/>
          <w:divBdr>
            <w:top w:val="none" w:sz="0" w:space="0" w:color="auto"/>
            <w:left w:val="none" w:sz="0" w:space="0" w:color="auto"/>
            <w:bottom w:val="none" w:sz="0" w:space="0" w:color="auto"/>
            <w:right w:val="none" w:sz="0" w:space="0" w:color="auto"/>
          </w:divBdr>
        </w:div>
        <w:div w:id="587157664">
          <w:marLeft w:val="0"/>
          <w:marRight w:val="0"/>
          <w:marTop w:val="0"/>
          <w:marBottom w:val="0"/>
          <w:divBdr>
            <w:top w:val="none" w:sz="0" w:space="0" w:color="auto"/>
            <w:left w:val="none" w:sz="0" w:space="0" w:color="auto"/>
            <w:bottom w:val="none" w:sz="0" w:space="0" w:color="auto"/>
            <w:right w:val="none" w:sz="0" w:space="0" w:color="auto"/>
          </w:divBdr>
        </w:div>
        <w:div w:id="675616110">
          <w:marLeft w:val="0"/>
          <w:marRight w:val="0"/>
          <w:marTop w:val="0"/>
          <w:marBottom w:val="0"/>
          <w:divBdr>
            <w:top w:val="none" w:sz="0" w:space="0" w:color="auto"/>
            <w:left w:val="none" w:sz="0" w:space="0" w:color="auto"/>
            <w:bottom w:val="none" w:sz="0" w:space="0" w:color="auto"/>
            <w:right w:val="none" w:sz="0" w:space="0" w:color="auto"/>
          </w:divBdr>
        </w:div>
        <w:div w:id="729690009">
          <w:marLeft w:val="0"/>
          <w:marRight w:val="0"/>
          <w:marTop w:val="0"/>
          <w:marBottom w:val="0"/>
          <w:divBdr>
            <w:top w:val="none" w:sz="0" w:space="0" w:color="auto"/>
            <w:left w:val="none" w:sz="0" w:space="0" w:color="auto"/>
            <w:bottom w:val="none" w:sz="0" w:space="0" w:color="auto"/>
            <w:right w:val="none" w:sz="0" w:space="0" w:color="auto"/>
          </w:divBdr>
        </w:div>
        <w:div w:id="800804732">
          <w:marLeft w:val="0"/>
          <w:marRight w:val="0"/>
          <w:marTop w:val="0"/>
          <w:marBottom w:val="0"/>
          <w:divBdr>
            <w:top w:val="none" w:sz="0" w:space="0" w:color="auto"/>
            <w:left w:val="none" w:sz="0" w:space="0" w:color="auto"/>
            <w:bottom w:val="none" w:sz="0" w:space="0" w:color="auto"/>
            <w:right w:val="none" w:sz="0" w:space="0" w:color="auto"/>
          </w:divBdr>
        </w:div>
        <w:div w:id="853878434">
          <w:marLeft w:val="0"/>
          <w:marRight w:val="0"/>
          <w:marTop w:val="0"/>
          <w:marBottom w:val="0"/>
          <w:divBdr>
            <w:top w:val="none" w:sz="0" w:space="0" w:color="auto"/>
            <w:left w:val="none" w:sz="0" w:space="0" w:color="auto"/>
            <w:bottom w:val="none" w:sz="0" w:space="0" w:color="auto"/>
            <w:right w:val="none" w:sz="0" w:space="0" w:color="auto"/>
          </w:divBdr>
        </w:div>
        <w:div w:id="911743249">
          <w:marLeft w:val="0"/>
          <w:marRight w:val="0"/>
          <w:marTop w:val="0"/>
          <w:marBottom w:val="0"/>
          <w:divBdr>
            <w:top w:val="none" w:sz="0" w:space="0" w:color="auto"/>
            <w:left w:val="none" w:sz="0" w:space="0" w:color="auto"/>
            <w:bottom w:val="none" w:sz="0" w:space="0" w:color="auto"/>
            <w:right w:val="none" w:sz="0" w:space="0" w:color="auto"/>
          </w:divBdr>
        </w:div>
        <w:div w:id="1303803519">
          <w:marLeft w:val="0"/>
          <w:marRight w:val="0"/>
          <w:marTop w:val="0"/>
          <w:marBottom w:val="0"/>
          <w:divBdr>
            <w:top w:val="none" w:sz="0" w:space="0" w:color="auto"/>
            <w:left w:val="none" w:sz="0" w:space="0" w:color="auto"/>
            <w:bottom w:val="none" w:sz="0" w:space="0" w:color="auto"/>
            <w:right w:val="none" w:sz="0" w:space="0" w:color="auto"/>
          </w:divBdr>
        </w:div>
        <w:div w:id="1383366367">
          <w:marLeft w:val="0"/>
          <w:marRight w:val="0"/>
          <w:marTop w:val="0"/>
          <w:marBottom w:val="0"/>
          <w:divBdr>
            <w:top w:val="none" w:sz="0" w:space="0" w:color="auto"/>
            <w:left w:val="none" w:sz="0" w:space="0" w:color="auto"/>
            <w:bottom w:val="none" w:sz="0" w:space="0" w:color="auto"/>
            <w:right w:val="none" w:sz="0" w:space="0" w:color="auto"/>
          </w:divBdr>
        </w:div>
        <w:div w:id="1413971170">
          <w:marLeft w:val="0"/>
          <w:marRight w:val="0"/>
          <w:marTop w:val="0"/>
          <w:marBottom w:val="0"/>
          <w:divBdr>
            <w:top w:val="none" w:sz="0" w:space="0" w:color="auto"/>
            <w:left w:val="none" w:sz="0" w:space="0" w:color="auto"/>
            <w:bottom w:val="none" w:sz="0" w:space="0" w:color="auto"/>
            <w:right w:val="none" w:sz="0" w:space="0" w:color="auto"/>
          </w:divBdr>
        </w:div>
        <w:div w:id="1616667574">
          <w:marLeft w:val="0"/>
          <w:marRight w:val="0"/>
          <w:marTop w:val="0"/>
          <w:marBottom w:val="0"/>
          <w:divBdr>
            <w:top w:val="none" w:sz="0" w:space="0" w:color="auto"/>
            <w:left w:val="none" w:sz="0" w:space="0" w:color="auto"/>
            <w:bottom w:val="none" w:sz="0" w:space="0" w:color="auto"/>
            <w:right w:val="none" w:sz="0" w:space="0" w:color="auto"/>
          </w:divBdr>
        </w:div>
        <w:div w:id="1631281660">
          <w:marLeft w:val="0"/>
          <w:marRight w:val="0"/>
          <w:marTop w:val="0"/>
          <w:marBottom w:val="0"/>
          <w:divBdr>
            <w:top w:val="none" w:sz="0" w:space="0" w:color="auto"/>
            <w:left w:val="none" w:sz="0" w:space="0" w:color="auto"/>
            <w:bottom w:val="none" w:sz="0" w:space="0" w:color="auto"/>
            <w:right w:val="none" w:sz="0" w:space="0" w:color="auto"/>
          </w:divBdr>
        </w:div>
        <w:div w:id="1660036984">
          <w:marLeft w:val="0"/>
          <w:marRight w:val="0"/>
          <w:marTop w:val="0"/>
          <w:marBottom w:val="0"/>
          <w:divBdr>
            <w:top w:val="none" w:sz="0" w:space="0" w:color="auto"/>
            <w:left w:val="none" w:sz="0" w:space="0" w:color="auto"/>
            <w:bottom w:val="none" w:sz="0" w:space="0" w:color="auto"/>
            <w:right w:val="none" w:sz="0" w:space="0" w:color="auto"/>
          </w:divBdr>
        </w:div>
        <w:div w:id="1695887336">
          <w:marLeft w:val="0"/>
          <w:marRight w:val="0"/>
          <w:marTop w:val="0"/>
          <w:marBottom w:val="0"/>
          <w:divBdr>
            <w:top w:val="none" w:sz="0" w:space="0" w:color="auto"/>
            <w:left w:val="none" w:sz="0" w:space="0" w:color="auto"/>
            <w:bottom w:val="none" w:sz="0" w:space="0" w:color="auto"/>
            <w:right w:val="none" w:sz="0" w:space="0" w:color="auto"/>
          </w:divBdr>
        </w:div>
        <w:div w:id="1778283947">
          <w:marLeft w:val="0"/>
          <w:marRight w:val="0"/>
          <w:marTop w:val="0"/>
          <w:marBottom w:val="0"/>
          <w:divBdr>
            <w:top w:val="none" w:sz="0" w:space="0" w:color="auto"/>
            <w:left w:val="none" w:sz="0" w:space="0" w:color="auto"/>
            <w:bottom w:val="none" w:sz="0" w:space="0" w:color="auto"/>
            <w:right w:val="none" w:sz="0" w:space="0" w:color="auto"/>
          </w:divBdr>
        </w:div>
        <w:div w:id="1805847772">
          <w:marLeft w:val="0"/>
          <w:marRight w:val="0"/>
          <w:marTop w:val="0"/>
          <w:marBottom w:val="0"/>
          <w:divBdr>
            <w:top w:val="none" w:sz="0" w:space="0" w:color="auto"/>
            <w:left w:val="none" w:sz="0" w:space="0" w:color="auto"/>
            <w:bottom w:val="none" w:sz="0" w:space="0" w:color="auto"/>
            <w:right w:val="none" w:sz="0" w:space="0" w:color="auto"/>
          </w:divBdr>
        </w:div>
        <w:div w:id="1830634724">
          <w:marLeft w:val="0"/>
          <w:marRight w:val="0"/>
          <w:marTop w:val="0"/>
          <w:marBottom w:val="0"/>
          <w:divBdr>
            <w:top w:val="none" w:sz="0" w:space="0" w:color="auto"/>
            <w:left w:val="none" w:sz="0" w:space="0" w:color="auto"/>
            <w:bottom w:val="none" w:sz="0" w:space="0" w:color="auto"/>
            <w:right w:val="none" w:sz="0" w:space="0" w:color="auto"/>
          </w:divBdr>
        </w:div>
        <w:div w:id="1971470543">
          <w:marLeft w:val="0"/>
          <w:marRight w:val="0"/>
          <w:marTop w:val="0"/>
          <w:marBottom w:val="0"/>
          <w:divBdr>
            <w:top w:val="none" w:sz="0" w:space="0" w:color="auto"/>
            <w:left w:val="none" w:sz="0" w:space="0" w:color="auto"/>
            <w:bottom w:val="none" w:sz="0" w:space="0" w:color="auto"/>
            <w:right w:val="none" w:sz="0" w:space="0" w:color="auto"/>
          </w:divBdr>
        </w:div>
        <w:div w:id="1982610806">
          <w:marLeft w:val="0"/>
          <w:marRight w:val="0"/>
          <w:marTop w:val="0"/>
          <w:marBottom w:val="0"/>
          <w:divBdr>
            <w:top w:val="none" w:sz="0" w:space="0" w:color="auto"/>
            <w:left w:val="none" w:sz="0" w:space="0" w:color="auto"/>
            <w:bottom w:val="none" w:sz="0" w:space="0" w:color="auto"/>
            <w:right w:val="none" w:sz="0" w:space="0" w:color="auto"/>
          </w:divBdr>
        </w:div>
        <w:div w:id="2020498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ITU-T/recommendations/rec.aspx?id=14444" TargetMode="External"/><Relationship Id="rId671" Type="http://schemas.openxmlformats.org/officeDocument/2006/relationships/image" Target="media/image125.png"/><Relationship Id="rId21" Type="http://schemas.openxmlformats.org/officeDocument/2006/relationships/hyperlink" Target="http://www.itu.int" TargetMode="External"/><Relationship Id="rId324" Type="http://schemas.openxmlformats.org/officeDocument/2006/relationships/hyperlink" Target="https://www.itu.int/en/mediacentre/Pages/2019-CM10.aspx" TargetMode="External"/><Relationship Id="rId531" Type="http://schemas.openxmlformats.org/officeDocument/2006/relationships/hyperlink" Target="http://www.itu.int/itu-t/workprog/wp_item.aspx?isn=13669" TargetMode="External"/><Relationship Id="rId629" Type="http://schemas.openxmlformats.org/officeDocument/2006/relationships/image" Target="media/image83.png"/><Relationship Id="rId170" Type="http://schemas.openxmlformats.org/officeDocument/2006/relationships/hyperlink" Target="https://www.itu.int/ITU-T/recommendations/rec.aspx?id=14377" TargetMode="External"/><Relationship Id="rId268" Type="http://schemas.openxmlformats.org/officeDocument/2006/relationships/hyperlink" Target="https://www.itu.int/en/ITU-D/Environment/Pages/Priority-Areas/UN-E-waste-Coalition.aspx" TargetMode="External"/><Relationship Id="rId475" Type="http://schemas.openxmlformats.org/officeDocument/2006/relationships/hyperlink" Target="https://www.itu.int/md/S20-CL-C-0051/en" TargetMode="External"/><Relationship Id="rId682" Type="http://schemas.openxmlformats.org/officeDocument/2006/relationships/image" Target="media/image136.png"/><Relationship Id="rId32" Type="http://schemas.openxmlformats.org/officeDocument/2006/relationships/hyperlink" Target="http://www.itu.int/pub/R-RES-R.71" TargetMode="External"/><Relationship Id="rId128" Type="http://schemas.openxmlformats.org/officeDocument/2006/relationships/hyperlink" Target="https://www.itu.int/ITU-T/recommendations/rec.aspx?id=14446" TargetMode="External"/><Relationship Id="rId335" Type="http://schemas.openxmlformats.org/officeDocument/2006/relationships/hyperlink" Target="https://www.itu.int/en/ITU-D/Pages/I-CoDI-Youth-Challenge.aspx" TargetMode="External"/><Relationship Id="rId542" Type="http://schemas.openxmlformats.org/officeDocument/2006/relationships/hyperlink" Target="http://www.itu.int/itu-t/workprog/wp_item.aspx?isn=14302" TargetMode="External"/><Relationship Id="rId181" Type="http://schemas.openxmlformats.org/officeDocument/2006/relationships/hyperlink" Target="https://www.itu.int/itu-t/recommendations/rec.aspx?rec=13928" TargetMode="External"/><Relationship Id="rId402" Type="http://schemas.openxmlformats.org/officeDocument/2006/relationships/hyperlink" Target="https://www.itu.int/en/ITU-T/academia/kaleidoscope/2019/Pages/default.aspx" TargetMode="External"/><Relationship Id="rId279" Type="http://schemas.openxmlformats.org/officeDocument/2006/relationships/hyperlink" Target="https://weee-forum.org/iewd-about/" TargetMode="External"/><Relationship Id="rId486" Type="http://schemas.openxmlformats.org/officeDocument/2006/relationships/hyperlink" Target="https://www.itu.int/en/ITU-T/studygroups/2017-2020/05/sg5rgafr/20190829/Pages/default.aspx" TargetMode="External"/><Relationship Id="rId693" Type="http://schemas.openxmlformats.org/officeDocument/2006/relationships/image" Target="media/image145.png"/><Relationship Id="rId43" Type="http://schemas.openxmlformats.org/officeDocument/2006/relationships/hyperlink" Target="https://www.itu.int/itu-t/recommendations/rec.aspx?rec=14517" TargetMode="External"/><Relationship Id="rId139" Type="http://schemas.openxmlformats.org/officeDocument/2006/relationships/hyperlink" Target="https://www.itu.int/ITU-T/recommendations/rec.aspx?id=14266" TargetMode="External"/><Relationship Id="rId346" Type="http://schemas.openxmlformats.org/officeDocument/2006/relationships/hyperlink" Target="https://academy.itu.int/index.php/training-courses/full-catalogue/ict-accessibility-key-inclusive-communication-0" TargetMode="External"/><Relationship Id="rId553" Type="http://schemas.openxmlformats.org/officeDocument/2006/relationships/hyperlink" Target="https://extranet.itu.int/sites/itu-t/initiatives/U4SSC/SitePages/Home.aspx" TargetMode="External"/><Relationship Id="rId192" Type="http://schemas.openxmlformats.org/officeDocument/2006/relationships/hyperlink" Target="https://www.itu.int/ITU-T/recommendations/rec.aspx?id=14274" TargetMode="External"/><Relationship Id="rId206" Type="http://schemas.openxmlformats.org/officeDocument/2006/relationships/hyperlink" Target="https://www.itu.int/ITU-T/recommendations/rec.aspx?id=14154" TargetMode="External"/><Relationship Id="rId413" Type="http://schemas.openxmlformats.org/officeDocument/2006/relationships/hyperlink" Target="https://digital-world.itu.int/events/2019-budapest/highlights-from-telecom-world-2019-budapest/" TargetMode="External"/><Relationship Id="rId497" Type="http://schemas.openxmlformats.org/officeDocument/2006/relationships/hyperlink" Target="https://www.itu.int/en/ITU-T/climatechange/Pages/20201015.aspx" TargetMode="External"/><Relationship Id="rId620" Type="http://schemas.openxmlformats.org/officeDocument/2006/relationships/image" Target="media/image74.png"/><Relationship Id="rId357" Type="http://schemas.openxmlformats.org/officeDocument/2006/relationships/hyperlink" Target="https://www.worldbank.org/en/news/statement/2020/04/21/the-world-bank-wef-gsma-and-itu-mobilized-in-the-fight-against-covid-19" TargetMode="External"/><Relationship Id="rId54" Type="http://schemas.openxmlformats.org/officeDocument/2006/relationships/hyperlink" Target="https://www.itu.int/ITU-T/recommendations/rec.aspx?id=14395" TargetMode="External"/><Relationship Id="rId217" Type="http://schemas.openxmlformats.org/officeDocument/2006/relationships/hyperlink" Target="https://www.itu.int/itu-t/recommendations/rec.aspx?rec=13595" TargetMode="External"/><Relationship Id="rId564" Type="http://schemas.openxmlformats.org/officeDocument/2006/relationships/hyperlink" Target="https://www.itu.int/en/ITU-T/extcoop/figisymposium/2019/Pages/hackathon.aspx" TargetMode="External"/><Relationship Id="rId424" Type="http://schemas.openxmlformats.org/officeDocument/2006/relationships/hyperlink" Target="https://www.itu.int/myworkspace/" TargetMode="External"/><Relationship Id="rId631" Type="http://schemas.openxmlformats.org/officeDocument/2006/relationships/image" Target="media/image85.png"/><Relationship Id="rId270" Type="http://schemas.openxmlformats.org/officeDocument/2006/relationships/hyperlink" Target="https://www.itu.int/en/council/Documents/basic-texts/RES-200-E.pdf" TargetMode="External"/><Relationship Id="rId65" Type="http://schemas.openxmlformats.org/officeDocument/2006/relationships/hyperlink" Target="https://www.itu.int/ITU-T/recommendations/rec.aspx?id=14385" TargetMode="External"/><Relationship Id="rId130" Type="http://schemas.openxmlformats.org/officeDocument/2006/relationships/hyperlink" Target="https://www.itu.int/rec/T-REC-x/recommendation.asp?lang=en&amp;parent=T-REC-X.1376" TargetMode="External"/><Relationship Id="rId368" Type="http://schemas.openxmlformats.org/officeDocument/2006/relationships/hyperlink" Target="https://www.itu.int/en/Pages/covid-19.aspx" TargetMode="External"/><Relationship Id="rId575" Type="http://schemas.openxmlformats.org/officeDocument/2006/relationships/hyperlink" Target="http://www.itu.int/itu-t/workprog/wp_item.aspx?isn=14706" TargetMode="External"/><Relationship Id="rId228" Type="http://schemas.openxmlformats.org/officeDocument/2006/relationships/hyperlink" Target="https://www.itu.int/ITU-T/recommendations/rec.aspx?id=14392" TargetMode="External"/><Relationship Id="rId435" Type="http://schemas.openxmlformats.org/officeDocument/2006/relationships/image" Target="media/image7.png"/><Relationship Id="rId642" Type="http://schemas.openxmlformats.org/officeDocument/2006/relationships/image" Target="media/image96.png"/><Relationship Id="rId281" Type="http://schemas.openxmlformats.org/officeDocument/2006/relationships/hyperlink" Target="https://www.itu.int/en/ITU-D/Emergency-Telecommunications/Pages/Events/2019/GET-2019/Disruptive-technologies-and-their-use-in-disaster-risk-reduction-and-management.aspx" TargetMode="External"/><Relationship Id="rId502" Type="http://schemas.openxmlformats.org/officeDocument/2006/relationships/hyperlink" Target="https://www.itu.int/en/ITU-T/climatechange/symposia/201905/Pages/default.aspx" TargetMode="External"/><Relationship Id="rId76" Type="http://schemas.openxmlformats.org/officeDocument/2006/relationships/hyperlink" Target="https://www.itu.int/ITU-T/recommendations/rec.aspx?id=14277" TargetMode="External"/><Relationship Id="rId141" Type="http://schemas.openxmlformats.org/officeDocument/2006/relationships/hyperlink" Target="https://www.itu.int/itu-t/recommendations/rec.aspx?rec=13727" TargetMode="External"/><Relationship Id="rId379" Type="http://schemas.openxmlformats.org/officeDocument/2006/relationships/hyperlink" Target="https://www.broadbandcommission.org/Documents/working-groups/SchoolConnectivity_report.pdf" TargetMode="External"/><Relationship Id="rId586" Type="http://schemas.openxmlformats.org/officeDocument/2006/relationships/hyperlink" Target="http://news.itu.int/be-first-to-read-the-new-itu-journal-on-future-and-evolving-technologies/" TargetMode="External"/><Relationship Id="rId7" Type="http://schemas.openxmlformats.org/officeDocument/2006/relationships/settings" Target="settings.xml"/><Relationship Id="rId239" Type="http://schemas.openxmlformats.org/officeDocument/2006/relationships/hyperlink" Target="https://www.itu.int/ITU-T/recommendations/rec.aspx?id=14244" TargetMode="External"/><Relationship Id="rId446" Type="http://schemas.openxmlformats.org/officeDocument/2006/relationships/image" Target="media/image18.png"/><Relationship Id="rId653" Type="http://schemas.openxmlformats.org/officeDocument/2006/relationships/image" Target="media/image107.png"/><Relationship Id="rId292" Type="http://schemas.openxmlformats.org/officeDocument/2006/relationships/hyperlink" Target="https://www.itu.int/en/ITU-T/studygroups/2017-2020/17/Pages/default.aspx" TargetMode="External"/><Relationship Id="rId306" Type="http://schemas.openxmlformats.org/officeDocument/2006/relationships/hyperlink" Target="https://www.itu.int/en/ITU-D/Cybersecurity/Documents/GCIv4/GCIv4_English.pdf" TargetMode="External"/><Relationship Id="rId87" Type="http://schemas.openxmlformats.org/officeDocument/2006/relationships/hyperlink" Target="https://www.itu.int/ITU-T/recommendations/rec.aspx?id=14282" TargetMode="External"/><Relationship Id="rId513" Type="http://schemas.openxmlformats.org/officeDocument/2006/relationships/hyperlink" Target="http://www.itu.int/itu-t/workprog/wp_item.aspx?isn=13683" TargetMode="External"/><Relationship Id="rId597" Type="http://schemas.openxmlformats.org/officeDocument/2006/relationships/image" Target="media/image51.png"/><Relationship Id="rId152" Type="http://schemas.openxmlformats.org/officeDocument/2006/relationships/hyperlink" Target="https://www.itu.int/ITU-T/recommendations/rec.aspx?id=14572" TargetMode="External"/><Relationship Id="rId457" Type="http://schemas.openxmlformats.org/officeDocument/2006/relationships/image" Target="media/image29.png"/><Relationship Id="rId664" Type="http://schemas.openxmlformats.org/officeDocument/2006/relationships/image" Target="media/image118.png"/><Relationship Id="rId14" Type="http://schemas.openxmlformats.org/officeDocument/2006/relationships/hyperlink" Target="https://www.itu.int/en/council/Documents/basic-texts/RES-151-E.pdf" TargetMode="External"/><Relationship Id="rId317" Type="http://schemas.openxmlformats.org/officeDocument/2006/relationships/hyperlink" Target="https://www.itu.int/en/ITU-D/Digital-Inclusion/Women-and-Girls/Girls-in-ICT-Portal/Pages/Portal.aspx" TargetMode="External"/><Relationship Id="rId524" Type="http://schemas.openxmlformats.org/officeDocument/2006/relationships/hyperlink" Target="http://www.itu.int/itu-t/workprog/wp_item.aspx?isn=13676" TargetMode="External"/><Relationship Id="rId98" Type="http://schemas.openxmlformats.org/officeDocument/2006/relationships/hyperlink" Target="https://www.itu.int/ITU-T/recommendations/rec.aspx?id=14333" TargetMode="External"/><Relationship Id="rId163" Type="http://schemas.openxmlformats.org/officeDocument/2006/relationships/hyperlink" Target="https://www.itu.int/ITU-T/recommendations/rec.aspx?id=14381" TargetMode="External"/><Relationship Id="rId370" Type="http://schemas.openxmlformats.org/officeDocument/2006/relationships/hyperlink" Target="https://broadbandcommission.org/workinggroups/Pages/WG2-2018.aspx" TargetMode="External"/><Relationship Id="rId230" Type="http://schemas.openxmlformats.org/officeDocument/2006/relationships/hyperlink" Target="https://www.itu.int/ITU-T/recommendations/rec.aspx?id=14411" TargetMode="External"/><Relationship Id="rId468" Type="http://schemas.openxmlformats.org/officeDocument/2006/relationships/image" Target="media/image40.png"/><Relationship Id="rId675" Type="http://schemas.openxmlformats.org/officeDocument/2006/relationships/image" Target="media/image129.png"/><Relationship Id="rId25" Type="http://schemas.openxmlformats.org/officeDocument/2006/relationships/hyperlink" Target="https://www.itu.int/en/mediacentre/Pages/CM01-2020-WRC19-Final-Acts.aspx" TargetMode="External"/><Relationship Id="rId328" Type="http://schemas.openxmlformats.org/officeDocument/2006/relationships/hyperlink" Target="https://www.itu.int/en/ITU-D/Digital-Inclusion/Women-and-Girls/Girls-in-ICT-Portal/Pages/Portal.aspx" TargetMode="External"/><Relationship Id="rId535" Type="http://schemas.openxmlformats.org/officeDocument/2006/relationships/hyperlink" Target="http://www.itu.int/itu-t/workprog/wp_item.aspx?isn=13691" TargetMode="External"/><Relationship Id="rId174" Type="http://schemas.openxmlformats.org/officeDocument/2006/relationships/hyperlink" Target="https://www.itu.int/ITU-T/recommendations/rec.aspx?id=14163" TargetMode="External"/><Relationship Id="rId381" Type="http://schemas.openxmlformats.org/officeDocument/2006/relationships/hyperlink" Target="https://www.itu.int/en/myitu/Publications/2020/08/31/08/38/Connecting-Humanity" TargetMode="External"/><Relationship Id="rId602" Type="http://schemas.openxmlformats.org/officeDocument/2006/relationships/image" Target="media/image56.png"/><Relationship Id="rId241" Type="http://schemas.openxmlformats.org/officeDocument/2006/relationships/hyperlink" Target="https://www.itu.int/ITU-T/recommendations/rec.aspx?id=14245" TargetMode="External"/><Relationship Id="rId479" Type="http://schemas.openxmlformats.org/officeDocument/2006/relationships/hyperlink" Target="https://www.itu.int/md/S20-CL-C-0012/en" TargetMode="External"/><Relationship Id="rId686" Type="http://schemas.openxmlformats.org/officeDocument/2006/relationships/image" Target="media/image140.png"/><Relationship Id="rId36" Type="http://schemas.openxmlformats.org/officeDocument/2006/relationships/hyperlink" Target="http://www.itu.int/ITU-R" TargetMode="External"/><Relationship Id="rId339" Type="http://schemas.openxmlformats.org/officeDocument/2006/relationships/hyperlink" Target="https://www.itu.int/en/ITU-T/academia/kaleidoscope/Pages/default.aspx" TargetMode="External"/><Relationship Id="rId546" Type="http://schemas.openxmlformats.org/officeDocument/2006/relationships/hyperlink" Target="http://www.itu.int/itu-t/workprog/wp_item.aspx?isn=16685" TargetMode="External"/><Relationship Id="rId101" Type="http://schemas.openxmlformats.org/officeDocument/2006/relationships/hyperlink" Target="https://www.itu.int/ITU-T/recommendations/rec.aspx?id=14251" TargetMode="External"/><Relationship Id="rId185" Type="http://schemas.openxmlformats.org/officeDocument/2006/relationships/hyperlink" Target="https://www.itu.int/itu-t/recommendations/rec.aspx?rec=13925" TargetMode="External"/><Relationship Id="rId406" Type="http://schemas.openxmlformats.org/officeDocument/2006/relationships/hyperlink" Target="https://www.itu.int/itu-t/recommendations/rec.aspx?rec=13894" TargetMode="External"/><Relationship Id="rId392" Type="http://schemas.openxmlformats.org/officeDocument/2006/relationships/hyperlink" Target="https://www.itu.int/en/wtisd/2020/Pages/default.aspx" TargetMode="External"/><Relationship Id="rId613" Type="http://schemas.openxmlformats.org/officeDocument/2006/relationships/image" Target="media/image67.png"/><Relationship Id="rId697" Type="http://schemas.openxmlformats.org/officeDocument/2006/relationships/header" Target="header7.xml"/><Relationship Id="rId252" Type="http://schemas.openxmlformats.org/officeDocument/2006/relationships/hyperlink" Target="https://www.itu.int/en/ITU-T/focusgroups/qit4n/Pages/default.aspx" TargetMode="External"/><Relationship Id="rId47" Type="http://schemas.openxmlformats.org/officeDocument/2006/relationships/hyperlink" Target="https://www.itu.int/ITU-T/recommendations/rec.aspx?id=14400" TargetMode="External"/><Relationship Id="rId112" Type="http://schemas.openxmlformats.org/officeDocument/2006/relationships/hyperlink" Target="https://www.itu.int/ITU-T/recommendations/rec.aspx?id=14320" TargetMode="External"/><Relationship Id="rId557" Type="http://schemas.openxmlformats.org/officeDocument/2006/relationships/hyperlink" Target="https://www.itu.int/en/ITU-T/ssc/united/Pages/U4SSC-IP.aspx" TargetMode="External"/><Relationship Id="rId196" Type="http://schemas.openxmlformats.org/officeDocument/2006/relationships/hyperlink" Target="https://www.itu.int/ITU-T/recommendations/rec.aspx?id=14429" TargetMode="External"/><Relationship Id="rId417" Type="http://schemas.openxmlformats.org/officeDocument/2006/relationships/hyperlink" Target="https://www.itu.int/net4/ITU-T/myworkspace/" TargetMode="External"/><Relationship Id="rId624" Type="http://schemas.openxmlformats.org/officeDocument/2006/relationships/image" Target="media/image78.png"/><Relationship Id="rId263" Type="http://schemas.openxmlformats.org/officeDocument/2006/relationships/hyperlink" Target="https://www.itu.int/en/publications/Documents/tsb/2020-Frontier-Technologies-to-Protect-the-Environment-and-Tackle-Climate-Change/index.html" TargetMode="External"/><Relationship Id="rId470" Type="http://schemas.openxmlformats.org/officeDocument/2006/relationships/image" Target="media/image42.png"/><Relationship Id="rId58" Type="http://schemas.openxmlformats.org/officeDocument/2006/relationships/hyperlink" Target="https://www.itu.int/ITU-T/recommendations/rec.aspx?id=14361" TargetMode="External"/><Relationship Id="rId123" Type="http://schemas.openxmlformats.org/officeDocument/2006/relationships/hyperlink" Target="https://www.itu.int/ITU-T/recommendations/rec.aspx?id=14089" TargetMode="External"/><Relationship Id="rId330" Type="http://schemas.openxmlformats.org/officeDocument/2006/relationships/hyperlink" Target="file://blue/dfs/sgo/CSD/Gender/Council/Council%202020/" TargetMode="External"/><Relationship Id="rId568" Type="http://schemas.openxmlformats.org/officeDocument/2006/relationships/hyperlink" Target="https://www.itu.int/rec/T-REC-G.1033-201910-I/en" TargetMode="External"/><Relationship Id="rId428" Type="http://schemas.openxmlformats.org/officeDocument/2006/relationships/hyperlink" Target="https://www.itu.int/myworkspace/" TargetMode="External"/><Relationship Id="rId635" Type="http://schemas.openxmlformats.org/officeDocument/2006/relationships/image" Target="media/image89.png"/><Relationship Id="rId274" Type="http://schemas.openxmlformats.org/officeDocument/2006/relationships/hyperlink" Target="https://www.itu.int/en/ITU-D/Regional-Presence/ArabStates/Pages/Projects/Ewaste.aspx" TargetMode="External"/><Relationship Id="rId481" Type="http://schemas.openxmlformats.org/officeDocument/2006/relationships/hyperlink" Target="https://www.itu.int/md/S19-CL-C-0022/en" TargetMode="External"/><Relationship Id="rId69" Type="http://schemas.openxmlformats.org/officeDocument/2006/relationships/hyperlink" Target="https://www.itu.int/ITU-T/recommendations/rec.aspx?rec=14134" TargetMode="External"/><Relationship Id="rId134" Type="http://schemas.openxmlformats.org/officeDocument/2006/relationships/hyperlink" Target="https://www.itu.int/ITU-T/recommendations/rec.aspx?id=14264" TargetMode="External"/><Relationship Id="rId579" Type="http://schemas.openxmlformats.org/officeDocument/2006/relationships/hyperlink" Target="https://www.itu.int/en/ITU-T/webinars/Pages/dfs.aspx" TargetMode="External"/><Relationship Id="rId341" Type="http://schemas.openxmlformats.org/officeDocument/2006/relationships/hyperlink" Target="http://www.itu.int/gender" TargetMode="External"/><Relationship Id="rId439" Type="http://schemas.openxmlformats.org/officeDocument/2006/relationships/image" Target="media/image11.png"/><Relationship Id="rId646" Type="http://schemas.openxmlformats.org/officeDocument/2006/relationships/image" Target="media/image100.png"/><Relationship Id="rId201" Type="http://schemas.openxmlformats.org/officeDocument/2006/relationships/hyperlink" Target="https://www.itu.int/ITU-T/recommendations/rec.aspx?id=14160" TargetMode="External"/><Relationship Id="rId285" Type="http://schemas.openxmlformats.org/officeDocument/2006/relationships/hyperlink" Target="https://www.itu.int/en/ITU-D/Emergency-Telecommunications/Documents/2019/Special%20Session/CCC.pdf" TargetMode="External"/><Relationship Id="rId506" Type="http://schemas.openxmlformats.org/officeDocument/2006/relationships/hyperlink" Target="https://www.itu.int/ITU-T/workprog/wp_item.aspx?isn=15043" TargetMode="External"/><Relationship Id="rId492" Type="http://schemas.openxmlformats.org/officeDocument/2006/relationships/hyperlink" Target="https://itu.int/go/CI_Assessment_Studies" TargetMode="External"/><Relationship Id="rId145" Type="http://schemas.openxmlformats.org/officeDocument/2006/relationships/hyperlink" Target="https://www.itu.int/itu-t/recommendations/rec.aspx?rec=13963" TargetMode="External"/><Relationship Id="rId352" Type="http://schemas.openxmlformats.org/officeDocument/2006/relationships/hyperlink" Target="https://www.itu.int/en/ITU-D/Digital-Inclusion/Indigenous-Peoples/Pages/default.aspx" TargetMode="External"/><Relationship Id="rId212" Type="http://schemas.openxmlformats.org/officeDocument/2006/relationships/hyperlink" Target="https://www.itu.int/ITU-T/recommendations/rec.aspx?id=14319" TargetMode="External"/><Relationship Id="rId657" Type="http://schemas.openxmlformats.org/officeDocument/2006/relationships/image" Target="media/image111.png"/><Relationship Id="rId296" Type="http://schemas.openxmlformats.org/officeDocument/2006/relationships/hyperlink" Target="https://www.itu.int/en/ITU-T/studygroups/2017-2020/13/Pages/default.aspx" TargetMode="External"/><Relationship Id="rId517" Type="http://schemas.openxmlformats.org/officeDocument/2006/relationships/hyperlink" Target="http://www.itu.int/itu-t/workprog/wp_item.aspx?isn=14655" TargetMode="External"/><Relationship Id="rId60" Type="http://schemas.openxmlformats.org/officeDocument/2006/relationships/hyperlink" Target="https://www.itu.int/ITU-T/recommendations/rec.aspx?id=14404" TargetMode="External"/><Relationship Id="rId156" Type="http://schemas.openxmlformats.org/officeDocument/2006/relationships/hyperlink" Target="https://www.itu.int/ITU-T/recommendations/rec.aspx?id=14562" TargetMode="External"/><Relationship Id="rId363" Type="http://schemas.openxmlformats.org/officeDocument/2006/relationships/hyperlink" Target="https://aiforgood.itu.int/webinar/" TargetMode="External"/><Relationship Id="rId570" Type="http://schemas.openxmlformats.org/officeDocument/2006/relationships/hyperlink" Target="http://itu.int/en/ITU-T/studygroups/2017-2020/16/Pages/q22.aspx" TargetMode="External"/><Relationship Id="rId223" Type="http://schemas.openxmlformats.org/officeDocument/2006/relationships/hyperlink" Target="https://www.itu.int/ITU-T/recommendations/rec.aspx?id=14270" TargetMode="External"/><Relationship Id="rId430" Type="http://schemas.openxmlformats.org/officeDocument/2006/relationships/image" Target="media/image3.png"/><Relationship Id="rId668" Type="http://schemas.openxmlformats.org/officeDocument/2006/relationships/image" Target="media/image122.png"/><Relationship Id="rId18" Type="http://schemas.openxmlformats.org/officeDocument/2006/relationships/footer" Target="footer1.xml"/><Relationship Id="rId265" Type="http://schemas.openxmlformats.org/officeDocument/2006/relationships/hyperlink" Target="https://www.itu.int/en/ITU-T/Workshops-and-Seminars/gsw/201910/pages/default.aspx" TargetMode="External"/><Relationship Id="rId472" Type="http://schemas.openxmlformats.org/officeDocument/2006/relationships/hyperlink" Target="https://www.itu.int/md/S20-CL-C-0016/en" TargetMode="External"/><Relationship Id="rId528" Type="http://schemas.openxmlformats.org/officeDocument/2006/relationships/hyperlink" Target="http://www.itu.int/itu-t/workprog/wp_item.aspx?isn=16403" TargetMode="External"/><Relationship Id="rId125" Type="http://schemas.openxmlformats.org/officeDocument/2006/relationships/hyperlink" Target="https://www.itu.int/ITU-T/recommendations/rec.aspx?id=14263" TargetMode="External"/><Relationship Id="rId167" Type="http://schemas.openxmlformats.org/officeDocument/2006/relationships/hyperlink" Target="https://www.itu.int/ITU-T/recommendations/rec.aspx?id=14376" TargetMode="External"/><Relationship Id="rId332" Type="http://schemas.openxmlformats.org/officeDocument/2006/relationships/hyperlink" Target="https://www.itu.int/generationconnect/" TargetMode="External"/><Relationship Id="rId374" Type="http://schemas.openxmlformats.org/officeDocument/2006/relationships/hyperlink" Target="https://www.broadbandcommission.org/commissioners/Pages/default.aspx" TargetMode="External"/><Relationship Id="rId581" Type="http://schemas.openxmlformats.org/officeDocument/2006/relationships/hyperlink" Target="https://www.itu.int/en/ITU-D/Conferences/GSR/Documents/GSR2016/Digital_financial_inclusion_GDDFI.pdf" TargetMode="External"/><Relationship Id="rId71" Type="http://schemas.openxmlformats.org/officeDocument/2006/relationships/hyperlink" Target="https://www.itu.int/ITU-T/recommendations/rec.aspx?id=14133" TargetMode="External"/><Relationship Id="rId234" Type="http://schemas.openxmlformats.org/officeDocument/2006/relationships/hyperlink" Target="https://www.itu.int/ITU-T/recommendations/rec.aspx?id=14415" TargetMode="External"/><Relationship Id="rId637" Type="http://schemas.openxmlformats.org/officeDocument/2006/relationships/image" Target="media/image91.png"/><Relationship Id="rId679" Type="http://schemas.openxmlformats.org/officeDocument/2006/relationships/image" Target="media/image133.png"/><Relationship Id="rId2" Type="http://schemas.openxmlformats.org/officeDocument/2006/relationships/customXml" Target="../customXml/item2.xml"/><Relationship Id="rId29" Type="http://schemas.openxmlformats.org/officeDocument/2006/relationships/hyperlink" Target="http://www.itu.int/pub/R-RES-R.4" TargetMode="External"/><Relationship Id="rId276" Type="http://schemas.openxmlformats.org/officeDocument/2006/relationships/hyperlink" Target="https://www.itu.int/en/ITU-D/Climate-Change/Pages/Events/2019/Workshop-on-E-waste-India.aspx" TargetMode="External"/><Relationship Id="rId441" Type="http://schemas.openxmlformats.org/officeDocument/2006/relationships/image" Target="media/image13.png"/><Relationship Id="rId483" Type="http://schemas.openxmlformats.org/officeDocument/2006/relationships/hyperlink" Target="http://www.itu.int/imac" TargetMode="External"/><Relationship Id="rId539" Type="http://schemas.openxmlformats.org/officeDocument/2006/relationships/hyperlink" Target="http://www.itu.int/itu-t/workprog/wp_item.aspx?isn=13702" TargetMode="External"/><Relationship Id="rId690" Type="http://schemas.openxmlformats.org/officeDocument/2006/relationships/image" Target="media/image142.png"/><Relationship Id="rId40" Type="http://schemas.openxmlformats.org/officeDocument/2006/relationships/hyperlink" Target="https://news.itu.int/how-jpeg-gained-emmy-fame/" TargetMode="External"/><Relationship Id="rId136" Type="http://schemas.openxmlformats.org/officeDocument/2006/relationships/hyperlink" Target="https://www.itu.int/ITU-T/recommendations/rec.aspx?id=14265" TargetMode="External"/><Relationship Id="rId178" Type="http://schemas.openxmlformats.org/officeDocument/2006/relationships/hyperlink" Target="https://www.itu.int/ITU-T/recommendations/rec.aspx?id=14171" TargetMode="External"/><Relationship Id="rId301" Type="http://schemas.openxmlformats.org/officeDocument/2006/relationships/hyperlink" Target="https://www.itu.int/en/ITU-D/Cybersecurity/Pages/cyberdrills.aspx" TargetMode="External"/><Relationship Id="rId343" Type="http://schemas.openxmlformats.org/officeDocument/2006/relationships/hyperlink" Target="https://www.itu.int/pub/publications.aspx?lang=en&amp;parent=T-TUT-FSTP-2020-ACC.WEBVRI" TargetMode="External"/><Relationship Id="rId550" Type="http://schemas.openxmlformats.org/officeDocument/2006/relationships/hyperlink" Target="https://www.itu.int/en/ITU-T/climatechange/Pages/events.aspx" TargetMode="External"/><Relationship Id="rId82" Type="http://schemas.openxmlformats.org/officeDocument/2006/relationships/hyperlink" Target="https://www.itu.int/ITU-T/recommendations/rec.aspx?id=14355" TargetMode="External"/><Relationship Id="rId203" Type="http://schemas.openxmlformats.org/officeDocument/2006/relationships/hyperlink" Target="https://www.itu.int/ITU-T/recommendations/rec.aspx?id=14496" TargetMode="External"/><Relationship Id="rId385" Type="http://schemas.openxmlformats.org/officeDocument/2006/relationships/hyperlink" Target="https://www.itu.int/en/ITU-T/Workshops-and-Seminars/Pages/default.aspx" TargetMode="External"/><Relationship Id="rId592" Type="http://schemas.openxmlformats.org/officeDocument/2006/relationships/image" Target="media/image46.png"/><Relationship Id="rId606" Type="http://schemas.openxmlformats.org/officeDocument/2006/relationships/image" Target="media/image60.png"/><Relationship Id="rId648" Type="http://schemas.openxmlformats.org/officeDocument/2006/relationships/image" Target="media/image102.png"/><Relationship Id="rId245" Type="http://schemas.openxmlformats.org/officeDocument/2006/relationships/hyperlink" Target="https://www.itu.int/ITU-T/recommendations/rec.aspx?id=14418" TargetMode="External"/><Relationship Id="rId287" Type="http://schemas.openxmlformats.org/officeDocument/2006/relationships/hyperlink" Target="https://www.itu.int/en/ITU-D/Cybersecurity/Documents/RES_130_rev_Dubai.pdf" TargetMode="External"/><Relationship Id="rId410" Type="http://schemas.openxmlformats.org/officeDocument/2006/relationships/hyperlink" Target="https://www.itu.int/itu-t/recommendations/rec.aspx?rec=14402" TargetMode="External"/><Relationship Id="rId452" Type="http://schemas.openxmlformats.org/officeDocument/2006/relationships/image" Target="media/image24.png"/><Relationship Id="rId494" Type="http://schemas.openxmlformats.org/officeDocument/2006/relationships/hyperlink" Target="http://itu.int/go/Q4/2" TargetMode="External"/><Relationship Id="rId508" Type="http://schemas.openxmlformats.org/officeDocument/2006/relationships/hyperlink" Target="http://www.itu.int/itu-t/workprog/wp_item.aspx?isn=13670" TargetMode="External"/><Relationship Id="rId105" Type="http://schemas.openxmlformats.org/officeDocument/2006/relationships/hyperlink" Target="https://www.itu.int/itu-t/recommendations/rec.aspx?rec=14128" TargetMode="External"/><Relationship Id="rId147" Type="http://schemas.openxmlformats.org/officeDocument/2006/relationships/hyperlink" Target="https://www.itu.int/itu-t/recommendations/rec.aspx?rec=14083" TargetMode="External"/><Relationship Id="rId312" Type="http://schemas.openxmlformats.org/officeDocument/2006/relationships/hyperlink" Target="https://www.itu.int/en/ITU-D/Cybersecurity/Pages/COP.aspx" TargetMode="External"/><Relationship Id="rId354" Type="http://schemas.openxmlformats.org/officeDocument/2006/relationships/hyperlink" Target="https://www.itu.int/en/ITU-D/Regulatory-Market/Pages/REG4COVID.aspx" TargetMode="External"/><Relationship Id="rId51" Type="http://schemas.openxmlformats.org/officeDocument/2006/relationships/hyperlink" Target="https://www.itu.int/ITU-T/recommendations/rec.aspx?id=14398" TargetMode="External"/><Relationship Id="rId93" Type="http://schemas.openxmlformats.org/officeDocument/2006/relationships/hyperlink" Target="https://www.itu.int/ITU-T/recommendations/rec.aspx?id=14408" TargetMode="External"/><Relationship Id="rId189" Type="http://schemas.openxmlformats.org/officeDocument/2006/relationships/hyperlink" Target="https://www.itu.int/ITU-T/recommendations/rec.aspx?id=14272" TargetMode="External"/><Relationship Id="rId396" Type="http://schemas.openxmlformats.org/officeDocument/2006/relationships/hyperlink" Target="https://www.itu.int/net4/wsis/forum/2020/PhotoContest" TargetMode="External"/><Relationship Id="rId561" Type="http://schemas.openxmlformats.org/officeDocument/2006/relationships/hyperlink" Target="https://www.itu.int/dms_pub/itu-t/opb/res/T-RES-T.89-2016-PDF-E.pdf" TargetMode="External"/><Relationship Id="rId617" Type="http://schemas.openxmlformats.org/officeDocument/2006/relationships/image" Target="media/image71.png"/><Relationship Id="rId659" Type="http://schemas.openxmlformats.org/officeDocument/2006/relationships/image" Target="media/image113.png"/><Relationship Id="rId214" Type="http://schemas.openxmlformats.org/officeDocument/2006/relationships/hyperlink" Target="https://www.itu.int/ITU-T/recommendations/rec.aspx?id=14428" TargetMode="External"/><Relationship Id="rId256" Type="http://schemas.openxmlformats.org/officeDocument/2006/relationships/hyperlink" Target="https://www.itu.int/rec/R-REC-SA/en" TargetMode="External"/><Relationship Id="rId298" Type="http://schemas.openxmlformats.org/officeDocument/2006/relationships/hyperlink" Target="https://www.itu.int/en/ITU-D/Cybersecurity/Pages/national-CIRT.aspx" TargetMode="External"/><Relationship Id="rId421" Type="http://schemas.openxmlformats.org/officeDocument/2006/relationships/hyperlink" Target="https://www.itu.int/myworkspace/" TargetMode="External"/><Relationship Id="rId463" Type="http://schemas.openxmlformats.org/officeDocument/2006/relationships/image" Target="media/image35.png"/><Relationship Id="rId519" Type="http://schemas.openxmlformats.org/officeDocument/2006/relationships/hyperlink" Target="http://www.itu.int/itu-t/workprog/wp_item.aspx?isn=14502" TargetMode="External"/><Relationship Id="rId670" Type="http://schemas.openxmlformats.org/officeDocument/2006/relationships/image" Target="media/image124.png"/><Relationship Id="rId116" Type="http://schemas.openxmlformats.org/officeDocument/2006/relationships/hyperlink" Target="https://www.itu.int/rec/T-REC-x/recommendation.asp?lang=en&amp;parent=T-REC-X.1217" TargetMode="External"/><Relationship Id="rId158" Type="http://schemas.openxmlformats.org/officeDocument/2006/relationships/hyperlink" Target="https://www.itu.int/itu-t/recommendations/rec.aspx?rec=13863" TargetMode="External"/><Relationship Id="rId323" Type="http://schemas.openxmlformats.org/officeDocument/2006/relationships/hyperlink" Target="http://www.itu.int/go/NOW4WRC19" TargetMode="External"/><Relationship Id="rId530" Type="http://schemas.openxmlformats.org/officeDocument/2006/relationships/hyperlink" Target="http://www.itu.int/itu-t/workprog/wp_item.aspx?isn=14332" TargetMode="External"/><Relationship Id="rId20" Type="http://schemas.openxmlformats.org/officeDocument/2006/relationships/footer" Target="footer3.xml"/><Relationship Id="rId62" Type="http://schemas.openxmlformats.org/officeDocument/2006/relationships/hyperlink" Target="https://www.itu.int/ITU-T/recommendations/rec.aspx?id=14138" TargetMode="External"/><Relationship Id="rId365" Type="http://schemas.openxmlformats.org/officeDocument/2006/relationships/hyperlink" Target="https://en.unesco.org/covid19/educationresponse/globalcoalition" TargetMode="External"/><Relationship Id="rId572" Type="http://schemas.openxmlformats.org/officeDocument/2006/relationships/hyperlink" Target="https://www.itu.int/en/ITU-T/focusgroups/dlt" TargetMode="External"/><Relationship Id="rId628" Type="http://schemas.openxmlformats.org/officeDocument/2006/relationships/image" Target="media/image82.png"/><Relationship Id="rId225" Type="http://schemas.openxmlformats.org/officeDocument/2006/relationships/hyperlink" Target="https://www.itu.int/ITU-T/recommendations/rec.aspx?id=14413" TargetMode="External"/><Relationship Id="rId267" Type="http://schemas.openxmlformats.org/officeDocument/2006/relationships/hyperlink" Target="https://www.itu.int/en/ITU-D/Regional-Presence/ArabStates/Pages/Events/2019/IoT/IoT.aspx" TargetMode="External"/><Relationship Id="rId432" Type="http://schemas.openxmlformats.org/officeDocument/2006/relationships/image" Target="media/image4.png"/><Relationship Id="rId474" Type="http://schemas.openxmlformats.org/officeDocument/2006/relationships/hyperlink" Target="https://www.itu.int/md/S20-CL-C-0033/en" TargetMode="External"/><Relationship Id="rId127" Type="http://schemas.openxmlformats.org/officeDocument/2006/relationships/hyperlink" Target="https://www.itu.int/ITU-T/recommendations/rec.aspx?id=14090" TargetMode="External"/><Relationship Id="rId681" Type="http://schemas.openxmlformats.org/officeDocument/2006/relationships/image" Target="media/image135.png"/><Relationship Id="rId31" Type="http://schemas.openxmlformats.org/officeDocument/2006/relationships/hyperlink" Target="http://www.itu.int/pub/R-RES-R.70" TargetMode="External"/><Relationship Id="rId73" Type="http://schemas.openxmlformats.org/officeDocument/2006/relationships/hyperlink" Target="https://www.itu.int/ITU-T/recommendations/rec.aspx?id=14402" TargetMode="External"/><Relationship Id="rId169" Type="http://schemas.openxmlformats.org/officeDocument/2006/relationships/hyperlink" Target="https://www.itu.int/ITU-T/recommendations/rec.aspx?id=14375" TargetMode="External"/><Relationship Id="rId334" Type="http://schemas.openxmlformats.org/officeDocument/2006/relationships/hyperlink" Target="https://www.itu.int/en/fermun/2020/Pages/default.aspx" TargetMode="External"/><Relationship Id="rId376" Type="http://schemas.openxmlformats.org/officeDocument/2006/relationships/hyperlink" Target="http://www.equals.org" TargetMode="External"/><Relationship Id="rId541" Type="http://schemas.openxmlformats.org/officeDocument/2006/relationships/hyperlink" Target="http://www.itu.int/itu-t/workprog/wp_item.aspx?isn=14301" TargetMode="External"/><Relationship Id="rId583" Type="http://schemas.openxmlformats.org/officeDocument/2006/relationships/hyperlink" Target="https://www.itu.int/en/journal/2020/001/Pages/default.aspx" TargetMode="External"/><Relationship Id="rId639" Type="http://schemas.openxmlformats.org/officeDocument/2006/relationships/image" Target="media/image93.png"/><Relationship Id="rId4" Type="http://schemas.openxmlformats.org/officeDocument/2006/relationships/customXml" Target="../customXml/item4.xml"/><Relationship Id="rId180" Type="http://schemas.openxmlformats.org/officeDocument/2006/relationships/hyperlink" Target="https://www.itu.int/ITU-T/recommendations/rec.aspx?id=14378" TargetMode="External"/><Relationship Id="rId236" Type="http://schemas.openxmlformats.org/officeDocument/2006/relationships/hyperlink" Target="https://www.itu.int/ITU-T/recommendations/rec.aspx?id=14388" TargetMode="External"/><Relationship Id="rId278" Type="http://schemas.openxmlformats.org/officeDocument/2006/relationships/hyperlink" Target="https://www.itu.int/en/ITU-D/Environment/Documents/Publications/2020/Internet-Waste%202020.pdf?csf=1&amp;e=iQq5Zi" TargetMode="External"/><Relationship Id="rId401" Type="http://schemas.openxmlformats.org/officeDocument/2006/relationships/hyperlink" Target="https://www.itu.int/en/ITU-T/academia/kaleidoscope/2019/Pages/default.aspx" TargetMode="External"/><Relationship Id="rId443" Type="http://schemas.openxmlformats.org/officeDocument/2006/relationships/image" Target="media/image15.png"/><Relationship Id="rId650" Type="http://schemas.openxmlformats.org/officeDocument/2006/relationships/image" Target="media/image104.png"/><Relationship Id="rId303" Type="http://schemas.openxmlformats.org/officeDocument/2006/relationships/hyperlink" Target="https://www.itu.int/en/ITU-T/studygroups/2017-2020/17/Pages/mini-workshop_ITS.aspx" TargetMode="External"/><Relationship Id="rId485" Type="http://schemas.openxmlformats.org/officeDocument/2006/relationships/hyperlink" Target="https://www.itu.int/md/S20-CL-C-0053/en" TargetMode="External"/><Relationship Id="rId692" Type="http://schemas.openxmlformats.org/officeDocument/2006/relationships/image" Target="media/image144.png"/><Relationship Id="rId42" Type="http://schemas.openxmlformats.org/officeDocument/2006/relationships/hyperlink" Target="https://www.itu.int/itu-t/recommendations/rec.aspx?rec=14516" TargetMode="External"/><Relationship Id="rId84" Type="http://schemas.openxmlformats.org/officeDocument/2006/relationships/hyperlink" Target="https://www.itu.int/ITU-T/recommendations/rec.aspx?id=14281" TargetMode="External"/><Relationship Id="rId138" Type="http://schemas.openxmlformats.org/officeDocument/2006/relationships/hyperlink" Target="https://www.itu.int/ITU-T/recommendations/rec.aspx?id=14453" TargetMode="External"/><Relationship Id="rId345" Type="http://schemas.openxmlformats.org/officeDocument/2006/relationships/hyperlink" Target="https://academy.itu.int/index.php/training-courses/full-catalogue/how-ensure-inclusive-digital-communication-during-crises-and-emergency-situations" TargetMode="External"/><Relationship Id="rId387" Type="http://schemas.openxmlformats.org/officeDocument/2006/relationships/hyperlink" Target="bookmark://Section_1_5" TargetMode="External"/><Relationship Id="rId510" Type="http://schemas.openxmlformats.org/officeDocument/2006/relationships/hyperlink" Target="http://www.itu.int/itu-t/workprog/wp_item.aspx?isn=14304" TargetMode="External"/><Relationship Id="rId552" Type="http://schemas.openxmlformats.org/officeDocument/2006/relationships/hyperlink" Target="https://www.itu.int/en/ITU-T/ssc/united/Pages/default.aspx" TargetMode="External"/><Relationship Id="rId594" Type="http://schemas.openxmlformats.org/officeDocument/2006/relationships/image" Target="media/image48.png"/><Relationship Id="rId608" Type="http://schemas.openxmlformats.org/officeDocument/2006/relationships/image" Target="media/image62.png"/><Relationship Id="rId191" Type="http://schemas.openxmlformats.org/officeDocument/2006/relationships/hyperlink" Target="https://www.itu.int/ITU-T/recommendations/rec.aspx?id=14589" TargetMode="External"/><Relationship Id="rId205" Type="http://schemas.openxmlformats.org/officeDocument/2006/relationships/hyperlink" Target="https://www.itu.int/ITU-T/recommendations/rec.aspx?id=14150" TargetMode="External"/><Relationship Id="rId247" Type="http://schemas.openxmlformats.org/officeDocument/2006/relationships/hyperlink" Target="https://www.itu.int/ITU-T/recommendations/rec.aspx?id=14417" TargetMode="External"/><Relationship Id="rId412" Type="http://schemas.openxmlformats.org/officeDocument/2006/relationships/hyperlink" Target="https://digital-world.itu.int/documents/WT19/WT19_Post-Event-Report.pdf" TargetMode="External"/><Relationship Id="rId107" Type="http://schemas.openxmlformats.org/officeDocument/2006/relationships/hyperlink" Target="https://www.itu.int/ITU-T/recommendations/rec.aspx?id=14167" TargetMode="External"/><Relationship Id="rId289" Type="http://schemas.openxmlformats.org/officeDocument/2006/relationships/hyperlink" Target="https://www.itu.int/en/ITU-D/Cybersecurity/Pages/default.aspx" TargetMode="External"/><Relationship Id="rId454" Type="http://schemas.openxmlformats.org/officeDocument/2006/relationships/image" Target="media/image26.png"/><Relationship Id="rId496" Type="http://schemas.openxmlformats.org/officeDocument/2006/relationships/hyperlink" Target="https://www.itu.int/en/myitu/News/2020/10/14/10/14/World-Standards-Day-renew-resolve-protect-planet-standards-Houlin-Zhao?utm_source=ground.news&amp;utm_medium=referral" TargetMode="External"/><Relationship Id="rId661" Type="http://schemas.openxmlformats.org/officeDocument/2006/relationships/image" Target="media/image115.png"/><Relationship Id="rId11" Type="http://schemas.openxmlformats.org/officeDocument/2006/relationships/image" Target="media/image1.jpg"/><Relationship Id="rId53" Type="http://schemas.openxmlformats.org/officeDocument/2006/relationships/hyperlink" Target="https://www.itu.int/itu-t/recommendations/rec.aspx?rec=14394" TargetMode="External"/><Relationship Id="rId149" Type="http://schemas.openxmlformats.org/officeDocument/2006/relationships/hyperlink" Target="https://www.itu.int/ITU-T/recommendations/rec.aspx?id=14304" TargetMode="External"/><Relationship Id="rId314" Type="http://schemas.openxmlformats.org/officeDocument/2006/relationships/hyperlink" Target="https://www.itu.int/md/S20-CL-C-0018/en" TargetMode="External"/><Relationship Id="rId356" Type="http://schemas.openxmlformats.org/officeDocument/2006/relationships/hyperlink" Target="https://www.itu.int/en/ITU-D/Cybersecurity/Pages/2020-COP-Guidelines-launch-webinar.aspx" TargetMode="External"/><Relationship Id="rId398" Type="http://schemas.openxmlformats.org/officeDocument/2006/relationships/hyperlink" Target="https://wsisforum2020.pathable.co/" TargetMode="External"/><Relationship Id="rId521" Type="http://schemas.openxmlformats.org/officeDocument/2006/relationships/hyperlink" Target="http://www.itu.int/itu-t/workprog/wp_item.aspx?isn=14654" TargetMode="External"/><Relationship Id="rId563" Type="http://schemas.openxmlformats.org/officeDocument/2006/relationships/hyperlink" Target="https://www.itu.int/en/ITU-T/extcoop/figisymposium/2019/Pages/default.aspx" TargetMode="External"/><Relationship Id="rId619" Type="http://schemas.openxmlformats.org/officeDocument/2006/relationships/image" Target="media/image73.png"/><Relationship Id="rId95" Type="http://schemas.openxmlformats.org/officeDocument/2006/relationships/hyperlink" Target="https://www.itu.int/ITU-T/recommendations/rec.aspx?id=14452" TargetMode="External"/><Relationship Id="rId160" Type="http://schemas.openxmlformats.org/officeDocument/2006/relationships/hyperlink" Target="https://www.itu.int/ITU-T/recommendations/rec.aspx?id=14162" TargetMode="External"/><Relationship Id="rId216" Type="http://schemas.openxmlformats.org/officeDocument/2006/relationships/hyperlink" Target="https://www.itu.int/ITU-T/recommendations/rec.aspx?id=14321" TargetMode="External"/><Relationship Id="rId423" Type="http://schemas.openxmlformats.org/officeDocument/2006/relationships/hyperlink" Target="https://www.itu.int/myworkspace/" TargetMode="External"/><Relationship Id="rId258" Type="http://schemas.openxmlformats.org/officeDocument/2006/relationships/hyperlink" Target="https://www.itu.int/en/mediacentre/Pages/PR04-2020-ICT-industry-to-reduce-greenhouse-gas-emissions-by-45-percent-by-2030.aspx" TargetMode="External"/><Relationship Id="rId465" Type="http://schemas.openxmlformats.org/officeDocument/2006/relationships/image" Target="media/image37.png"/><Relationship Id="rId630" Type="http://schemas.openxmlformats.org/officeDocument/2006/relationships/image" Target="media/image84.png"/><Relationship Id="rId672" Type="http://schemas.openxmlformats.org/officeDocument/2006/relationships/image" Target="media/image126.png"/><Relationship Id="rId22" Type="http://schemas.openxmlformats.org/officeDocument/2006/relationships/header" Target="header3.xml"/><Relationship Id="rId64" Type="http://schemas.openxmlformats.org/officeDocument/2006/relationships/hyperlink" Target="https://www.itu.int/ITU-T/recommendations/rec.aspx?id=14384" TargetMode="External"/><Relationship Id="rId118" Type="http://schemas.openxmlformats.org/officeDocument/2006/relationships/hyperlink" Target="https://www.itu.int/ITU-T/recommendations/rec.aspx?id=14261" TargetMode="External"/><Relationship Id="rId325" Type="http://schemas.openxmlformats.org/officeDocument/2006/relationships/hyperlink" Target="https://www.itu.int/en/myitu/News/2020/11/27/18/29/NOW4WRC23-inspiring-new-generation-women-in-radiocommunications" TargetMode="External"/><Relationship Id="rId367" Type="http://schemas.openxmlformats.org/officeDocument/2006/relationships/hyperlink" Target="https://www.itu.int/rec/T-REC-H.266" TargetMode="External"/><Relationship Id="rId532" Type="http://schemas.openxmlformats.org/officeDocument/2006/relationships/hyperlink" Target="http://www.itu.int/itu-t/workprog/wp_item.aspx?isn=14964" TargetMode="External"/><Relationship Id="rId574" Type="http://schemas.openxmlformats.org/officeDocument/2006/relationships/hyperlink" Target="http://www.itu.int/itu-t/workprog/wp_item.aspx?isn=14705" TargetMode="External"/><Relationship Id="rId171" Type="http://schemas.openxmlformats.org/officeDocument/2006/relationships/hyperlink" Target="https://www.itu.int/ITU-T/recommendations/rec.aspx?id=14172" TargetMode="External"/><Relationship Id="rId227" Type="http://schemas.openxmlformats.org/officeDocument/2006/relationships/hyperlink" Target="https://www.itu.int/ITU-T/recommendations/rec.aspx?id=14140" TargetMode="External"/><Relationship Id="rId269" Type="http://schemas.openxmlformats.org/officeDocument/2006/relationships/hyperlink" Target="https://globalewaste.org/publications/" TargetMode="External"/><Relationship Id="rId434" Type="http://schemas.openxmlformats.org/officeDocument/2006/relationships/image" Target="media/image6.png"/><Relationship Id="rId476" Type="http://schemas.openxmlformats.org/officeDocument/2006/relationships/hyperlink" Target="http://itu.int/go/Maps" TargetMode="External"/><Relationship Id="rId641" Type="http://schemas.openxmlformats.org/officeDocument/2006/relationships/image" Target="media/image95.png"/><Relationship Id="rId683" Type="http://schemas.openxmlformats.org/officeDocument/2006/relationships/image" Target="media/image137.png"/><Relationship Id="rId33" Type="http://schemas.openxmlformats.org/officeDocument/2006/relationships/hyperlink" Target="http://www.itu.int/pub/R-RES-R.34" TargetMode="External"/><Relationship Id="rId129" Type="http://schemas.openxmlformats.org/officeDocument/2006/relationships/hyperlink" Target="https://www.itu.int/ITU-T/recommendations/rec.aspx?id=14447" TargetMode="External"/><Relationship Id="rId280" Type="http://schemas.openxmlformats.org/officeDocument/2006/relationships/hyperlink" Target="https://www.itu.int/en/ITU-D/Regional-Presence/ArabStates/Pages/Events/2020/WEEE/WEEE.aspx" TargetMode="External"/><Relationship Id="rId336" Type="http://schemas.openxmlformats.org/officeDocument/2006/relationships/hyperlink" Target="https://www.itu.int/en/ITU-D/Pages/I-CoDI.aspx" TargetMode="External"/><Relationship Id="rId501" Type="http://schemas.openxmlformats.org/officeDocument/2006/relationships/hyperlink" Target="https://www.itu.int/en/ITU-T/climatechange/Pages/20190709.aspx" TargetMode="External"/><Relationship Id="rId543" Type="http://schemas.openxmlformats.org/officeDocument/2006/relationships/hyperlink" Target="http://www.itu.int/itu-t/workprog/wp_item.aspx?isn=14949" TargetMode="External"/><Relationship Id="rId75" Type="http://schemas.openxmlformats.org/officeDocument/2006/relationships/hyperlink" Target="https://www.itu.int/ITU-T/recommendations/rec.aspx?id=14278" TargetMode="External"/><Relationship Id="rId140" Type="http://schemas.openxmlformats.org/officeDocument/2006/relationships/hyperlink" Target="https://www.itu.int/ITU-T/recommendations/rec.aspx?id=14267" TargetMode="External"/><Relationship Id="rId182" Type="http://schemas.openxmlformats.org/officeDocument/2006/relationships/hyperlink" Target="https://www.itu.int/ITU-T/recommendations/rec.aspx?rec=13924" TargetMode="External"/><Relationship Id="rId378" Type="http://schemas.openxmlformats.org/officeDocument/2006/relationships/hyperlink" Target="http://www.projectconnect.world/" TargetMode="External"/><Relationship Id="rId403" Type="http://schemas.openxmlformats.org/officeDocument/2006/relationships/hyperlink" Target="https://www.itu.int/en/ITU-T/academia/kaleidoscope/2020/Pages/default.aspx" TargetMode="External"/><Relationship Id="rId585" Type="http://schemas.openxmlformats.org/officeDocument/2006/relationships/hyperlink" Target="https://www.itu.int/en/journal/j-fet/Pages/default.aspx" TargetMode="External"/><Relationship Id="rId6" Type="http://schemas.openxmlformats.org/officeDocument/2006/relationships/styles" Target="styles.xml"/><Relationship Id="rId238" Type="http://schemas.openxmlformats.org/officeDocument/2006/relationships/hyperlink" Target="https://www.itu.int/ITU-T/recommendations/rec.aspx?id=14246" TargetMode="External"/><Relationship Id="rId445" Type="http://schemas.openxmlformats.org/officeDocument/2006/relationships/image" Target="media/image17.png"/><Relationship Id="rId487" Type="http://schemas.openxmlformats.org/officeDocument/2006/relationships/hyperlink" Target="https://www.itu.int/en/ITU-T/climatechange/Pages/1st-Digital-African-Week.aspx" TargetMode="External"/><Relationship Id="rId610" Type="http://schemas.openxmlformats.org/officeDocument/2006/relationships/image" Target="media/image64.png"/><Relationship Id="rId652" Type="http://schemas.openxmlformats.org/officeDocument/2006/relationships/image" Target="media/image106.png"/><Relationship Id="rId694" Type="http://schemas.openxmlformats.org/officeDocument/2006/relationships/header" Target="header5.xml"/><Relationship Id="rId291" Type="http://schemas.openxmlformats.org/officeDocument/2006/relationships/hyperlink" Target="https://www.itu.int/en/ITU-D/Cybersecurity/Pages/legislation.aspx" TargetMode="External"/><Relationship Id="rId305" Type="http://schemas.openxmlformats.org/officeDocument/2006/relationships/hyperlink" Target="https://www.itu.int/en/ITU-D/Cybersecurity/Pages/global-cybersecurity-index.aspx" TargetMode="External"/><Relationship Id="rId347" Type="http://schemas.openxmlformats.org/officeDocument/2006/relationships/hyperlink" Target="https://www.itu.int/en/ITU-D/Digital-Inclusion/Persons-with-Disabilities/Pages/Web-Accessibility-Cornerstone-Training.aspx" TargetMode="External"/><Relationship Id="rId512" Type="http://schemas.openxmlformats.org/officeDocument/2006/relationships/hyperlink" Target="http://www.itu.int/itu-t/workprog/wp_item.aspx?isn=14499" TargetMode="External"/><Relationship Id="rId44" Type="http://schemas.openxmlformats.org/officeDocument/2006/relationships/hyperlink" Target="https://www.itu.int/itu-t/recommendations/rec.aspx?rec=13826" TargetMode="External"/><Relationship Id="rId86" Type="http://schemas.openxmlformats.org/officeDocument/2006/relationships/hyperlink" Target="https://www.itu.int/ITU-T/recommendations/rec.aspx?id=14279" TargetMode="External"/><Relationship Id="rId151" Type="http://schemas.openxmlformats.org/officeDocument/2006/relationships/hyperlink" Target="https://www.itu.int/ITU-T/recommendations/rec.aspx?id=14565" TargetMode="External"/><Relationship Id="rId389" Type="http://schemas.openxmlformats.org/officeDocument/2006/relationships/hyperlink" Target="http://www.itu.int/go/covid19-dialogues" TargetMode="External"/><Relationship Id="rId554" Type="http://schemas.openxmlformats.org/officeDocument/2006/relationships/hyperlink" Target="https://www.itu.int/en/ITU-T/ssc/united/Pages/call-for-experts.aspx" TargetMode="External"/><Relationship Id="rId596" Type="http://schemas.openxmlformats.org/officeDocument/2006/relationships/image" Target="media/image50.png"/><Relationship Id="rId193" Type="http://schemas.openxmlformats.org/officeDocument/2006/relationships/hyperlink" Target="https://www.itu.int/ITU-T/recommendations/rec.aspx?id=14151" TargetMode="External"/><Relationship Id="rId207" Type="http://schemas.openxmlformats.org/officeDocument/2006/relationships/hyperlink" Target="ttps://www.itu.int/ITU-T/recommendations/rec.aspx?id=14330" TargetMode="External"/><Relationship Id="rId249" Type="http://schemas.openxmlformats.org/officeDocument/2006/relationships/hyperlink" Target="https://www.itu.int/en/wtisd/2019/Pages/default.aspx" TargetMode="External"/><Relationship Id="rId414" Type="http://schemas.openxmlformats.org/officeDocument/2006/relationships/hyperlink" Target="https://www.itu.int/en/wtpf-21/Pages/ieg-wtpf-21.aspx" TargetMode="External"/><Relationship Id="rId456" Type="http://schemas.openxmlformats.org/officeDocument/2006/relationships/image" Target="media/image28.png"/><Relationship Id="rId498" Type="http://schemas.openxmlformats.org/officeDocument/2006/relationships/hyperlink" Target="https://www.itu.int/en/ITU-T/Workshops-and-Seminars/gsw/201910/Pages/default.aspx" TargetMode="External"/><Relationship Id="rId621" Type="http://schemas.openxmlformats.org/officeDocument/2006/relationships/image" Target="media/image75.png"/><Relationship Id="rId663" Type="http://schemas.openxmlformats.org/officeDocument/2006/relationships/image" Target="media/image117.png"/><Relationship Id="rId13" Type="http://schemas.openxmlformats.org/officeDocument/2006/relationships/hyperlink" Target="https://www.itu.int/en/council/Documents/basic-texts/RES-071-E.pdf" TargetMode="External"/><Relationship Id="rId109" Type="http://schemas.openxmlformats.org/officeDocument/2006/relationships/hyperlink" Target="https://www.itu.int/ITU-T/recommendations/rec.aspx?id=14380" TargetMode="External"/><Relationship Id="rId260" Type="http://schemas.openxmlformats.org/officeDocument/2006/relationships/hyperlink" Target="https://www.itu.int/ITU-T/recommendations/rec.aspx?rec=14582" TargetMode="External"/><Relationship Id="rId316" Type="http://schemas.openxmlformats.org/officeDocument/2006/relationships/hyperlink" Target="https://www.itu.int/en/ITU-D/Statistics/Pages/facts/default.aspx" TargetMode="External"/><Relationship Id="rId523" Type="http://schemas.openxmlformats.org/officeDocument/2006/relationships/hyperlink" Target="http://www.itu.int/itu-t/workprog/wp_item.aspx?isn=14101" TargetMode="External"/><Relationship Id="rId55" Type="http://schemas.openxmlformats.org/officeDocument/2006/relationships/hyperlink" Target="https://www.itu.int/ITU-T/recommendations/rec.aspx?id=14421" TargetMode="External"/><Relationship Id="rId97" Type="http://schemas.openxmlformats.org/officeDocument/2006/relationships/hyperlink" Target="https://www.itu.int/ITU-T/recommendations/rec.aspx?id=14332" TargetMode="External"/><Relationship Id="rId120" Type="http://schemas.openxmlformats.org/officeDocument/2006/relationships/hyperlink" Target="https://www.itu.int/ITU-T/recommendations/rec.aspx?id=14451" TargetMode="External"/><Relationship Id="rId358" Type="http://schemas.openxmlformats.org/officeDocument/2006/relationships/hyperlink" Target="https://www.itu.int/en/ITU-D/Pages/seminars/2020/DigitalCooperation/default.aspx" TargetMode="External"/><Relationship Id="rId565" Type="http://schemas.openxmlformats.org/officeDocument/2006/relationships/hyperlink" Target="https://www.itu.int/en/ITU-T/Workshops-and-Seminars/201912/Pages/default.aspx" TargetMode="External"/><Relationship Id="rId162" Type="http://schemas.openxmlformats.org/officeDocument/2006/relationships/hyperlink" Target="https://www.itu.int/ITU-T/recommendations/rec.aspx?id=13861" TargetMode="External"/><Relationship Id="rId218" Type="http://schemas.openxmlformats.org/officeDocument/2006/relationships/hyperlink" Target="https://www.itu.int/itu-t/recommendations/rec.aspx?rec=13596" TargetMode="External"/><Relationship Id="rId425" Type="http://schemas.openxmlformats.org/officeDocument/2006/relationships/hyperlink" Target="https://www.itu.int/myworkspace/" TargetMode="External"/><Relationship Id="rId467" Type="http://schemas.openxmlformats.org/officeDocument/2006/relationships/image" Target="media/image39.png"/><Relationship Id="rId632" Type="http://schemas.openxmlformats.org/officeDocument/2006/relationships/image" Target="media/image86.png"/><Relationship Id="rId271" Type="http://schemas.openxmlformats.org/officeDocument/2006/relationships/hyperlink" Target="https://www.itu.int/en/ITU-D/Climate-Change/Pages/ewaste/E-waste-Coalition.aspx" TargetMode="External"/><Relationship Id="rId674" Type="http://schemas.openxmlformats.org/officeDocument/2006/relationships/image" Target="media/image128.png"/><Relationship Id="rId24" Type="http://schemas.openxmlformats.org/officeDocument/2006/relationships/footer" Target="footer4.xml"/><Relationship Id="rId66" Type="http://schemas.openxmlformats.org/officeDocument/2006/relationships/hyperlink" Target="https://www.itu.int/ITU-T/recommendations/rec.aspx?id=14386" TargetMode="External"/><Relationship Id="rId131" Type="http://schemas.openxmlformats.org/officeDocument/2006/relationships/hyperlink" Target="https://www.itu.int/ITU-T/recommendations/rec.aspx?id=14449" TargetMode="External"/><Relationship Id="rId327" Type="http://schemas.openxmlformats.org/officeDocument/2006/relationships/hyperlink" Target="http://www.itu.int/gender" TargetMode="External"/><Relationship Id="rId369" Type="http://schemas.openxmlformats.org/officeDocument/2006/relationships/hyperlink" Target="https://broadbandcommission.org/Pages/default.aspx" TargetMode="External"/><Relationship Id="rId534" Type="http://schemas.openxmlformats.org/officeDocument/2006/relationships/hyperlink" Target="http://www.itu.int/itu-t/workprog/wp_item.aspx?isn=13692" TargetMode="External"/><Relationship Id="rId576" Type="http://schemas.openxmlformats.org/officeDocument/2006/relationships/hyperlink" Target="https://itu.int/ITU-T/workprog/wp_search.aspx?sg=16&amp;q=22" TargetMode="External"/><Relationship Id="rId173" Type="http://schemas.openxmlformats.org/officeDocument/2006/relationships/hyperlink" Target="https://www.itu.int/itu-t/recommendations/rec.aspx?rec=13864" TargetMode="External"/><Relationship Id="rId229" Type="http://schemas.openxmlformats.org/officeDocument/2006/relationships/hyperlink" Target="https://www.itu.int/ITU-T/recommendations/rec.aspx?id=14587" TargetMode="External"/><Relationship Id="rId380" Type="http://schemas.openxmlformats.org/officeDocument/2006/relationships/hyperlink" Target="https://digitalcooperation.org/panel-launches-report-recommendations/" TargetMode="External"/><Relationship Id="rId436" Type="http://schemas.openxmlformats.org/officeDocument/2006/relationships/image" Target="media/image8.png"/><Relationship Id="rId601" Type="http://schemas.openxmlformats.org/officeDocument/2006/relationships/image" Target="media/image55.png"/><Relationship Id="rId643" Type="http://schemas.openxmlformats.org/officeDocument/2006/relationships/image" Target="media/image97.png"/><Relationship Id="rId240" Type="http://schemas.openxmlformats.org/officeDocument/2006/relationships/hyperlink" Target="https://www.itu.int/ITU-T/recommendations/rec.aspx?id=14420" TargetMode="External"/><Relationship Id="rId478" Type="http://schemas.openxmlformats.org/officeDocument/2006/relationships/hyperlink" Target="https://www.itu.int/md/meetingdoc.asp?lang=en&amp;parent=S20-CL-C-0028" TargetMode="External"/><Relationship Id="rId685" Type="http://schemas.openxmlformats.org/officeDocument/2006/relationships/image" Target="media/image139.png"/><Relationship Id="rId35" Type="http://schemas.openxmlformats.org/officeDocument/2006/relationships/hyperlink" Target="http://www.itu.int/pub/R-RES-R.43" TargetMode="External"/><Relationship Id="rId77" Type="http://schemas.openxmlformats.org/officeDocument/2006/relationships/hyperlink" Target="https://www.itu.int/ITU-T/recommendations/rec.aspx?id=4348" TargetMode="External"/><Relationship Id="rId100" Type="http://schemas.openxmlformats.org/officeDocument/2006/relationships/hyperlink" Target="https://www.itu.int/ITU-T/recommendations/rec.aspx?id=14449" TargetMode="External"/><Relationship Id="rId282" Type="http://schemas.openxmlformats.org/officeDocument/2006/relationships/hyperlink" Target="https://www.itu.int/en/ITU-D/Emergency-Telecommunications/Pages/NETPs.aspx" TargetMode="External"/><Relationship Id="rId338" Type="http://schemas.openxmlformats.org/officeDocument/2006/relationships/hyperlink" Target="https://www.itu.int/en/journal/j-fet/Pages/default.aspx" TargetMode="External"/><Relationship Id="rId503" Type="http://schemas.openxmlformats.org/officeDocument/2006/relationships/hyperlink" Target="https://www.itu.int/en/ITU-T/studygroups/2017-2020/05/Pages/event-20190514.aspx" TargetMode="External"/><Relationship Id="rId545" Type="http://schemas.openxmlformats.org/officeDocument/2006/relationships/hyperlink" Target="http://www.itu.int/itu-t/workprog/wp_item.aspx?isn=16686" TargetMode="External"/><Relationship Id="rId587" Type="http://schemas.openxmlformats.org/officeDocument/2006/relationships/hyperlink" Target="https://www.itu.int/md/S20-CL-C-0050/en" TargetMode="External"/><Relationship Id="rId8" Type="http://schemas.openxmlformats.org/officeDocument/2006/relationships/webSettings" Target="webSettings.xml"/><Relationship Id="rId142" Type="http://schemas.openxmlformats.org/officeDocument/2006/relationships/hyperlink" Target="https://www.itu.int/itu-t/recommendations/rec.aspx?rec=13728" TargetMode="External"/><Relationship Id="rId184" Type="http://schemas.openxmlformats.org/officeDocument/2006/relationships/hyperlink" Target="https://www.itu.int/itu-t/recommendations/rec.aspx?rec=12505" TargetMode="External"/><Relationship Id="rId391" Type="http://schemas.openxmlformats.org/officeDocument/2006/relationships/hyperlink" Target="https://www.itu.int/en/wtisd/2019/Pages/webcast-archives.aspx" TargetMode="External"/><Relationship Id="rId405" Type="http://schemas.openxmlformats.org/officeDocument/2006/relationships/hyperlink" Target="https://aiforgood.itu.int/" TargetMode="External"/><Relationship Id="rId447" Type="http://schemas.openxmlformats.org/officeDocument/2006/relationships/image" Target="media/image19.png"/><Relationship Id="rId612" Type="http://schemas.openxmlformats.org/officeDocument/2006/relationships/image" Target="media/image66.png"/><Relationship Id="rId251" Type="http://schemas.openxmlformats.org/officeDocument/2006/relationships/hyperlink" Target="https://www.itu.int/en/action/ai/emerging-radio-technologies/Pages/default.aspx" TargetMode="External"/><Relationship Id="rId489" Type="http://schemas.openxmlformats.org/officeDocument/2006/relationships/hyperlink" Target="http://itu.int/go/CI_events" TargetMode="External"/><Relationship Id="rId654" Type="http://schemas.openxmlformats.org/officeDocument/2006/relationships/image" Target="media/image108.png"/><Relationship Id="rId696" Type="http://schemas.openxmlformats.org/officeDocument/2006/relationships/footer" Target="footer5.xml"/><Relationship Id="rId46" Type="http://schemas.openxmlformats.org/officeDocument/2006/relationships/hyperlink" Target="https://www.itu.int/itu-t/recommendations/rec.aspx?rec=14132" TargetMode="External"/><Relationship Id="rId293" Type="http://schemas.openxmlformats.org/officeDocument/2006/relationships/hyperlink" Target="https://www.itu.int/itu-t/workprog/wp_search.aspx?sg=17" TargetMode="External"/><Relationship Id="rId307" Type="http://schemas.openxmlformats.org/officeDocument/2006/relationships/hyperlink" Target="https://www.itu.int/en/ITU-D/Cybersecurity/Pages/global-partnership.aspx" TargetMode="External"/><Relationship Id="rId349" Type="http://schemas.openxmlformats.org/officeDocument/2006/relationships/hyperlink" Target="https://www.itu.int/en/ITU-D/Regional-Presence/Americas/Pages/EVENTS/2020/24667.aspx" TargetMode="External"/><Relationship Id="rId514" Type="http://schemas.openxmlformats.org/officeDocument/2006/relationships/hyperlink" Target="http://www.itu.int/itu-t/workprog/wp_item.aspx?isn=14500" TargetMode="External"/><Relationship Id="rId556" Type="http://schemas.openxmlformats.org/officeDocument/2006/relationships/hyperlink" Target="https://www.itu.int/en/ITU-T/ssc/united/Pages/city-science-case-studies.aspx" TargetMode="External"/><Relationship Id="rId88" Type="http://schemas.openxmlformats.org/officeDocument/2006/relationships/hyperlink" Target="https://www.itu.int/itu-t/recommendations/rec.aspx?rec=13977" TargetMode="External"/><Relationship Id="rId111" Type="http://schemas.openxmlformats.org/officeDocument/2006/relationships/hyperlink" Target="https://www.itu.int/ITU-T/recommendations/rec.aspx?id=14369" TargetMode="External"/><Relationship Id="rId153" Type="http://schemas.openxmlformats.org/officeDocument/2006/relationships/hyperlink" Target="https://www.itu.int/ITU-T/recommendations/rec.aspx?rec=14084" TargetMode="External"/><Relationship Id="rId195" Type="http://schemas.openxmlformats.org/officeDocument/2006/relationships/hyperlink" Target="https://www.itu.int/ITU-T/recommendations/rec.aspx?id=14274" TargetMode="External"/><Relationship Id="rId209" Type="http://schemas.openxmlformats.org/officeDocument/2006/relationships/hyperlink" Target="https://www.itu.int/ITU-T/recommendations/rec.aspx?id=14197" TargetMode="External"/><Relationship Id="rId360" Type="http://schemas.openxmlformats.org/officeDocument/2006/relationships/hyperlink" Target="https://www.itu.int/en/ITU-D/ICT-Applications/Pages/mhealth-for-ncd-behealthy-bemobile.aspx" TargetMode="External"/><Relationship Id="rId416" Type="http://schemas.openxmlformats.org/officeDocument/2006/relationships/image" Target="media/image2.png"/><Relationship Id="rId598" Type="http://schemas.openxmlformats.org/officeDocument/2006/relationships/image" Target="media/image52.png"/><Relationship Id="rId220" Type="http://schemas.openxmlformats.org/officeDocument/2006/relationships/hyperlink" Target="https://www.itu.int/ITU-T/recommendations/rec.aspx?id=13918" TargetMode="External"/><Relationship Id="rId458" Type="http://schemas.openxmlformats.org/officeDocument/2006/relationships/image" Target="media/image30.png"/><Relationship Id="rId623" Type="http://schemas.openxmlformats.org/officeDocument/2006/relationships/image" Target="media/image77.png"/><Relationship Id="rId665" Type="http://schemas.openxmlformats.org/officeDocument/2006/relationships/image" Target="media/image119.png"/><Relationship Id="rId15" Type="http://schemas.openxmlformats.org/officeDocument/2006/relationships/hyperlink" Target="https://www.itu.int/en/council/Documents/basic-texts/RES-200-E.pdf" TargetMode="External"/><Relationship Id="rId57" Type="http://schemas.openxmlformats.org/officeDocument/2006/relationships/hyperlink" Target="https://www.itu.int/ITU-T/recommendations/rec.aspx?id=14420" TargetMode="External"/><Relationship Id="rId262" Type="http://schemas.openxmlformats.org/officeDocument/2006/relationships/hyperlink" Target="https://www.itu.int/en/publications/Documents/tsb/2019-Turning-digital-technology-innovation-into-climate-action/mobile/index.html" TargetMode="External"/><Relationship Id="rId318" Type="http://schemas.openxmlformats.org/officeDocument/2006/relationships/hyperlink" Target="http://www.un.org/en/sections/observances/international-days/index.html" TargetMode="External"/><Relationship Id="rId525" Type="http://schemas.openxmlformats.org/officeDocument/2006/relationships/hyperlink" Target="http://www.itu.int/itu-t/workprog/wp_item.aspx?isn=14099" TargetMode="External"/><Relationship Id="rId567" Type="http://schemas.openxmlformats.org/officeDocument/2006/relationships/hyperlink" Target="https://www.itu.int/en/ITU-T/Workshops-and-Seminars/102019/Pages/default.aspx" TargetMode="External"/><Relationship Id="rId99" Type="http://schemas.openxmlformats.org/officeDocument/2006/relationships/hyperlink" Target="https://www.itu.int/ITU-T/recommendations/rec.aspx?id=14334" TargetMode="External"/><Relationship Id="rId122" Type="http://schemas.openxmlformats.org/officeDocument/2006/relationships/hyperlink" Target="https://www.itu.int/ITU-T/recommendations/rec.aspx?id=14088" TargetMode="External"/><Relationship Id="rId164" Type="http://schemas.openxmlformats.org/officeDocument/2006/relationships/hyperlink" Target="https://www.itu.int/ITU-T/recommendations/rec.aspx?id=14165" TargetMode="External"/><Relationship Id="rId371" Type="http://schemas.openxmlformats.org/officeDocument/2006/relationships/hyperlink" Target="https://www.broadbandcommission.org/Documents/BroadbandCommission_manifesto.pdf" TargetMode="External"/><Relationship Id="rId427" Type="http://schemas.openxmlformats.org/officeDocument/2006/relationships/hyperlink" Target="https://www.itu.int/myworkspace/" TargetMode="External"/><Relationship Id="rId469" Type="http://schemas.openxmlformats.org/officeDocument/2006/relationships/image" Target="media/image41.png"/><Relationship Id="rId634" Type="http://schemas.openxmlformats.org/officeDocument/2006/relationships/image" Target="media/image88.png"/><Relationship Id="rId676" Type="http://schemas.openxmlformats.org/officeDocument/2006/relationships/image" Target="media/image130.png"/><Relationship Id="rId26" Type="http://schemas.openxmlformats.org/officeDocument/2006/relationships/hyperlink" Target="http://www.itu.int/go/WRC-19" TargetMode="External"/><Relationship Id="rId231" Type="http://schemas.openxmlformats.org/officeDocument/2006/relationships/hyperlink" Target="https://www.itu.int/ITU-T/recommendations/rec.aspx?id=14414" TargetMode="External"/><Relationship Id="rId273" Type="http://schemas.openxmlformats.org/officeDocument/2006/relationships/hyperlink" Target="https://www.itu.int/ITU-T/recommendations/rec.aspx?id=13963" TargetMode="External"/><Relationship Id="rId329" Type="http://schemas.openxmlformats.org/officeDocument/2006/relationships/hyperlink" Target="https://www.itu.int/en/ITU-D/Digital-Inclusion/Youth-and-Children/Pages/Digital-Skills.aspx" TargetMode="External"/><Relationship Id="rId480" Type="http://schemas.openxmlformats.org/officeDocument/2006/relationships/hyperlink" Target="http://www.itu.int/en/ITU-D/Projects/" TargetMode="External"/><Relationship Id="rId536" Type="http://schemas.openxmlformats.org/officeDocument/2006/relationships/hyperlink" Target="http://www.itu.int/itu-t/workprog/wp_item.aspx?isn=14103" TargetMode="External"/><Relationship Id="rId68" Type="http://schemas.openxmlformats.org/officeDocument/2006/relationships/hyperlink" Target="https://www.itu.int/ITU-T/recommendations/rec.aspx?rec=14133" TargetMode="External"/><Relationship Id="rId133" Type="http://schemas.openxmlformats.org/officeDocument/2006/relationships/hyperlink" Target="https://www.itu.int/ITU-T/recommendations/rec.aspx?id=14251" TargetMode="External"/><Relationship Id="rId175" Type="http://schemas.openxmlformats.org/officeDocument/2006/relationships/hyperlink" Target="https://www.itu.int/ITU-T/recommendations/rec.aspx?id=14164" TargetMode="External"/><Relationship Id="rId340" Type="http://schemas.openxmlformats.org/officeDocument/2006/relationships/hyperlink" Target="https://www.un.org/development/desa/youth/news/2020/04/unianyd/" TargetMode="External"/><Relationship Id="rId578" Type="http://schemas.openxmlformats.org/officeDocument/2006/relationships/hyperlink" Target="https://www.itu.int/en/ITU-T/extcoop/dcgi/Pages/default.aspx" TargetMode="External"/><Relationship Id="rId200" Type="http://schemas.openxmlformats.org/officeDocument/2006/relationships/hyperlink" Target="https://www.itu.int/ITU-T/recommendations/rec.aspx?id=14065" TargetMode="External"/><Relationship Id="rId382" Type="http://schemas.openxmlformats.org/officeDocument/2006/relationships/hyperlink" Target="https://www.itu.int/en/ITU-R/seminars/rrs/2020-Americas/Pages/default.aspx" TargetMode="External"/><Relationship Id="rId438" Type="http://schemas.openxmlformats.org/officeDocument/2006/relationships/image" Target="media/image10.png"/><Relationship Id="rId603" Type="http://schemas.openxmlformats.org/officeDocument/2006/relationships/image" Target="media/image57.png"/><Relationship Id="rId645" Type="http://schemas.openxmlformats.org/officeDocument/2006/relationships/image" Target="media/image99.png"/><Relationship Id="rId687" Type="http://schemas.openxmlformats.org/officeDocument/2006/relationships/hyperlink" Target="https://www.itu.int/en/mediacentre/Pages/podcasts.aspx" TargetMode="External"/><Relationship Id="rId242" Type="http://schemas.openxmlformats.org/officeDocument/2006/relationships/hyperlink" Target="https://www.itu.int/ITU-T/recommendations/rec.aspx?id=14419" TargetMode="External"/><Relationship Id="rId284" Type="http://schemas.openxmlformats.org/officeDocument/2006/relationships/hyperlink" Target="https://www.itu.int/en/ITU-D/Emergency-Telecommunications/Pages/ITU-Online-Modules-on-Emergency-Telecommunications.aspx" TargetMode="External"/><Relationship Id="rId491" Type="http://schemas.openxmlformats.org/officeDocument/2006/relationships/hyperlink" Target="https://itu.int/go/ci_guidelines" TargetMode="External"/><Relationship Id="rId505" Type="http://schemas.openxmlformats.org/officeDocument/2006/relationships/hyperlink" Target="https://www.itu.int/md/S18-CL-C-0107/en" TargetMode="External"/><Relationship Id="rId37" Type="http://schemas.openxmlformats.org/officeDocument/2006/relationships/hyperlink" Target="https://www.itu.int/itu-t/recommendations/index.aspx" TargetMode="External"/><Relationship Id="rId79" Type="http://schemas.openxmlformats.org/officeDocument/2006/relationships/hyperlink" Target="https://www.itu.int/ITU-T/recommendations/rec.aspx?id=4741" TargetMode="External"/><Relationship Id="rId102" Type="http://schemas.openxmlformats.org/officeDocument/2006/relationships/hyperlink" Target="https://www.itu.int/ITU-T/recommendations/rec.aspx?id=14264" TargetMode="External"/><Relationship Id="rId144" Type="http://schemas.openxmlformats.org/officeDocument/2006/relationships/hyperlink" Target="https://www.itu.int/itu-t/recommendations/rec.aspx?rec=13719" TargetMode="External"/><Relationship Id="rId547" Type="http://schemas.openxmlformats.org/officeDocument/2006/relationships/hyperlink" Target="http://www.itu.int/itu-t/workprog/wp_item.aspx?isn=16687" TargetMode="External"/><Relationship Id="rId589" Type="http://schemas.openxmlformats.org/officeDocument/2006/relationships/hyperlink" Target="https://www.itu.int/md/meetingdoc.asp?lang=en&amp;parent=S20-CL-C-0050" TargetMode="External"/><Relationship Id="rId90" Type="http://schemas.openxmlformats.org/officeDocument/2006/relationships/hyperlink" Target="https://www.itu.int/itu-t/recommendations/rec.aspx?rec=14095" TargetMode="External"/><Relationship Id="rId186" Type="http://schemas.openxmlformats.org/officeDocument/2006/relationships/hyperlink" Target="https://www.itu.int/itu-t/recommendations/rec.aspx?rec=13926" TargetMode="External"/><Relationship Id="rId351" Type="http://schemas.openxmlformats.org/officeDocument/2006/relationships/hyperlink" Target="http://www.itu.int/accessibility" TargetMode="External"/><Relationship Id="rId393" Type="http://schemas.openxmlformats.org/officeDocument/2006/relationships/hyperlink" Target="https://www.itu.int/net4/wsis/forum/2019/Home/Outcomes" TargetMode="External"/><Relationship Id="rId407" Type="http://schemas.openxmlformats.org/officeDocument/2006/relationships/hyperlink" Target="https://www.itu.int/rec/T-REC-Y.Sup55-201910-I" TargetMode="External"/><Relationship Id="rId449" Type="http://schemas.openxmlformats.org/officeDocument/2006/relationships/image" Target="media/image21.png"/><Relationship Id="rId614" Type="http://schemas.openxmlformats.org/officeDocument/2006/relationships/image" Target="media/image68.png"/><Relationship Id="rId656" Type="http://schemas.openxmlformats.org/officeDocument/2006/relationships/image" Target="media/image110.png"/><Relationship Id="rId211" Type="http://schemas.openxmlformats.org/officeDocument/2006/relationships/hyperlink" Target="https://www.itu.int/ITU-T/recommendations/rec.aspx?id=14183" TargetMode="External"/><Relationship Id="rId253" Type="http://schemas.openxmlformats.org/officeDocument/2006/relationships/hyperlink" Target="http://www.itu.int/climate" TargetMode="External"/><Relationship Id="rId295" Type="http://schemas.openxmlformats.org/officeDocument/2006/relationships/hyperlink" Target="https://www.itu.int/en/ITU-T/studygroups/2017-2020/09/Pages/default.aspx" TargetMode="External"/><Relationship Id="rId309" Type="http://schemas.openxmlformats.org/officeDocument/2006/relationships/hyperlink" Target="https://www.itu.int/net4/wsis/forum/2020/en" TargetMode="External"/><Relationship Id="rId460" Type="http://schemas.openxmlformats.org/officeDocument/2006/relationships/image" Target="media/image32.png"/><Relationship Id="rId516" Type="http://schemas.openxmlformats.org/officeDocument/2006/relationships/hyperlink" Target="http://www.itu.int/itu-t/workprog/wp_item.aspx?isn=14498" TargetMode="External"/><Relationship Id="rId698" Type="http://schemas.openxmlformats.org/officeDocument/2006/relationships/footer" Target="footer6.xml"/><Relationship Id="rId48" Type="http://schemas.openxmlformats.org/officeDocument/2006/relationships/hyperlink" Target="https://www.itu.int/itu-t/recommendations/rec.aspx?rec=14130" TargetMode="External"/><Relationship Id="rId113" Type="http://schemas.openxmlformats.org/officeDocument/2006/relationships/hyperlink" Target="https://www.itu.int/rec/T-REC-x/en" TargetMode="External"/><Relationship Id="rId320" Type="http://schemas.openxmlformats.org/officeDocument/2006/relationships/hyperlink" Target="https://www.youtube.com/watch?v=TQx2bUwi_2s&amp;list=PLpoIPNlF8P2OU6YwdtU0psBEaiJNeHBMj&amp;index=1" TargetMode="External"/><Relationship Id="rId558" Type="http://schemas.openxmlformats.org/officeDocument/2006/relationships/hyperlink" Target="https://www.itu.int/en/publications/Documents/tsb/2017-U4SSC-Collection-Methodology/index.html" TargetMode="External"/><Relationship Id="rId155" Type="http://schemas.openxmlformats.org/officeDocument/2006/relationships/hyperlink" Target="https://www.itu.int/ITU-T/recommendations/rec.aspx?id=14561" TargetMode="External"/><Relationship Id="rId197" Type="http://schemas.openxmlformats.org/officeDocument/2006/relationships/hyperlink" Target="https://www.itu.int/itu-t/recommendations/rec.aspx?rec=13949" TargetMode="External"/><Relationship Id="rId362" Type="http://schemas.openxmlformats.org/officeDocument/2006/relationships/hyperlink" Target="https://www.itu.int/en/ITU-D/ICT-Applications/Pages/smart-village.aspx" TargetMode="External"/><Relationship Id="rId418" Type="http://schemas.openxmlformats.org/officeDocument/2006/relationships/hyperlink" Target="https://www.itu.int/net4/ITU-T/myworkspace/" TargetMode="External"/><Relationship Id="rId625" Type="http://schemas.openxmlformats.org/officeDocument/2006/relationships/image" Target="media/image79.png"/><Relationship Id="rId222" Type="http://schemas.openxmlformats.org/officeDocument/2006/relationships/hyperlink" Target="https://www.itu.int/ITU-T/recommendations/rec.aspx?id=14269" TargetMode="External"/><Relationship Id="rId264" Type="http://schemas.openxmlformats.org/officeDocument/2006/relationships/hyperlink" Target="https://www.itu.int/en/ITU-T/studygroups/2017-2020/20/Pages/default.aspx" TargetMode="External"/><Relationship Id="rId471" Type="http://schemas.openxmlformats.org/officeDocument/2006/relationships/image" Target="media/image43.png"/><Relationship Id="rId667" Type="http://schemas.openxmlformats.org/officeDocument/2006/relationships/image" Target="media/image121.png"/><Relationship Id="rId17" Type="http://schemas.openxmlformats.org/officeDocument/2006/relationships/header" Target="header2.xml"/><Relationship Id="rId59" Type="http://schemas.openxmlformats.org/officeDocument/2006/relationships/hyperlink" Target="https://www.itu.int/ITU-T/recommendations/rec.aspx?id=14403" TargetMode="External"/><Relationship Id="rId124" Type="http://schemas.openxmlformats.org/officeDocument/2006/relationships/hyperlink" Target="https://www.itu.int/ITU-T/recommendations/rec.aspx?id=14262" TargetMode="External"/><Relationship Id="rId527" Type="http://schemas.openxmlformats.org/officeDocument/2006/relationships/hyperlink" Target="http://www.itu.int/itu-t/workprog/wp_item.aspx?isn=13678" TargetMode="External"/><Relationship Id="rId569" Type="http://schemas.openxmlformats.org/officeDocument/2006/relationships/hyperlink" Target="https://www.itu.int/rec/T-REC-P.1502" TargetMode="External"/><Relationship Id="rId70" Type="http://schemas.openxmlformats.org/officeDocument/2006/relationships/hyperlink" Target="https://www.itu.int/ITU-T/recommendations/rec.aspx?id=14255" TargetMode="External"/><Relationship Id="rId166" Type="http://schemas.openxmlformats.org/officeDocument/2006/relationships/hyperlink" Target="https://www.itu.int/ITU-T/recommendations/rec.aspx?id=14168" TargetMode="External"/><Relationship Id="rId331" Type="http://schemas.openxmlformats.org/officeDocument/2006/relationships/hyperlink" Target="https://www.itu.int/generationconnect/wp-content/uploads/2020/11/ITU_Youth_Strategy.pdf" TargetMode="External"/><Relationship Id="rId373" Type="http://schemas.openxmlformats.org/officeDocument/2006/relationships/hyperlink" Target="https://www.broadbandcommission.org/publications/Pages/SOB-2020.aspx" TargetMode="External"/><Relationship Id="rId429" Type="http://schemas.openxmlformats.org/officeDocument/2006/relationships/hyperlink" Target="https://www.itu.int/en/ITU-D/Conferences/WTDC/WTDC17/Documents/WTDC17_final_report_en.pdf" TargetMode="External"/><Relationship Id="rId580" Type="http://schemas.openxmlformats.org/officeDocument/2006/relationships/hyperlink" Target="https://www.itu.int/en/ITU-D/Conferences/GSR/Documents/GSR2016/Meeting_report_E.pdf" TargetMode="External"/><Relationship Id="rId636" Type="http://schemas.openxmlformats.org/officeDocument/2006/relationships/image" Target="media/image90.png"/><Relationship Id="rId1" Type="http://schemas.openxmlformats.org/officeDocument/2006/relationships/customXml" Target="../customXml/item1.xml"/><Relationship Id="rId233" Type="http://schemas.openxmlformats.org/officeDocument/2006/relationships/hyperlink" Target="https://www.itu.int/ITU-T/recommendations/rec.aspx?id=14412" TargetMode="External"/><Relationship Id="rId440" Type="http://schemas.openxmlformats.org/officeDocument/2006/relationships/image" Target="media/image12.png"/><Relationship Id="rId678" Type="http://schemas.openxmlformats.org/officeDocument/2006/relationships/image" Target="media/image132.png"/><Relationship Id="rId28" Type="http://schemas.openxmlformats.org/officeDocument/2006/relationships/hyperlink" Target="http://www.itu.int/pub/R-RES-R.2" TargetMode="External"/><Relationship Id="rId275" Type="http://schemas.openxmlformats.org/officeDocument/2006/relationships/hyperlink" Target="http://www.basel.int/Implementation/TechnicalAssistance/MOOC/tabid/4966/Default.aspx" TargetMode="External"/><Relationship Id="rId300" Type="http://schemas.openxmlformats.org/officeDocument/2006/relationships/hyperlink" Target="https://www.itu.int/en/ITU-D/Cybersecurity/Pages/2020-NCS-IM-webinar.aspx" TargetMode="External"/><Relationship Id="rId482" Type="http://schemas.openxmlformats.org/officeDocument/2006/relationships/hyperlink" Target="https://www.itu.int/md/S20-CL-C-0022/en" TargetMode="External"/><Relationship Id="rId538" Type="http://schemas.openxmlformats.org/officeDocument/2006/relationships/hyperlink" Target="http://www.itu.int/itu-t/workprog/wp_item.aspx?isn=14656" TargetMode="External"/><Relationship Id="rId81" Type="http://schemas.openxmlformats.org/officeDocument/2006/relationships/hyperlink" Target="https://www.itu.int/ITU-T/recommendations/rec.aspx?id=14280" TargetMode="External"/><Relationship Id="rId135" Type="http://schemas.openxmlformats.org/officeDocument/2006/relationships/hyperlink" Target="https://www.itu.int/ITU-T/recommendations/rec.aspx?id=14450" TargetMode="External"/><Relationship Id="rId177" Type="http://schemas.openxmlformats.org/officeDocument/2006/relationships/hyperlink" Target="https://www.itu.int/ITU-T/recommendations/rec.aspx?id=14170" TargetMode="External"/><Relationship Id="rId342" Type="http://schemas.openxmlformats.org/officeDocument/2006/relationships/hyperlink" Target="https://www.itu.int/en/ITU-D/Digital-Inclusion/Persons-with-Disabilities/Pages/COVID-19-Guidelines.aspx" TargetMode="External"/><Relationship Id="rId384" Type="http://schemas.openxmlformats.org/officeDocument/2006/relationships/hyperlink" Target="https://www.itu.int/en/ITU-R/space/workshops/sat-webinars/Pages/default.aspx" TargetMode="External"/><Relationship Id="rId591" Type="http://schemas.openxmlformats.org/officeDocument/2006/relationships/image" Target="media/image45.png"/><Relationship Id="rId605" Type="http://schemas.openxmlformats.org/officeDocument/2006/relationships/image" Target="media/image59.png"/><Relationship Id="rId202" Type="http://schemas.openxmlformats.org/officeDocument/2006/relationships/hyperlink" Target="https://www.itu.int/itu-t/recommendations/rec.aspx?rec=13933" TargetMode="External"/><Relationship Id="rId244" Type="http://schemas.openxmlformats.org/officeDocument/2006/relationships/hyperlink" Target="https://www.itu.int/ITU-T/recommendations/rec.aspx?id=14391" TargetMode="External"/><Relationship Id="rId647" Type="http://schemas.openxmlformats.org/officeDocument/2006/relationships/image" Target="media/image101.png"/><Relationship Id="rId689" Type="http://schemas.openxmlformats.org/officeDocument/2006/relationships/image" Target="media/image141.png"/><Relationship Id="rId39" Type="http://schemas.openxmlformats.org/officeDocument/2006/relationships/hyperlink" Target="https://www.itu.int/ITU-T/recommendations/rec.aspx?rec=2632" TargetMode="External"/><Relationship Id="rId286" Type="http://schemas.openxmlformats.org/officeDocument/2006/relationships/hyperlink" Target="https://www.itu.int/en/ITU-D/Emergency-Telecommunications/Pages/Disaster-Connectivity-Maps.aspx" TargetMode="External"/><Relationship Id="rId451" Type="http://schemas.openxmlformats.org/officeDocument/2006/relationships/image" Target="media/image23.png"/><Relationship Id="rId493" Type="http://schemas.openxmlformats.org/officeDocument/2006/relationships/hyperlink" Target="https://www.itu.int/net4/ITU-D/CDS/sg/rgqlist.asp?lg=1&amp;sp=2018&amp;rgq=D18-SG02-RGQ04.2&amp;stg=2http://itu.int/go/CI_Question4_2" TargetMode="External"/><Relationship Id="rId507" Type="http://schemas.openxmlformats.org/officeDocument/2006/relationships/hyperlink" Target="https://www.itu.int/en/ITU-T/studygroups/2017-2020/20/Pages/default.aspx" TargetMode="External"/><Relationship Id="rId549" Type="http://schemas.openxmlformats.org/officeDocument/2006/relationships/hyperlink" Target="https://www.itu.int/ITU-T/recommendations/rec.aspx?rec=14176" TargetMode="External"/><Relationship Id="rId50" Type="http://schemas.openxmlformats.org/officeDocument/2006/relationships/hyperlink" Target="https://www.itu.int/ITU-T/recommendations/rec.aspx?id=14397" TargetMode="External"/><Relationship Id="rId104" Type="http://schemas.openxmlformats.org/officeDocument/2006/relationships/hyperlink" Target="https://www.itu.int/ITU-T/recommendations/rec.aspx?id=14404" TargetMode="External"/><Relationship Id="rId146" Type="http://schemas.openxmlformats.org/officeDocument/2006/relationships/hyperlink" Target="https://www.itu.int/itu-t/recommendations/rec.aspx?rec=13962" TargetMode="External"/><Relationship Id="rId188" Type="http://schemas.openxmlformats.org/officeDocument/2006/relationships/hyperlink" Target="https://www.itu.int/ITU-T/recommendations/rec.aspx?id=14152" TargetMode="External"/><Relationship Id="rId311" Type="http://schemas.openxmlformats.org/officeDocument/2006/relationships/hyperlink" Target="https://news.itu.int/covid-19-7-key-ways-to-keep-children-safe-online/" TargetMode="External"/><Relationship Id="rId353" Type="http://schemas.openxmlformats.org/officeDocument/2006/relationships/hyperlink" Target="https://www.itu.int/en/Pages/covid-19.aspx" TargetMode="External"/><Relationship Id="rId395" Type="http://schemas.openxmlformats.org/officeDocument/2006/relationships/hyperlink" Target="http://www.wsis.org/forum" TargetMode="External"/><Relationship Id="rId409" Type="http://schemas.openxmlformats.org/officeDocument/2006/relationships/hyperlink" Target="https://www.itu.int/itu-t/recommendations/rec.aspx?rec=14134" TargetMode="External"/><Relationship Id="rId560" Type="http://schemas.openxmlformats.org/officeDocument/2006/relationships/hyperlink" Target="https://www.itu.int/en/ITU-T/ssc/united/Pages/publication-U4SSC-KPIs.aspx" TargetMode="External"/><Relationship Id="rId92" Type="http://schemas.openxmlformats.org/officeDocument/2006/relationships/hyperlink" Target="https://www.itu.int/ITU-T/recommendations/rec.aspx?id=14407" TargetMode="External"/><Relationship Id="rId213" Type="http://schemas.openxmlformats.org/officeDocument/2006/relationships/hyperlink" Target="https://www.itu.int/ITU-T/recommendations/rec.aspx?id=14181" TargetMode="External"/><Relationship Id="rId420" Type="http://schemas.openxmlformats.org/officeDocument/2006/relationships/hyperlink" Target="https://www.itu.int/myworkspace/" TargetMode="External"/><Relationship Id="rId616" Type="http://schemas.openxmlformats.org/officeDocument/2006/relationships/image" Target="media/image70.png"/><Relationship Id="rId658" Type="http://schemas.openxmlformats.org/officeDocument/2006/relationships/image" Target="media/image112.png"/><Relationship Id="rId255" Type="http://schemas.openxmlformats.org/officeDocument/2006/relationships/hyperlink" Target="https://www.itu.int/rec/R-REC-RS/en" TargetMode="External"/><Relationship Id="rId297" Type="http://schemas.openxmlformats.org/officeDocument/2006/relationships/hyperlink" Target="https://www.itu.int/pub/R-REC" TargetMode="External"/><Relationship Id="rId462" Type="http://schemas.openxmlformats.org/officeDocument/2006/relationships/image" Target="media/image34.png"/><Relationship Id="rId518" Type="http://schemas.openxmlformats.org/officeDocument/2006/relationships/hyperlink" Target="http://www.itu.int/itu-t/workprog/wp_item.aspx?isn=13710" TargetMode="External"/><Relationship Id="rId115" Type="http://schemas.openxmlformats.org/officeDocument/2006/relationships/hyperlink" Target="https://www.itu.int/ITU-T/recommendations/rec.aspx?id=14259" TargetMode="External"/><Relationship Id="rId157" Type="http://schemas.openxmlformats.org/officeDocument/2006/relationships/hyperlink" Target="https://www.itu.int/ITU-T/recommendations/rec.aspx?id=14563" TargetMode="External"/><Relationship Id="rId322" Type="http://schemas.openxmlformats.org/officeDocument/2006/relationships/hyperlink" Target="https://www.youtube.com/watch?v=gkYUlpgasoo" TargetMode="External"/><Relationship Id="rId364" Type="http://schemas.openxmlformats.org/officeDocument/2006/relationships/hyperlink" Target="https://www.itu.int/en/ITU-T/ssc/united/Pages/default.aspx" TargetMode="External"/><Relationship Id="rId61" Type="http://schemas.openxmlformats.org/officeDocument/2006/relationships/hyperlink" Target="https://www.itu.int/ITU-T/recommendations/rec.aspx?id=14256" TargetMode="External"/><Relationship Id="rId199" Type="http://schemas.openxmlformats.org/officeDocument/2006/relationships/hyperlink" Target="https://www.itu.int/itu-t/recommendations/rec.aspx?rec=14160" TargetMode="External"/><Relationship Id="rId571" Type="http://schemas.openxmlformats.org/officeDocument/2006/relationships/hyperlink" Target="https://www.itu.int/en/ITU-T/focusgroups/dlt/Pages/default.aspx" TargetMode="External"/><Relationship Id="rId627" Type="http://schemas.openxmlformats.org/officeDocument/2006/relationships/image" Target="media/image81.png"/><Relationship Id="rId669" Type="http://schemas.openxmlformats.org/officeDocument/2006/relationships/image" Target="media/image123.png"/><Relationship Id="rId19" Type="http://schemas.openxmlformats.org/officeDocument/2006/relationships/footer" Target="footer2.xml"/><Relationship Id="rId224" Type="http://schemas.openxmlformats.org/officeDocument/2006/relationships/hyperlink" Target="https://www.itu.int/ITU-T/recommendations/rec.aspx?id=14239" TargetMode="External"/><Relationship Id="rId266" Type="http://schemas.openxmlformats.org/officeDocument/2006/relationships/hyperlink" Target="https://www.itu.int/en/ITU-T/climatechange/Pages/1st-Digital-African-Week.aspx" TargetMode="External"/><Relationship Id="rId431" Type="http://schemas.openxmlformats.org/officeDocument/2006/relationships/hyperlink" Target="https://www.itu.int/en/myitu/Membership" TargetMode="External"/><Relationship Id="rId473" Type="http://schemas.openxmlformats.org/officeDocument/2006/relationships/hyperlink" Target="https://www.itu.int/md/S20-CL-C-0050/en" TargetMode="External"/><Relationship Id="rId529" Type="http://schemas.openxmlformats.org/officeDocument/2006/relationships/hyperlink" Target="http://www.itu.int/itu-t/workprog/wp_item.aspx?isn=16397" TargetMode="External"/><Relationship Id="rId680" Type="http://schemas.openxmlformats.org/officeDocument/2006/relationships/image" Target="media/image134.png"/><Relationship Id="rId30" Type="http://schemas.openxmlformats.org/officeDocument/2006/relationships/hyperlink" Target="http://www.itu.int/pub/R-RES-R.5" TargetMode="External"/><Relationship Id="rId126" Type="http://schemas.openxmlformats.org/officeDocument/2006/relationships/hyperlink" Target="https://www.itu.int/rec/T-REC-x/recommendation.asp?lang=en&amp;parent=T-REC-X.1368" TargetMode="External"/><Relationship Id="rId168" Type="http://schemas.openxmlformats.org/officeDocument/2006/relationships/hyperlink" Target="https://www.itu.int/ITU-T/recommendations/rec.aspx?id=14372" TargetMode="External"/><Relationship Id="rId333" Type="http://schemas.openxmlformats.org/officeDocument/2006/relationships/hyperlink" Target="https://www.itu.int/generationconnect/itu-2020-youth-engagement-survey/" TargetMode="External"/><Relationship Id="rId540" Type="http://schemas.openxmlformats.org/officeDocument/2006/relationships/hyperlink" Target="http://www.itu.int/itu-t/workprog/wp_item.aspx?isn=16410" TargetMode="External"/><Relationship Id="rId72" Type="http://schemas.openxmlformats.org/officeDocument/2006/relationships/hyperlink" Target="https://www.itu.int/ITU-T/recommendations/rec.aspx?id=14134" TargetMode="External"/><Relationship Id="rId375" Type="http://schemas.openxmlformats.org/officeDocument/2006/relationships/hyperlink" Target="https://broadbandcommission.org/Pages/default.aspx" TargetMode="External"/><Relationship Id="rId582" Type="http://schemas.openxmlformats.org/officeDocument/2006/relationships/hyperlink" Target="https://www.itu.int/en/ITU-T/Workshops-and-Seminars/bsg/20191022/Pages/default.aspx" TargetMode="External"/><Relationship Id="rId638" Type="http://schemas.openxmlformats.org/officeDocument/2006/relationships/image" Target="media/image92.png"/><Relationship Id="rId3" Type="http://schemas.openxmlformats.org/officeDocument/2006/relationships/customXml" Target="../customXml/item3.xml"/><Relationship Id="rId235" Type="http://schemas.openxmlformats.org/officeDocument/2006/relationships/hyperlink" Target="https://www.itu.int/ITU-T/recommendations/rec.aspx?id=14243" TargetMode="External"/><Relationship Id="rId277" Type="http://schemas.openxmlformats.org/officeDocument/2006/relationships/hyperlink" Target="https://www.itu.int/en/ITU-D/Environment/Documents/Toolbox/GEM_2020_def.pdf" TargetMode="External"/><Relationship Id="rId400" Type="http://schemas.openxmlformats.org/officeDocument/2006/relationships/hyperlink" Target="http://www.wsis.org/forum" TargetMode="External"/><Relationship Id="rId442" Type="http://schemas.openxmlformats.org/officeDocument/2006/relationships/image" Target="media/image14.png"/><Relationship Id="rId484" Type="http://schemas.openxmlformats.org/officeDocument/2006/relationships/hyperlink" Target="https://www.itu.int/en/council/Pages/imac-biographies.aspx" TargetMode="External"/><Relationship Id="rId137" Type="http://schemas.openxmlformats.org/officeDocument/2006/relationships/hyperlink" Target="https://www.itu.int/ITU-T/recommendations/rec.aspx?id=14452" TargetMode="External"/><Relationship Id="rId302" Type="http://schemas.openxmlformats.org/officeDocument/2006/relationships/hyperlink" Target="https://www.itu.int/en/ITU-T/Workshops-and-Seminars/20190826/Pages/default.aspx" TargetMode="External"/><Relationship Id="rId344" Type="http://schemas.openxmlformats.org/officeDocument/2006/relationships/hyperlink" Target="https://academy.itu.int/training-courses/full-catalogue/how-ensure-inclusive-digital-communication-during-crises-and-emergency-situations" TargetMode="External"/><Relationship Id="rId691" Type="http://schemas.openxmlformats.org/officeDocument/2006/relationships/image" Target="media/image143.png"/><Relationship Id="rId41" Type="http://schemas.openxmlformats.org/officeDocument/2006/relationships/hyperlink" Target="https://www.itu.int/ITU-T/recommendations/rec.aspx?id=14217" TargetMode="External"/><Relationship Id="rId83" Type="http://schemas.openxmlformats.org/officeDocument/2006/relationships/hyperlink" Target="https://www.itu.int/ITU-T/recommendations/rec.aspx?id=14356" TargetMode="External"/><Relationship Id="rId179" Type="http://schemas.openxmlformats.org/officeDocument/2006/relationships/hyperlink" Target="https://www.itu.int/ITU-T/recommendations/rec.aspx?id=14373" TargetMode="External"/><Relationship Id="rId386" Type="http://schemas.openxmlformats.org/officeDocument/2006/relationships/hyperlink" Target="bookmark://Section_1_6" TargetMode="External"/><Relationship Id="rId551" Type="http://schemas.openxmlformats.org/officeDocument/2006/relationships/hyperlink" Target="https://www.itu.int/en/ITU-T/climatechange/Documents/Year%20in%20Review/year-in-review-and-upcoming-activities-2019-2020.pdf" TargetMode="External"/><Relationship Id="rId593" Type="http://schemas.openxmlformats.org/officeDocument/2006/relationships/image" Target="media/image47.png"/><Relationship Id="rId607" Type="http://schemas.openxmlformats.org/officeDocument/2006/relationships/image" Target="media/image61.png"/><Relationship Id="rId649" Type="http://schemas.openxmlformats.org/officeDocument/2006/relationships/image" Target="media/image103.png"/><Relationship Id="rId190" Type="http://schemas.openxmlformats.org/officeDocument/2006/relationships/hyperlink" Target="https://www.itu.int/ITU-T/recommendations/rec.aspx?id=14427" TargetMode="External"/><Relationship Id="rId204" Type="http://schemas.openxmlformats.org/officeDocument/2006/relationships/hyperlink" Target="https://www.itu.int/ITU-T/recommendations/rec.aspx?id=13933" TargetMode="External"/><Relationship Id="rId246" Type="http://schemas.openxmlformats.org/officeDocument/2006/relationships/hyperlink" Target="https://www.itu.int/ITU-T/recommendations/rec.aspx?id=14416" TargetMode="External"/><Relationship Id="rId288" Type="http://schemas.openxmlformats.org/officeDocument/2006/relationships/hyperlink" Target="https://www.itu.int/en/ITU-D/Cybersecurity/Documents/RES_179_rev_Dubai.pdf" TargetMode="External"/><Relationship Id="rId411" Type="http://schemas.openxmlformats.org/officeDocument/2006/relationships/hyperlink" Target="https://www.itu.int/en/ITUTELECOM/Pages/world2019.aspx" TargetMode="External"/><Relationship Id="rId453" Type="http://schemas.openxmlformats.org/officeDocument/2006/relationships/image" Target="media/image25.png"/><Relationship Id="rId509" Type="http://schemas.openxmlformats.org/officeDocument/2006/relationships/hyperlink" Target="http://www.itu.int/itu-t/workprog/wp_item.aspx?isn=16426" TargetMode="External"/><Relationship Id="rId660" Type="http://schemas.openxmlformats.org/officeDocument/2006/relationships/image" Target="media/image114.png"/><Relationship Id="rId106" Type="http://schemas.openxmlformats.org/officeDocument/2006/relationships/hyperlink" Target="https://www.itu.int/itu-t/recommendations/rec.aspx?rec=14092" TargetMode="External"/><Relationship Id="rId313" Type="http://schemas.openxmlformats.org/officeDocument/2006/relationships/hyperlink" Target="https://www.esafety.gov.au/key-issues/covid-19/international-advice-parents" TargetMode="External"/><Relationship Id="rId495" Type="http://schemas.openxmlformats.org/officeDocument/2006/relationships/hyperlink" Target="https://www.itu.int/md/meetingdoc.asp?lang=en&amp;parent=S20-CL-C-0057" TargetMode="External"/><Relationship Id="rId10" Type="http://schemas.openxmlformats.org/officeDocument/2006/relationships/endnotes" Target="endnotes.xml"/><Relationship Id="rId52" Type="http://schemas.openxmlformats.org/officeDocument/2006/relationships/hyperlink" Target="https://www.itu.int/ITU-T/recommendations/rec.aspx?id=14246" TargetMode="External"/><Relationship Id="rId94" Type="http://schemas.openxmlformats.org/officeDocument/2006/relationships/hyperlink" Target="https://www.itu.int/ITU-T/recommendations/rec.aspx?id=14409" TargetMode="External"/><Relationship Id="rId148" Type="http://schemas.openxmlformats.org/officeDocument/2006/relationships/hyperlink" Target="https://www.itu.int/ITU-T/recommendations/rec.aspx?id=14301" TargetMode="External"/><Relationship Id="rId355" Type="http://schemas.openxmlformats.org/officeDocument/2006/relationships/hyperlink" Target="https://www.itu.int/en/ITU-D/Pages/connect-2-recover.aspx" TargetMode="External"/><Relationship Id="rId397" Type="http://schemas.openxmlformats.org/officeDocument/2006/relationships/hyperlink" Target="http://www.wsis.org/prizes" TargetMode="External"/><Relationship Id="rId520" Type="http://schemas.openxmlformats.org/officeDocument/2006/relationships/hyperlink" Target="http://www.itu.int/itu-t/workprog/wp_item.aspx?isn=14501" TargetMode="External"/><Relationship Id="rId562" Type="http://schemas.openxmlformats.org/officeDocument/2006/relationships/hyperlink" Target="https://www.itu.int/en/ITU-T/extcoop/figisymposium/Pages/FIGISITWG.aspx" TargetMode="External"/><Relationship Id="rId618" Type="http://schemas.openxmlformats.org/officeDocument/2006/relationships/image" Target="media/image72.png"/><Relationship Id="rId215" Type="http://schemas.openxmlformats.org/officeDocument/2006/relationships/hyperlink" Target="https://www.itu.int/ITU-T/recommendations/rec.aspx?id=14177" TargetMode="External"/><Relationship Id="rId257" Type="http://schemas.openxmlformats.org/officeDocument/2006/relationships/hyperlink" Target="https://www.itu.int/en/ITU-T/about/groups/Pages/sg05.aspx" TargetMode="External"/><Relationship Id="rId422" Type="http://schemas.openxmlformats.org/officeDocument/2006/relationships/hyperlink" Target="https://tsbcloud.itu.int/nextcloud/login" TargetMode="External"/><Relationship Id="rId464" Type="http://schemas.openxmlformats.org/officeDocument/2006/relationships/image" Target="media/image36.png"/><Relationship Id="rId299" Type="http://schemas.openxmlformats.org/officeDocument/2006/relationships/hyperlink" Target="http://www.itu.int/en/ITU-D/Cybersecurity/Pages/Events.aspx" TargetMode="External"/><Relationship Id="rId63" Type="http://schemas.openxmlformats.org/officeDocument/2006/relationships/hyperlink" Target="https://www.itu.int/ITU-T/recommendations/rec.aspx?id=14406" TargetMode="External"/><Relationship Id="rId159" Type="http://schemas.openxmlformats.org/officeDocument/2006/relationships/hyperlink" Target="https://www.itu.int/rec/T-REC-Y.4204-201902-I/en" TargetMode="External"/><Relationship Id="rId366" Type="http://schemas.openxmlformats.org/officeDocument/2006/relationships/hyperlink" Target="https://academy.itu.int/main-activities/digital-transformation-centres-initiative" TargetMode="External"/><Relationship Id="rId573" Type="http://schemas.openxmlformats.org/officeDocument/2006/relationships/hyperlink" Target="http://www.itu.int/itu-t/workprog/wp_item.aspx?isn=14071" TargetMode="External"/><Relationship Id="rId226" Type="http://schemas.openxmlformats.org/officeDocument/2006/relationships/hyperlink" Target="https://www.itu.int/ITU-T/recommendations/rec.aspx?rec=13702" TargetMode="External"/><Relationship Id="rId433" Type="http://schemas.openxmlformats.org/officeDocument/2006/relationships/image" Target="media/image5.png"/><Relationship Id="rId640" Type="http://schemas.openxmlformats.org/officeDocument/2006/relationships/image" Target="media/image94.png"/><Relationship Id="rId74" Type="http://schemas.openxmlformats.org/officeDocument/2006/relationships/hyperlink" Target="https://www.itu.int/en/ITU-T/AI/challenge/2020/Pages/default.aspx" TargetMode="External"/><Relationship Id="rId377" Type="http://schemas.openxmlformats.org/officeDocument/2006/relationships/hyperlink" Target="https://www.equals.org/" TargetMode="External"/><Relationship Id="rId500" Type="http://schemas.openxmlformats.org/officeDocument/2006/relationships/hyperlink" Target="https://telecomworld.itu.int/2019-event/forum/" TargetMode="External"/><Relationship Id="rId584" Type="http://schemas.openxmlformats.org/officeDocument/2006/relationships/hyperlink" Target="https://www.itu.int/en/journal/2019/001/Pages/default.aspx" TargetMode="External"/><Relationship Id="rId5" Type="http://schemas.openxmlformats.org/officeDocument/2006/relationships/numbering" Target="numbering.xml"/><Relationship Id="rId237" Type="http://schemas.openxmlformats.org/officeDocument/2006/relationships/hyperlink" Target="https://www.itu.int/ITU-T/recommendations/rec.aspx?id=14242" TargetMode="External"/><Relationship Id="rId444" Type="http://schemas.openxmlformats.org/officeDocument/2006/relationships/image" Target="media/image16.png"/><Relationship Id="rId651" Type="http://schemas.openxmlformats.org/officeDocument/2006/relationships/image" Target="media/image105.png"/><Relationship Id="rId290" Type="http://schemas.openxmlformats.org/officeDocument/2006/relationships/hyperlink" Target="https://www.itu.int/en/ITU-D/Cybersecurity/Pages/cybersecurity-national-strategies.aspx" TargetMode="External"/><Relationship Id="rId304" Type="http://schemas.openxmlformats.org/officeDocument/2006/relationships/hyperlink" Target="https://www.itu.int/en/ITU-D/Cybersecurity/Pages/Covid-19-CNI-Solution.aspx" TargetMode="External"/><Relationship Id="rId388" Type="http://schemas.openxmlformats.org/officeDocument/2006/relationships/hyperlink" Target="https://www.itu.int/en/ITU-D/Cybersecurity/Pages/Cybedrills-2020.aspx" TargetMode="External"/><Relationship Id="rId511" Type="http://schemas.openxmlformats.org/officeDocument/2006/relationships/hyperlink" Target="http://www.itu.int/itu-t/workprog/wp_item.aspx?isn=13706" TargetMode="External"/><Relationship Id="rId609" Type="http://schemas.openxmlformats.org/officeDocument/2006/relationships/image" Target="media/image63.png"/><Relationship Id="rId85" Type="http://schemas.openxmlformats.org/officeDocument/2006/relationships/hyperlink" Target="https://www.itu.int/ITU-T/recommendations/rec.aspx?id=14357" TargetMode="External"/><Relationship Id="rId150" Type="http://schemas.openxmlformats.org/officeDocument/2006/relationships/hyperlink" Target="https://www.itu.int/ITU-T/recommendations/rec.aspx?id=14583" TargetMode="External"/><Relationship Id="rId595" Type="http://schemas.openxmlformats.org/officeDocument/2006/relationships/image" Target="media/image49.png"/><Relationship Id="rId248" Type="http://schemas.openxmlformats.org/officeDocument/2006/relationships/hyperlink" Target="https://www.itu.int/ITU-T/recommendations/rec.aspx?id=14418" TargetMode="External"/><Relationship Id="rId455" Type="http://schemas.openxmlformats.org/officeDocument/2006/relationships/image" Target="media/image27.png"/><Relationship Id="rId662" Type="http://schemas.openxmlformats.org/officeDocument/2006/relationships/image" Target="media/image116.png"/><Relationship Id="rId12" Type="http://schemas.openxmlformats.org/officeDocument/2006/relationships/hyperlink" Target="https://www.itu.int/md/S20-CL-C-0035/en" TargetMode="External"/><Relationship Id="rId108" Type="http://schemas.openxmlformats.org/officeDocument/2006/relationships/hyperlink" Target="https://www.itu.int/ITU-T/recommendations/rec.aspx?id=14379" TargetMode="External"/><Relationship Id="rId315" Type="http://schemas.openxmlformats.org/officeDocument/2006/relationships/hyperlink" Target="https://www.itu.int/md/S21-CL-C-0018/en" TargetMode="External"/><Relationship Id="rId522" Type="http://schemas.openxmlformats.org/officeDocument/2006/relationships/hyperlink" Target="http://www.itu.int/itu-t/workprog/wp_item.aspx?isn=14503" TargetMode="External"/><Relationship Id="rId96" Type="http://schemas.openxmlformats.org/officeDocument/2006/relationships/hyperlink" Target="https://www.itu.int/ITU-T/recommendations/rec.aspx?id=14453" TargetMode="External"/><Relationship Id="rId161" Type="http://schemas.openxmlformats.org/officeDocument/2006/relationships/hyperlink" Target="https://www.itu.int/ITU-T/recommendations/rec.aspx?id=14371" TargetMode="External"/><Relationship Id="rId399" Type="http://schemas.openxmlformats.org/officeDocument/2006/relationships/hyperlink" Target="https://www.itu.int/net4/wsis/stocktaking/Prizes/2021/" TargetMode="External"/><Relationship Id="rId259" Type="http://schemas.openxmlformats.org/officeDocument/2006/relationships/hyperlink" Target="https://www.itu.int/ITU-T/recommendations/rec.aspx?rec=14318" TargetMode="External"/><Relationship Id="rId466" Type="http://schemas.openxmlformats.org/officeDocument/2006/relationships/image" Target="media/image38.png"/><Relationship Id="rId673" Type="http://schemas.openxmlformats.org/officeDocument/2006/relationships/image" Target="media/image127.png"/><Relationship Id="rId23" Type="http://schemas.openxmlformats.org/officeDocument/2006/relationships/header" Target="header4.xml"/><Relationship Id="rId119" Type="http://schemas.openxmlformats.org/officeDocument/2006/relationships/hyperlink" Target="https://www.itu.int/ITU-T/recommendations/rec.aspx?id=14252" TargetMode="External"/><Relationship Id="rId326" Type="http://schemas.openxmlformats.org/officeDocument/2006/relationships/hyperlink" Target="https://www.itu.int/md/S21-CL-C-0006/en" TargetMode="External"/><Relationship Id="rId533" Type="http://schemas.openxmlformats.org/officeDocument/2006/relationships/hyperlink" Target="http://www.itu.int/itu-t/workprog/wp_item.aspx?isn=16404" TargetMode="External"/><Relationship Id="rId172" Type="http://schemas.openxmlformats.org/officeDocument/2006/relationships/hyperlink" Target="https://www.itu.int/ITU-T/recommendations/rec.aspx?id=14424" TargetMode="External"/><Relationship Id="rId477" Type="http://schemas.openxmlformats.org/officeDocument/2006/relationships/hyperlink" Target="https://itu.int/map-public" TargetMode="External"/><Relationship Id="rId600" Type="http://schemas.openxmlformats.org/officeDocument/2006/relationships/image" Target="media/image54.png"/><Relationship Id="rId684" Type="http://schemas.openxmlformats.org/officeDocument/2006/relationships/image" Target="media/image138.png"/><Relationship Id="rId337" Type="http://schemas.openxmlformats.org/officeDocument/2006/relationships/hyperlink" Target="https://www.itu.int/generationconnect/generation-connect-visionaries-board/" TargetMode="External"/><Relationship Id="rId34" Type="http://schemas.openxmlformats.org/officeDocument/2006/relationships/hyperlink" Target="http://www.itu.int/pub/R-RES-R.35" TargetMode="External"/><Relationship Id="rId544" Type="http://schemas.openxmlformats.org/officeDocument/2006/relationships/hyperlink" Target="http://www.itu.int/itu-t/workprog/wp_item.aspx?isn=13679" TargetMode="External"/><Relationship Id="rId183" Type="http://schemas.openxmlformats.org/officeDocument/2006/relationships/hyperlink" Target="https://www.itu.int/ITU-T/recommendations/rec.aspx?rec=13927" TargetMode="External"/><Relationship Id="rId390" Type="http://schemas.openxmlformats.org/officeDocument/2006/relationships/hyperlink" Target="https://www.itu.int/en/wtisd/2019/Pages/default.aspx" TargetMode="External"/><Relationship Id="rId404" Type="http://schemas.openxmlformats.org/officeDocument/2006/relationships/hyperlink" Target="https://www.itu.int/en/myitu/News/2020/12/24/10/52/Japan-NICT-claims-Kaleidoscope-1st-prize-for-research-in-machine-learning" TargetMode="External"/><Relationship Id="rId611" Type="http://schemas.openxmlformats.org/officeDocument/2006/relationships/image" Target="media/image65.png"/><Relationship Id="rId250" Type="http://schemas.openxmlformats.org/officeDocument/2006/relationships/hyperlink" Target="https://www.itu.int/en/ITU-T/AI/Pages/default.aspx" TargetMode="External"/><Relationship Id="rId488" Type="http://schemas.openxmlformats.org/officeDocument/2006/relationships/hyperlink" Target="http://www.itu.int/net/itu-t/cdb/ConformityDB.aspx" TargetMode="External"/><Relationship Id="rId695" Type="http://schemas.openxmlformats.org/officeDocument/2006/relationships/header" Target="header6.xml"/><Relationship Id="rId45" Type="http://schemas.openxmlformats.org/officeDocument/2006/relationships/hyperlink" Target="https://www.itu.int/itu-t/recommendations/rec.aspx?rec=13992" TargetMode="External"/><Relationship Id="rId110" Type="http://schemas.openxmlformats.org/officeDocument/2006/relationships/hyperlink" Target="https://www.itu.int/ITU-T/recommendations/rec.aspx?id=14382" TargetMode="External"/><Relationship Id="rId348" Type="http://schemas.openxmlformats.org/officeDocument/2006/relationships/hyperlink" Target="http://www.wsis.org/forum" TargetMode="External"/><Relationship Id="rId555" Type="http://schemas.openxmlformats.org/officeDocument/2006/relationships/hyperlink" Target="https://www.itu.int/en/publications/Documents/tsb/2019-U4SSC-City-Science-Application-Framework/index.html" TargetMode="External"/><Relationship Id="rId194" Type="http://schemas.openxmlformats.org/officeDocument/2006/relationships/hyperlink" Target="https://www.itu.int/ITU-T/recommendations/rec.aspx?id=14153" TargetMode="External"/><Relationship Id="rId208" Type="http://schemas.openxmlformats.org/officeDocument/2006/relationships/hyperlink" Target="https://www.itu.int/ITU-T/recommendations/rec.aspx?id=14577" TargetMode="External"/><Relationship Id="rId415" Type="http://schemas.openxmlformats.org/officeDocument/2006/relationships/hyperlink" Target="https://www.itu.int/md/S21-CL-C-0068/en" TargetMode="External"/><Relationship Id="rId622" Type="http://schemas.openxmlformats.org/officeDocument/2006/relationships/image" Target="media/image76.png"/><Relationship Id="rId261" Type="http://schemas.openxmlformats.org/officeDocument/2006/relationships/hyperlink" Target="https://www.itu.int/en/ITU-D/Climate-Change/Pages/sgq.aspx" TargetMode="External"/><Relationship Id="rId499" Type="http://schemas.openxmlformats.org/officeDocument/2006/relationships/hyperlink" Target="https://telecomworld.itu.int/2019-event/forum/" TargetMode="External"/><Relationship Id="rId56" Type="http://schemas.openxmlformats.org/officeDocument/2006/relationships/hyperlink" Target="https://www.itu.int/ITU-T/recommendations/rec.aspx?id=14422" TargetMode="External"/><Relationship Id="rId359" Type="http://schemas.openxmlformats.org/officeDocument/2006/relationships/hyperlink" Target="http://www.itu.int/go/COVID19-dialogues" TargetMode="External"/><Relationship Id="rId566" Type="http://schemas.openxmlformats.org/officeDocument/2006/relationships/hyperlink" Target="https://www.itu.int/ITU-T/recommendations/rec.aspx?rec=13596" TargetMode="External"/><Relationship Id="rId121" Type="http://schemas.openxmlformats.org/officeDocument/2006/relationships/hyperlink" Target="https://www.itu.int/ITU-T/recommendations/rec.aspx?id=14087" TargetMode="External"/><Relationship Id="rId219" Type="http://schemas.openxmlformats.org/officeDocument/2006/relationships/hyperlink" Target="https://www.itu.int/itu-t/recommendations/rec.aspx?rec=13594" TargetMode="External"/><Relationship Id="rId426" Type="http://schemas.openxmlformats.org/officeDocument/2006/relationships/hyperlink" Target="https://www.itu.int/myworkspace/" TargetMode="External"/><Relationship Id="rId633" Type="http://schemas.openxmlformats.org/officeDocument/2006/relationships/image" Target="media/image87.png"/><Relationship Id="rId67" Type="http://schemas.openxmlformats.org/officeDocument/2006/relationships/hyperlink" Target="https://www.itu.int/ITU-T/recommendations/rec.aspx?rec=13894&amp;lang=en" TargetMode="External"/><Relationship Id="rId272" Type="http://schemas.openxmlformats.org/officeDocument/2006/relationships/hyperlink" Target="https://www.itu.int/ITU-T/recommendations/rec.aspx?id=14572" TargetMode="External"/><Relationship Id="rId577" Type="http://schemas.openxmlformats.org/officeDocument/2006/relationships/hyperlink" Target="https://www.itu.int/itu-t/workprog/wp_item.aspx?isn=14372" TargetMode="External"/><Relationship Id="rId700" Type="http://schemas.openxmlformats.org/officeDocument/2006/relationships/theme" Target="theme/theme1.xml"/><Relationship Id="rId132" Type="http://schemas.openxmlformats.org/officeDocument/2006/relationships/hyperlink" Target="https://www.itu.int/ITU-T/recommendations/rec.aspx?id=14092" TargetMode="External"/><Relationship Id="rId437" Type="http://schemas.openxmlformats.org/officeDocument/2006/relationships/image" Target="media/image9.png"/><Relationship Id="rId644" Type="http://schemas.openxmlformats.org/officeDocument/2006/relationships/image" Target="media/image98.png"/><Relationship Id="rId283" Type="http://schemas.openxmlformats.org/officeDocument/2006/relationships/hyperlink" Target="https://www.itu.int/en/ITU-D/Emergency-Telecommunications/Pages/Publications/2020/Guidelines-for-TTX.aspx" TargetMode="External"/><Relationship Id="rId490" Type="http://schemas.openxmlformats.org/officeDocument/2006/relationships/hyperlink" Target="https://itu.int/go/ci_training" TargetMode="External"/><Relationship Id="rId504" Type="http://schemas.openxmlformats.org/officeDocument/2006/relationships/hyperlink" Target="https://www.itu.int/md/S18-CL-C-0107/en" TargetMode="External"/><Relationship Id="rId78" Type="http://schemas.openxmlformats.org/officeDocument/2006/relationships/hyperlink" Target="https://www.itu.int/ITU-T/recommendations/rec.aspx?id=4349" TargetMode="External"/><Relationship Id="rId143" Type="http://schemas.openxmlformats.org/officeDocument/2006/relationships/hyperlink" Target="https://www.itu.int/ITU-T/recommendations/rec.aspx?id=14393" TargetMode="External"/><Relationship Id="rId350" Type="http://schemas.openxmlformats.org/officeDocument/2006/relationships/hyperlink" Target="https://www.itu.int/en/ITU-D/Regional-Presence/Europe/Pages/Events/2020/AE21/PreEvent.aspx" TargetMode="External"/><Relationship Id="rId588" Type="http://schemas.openxmlformats.org/officeDocument/2006/relationships/hyperlink" Target="https://www.itu.int/md/S20-CL-C-0009/en" TargetMode="External"/><Relationship Id="rId9" Type="http://schemas.openxmlformats.org/officeDocument/2006/relationships/footnotes" Target="footnotes.xml"/><Relationship Id="rId210" Type="http://schemas.openxmlformats.org/officeDocument/2006/relationships/hyperlink" Target="https://www.itu.int/ITU-T/recommendations/rec.aspx?id=14182" TargetMode="External"/><Relationship Id="rId448" Type="http://schemas.openxmlformats.org/officeDocument/2006/relationships/image" Target="media/image20.png"/><Relationship Id="rId655" Type="http://schemas.openxmlformats.org/officeDocument/2006/relationships/image" Target="media/image109.png"/><Relationship Id="rId294" Type="http://schemas.openxmlformats.org/officeDocument/2006/relationships/hyperlink" Target="https://www.itu.int/ITU-T/recommendations/index_sg.aspx?sg=17" TargetMode="External"/><Relationship Id="rId308" Type="http://schemas.openxmlformats.org/officeDocument/2006/relationships/hyperlink" Target="https://www.itu.int/net4/wsis/forum/2019/" TargetMode="External"/><Relationship Id="rId515" Type="http://schemas.openxmlformats.org/officeDocument/2006/relationships/hyperlink" Target="http://www.itu.int/itu-t/workprog/wp_item.aspx?isn=14646" TargetMode="External"/><Relationship Id="rId89" Type="http://schemas.openxmlformats.org/officeDocument/2006/relationships/hyperlink" Target="https://www.itu.int/itu-t/recommendations/rec.aspx?rec=13990" TargetMode="External"/><Relationship Id="rId154" Type="http://schemas.openxmlformats.org/officeDocument/2006/relationships/hyperlink" Target="https://www.itu.int/ITU-T/recommendations/rec.aspx?id=14318" TargetMode="External"/><Relationship Id="rId361" Type="http://schemas.openxmlformats.org/officeDocument/2006/relationships/hyperlink" Target="https://broadbandcommission.org/COVID19/Pages/default.aspx" TargetMode="External"/><Relationship Id="rId599" Type="http://schemas.openxmlformats.org/officeDocument/2006/relationships/image" Target="media/image53.png"/><Relationship Id="rId459" Type="http://schemas.openxmlformats.org/officeDocument/2006/relationships/image" Target="media/image31.png"/><Relationship Id="rId666" Type="http://schemas.openxmlformats.org/officeDocument/2006/relationships/image" Target="media/image120.png"/><Relationship Id="rId16" Type="http://schemas.openxmlformats.org/officeDocument/2006/relationships/header" Target="header1.xml"/><Relationship Id="rId221" Type="http://schemas.openxmlformats.org/officeDocument/2006/relationships/hyperlink" Target="https://www.itu.int/ITU-T/recommendations/rec.aspx?id=14268" TargetMode="External"/><Relationship Id="rId319" Type="http://schemas.openxmlformats.org/officeDocument/2006/relationships/hyperlink" Target="https://www.youtube.com/watch?v=AC6KSHctLog" TargetMode="External"/><Relationship Id="rId526" Type="http://schemas.openxmlformats.org/officeDocument/2006/relationships/hyperlink" Target="http://www.itu.int/itu-t/workprog/wp_item.aspx?isn=14963" TargetMode="External"/><Relationship Id="rId165" Type="http://schemas.openxmlformats.org/officeDocument/2006/relationships/hyperlink" Target="https://www.itu.int/ITU-T/recommendations/rec.aspx?id=14166" TargetMode="External"/><Relationship Id="rId372" Type="http://schemas.openxmlformats.org/officeDocument/2006/relationships/hyperlink" Target="https://www.broadbandcommission.org/Pages/10thAnniversary.aspx" TargetMode="External"/><Relationship Id="rId677" Type="http://schemas.openxmlformats.org/officeDocument/2006/relationships/image" Target="media/image131.png"/><Relationship Id="rId232" Type="http://schemas.openxmlformats.org/officeDocument/2006/relationships/hyperlink" Target="https://www.itu.int/ITU-T/recommendations/rec.aspx?id=14413" TargetMode="External"/><Relationship Id="rId27" Type="http://schemas.openxmlformats.org/officeDocument/2006/relationships/hyperlink" Target="http://www.itu.int/pub/R-RES-R.1" TargetMode="External"/><Relationship Id="rId537" Type="http://schemas.openxmlformats.org/officeDocument/2006/relationships/hyperlink" Target="http://www.itu.int/itu-t/workprog/wp_item.aspx?isn=13703" TargetMode="External"/><Relationship Id="rId80" Type="http://schemas.openxmlformats.org/officeDocument/2006/relationships/hyperlink" Target="https://www.itu.int/ITU-T/recommendations/rec.aspx?id=4742" TargetMode="External"/><Relationship Id="rId176" Type="http://schemas.openxmlformats.org/officeDocument/2006/relationships/hyperlink" Target="https://www.itu.int/ITU-T/recommendations/rec.aspx?id=14169" TargetMode="External"/><Relationship Id="rId383" Type="http://schemas.openxmlformats.org/officeDocument/2006/relationships/hyperlink" Target="https://www.itu.int/en/ITU-R/seminars/rrs/2020-Asia-Pacific/Pages/default.aspx" TargetMode="External"/><Relationship Id="rId590" Type="http://schemas.openxmlformats.org/officeDocument/2006/relationships/image" Target="media/image44.png"/><Relationship Id="rId604" Type="http://schemas.openxmlformats.org/officeDocument/2006/relationships/image" Target="media/image58.png"/><Relationship Id="rId243" Type="http://schemas.openxmlformats.org/officeDocument/2006/relationships/hyperlink" Target="https://www.itu.int/ITU-T/recommendations/rec.aspx?id=14387" TargetMode="External"/><Relationship Id="rId450" Type="http://schemas.openxmlformats.org/officeDocument/2006/relationships/image" Target="media/image22.png"/><Relationship Id="rId688" Type="http://schemas.openxmlformats.org/officeDocument/2006/relationships/hyperlink" Target="https://itu.foleon.com/itu/connect-2030-agenda/home/" TargetMode="External"/><Relationship Id="rId38" Type="http://schemas.openxmlformats.org/officeDocument/2006/relationships/hyperlink" Target="https://www.itu.int/en/ITU-T/studygroups/Pages/default.aspx" TargetMode="External"/><Relationship Id="rId103" Type="http://schemas.openxmlformats.org/officeDocument/2006/relationships/hyperlink" Target="https://www.itu.int/ITU-T/recommendations/rec.aspx?id=14450" TargetMode="External"/><Relationship Id="rId310" Type="http://schemas.openxmlformats.org/officeDocument/2006/relationships/hyperlink" Target="https://childonlinesafety.org/wp-content/uploads/2019/12/ChildOnlineSafety_report.pdf" TargetMode="External"/><Relationship Id="rId548" Type="http://schemas.openxmlformats.org/officeDocument/2006/relationships/hyperlink" Target="https://www.itu.int/en/ITU-T/jca/iot/Pages/default.aspx" TargetMode="External"/><Relationship Id="rId91" Type="http://schemas.openxmlformats.org/officeDocument/2006/relationships/hyperlink" Target="https://www.itu.int/ITU-T/recommendations/rec.aspx?id=14258" TargetMode="External"/><Relationship Id="rId187" Type="http://schemas.openxmlformats.org/officeDocument/2006/relationships/hyperlink" Target="https://www.itu.int/ITU-T/recommendations/rec.aspx?id=14148" TargetMode="External"/><Relationship Id="rId394" Type="http://schemas.openxmlformats.org/officeDocument/2006/relationships/hyperlink" Target="http://www.itu.int/go/wsis2020outcomes" TargetMode="External"/><Relationship Id="rId408" Type="http://schemas.openxmlformats.org/officeDocument/2006/relationships/hyperlink" Target="https://www.itu.int/itu-t/recommendations/rec.aspx?rec=14133" TargetMode="External"/><Relationship Id="rId615" Type="http://schemas.openxmlformats.org/officeDocument/2006/relationships/image" Target="media/image69.png"/><Relationship Id="rId254" Type="http://schemas.openxmlformats.org/officeDocument/2006/relationships/hyperlink" Target="https://www.itu.int/en/council/Documents/basic-texts/RES-197-E.pdf" TargetMode="External"/><Relationship Id="rId699" Type="http://schemas.openxmlformats.org/officeDocument/2006/relationships/fontTable" Target="fontTable.xml"/><Relationship Id="rId49" Type="http://schemas.openxmlformats.org/officeDocument/2006/relationships/hyperlink" Target="https://www.itu.int/itu-t/recommendations/rec.aspx?rec=14131" TargetMode="External"/><Relationship Id="rId114" Type="http://schemas.openxmlformats.org/officeDocument/2006/relationships/hyperlink" Target="https://www.itu.int/ITU-T/recommendations/rec.aspx?id=14250" TargetMode="External"/><Relationship Id="rId461" Type="http://schemas.openxmlformats.org/officeDocument/2006/relationships/image" Target="media/image33.png"/><Relationship Id="rId559" Type="http://schemas.openxmlformats.org/officeDocument/2006/relationships/hyperlink" Target="https://www.itu.int/en/ITU-T/ssc/united/Documents/pully-under-the-microscope-u4ssc-E.pdf" TargetMode="External"/><Relationship Id="rId198" Type="http://schemas.openxmlformats.org/officeDocument/2006/relationships/hyperlink" Target="https://www.itu.int/itu-t/recommendations/rec.aspx?rec=14065" TargetMode="External"/><Relationship Id="rId321" Type="http://schemas.openxmlformats.org/officeDocument/2006/relationships/hyperlink" Target="https://www.itu.int/en/ITU-D/Regional-Presence/Africa/Pages/African-Girls-Can-Code.aspx" TargetMode="External"/><Relationship Id="rId419" Type="http://schemas.openxmlformats.org/officeDocument/2006/relationships/hyperlink" Target="https://www.itu.int/myworkspace/" TargetMode="External"/><Relationship Id="rId626" Type="http://schemas.openxmlformats.org/officeDocument/2006/relationships/image" Target="media/image80.png"/></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08377D866B1048BD3BAE4DE1ED8B99" ma:contentTypeVersion="6" ma:contentTypeDescription="Create a new document." ma:contentTypeScope="" ma:versionID="0da74f5e0d51de38ceade72513ffb2d8">
  <xsd:schema xmlns:xsd="http://www.w3.org/2001/XMLSchema" xmlns:xs="http://www.w3.org/2001/XMLSchema" xmlns:p="http://schemas.microsoft.com/office/2006/metadata/properties" xmlns:ns2="eb900635-4af6-4e29-936e-a3647adf94c8" xmlns:ns3="87ea607b-e34b-4b64-8409-2f24b5e325d9" targetNamespace="http://schemas.microsoft.com/office/2006/metadata/properties" ma:root="true" ma:fieldsID="b6e79fb3ec3f70be7e6aa3005c115aad" ns2:_="" ns3:_="">
    <xsd:import namespace="eb900635-4af6-4e29-936e-a3647adf94c8"/>
    <xsd:import namespace="87ea607b-e34b-4b64-8409-2f24b5e325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00635-4af6-4e29-936e-a3647adf9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ea607b-e34b-4b64-8409-2f24b5e325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7ea607b-e34b-4b64-8409-2f24b5e325d9">
      <UserInfo>
        <DisplayName>Euchner, Martin</DisplayName>
        <AccountId>26</AccountId>
        <AccountType/>
      </UserInfo>
      <UserInfo>
        <DisplayName>Tam, Edmund</DisplayName>
        <AccountId>34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7A19EE-9CFB-4843-B435-F2598C58535F}">
  <ds:schemaRefs>
    <ds:schemaRef ds:uri="http://schemas.openxmlformats.org/officeDocument/2006/bibliography"/>
  </ds:schemaRefs>
</ds:datastoreItem>
</file>

<file path=customXml/itemProps2.xml><?xml version="1.0" encoding="utf-8"?>
<ds:datastoreItem xmlns:ds="http://schemas.openxmlformats.org/officeDocument/2006/customXml" ds:itemID="{E53AD4D8-54B6-4B9B-929E-C6DAD00E2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00635-4af6-4e29-936e-a3647adf94c8"/>
    <ds:schemaRef ds:uri="87ea607b-e34b-4b64-8409-2f24b5e32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E8A7C9-E964-493F-92CB-FD62DEE7E083}">
  <ds:schemaRefs>
    <ds:schemaRef ds:uri="http://schemas.microsoft.com/office/2006/metadata/properties"/>
    <ds:schemaRef ds:uri="http://schemas.microsoft.com/office/infopath/2007/PartnerControls"/>
    <ds:schemaRef ds:uri="87ea607b-e34b-4b64-8409-2f24b5e325d9"/>
  </ds:schemaRefs>
</ds:datastoreItem>
</file>

<file path=customXml/itemProps4.xml><?xml version="1.0" encoding="utf-8"?>
<ds:datastoreItem xmlns:ds="http://schemas.openxmlformats.org/officeDocument/2006/customXml" ds:itemID="{03D7F783-77D7-4C64-9945-518E54BDF2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116</Pages>
  <Words>46297</Words>
  <Characters>263895</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 Fernando</dc:creator>
  <cp:keywords/>
  <dc:description/>
  <cp:lastModifiedBy>Brouard, Ricarda</cp:lastModifiedBy>
  <cp:revision>4</cp:revision>
  <cp:lastPrinted>2020-05-13T20:06:00Z</cp:lastPrinted>
  <dcterms:created xsi:type="dcterms:W3CDTF">2021-05-10T15:41:00Z</dcterms:created>
  <dcterms:modified xsi:type="dcterms:W3CDTF">2021-05-10T15:49:00Z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0x0101002808377D866B1048BD3BAE4DE1ED8B99</vt:lpwstr>
  </property>
</Properties>
</file>