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1.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2.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3.xml" ContentType="application/vnd.openxmlformats-officedocument.drawingml.chartshapes+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drawings/drawing4.xml" ContentType="application/vnd.openxmlformats-officedocument.drawingml.chartshapes+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B0D00" w14:paraId="51747863" w14:textId="77777777">
        <w:trPr>
          <w:cantSplit/>
        </w:trPr>
        <w:tc>
          <w:tcPr>
            <w:tcW w:w="6912" w:type="dxa"/>
          </w:tcPr>
          <w:p w14:paraId="2B9C3EFB" w14:textId="77777777" w:rsidR="00093EEB" w:rsidRPr="000B0D00" w:rsidRDefault="00093EEB" w:rsidP="00C2727F">
            <w:pPr>
              <w:spacing w:before="360"/>
              <w:rPr>
                <w:szCs w:val="24"/>
              </w:rPr>
            </w:pPr>
            <w:bookmarkStart w:id="0" w:name="dc06"/>
            <w:bookmarkStart w:id="1" w:name="dbluepink" w:colFirst="0" w:colLast="0"/>
            <w:bookmarkEnd w:id="0"/>
            <w:r w:rsidRPr="00093EEB">
              <w:rPr>
                <w:b/>
                <w:bCs/>
                <w:sz w:val="30"/>
                <w:szCs w:val="30"/>
              </w:rPr>
              <w:t>Consejo 20</w:t>
            </w:r>
            <w:r w:rsidR="007955DA">
              <w:rPr>
                <w:b/>
                <w:bCs/>
                <w:sz w:val="30"/>
                <w:szCs w:val="30"/>
              </w:rPr>
              <w:t>2</w:t>
            </w:r>
            <w:r w:rsidR="000007D1">
              <w:rPr>
                <w:b/>
                <w:bCs/>
                <w:sz w:val="30"/>
                <w:szCs w:val="30"/>
              </w:rPr>
              <w:t>1</w:t>
            </w:r>
            <w:r w:rsidRPr="00093EEB">
              <w:rPr>
                <w:b/>
                <w:bCs/>
                <w:sz w:val="26"/>
                <w:szCs w:val="26"/>
              </w:rPr>
              <w:br/>
            </w:r>
            <w:bookmarkStart w:id="2" w:name="lt_pId446"/>
            <w:r w:rsidR="000007D1" w:rsidRPr="00D54DAC">
              <w:rPr>
                <w:b/>
                <w:bCs/>
                <w:sz w:val="28"/>
                <w:szCs w:val="28"/>
              </w:rPr>
              <w:t>Consulta virtual de los consejeros</w:t>
            </w:r>
            <w:bookmarkEnd w:id="2"/>
            <w:r w:rsidRPr="00D54DAC">
              <w:rPr>
                <w:b/>
                <w:bCs/>
                <w:sz w:val="28"/>
                <w:szCs w:val="28"/>
              </w:rPr>
              <w:t xml:space="preserve">, </w:t>
            </w:r>
            <w:r w:rsidR="000007D1" w:rsidRPr="00D54DAC">
              <w:rPr>
                <w:b/>
                <w:bCs/>
                <w:sz w:val="28"/>
                <w:szCs w:val="28"/>
              </w:rPr>
              <w:t>8</w:t>
            </w:r>
            <w:r w:rsidRPr="00D54DAC">
              <w:rPr>
                <w:b/>
                <w:bCs/>
                <w:sz w:val="28"/>
                <w:szCs w:val="28"/>
              </w:rPr>
              <w:t>-</w:t>
            </w:r>
            <w:r w:rsidR="007955DA" w:rsidRPr="00D54DAC">
              <w:rPr>
                <w:b/>
                <w:bCs/>
                <w:sz w:val="28"/>
                <w:szCs w:val="28"/>
              </w:rPr>
              <w:t>1</w:t>
            </w:r>
            <w:r w:rsidR="000007D1" w:rsidRPr="00D54DAC">
              <w:rPr>
                <w:b/>
                <w:bCs/>
                <w:sz w:val="28"/>
                <w:szCs w:val="28"/>
              </w:rPr>
              <w:t>8</w:t>
            </w:r>
            <w:r w:rsidRPr="00D54DAC">
              <w:rPr>
                <w:b/>
                <w:bCs/>
                <w:sz w:val="28"/>
                <w:szCs w:val="28"/>
              </w:rPr>
              <w:t xml:space="preserve"> de </w:t>
            </w:r>
            <w:r w:rsidR="00C2727F" w:rsidRPr="00D54DAC">
              <w:rPr>
                <w:b/>
                <w:bCs/>
                <w:sz w:val="28"/>
                <w:szCs w:val="28"/>
              </w:rPr>
              <w:t>junio</w:t>
            </w:r>
            <w:r w:rsidRPr="00D54DAC">
              <w:rPr>
                <w:b/>
                <w:bCs/>
                <w:sz w:val="28"/>
                <w:szCs w:val="28"/>
              </w:rPr>
              <w:t xml:space="preserve"> de 20</w:t>
            </w:r>
            <w:r w:rsidR="007955DA" w:rsidRPr="00D54DAC">
              <w:rPr>
                <w:b/>
                <w:bCs/>
                <w:sz w:val="28"/>
                <w:szCs w:val="28"/>
              </w:rPr>
              <w:t>2</w:t>
            </w:r>
            <w:r w:rsidR="000007D1" w:rsidRPr="00D54DAC">
              <w:rPr>
                <w:b/>
                <w:bCs/>
                <w:sz w:val="28"/>
                <w:szCs w:val="28"/>
              </w:rPr>
              <w:t>1</w:t>
            </w:r>
          </w:p>
        </w:tc>
        <w:tc>
          <w:tcPr>
            <w:tcW w:w="3261" w:type="dxa"/>
          </w:tcPr>
          <w:p w14:paraId="2428EF63" w14:textId="77777777" w:rsidR="00093EEB" w:rsidRPr="000B0D00" w:rsidRDefault="007955DA" w:rsidP="007955DA">
            <w:pPr>
              <w:spacing w:before="0"/>
              <w:rPr>
                <w:szCs w:val="24"/>
              </w:rPr>
            </w:pPr>
            <w:bookmarkStart w:id="3" w:name="ditulogo"/>
            <w:bookmarkEnd w:id="3"/>
            <w:r>
              <w:rPr>
                <w:noProof/>
                <w:lang w:eastAsia="zh-CN"/>
              </w:rPr>
              <w:drawing>
                <wp:inline distT="0" distB="0" distL="0" distR="0" wp14:anchorId="1FCB2370" wp14:editId="4F1B50E9">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0B0D00" w14:paraId="0C57D7D1" w14:textId="77777777">
        <w:trPr>
          <w:cantSplit/>
          <w:trHeight w:val="20"/>
        </w:trPr>
        <w:tc>
          <w:tcPr>
            <w:tcW w:w="10173" w:type="dxa"/>
            <w:gridSpan w:val="2"/>
            <w:tcBorders>
              <w:bottom w:val="single" w:sz="12" w:space="0" w:color="auto"/>
            </w:tcBorders>
          </w:tcPr>
          <w:p w14:paraId="7C3B5C7B" w14:textId="77777777" w:rsidR="00093EEB" w:rsidRPr="00EB1212" w:rsidRDefault="00093EEB">
            <w:pPr>
              <w:spacing w:before="0"/>
              <w:rPr>
                <w:b/>
                <w:bCs/>
                <w:szCs w:val="24"/>
              </w:rPr>
            </w:pPr>
          </w:p>
        </w:tc>
      </w:tr>
      <w:tr w:rsidR="00093EEB" w:rsidRPr="000B0D00" w14:paraId="1952D581" w14:textId="77777777">
        <w:trPr>
          <w:cantSplit/>
          <w:trHeight w:val="20"/>
        </w:trPr>
        <w:tc>
          <w:tcPr>
            <w:tcW w:w="6912" w:type="dxa"/>
            <w:tcBorders>
              <w:top w:val="single" w:sz="12" w:space="0" w:color="auto"/>
            </w:tcBorders>
          </w:tcPr>
          <w:p w14:paraId="20FF2D97" w14:textId="77777777" w:rsidR="00093EEB" w:rsidRPr="000B0D0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7884CA53" w14:textId="77777777" w:rsidR="00093EEB" w:rsidRPr="000B0D00" w:rsidRDefault="00093EEB">
            <w:pPr>
              <w:spacing w:before="0"/>
              <w:rPr>
                <w:b/>
                <w:bCs/>
                <w:szCs w:val="24"/>
              </w:rPr>
            </w:pPr>
          </w:p>
        </w:tc>
      </w:tr>
      <w:tr w:rsidR="00093EEB" w:rsidRPr="000B0D00" w14:paraId="26EF01C9" w14:textId="77777777">
        <w:trPr>
          <w:cantSplit/>
          <w:trHeight w:val="20"/>
        </w:trPr>
        <w:tc>
          <w:tcPr>
            <w:tcW w:w="6912" w:type="dxa"/>
            <w:shd w:val="clear" w:color="auto" w:fill="auto"/>
          </w:tcPr>
          <w:p w14:paraId="19D57960" w14:textId="5334B7CF" w:rsidR="00093EEB" w:rsidRPr="00093EEB" w:rsidRDefault="00D54DAC">
            <w:pPr>
              <w:tabs>
                <w:tab w:val="clear" w:pos="2268"/>
                <w:tab w:val="left" w:pos="1560"/>
                <w:tab w:val="left" w:pos="2269"/>
                <w:tab w:val="left" w:pos="3544"/>
                <w:tab w:val="left" w:pos="3969"/>
              </w:tabs>
              <w:spacing w:before="0" w:line="240" w:lineRule="atLeast"/>
              <w:rPr>
                <w:rFonts w:cs="Times"/>
                <w:b/>
                <w:szCs w:val="24"/>
              </w:rPr>
            </w:pPr>
            <w:bookmarkStart w:id="4" w:name="dnum" w:colFirst="1" w:colLast="1"/>
            <w:bookmarkStart w:id="5" w:name="dmeeting" w:colFirst="0" w:colLast="0"/>
            <w:r w:rsidRPr="003F35CB">
              <w:rPr>
                <w:b/>
                <w:lang w:val="es-ES"/>
              </w:rPr>
              <w:t>Punto del orden del día: ADM 12</w:t>
            </w:r>
          </w:p>
        </w:tc>
        <w:tc>
          <w:tcPr>
            <w:tcW w:w="3261" w:type="dxa"/>
          </w:tcPr>
          <w:p w14:paraId="2D9E249A" w14:textId="6E4A570E" w:rsidR="00093EEB" w:rsidRPr="00093EEB" w:rsidRDefault="00093EEB" w:rsidP="00C2727F">
            <w:pPr>
              <w:spacing w:before="0"/>
              <w:rPr>
                <w:b/>
                <w:bCs/>
                <w:szCs w:val="24"/>
              </w:rPr>
            </w:pPr>
            <w:r>
              <w:rPr>
                <w:b/>
                <w:bCs/>
                <w:szCs w:val="24"/>
              </w:rPr>
              <w:t>Documento C</w:t>
            </w:r>
            <w:r w:rsidR="007955DA">
              <w:rPr>
                <w:b/>
                <w:bCs/>
                <w:szCs w:val="24"/>
              </w:rPr>
              <w:t>2</w:t>
            </w:r>
            <w:r w:rsidR="000007D1">
              <w:rPr>
                <w:b/>
                <w:bCs/>
                <w:szCs w:val="24"/>
              </w:rPr>
              <w:t>1</w:t>
            </w:r>
            <w:r>
              <w:rPr>
                <w:b/>
                <w:bCs/>
                <w:szCs w:val="24"/>
              </w:rPr>
              <w:t>/</w:t>
            </w:r>
            <w:r w:rsidR="00D54DAC">
              <w:rPr>
                <w:b/>
                <w:bCs/>
                <w:szCs w:val="24"/>
              </w:rPr>
              <w:t>34</w:t>
            </w:r>
            <w:r>
              <w:rPr>
                <w:b/>
                <w:bCs/>
                <w:szCs w:val="24"/>
              </w:rPr>
              <w:t>-S</w:t>
            </w:r>
          </w:p>
        </w:tc>
      </w:tr>
      <w:tr w:rsidR="00093EEB" w:rsidRPr="000B0D00" w14:paraId="36E84C87" w14:textId="77777777">
        <w:trPr>
          <w:cantSplit/>
          <w:trHeight w:val="20"/>
        </w:trPr>
        <w:tc>
          <w:tcPr>
            <w:tcW w:w="6912" w:type="dxa"/>
            <w:shd w:val="clear" w:color="auto" w:fill="auto"/>
          </w:tcPr>
          <w:p w14:paraId="3A244DB1" w14:textId="77777777" w:rsidR="00093EEB" w:rsidRPr="000B0D00" w:rsidRDefault="00093EEB">
            <w:pPr>
              <w:shd w:val="solid" w:color="FFFFFF" w:fill="FFFFFF"/>
              <w:spacing w:before="0"/>
              <w:rPr>
                <w:smallCaps/>
                <w:szCs w:val="24"/>
              </w:rPr>
            </w:pPr>
            <w:bookmarkStart w:id="6" w:name="ddate" w:colFirst="1" w:colLast="1"/>
            <w:bookmarkEnd w:id="4"/>
            <w:bookmarkEnd w:id="5"/>
          </w:p>
        </w:tc>
        <w:tc>
          <w:tcPr>
            <w:tcW w:w="3261" w:type="dxa"/>
          </w:tcPr>
          <w:p w14:paraId="1DC558B1" w14:textId="7ECD6FAD" w:rsidR="00093EEB" w:rsidRPr="00093EEB" w:rsidRDefault="00D54DAC" w:rsidP="00C2727F">
            <w:pPr>
              <w:spacing w:before="0"/>
              <w:rPr>
                <w:b/>
                <w:bCs/>
                <w:szCs w:val="24"/>
              </w:rPr>
            </w:pPr>
            <w:r>
              <w:rPr>
                <w:b/>
                <w:bCs/>
                <w:szCs w:val="24"/>
              </w:rPr>
              <w:t>9 de marzo</w:t>
            </w:r>
            <w:r w:rsidR="00093EEB">
              <w:rPr>
                <w:b/>
                <w:bCs/>
                <w:szCs w:val="24"/>
              </w:rPr>
              <w:t xml:space="preserve"> de 20</w:t>
            </w:r>
            <w:r w:rsidR="007955DA">
              <w:rPr>
                <w:b/>
                <w:bCs/>
                <w:szCs w:val="24"/>
              </w:rPr>
              <w:t>2</w:t>
            </w:r>
            <w:r w:rsidR="000007D1">
              <w:rPr>
                <w:b/>
                <w:bCs/>
                <w:szCs w:val="24"/>
              </w:rPr>
              <w:t>1</w:t>
            </w:r>
          </w:p>
        </w:tc>
      </w:tr>
      <w:tr w:rsidR="00093EEB" w:rsidRPr="000B0D00" w14:paraId="440A84E0" w14:textId="77777777">
        <w:trPr>
          <w:cantSplit/>
          <w:trHeight w:val="20"/>
        </w:trPr>
        <w:tc>
          <w:tcPr>
            <w:tcW w:w="6912" w:type="dxa"/>
            <w:shd w:val="clear" w:color="auto" w:fill="auto"/>
          </w:tcPr>
          <w:p w14:paraId="08CCA2CD" w14:textId="77777777" w:rsidR="00093EEB" w:rsidRPr="000B0D00" w:rsidRDefault="00093EEB">
            <w:pPr>
              <w:shd w:val="solid" w:color="FFFFFF" w:fill="FFFFFF"/>
              <w:spacing w:before="0"/>
              <w:rPr>
                <w:smallCaps/>
                <w:szCs w:val="24"/>
              </w:rPr>
            </w:pPr>
            <w:bookmarkStart w:id="7" w:name="dorlang" w:colFirst="1" w:colLast="1"/>
            <w:bookmarkEnd w:id="6"/>
          </w:p>
        </w:tc>
        <w:tc>
          <w:tcPr>
            <w:tcW w:w="3261" w:type="dxa"/>
          </w:tcPr>
          <w:p w14:paraId="2D8E3817" w14:textId="77777777" w:rsidR="00093EEB" w:rsidRPr="00093EEB" w:rsidRDefault="00093EEB" w:rsidP="00093EEB">
            <w:pPr>
              <w:spacing w:before="0"/>
              <w:rPr>
                <w:b/>
                <w:bCs/>
                <w:szCs w:val="24"/>
              </w:rPr>
            </w:pPr>
            <w:r>
              <w:rPr>
                <w:b/>
                <w:bCs/>
                <w:szCs w:val="24"/>
              </w:rPr>
              <w:t>Original: inglés</w:t>
            </w:r>
          </w:p>
        </w:tc>
      </w:tr>
      <w:tr w:rsidR="00093EEB" w:rsidRPr="000B0D00" w14:paraId="09BD7BD7" w14:textId="77777777">
        <w:trPr>
          <w:cantSplit/>
        </w:trPr>
        <w:tc>
          <w:tcPr>
            <w:tcW w:w="10173" w:type="dxa"/>
            <w:gridSpan w:val="2"/>
          </w:tcPr>
          <w:p w14:paraId="629859E4" w14:textId="39CDEB4D" w:rsidR="00093EEB" w:rsidRPr="000B0D00" w:rsidRDefault="00D54DAC">
            <w:pPr>
              <w:pStyle w:val="Source"/>
            </w:pPr>
            <w:bookmarkStart w:id="8" w:name="dsource" w:colFirst="0" w:colLast="0"/>
            <w:bookmarkEnd w:id="1"/>
            <w:bookmarkEnd w:id="7"/>
            <w:r w:rsidRPr="003F35CB">
              <w:rPr>
                <w:lang w:val="es-ES"/>
              </w:rPr>
              <w:t>Informe del Secretario General</w:t>
            </w:r>
          </w:p>
        </w:tc>
      </w:tr>
      <w:tr w:rsidR="00093EEB" w:rsidRPr="000B0D00" w14:paraId="71B4D146" w14:textId="77777777">
        <w:trPr>
          <w:cantSplit/>
        </w:trPr>
        <w:tc>
          <w:tcPr>
            <w:tcW w:w="10173" w:type="dxa"/>
            <w:gridSpan w:val="2"/>
          </w:tcPr>
          <w:p w14:paraId="45448BD2" w14:textId="5B284AEE" w:rsidR="00093EEB" w:rsidRPr="000B0D00" w:rsidRDefault="00D54DAC">
            <w:pPr>
              <w:pStyle w:val="Title1"/>
            </w:pPr>
            <w:bookmarkStart w:id="9" w:name="_Hlk66172242"/>
            <w:bookmarkStart w:id="10" w:name="dtitle1" w:colFirst="0" w:colLast="0"/>
            <w:bookmarkEnd w:id="8"/>
            <w:r w:rsidRPr="003F35CB">
              <w:rPr>
                <w:lang w:val="es-ES"/>
              </w:rPr>
              <w:t xml:space="preserve">FONDO PARA EL DESARROLLO DE LAS TECNOLOGÍAS DE LA INFORMACIÓN </w:t>
            </w:r>
            <w:r>
              <w:rPr>
                <w:lang w:val="es-ES"/>
              </w:rPr>
              <w:br/>
            </w:r>
            <w:r w:rsidRPr="003F35CB">
              <w:rPr>
                <w:lang w:val="es-ES"/>
              </w:rPr>
              <w:t>Y LA COMUNICACIÓN (FD-TIC)</w:t>
            </w:r>
            <w:bookmarkEnd w:id="9"/>
          </w:p>
        </w:tc>
      </w:tr>
      <w:bookmarkEnd w:id="10"/>
    </w:tbl>
    <w:p w14:paraId="40CD7067" w14:textId="77777777" w:rsidR="00093EEB" w:rsidRPr="000B0D00" w:rsidRDefault="00093EE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0B0D00" w14:paraId="52880489"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2AE7993A" w14:textId="77777777" w:rsidR="00D54DAC" w:rsidRPr="003F35CB" w:rsidRDefault="00D54DAC" w:rsidP="00D54DAC">
            <w:pPr>
              <w:pStyle w:val="Headingb"/>
              <w:keepNext w:val="0"/>
              <w:keepLines w:val="0"/>
              <w:spacing w:before="120" w:after="120"/>
              <w:rPr>
                <w:rFonts w:asciiTheme="minorHAnsi" w:hAnsiTheme="minorHAnsi" w:cstheme="minorHAnsi"/>
                <w:szCs w:val="24"/>
                <w:lang w:val="es-ES"/>
              </w:rPr>
            </w:pPr>
            <w:r w:rsidRPr="003F35CB">
              <w:rPr>
                <w:rFonts w:asciiTheme="minorHAnsi" w:hAnsiTheme="minorHAnsi" w:cstheme="minorHAnsi"/>
                <w:szCs w:val="24"/>
                <w:lang w:val="es-ES"/>
              </w:rPr>
              <w:t>Resumen</w:t>
            </w:r>
          </w:p>
          <w:p w14:paraId="11EE096F" w14:textId="77777777" w:rsidR="00D54DAC" w:rsidRPr="003F35CB" w:rsidRDefault="00D54DAC" w:rsidP="0011672A">
            <w:pPr>
              <w:rPr>
                <w:rFonts w:asciiTheme="minorHAnsi" w:hAnsiTheme="minorHAnsi" w:cstheme="minorHAnsi"/>
                <w:szCs w:val="24"/>
                <w:lang w:val="es-ES"/>
              </w:rPr>
            </w:pPr>
            <w:r w:rsidRPr="003F35CB">
              <w:rPr>
                <w:lang w:val="es-ES"/>
              </w:rPr>
              <w:t>El presente documento tiene por objeto informar sobre la situación del Fondo para el Desarrollo de las Tecnologías de la Información y la Comunicación (FD</w:t>
            </w:r>
            <w:r w:rsidRPr="003F35CB">
              <w:rPr>
                <w:lang w:val="es-ES"/>
              </w:rPr>
              <w:noBreakHyphen/>
              <w:t>TIC) en lo que atañe a su utilización para la ejecución de proyectos de desarrollo</w:t>
            </w:r>
            <w:r w:rsidRPr="003F35CB">
              <w:rPr>
                <w:rFonts w:asciiTheme="minorHAnsi" w:hAnsiTheme="minorHAnsi" w:cstheme="minorHAnsi"/>
                <w:szCs w:val="24"/>
                <w:lang w:val="es-ES"/>
              </w:rPr>
              <w:t>.</w:t>
            </w:r>
          </w:p>
          <w:p w14:paraId="73ECA61C" w14:textId="77777777" w:rsidR="00D54DAC" w:rsidRPr="003F35CB" w:rsidRDefault="00D54DAC" w:rsidP="0011672A">
            <w:pPr>
              <w:rPr>
                <w:rFonts w:asciiTheme="minorHAnsi" w:hAnsiTheme="minorHAnsi" w:cstheme="minorHAnsi"/>
                <w:szCs w:val="24"/>
                <w:lang w:val="es-ES"/>
              </w:rPr>
            </w:pPr>
            <w:r w:rsidRPr="003F35CB">
              <w:rPr>
                <w:lang w:val="es-ES"/>
              </w:rPr>
              <w:t>La versión de este informe correspondiente a 2020 (C20/34), que no se ha revisado, se ha preparado con miras a su presentación al Consejo durante su reunión de 2020.</w:t>
            </w:r>
          </w:p>
          <w:p w14:paraId="58AD889D" w14:textId="77777777" w:rsidR="00D54DAC" w:rsidRPr="003F35CB" w:rsidRDefault="00D54DAC" w:rsidP="00D54DAC">
            <w:pPr>
              <w:pStyle w:val="Headingb"/>
              <w:keepNext w:val="0"/>
              <w:keepLines w:val="0"/>
              <w:spacing w:before="120" w:after="120"/>
              <w:jc w:val="both"/>
              <w:rPr>
                <w:rFonts w:asciiTheme="minorHAnsi" w:hAnsiTheme="minorHAnsi" w:cstheme="minorHAnsi"/>
                <w:szCs w:val="24"/>
                <w:lang w:val="es-ES"/>
              </w:rPr>
            </w:pPr>
            <w:r w:rsidRPr="003F35CB">
              <w:rPr>
                <w:rFonts w:asciiTheme="minorHAnsi" w:hAnsiTheme="minorHAnsi" w:cstheme="minorHAnsi"/>
                <w:szCs w:val="24"/>
                <w:lang w:val="es-ES"/>
              </w:rPr>
              <w:t>Acción solicitada</w:t>
            </w:r>
          </w:p>
          <w:p w14:paraId="145EE666" w14:textId="156B77E1" w:rsidR="00D54DAC" w:rsidRPr="003F35CB" w:rsidRDefault="00D54DAC" w:rsidP="0011672A">
            <w:pPr>
              <w:rPr>
                <w:rFonts w:asciiTheme="minorHAnsi" w:hAnsiTheme="minorHAnsi" w:cstheme="minorHAnsi"/>
                <w:szCs w:val="24"/>
                <w:lang w:val="es-ES"/>
              </w:rPr>
            </w:pPr>
            <w:r w:rsidRPr="003F35CB">
              <w:rPr>
                <w:lang w:val="es-ES"/>
              </w:rPr>
              <w:t xml:space="preserve">Se invita al Consejo a </w:t>
            </w:r>
            <w:r w:rsidRPr="003F35CB">
              <w:rPr>
                <w:b/>
                <w:bCs/>
                <w:lang w:val="es-ES"/>
              </w:rPr>
              <w:t xml:space="preserve">tomar nota </w:t>
            </w:r>
            <w:r w:rsidRPr="003F35CB">
              <w:rPr>
                <w:lang w:val="es-ES"/>
              </w:rPr>
              <w:t>del Informe, y también del Documento</w:t>
            </w:r>
            <w:r w:rsidR="0011672A">
              <w:rPr>
                <w:lang w:val="es-ES"/>
              </w:rPr>
              <w:t> </w:t>
            </w:r>
            <w:r w:rsidRPr="003F35CB">
              <w:rPr>
                <w:lang w:val="es-ES"/>
              </w:rPr>
              <w:t xml:space="preserve">C20/34, y a </w:t>
            </w:r>
            <w:r w:rsidRPr="0011672A">
              <w:rPr>
                <w:lang w:val="es-ES"/>
              </w:rPr>
              <w:t>facilitar las orientaciones</w:t>
            </w:r>
            <w:r w:rsidRPr="003F35CB">
              <w:rPr>
                <w:lang w:val="es-ES"/>
              </w:rPr>
              <w:t xml:space="preserve"> que estime oportunas</w:t>
            </w:r>
            <w:r w:rsidRPr="003F35CB">
              <w:rPr>
                <w:rFonts w:asciiTheme="minorHAnsi" w:hAnsiTheme="minorHAnsi" w:cstheme="minorHAnsi"/>
                <w:szCs w:val="24"/>
                <w:lang w:val="es-ES"/>
              </w:rPr>
              <w:t>.</w:t>
            </w:r>
          </w:p>
          <w:p w14:paraId="17B99818" w14:textId="77777777" w:rsidR="00D54DAC" w:rsidRPr="003F35CB" w:rsidRDefault="00D54DAC" w:rsidP="00D54DAC">
            <w:pPr>
              <w:pStyle w:val="Table"/>
              <w:keepNext w:val="0"/>
              <w:spacing w:before="120"/>
              <w:rPr>
                <w:rFonts w:asciiTheme="minorHAnsi" w:hAnsiTheme="minorHAnsi" w:cstheme="minorHAnsi"/>
                <w:caps w:val="0"/>
                <w:szCs w:val="24"/>
                <w:lang w:val="es-ES"/>
              </w:rPr>
            </w:pPr>
            <w:r w:rsidRPr="003F35CB">
              <w:rPr>
                <w:rFonts w:asciiTheme="minorHAnsi" w:hAnsiTheme="minorHAnsi" w:cstheme="minorHAnsi"/>
                <w:caps w:val="0"/>
                <w:szCs w:val="24"/>
                <w:lang w:val="es-ES"/>
              </w:rPr>
              <w:t>____________</w:t>
            </w:r>
          </w:p>
          <w:p w14:paraId="460C9DAC" w14:textId="77777777" w:rsidR="00D54DAC" w:rsidRPr="003F35CB" w:rsidRDefault="00D54DAC" w:rsidP="00D54DAC">
            <w:pPr>
              <w:pStyle w:val="Headingb"/>
              <w:keepNext w:val="0"/>
              <w:keepLines w:val="0"/>
              <w:spacing w:before="120" w:after="120"/>
              <w:rPr>
                <w:rFonts w:asciiTheme="minorHAnsi" w:hAnsiTheme="minorHAnsi" w:cstheme="minorHAnsi"/>
                <w:szCs w:val="24"/>
                <w:lang w:val="es-ES"/>
              </w:rPr>
            </w:pPr>
            <w:r w:rsidRPr="003F35CB">
              <w:rPr>
                <w:rFonts w:asciiTheme="minorHAnsi" w:hAnsiTheme="minorHAnsi" w:cstheme="minorHAnsi"/>
                <w:szCs w:val="24"/>
                <w:lang w:val="es-ES"/>
              </w:rPr>
              <w:t>Referencias</w:t>
            </w:r>
          </w:p>
          <w:p w14:paraId="072FDEEE" w14:textId="1F7918AD" w:rsidR="00093EEB" w:rsidRPr="000B0D00" w:rsidRDefault="005D622F" w:rsidP="00D54DAC">
            <w:pPr>
              <w:spacing w:after="120"/>
              <w:rPr>
                <w:i/>
                <w:iCs/>
                <w:lang w:val="es-ES"/>
              </w:rPr>
            </w:pPr>
            <w:hyperlink r:id="rId8" w:history="1">
              <w:r w:rsidR="00D54DAC" w:rsidRPr="003F35CB">
                <w:rPr>
                  <w:rStyle w:val="Hyperlink"/>
                  <w:rFonts w:cstheme="minorHAnsi"/>
                  <w:i/>
                  <w:iCs/>
                  <w:szCs w:val="24"/>
                  <w:lang w:val="es-ES"/>
                </w:rPr>
                <w:t>Resolución 11 (Rev. Dubái, 2018)</w:t>
              </w:r>
            </w:hyperlink>
            <w:r w:rsidR="00D54DAC" w:rsidRPr="003F35CB">
              <w:rPr>
                <w:rFonts w:cstheme="minorHAnsi"/>
                <w:i/>
                <w:iCs/>
                <w:szCs w:val="24"/>
                <w:lang w:val="es-ES"/>
              </w:rPr>
              <w:t xml:space="preserve"> de la PP; Resoluciones </w:t>
            </w:r>
            <w:hyperlink r:id="rId9" w:history="1">
              <w:r w:rsidR="00D54DAC" w:rsidRPr="003F35CB">
                <w:rPr>
                  <w:rStyle w:val="Hyperlink"/>
                  <w:rFonts w:cstheme="minorHAnsi"/>
                  <w:i/>
                  <w:iCs/>
                  <w:szCs w:val="24"/>
                  <w:lang w:val="es-ES"/>
                </w:rPr>
                <w:t>1111</w:t>
              </w:r>
            </w:hyperlink>
            <w:r w:rsidR="00D54DAC" w:rsidRPr="003F35CB">
              <w:rPr>
                <w:rFonts w:cstheme="minorHAnsi"/>
                <w:i/>
                <w:iCs/>
                <w:szCs w:val="24"/>
                <w:lang w:val="es-ES"/>
              </w:rPr>
              <w:t xml:space="preserve"> y </w:t>
            </w:r>
            <w:hyperlink r:id="rId10" w:history="1">
              <w:r w:rsidR="00D54DAC" w:rsidRPr="003F35CB">
                <w:rPr>
                  <w:rStyle w:val="Hyperlink"/>
                  <w:rFonts w:cstheme="minorHAnsi"/>
                  <w:i/>
                  <w:iCs/>
                  <w:szCs w:val="24"/>
                  <w:lang w:val="es-ES"/>
                </w:rPr>
                <w:t>1338</w:t>
              </w:r>
            </w:hyperlink>
            <w:r w:rsidR="00D54DAC" w:rsidRPr="003F35CB">
              <w:rPr>
                <w:lang w:val="es-ES"/>
              </w:rPr>
              <w:t xml:space="preserve"> del Consejo; </w:t>
            </w:r>
            <w:hyperlink r:id="rId11" w:history="1">
              <w:r w:rsidR="00D54DAC" w:rsidRPr="003F35CB">
                <w:rPr>
                  <w:rStyle w:val="Hyperlink"/>
                  <w:lang w:val="es-ES"/>
                </w:rPr>
                <w:t>C20/34</w:t>
              </w:r>
            </w:hyperlink>
          </w:p>
        </w:tc>
      </w:tr>
    </w:tbl>
    <w:p w14:paraId="0A5EBB1F" w14:textId="11D10753" w:rsidR="00D54DAC" w:rsidRPr="003F35CB" w:rsidRDefault="00A2703B" w:rsidP="00A2703B">
      <w:pPr>
        <w:pStyle w:val="Heading1"/>
        <w:rPr>
          <w:b w:val="0"/>
          <w:lang w:val="es-ES"/>
        </w:rPr>
      </w:pPr>
      <w:r>
        <w:rPr>
          <w:lang w:val="es-ES"/>
        </w:rPr>
        <w:t>1</w:t>
      </w:r>
      <w:r>
        <w:rPr>
          <w:lang w:val="es-ES"/>
        </w:rPr>
        <w:tab/>
      </w:r>
      <w:proofErr w:type="gramStart"/>
      <w:r w:rsidR="00D54DAC" w:rsidRPr="003F35CB">
        <w:rPr>
          <w:lang w:val="es-ES"/>
        </w:rPr>
        <w:t>Introducción</w:t>
      </w:r>
      <w:proofErr w:type="gramEnd"/>
    </w:p>
    <w:p w14:paraId="6F3D4FC1" w14:textId="77777777" w:rsidR="00D54DAC" w:rsidRPr="003F35CB" w:rsidRDefault="00D54DAC" w:rsidP="00A2703B">
      <w:pPr>
        <w:rPr>
          <w:rFonts w:asciiTheme="minorHAnsi" w:hAnsiTheme="minorHAnsi" w:cstheme="minorHAnsi"/>
          <w:b/>
          <w:szCs w:val="24"/>
          <w:lang w:val="es-ES"/>
        </w:rPr>
      </w:pPr>
      <w:r w:rsidRPr="003F35CB">
        <w:rPr>
          <w:rFonts w:asciiTheme="minorHAnsi" w:hAnsiTheme="minorHAnsi" w:cstheme="minorHAnsi"/>
          <w:szCs w:val="24"/>
          <w:lang w:val="es-ES"/>
        </w:rPr>
        <w:t>1.1</w:t>
      </w:r>
      <w:r w:rsidRPr="003F35CB">
        <w:rPr>
          <w:rFonts w:asciiTheme="minorHAnsi" w:hAnsiTheme="minorHAnsi" w:cstheme="minorHAnsi"/>
          <w:szCs w:val="24"/>
          <w:lang w:val="es-ES"/>
        </w:rPr>
        <w:tab/>
      </w:r>
      <w:r w:rsidRPr="003F35CB">
        <w:rPr>
          <w:lang w:val="es-ES"/>
        </w:rPr>
        <w:t>Con arreglo a la Constitución de la UIT, la UIT cumple un doble cometido como organismo especializado de las Naciones Unidas y como organismo ejecutor de proyectos. A este respecto, el Sector de Desarrollo de las Telecomunicaciones (UIT-D) desempeña un papel clave para la implementación de proyectos en los países a fin de fomentar el desarrollo sostenible</w:t>
      </w:r>
      <w:r w:rsidRPr="003F35CB">
        <w:rPr>
          <w:rFonts w:asciiTheme="minorHAnsi" w:hAnsiTheme="minorHAnsi" w:cstheme="minorHAnsi"/>
          <w:szCs w:val="24"/>
          <w:lang w:val="es-ES"/>
        </w:rPr>
        <w:t>.</w:t>
      </w:r>
    </w:p>
    <w:p w14:paraId="1E29817F" w14:textId="77777777" w:rsidR="00D54DAC" w:rsidRPr="003F35CB" w:rsidRDefault="00D54DAC" w:rsidP="00A2703B">
      <w:pPr>
        <w:rPr>
          <w:rFonts w:asciiTheme="minorHAnsi" w:hAnsiTheme="minorHAnsi" w:cstheme="minorHAnsi"/>
          <w:szCs w:val="24"/>
          <w:lang w:val="es-ES"/>
        </w:rPr>
      </w:pPr>
      <w:r w:rsidRPr="003F35CB">
        <w:rPr>
          <w:rFonts w:asciiTheme="minorHAnsi" w:hAnsiTheme="minorHAnsi" w:cstheme="minorHAnsi"/>
          <w:szCs w:val="24"/>
          <w:lang w:val="es-ES"/>
        </w:rPr>
        <w:t>1.2</w:t>
      </w:r>
      <w:r w:rsidRPr="003F35CB">
        <w:rPr>
          <w:rFonts w:asciiTheme="minorHAnsi" w:hAnsiTheme="minorHAnsi" w:cstheme="minorHAnsi"/>
          <w:szCs w:val="24"/>
          <w:lang w:val="es-ES"/>
        </w:rPr>
        <w:tab/>
      </w:r>
      <w:r w:rsidRPr="003F35CB">
        <w:rPr>
          <w:lang w:val="es-ES"/>
        </w:rPr>
        <w:t>El Fondo para el Desarrollo de las Tecnologías de la Información y la Comunicación (</w:t>
      </w:r>
      <w:hyperlink r:id="rId12" w:history="1">
        <w:r w:rsidRPr="003F35CB">
          <w:rPr>
            <w:rStyle w:val="Hyperlink"/>
            <w:lang w:val="es-ES"/>
          </w:rPr>
          <w:t>FD-TIC</w:t>
        </w:r>
      </w:hyperlink>
      <w:r w:rsidRPr="003F35CB">
        <w:rPr>
          <w:lang w:val="es-ES"/>
        </w:rPr>
        <w:t xml:space="preserve">) es una iniciativa especial lanzada en 1997 con objeto de facilitar la ejecución de proyectos de desarrollo que generen un desarrollo sostenible a partir de asociaciones </w:t>
      </w:r>
      <w:proofErr w:type="spellStart"/>
      <w:r w:rsidRPr="003F35CB">
        <w:rPr>
          <w:lang w:val="es-ES"/>
        </w:rPr>
        <w:t>multipartitas</w:t>
      </w:r>
      <w:proofErr w:type="spellEnd"/>
      <w:r w:rsidRPr="003F35CB">
        <w:rPr>
          <w:lang w:val="es-ES"/>
        </w:rPr>
        <w:t xml:space="preserve"> forjadas por Estados Miembros de la UIT, Miembros de Sector, miembros de los sectores público y privado, organizaciones multilaterales, fundaciones, instituciones financieras y organismos de desarrollo</w:t>
      </w:r>
      <w:r w:rsidRPr="003F35CB">
        <w:rPr>
          <w:rFonts w:asciiTheme="minorHAnsi" w:hAnsiTheme="minorHAnsi" w:cstheme="minorHAnsi"/>
          <w:szCs w:val="24"/>
          <w:lang w:val="es-ES"/>
        </w:rPr>
        <w:t>.</w:t>
      </w:r>
    </w:p>
    <w:p w14:paraId="3959ABA5" w14:textId="64DA4563" w:rsidR="00D54DAC" w:rsidRPr="001C3266" w:rsidRDefault="001C3266" w:rsidP="001C3266">
      <w:pPr>
        <w:pStyle w:val="Heading1"/>
        <w:rPr>
          <w:lang w:val="es-ES"/>
        </w:rPr>
      </w:pPr>
      <w:r>
        <w:rPr>
          <w:lang w:val="es-ES"/>
        </w:rPr>
        <w:lastRenderedPageBreak/>
        <w:t>2</w:t>
      </w:r>
      <w:r>
        <w:rPr>
          <w:lang w:val="es-ES"/>
        </w:rPr>
        <w:tab/>
      </w:r>
      <w:proofErr w:type="gramStart"/>
      <w:r w:rsidR="00D54DAC" w:rsidRPr="001C3266">
        <w:rPr>
          <w:lang w:val="es-ES"/>
        </w:rPr>
        <w:t>Principales</w:t>
      </w:r>
      <w:proofErr w:type="gramEnd"/>
      <w:r w:rsidR="00D54DAC" w:rsidRPr="001C3266">
        <w:rPr>
          <w:lang w:val="es-ES"/>
        </w:rPr>
        <w:t xml:space="preserve"> reglas y procedimientos del FD-TIC</w:t>
      </w:r>
    </w:p>
    <w:p w14:paraId="401AAFDC" w14:textId="77777777" w:rsidR="00D54DAC" w:rsidRPr="003F35CB" w:rsidRDefault="00D54DAC" w:rsidP="001C3266">
      <w:pPr>
        <w:rPr>
          <w:rFonts w:asciiTheme="minorHAnsi" w:hAnsiTheme="minorHAnsi" w:cstheme="minorHAnsi"/>
          <w:b/>
          <w:szCs w:val="24"/>
          <w:lang w:val="es-ES"/>
        </w:rPr>
      </w:pPr>
      <w:r w:rsidRPr="003F35CB">
        <w:rPr>
          <w:rFonts w:asciiTheme="minorHAnsi" w:hAnsiTheme="minorHAnsi" w:cstheme="minorHAnsi"/>
          <w:szCs w:val="24"/>
          <w:lang w:val="es-ES"/>
        </w:rPr>
        <w:t>2.1</w:t>
      </w:r>
      <w:r w:rsidRPr="003F35CB">
        <w:rPr>
          <w:rFonts w:asciiTheme="minorHAnsi" w:hAnsiTheme="minorHAnsi" w:cstheme="minorHAnsi"/>
          <w:szCs w:val="24"/>
          <w:lang w:val="es-ES"/>
        </w:rPr>
        <w:tab/>
      </w:r>
      <w:r w:rsidRPr="003F35CB">
        <w:rPr>
          <w:lang w:val="es-ES"/>
        </w:rPr>
        <w:t>En principio, el FD-TIC financiará hasta el 25% de la contribución en metálico del proyecto. Con carácter excepcional, el FD-TIC podría financiar más del 25%. Esta financiación inicial proporcionada por el Fondo tiene por objeto captar fondos extrapresupuestarios recaudados mediante la movilización de recursos en metálico y, en algunos casos, contribuciones en especie para financiar proyectos en los planos nacional, regional e internacional</w:t>
      </w:r>
      <w:r w:rsidRPr="003F35CB">
        <w:rPr>
          <w:rFonts w:asciiTheme="minorHAnsi" w:hAnsiTheme="minorHAnsi" w:cstheme="minorHAnsi"/>
          <w:spacing w:val="-2"/>
          <w:szCs w:val="24"/>
          <w:lang w:val="es-ES"/>
        </w:rPr>
        <w:t>.</w:t>
      </w:r>
    </w:p>
    <w:p w14:paraId="5AD9595F" w14:textId="77777777" w:rsidR="00D54DAC" w:rsidRPr="003F35CB" w:rsidRDefault="00D54DAC" w:rsidP="001C3266">
      <w:pPr>
        <w:rPr>
          <w:rFonts w:asciiTheme="minorHAnsi" w:hAnsiTheme="minorHAnsi" w:cstheme="minorHAnsi"/>
          <w:szCs w:val="24"/>
          <w:lang w:val="es-ES"/>
        </w:rPr>
      </w:pPr>
      <w:r w:rsidRPr="003F35CB">
        <w:rPr>
          <w:rFonts w:asciiTheme="minorHAnsi" w:hAnsiTheme="minorHAnsi" w:cstheme="minorHAnsi"/>
          <w:szCs w:val="24"/>
          <w:lang w:val="es-ES"/>
        </w:rPr>
        <w:t>2.2</w:t>
      </w:r>
      <w:r w:rsidRPr="003F35CB">
        <w:rPr>
          <w:rFonts w:asciiTheme="minorHAnsi" w:hAnsiTheme="minorHAnsi" w:cstheme="minorHAnsi"/>
          <w:szCs w:val="24"/>
          <w:lang w:val="es-ES"/>
        </w:rPr>
        <w:tab/>
      </w:r>
      <w:r w:rsidRPr="003F35CB">
        <w:rPr>
          <w:lang w:val="es-ES"/>
        </w:rPr>
        <w:t>De acuerdo con este procedimiento, las propuestas de proyectos que incluyen contribuciones de asociados en metálico y en especie conexas pueden presentarse al Comité del FD-TIC (</w:t>
      </w:r>
      <w:r w:rsidRPr="003F35CB">
        <w:rPr>
          <w:color w:val="000000"/>
          <w:lang w:val="es-ES"/>
        </w:rPr>
        <w:t>CD FD-TIC</w:t>
      </w:r>
      <w:r w:rsidRPr="003F35CB">
        <w:rPr>
          <w:rFonts w:asciiTheme="minorHAnsi" w:hAnsiTheme="minorHAnsi" w:cstheme="minorHAnsi"/>
          <w:szCs w:val="24"/>
          <w:lang w:val="es-ES"/>
        </w:rPr>
        <w:t>)</w:t>
      </w:r>
      <w:r w:rsidRPr="003F35CB">
        <w:rPr>
          <w:rStyle w:val="FootnoteReference"/>
          <w:rFonts w:asciiTheme="minorHAnsi" w:hAnsiTheme="minorHAnsi" w:cstheme="minorHAnsi"/>
          <w:szCs w:val="24"/>
          <w:lang w:val="es-ES"/>
        </w:rPr>
        <w:footnoteReference w:id="1"/>
      </w:r>
      <w:r w:rsidRPr="003F35CB" w:rsidDel="00846C16">
        <w:rPr>
          <w:rFonts w:asciiTheme="minorHAnsi" w:hAnsiTheme="minorHAnsi" w:cstheme="minorHAnsi"/>
          <w:szCs w:val="24"/>
          <w:lang w:val="es-ES"/>
        </w:rPr>
        <w:t xml:space="preserve"> </w:t>
      </w:r>
      <w:r w:rsidRPr="003F35CB">
        <w:rPr>
          <w:lang w:val="es-ES"/>
        </w:rPr>
        <w:t>para su examen a efectos de la financiación en cualquier momento del próximo año</w:t>
      </w:r>
      <w:r w:rsidRPr="003F35CB">
        <w:rPr>
          <w:rFonts w:asciiTheme="minorHAnsi" w:hAnsiTheme="minorHAnsi" w:cstheme="minorHAnsi"/>
          <w:szCs w:val="24"/>
          <w:lang w:val="es-ES"/>
        </w:rPr>
        <w:t>.</w:t>
      </w:r>
    </w:p>
    <w:p w14:paraId="5F46722B" w14:textId="77777777" w:rsidR="00D54DAC" w:rsidRPr="003F35CB" w:rsidRDefault="00D54DAC" w:rsidP="001C3266">
      <w:pPr>
        <w:rPr>
          <w:rFonts w:asciiTheme="minorHAnsi" w:hAnsiTheme="minorHAnsi" w:cstheme="minorHAnsi"/>
          <w:szCs w:val="24"/>
          <w:lang w:val="es-ES"/>
        </w:rPr>
      </w:pPr>
      <w:r w:rsidRPr="003F35CB">
        <w:rPr>
          <w:rFonts w:asciiTheme="minorHAnsi" w:hAnsiTheme="minorHAnsi" w:cstheme="minorHAnsi"/>
          <w:szCs w:val="24"/>
          <w:lang w:val="es-ES"/>
        </w:rPr>
        <w:t>2.3</w:t>
      </w:r>
      <w:r w:rsidRPr="003F35CB">
        <w:rPr>
          <w:rFonts w:asciiTheme="minorHAnsi" w:hAnsiTheme="minorHAnsi" w:cstheme="minorHAnsi"/>
          <w:szCs w:val="24"/>
          <w:lang w:val="es-ES"/>
        </w:rPr>
        <w:tab/>
      </w:r>
      <w:r w:rsidRPr="003F35CB">
        <w:rPr>
          <w:lang w:val="es-ES"/>
        </w:rPr>
        <w:t>Las propuestas de proyecto presentadas al Fondo para su examen son evaluadas por el CD FD-TIC a fin de garantizar su conformidad con los siguientes criterios de selección y admisibilidad, entre otros</w:t>
      </w:r>
      <w:r w:rsidRPr="003F35CB">
        <w:rPr>
          <w:rFonts w:asciiTheme="minorHAnsi" w:hAnsiTheme="minorHAnsi" w:cstheme="minorHAnsi"/>
          <w:szCs w:val="24"/>
          <w:lang w:val="es-ES"/>
        </w:rPr>
        <w:t>:</w:t>
      </w:r>
    </w:p>
    <w:p w14:paraId="2C96C19A" w14:textId="4430A2C7" w:rsidR="00D54DAC" w:rsidRPr="003F35CB" w:rsidRDefault="001C3266" w:rsidP="001C3266">
      <w:pPr>
        <w:pStyle w:val="enumlev1"/>
        <w:rPr>
          <w:lang w:val="es-ES"/>
        </w:rPr>
      </w:pPr>
      <w:r w:rsidRPr="001C3266">
        <w:rPr>
          <w:lang w:val="es-ES"/>
        </w:rPr>
        <w:t>•</w:t>
      </w:r>
      <w:r>
        <w:rPr>
          <w:lang w:val="es-ES"/>
        </w:rPr>
        <w:tab/>
      </w:r>
      <w:r w:rsidR="00D54DAC" w:rsidRPr="003F35CB">
        <w:rPr>
          <w:lang w:val="es-ES"/>
        </w:rPr>
        <w:t>Entre los beneficiarios del proyecto deberá figurar al menos uno o más países menos adelantados (PMA), pequeños Estados insulares en desarrollo (PEID), países en desarrollo sin litoral (PDSL), países con economías en transición y países con necesidades especiales.</w:t>
      </w:r>
    </w:p>
    <w:p w14:paraId="2E8DEC97" w14:textId="1FE36C84" w:rsidR="00D54DAC" w:rsidRPr="003F35CB" w:rsidRDefault="001C3266" w:rsidP="001C3266">
      <w:pPr>
        <w:pStyle w:val="enumlev1"/>
        <w:rPr>
          <w:lang w:val="es-ES"/>
        </w:rPr>
      </w:pPr>
      <w:r w:rsidRPr="001C3266">
        <w:rPr>
          <w:lang w:val="es-ES"/>
        </w:rPr>
        <w:t>•</w:t>
      </w:r>
      <w:r>
        <w:rPr>
          <w:lang w:val="es-ES"/>
        </w:rPr>
        <w:tab/>
      </w:r>
      <w:r w:rsidR="00D54DAC" w:rsidRPr="003F35CB">
        <w:rPr>
          <w:lang w:val="es-ES"/>
        </w:rPr>
        <w:t>El proyecto deberá corresponder a una de las siguientes categorías/temas adoptados por la Conferencia Mundial de Desarrollo de las Telecomunicaciones (CMDT) o a cualquier otro tema que el CD FD-TIC considere importante.</w:t>
      </w:r>
    </w:p>
    <w:p w14:paraId="15BA26D0" w14:textId="77777777" w:rsidR="00D54DAC" w:rsidRPr="003F35CB" w:rsidRDefault="00D54DAC" w:rsidP="00957D51">
      <w:pPr>
        <w:rPr>
          <w:rFonts w:asciiTheme="minorHAnsi" w:hAnsiTheme="minorHAnsi" w:cstheme="minorHAnsi"/>
          <w:szCs w:val="24"/>
          <w:lang w:val="es-ES"/>
        </w:rPr>
      </w:pPr>
      <w:bookmarkStart w:id="11" w:name="dnote"/>
      <w:bookmarkEnd w:id="11"/>
      <w:r w:rsidRPr="003F35CB">
        <w:rPr>
          <w:rFonts w:asciiTheme="minorHAnsi" w:hAnsiTheme="minorHAnsi" w:cstheme="minorHAnsi"/>
          <w:szCs w:val="24"/>
          <w:lang w:val="es-ES"/>
        </w:rPr>
        <w:t>2.5</w:t>
      </w:r>
      <w:r w:rsidRPr="003F35CB">
        <w:rPr>
          <w:rFonts w:asciiTheme="minorHAnsi" w:hAnsiTheme="minorHAnsi" w:cstheme="minorHAnsi"/>
          <w:szCs w:val="24"/>
          <w:lang w:val="es-ES"/>
        </w:rPr>
        <w:tab/>
      </w:r>
      <w:r w:rsidRPr="003F35CB">
        <w:rPr>
          <w:lang w:val="es-ES"/>
        </w:rPr>
        <w:t>El CD FD-TIC: a) examina y aprueba los proyectos sometidos para su financiación; b) aprueba el importe de financiación que habrá de atribuir a los proyectos aprobados el propio Comité; y c) supervisa la implementación y los resultados presupuestarios de los proyectos que cuentan con el apoyo del FD-TIC</w:t>
      </w:r>
      <w:r w:rsidRPr="003F35CB">
        <w:rPr>
          <w:rFonts w:asciiTheme="minorHAnsi" w:hAnsiTheme="minorHAnsi" w:cstheme="minorHAnsi"/>
          <w:szCs w:val="24"/>
          <w:lang w:val="es-ES"/>
        </w:rPr>
        <w:t xml:space="preserve">. </w:t>
      </w:r>
    </w:p>
    <w:p w14:paraId="216FB7C1" w14:textId="77777777" w:rsidR="00D54DAC" w:rsidRPr="003F35CB" w:rsidRDefault="00D54DAC" w:rsidP="00957D51">
      <w:pPr>
        <w:rPr>
          <w:rFonts w:asciiTheme="minorHAnsi" w:hAnsiTheme="minorHAnsi" w:cstheme="minorHAnsi"/>
          <w:szCs w:val="24"/>
          <w:lang w:val="es-ES"/>
        </w:rPr>
      </w:pPr>
      <w:r w:rsidRPr="003F35CB">
        <w:rPr>
          <w:rFonts w:asciiTheme="minorHAnsi" w:hAnsiTheme="minorHAnsi" w:cstheme="minorHAnsi"/>
          <w:szCs w:val="24"/>
          <w:lang w:val="es-ES"/>
        </w:rPr>
        <w:t>2.6</w:t>
      </w:r>
      <w:r w:rsidRPr="003F35CB">
        <w:rPr>
          <w:rFonts w:asciiTheme="minorHAnsi" w:hAnsiTheme="minorHAnsi" w:cstheme="minorHAnsi"/>
          <w:szCs w:val="24"/>
          <w:lang w:val="es-ES"/>
        </w:rPr>
        <w:tab/>
      </w:r>
      <w:r w:rsidRPr="003F35CB">
        <w:rPr>
          <w:lang w:val="es-ES"/>
        </w:rPr>
        <w:t xml:space="preserve">Se presenta al Consejo de la UIT un informe anual acerca de la situación del FD-TIC y de los proyectos aprobados por el CD </w:t>
      </w:r>
      <w:bookmarkStart w:id="12" w:name="_Hlk34396927"/>
      <w:r w:rsidRPr="003F35CB">
        <w:rPr>
          <w:lang w:val="es-ES"/>
        </w:rPr>
        <w:t>FD-TIC</w:t>
      </w:r>
      <w:bookmarkEnd w:id="12"/>
      <w:r w:rsidRPr="003F35CB">
        <w:rPr>
          <w:lang w:val="es-ES"/>
        </w:rPr>
        <w:t>, para asesoramiento y/o aprobación, según proceda</w:t>
      </w:r>
      <w:r w:rsidRPr="003F35CB">
        <w:rPr>
          <w:rFonts w:asciiTheme="minorHAnsi" w:hAnsiTheme="minorHAnsi" w:cstheme="minorHAnsi"/>
          <w:szCs w:val="24"/>
          <w:lang w:val="es-ES"/>
        </w:rPr>
        <w:t>.</w:t>
      </w:r>
    </w:p>
    <w:p w14:paraId="55E937CF" w14:textId="1B94262C" w:rsidR="00D54DAC" w:rsidRPr="003F35CB" w:rsidRDefault="00957D51" w:rsidP="00957D51">
      <w:pPr>
        <w:pStyle w:val="Heading1"/>
        <w:rPr>
          <w:lang w:val="es-ES"/>
        </w:rPr>
      </w:pPr>
      <w:r>
        <w:t>3</w:t>
      </w:r>
      <w:r>
        <w:tab/>
      </w:r>
      <w:proofErr w:type="gramStart"/>
      <w:r w:rsidR="00D54DAC" w:rsidRPr="00957D51">
        <w:t>Principales</w:t>
      </w:r>
      <w:proofErr w:type="gramEnd"/>
      <w:r w:rsidR="00D54DAC" w:rsidRPr="003F35CB">
        <w:rPr>
          <w:lang w:val="es-ES"/>
        </w:rPr>
        <w:t xml:space="preserve"> actividades y evolución del FD-TIC</w:t>
      </w:r>
    </w:p>
    <w:p w14:paraId="6F0EF216" w14:textId="358F6EC1" w:rsidR="00D54DAC" w:rsidRDefault="00D54DAC" w:rsidP="00957D51">
      <w:pPr>
        <w:rPr>
          <w:spacing w:val="-2"/>
          <w:lang w:val="es-ES"/>
        </w:rPr>
      </w:pPr>
      <w:r w:rsidRPr="003F35CB">
        <w:rPr>
          <w:lang w:val="es-ES"/>
        </w:rPr>
        <w:t>En esta sección se presentan las actividades realizadas durante el per</w:t>
      </w:r>
      <w:r w:rsidR="000548EF">
        <w:rPr>
          <w:lang w:val="es-ES"/>
        </w:rPr>
        <w:t>i</w:t>
      </w:r>
      <w:r w:rsidRPr="003F35CB">
        <w:rPr>
          <w:lang w:val="es-ES"/>
        </w:rPr>
        <w:t>odo objeto de examen. Se puede acceder a una página web informativa sobre el FD-TIC y otros proyectos, en la que se puede buscar por país, región, ámbito de acción y estado del proyecto (en curso y ejecutado), desde el portal Proyectos de la UIT</w:t>
      </w:r>
      <w:r w:rsidRPr="003F35CB">
        <w:rPr>
          <w:spacing w:val="-2"/>
          <w:lang w:val="es-ES"/>
        </w:rPr>
        <w:t xml:space="preserve"> (</w:t>
      </w:r>
      <w:hyperlink r:id="rId13" w:history="1">
        <w:r w:rsidRPr="003F35CB">
          <w:rPr>
            <w:rStyle w:val="Hyperlink"/>
            <w:rFonts w:asciiTheme="minorHAnsi" w:hAnsiTheme="minorHAnsi" w:cstheme="minorHAnsi"/>
            <w:spacing w:val="-2"/>
            <w:lang w:val="es-ES"/>
          </w:rPr>
          <w:t>https://www.itu.int/es/ITU-D/Projects</w:t>
        </w:r>
      </w:hyperlink>
      <w:r w:rsidRPr="003F35CB">
        <w:rPr>
          <w:spacing w:val="-2"/>
          <w:lang w:val="es-ES"/>
        </w:rPr>
        <w:t>).</w:t>
      </w:r>
    </w:p>
    <w:p w14:paraId="6648E1EE" w14:textId="228961C9" w:rsidR="00C212C6" w:rsidRDefault="00C212C6">
      <w:pPr>
        <w:tabs>
          <w:tab w:val="clear" w:pos="567"/>
          <w:tab w:val="clear" w:pos="1134"/>
          <w:tab w:val="clear" w:pos="1701"/>
          <w:tab w:val="clear" w:pos="2268"/>
          <w:tab w:val="clear" w:pos="2835"/>
        </w:tabs>
        <w:overflowPunct/>
        <w:autoSpaceDE/>
        <w:autoSpaceDN/>
        <w:adjustRightInd/>
        <w:spacing w:before="0"/>
        <w:textAlignment w:val="auto"/>
        <w:rPr>
          <w:rStyle w:val="Hyperlink"/>
          <w:rFonts w:asciiTheme="minorHAnsi" w:hAnsiTheme="minorHAnsi" w:cstheme="minorHAnsi"/>
          <w:color w:val="auto"/>
          <w:spacing w:val="-2"/>
          <w:u w:val="none"/>
          <w:lang w:val="es-ES"/>
        </w:rPr>
      </w:pPr>
      <w:r>
        <w:rPr>
          <w:rStyle w:val="Hyperlink"/>
          <w:rFonts w:asciiTheme="minorHAnsi" w:hAnsiTheme="minorHAnsi" w:cstheme="minorHAnsi"/>
          <w:color w:val="auto"/>
          <w:spacing w:val="-2"/>
          <w:u w:val="none"/>
          <w:lang w:val="es-ES"/>
        </w:rPr>
        <w:br w:type="page"/>
      </w:r>
    </w:p>
    <w:p w14:paraId="2B6A39CB" w14:textId="77777777" w:rsidR="00D54DAC" w:rsidRPr="003F35CB" w:rsidRDefault="00D54DAC" w:rsidP="00D54DAC">
      <w:pPr>
        <w:tabs>
          <w:tab w:val="clear" w:pos="567"/>
          <w:tab w:val="clear" w:pos="1134"/>
          <w:tab w:val="clear" w:pos="1701"/>
          <w:tab w:val="clear" w:pos="2268"/>
          <w:tab w:val="clear" w:pos="2835"/>
        </w:tabs>
        <w:snapToGrid w:val="0"/>
        <w:spacing w:before="360" w:after="120"/>
        <w:jc w:val="both"/>
        <w:rPr>
          <w:rFonts w:asciiTheme="minorHAnsi" w:hAnsiTheme="minorHAnsi" w:cstheme="minorHAnsi"/>
          <w:szCs w:val="24"/>
          <w:u w:val="single"/>
          <w:lang w:val="es-ES"/>
        </w:rPr>
      </w:pPr>
      <w:r w:rsidRPr="00C212C6">
        <w:rPr>
          <w:rFonts w:asciiTheme="minorHAnsi" w:hAnsiTheme="minorHAnsi" w:cstheme="minorHAnsi"/>
          <w:szCs w:val="24"/>
          <w:lang w:val="es-ES"/>
        </w:rPr>
        <w:lastRenderedPageBreak/>
        <w:t>3.1</w:t>
      </w:r>
      <w:r w:rsidRPr="00C212C6">
        <w:rPr>
          <w:rFonts w:asciiTheme="minorHAnsi" w:hAnsiTheme="minorHAnsi" w:cstheme="minorHAnsi"/>
          <w:szCs w:val="24"/>
          <w:lang w:val="es-ES"/>
        </w:rPr>
        <w:tab/>
      </w:r>
      <w:r w:rsidRPr="003F35CB">
        <w:rPr>
          <w:rFonts w:asciiTheme="minorHAnsi" w:hAnsiTheme="minorHAnsi" w:cstheme="minorHAnsi"/>
          <w:szCs w:val="24"/>
          <w:u w:val="single"/>
          <w:lang w:val="es-ES"/>
        </w:rPr>
        <w:t>53ª reunión del Comité de Dirección del FD-TIC (celebrada en enero de 2020)</w:t>
      </w:r>
    </w:p>
    <w:tbl>
      <w:tblPr>
        <w:tblStyle w:val="TableGrid"/>
        <w:tblW w:w="0" w:type="auto"/>
        <w:tblLook w:val="04A0" w:firstRow="1" w:lastRow="0" w:firstColumn="1" w:lastColumn="0" w:noHBand="0" w:noVBand="1"/>
      </w:tblPr>
      <w:tblGrid>
        <w:gridCol w:w="3114"/>
        <w:gridCol w:w="1700"/>
        <w:gridCol w:w="1702"/>
        <w:gridCol w:w="3113"/>
      </w:tblGrid>
      <w:tr w:rsidR="00D54DAC" w:rsidRPr="003F35CB" w14:paraId="30491C0B" w14:textId="77777777" w:rsidTr="00726070">
        <w:tc>
          <w:tcPr>
            <w:tcW w:w="3114" w:type="dxa"/>
            <w:shd w:val="clear" w:color="auto" w:fill="D9D9D9" w:themeFill="background1" w:themeFillShade="D9"/>
            <w:vAlign w:val="center"/>
          </w:tcPr>
          <w:p w14:paraId="2537E7B5" w14:textId="77777777" w:rsidR="00D54DAC" w:rsidRPr="003F35CB" w:rsidRDefault="00D54DAC" w:rsidP="00C212C6">
            <w:pPr>
              <w:pStyle w:val="Tablehead"/>
              <w:rPr>
                <w:lang w:val="es-ES"/>
              </w:rPr>
            </w:pPr>
            <w:r w:rsidRPr="003F35CB">
              <w:rPr>
                <w:lang w:val="es-ES"/>
              </w:rPr>
              <w:t>Nuevo proyecto aprobado</w:t>
            </w:r>
          </w:p>
        </w:tc>
        <w:tc>
          <w:tcPr>
            <w:tcW w:w="1700" w:type="dxa"/>
            <w:shd w:val="clear" w:color="auto" w:fill="D9D9D9" w:themeFill="background1" w:themeFillShade="D9"/>
            <w:vAlign w:val="center"/>
          </w:tcPr>
          <w:p w14:paraId="6CC0BEC0" w14:textId="77777777" w:rsidR="00D54DAC" w:rsidRPr="003F35CB" w:rsidRDefault="00D54DAC" w:rsidP="00C212C6">
            <w:pPr>
              <w:pStyle w:val="Tablehead"/>
              <w:rPr>
                <w:lang w:val="es-ES"/>
              </w:rPr>
            </w:pPr>
            <w:r w:rsidRPr="003F35CB">
              <w:rPr>
                <w:lang w:val="es-ES"/>
              </w:rPr>
              <w:t>Contribución externa</w:t>
            </w:r>
          </w:p>
        </w:tc>
        <w:tc>
          <w:tcPr>
            <w:tcW w:w="1702" w:type="dxa"/>
            <w:shd w:val="clear" w:color="auto" w:fill="D9D9D9" w:themeFill="background1" w:themeFillShade="D9"/>
            <w:vAlign w:val="center"/>
          </w:tcPr>
          <w:p w14:paraId="3962CE33" w14:textId="77777777" w:rsidR="00D54DAC" w:rsidRPr="003F35CB" w:rsidRDefault="00D54DAC" w:rsidP="00C212C6">
            <w:pPr>
              <w:pStyle w:val="Tablehead"/>
              <w:rPr>
                <w:lang w:val="es-ES"/>
              </w:rPr>
            </w:pPr>
            <w:r w:rsidRPr="003F35CB">
              <w:rPr>
                <w:lang w:val="es-ES"/>
              </w:rPr>
              <w:t>Contribución de la UIT</w:t>
            </w:r>
          </w:p>
        </w:tc>
        <w:tc>
          <w:tcPr>
            <w:tcW w:w="3113" w:type="dxa"/>
            <w:shd w:val="clear" w:color="auto" w:fill="D9D9D9" w:themeFill="background1" w:themeFillShade="D9"/>
            <w:vAlign w:val="center"/>
          </w:tcPr>
          <w:p w14:paraId="1E8D5D83" w14:textId="77777777" w:rsidR="00D54DAC" w:rsidRPr="003F35CB" w:rsidRDefault="00D54DAC" w:rsidP="00C212C6">
            <w:pPr>
              <w:pStyle w:val="Tablehead"/>
              <w:rPr>
                <w:lang w:val="es-ES"/>
              </w:rPr>
            </w:pPr>
            <w:r w:rsidRPr="003F35CB">
              <w:rPr>
                <w:lang w:val="es-ES"/>
              </w:rPr>
              <w:t>Observaciones</w:t>
            </w:r>
          </w:p>
        </w:tc>
      </w:tr>
      <w:tr w:rsidR="00D54DAC" w:rsidRPr="00255158" w14:paraId="4451559D" w14:textId="77777777" w:rsidTr="00726070">
        <w:tc>
          <w:tcPr>
            <w:tcW w:w="3114" w:type="dxa"/>
          </w:tcPr>
          <w:p w14:paraId="7FC5A756" w14:textId="515AFF46" w:rsidR="00D54DAC" w:rsidRPr="003F35CB" w:rsidRDefault="00D54DAC" w:rsidP="00C212C6">
            <w:pPr>
              <w:pStyle w:val="Tabletext"/>
              <w:rPr>
                <w:rFonts w:asciiTheme="minorHAnsi" w:hAnsiTheme="minorHAnsi" w:cstheme="minorHAnsi"/>
                <w:szCs w:val="24"/>
                <w:lang w:val="es-ES"/>
              </w:rPr>
            </w:pPr>
            <w:r w:rsidRPr="003F35CB">
              <w:rPr>
                <w:lang w:val="es-ES"/>
              </w:rPr>
              <w:t>Mejora del ecosistema digital y de las capacidades digitales para el empoderamiento económico de las mujeres en los PMA</w:t>
            </w:r>
          </w:p>
        </w:tc>
        <w:tc>
          <w:tcPr>
            <w:tcW w:w="1700" w:type="dxa"/>
          </w:tcPr>
          <w:p w14:paraId="5CB18A2C" w14:textId="77777777" w:rsidR="00D54DAC" w:rsidRPr="003F35CB" w:rsidRDefault="00D54DAC" w:rsidP="00C212C6">
            <w:pPr>
              <w:pStyle w:val="Tabletext"/>
              <w:rPr>
                <w:rFonts w:asciiTheme="minorHAnsi" w:hAnsiTheme="minorHAnsi" w:cstheme="minorHAnsi"/>
                <w:szCs w:val="24"/>
                <w:lang w:val="es-ES"/>
              </w:rPr>
            </w:pPr>
            <w:r w:rsidRPr="003F35CB">
              <w:rPr>
                <w:rFonts w:asciiTheme="minorHAnsi" w:hAnsiTheme="minorHAnsi" w:cstheme="minorHAnsi"/>
                <w:szCs w:val="24"/>
                <w:lang w:val="es-ES"/>
              </w:rPr>
              <w:t>873 941 USD</w:t>
            </w:r>
          </w:p>
          <w:p w14:paraId="220EA49C" w14:textId="77777777" w:rsidR="00D54DAC" w:rsidRPr="003F35CB" w:rsidRDefault="00D54DAC" w:rsidP="00C212C6">
            <w:pPr>
              <w:pStyle w:val="Tabletext"/>
              <w:rPr>
                <w:rFonts w:asciiTheme="minorHAnsi" w:hAnsiTheme="minorHAnsi" w:cstheme="minorHAnsi"/>
                <w:szCs w:val="24"/>
                <w:lang w:val="es-ES"/>
              </w:rPr>
            </w:pPr>
            <w:r w:rsidRPr="003F35CB">
              <w:rPr>
                <w:rFonts w:asciiTheme="minorHAnsi" w:hAnsiTheme="minorHAnsi" w:cstheme="minorHAnsi"/>
                <w:szCs w:val="24"/>
                <w:lang w:val="es-ES"/>
              </w:rPr>
              <w:t xml:space="preserve">Asociado: </w:t>
            </w:r>
            <w:r w:rsidRPr="003F35CB">
              <w:rPr>
                <w:lang w:val="es-ES"/>
              </w:rPr>
              <w:t>Marco Integrado Mejorado (MIM</w:t>
            </w:r>
            <w:r w:rsidRPr="003F35CB">
              <w:rPr>
                <w:rFonts w:asciiTheme="minorHAnsi" w:hAnsiTheme="minorHAnsi" w:cstheme="minorHAnsi"/>
                <w:szCs w:val="24"/>
                <w:lang w:val="es-ES"/>
              </w:rPr>
              <w:t>)</w:t>
            </w:r>
          </w:p>
        </w:tc>
        <w:tc>
          <w:tcPr>
            <w:tcW w:w="1702" w:type="dxa"/>
          </w:tcPr>
          <w:p w14:paraId="5EDE0A85" w14:textId="77777777" w:rsidR="00726070" w:rsidRDefault="00D54DAC" w:rsidP="00C212C6">
            <w:pPr>
              <w:pStyle w:val="Tabletext"/>
              <w:rPr>
                <w:rFonts w:asciiTheme="minorHAnsi" w:hAnsiTheme="minorHAnsi" w:cstheme="minorHAnsi"/>
                <w:szCs w:val="24"/>
                <w:lang w:val="es-ES"/>
              </w:rPr>
            </w:pPr>
            <w:r w:rsidRPr="003F35CB">
              <w:rPr>
                <w:rFonts w:asciiTheme="minorHAnsi" w:hAnsiTheme="minorHAnsi" w:cstheme="minorHAnsi"/>
                <w:szCs w:val="24"/>
                <w:lang w:val="es-ES"/>
              </w:rPr>
              <w:t>480 697 USD</w:t>
            </w:r>
          </w:p>
          <w:p w14:paraId="3D730C0D" w14:textId="11A5AABB" w:rsidR="00D54DAC" w:rsidRPr="003F35CB" w:rsidRDefault="00D54DAC" w:rsidP="00C212C6">
            <w:pPr>
              <w:pStyle w:val="Tabletext"/>
              <w:rPr>
                <w:rFonts w:asciiTheme="minorHAnsi" w:hAnsiTheme="minorHAnsi" w:cstheme="minorHAnsi"/>
                <w:szCs w:val="24"/>
                <w:lang w:val="es-ES"/>
              </w:rPr>
            </w:pPr>
            <w:r w:rsidRPr="003F35CB">
              <w:rPr>
                <w:rFonts w:asciiTheme="minorHAnsi" w:hAnsiTheme="minorHAnsi" w:cstheme="minorHAnsi"/>
                <w:szCs w:val="24"/>
                <w:lang w:val="es-ES"/>
              </w:rPr>
              <w:t xml:space="preserve">(35% del presupuesto </w:t>
            </w:r>
            <w:r w:rsidR="00726070">
              <w:rPr>
                <w:rFonts w:asciiTheme="minorHAnsi" w:hAnsiTheme="minorHAnsi" w:cstheme="minorHAnsi"/>
                <w:szCs w:val="24"/>
                <w:lang w:val="es-ES"/>
              </w:rPr>
              <w:br/>
            </w:r>
            <w:r w:rsidRPr="003F35CB">
              <w:rPr>
                <w:rFonts w:asciiTheme="minorHAnsi" w:hAnsiTheme="minorHAnsi" w:cstheme="minorHAnsi"/>
                <w:szCs w:val="24"/>
                <w:lang w:val="es-ES"/>
              </w:rPr>
              <w:t>total de 1 324 632</w:t>
            </w:r>
            <w:r w:rsidR="00726070">
              <w:rPr>
                <w:rFonts w:asciiTheme="minorHAnsi" w:hAnsiTheme="minorHAnsi" w:cstheme="minorHAnsi"/>
                <w:szCs w:val="24"/>
                <w:lang w:val="es-ES"/>
              </w:rPr>
              <w:t> </w:t>
            </w:r>
            <w:r w:rsidRPr="003F35CB">
              <w:rPr>
                <w:rFonts w:asciiTheme="minorHAnsi" w:hAnsiTheme="minorHAnsi" w:cstheme="minorHAnsi"/>
                <w:szCs w:val="24"/>
                <w:lang w:val="es-ES"/>
              </w:rPr>
              <w:t>USD)</w:t>
            </w:r>
          </w:p>
        </w:tc>
        <w:tc>
          <w:tcPr>
            <w:tcW w:w="3113" w:type="dxa"/>
          </w:tcPr>
          <w:p w14:paraId="01A22425" w14:textId="2AFFF1BA" w:rsidR="00D54DAC" w:rsidRPr="003F35CB" w:rsidRDefault="00D54DAC" w:rsidP="00C212C6">
            <w:pPr>
              <w:pStyle w:val="Tabletext"/>
              <w:rPr>
                <w:rFonts w:asciiTheme="minorHAnsi" w:hAnsiTheme="minorHAnsi" w:cstheme="minorHAnsi"/>
                <w:szCs w:val="24"/>
                <w:lang w:val="es-ES"/>
              </w:rPr>
            </w:pPr>
            <w:r w:rsidRPr="003F35CB">
              <w:rPr>
                <w:rFonts w:asciiTheme="minorHAnsi" w:hAnsiTheme="minorHAnsi" w:cstheme="minorHAnsi"/>
                <w:szCs w:val="24"/>
                <w:lang w:val="es-ES"/>
              </w:rPr>
              <w:t>Se aprobó excepcionalmente el proyecto con un importe superior al 25% debido a que tiene un efecto sostenible a largo plazo y a que el asociado presenta un potencial elevado para cofinanciar otros proyectos con la UIT en el futuro.</w:t>
            </w:r>
          </w:p>
        </w:tc>
      </w:tr>
    </w:tbl>
    <w:p w14:paraId="7F4E4E63" w14:textId="4195E74E" w:rsidR="00D54DAC" w:rsidRPr="003F35CB" w:rsidRDefault="00D54DAC" w:rsidP="00D54DAC">
      <w:pPr>
        <w:keepNext/>
        <w:keepLines/>
        <w:tabs>
          <w:tab w:val="clear" w:pos="567"/>
          <w:tab w:val="clear" w:pos="1134"/>
          <w:tab w:val="clear" w:pos="1701"/>
          <w:tab w:val="clear" w:pos="2268"/>
          <w:tab w:val="clear" w:pos="2835"/>
        </w:tabs>
        <w:snapToGrid w:val="0"/>
        <w:spacing w:before="240" w:after="120"/>
        <w:jc w:val="both"/>
        <w:rPr>
          <w:rFonts w:asciiTheme="minorHAnsi" w:hAnsiTheme="minorHAnsi" w:cstheme="minorHAnsi"/>
          <w:szCs w:val="24"/>
          <w:u w:val="single"/>
          <w:lang w:val="es-ES"/>
        </w:rPr>
      </w:pPr>
      <w:r w:rsidRPr="00C212C6">
        <w:rPr>
          <w:rFonts w:asciiTheme="minorHAnsi" w:hAnsiTheme="minorHAnsi" w:cstheme="minorHAnsi"/>
          <w:szCs w:val="24"/>
          <w:lang w:val="es-ES"/>
        </w:rPr>
        <w:t>3.2</w:t>
      </w:r>
      <w:bookmarkStart w:id="13" w:name="_Hlk65833378"/>
      <w:r w:rsidRPr="00C212C6">
        <w:rPr>
          <w:rFonts w:asciiTheme="minorHAnsi" w:hAnsiTheme="minorHAnsi" w:cstheme="minorHAnsi"/>
          <w:szCs w:val="24"/>
          <w:lang w:val="es-ES"/>
        </w:rPr>
        <w:tab/>
      </w:r>
      <w:r w:rsidRPr="003F35CB">
        <w:rPr>
          <w:rFonts w:asciiTheme="minorHAnsi" w:hAnsiTheme="minorHAnsi" w:cstheme="minorHAnsi"/>
          <w:szCs w:val="24"/>
          <w:u w:val="single"/>
          <w:lang w:val="es-ES"/>
        </w:rPr>
        <w:t>54ª reunión del Comité de Dirección del FD-TIC (celebrada en septiembre de 2020)</w:t>
      </w:r>
      <w:bookmarkEnd w:id="13"/>
    </w:p>
    <w:tbl>
      <w:tblPr>
        <w:tblStyle w:val="TableGrid"/>
        <w:tblW w:w="0" w:type="auto"/>
        <w:tblLook w:val="04A0" w:firstRow="1" w:lastRow="0" w:firstColumn="1" w:lastColumn="0" w:noHBand="0" w:noVBand="1"/>
      </w:tblPr>
      <w:tblGrid>
        <w:gridCol w:w="3114"/>
        <w:gridCol w:w="1700"/>
        <w:gridCol w:w="1702"/>
        <w:gridCol w:w="3113"/>
      </w:tblGrid>
      <w:tr w:rsidR="00C212C6" w:rsidRPr="003F35CB" w14:paraId="7D24D881" w14:textId="77777777" w:rsidTr="00726070">
        <w:tc>
          <w:tcPr>
            <w:tcW w:w="3114" w:type="dxa"/>
            <w:shd w:val="clear" w:color="auto" w:fill="D9D9D9" w:themeFill="background1" w:themeFillShade="D9"/>
            <w:vAlign w:val="center"/>
          </w:tcPr>
          <w:p w14:paraId="7A2215E9" w14:textId="77777777" w:rsidR="00D54DAC" w:rsidRPr="00726070" w:rsidRDefault="00D54DAC" w:rsidP="00726070">
            <w:pPr>
              <w:pStyle w:val="Tablehead"/>
              <w:rPr>
                <w:lang w:val="es-ES"/>
              </w:rPr>
            </w:pPr>
            <w:r w:rsidRPr="00726070">
              <w:rPr>
                <w:lang w:val="es-ES"/>
              </w:rPr>
              <w:t>Nuevo proyecto aprobado</w:t>
            </w:r>
          </w:p>
        </w:tc>
        <w:tc>
          <w:tcPr>
            <w:tcW w:w="1700" w:type="dxa"/>
            <w:shd w:val="clear" w:color="auto" w:fill="D9D9D9" w:themeFill="background1" w:themeFillShade="D9"/>
            <w:vAlign w:val="center"/>
          </w:tcPr>
          <w:p w14:paraId="08AF85DB" w14:textId="77777777" w:rsidR="00D54DAC" w:rsidRPr="00726070" w:rsidRDefault="00D54DAC" w:rsidP="00726070">
            <w:pPr>
              <w:pStyle w:val="Tablehead"/>
              <w:rPr>
                <w:lang w:val="es-ES"/>
              </w:rPr>
            </w:pPr>
            <w:r w:rsidRPr="00726070">
              <w:rPr>
                <w:lang w:val="es-ES"/>
              </w:rPr>
              <w:t>Contribución externa</w:t>
            </w:r>
          </w:p>
        </w:tc>
        <w:tc>
          <w:tcPr>
            <w:tcW w:w="1702" w:type="dxa"/>
            <w:shd w:val="clear" w:color="auto" w:fill="D9D9D9" w:themeFill="background1" w:themeFillShade="D9"/>
            <w:vAlign w:val="center"/>
          </w:tcPr>
          <w:p w14:paraId="50AEDFED" w14:textId="77777777" w:rsidR="00D54DAC" w:rsidRPr="00726070" w:rsidRDefault="00D54DAC" w:rsidP="00726070">
            <w:pPr>
              <w:pStyle w:val="Tablehead"/>
              <w:rPr>
                <w:lang w:val="es-ES"/>
              </w:rPr>
            </w:pPr>
            <w:r w:rsidRPr="00726070">
              <w:rPr>
                <w:lang w:val="es-ES"/>
              </w:rPr>
              <w:t>Contribución de la UIT</w:t>
            </w:r>
          </w:p>
        </w:tc>
        <w:tc>
          <w:tcPr>
            <w:tcW w:w="3113" w:type="dxa"/>
            <w:shd w:val="clear" w:color="auto" w:fill="D9D9D9" w:themeFill="background1" w:themeFillShade="D9"/>
            <w:vAlign w:val="center"/>
          </w:tcPr>
          <w:p w14:paraId="5FD157DE" w14:textId="77777777" w:rsidR="00D54DAC" w:rsidRPr="00726070" w:rsidRDefault="00D54DAC" w:rsidP="00726070">
            <w:pPr>
              <w:pStyle w:val="Tablehead"/>
              <w:rPr>
                <w:lang w:val="es-ES"/>
              </w:rPr>
            </w:pPr>
            <w:r w:rsidRPr="00726070">
              <w:rPr>
                <w:lang w:val="es-ES"/>
              </w:rPr>
              <w:t>Observaciones</w:t>
            </w:r>
          </w:p>
        </w:tc>
      </w:tr>
      <w:tr w:rsidR="00726070" w:rsidRPr="00255158" w14:paraId="1A0A9DD4" w14:textId="77777777" w:rsidTr="00726070">
        <w:tc>
          <w:tcPr>
            <w:tcW w:w="3114" w:type="dxa"/>
          </w:tcPr>
          <w:p w14:paraId="0992CC8B" w14:textId="77777777" w:rsidR="00D54DAC" w:rsidRPr="00C212C6" w:rsidRDefault="00D54DAC" w:rsidP="00C212C6">
            <w:pPr>
              <w:pStyle w:val="Tabletext"/>
              <w:rPr>
                <w:lang w:val="es-ES"/>
              </w:rPr>
            </w:pPr>
            <w:r w:rsidRPr="00C212C6">
              <w:rPr>
                <w:lang w:val="es-ES"/>
              </w:rPr>
              <w:t xml:space="preserve">Fomento de las competencias digitales a través de los Centros de Transformación Digital (CTD) </w:t>
            </w:r>
          </w:p>
        </w:tc>
        <w:tc>
          <w:tcPr>
            <w:tcW w:w="1700" w:type="dxa"/>
          </w:tcPr>
          <w:p w14:paraId="5FBDB7C0" w14:textId="77777777" w:rsidR="00D54DAC" w:rsidRPr="00C212C6" w:rsidRDefault="00D54DAC" w:rsidP="00C212C6">
            <w:pPr>
              <w:pStyle w:val="Tabletext"/>
              <w:rPr>
                <w:lang w:val="es-ES"/>
              </w:rPr>
            </w:pPr>
            <w:r w:rsidRPr="00C212C6">
              <w:rPr>
                <w:lang w:val="es-ES"/>
              </w:rPr>
              <w:t>3 008 468 CHF</w:t>
            </w:r>
          </w:p>
          <w:p w14:paraId="0C3F36FE" w14:textId="0857538C" w:rsidR="00D54DAC" w:rsidRPr="00C212C6" w:rsidRDefault="00D54DAC" w:rsidP="00C212C6">
            <w:pPr>
              <w:pStyle w:val="Tabletext"/>
              <w:rPr>
                <w:lang w:val="es-ES"/>
              </w:rPr>
            </w:pPr>
            <w:r w:rsidRPr="00C212C6">
              <w:rPr>
                <w:lang w:val="es-ES"/>
              </w:rPr>
              <w:t xml:space="preserve">En asociación con </w:t>
            </w:r>
            <w:r w:rsidR="00C212C6">
              <w:rPr>
                <w:lang w:val="es-ES"/>
              </w:rPr>
              <w:t xml:space="preserve">la </w:t>
            </w:r>
            <w:r w:rsidR="00726070" w:rsidRPr="00726070">
              <w:rPr>
                <w:lang w:val="es-ES"/>
              </w:rPr>
              <w:t xml:space="preserve">Agencia Noruega para Cooperación al Desarrollo </w:t>
            </w:r>
            <w:r w:rsidRPr="00C212C6">
              <w:rPr>
                <w:lang w:val="es-ES"/>
              </w:rPr>
              <w:t>(NORAD)</w:t>
            </w:r>
          </w:p>
        </w:tc>
        <w:tc>
          <w:tcPr>
            <w:tcW w:w="1702" w:type="dxa"/>
          </w:tcPr>
          <w:p w14:paraId="702D5383" w14:textId="77777777" w:rsidR="00D54DAC" w:rsidRPr="00C212C6" w:rsidRDefault="00D54DAC" w:rsidP="00C212C6">
            <w:pPr>
              <w:pStyle w:val="Tabletext"/>
              <w:rPr>
                <w:lang w:val="es-ES"/>
              </w:rPr>
            </w:pPr>
            <w:r w:rsidRPr="00C212C6">
              <w:rPr>
                <w:lang w:val="es-ES"/>
              </w:rPr>
              <w:t>759 024 CHF</w:t>
            </w:r>
          </w:p>
          <w:p w14:paraId="15E9ACFF" w14:textId="635B7875" w:rsidR="00D54DAC" w:rsidRPr="00C212C6" w:rsidRDefault="00D54DAC" w:rsidP="00C212C6">
            <w:pPr>
              <w:pStyle w:val="Tabletext"/>
              <w:rPr>
                <w:lang w:val="es-ES"/>
              </w:rPr>
            </w:pPr>
            <w:r w:rsidRPr="00C212C6">
              <w:rPr>
                <w:lang w:val="es-ES"/>
              </w:rPr>
              <w:t xml:space="preserve">(20,1% del presupuesto </w:t>
            </w:r>
            <w:r w:rsidR="00726070">
              <w:rPr>
                <w:lang w:val="es-ES"/>
              </w:rPr>
              <w:br/>
            </w:r>
            <w:r w:rsidRPr="00C212C6">
              <w:rPr>
                <w:lang w:val="es-ES"/>
              </w:rPr>
              <w:t>total de 3 767 492</w:t>
            </w:r>
            <w:r w:rsidR="00726070">
              <w:rPr>
                <w:lang w:val="es-ES"/>
              </w:rPr>
              <w:t> </w:t>
            </w:r>
            <w:r w:rsidRPr="00C212C6">
              <w:rPr>
                <w:lang w:val="es-ES"/>
              </w:rPr>
              <w:t>CHF)</w:t>
            </w:r>
          </w:p>
        </w:tc>
        <w:tc>
          <w:tcPr>
            <w:tcW w:w="3113" w:type="dxa"/>
          </w:tcPr>
          <w:p w14:paraId="409E7566" w14:textId="77777777" w:rsidR="00D54DAC" w:rsidRPr="00C212C6" w:rsidRDefault="00D54DAC" w:rsidP="00C212C6">
            <w:pPr>
              <w:pStyle w:val="Tabletext"/>
              <w:rPr>
                <w:lang w:val="es-ES"/>
              </w:rPr>
            </w:pPr>
            <w:r w:rsidRPr="00C212C6">
              <w:rPr>
                <w:lang w:val="es-ES"/>
              </w:rPr>
              <w:t>La iniciativa de los Centros de Transformación Digital (CDT) lanzada por la UIT tenía el objetivo de desarrollar las competencias digitales, principalmente en el nivel básico e intermedio y de manera particular en las comunidades mal abastecidas.</w:t>
            </w:r>
          </w:p>
        </w:tc>
      </w:tr>
    </w:tbl>
    <w:p w14:paraId="24558457" w14:textId="77777777" w:rsidR="00D54DAC" w:rsidRPr="003F35CB" w:rsidRDefault="00D54DAC" w:rsidP="00D54DAC">
      <w:pPr>
        <w:tabs>
          <w:tab w:val="clear" w:pos="567"/>
          <w:tab w:val="clear" w:pos="1134"/>
          <w:tab w:val="clear" w:pos="1701"/>
          <w:tab w:val="clear" w:pos="2268"/>
          <w:tab w:val="clear" w:pos="2835"/>
        </w:tabs>
        <w:snapToGrid w:val="0"/>
        <w:spacing w:before="360" w:after="120"/>
        <w:jc w:val="both"/>
        <w:rPr>
          <w:rFonts w:asciiTheme="minorHAnsi" w:hAnsiTheme="minorHAnsi" w:cstheme="minorHAnsi"/>
          <w:szCs w:val="24"/>
          <w:u w:val="single"/>
          <w:lang w:val="es-ES"/>
        </w:rPr>
      </w:pPr>
      <w:r w:rsidRPr="00726070">
        <w:rPr>
          <w:rFonts w:asciiTheme="minorHAnsi" w:hAnsiTheme="minorHAnsi" w:cstheme="minorHAnsi"/>
          <w:szCs w:val="24"/>
          <w:lang w:val="es-ES"/>
        </w:rPr>
        <w:t xml:space="preserve">3.3 </w:t>
      </w:r>
      <w:r w:rsidRPr="00726070">
        <w:rPr>
          <w:rFonts w:asciiTheme="minorHAnsi" w:hAnsiTheme="minorHAnsi" w:cstheme="minorHAnsi"/>
          <w:szCs w:val="24"/>
          <w:lang w:val="es-ES"/>
        </w:rPr>
        <w:tab/>
      </w:r>
      <w:r w:rsidRPr="003F35CB">
        <w:rPr>
          <w:rFonts w:asciiTheme="minorHAnsi" w:hAnsiTheme="minorHAnsi" w:cstheme="minorHAnsi"/>
          <w:szCs w:val="24"/>
          <w:u w:val="single"/>
          <w:lang w:val="es-ES"/>
        </w:rPr>
        <w:t>55ª reunión del Comité de Dirección del FD-TIC (celebrada en septiembre de 2020)</w:t>
      </w:r>
    </w:p>
    <w:tbl>
      <w:tblPr>
        <w:tblStyle w:val="TableGrid"/>
        <w:tblW w:w="0" w:type="auto"/>
        <w:tblLook w:val="04A0" w:firstRow="1" w:lastRow="0" w:firstColumn="1" w:lastColumn="0" w:noHBand="0" w:noVBand="1"/>
      </w:tblPr>
      <w:tblGrid>
        <w:gridCol w:w="3114"/>
        <w:gridCol w:w="1700"/>
        <w:gridCol w:w="1702"/>
        <w:gridCol w:w="3113"/>
      </w:tblGrid>
      <w:tr w:rsidR="00D54DAC" w:rsidRPr="003F35CB" w14:paraId="7AB896EE" w14:textId="77777777" w:rsidTr="00726070">
        <w:tc>
          <w:tcPr>
            <w:tcW w:w="3114" w:type="dxa"/>
            <w:shd w:val="clear" w:color="auto" w:fill="D9D9D9" w:themeFill="background1" w:themeFillShade="D9"/>
            <w:vAlign w:val="center"/>
          </w:tcPr>
          <w:p w14:paraId="7FC2CB87" w14:textId="77777777" w:rsidR="00D54DAC" w:rsidRPr="00726070" w:rsidRDefault="00D54DAC" w:rsidP="00726070">
            <w:pPr>
              <w:pStyle w:val="Tablehead"/>
              <w:rPr>
                <w:lang w:val="es-ES"/>
              </w:rPr>
            </w:pPr>
            <w:r w:rsidRPr="00726070">
              <w:rPr>
                <w:lang w:val="es-ES"/>
              </w:rPr>
              <w:t>Nuevo proyecto aprobado</w:t>
            </w:r>
          </w:p>
        </w:tc>
        <w:tc>
          <w:tcPr>
            <w:tcW w:w="1700" w:type="dxa"/>
            <w:shd w:val="clear" w:color="auto" w:fill="D9D9D9" w:themeFill="background1" w:themeFillShade="D9"/>
            <w:vAlign w:val="center"/>
          </w:tcPr>
          <w:p w14:paraId="6F06F6A5" w14:textId="77777777" w:rsidR="00D54DAC" w:rsidRPr="00726070" w:rsidRDefault="00D54DAC" w:rsidP="00726070">
            <w:pPr>
              <w:pStyle w:val="Tablehead"/>
              <w:rPr>
                <w:lang w:val="es-ES"/>
              </w:rPr>
            </w:pPr>
            <w:r w:rsidRPr="00726070">
              <w:rPr>
                <w:lang w:val="es-ES"/>
              </w:rPr>
              <w:t>Contribución externa</w:t>
            </w:r>
          </w:p>
        </w:tc>
        <w:tc>
          <w:tcPr>
            <w:tcW w:w="1702" w:type="dxa"/>
            <w:shd w:val="clear" w:color="auto" w:fill="D9D9D9" w:themeFill="background1" w:themeFillShade="D9"/>
            <w:vAlign w:val="center"/>
          </w:tcPr>
          <w:p w14:paraId="79311AD7" w14:textId="77777777" w:rsidR="00D54DAC" w:rsidRPr="00726070" w:rsidRDefault="00D54DAC" w:rsidP="00726070">
            <w:pPr>
              <w:pStyle w:val="Tablehead"/>
              <w:rPr>
                <w:lang w:val="es-ES"/>
              </w:rPr>
            </w:pPr>
            <w:r w:rsidRPr="00726070">
              <w:rPr>
                <w:lang w:val="es-ES"/>
              </w:rPr>
              <w:t>Contribución de la UIT</w:t>
            </w:r>
          </w:p>
        </w:tc>
        <w:tc>
          <w:tcPr>
            <w:tcW w:w="3113" w:type="dxa"/>
            <w:shd w:val="clear" w:color="auto" w:fill="D9D9D9" w:themeFill="background1" w:themeFillShade="D9"/>
            <w:vAlign w:val="center"/>
          </w:tcPr>
          <w:p w14:paraId="6BDF9088" w14:textId="77777777" w:rsidR="00D54DAC" w:rsidRPr="00726070" w:rsidRDefault="00D54DAC" w:rsidP="00726070">
            <w:pPr>
              <w:pStyle w:val="Tablehead"/>
              <w:rPr>
                <w:lang w:val="es-ES"/>
              </w:rPr>
            </w:pPr>
            <w:r w:rsidRPr="00726070">
              <w:rPr>
                <w:lang w:val="es-ES"/>
              </w:rPr>
              <w:t>Observaciones</w:t>
            </w:r>
          </w:p>
        </w:tc>
      </w:tr>
      <w:tr w:rsidR="00D54DAC" w:rsidRPr="00255158" w14:paraId="15946DA4" w14:textId="77777777" w:rsidTr="00726070">
        <w:tc>
          <w:tcPr>
            <w:tcW w:w="3114" w:type="dxa"/>
          </w:tcPr>
          <w:p w14:paraId="16832D76" w14:textId="77777777" w:rsidR="00D54DAC" w:rsidRPr="00726070" w:rsidRDefault="00D54DAC" w:rsidP="00726070">
            <w:pPr>
              <w:pStyle w:val="Tabletext"/>
              <w:rPr>
                <w:lang w:val="es-ES"/>
              </w:rPr>
            </w:pPr>
            <w:r w:rsidRPr="00726070">
              <w:rPr>
                <w:lang w:val="es-ES"/>
              </w:rPr>
              <w:t>Comparación de las TIC en África central.</w:t>
            </w:r>
          </w:p>
          <w:p w14:paraId="4173CB3A" w14:textId="77777777" w:rsidR="00D54DAC" w:rsidRPr="00726070" w:rsidRDefault="00D54DAC" w:rsidP="00726070">
            <w:pPr>
              <w:pStyle w:val="Tabletext"/>
              <w:rPr>
                <w:lang w:val="es-ES"/>
              </w:rPr>
            </w:pPr>
            <w:r w:rsidRPr="00726070">
              <w:rPr>
                <w:lang w:val="es-ES"/>
              </w:rPr>
              <w:t xml:space="preserve">Este proyecto se enmarca en el Programa de apoyo a la gobernanza de las infraestructuras nacionales y regionales de África central (PAGIRN) de conformidad con el acuerdo de financiación firmado entre la Comisión Europea (CE) y la República Democrática del Congo, que está financiado por la CE con cargo al 11º Fondo Europeo de Desarrollo (FED) del </w:t>
            </w:r>
            <w:r w:rsidRPr="003F35CB">
              <w:rPr>
                <w:lang w:val="es-ES"/>
              </w:rPr>
              <w:t>Acuerdo de Asociación entre la UE y los países de África, el Caribe y el Pacífico (ACP)</w:t>
            </w:r>
            <w:r w:rsidRPr="00726070">
              <w:rPr>
                <w:lang w:val="es-ES"/>
              </w:rPr>
              <w:t>.</w:t>
            </w:r>
          </w:p>
        </w:tc>
        <w:tc>
          <w:tcPr>
            <w:tcW w:w="1700" w:type="dxa"/>
          </w:tcPr>
          <w:p w14:paraId="1248553A" w14:textId="77777777" w:rsidR="00D54DAC" w:rsidRPr="00726070" w:rsidRDefault="00D54DAC" w:rsidP="00726070">
            <w:pPr>
              <w:pStyle w:val="Tabletext"/>
              <w:rPr>
                <w:lang w:val="es-ES"/>
              </w:rPr>
            </w:pPr>
            <w:r w:rsidRPr="00726070">
              <w:rPr>
                <w:lang w:val="es-ES"/>
              </w:rPr>
              <w:t>1 000 000 EUR</w:t>
            </w:r>
          </w:p>
        </w:tc>
        <w:tc>
          <w:tcPr>
            <w:tcW w:w="1702" w:type="dxa"/>
          </w:tcPr>
          <w:p w14:paraId="7BFA4DC9" w14:textId="77777777" w:rsidR="00D54DAC" w:rsidRPr="00726070" w:rsidRDefault="00D54DAC" w:rsidP="00726070">
            <w:pPr>
              <w:pStyle w:val="Tabletext"/>
              <w:rPr>
                <w:lang w:val="es-ES"/>
              </w:rPr>
            </w:pPr>
            <w:r w:rsidRPr="00726070">
              <w:rPr>
                <w:lang w:val="es-ES"/>
              </w:rPr>
              <w:t>300 000 EUR</w:t>
            </w:r>
          </w:p>
          <w:p w14:paraId="4C870F4E" w14:textId="77777777" w:rsidR="00D54DAC" w:rsidRPr="00726070" w:rsidRDefault="00D54DAC" w:rsidP="00726070">
            <w:pPr>
              <w:pStyle w:val="Tabletext"/>
              <w:rPr>
                <w:lang w:val="es-ES"/>
              </w:rPr>
            </w:pPr>
            <w:r w:rsidRPr="00726070">
              <w:rPr>
                <w:lang w:val="es-ES"/>
              </w:rPr>
              <w:t>(23% del presupuesto total del proyecto de 1 300 000 EUR)</w:t>
            </w:r>
          </w:p>
        </w:tc>
        <w:tc>
          <w:tcPr>
            <w:tcW w:w="3113" w:type="dxa"/>
          </w:tcPr>
          <w:p w14:paraId="746303C4" w14:textId="7DA8503F" w:rsidR="00D54DAC" w:rsidRPr="00726070" w:rsidRDefault="00D54DAC" w:rsidP="00726070">
            <w:pPr>
              <w:pStyle w:val="Tabletext"/>
              <w:rPr>
                <w:lang w:val="es-ES"/>
              </w:rPr>
            </w:pPr>
            <w:r w:rsidRPr="00726070">
              <w:rPr>
                <w:lang w:val="es-ES"/>
              </w:rPr>
              <w:t xml:space="preserve">En concreto, el proyecto </w:t>
            </w:r>
            <w:r w:rsidR="00E25256">
              <w:rPr>
                <w:lang w:val="es-ES"/>
              </w:rPr>
              <w:t>"</w:t>
            </w:r>
            <w:r w:rsidRPr="00726070">
              <w:rPr>
                <w:lang w:val="es-ES"/>
              </w:rPr>
              <w:t>Comparación de las TIC en África central</w:t>
            </w:r>
            <w:r w:rsidR="00E25256">
              <w:rPr>
                <w:lang w:val="es-ES"/>
              </w:rPr>
              <w:t>"</w:t>
            </w:r>
            <w:r w:rsidRPr="00726070">
              <w:rPr>
                <w:lang w:val="es-ES"/>
              </w:rPr>
              <w:t xml:space="preserve"> tiene el objetivo de recopilar y analizar datos sobre la existencia de reglamentación eficaz en materia de TIC a fin de ayudar en la actualización del marco administrativo y reglamentario e impulsar la competencia. Esto facilitará el intercambio de buenas prácticas y contribuirá a la implantación de factores que fomentan medidas de buena gobernanza. </w:t>
            </w:r>
          </w:p>
        </w:tc>
      </w:tr>
    </w:tbl>
    <w:p w14:paraId="7A3EF4BB" w14:textId="77777777" w:rsidR="00D54DAC" w:rsidRPr="003F35CB" w:rsidRDefault="00D54DAC" w:rsidP="006E44FF">
      <w:pPr>
        <w:rPr>
          <w:rFonts w:asciiTheme="minorHAnsi" w:hAnsiTheme="minorHAnsi" w:cstheme="minorHAnsi"/>
          <w:szCs w:val="24"/>
          <w:lang w:val="es-ES"/>
        </w:rPr>
      </w:pPr>
      <w:r w:rsidRPr="003F35CB">
        <w:rPr>
          <w:rFonts w:asciiTheme="minorHAnsi" w:hAnsiTheme="minorHAnsi" w:cstheme="minorHAnsi"/>
          <w:szCs w:val="24"/>
          <w:lang w:val="es-ES"/>
        </w:rPr>
        <w:lastRenderedPageBreak/>
        <w:t>3.4</w:t>
      </w:r>
      <w:r w:rsidRPr="003F35CB">
        <w:rPr>
          <w:rFonts w:asciiTheme="minorHAnsi" w:hAnsiTheme="minorHAnsi" w:cstheme="minorHAnsi"/>
          <w:szCs w:val="24"/>
          <w:lang w:val="es-ES"/>
        </w:rPr>
        <w:tab/>
      </w:r>
      <w:r w:rsidRPr="003F35CB">
        <w:rPr>
          <w:lang w:val="es-ES"/>
        </w:rPr>
        <w:t>El CD FD-TIC también examinó los avances en la implementación de los proyectos del FD-TIC y aprobó el reintegro de algunos fondos al FD-TIC atribuidos inicialmente a la implementación de algunos proyectos de desarrollo que posteriormente no lograron atraer financiación de socios externos</w:t>
      </w:r>
      <w:r w:rsidRPr="003F35CB">
        <w:rPr>
          <w:rFonts w:asciiTheme="minorHAnsi" w:hAnsiTheme="minorHAnsi" w:cstheme="minorHAnsi"/>
          <w:szCs w:val="24"/>
          <w:lang w:val="es-ES"/>
        </w:rPr>
        <w:t xml:space="preserve">. </w:t>
      </w:r>
    </w:p>
    <w:p w14:paraId="5C3FA710" w14:textId="65254203" w:rsidR="00D54DAC" w:rsidRPr="003F35CB" w:rsidRDefault="00D54DAC" w:rsidP="006E44FF">
      <w:pPr>
        <w:rPr>
          <w:lang w:val="es-ES"/>
        </w:rPr>
      </w:pPr>
      <w:r w:rsidRPr="003F35CB">
        <w:rPr>
          <w:lang w:val="es-ES"/>
        </w:rPr>
        <w:t>3.5</w:t>
      </w:r>
      <w:r w:rsidRPr="003F35CB">
        <w:rPr>
          <w:lang w:val="es-ES"/>
        </w:rPr>
        <w:tab/>
        <w:t xml:space="preserve">Al mes de diciembre de 2020, los proyectos del FD-TIC eran siete proyectos en curso (véase el Anexo 1). En la </w:t>
      </w:r>
      <w:r w:rsidR="00716558">
        <w:rPr>
          <w:lang w:val="es-ES"/>
        </w:rPr>
        <w:t>F</w:t>
      </w:r>
      <w:r w:rsidRPr="003F35CB">
        <w:rPr>
          <w:lang w:val="es-ES"/>
        </w:rPr>
        <w:t xml:space="preserve">igura 1 se presentan estos proyectos desglosados por regiones. </w:t>
      </w:r>
    </w:p>
    <w:p w14:paraId="10F8F7D8" w14:textId="1FFC149F" w:rsidR="00D54DAC" w:rsidRPr="003F35CB" w:rsidRDefault="006E44FF" w:rsidP="00D54DAC">
      <w:pPr>
        <w:keepNext/>
        <w:keepLines/>
        <w:tabs>
          <w:tab w:val="clear" w:pos="567"/>
          <w:tab w:val="clear" w:pos="1134"/>
          <w:tab w:val="clear" w:pos="1701"/>
          <w:tab w:val="clear" w:pos="2268"/>
          <w:tab w:val="clear" w:pos="2835"/>
        </w:tabs>
        <w:snapToGrid w:val="0"/>
        <w:spacing w:before="240" w:after="120"/>
        <w:jc w:val="both"/>
        <w:rPr>
          <w:rFonts w:asciiTheme="minorHAnsi" w:hAnsiTheme="minorHAnsi" w:cstheme="minorHAnsi"/>
          <w:szCs w:val="24"/>
          <w:lang w:val="es-ES"/>
        </w:rPr>
      </w:pPr>
      <w:r w:rsidRPr="006E44FF">
        <w:rPr>
          <w:rFonts w:asciiTheme="minorHAnsi" w:hAnsiTheme="minorHAnsi" w:cstheme="minorHAnsi"/>
          <w:noProof/>
          <w:szCs w:val="24"/>
          <w:lang w:val="es-ES"/>
        </w:rPr>
        <mc:AlternateContent>
          <mc:Choice Requires="wps">
            <w:drawing>
              <wp:anchor distT="45720" distB="45720" distL="114300" distR="114300" simplePos="0" relativeHeight="251659264" behindDoc="0" locked="0" layoutInCell="1" allowOverlap="1" wp14:anchorId="26381340" wp14:editId="04692E18">
                <wp:simplePos x="0" y="0"/>
                <wp:positionH relativeFrom="column">
                  <wp:posOffset>3833663</wp:posOffset>
                </wp:positionH>
                <wp:positionV relativeFrom="paragraph">
                  <wp:posOffset>813004</wp:posOffset>
                </wp:positionV>
                <wp:extent cx="939800" cy="1155700"/>
                <wp:effectExtent l="0" t="0" r="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1155700"/>
                        </a:xfrm>
                        <a:prstGeom prst="rect">
                          <a:avLst/>
                        </a:prstGeom>
                        <a:solidFill>
                          <a:srgbClr val="FFFFFF"/>
                        </a:solidFill>
                        <a:ln w="9525">
                          <a:noFill/>
                          <a:miter lim="800000"/>
                          <a:headEnd/>
                          <a:tailEnd/>
                        </a:ln>
                      </wps:spPr>
                      <wps:txbx>
                        <w:txbxContent>
                          <w:p w14:paraId="3C06E4DC" w14:textId="77777777" w:rsidR="006E44FF" w:rsidRDefault="006E44FF" w:rsidP="006E44FF">
                            <w:pPr>
                              <w:tabs>
                                <w:tab w:val="clear" w:pos="567"/>
                                <w:tab w:val="clear" w:pos="1134"/>
                                <w:tab w:val="clear" w:pos="1701"/>
                                <w:tab w:val="clear" w:pos="2268"/>
                                <w:tab w:val="clear" w:pos="2835"/>
                              </w:tabs>
                              <w:snapToGrid w:val="0"/>
                              <w:spacing w:before="240" w:after="120" w:line="120" w:lineRule="exact"/>
                              <w:jc w:val="both"/>
                              <w:rPr>
                                <w:rFonts w:asciiTheme="minorHAnsi" w:hAnsiTheme="minorHAnsi" w:cstheme="minorHAnsi"/>
                                <w:sz w:val="18"/>
                                <w:szCs w:val="18"/>
                                <w:lang w:val="es-ES"/>
                              </w:rPr>
                            </w:pPr>
                            <w:r w:rsidRPr="006E44FF">
                              <w:rPr>
                                <w:rFonts w:asciiTheme="minorHAnsi" w:hAnsiTheme="minorHAnsi" w:cstheme="minorHAnsi"/>
                                <w:sz w:val="18"/>
                                <w:szCs w:val="18"/>
                                <w:lang w:val="es-ES"/>
                              </w:rPr>
                              <w:t>África</w:t>
                            </w:r>
                          </w:p>
                          <w:p w14:paraId="4477C393" w14:textId="77777777" w:rsidR="006E44FF" w:rsidRDefault="006E44FF" w:rsidP="006E44FF">
                            <w:pPr>
                              <w:tabs>
                                <w:tab w:val="clear" w:pos="567"/>
                                <w:tab w:val="clear" w:pos="1134"/>
                                <w:tab w:val="clear" w:pos="1701"/>
                                <w:tab w:val="clear" w:pos="2268"/>
                                <w:tab w:val="clear" w:pos="2835"/>
                              </w:tabs>
                              <w:snapToGrid w:val="0"/>
                              <w:spacing w:before="240" w:after="120" w:line="120" w:lineRule="exact"/>
                              <w:jc w:val="both"/>
                              <w:rPr>
                                <w:rFonts w:asciiTheme="minorHAnsi" w:hAnsiTheme="minorHAnsi" w:cstheme="minorHAnsi"/>
                                <w:sz w:val="18"/>
                                <w:szCs w:val="18"/>
                                <w:lang w:val="es-ES"/>
                              </w:rPr>
                            </w:pPr>
                            <w:r w:rsidRPr="006E44FF">
                              <w:rPr>
                                <w:rFonts w:asciiTheme="minorHAnsi" w:hAnsiTheme="minorHAnsi" w:cstheme="minorHAnsi"/>
                                <w:sz w:val="18"/>
                                <w:szCs w:val="18"/>
                                <w:lang w:val="es-ES"/>
                              </w:rPr>
                              <w:t>Estados Árabes</w:t>
                            </w:r>
                          </w:p>
                          <w:p w14:paraId="65125E79" w14:textId="77777777" w:rsidR="006E44FF" w:rsidRDefault="006E44FF" w:rsidP="006E44FF">
                            <w:pPr>
                              <w:tabs>
                                <w:tab w:val="clear" w:pos="567"/>
                                <w:tab w:val="clear" w:pos="1134"/>
                                <w:tab w:val="clear" w:pos="1701"/>
                                <w:tab w:val="clear" w:pos="2268"/>
                                <w:tab w:val="clear" w:pos="2835"/>
                              </w:tabs>
                              <w:snapToGrid w:val="0"/>
                              <w:spacing w:before="240" w:after="120" w:line="120" w:lineRule="exact"/>
                              <w:jc w:val="both"/>
                              <w:rPr>
                                <w:rFonts w:asciiTheme="minorHAnsi" w:hAnsiTheme="minorHAnsi" w:cstheme="minorHAnsi"/>
                                <w:sz w:val="18"/>
                                <w:szCs w:val="18"/>
                                <w:lang w:val="es-ES"/>
                              </w:rPr>
                            </w:pPr>
                            <w:r w:rsidRPr="006E44FF">
                              <w:rPr>
                                <w:rFonts w:asciiTheme="minorHAnsi" w:hAnsiTheme="minorHAnsi" w:cstheme="minorHAnsi"/>
                                <w:sz w:val="18"/>
                                <w:szCs w:val="18"/>
                                <w:lang w:val="es-ES"/>
                              </w:rPr>
                              <w:t>América</w:t>
                            </w:r>
                          </w:p>
                          <w:p w14:paraId="5C571E21" w14:textId="4F8D443C" w:rsidR="006E44FF" w:rsidRPr="006E44FF" w:rsidRDefault="006E44FF" w:rsidP="006E44FF">
                            <w:pPr>
                              <w:tabs>
                                <w:tab w:val="clear" w:pos="567"/>
                                <w:tab w:val="clear" w:pos="1134"/>
                                <w:tab w:val="clear" w:pos="1701"/>
                                <w:tab w:val="clear" w:pos="2268"/>
                                <w:tab w:val="clear" w:pos="2835"/>
                              </w:tabs>
                              <w:snapToGrid w:val="0"/>
                              <w:spacing w:before="240" w:after="120" w:line="120" w:lineRule="exact"/>
                              <w:jc w:val="both"/>
                              <w:rPr>
                                <w:rFonts w:asciiTheme="minorHAnsi" w:hAnsiTheme="minorHAnsi" w:cstheme="minorHAnsi"/>
                                <w:sz w:val="18"/>
                                <w:szCs w:val="18"/>
                                <w:lang w:val="es-ES"/>
                              </w:rPr>
                            </w:pPr>
                            <w:r w:rsidRPr="006E44FF">
                              <w:rPr>
                                <w:rFonts w:asciiTheme="minorHAnsi" w:hAnsiTheme="minorHAnsi" w:cstheme="minorHAnsi"/>
                                <w:sz w:val="18"/>
                                <w:szCs w:val="18"/>
                                <w:lang w:val="es-ES"/>
                              </w:rPr>
                              <w:t>Multirregional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381340" id="_x0000_t202" coordsize="21600,21600" o:spt="202" path="m,l,21600r21600,l21600,xe">
                <v:stroke joinstyle="miter"/>
                <v:path gradientshapeok="t" o:connecttype="rect"/>
              </v:shapetype>
              <v:shape id="Text Box 2" o:spid="_x0000_s1026" type="#_x0000_t202" style="position:absolute;left:0;text-align:left;margin-left:301.85pt;margin-top:64pt;width:74pt;height:9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" stroked="f">
                <v:textbox>
                  <w:txbxContent>
                    <w:p w14:paraId="3C06E4DC" w14:textId="77777777" w:rsidR="006E44FF" w:rsidRDefault="006E44FF" w:rsidP="006E44FF">
                      <w:pPr>
                        <w:tabs>
                          <w:tab w:val="clear" w:pos="567"/>
                          <w:tab w:val="clear" w:pos="1134"/>
                          <w:tab w:val="clear" w:pos="1701"/>
                          <w:tab w:val="clear" w:pos="2268"/>
                          <w:tab w:val="clear" w:pos="2835"/>
                        </w:tabs>
                        <w:snapToGrid w:val="0"/>
                        <w:spacing w:before="240" w:after="120" w:line="120" w:lineRule="exact"/>
                        <w:jc w:val="both"/>
                        <w:rPr>
                          <w:rFonts w:asciiTheme="minorHAnsi" w:hAnsiTheme="minorHAnsi" w:cstheme="minorHAnsi"/>
                          <w:sz w:val="18"/>
                          <w:szCs w:val="18"/>
                          <w:lang w:val="es-ES"/>
                        </w:rPr>
                      </w:pPr>
                      <w:r w:rsidRPr="006E44FF">
                        <w:rPr>
                          <w:rFonts w:asciiTheme="minorHAnsi" w:hAnsiTheme="minorHAnsi" w:cstheme="minorHAnsi"/>
                          <w:sz w:val="18"/>
                          <w:szCs w:val="18"/>
                          <w:lang w:val="es-ES"/>
                        </w:rPr>
                        <w:t>África</w:t>
                      </w:r>
                    </w:p>
                    <w:p w14:paraId="4477C393" w14:textId="77777777" w:rsidR="006E44FF" w:rsidRDefault="006E44FF" w:rsidP="006E44FF">
                      <w:pPr>
                        <w:tabs>
                          <w:tab w:val="clear" w:pos="567"/>
                          <w:tab w:val="clear" w:pos="1134"/>
                          <w:tab w:val="clear" w:pos="1701"/>
                          <w:tab w:val="clear" w:pos="2268"/>
                          <w:tab w:val="clear" w:pos="2835"/>
                        </w:tabs>
                        <w:snapToGrid w:val="0"/>
                        <w:spacing w:before="240" w:after="120" w:line="120" w:lineRule="exact"/>
                        <w:jc w:val="both"/>
                        <w:rPr>
                          <w:rFonts w:asciiTheme="minorHAnsi" w:hAnsiTheme="minorHAnsi" w:cstheme="minorHAnsi"/>
                          <w:sz w:val="18"/>
                          <w:szCs w:val="18"/>
                          <w:lang w:val="es-ES"/>
                        </w:rPr>
                      </w:pPr>
                      <w:r w:rsidRPr="006E44FF">
                        <w:rPr>
                          <w:rFonts w:asciiTheme="minorHAnsi" w:hAnsiTheme="minorHAnsi" w:cstheme="minorHAnsi"/>
                          <w:sz w:val="18"/>
                          <w:szCs w:val="18"/>
                          <w:lang w:val="es-ES"/>
                        </w:rPr>
                        <w:t>Estados Árabes</w:t>
                      </w:r>
                    </w:p>
                    <w:p w14:paraId="65125E79" w14:textId="77777777" w:rsidR="006E44FF" w:rsidRDefault="006E44FF" w:rsidP="006E44FF">
                      <w:pPr>
                        <w:tabs>
                          <w:tab w:val="clear" w:pos="567"/>
                          <w:tab w:val="clear" w:pos="1134"/>
                          <w:tab w:val="clear" w:pos="1701"/>
                          <w:tab w:val="clear" w:pos="2268"/>
                          <w:tab w:val="clear" w:pos="2835"/>
                        </w:tabs>
                        <w:snapToGrid w:val="0"/>
                        <w:spacing w:before="240" w:after="120" w:line="120" w:lineRule="exact"/>
                        <w:jc w:val="both"/>
                        <w:rPr>
                          <w:rFonts w:asciiTheme="minorHAnsi" w:hAnsiTheme="minorHAnsi" w:cstheme="minorHAnsi"/>
                          <w:sz w:val="18"/>
                          <w:szCs w:val="18"/>
                          <w:lang w:val="es-ES"/>
                        </w:rPr>
                      </w:pPr>
                      <w:r w:rsidRPr="006E44FF">
                        <w:rPr>
                          <w:rFonts w:asciiTheme="minorHAnsi" w:hAnsiTheme="minorHAnsi" w:cstheme="minorHAnsi"/>
                          <w:sz w:val="18"/>
                          <w:szCs w:val="18"/>
                          <w:lang w:val="es-ES"/>
                        </w:rPr>
                        <w:t>América</w:t>
                      </w:r>
                    </w:p>
                    <w:p w14:paraId="5C571E21" w14:textId="4F8D443C" w:rsidR="006E44FF" w:rsidRPr="006E44FF" w:rsidRDefault="006E44FF" w:rsidP="006E44FF">
                      <w:pPr>
                        <w:tabs>
                          <w:tab w:val="clear" w:pos="567"/>
                          <w:tab w:val="clear" w:pos="1134"/>
                          <w:tab w:val="clear" w:pos="1701"/>
                          <w:tab w:val="clear" w:pos="2268"/>
                          <w:tab w:val="clear" w:pos="2835"/>
                        </w:tabs>
                        <w:snapToGrid w:val="0"/>
                        <w:spacing w:before="240" w:after="120" w:line="120" w:lineRule="exact"/>
                        <w:jc w:val="both"/>
                        <w:rPr>
                          <w:rFonts w:asciiTheme="minorHAnsi" w:hAnsiTheme="minorHAnsi" w:cstheme="minorHAnsi"/>
                          <w:sz w:val="18"/>
                          <w:szCs w:val="18"/>
                          <w:lang w:val="es-ES"/>
                        </w:rPr>
                      </w:pPr>
                      <w:r w:rsidRPr="006E44FF">
                        <w:rPr>
                          <w:rFonts w:asciiTheme="minorHAnsi" w:hAnsiTheme="minorHAnsi" w:cstheme="minorHAnsi"/>
                          <w:sz w:val="18"/>
                          <w:szCs w:val="18"/>
                          <w:lang w:val="es-ES"/>
                        </w:rPr>
                        <w:t>Multirregional</w:t>
                      </w:r>
                    </w:p>
                  </w:txbxContent>
                </v:textbox>
              </v:shape>
            </w:pict>
          </mc:Fallback>
        </mc:AlternateContent>
      </w:r>
      <w:r w:rsidR="00D54DAC" w:rsidRPr="003F35CB">
        <w:rPr>
          <w:rFonts w:asciiTheme="minorHAnsi" w:hAnsiTheme="minorHAnsi" w:cstheme="minorHAnsi"/>
          <w:noProof/>
          <w:lang w:val="es-ES"/>
        </w:rPr>
        <w:drawing>
          <wp:inline distT="0" distB="0" distL="0" distR="0" wp14:anchorId="09607880" wp14:editId="0A2AB45B">
            <wp:extent cx="5970270" cy="2169994"/>
            <wp:effectExtent l="0" t="0" r="0" b="1905"/>
            <wp:docPr id="1" name="Chart 1">
              <a:extLst xmlns:a="http://schemas.openxmlformats.org/drawingml/2006/main">
                <a:ext uri="{FF2B5EF4-FFF2-40B4-BE49-F238E27FC236}">
                  <a16:creationId xmlns:a16="http://schemas.microsoft.com/office/drawing/2014/main" id="{EB5C7809-D81C-46F0-BB06-A1EE961430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2786C8D" w14:textId="168B3694" w:rsidR="00D54DAC" w:rsidRPr="003F35CB" w:rsidRDefault="00D54DAC" w:rsidP="00532FC3">
      <w:pPr>
        <w:rPr>
          <w:lang w:val="es-ES"/>
        </w:rPr>
      </w:pPr>
      <w:r w:rsidRPr="003F35CB">
        <w:rPr>
          <w:lang w:val="es-ES"/>
        </w:rPr>
        <w:t>3.6</w:t>
      </w:r>
      <w:r w:rsidRPr="003F35CB">
        <w:rPr>
          <w:lang w:val="es-ES"/>
        </w:rPr>
        <w:tab/>
        <w:t xml:space="preserve">Desde la creación del FD-TIC, 41 proyectos se han cerrado y otros ocho están en proceso de cierre (véanse las </w:t>
      </w:r>
      <w:r w:rsidR="00716558">
        <w:rPr>
          <w:lang w:val="es-ES"/>
        </w:rPr>
        <w:t>F</w:t>
      </w:r>
      <w:r w:rsidRPr="003F35CB">
        <w:rPr>
          <w:lang w:val="es-ES"/>
        </w:rPr>
        <w:t xml:space="preserve">iguras 2.1 y 2.2). En la </w:t>
      </w:r>
      <w:r w:rsidR="00716558">
        <w:rPr>
          <w:lang w:val="es-ES"/>
        </w:rPr>
        <w:t>F</w:t>
      </w:r>
      <w:r w:rsidRPr="003F35CB">
        <w:rPr>
          <w:lang w:val="es-ES"/>
        </w:rPr>
        <w:t xml:space="preserve">igura 2.3 se muestra la distribución de los proyectos cerrados por región.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3"/>
        <w:gridCol w:w="5916"/>
      </w:tblGrid>
      <w:tr w:rsidR="00D54DAC" w:rsidRPr="003F35CB" w14:paraId="2DD0BDBE" w14:textId="77777777" w:rsidTr="00ED740E">
        <w:tc>
          <w:tcPr>
            <w:tcW w:w="3063" w:type="dxa"/>
            <w:vAlign w:val="center"/>
          </w:tcPr>
          <w:p w14:paraId="00E922FC" w14:textId="77777777" w:rsidR="00D54DAC" w:rsidRPr="003F35CB" w:rsidRDefault="00D54DAC" w:rsidP="00ED740E">
            <w:pPr>
              <w:tabs>
                <w:tab w:val="clear" w:pos="567"/>
                <w:tab w:val="clear" w:pos="1134"/>
                <w:tab w:val="clear" w:pos="1701"/>
                <w:tab w:val="clear" w:pos="2268"/>
                <w:tab w:val="clear" w:pos="2835"/>
              </w:tabs>
              <w:snapToGrid w:val="0"/>
              <w:spacing w:before="240" w:after="120"/>
              <w:jc w:val="center"/>
              <w:rPr>
                <w:rFonts w:asciiTheme="minorHAnsi" w:hAnsiTheme="minorHAnsi" w:cstheme="minorHAnsi"/>
                <w:szCs w:val="24"/>
                <w:lang w:val="es-ES"/>
              </w:rPr>
            </w:pPr>
            <w:r w:rsidRPr="003F35CB">
              <w:rPr>
                <w:rFonts w:asciiTheme="minorHAnsi" w:hAnsiTheme="minorHAnsi" w:cstheme="minorHAnsi"/>
                <w:noProof/>
                <w:lang w:val="es-ES"/>
              </w:rPr>
              <w:drawing>
                <wp:inline distT="0" distB="0" distL="0" distR="0" wp14:anchorId="50A564EB" wp14:editId="1604504A">
                  <wp:extent cx="2279015" cy="2299648"/>
                  <wp:effectExtent l="0" t="0" r="6985" b="0"/>
                  <wp:docPr id="6" name="Chart 6">
                    <a:extLst xmlns:a="http://schemas.openxmlformats.org/drawingml/2006/main">
                      <a:ext uri="{FF2B5EF4-FFF2-40B4-BE49-F238E27FC236}">
                        <a16:creationId xmlns:a16="http://schemas.microsoft.com/office/drawing/2014/main" id="{3F919A01-3836-4EF3-925F-C9A84E6E394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c>
          <w:tcPr>
            <w:tcW w:w="6576" w:type="dxa"/>
            <w:vAlign w:val="center"/>
          </w:tcPr>
          <w:p w14:paraId="0AEFD526" w14:textId="77777777" w:rsidR="00D54DAC" w:rsidRPr="003F35CB" w:rsidRDefault="00D54DAC" w:rsidP="00ED740E">
            <w:pPr>
              <w:tabs>
                <w:tab w:val="clear" w:pos="567"/>
                <w:tab w:val="clear" w:pos="1134"/>
                <w:tab w:val="clear" w:pos="1701"/>
                <w:tab w:val="clear" w:pos="2268"/>
                <w:tab w:val="clear" w:pos="2835"/>
              </w:tabs>
              <w:snapToGrid w:val="0"/>
              <w:spacing w:before="240" w:after="120"/>
              <w:jc w:val="center"/>
              <w:rPr>
                <w:rFonts w:asciiTheme="minorHAnsi" w:hAnsiTheme="minorHAnsi" w:cstheme="minorHAnsi"/>
                <w:szCs w:val="24"/>
                <w:lang w:val="es-ES"/>
              </w:rPr>
            </w:pPr>
            <w:r w:rsidRPr="003F35CB">
              <w:rPr>
                <w:rFonts w:asciiTheme="minorHAnsi" w:hAnsiTheme="minorHAnsi" w:cstheme="minorHAnsi"/>
                <w:noProof/>
                <w:lang w:val="es-ES"/>
              </w:rPr>
              <w:drawing>
                <wp:inline distT="0" distB="0" distL="0" distR="0" wp14:anchorId="2A137403" wp14:editId="63D23902">
                  <wp:extent cx="3716447" cy="2286000"/>
                  <wp:effectExtent l="0" t="0" r="0" b="0"/>
                  <wp:docPr id="5" name="Chart 5">
                    <a:extLst xmlns:a="http://schemas.openxmlformats.org/drawingml/2006/main">
                      <a:ext uri="{FF2B5EF4-FFF2-40B4-BE49-F238E27FC236}">
                        <a16:creationId xmlns:a16="http://schemas.microsoft.com/office/drawing/2014/main" id="{50198F00-F9C8-40E9-8E02-0E7F9A7D883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bl>
    <w:p w14:paraId="3C0BE413" w14:textId="77777777" w:rsidR="00D54DAC" w:rsidRPr="003F35CB" w:rsidRDefault="00D54DAC" w:rsidP="00D54DAC">
      <w:pPr>
        <w:tabs>
          <w:tab w:val="clear" w:pos="567"/>
          <w:tab w:val="clear" w:pos="1134"/>
          <w:tab w:val="clear" w:pos="1701"/>
          <w:tab w:val="clear" w:pos="2268"/>
          <w:tab w:val="clear" w:pos="2835"/>
        </w:tabs>
        <w:snapToGrid w:val="0"/>
        <w:spacing w:before="240" w:after="120"/>
        <w:jc w:val="both"/>
        <w:rPr>
          <w:rFonts w:asciiTheme="minorHAnsi" w:hAnsiTheme="minorHAnsi" w:cstheme="minorHAnsi"/>
          <w:szCs w:val="24"/>
          <w:lang w:val="es-ES"/>
        </w:rPr>
      </w:pPr>
      <w:r w:rsidRPr="003F35CB">
        <w:rPr>
          <w:rFonts w:asciiTheme="minorHAnsi" w:hAnsiTheme="minorHAnsi" w:cstheme="minorHAnsi"/>
          <w:noProof/>
          <w:lang w:val="es-ES"/>
        </w:rPr>
        <w:lastRenderedPageBreak/>
        <w:drawing>
          <wp:inline distT="0" distB="0" distL="0" distR="0" wp14:anchorId="5596E16A" wp14:editId="6BBEBCC9">
            <wp:extent cx="6120765" cy="2661313"/>
            <wp:effectExtent l="0" t="0" r="0" b="5715"/>
            <wp:docPr id="4" name="Chart 4">
              <a:extLst xmlns:a="http://schemas.openxmlformats.org/drawingml/2006/main">
                <a:ext uri="{FF2B5EF4-FFF2-40B4-BE49-F238E27FC236}">
                  <a16:creationId xmlns:a16="http://schemas.microsoft.com/office/drawing/2014/main" id="{410AFA4D-A7A3-4446-A9B9-2ECDEEDB81E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7EE438E" w14:textId="44EC988F" w:rsidR="00D54DAC" w:rsidRPr="003F35CB" w:rsidRDefault="00D54DAC" w:rsidP="00203DD3">
      <w:pPr>
        <w:rPr>
          <w:rFonts w:asciiTheme="minorHAnsi" w:hAnsiTheme="minorHAnsi" w:cstheme="minorHAnsi"/>
          <w:szCs w:val="24"/>
          <w:lang w:val="es-ES"/>
        </w:rPr>
      </w:pPr>
      <w:r w:rsidRPr="003F35CB">
        <w:rPr>
          <w:rFonts w:asciiTheme="minorHAnsi" w:hAnsiTheme="minorHAnsi" w:cstheme="minorHAnsi"/>
          <w:szCs w:val="24"/>
          <w:lang w:val="es-ES"/>
        </w:rPr>
        <w:t>3.7</w:t>
      </w:r>
      <w:r w:rsidRPr="003F35CB">
        <w:rPr>
          <w:rFonts w:asciiTheme="minorHAnsi" w:hAnsiTheme="minorHAnsi" w:cstheme="minorHAnsi"/>
          <w:szCs w:val="24"/>
          <w:lang w:val="es-ES"/>
        </w:rPr>
        <w:tab/>
      </w:r>
      <w:r w:rsidRPr="003F35CB">
        <w:rPr>
          <w:lang w:val="es-ES"/>
        </w:rPr>
        <w:t xml:space="preserve">Al mes de diciembre de 2020, los proyectos en curso del FD-TIC ascendían a un valor total de 16 386 227 CHF (71% de efectivo externo, 28% del FD-TIC y 1% de efectivo del Plan Operacional) </w:t>
      </w:r>
      <w:r w:rsidRPr="003F35CB">
        <w:rPr>
          <w:rFonts w:asciiTheme="minorHAnsi" w:hAnsiTheme="minorHAnsi" w:cstheme="minorHAnsi"/>
          <w:szCs w:val="24"/>
          <w:lang w:val="es-ES"/>
        </w:rPr>
        <w:t xml:space="preserve">(véase la </w:t>
      </w:r>
      <w:r w:rsidR="00203DD3">
        <w:rPr>
          <w:rFonts w:asciiTheme="minorHAnsi" w:hAnsiTheme="minorHAnsi" w:cstheme="minorHAnsi"/>
          <w:szCs w:val="24"/>
          <w:lang w:val="es-ES"/>
        </w:rPr>
        <w:t>F</w:t>
      </w:r>
      <w:r w:rsidRPr="003F35CB">
        <w:rPr>
          <w:rFonts w:asciiTheme="minorHAnsi" w:hAnsiTheme="minorHAnsi" w:cstheme="minorHAnsi"/>
          <w:szCs w:val="24"/>
          <w:lang w:val="es-ES"/>
        </w:rPr>
        <w:t>igura 3).</w:t>
      </w:r>
    </w:p>
    <w:p w14:paraId="2AA2682B" w14:textId="77777777" w:rsidR="00D54DAC" w:rsidRPr="003F35CB" w:rsidRDefault="00D54DAC" w:rsidP="00D54DAC">
      <w:pPr>
        <w:tabs>
          <w:tab w:val="clear" w:pos="567"/>
          <w:tab w:val="clear" w:pos="1134"/>
          <w:tab w:val="clear" w:pos="1701"/>
          <w:tab w:val="clear" w:pos="2268"/>
          <w:tab w:val="clear" w:pos="2835"/>
        </w:tabs>
        <w:snapToGrid w:val="0"/>
        <w:spacing w:before="240" w:after="120"/>
        <w:jc w:val="both"/>
        <w:rPr>
          <w:rFonts w:asciiTheme="minorHAnsi" w:hAnsiTheme="minorHAnsi" w:cstheme="minorHAnsi"/>
          <w:szCs w:val="24"/>
          <w:lang w:val="es-ES"/>
        </w:rPr>
      </w:pPr>
      <w:r w:rsidRPr="003F35CB">
        <w:rPr>
          <w:rFonts w:asciiTheme="minorHAnsi" w:hAnsiTheme="minorHAnsi" w:cstheme="minorHAnsi"/>
          <w:noProof/>
          <w:lang w:val="es-ES"/>
        </w:rPr>
        <w:drawing>
          <wp:inline distT="0" distB="0" distL="0" distR="0" wp14:anchorId="30704CB6" wp14:editId="0A715EF4">
            <wp:extent cx="6120765" cy="3176270"/>
            <wp:effectExtent l="0" t="0" r="0" b="5080"/>
            <wp:docPr id="12" name="Chart 12">
              <a:extLst xmlns:a="http://schemas.openxmlformats.org/drawingml/2006/main">
                <a:ext uri="{FF2B5EF4-FFF2-40B4-BE49-F238E27FC236}">
                  <a16:creationId xmlns:a16="http://schemas.microsoft.com/office/drawing/2014/main" id="{67F9E608-61A7-487A-9B51-C666F098684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B35EB9E" w14:textId="77777777" w:rsidR="00D54DAC" w:rsidRPr="003F35CB" w:rsidRDefault="00D54DAC" w:rsidP="00D54DAC">
      <w:pPr>
        <w:tabs>
          <w:tab w:val="clear" w:pos="567"/>
          <w:tab w:val="clear" w:pos="1134"/>
          <w:tab w:val="clear" w:pos="1701"/>
          <w:tab w:val="clear" w:pos="2268"/>
          <w:tab w:val="clear" w:pos="2835"/>
        </w:tabs>
        <w:snapToGrid w:val="0"/>
        <w:spacing w:before="240" w:after="120"/>
        <w:jc w:val="both"/>
        <w:rPr>
          <w:rFonts w:asciiTheme="minorHAnsi" w:hAnsiTheme="minorHAnsi" w:cstheme="minorHAnsi"/>
          <w:szCs w:val="24"/>
          <w:lang w:val="es-ES"/>
        </w:rPr>
      </w:pPr>
      <w:r w:rsidRPr="003F35CB">
        <w:rPr>
          <w:rFonts w:asciiTheme="minorHAnsi" w:hAnsiTheme="minorHAnsi" w:cstheme="minorHAnsi"/>
          <w:szCs w:val="24"/>
          <w:lang w:val="es-ES"/>
        </w:rPr>
        <w:t>3.8</w:t>
      </w:r>
      <w:r w:rsidRPr="003F35CB">
        <w:rPr>
          <w:rFonts w:asciiTheme="minorHAnsi" w:hAnsiTheme="minorHAnsi" w:cstheme="minorHAnsi"/>
          <w:szCs w:val="24"/>
          <w:lang w:val="es-ES"/>
        </w:rPr>
        <w:tab/>
      </w:r>
      <w:r w:rsidRPr="003F35CB">
        <w:rPr>
          <w:lang w:val="es-ES"/>
        </w:rPr>
        <w:t>La BDT seguirá con la supervisión de los proyectos restantes para su implementación efectiva</w:t>
      </w:r>
      <w:r w:rsidRPr="003F35CB">
        <w:rPr>
          <w:rFonts w:asciiTheme="minorHAnsi" w:hAnsiTheme="minorHAnsi" w:cstheme="minorHAnsi"/>
          <w:spacing w:val="4"/>
          <w:szCs w:val="24"/>
          <w:lang w:val="es-ES"/>
        </w:rPr>
        <w:t>.</w:t>
      </w:r>
      <w:r w:rsidRPr="003F35CB">
        <w:rPr>
          <w:rFonts w:asciiTheme="minorHAnsi" w:hAnsiTheme="minorHAnsi" w:cstheme="minorHAnsi"/>
          <w:szCs w:val="24"/>
          <w:lang w:val="es-ES"/>
        </w:rPr>
        <w:t xml:space="preserve"> </w:t>
      </w:r>
      <w:r w:rsidRPr="003F35CB">
        <w:rPr>
          <w:lang w:val="es-ES"/>
        </w:rPr>
        <w:t xml:space="preserve">El CD FD-TIC seguirá examinando las propuestas de proyecto y apoyará los proyectos seleccionados en los distintos ámbitos de acción, con especial atención a las iniciativas regionales aprobadas por la CMDT-17, teniendo en cuenta las reglas y criterios establecidos en las </w:t>
      </w:r>
      <w:r w:rsidRPr="003F35CB">
        <w:rPr>
          <w:i/>
          <w:iCs/>
          <w:lang w:val="es-ES"/>
        </w:rPr>
        <w:t>reglas y procedimientos del FD-TIC</w:t>
      </w:r>
      <w:r w:rsidRPr="003F35CB">
        <w:rPr>
          <w:lang w:val="es-ES"/>
        </w:rPr>
        <w:t xml:space="preserve"> y dentro de los límites de la Cuenta de Capital del FD-TIC</w:t>
      </w:r>
      <w:r w:rsidRPr="003F35CB">
        <w:rPr>
          <w:rFonts w:asciiTheme="minorHAnsi" w:hAnsiTheme="minorHAnsi" w:cstheme="minorHAnsi"/>
          <w:szCs w:val="24"/>
          <w:lang w:val="es-ES"/>
        </w:rPr>
        <w:t>.</w:t>
      </w:r>
    </w:p>
    <w:p w14:paraId="4E9CC737" w14:textId="0A860276" w:rsidR="00D54DAC" w:rsidRPr="003F35CB" w:rsidRDefault="00D54DAC" w:rsidP="00D54DAC">
      <w:pPr>
        <w:spacing w:after="120"/>
        <w:jc w:val="both"/>
        <w:rPr>
          <w:rFonts w:asciiTheme="minorHAnsi" w:hAnsiTheme="minorHAnsi" w:cstheme="minorHAnsi"/>
          <w:szCs w:val="24"/>
          <w:lang w:val="es-ES"/>
        </w:rPr>
      </w:pPr>
      <w:r w:rsidRPr="003F35CB">
        <w:rPr>
          <w:rFonts w:asciiTheme="minorHAnsi" w:hAnsiTheme="minorHAnsi" w:cstheme="minorHAnsi"/>
          <w:szCs w:val="24"/>
          <w:lang w:val="es-ES"/>
        </w:rPr>
        <w:t>3.</w:t>
      </w:r>
      <w:r w:rsidR="00D92C47">
        <w:rPr>
          <w:rFonts w:asciiTheme="minorHAnsi" w:hAnsiTheme="minorHAnsi" w:cstheme="minorHAnsi"/>
          <w:szCs w:val="24"/>
          <w:lang w:val="es-ES"/>
        </w:rPr>
        <w:t>9</w:t>
      </w:r>
      <w:r w:rsidRPr="003F35CB">
        <w:rPr>
          <w:rFonts w:asciiTheme="minorHAnsi" w:hAnsiTheme="minorHAnsi" w:cstheme="minorHAnsi"/>
          <w:szCs w:val="24"/>
          <w:lang w:val="es-ES"/>
        </w:rPr>
        <w:tab/>
      </w:r>
      <w:r w:rsidRPr="003F35CB">
        <w:rPr>
          <w:lang w:val="es-ES"/>
        </w:rPr>
        <w:t>Las futuras reuniones del CD FD-TIC se celebrarán cuando se reciban propuestas de proyectos nuevas que cumplan los criterios de selección</w:t>
      </w:r>
      <w:r w:rsidRPr="003F35CB">
        <w:rPr>
          <w:rFonts w:asciiTheme="minorHAnsi" w:hAnsiTheme="minorHAnsi" w:cstheme="minorHAnsi"/>
          <w:szCs w:val="24"/>
          <w:lang w:val="es-ES"/>
        </w:rPr>
        <w:t>.</w:t>
      </w:r>
    </w:p>
    <w:p w14:paraId="6F93795F" w14:textId="785918AC" w:rsidR="00D54DAC" w:rsidRPr="003F35CB" w:rsidRDefault="00D92C47" w:rsidP="00D92C47">
      <w:pPr>
        <w:pStyle w:val="Heading1"/>
        <w:rPr>
          <w:lang w:val="es-ES"/>
        </w:rPr>
      </w:pPr>
      <w:r>
        <w:lastRenderedPageBreak/>
        <w:t>4</w:t>
      </w:r>
      <w:r>
        <w:tab/>
      </w:r>
      <w:proofErr w:type="gramStart"/>
      <w:r w:rsidR="00D54DAC" w:rsidRPr="00D92C47">
        <w:t>Evolución</w:t>
      </w:r>
      <w:proofErr w:type="gramEnd"/>
      <w:r w:rsidR="00D54DAC" w:rsidRPr="003F35CB">
        <w:rPr>
          <w:lang w:val="es-ES"/>
        </w:rPr>
        <w:t xml:space="preserve"> de la Cuenta de Capital del FD-TIC</w:t>
      </w:r>
      <w:r w:rsidR="00D54DAC" w:rsidRPr="003F35CB">
        <w:rPr>
          <w:rStyle w:val="FootnoteReference"/>
          <w:rFonts w:asciiTheme="minorHAnsi" w:hAnsiTheme="minorHAnsi" w:cstheme="minorHAnsi"/>
          <w:bCs/>
          <w:szCs w:val="24"/>
          <w:lang w:val="es-ES"/>
        </w:rPr>
        <w:footnoteReference w:id="2"/>
      </w:r>
    </w:p>
    <w:p w14:paraId="07A41D0A" w14:textId="77777777" w:rsidR="00D54DAC" w:rsidRPr="003F35CB" w:rsidRDefault="00D54DAC" w:rsidP="00987C73">
      <w:pPr>
        <w:rPr>
          <w:lang w:val="es-ES"/>
        </w:rPr>
      </w:pPr>
      <w:r w:rsidRPr="003F35CB">
        <w:rPr>
          <w:lang w:val="es-ES"/>
        </w:rPr>
        <w:t>4.1</w:t>
      </w:r>
      <w:r w:rsidRPr="003F35CB">
        <w:rPr>
          <w:lang w:val="es-ES"/>
        </w:rPr>
        <w:tab/>
        <w:t>Los ingresos totales en concepto de intereses de la Cuenta de Capital del FD-TIC en 2020 ascendieron a 41 209,71 USD y los intereses de los proyectos representan 18 094 USD.</w:t>
      </w:r>
    </w:p>
    <w:p w14:paraId="3DFAAEEC" w14:textId="3A19F635" w:rsidR="00D54DAC" w:rsidRPr="003F35CB" w:rsidRDefault="00D54DAC" w:rsidP="00987C73">
      <w:pPr>
        <w:rPr>
          <w:lang w:val="es-ES"/>
        </w:rPr>
      </w:pPr>
      <w:r w:rsidRPr="003F35CB">
        <w:rPr>
          <w:lang w:val="es-ES"/>
        </w:rPr>
        <w:t>4.2</w:t>
      </w:r>
      <w:r w:rsidRPr="003F35CB">
        <w:rPr>
          <w:lang w:val="es-ES"/>
        </w:rPr>
        <w:tab/>
        <w:t xml:space="preserve">A 31 de diciembre de 2020, el saldo disponible en la Cuenta de Capital del FD-TIC ascendía a </w:t>
      </w:r>
      <w:r w:rsidRPr="003F35CB">
        <w:rPr>
          <w:color w:val="000000"/>
          <w:lang w:val="es-ES" w:eastAsia="fr-CH"/>
        </w:rPr>
        <w:t xml:space="preserve">4 100 787,66 </w:t>
      </w:r>
      <w:r w:rsidRPr="003F35CB">
        <w:rPr>
          <w:lang w:val="es-ES"/>
        </w:rPr>
        <w:t>USD</w:t>
      </w:r>
      <w:r w:rsidRPr="003F35CB">
        <w:rPr>
          <w:color w:val="000000"/>
          <w:lang w:val="es-ES" w:eastAsia="fr-CH"/>
        </w:rPr>
        <w:t xml:space="preserve"> (véase la </w:t>
      </w:r>
      <w:r w:rsidR="00716558">
        <w:rPr>
          <w:color w:val="000000"/>
          <w:lang w:val="es-ES" w:eastAsia="fr-CH"/>
        </w:rPr>
        <w:t>F</w:t>
      </w:r>
      <w:r w:rsidRPr="003F35CB">
        <w:rPr>
          <w:color w:val="000000"/>
          <w:lang w:val="es-ES" w:eastAsia="fr-CH"/>
        </w:rPr>
        <w:t>igura 4</w:t>
      </w:r>
      <w:r w:rsidRPr="003F35CB">
        <w:rPr>
          <w:lang w:val="es-ES"/>
        </w:rPr>
        <w:t>), mientras que el Fondo de Operaciones de las Exposiciones (FOEX) ascendía a 6 616 097,76 CHF.</w:t>
      </w:r>
    </w:p>
    <w:p w14:paraId="5515669B" w14:textId="77777777" w:rsidR="00D54DAC" w:rsidRPr="003F35CB" w:rsidRDefault="00D54DAC" w:rsidP="0030573C">
      <w:pPr>
        <w:pStyle w:val="Figure"/>
        <w:rPr>
          <w:lang w:val="es-ES"/>
        </w:rPr>
      </w:pPr>
      <w:bookmarkStart w:id="14" w:name="_Hlk65835106"/>
      <w:r w:rsidRPr="003F35CB">
        <w:rPr>
          <w:noProof/>
          <w:lang w:val="es-ES"/>
        </w:rPr>
        <w:drawing>
          <wp:inline distT="0" distB="0" distL="0" distR="0" wp14:anchorId="0E819BE4" wp14:editId="7F5DF068">
            <wp:extent cx="6120765" cy="2962910"/>
            <wp:effectExtent l="0" t="0" r="0" b="8890"/>
            <wp:docPr id="7" name="Chart 7">
              <a:extLst xmlns:a="http://schemas.openxmlformats.org/drawingml/2006/main">
                <a:ext uri="{FF2B5EF4-FFF2-40B4-BE49-F238E27FC236}">
                  <a16:creationId xmlns:a16="http://schemas.microsoft.com/office/drawing/2014/main" id="{9B9397BB-5759-455A-A582-340FD53996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10E1E1A" w14:textId="0D2AAA49" w:rsidR="00D54DAC" w:rsidRPr="003F35CB" w:rsidRDefault="00D54DAC" w:rsidP="0030573C">
      <w:pPr>
        <w:rPr>
          <w:rFonts w:asciiTheme="minorHAnsi" w:hAnsiTheme="minorHAnsi" w:cstheme="minorHAnsi"/>
          <w:lang w:val="es-ES"/>
        </w:rPr>
      </w:pPr>
      <w:r w:rsidRPr="003F35CB">
        <w:rPr>
          <w:rFonts w:asciiTheme="minorHAnsi" w:hAnsiTheme="minorHAnsi" w:cstheme="minorHAnsi"/>
          <w:szCs w:val="24"/>
          <w:lang w:val="es-ES"/>
        </w:rPr>
        <w:t>4.3</w:t>
      </w:r>
      <w:r w:rsidRPr="003F35CB">
        <w:rPr>
          <w:rFonts w:asciiTheme="minorHAnsi" w:hAnsiTheme="minorHAnsi" w:cstheme="minorHAnsi"/>
          <w:szCs w:val="24"/>
          <w:lang w:val="es-ES"/>
        </w:rPr>
        <w:tab/>
      </w:r>
      <w:r w:rsidRPr="003F35CB">
        <w:rPr>
          <w:lang w:val="es-ES"/>
        </w:rPr>
        <w:t>Cabe señalar que las siguientes disposiciones de la Resolución 11 (Rev. Dubái, 2018) de la PP</w:t>
      </w:r>
      <w:r w:rsidRPr="003F35CB">
        <w:rPr>
          <w:lang w:val="es-ES"/>
        </w:rPr>
        <w:noBreakHyphen/>
        <w:t xml:space="preserve">18 de la UIT pueden repercutir en el </w:t>
      </w:r>
      <w:r w:rsidR="00716558" w:rsidRPr="00716558">
        <w:rPr>
          <w:lang w:val="es-ES"/>
        </w:rPr>
        <w:t>Fondo de Operaciones de las Exposiciones</w:t>
      </w:r>
      <w:r w:rsidR="00716558" w:rsidRPr="003F35CB">
        <w:rPr>
          <w:lang w:val="es-ES"/>
        </w:rPr>
        <w:t xml:space="preserve"> </w:t>
      </w:r>
      <w:r w:rsidR="00716558">
        <w:rPr>
          <w:lang w:val="es-ES"/>
        </w:rPr>
        <w:t>(</w:t>
      </w:r>
      <w:r w:rsidRPr="003F35CB">
        <w:rPr>
          <w:lang w:val="es-ES"/>
        </w:rPr>
        <w:t>FOEX</w:t>
      </w:r>
      <w:r w:rsidR="00716558">
        <w:rPr>
          <w:lang w:val="es-ES"/>
        </w:rPr>
        <w:t>)</w:t>
      </w:r>
      <w:r w:rsidRPr="003F35CB">
        <w:rPr>
          <w:lang w:val="es-ES"/>
        </w:rPr>
        <w:t xml:space="preserve"> y, a su vez, en el FD-TIC</w:t>
      </w:r>
      <w:r w:rsidRPr="003F35CB">
        <w:rPr>
          <w:rFonts w:asciiTheme="minorHAnsi" w:hAnsiTheme="minorHAnsi" w:cstheme="minorHAnsi"/>
          <w:szCs w:val="24"/>
          <w:lang w:val="es-ES"/>
        </w:rPr>
        <w:t>:</w:t>
      </w:r>
    </w:p>
    <w:p w14:paraId="05A5A477" w14:textId="5E9F6B4F" w:rsidR="00D54DAC" w:rsidRPr="003F35CB" w:rsidRDefault="0030573C" w:rsidP="0030573C">
      <w:pPr>
        <w:pStyle w:val="enumlev1"/>
        <w:rPr>
          <w:rFonts w:asciiTheme="minorHAnsi" w:hAnsiTheme="minorHAnsi" w:cstheme="minorHAnsi"/>
          <w:szCs w:val="24"/>
          <w:lang w:val="es-ES"/>
        </w:rPr>
      </w:pPr>
      <w:r w:rsidRPr="0030573C">
        <w:rPr>
          <w:b/>
          <w:bCs/>
          <w:lang w:val="es-ES"/>
        </w:rPr>
        <w:t>•</w:t>
      </w:r>
      <w:r>
        <w:rPr>
          <w:b/>
          <w:bCs/>
          <w:lang w:val="es-ES"/>
        </w:rPr>
        <w:tab/>
      </w:r>
      <w:r w:rsidR="00D54DAC" w:rsidRPr="003F35CB">
        <w:rPr>
          <w:b/>
          <w:bCs/>
          <w:lang w:val="es-ES"/>
        </w:rPr>
        <w:t>resuelve 4</w:t>
      </w:r>
      <w:r w:rsidR="00D54DAC" w:rsidRPr="003F35CB">
        <w:rPr>
          <w:lang w:val="es-ES"/>
        </w:rPr>
        <w:t xml:space="preserve">: </w:t>
      </w:r>
      <w:r w:rsidR="00D54DAC" w:rsidRPr="0030573C">
        <w:rPr>
          <w:i/>
          <w:iCs/>
          <w:lang w:val="es-ES"/>
        </w:rPr>
        <w:t>que, de acuerdo con las contribuciones presentadas por los miembros de la UIT, se presente el mandato relativo a la contratación del consultor en gestión externo independiente al Grupo de Trabajo del Consejo sobre Recursos Humanos y Financieros para su aprobación y que los gastos que entrañe dicha contratación corran a cargo del Fondo de Operaciones de las Exposiciones (FOEX)</w:t>
      </w:r>
      <w:r>
        <w:rPr>
          <w:i/>
          <w:iCs/>
          <w:lang w:val="es-ES"/>
        </w:rPr>
        <w:t>.</w:t>
      </w:r>
    </w:p>
    <w:p w14:paraId="3EA3149D" w14:textId="20BC7D82" w:rsidR="00D54DAC" w:rsidRPr="003F35CB" w:rsidRDefault="0030573C" w:rsidP="0030573C">
      <w:pPr>
        <w:pStyle w:val="enumlev1"/>
        <w:rPr>
          <w:rFonts w:asciiTheme="minorHAnsi" w:hAnsiTheme="minorHAnsi" w:cstheme="minorHAnsi"/>
          <w:spacing w:val="-2"/>
          <w:szCs w:val="24"/>
          <w:lang w:val="es-ES"/>
        </w:rPr>
      </w:pPr>
      <w:r w:rsidRPr="0030573C">
        <w:rPr>
          <w:b/>
          <w:bCs/>
          <w:lang w:val="es-ES"/>
        </w:rPr>
        <w:t>•</w:t>
      </w:r>
      <w:r>
        <w:rPr>
          <w:b/>
          <w:bCs/>
          <w:lang w:val="es-ES"/>
        </w:rPr>
        <w:tab/>
      </w:r>
      <w:r w:rsidR="00D54DAC" w:rsidRPr="003F35CB">
        <w:rPr>
          <w:b/>
          <w:bCs/>
          <w:lang w:val="es-ES"/>
        </w:rPr>
        <w:t>resuelve 10</w:t>
      </w:r>
      <w:r w:rsidR="00D54DAC" w:rsidRPr="003F35CB">
        <w:rPr>
          <w:lang w:val="es-ES"/>
        </w:rPr>
        <w:t xml:space="preserve">: </w:t>
      </w:r>
      <w:r w:rsidR="00D54DAC" w:rsidRPr="0030573C">
        <w:rPr>
          <w:i/>
          <w:iCs/>
          <w:lang w:val="es-ES"/>
        </w:rPr>
        <w:t>que el FOEX proporcione una reserva mínima de 5 millones de francos suizos (5 000 000 CHF)</w:t>
      </w:r>
      <w:r w:rsidR="00D54DAC" w:rsidRPr="003F35CB">
        <w:rPr>
          <w:lang w:val="es-ES"/>
        </w:rPr>
        <w:t>.</w:t>
      </w:r>
    </w:p>
    <w:p w14:paraId="115AAB65" w14:textId="77777777" w:rsidR="00D54DAC" w:rsidRPr="003F35CB" w:rsidRDefault="00D54DAC" w:rsidP="0030573C">
      <w:pPr>
        <w:rPr>
          <w:sz w:val="22"/>
          <w:lang w:val="es-ES"/>
        </w:rPr>
      </w:pPr>
      <w:r w:rsidRPr="003F35CB">
        <w:rPr>
          <w:lang w:val="es-ES"/>
        </w:rPr>
        <w:t xml:space="preserve">A 31 de diciembre de 2020, los honorarios de consultoría de </w:t>
      </w:r>
      <w:proofErr w:type="spellStart"/>
      <w:r w:rsidRPr="003F35CB">
        <w:rPr>
          <w:lang w:val="es-ES"/>
        </w:rPr>
        <w:t>Dalberg</w:t>
      </w:r>
      <w:proofErr w:type="spellEnd"/>
      <w:r w:rsidRPr="003F35CB">
        <w:rPr>
          <w:lang w:val="es-ES"/>
        </w:rPr>
        <w:t xml:space="preserve"> ascendían a </w:t>
      </w:r>
      <w:r w:rsidRPr="003F35CB">
        <w:rPr>
          <w:b/>
          <w:bCs/>
          <w:lang w:val="es-ES"/>
        </w:rPr>
        <w:t xml:space="preserve">225 915 CHF </w:t>
      </w:r>
      <w:r w:rsidRPr="003F35CB">
        <w:rPr>
          <w:bCs/>
          <w:lang w:val="es-ES"/>
        </w:rPr>
        <w:t>y el FOEX</w:t>
      </w:r>
      <w:r w:rsidRPr="003F35CB">
        <w:rPr>
          <w:rStyle w:val="FootnoteReference"/>
          <w:rFonts w:asciiTheme="minorHAnsi" w:hAnsiTheme="minorHAnsi" w:cstheme="minorHAnsi"/>
          <w:lang w:val="es-ES"/>
        </w:rPr>
        <w:footnoteReference w:id="3"/>
      </w:r>
      <w:r w:rsidRPr="003F35CB">
        <w:rPr>
          <w:lang w:val="es-ES"/>
        </w:rPr>
        <w:t xml:space="preserve"> se situaba en </w:t>
      </w:r>
      <w:r w:rsidRPr="003F35CB">
        <w:rPr>
          <w:b/>
          <w:bCs/>
          <w:lang w:val="es-ES"/>
        </w:rPr>
        <w:t>6 616 098 CHF</w:t>
      </w:r>
      <w:r w:rsidRPr="003F35CB">
        <w:rPr>
          <w:lang w:val="es-ES"/>
        </w:rPr>
        <w:t>.</w:t>
      </w:r>
    </w:p>
    <w:bookmarkEnd w:id="14"/>
    <w:p w14:paraId="5E6E0BCB" w14:textId="64F52253" w:rsidR="00D54DAC" w:rsidRPr="003F35CB" w:rsidRDefault="0030573C" w:rsidP="0030573C">
      <w:pPr>
        <w:pStyle w:val="Heading1"/>
        <w:rPr>
          <w:rFonts w:asciiTheme="minorHAnsi" w:hAnsiTheme="minorHAnsi" w:cstheme="minorHAnsi"/>
          <w:bCs/>
          <w:sz w:val="24"/>
          <w:szCs w:val="24"/>
          <w:lang w:val="es-ES"/>
        </w:rPr>
      </w:pPr>
      <w:r>
        <w:t>5</w:t>
      </w:r>
      <w:r>
        <w:tab/>
      </w:r>
      <w:proofErr w:type="gramStart"/>
      <w:r w:rsidR="00D54DAC" w:rsidRPr="0030573C">
        <w:t>Perspectivas</w:t>
      </w:r>
      <w:proofErr w:type="gramEnd"/>
      <w:r w:rsidR="00D54DAC" w:rsidRPr="003F35CB">
        <w:rPr>
          <w:rFonts w:asciiTheme="minorHAnsi" w:hAnsiTheme="minorHAnsi" w:cstheme="minorHAnsi"/>
          <w:bCs/>
          <w:sz w:val="24"/>
          <w:szCs w:val="24"/>
          <w:lang w:val="es-ES"/>
        </w:rPr>
        <w:t xml:space="preserve"> de futuro</w:t>
      </w:r>
    </w:p>
    <w:p w14:paraId="3EC75D3D" w14:textId="374DFCBF" w:rsidR="00D54DAC" w:rsidRPr="003F35CB" w:rsidRDefault="00D54DAC" w:rsidP="0030573C">
      <w:pPr>
        <w:rPr>
          <w:rFonts w:asciiTheme="minorHAnsi" w:hAnsiTheme="minorHAnsi" w:cstheme="minorHAnsi"/>
          <w:color w:val="0D0D0D" w:themeColor="text1" w:themeTint="F2"/>
          <w:szCs w:val="24"/>
          <w:lang w:val="es-ES"/>
        </w:rPr>
      </w:pPr>
      <w:r w:rsidRPr="003F35CB">
        <w:rPr>
          <w:rFonts w:asciiTheme="minorHAnsi" w:hAnsiTheme="minorHAnsi" w:cstheme="minorHAnsi"/>
          <w:color w:val="000000" w:themeColor="text1"/>
          <w:kern w:val="24"/>
          <w:szCs w:val="24"/>
          <w:lang w:val="es-ES"/>
        </w:rPr>
        <w:t>5.1</w:t>
      </w:r>
      <w:r w:rsidRPr="003F35CB">
        <w:rPr>
          <w:rFonts w:asciiTheme="minorHAnsi" w:hAnsiTheme="minorHAnsi" w:cstheme="minorHAnsi"/>
          <w:color w:val="000000" w:themeColor="text1"/>
          <w:kern w:val="24"/>
          <w:szCs w:val="24"/>
          <w:lang w:val="es-ES"/>
        </w:rPr>
        <w:tab/>
      </w:r>
      <w:r w:rsidRPr="003F35CB">
        <w:rPr>
          <w:lang w:val="es-ES"/>
        </w:rPr>
        <w:t>Se analizarán y actualizarán periódicamente los avances en la ejecución de los proyectos financiados por el FD-TIC en la dirección</w:t>
      </w:r>
      <w:r w:rsidRPr="003F35CB">
        <w:rPr>
          <w:rFonts w:asciiTheme="minorHAnsi" w:hAnsiTheme="minorHAnsi" w:cstheme="minorHAnsi"/>
          <w:color w:val="000000" w:themeColor="text1"/>
          <w:kern w:val="24"/>
          <w:szCs w:val="24"/>
          <w:lang w:val="es-ES"/>
        </w:rPr>
        <w:t xml:space="preserve"> </w:t>
      </w:r>
      <w:hyperlink r:id="rId20" w:history="1">
        <w:r w:rsidR="0030573C" w:rsidRPr="002937EF">
          <w:rPr>
            <w:rStyle w:val="Hyperlink"/>
          </w:rPr>
          <w:t>https://www.itu.int/en/ITU-D/Projects/Pages/ICT-DF.aspx</w:t>
        </w:r>
      </w:hyperlink>
      <w:r w:rsidRPr="003F35CB">
        <w:rPr>
          <w:rFonts w:asciiTheme="minorHAnsi" w:hAnsiTheme="minorHAnsi" w:cstheme="minorHAnsi"/>
          <w:color w:val="000000" w:themeColor="text1"/>
          <w:kern w:val="24"/>
          <w:szCs w:val="24"/>
          <w:lang w:val="es-ES"/>
        </w:rPr>
        <w:t>.</w:t>
      </w:r>
    </w:p>
    <w:p w14:paraId="0150B59F" w14:textId="77777777" w:rsidR="00D54DAC" w:rsidRPr="003F35CB" w:rsidRDefault="00D54DAC" w:rsidP="0030573C">
      <w:pPr>
        <w:rPr>
          <w:rFonts w:asciiTheme="minorHAnsi" w:hAnsiTheme="minorHAnsi" w:cstheme="minorHAnsi"/>
          <w:color w:val="000000" w:themeColor="text1"/>
          <w:kern w:val="24"/>
          <w:szCs w:val="24"/>
          <w:lang w:val="es-ES"/>
        </w:rPr>
      </w:pPr>
      <w:r w:rsidRPr="003F35CB">
        <w:rPr>
          <w:rFonts w:asciiTheme="minorHAnsi" w:hAnsiTheme="minorHAnsi" w:cstheme="minorHAnsi"/>
          <w:color w:val="000000" w:themeColor="text1"/>
          <w:kern w:val="24"/>
          <w:szCs w:val="24"/>
          <w:lang w:val="es-ES"/>
        </w:rPr>
        <w:lastRenderedPageBreak/>
        <w:t>5.2</w:t>
      </w:r>
      <w:r w:rsidRPr="003F35CB">
        <w:rPr>
          <w:rFonts w:asciiTheme="minorHAnsi" w:hAnsiTheme="minorHAnsi" w:cstheme="minorHAnsi"/>
          <w:color w:val="000000" w:themeColor="text1"/>
          <w:kern w:val="24"/>
          <w:szCs w:val="24"/>
          <w:lang w:val="es-ES"/>
        </w:rPr>
        <w:tab/>
      </w:r>
      <w:r w:rsidRPr="003F35CB">
        <w:rPr>
          <w:lang w:val="es-ES"/>
        </w:rPr>
        <w:t>Teniendo en cuenta que el FD-TIC se rige por la demanda y proporciona un tipo de financiación inicial por naturaleza y principio, el CD FD-TIC seguirá estudiando propuestas de proyecto sobre la base de las reglas y criterios, manteniéndose al mismo tiempo dentro de los límites de la Cuenta de Capital del FD-TIC, para apoyar el desarrollo de las telecomunicaciones/TIC en los Estados Miembros de la UIT y contribuir al logro de los Objetivos de Desarrollo Sostenible</w:t>
      </w:r>
      <w:r w:rsidRPr="003F35CB">
        <w:rPr>
          <w:rFonts w:asciiTheme="minorHAnsi" w:hAnsiTheme="minorHAnsi" w:cstheme="minorHAnsi"/>
          <w:color w:val="000000" w:themeColor="text1"/>
          <w:kern w:val="24"/>
          <w:szCs w:val="24"/>
          <w:lang w:val="es-ES"/>
        </w:rPr>
        <w:t>.</w:t>
      </w:r>
    </w:p>
    <w:p w14:paraId="10543AAE" w14:textId="77777777" w:rsidR="00D54DAC" w:rsidRPr="003F35CB" w:rsidRDefault="00D54DAC" w:rsidP="0030573C">
      <w:pPr>
        <w:rPr>
          <w:rFonts w:asciiTheme="minorHAnsi" w:hAnsiTheme="minorHAnsi" w:cstheme="minorHAnsi"/>
          <w:szCs w:val="24"/>
          <w:lang w:val="es-ES"/>
        </w:rPr>
      </w:pPr>
      <w:r w:rsidRPr="003F35CB">
        <w:rPr>
          <w:rFonts w:asciiTheme="minorHAnsi" w:hAnsiTheme="minorHAnsi" w:cstheme="minorHAnsi"/>
          <w:color w:val="000000" w:themeColor="text1"/>
          <w:kern w:val="24"/>
          <w:szCs w:val="24"/>
          <w:lang w:val="es-ES"/>
        </w:rPr>
        <w:t>5.3</w:t>
      </w:r>
      <w:r w:rsidRPr="003F35CB">
        <w:rPr>
          <w:rFonts w:asciiTheme="minorHAnsi" w:hAnsiTheme="minorHAnsi" w:cstheme="minorHAnsi"/>
          <w:color w:val="000000" w:themeColor="text1"/>
          <w:kern w:val="24"/>
          <w:szCs w:val="24"/>
          <w:lang w:val="es-ES"/>
        </w:rPr>
        <w:tab/>
      </w:r>
      <w:r w:rsidRPr="003F35CB">
        <w:rPr>
          <w:lang w:val="es-ES"/>
        </w:rPr>
        <w:t xml:space="preserve">Habida cuenta de las disposiciones de la Resolución 11 (Rev. Dubái, 2018) de la PP-18 a que se alude en el párrafo 4.3 </w:t>
      </w:r>
      <w:r w:rsidRPr="003F35CB">
        <w:rPr>
          <w:i/>
          <w:iCs/>
          <w:lang w:val="es-ES"/>
        </w:rPr>
        <w:t>supra</w:t>
      </w:r>
      <w:r w:rsidRPr="003F35CB">
        <w:rPr>
          <w:lang w:val="es-ES"/>
        </w:rPr>
        <w:t>, el CD FD-TIC debe prestar la debida atención a los factores pertinentes antes de considerar la posibilidad de financiar nuevos proyectos con cargo al FD-TIC</w:t>
      </w:r>
      <w:r w:rsidRPr="003F35CB">
        <w:rPr>
          <w:rFonts w:asciiTheme="minorHAnsi" w:hAnsiTheme="minorHAnsi" w:cstheme="minorHAnsi"/>
          <w:color w:val="000000" w:themeColor="text1"/>
          <w:kern w:val="24"/>
          <w:szCs w:val="24"/>
          <w:lang w:val="es-ES"/>
        </w:rPr>
        <w:t>.</w:t>
      </w:r>
    </w:p>
    <w:p w14:paraId="0A5BD53F" w14:textId="77777777" w:rsidR="00D54DAC" w:rsidRPr="003F35CB" w:rsidRDefault="00D54DAC" w:rsidP="0030573C">
      <w:pPr>
        <w:rPr>
          <w:rFonts w:asciiTheme="minorHAnsi" w:eastAsiaTheme="minorEastAsia" w:hAnsiTheme="minorHAnsi" w:cstheme="minorHAnsi"/>
          <w:szCs w:val="24"/>
          <w:lang w:val="es-ES" w:eastAsia="zh-CN"/>
        </w:rPr>
      </w:pPr>
      <w:r w:rsidRPr="003F35CB">
        <w:rPr>
          <w:rFonts w:asciiTheme="minorHAnsi" w:eastAsiaTheme="minorEastAsia" w:hAnsiTheme="minorHAnsi" w:cstheme="minorHAnsi"/>
          <w:szCs w:val="24"/>
          <w:lang w:val="es-ES" w:eastAsia="zh-CN"/>
        </w:rPr>
        <w:t>5.4</w:t>
      </w:r>
      <w:r w:rsidRPr="003F35CB">
        <w:rPr>
          <w:rFonts w:asciiTheme="minorHAnsi" w:eastAsiaTheme="minorEastAsia" w:hAnsiTheme="minorHAnsi" w:cstheme="minorHAnsi"/>
          <w:szCs w:val="24"/>
          <w:lang w:val="es-ES" w:eastAsia="zh-CN"/>
        </w:rPr>
        <w:tab/>
      </w:r>
      <w:r w:rsidRPr="003F35CB">
        <w:rPr>
          <w:lang w:val="es-ES"/>
        </w:rPr>
        <w:t xml:space="preserve">Se invita al Consejo </w:t>
      </w:r>
      <w:r w:rsidRPr="0030573C">
        <w:rPr>
          <w:b/>
          <w:bCs/>
          <w:lang w:val="es-ES"/>
        </w:rPr>
        <w:t>a tomar nota del presente Informe y a facilitar las orientaciones que estime oportunas</w:t>
      </w:r>
      <w:r w:rsidRPr="003F35CB">
        <w:rPr>
          <w:rFonts w:asciiTheme="minorHAnsi" w:eastAsiaTheme="minorEastAsia" w:hAnsiTheme="minorHAnsi" w:cstheme="minorHAnsi"/>
          <w:szCs w:val="24"/>
          <w:lang w:val="es-ES" w:eastAsia="zh-CN"/>
        </w:rPr>
        <w:t>.</w:t>
      </w:r>
    </w:p>
    <w:p w14:paraId="00107B10" w14:textId="77777777" w:rsidR="00D54DAC" w:rsidRPr="003F35CB" w:rsidRDefault="00D54DAC" w:rsidP="00D54DAC">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szCs w:val="24"/>
          <w:lang w:val="es-ES" w:eastAsia="zh-CN"/>
        </w:rPr>
      </w:pPr>
      <w:r w:rsidRPr="003F35CB">
        <w:rPr>
          <w:rFonts w:asciiTheme="minorHAnsi" w:eastAsiaTheme="minorEastAsia" w:hAnsiTheme="minorHAnsi" w:cstheme="minorHAnsi"/>
          <w:szCs w:val="24"/>
          <w:lang w:val="es-ES" w:eastAsia="zh-CN"/>
        </w:rPr>
        <w:br w:type="page"/>
      </w:r>
    </w:p>
    <w:p w14:paraId="134DD43E" w14:textId="77777777" w:rsidR="00D54DAC" w:rsidRPr="003F35CB" w:rsidRDefault="00D54DAC" w:rsidP="00D54DAC">
      <w:pPr>
        <w:pStyle w:val="Heading1"/>
        <w:keepNext w:val="0"/>
        <w:keepLines w:val="0"/>
        <w:jc w:val="center"/>
        <w:rPr>
          <w:rFonts w:asciiTheme="minorHAnsi" w:hAnsiTheme="minorHAnsi" w:cstheme="minorHAnsi"/>
          <w:b w:val="0"/>
          <w:szCs w:val="28"/>
          <w:lang w:val="es-ES"/>
        </w:rPr>
      </w:pPr>
      <w:r w:rsidRPr="003F35CB">
        <w:rPr>
          <w:rFonts w:asciiTheme="minorHAnsi" w:hAnsiTheme="minorHAnsi" w:cstheme="minorHAnsi"/>
          <w:b w:val="0"/>
          <w:szCs w:val="28"/>
          <w:lang w:val="es-ES"/>
        </w:rPr>
        <w:lastRenderedPageBreak/>
        <w:t>ANEXO 1</w:t>
      </w:r>
    </w:p>
    <w:p w14:paraId="2BD40BEE" w14:textId="77777777" w:rsidR="00D54DAC" w:rsidRPr="003F35CB" w:rsidRDefault="00D54DAC" w:rsidP="001B5AE2">
      <w:pPr>
        <w:pStyle w:val="Heading1"/>
        <w:keepNext w:val="0"/>
        <w:keepLines w:val="0"/>
        <w:spacing w:before="120" w:after="120"/>
        <w:jc w:val="center"/>
        <w:rPr>
          <w:rFonts w:asciiTheme="minorHAnsi" w:hAnsiTheme="minorHAnsi" w:cstheme="minorHAnsi"/>
          <w:bCs/>
          <w:szCs w:val="28"/>
          <w:lang w:val="es-ES"/>
        </w:rPr>
      </w:pPr>
      <w:r w:rsidRPr="003F35CB">
        <w:rPr>
          <w:rFonts w:asciiTheme="minorHAnsi" w:hAnsiTheme="minorHAnsi" w:cstheme="minorHAnsi"/>
          <w:bCs/>
          <w:szCs w:val="28"/>
          <w:lang w:val="es-ES"/>
        </w:rPr>
        <w:t>Proyectos del FD-TIC en curso en el T4 de 2020</w:t>
      </w:r>
    </w:p>
    <w:tbl>
      <w:tblPr>
        <w:tblStyle w:val="TableGrid"/>
        <w:tblW w:w="10773" w:type="dxa"/>
        <w:jc w:val="center"/>
        <w:tblLayout w:type="fixed"/>
        <w:tblLook w:val="04A0" w:firstRow="1" w:lastRow="0" w:firstColumn="1" w:lastColumn="0" w:noHBand="0" w:noVBand="1"/>
      </w:tblPr>
      <w:tblGrid>
        <w:gridCol w:w="1121"/>
        <w:gridCol w:w="1709"/>
        <w:gridCol w:w="892"/>
        <w:gridCol w:w="851"/>
        <w:gridCol w:w="920"/>
        <w:gridCol w:w="886"/>
        <w:gridCol w:w="1073"/>
        <w:gridCol w:w="1963"/>
        <w:gridCol w:w="1358"/>
      </w:tblGrid>
      <w:tr w:rsidR="001B5AE2" w:rsidRPr="003A5248" w14:paraId="320600D4" w14:textId="77777777" w:rsidTr="001B5AE2">
        <w:trPr>
          <w:trHeight w:val="403"/>
          <w:tblHeader/>
          <w:jc w:val="center"/>
        </w:trPr>
        <w:tc>
          <w:tcPr>
            <w:tcW w:w="1121" w:type="dxa"/>
            <w:shd w:val="clear" w:color="auto" w:fill="D9D9D9" w:themeFill="background1" w:themeFillShade="D9"/>
            <w:tcMar>
              <w:left w:w="85" w:type="dxa"/>
              <w:right w:w="85" w:type="dxa"/>
            </w:tcMar>
            <w:vAlign w:val="center"/>
          </w:tcPr>
          <w:p w14:paraId="5841CDD6" w14:textId="77777777" w:rsidR="00D54DAC" w:rsidRPr="003A5248" w:rsidRDefault="00D54DAC" w:rsidP="0030573C">
            <w:pPr>
              <w:pStyle w:val="Tablehead"/>
              <w:spacing w:line="180" w:lineRule="exact"/>
              <w:rPr>
                <w:sz w:val="17"/>
                <w:szCs w:val="17"/>
                <w:lang w:val="es-ES"/>
              </w:rPr>
            </w:pPr>
            <w:proofErr w:type="spellStart"/>
            <w:r w:rsidRPr="003A5248">
              <w:rPr>
                <w:sz w:val="17"/>
                <w:szCs w:val="17"/>
                <w:lang w:val="es-ES"/>
              </w:rPr>
              <w:t>Nº</w:t>
            </w:r>
            <w:proofErr w:type="spellEnd"/>
            <w:r w:rsidRPr="003A5248">
              <w:rPr>
                <w:sz w:val="17"/>
                <w:szCs w:val="17"/>
                <w:lang w:val="es-ES"/>
              </w:rPr>
              <w:t xml:space="preserve"> proyecto</w:t>
            </w:r>
          </w:p>
        </w:tc>
        <w:tc>
          <w:tcPr>
            <w:tcW w:w="1709" w:type="dxa"/>
            <w:shd w:val="clear" w:color="auto" w:fill="D9D9D9" w:themeFill="background1" w:themeFillShade="D9"/>
            <w:tcMar>
              <w:left w:w="85" w:type="dxa"/>
              <w:right w:w="85" w:type="dxa"/>
            </w:tcMar>
            <w:vAlign w:val="center"/>
          </w:tcPr>
          <w:p w14:paraId="6F826302" w14:textId="77777777" w:rsidR="00D54DAC" w:rsidRPr="003A5248" w:rsidRDefault="00D54DAC" w:rsidP="0030573C">
            <w:pPr>
              <w:pStyle w:val="Tablehead"/>
              <w:spacing w:line="180" w:lineRule="exact"/>
              <w:rPr>
                <w:sz w:val="17"/>
                <w:szCs w:val="17"/>
                <w:lang w:val="es-ES"/>
              </w:rPr>
            </w:pPr>
            <w:r w:rsidRPr="003A5248">
              <w:rPr>
                <w:sz w:val="17"/>
                <w:szCs w:val="17"/>
                <w:lang w:val="es-ES"/>
              </w:rPr>
              <w:t>Título</w:t>
            </w:r>
          </w:p>
        </w:tc>
        <w:tc>
          <w:tcPr>
            <w:tcW w:w="892" w:type="dxa"/>
            <w:shd w:val="clear" w:color="auto" w:fill="D9D9D9" w:themeFill="background1" w:themeFillShade="D9"/>
            <w:tcMar>
              <w:left w:w="85" w:type="dxa"/>
              <w:right w:w="85" w:type="dxa"/>
            </w:tcMar>
            <w:vAlign w:val="center"/>
          </w:tcPr>
          <w:p w14:paraId="781D27FA" w14:textId="77777777" w:rsidR="00D54DAC" w:rsidRPr="003A5248" w:rsidRDefault="00D54DAC" w:rsidP="0030573C">
            <w:pPr>
              <w:pStyle w:val="Tablehead"/>
              <w:spacing w:line="180" w:lineRule="exact"/>
              <w:rPr>
                <w:sz w:val="17"/>
                <w:szCs w:val="17"/>
                <w:lang w:val="es-ES"/>
              </w:rPr>
            </w:pPr>
            <w:r w:rsidRPr="003A5248">
              <w:rPr>
                <w:sz w:val="17"/>
                <w:szCs w:val="17"/>
                <w:lang w:val="es-ES"/>
              </w:rPr>
              <w:t>Fecha de inicio</w:t>
            </w:r>
          </w:p>
        </w:tc>
        <w:tc>
          <w:tcPr>
            <w:tcW w:w="851" w:type="dxa"/>
            <w:shd w:val="clear" w:color="auto" w:fill="D9D9D9" w:themeFill="background1" w:themeFillShade="D9"/>
            <w:tcMar>
              <w:left w:w="85" w:type="dxa"/>
              <w:right w:w="85" w:type="dxa"/>
            </w:tcMar>
            <w:vAlign w:val="center"/>
          </w:tcPr>
          <w:p w14:paraId="1193A386" w14:textId="32B75042" w:rsidR="00D54DAC" w:rsidRPr="003A5248" w:rsidRDefault="00D54DAC" w:rsidP="0030573C">
            <w:pPr>
              <w:pStyle w:val="Tablehead"/>
              <w:spacing w:line="180" w:lineRule="exact"/>
              <w:rPr>
                <w:sz w:val="17"/>
                <w:szCs w:val="17"/>
                <w:lang w:val="es-ES"/>
              </w:rPr>
            </w:pPr>
            <w:r w:rsidRPr="003A5248">
              <w:rPr>
                <w:sz w:val="17"/>
                <w:szCs w:val="17"/>
                <w:lang w:val="es-ES"/>
              </w:rPr>
              <w:t>Fecha de finaliza</w:t>
            </w:r>
            <w:r w:rsidR="001B5AE2">
              <w:rPr>
                <w:sz w:val="17"/>
                <w:szCs w:val="17"/>
                <w:lang w:val="es-ES"/>
              </w:rPr>
              <w:t>-</w:t>
            </w:r>
            <w:proofErr w:type="spellStart"/>
            <w:r w:rsidRPr="003A5248">
              <w:rPr>
                <w:sz w:val="17"/>
                <w:szCs w:val="17"/>
                <w:lang w:val="es-ES"/>
              </w:rPr>
              <w:t>ción</w:t>
            </w:r>
            <w:proofErr w:type="spellEnd"/>
          </w:p>
        </w:tc>
        <w:tc>
          <w:tcPr>
            <w:tcW w:w="920" w:type="dxa"/>
            <w:shd w:val="clear" w:color="auto" w:fill="D9D9D9" w:themeFill="background1" w:themeFillShade="D9"/>
            <w:tcMar>
              <w:left w:w="85" w:type="dxa"/>
              <w:right w:w="85" w:type="dxa"/>
            </w:tcMar>
            <w:vAlign w:val="center"/>
          </w:tcPr>
          <w:p w14:paraId="67F50F56" w14:textId="77777777" w:rsidR="00D54DAC" w:rsidRPr="003A5248" w:rsidRDefault="00D54DAC" w:rsidP="0030573C">
            <w:pPr>
              <w:pStyle w:val="Tablehead"/>
              <w:spacing w:line="180" w:lineRule="exact"/>
              <w:rPr>
                <w:sz w:val="17"/>
                <w:szCs w:val="17"/>
                <w:lang w:val="es-ES"/>
              </w:rPr>
            </w:pPr>
            <w:r w:rsidRPr="003A5248">
              <w:rPr>
                <w:sz w:val="17"/>
                <w:szCs w:val="17"/>
                <w:lang w:val="es-ES"/>
              </w:rPr>
              <w:t>Región</w:t>
            </w:r>
          </w:p>
        </w:tc>
        <w:tc>
          <w:tcPr>
            <w:tcW w:w="886" w:type="dxa"/>
            <w:shd w:val="clear" w:color="auto" w:fill="D9D9D9" w:themeFill="background1" w:themeFillShade="D9"/>
            <w:tcMar>
              <w:left w:w="85" w:type="dxa"/>
              <w:right w:w="85" w:type="dxa"/>
            </w:tcMar>
            <w:vAlign w:val="center"/>
          </w:tcPr>
          <w:p w14:paraId="3F5A5745" w14:textId="77777777" w:rsidR="00D54DAC" w:rsidRPr="003A5248" w:rsidRDefault="00D54DAC" w:rsidP="0030573C">
            <w:pPr>
              <w:pStyle w:val="Tablehead"/>
              <w:spacing w:line="180" w:lineRule="exact"/>
              <w:rPr>
                <w:sz w:val="17"/>
                <w:szCs w:val="17"/>
                <w:lang w:val="es-ES"/>
              </w:rPr>
            </w:pPr>
            <w:r w:rsidRPr="003A5248">
              <w:rPr>
                <w:sz w:val="17"/>
                <w:szCs w:val="17"/>
                <w:lang w:val="es-ES"/>
              </w:rPr>
              <w:t>Fecha de firma</w:t>
            </w:r>
          </w:p>
        </w:tc>
        <w:tc>
          <w:tcPr>
            <w:tcW w:w="1073" w:type="dxa"/>
            <w:shd w:val="clear" w:color="auto" w:fill="D9D9D9" w:themeFill="background1" w:themeFillShade="D9"/>
            <w:tcMar>
              <w:left w:w="85" w:type="dxa"/>
              <w:right w:w="85" w:type="dxa"/>
            </w:tcMar>
            <w:vAlign w:val="center"/>
          </w:tcPr>
          <w:p w14:paraId="07D2C3AB" w14:textId="77777777" w:rsidR="00D54DAC" w:rsidRPr="003A5248" w:rsidRDefault="00D54DAC" w:rsidP="0030573C">
            <w:pPr>
              <w:pStyle w:val="Tablehead"/>
              <w:spacing w:line="180" w:lineRule="exact"/>
              <w:rPr>
                <w:sz w:val="17"/>
                <w:szCs w:val="17"/>
                <w:lang w:val="es-ES"/>
              </w:rPr>
            </w:pPr>
            <w:r w:rsidRPr="003A5248">
              <w:rPr>
                <w:sz w:val="17"/>
                <w:szCs w:val="17"/>
                <w:lang w:val="es-ES"/>
              </w:rPr>
              <w:t>Asociados</w:t>
            </w:r>
          </w:p>
        </w:tc>
        <w:tc>
          <w:tcPr>
            <w:tcW w:w="1963" w:type="dxa"/>
            <w:shd w:val="clear" w:color="auto" w:fill="D9D9D9" w:themeFill="background1" w:themeFillShade="D9"/>
            <w:tcMar>
              <w:left w:w="85" w:type="dxa"/>
              <w:right w:w="85" w:type="dxa"/>
            </w:tcMar>
            <w:vAlign w:val="center"/>
          </w:tcPr>
          <w:p w14:paraId="3BA9232E" w14:textId="77777777" w:rsidR="00D54DAC" w:rsidRPr="003A5248" w:rsidRDefault="00D54DAC" w:rsidP="0030573C">
            <w:pPr>
              <w:pStyle w:val="Tablehead"/>
              <w:spacing w:line="180" w:lineRule="exact"/>
              <w:rPr>
                <w:sz w:val="17"/>
                <w:szCs w:val="17"/>
                <w:lang w:val="es-ES"/>
              </w:rPr>
            </w:pPr>
            <w:r w:rsidRPr="003A5248">
              <w:rPr>
                <w:sz w:val="17"/>
                <w:szCs w:val="17"/>
                <w:lang w:val="es-ES"/>
              </w:rPr>
              <w:t xml:space="preserve">Presupuesto </w:t>
            </w:r>
            <w:r w:rsidRPr="003A5248">
              <w:rPr>
                <w:sz w:val="17"/>
                <w:szCs w:val="17"/>
                <w:lang w:val="es-ES"/>
              </w:rPr>
              <w:br/>
              <w:t>firmado</w:t>
            </w:r>
          </w:p>
        </w:tc>
        <w:tc>
          <w:tcPr>
            <w:tcW w:w="1358" w:type="dxa"/>
            <w:shd w:val="clear" w:color="auto" w:fill="D9D9D9" w:themeFill="background1" w:themeFillShade="D9"/>
            <w:tcMar>
              <w:left w:w="85" w:type="dxa"/>
              <w:right w:w="85" w:type="dxa"/>
            </w:tcMar>
            <w:vAlign w:val="center"/>
          </w:tcPr>
          <w:p w14:paraId="62B76E0E" w14:textId="77777777" w:rsidR="00D54DAC" w:rsidRPr="003A5248" w:rsidRDefault="00D54DAC" w:rsidP="0030573C">
            <w:pPr>
              <w:pStyle w:val="Tablehead"/>
              <w:spacing w:line="180" w:lineRule="exact"/>
              <w:rPr>
                <w:sz w:val="17"/>
                <w:szCs w:val="17"/>
                <w:lang w:val="es-ES"/>
              </w:rPr>
            </w:pPr>
            <w:r w:rsidRPr="003A5248">
              <w:rPr>
                <w:sz w:val="17"/>
                <w:szCs w:val="17"/>
                <w:lang w:val="es-ES"/>
              </w:rPr>
              <w:t>Presupuesto restante</w:t>
            </w:r>
            <w:r w:rsidRPr="003A5248">
              <w:rPr>
                <w:sz w:val="17"/>
                <w:szCs w:val="17"/>
                <w:lang w:val="es-ES"/>
              </w:rPr>
              <w:br/>
              <w:t>(después de los compromisos)</w:t>
            </w:r>
          </w:p>
        </w:tc>
      </w:tr>
      <w:tr w:rsidR="00D54DAC" w:rsidRPr="003A5248" w14:paraId="66F258D0" w14:textId="77777777" w:rsidTr="001B5AE2">
        <w:trPr>
          <w:trHeight w:val="403"/>
          <w:jc w:val="center"/>
        </w:trPr>
        <w:tc>
          <w:tcPr>
            <w:tcW w:w="1121" w:type="dxa"/>
            <w:tcMar>
              <w:left w:w="85" w:type="dxa"/>
              <w:right w:w="85" w:type="dxa"/>
            </w:tcMar>
          </w:tcPr>
          <w:p w14:paraId="2B5A9484" w14:textId="77777777" w:rsidR="00D54DAC" w:rsidRPr="003A5248" w:rsidRDefault="00D54DAC" w:rsidP="001B5AE2">
            <w:pPr>
              <w:pStyle w:val="Tabletext"/>
              <w:rPr>
                <w:sz w:val="17"/>
                <w:szCs w:val="17"/>
                <w:lang w:val="es-ES"/>
              </w:rPr>
            </w:pPr>
            <w:r w:rsidRPr="003A5248">
              <w:rPr>
                <w:sz w:val="17"/>
                <w:szCs w:val="17"/>
                <w:lang w:val="es-ES"/>
              </w:rPr>
              <w:t>7CUB18004</w:t>
            </w:r>
          </w:p>
        </w:tc>
        <w:tc>
          <w:tcPr>
            <w:tcW w:w="1709" w:type="dxa"/>
            <w:tcMar>
              <w:left w:w="85" w:type="dxa"/>
              <w:right w:w="85" w:type="dxa"/>
            </w:tcMar>
          </w:tcPr>
          <w:p w14:paraId="4D005B14" w14:textId="77777777" w:rsidR="00D54DAC" w:rsidRPr="003A5248" w:rsidRDefault="00D54DAC" w:rsidP="0030573C">
            <w:pPr>
              <w:pStyle w:val="Tabletext"/>
              <w:rPr>
                <w:sz w:val="17"/>
                <w:szCs w:val="17"/>
                <w:lang w:val="es-ES"/>
              </w:rPr>
            </w:pPr>
            <w:r w:rsidRPr="003A5248">
              <w:rPr>
                <w:sz w:val="17"/>
                <w:szCs w:val="17"/>
                <w:lang w:val="es-ES"/>
              </w:rPr>
              <w:t>Monitoreo del espectro radioeléctrico</w:t>
            </w:r>
          </w:p>
        </w:tc>
        <w:tc>
          <w:tcPr>
            <w:tcW w:w="892" w:type="dxa"/>
            <w:tcMar>
              <w:left w:w="85" w:type="dxa"/>
              <w:right w:w="85" w:type="dxa"/>
            </w:tcMar>
          </w:tcPr>
          <w:p w14:paraId="21B2E0EA" w14:textId="77777777" w:rsidR="00D54DAC" w:rsidRPr="003A5248" w:rsidRDefault="00D54DAC" w:rsidP="0030573C">
            <w:pPr>
              <w:pStyle w:val="Tabletext"/>
              <w:jc w:val="center"/>
              <w:rPr>
                <w:sz w:val="17"/>
                <w:szCs w:val="17"/>
                <w:lang w:val="es-ES"/>
              </w:rPr>
            </w:pPr>
            <w:r w:rsidRPr="003A5248">
              <w:rPr>
                <w:sz w:val="17"/>
                <w:szCs w:val="17"/>
                <w:lang w:val="es-ES"/>
              </w:rPr>
              <w:t>1 de junio de 2018</w:t>
            </w:r>
          </w:p>
        </w:tc>
        <w:tc>
          <w:tcPr>
            <w:tcW w:w="851" w:type="dxa"/>
            <w:tcMar>
              <w:left w:w="85" w:type="dxa"/>
              <w:right w:w="85" w:type="dxa"/>
            </w:tcMar>
          </w:tcPr>
          <w:p w14:paraId="666B31E5" w14:textId="77777777" w:rsidR="00D54DAC" w:rsidRPr="003A5248" w:rsidRDefault="00D54DAC" w:rsidP="0030573C">
            <w:pPr>
              <w:pStyle w:val="Tabletext"/>
              <w:jc w:val="center"/>
              <w:rPr>
                <w:sz w:val="17"/>
                <w:szCs w:val="17"/>
                <w:lang w:val="es-ES"/>
              </w:rPr>
            </w:pPr>
            <w:r w:rsidRPr="003A5248">
              <w:rPr>
                <w:sz w:val="17"/>
                <w:szCs w:val="17"/>
                <w:lang w:val="es-ES"/>
              </w:rPr>
              <w:t>28 de febrero de 2021</w:t>
            </w:r>
          </w:p>
        </w:tc>
        <w:tc>
          <w:tcPr>
            <w:tcW w:w="920" w:type="dxa"/>
            <w:tcMar>
              <w:left w:w="85" w:type="dxa"/>
              <w:right w:w="85" w:type="dxa"/>
            </w:tcMar>
          </w:tcPr>
          <w:p w14:paraId="39660392" w14:textId="77777777" w:rsidR="00D54DAC" w:rsidRPr="003A5248" w:rsidRDefault="00D54DAC" w:rsidP="0030573C">
            <w:pPr>
              <w:pStyle w:val="Tabletext"/>
              <w:jc w:val="center"/>
              <w:rPr>
                <w:sz w:val="17"/>
                <w:szCs w:val="17"/>
                <w:lang w:val="es-ES"/>
              </w:rPr>
            </w:pPr>
            <w:r w:rsidRPr="003A5248">
              <w:rPr>
                <w:sz w:val="17"/>
                <w:szCs w:val="17"/>
                <w:lang w:val="es-ES"/>
              </w:rPr>
              <w:t>América</w:t>
            </w:r>
          </w:p>
        </w:tc>
        <w:tc>
          <w:tcPr>
            <w:tcW w:w="886" w:type="dxa"/>
            <w:tcMar>
              <w:left w:w="85" w:type="dxa"/>
              <w:right w:w="85" w:type="dxa"/>
            </w:tcMar>
          </w:tcPr>
          <w:p w14:paraId="19A3C8AA" w14:textId="77777777" w:rsidR="00D54DAC" w:rsidRPr="003A5248" w:rsidRDefault="00D54DAC" w:rsidP="0030573C">
            <w:pPr>
              <w:pStyle w:val="Tabletext"/>
              <w:jc w:val="center"/>
              <w:rPr>
                <w:sz w:val="17"/>
                <w:szCs w:val="17"/>
                <w:lang w:val="es-ES"/>
              </w:rPr>
            </w:pPr>
            <w:r w:rsidRPr="003A5248">
              <w:rPr>
                <w:sz w:val="17"/>
                <w:szCs w:val="17"/>
                <w:lang w:val="es-ES"/>
              </w:rPr>
              <w:t>28 de mayo de 2018</w:t>
            </w:r>
          </w:p>
        </w:tc>
        <w:tc>
          <w:tcPr>
            <w:tcW w:w="1073" w:type="dxa"/>
            <w:tcMar>
              <w:left w:w="85" w:type="dxa"/>
              <w:right w:w="85" w:type="dxa"/>
            </w:tcMar>
          </w:tcPr>
          <w:p w14:paraId="3B55E651" w14:textId="77777777" w:rsidR="00D54DAC" w:rsidRPr="003A5248" w:rsidRDefault="00D54DAC" w:rsidP="0030573C">
            <w:pPr>
              <w:pStyle w:val="Tabletext"/>
              <w:jc w:val="center"/>
              <w:rPr>
                <w:sz w:val="17"/>
                <w:szCs w:val="17"/>
                <w:lang w:val="es-ES"/>
              </w:rPr>
            </w:pPr>
            <w:r w:rsidRPr="003A5248">
              <w:rPr>
                <w:sz w:val="17"/>
                <w:szCs w:val="17"/>
                <w:lang w:val="es-ES"/>
              </w:rPr>
              <w:t>Cuba</w:t>
            </w:r>
          </w:p>
        </w:tc>
        <w:tc>
          <w:tcPr>
            <w:tcW w:w="1963" w:type="dxa"/>
            <w:tcMar>
              <w:left w:w="85" w:type="dxa"/>
              <w:right w:w="85" w:type="dxa"/>
            </w:tcMar>
          </w:tcPr>
          <w:p w14:paraId="697192FB" w14:textId="77777777" w:rsidR="00D54DAC" w:rsidRPr="003A5248" w:rsidRDefault="00D54DAC" w:rsidP="0030573C">
            <w:pPr>
              <w:pStyle w:val="Tabletext"/>
              <w:jc w:val="center"/>
              <w:rPr>
                <w:sz w:val="17"/>
                <w:szCs w:val="17"/>
                <w:lang w:val="es-ES"/>
              </w:rPr>
            </w:pPr>
            <w:r w:rsidRPr="003A5248">
              <w:rPr>
                <w:sz w:val="17"/>
                <w:szCs w:val="17"/>
                <w:lang w:val="es-ES"/>
              </w:rPr>
              <w:t xml:space="preserve">Ministerio de Comunicaciones de Cuba: </w:t>
            </w:r>
            <w:r w:rsidRPr="003A5248">
              <w:rPr>
                <w:sz w:val="17"/>
                <w:szCs w:val="17"/>
                <w:lang w:val="es-ES"/>
              </w:rPr>
              <w:br/>
              <w:t>132 320 USD</w:t>
            </w:r>
            <w:r w:rsidRPr="003A5248">
              <w:rPr>
                <w:sz w:val="17"/>
                <w:szCs w:val="17"/>
                <w:lang w:val="es-ES"/>
              </w:rPr>
              <w:br/>
              <w:t>FD-TIC: 123 087 USD</w:t>
            </w:r>
          </w:p>
          <w:p w14:paraId="4520940E" w14:textId="77777777" w:rsidR="00D54DAC" w:rsidRPr="003A5248" w:rsidRDefault="00D54DAC" w:rsidP="0030573C">
            <w:pPr>
              <w:pStyle w:val="Tabletext"/>
              <w:jc w:val="center"/>
              <w:rPr>
                <w:sz w:val="17"/>
                <w:szCs w:val="17"/>
                <w:lang w:val="es-ES"/>
              </w:rPr>
            </w:pPr>
            <w:r w:rsidRPr="003A5248">
              <w:rPr>
                <w:sz w:val="17"/>
                <w:szCs w:val="17"/>
                <w:lang w:val="es-ES"/>
              </w:rPr>
              <w:t>UIT-PO: 120 087 USD</w:t>
            </w:r>
          </w:p>
        </w:tc>
        <w:tc>
          <w:tcPr>
            <w:tcW w:w="1358" w:type="dxa"/>
            <w:tcMar>
              <w:left w:w="85" w:type="dxa"/>
              <w:right w:w="85" w:type="dxa"/>
            </w:tcMar>
          </w:tcPr>
          <w:p w14:paraId="0DDCB402" w14:textId="77777777" w:rsidR="00D54DAC" w:rsidRPr="003A5248" w:rsidRDefault="00D54DAC" w:rsidP="0030573C">
            <w:pPr>
              <w:pStyle w:val="Tabletext"/>
              <w:jc w:val="center"/>
              <w:rPr>
                <w:sz w:val="17"/>
                <w:szCs w:val="17"/>
                <w:lang w:val="es-ES"/>
              </w:rPr>
            </w:pPr>
            <w:r w:rsidRPr="003A5248">
              <w:rPr>
                <w:sz w:val="17"/>
                <w:szCs w:val="17"/>
                <w:lang w:val="es-ES"/>
              </w:rPr>
              <w:t>0 USD</w:t>
            </w:r>
          </w:p>
        </w:tc>
      </w:tr>
      <w:tr w:rsidR="00D54DAC" w:rsidRPr="003A5248" w14:paraId="4728E5B2" w14:textId="77777777" w:rsidTr="001B5AE2">
        <w:trPr>
          <w:trHeight w:val="403"/>
          <w:jc w:val="center"/>
        </w:trPr>
        <w:tc>
          <w:tcPr>
            <w:tcW w:w="1121" w:type="dxa"/>
            <w:tcMar>
              <w:left w:w="85" w:type="dxa"/>
              <w:right w:w="85" w:type="dxa"/>
            </w:tcMar>
          </w:tcPr>
          <w:p w14:paraId="7A460437" w14:textId="77777777" w:rsidR="00D54DAC" w:rsidRPr="003A5248" w:rsidRDefault="00D54DAC" w:rsidP="001B5AE2">
            <w:pPr>
              <w:pStyle w:val="Tabletext"/>
              <w:rPr>
                <w:sz w:val="17"/>
                <w:szCs w:val="17"/>
                <w:lang w:val="es-ES"/>
              </w:rPr>
            </w:pPr>
            <w:r w:rsidRPr="003A5248">
              <w:rPr>
                <w:sz w:val="17"/>
                <w:szCs w:val="17"/>
                <w:lang w:val="es-ES"/>
              </w:rPr>
              <w:t>7GLO03043</w:t>
            </w:r>
          </w:p>
        </w:tc>
        <w:tc>
          <w:tcPr>
            <w:tcW w:w="1709" w:type="dxa"/>
            <w:tcMar>
              <w:left w:w="85" w:type="dxa"/>
              <w:right w:w="85" w:type="dxa"/>
            </w:tcMar>
          </w:tcPr>
          <w:p w14:paraId="6B1CBE52" w14:textId="77777777" w:rsidR="00D54DAC" w:rsidRPr="003A5248" w:rsidRDefault="00D54DAC" w:rsidP="0030573C">
            <w:pPr>
              <w:pStyle w:val="Tabletext"/>
              <w:rPr>
                <w:sz w:val="17"/>
                <w:szCs w:val="17"/>
                <w:lang w:val="es-ES"/>
              </w:rPr>
            </w:pPr>
            <w:r w:rsidRPr="003A5248">
              <w:rPr>
                <w:sz w:val="17"/>
                <w:szCs w:val="17"/>
                <w:lang w:val="es-ES"/>
              </w:rPr>
              <w:t>Desarrollo de las telecomunicaciones rurales en los países menos adelantados</w:t>
            </w:r>
          </w:p>
        </w:tc>
        <w:tc>
          <w:tcPr>
            <w:tcW w:w="892" w:type="dxa"/>
            <w:tcMar>
              <w:left w:w="85" w:type="dxa"/>
              <w:right w:w="85" w:type="dxa"/>
            </w:tcMar>
          </w:tcPr>
          <w:p w14:paraId="48BE31DF" w14:textId="77777777" w:rsidR="00D54DAC" w:rsidRPr="003A5248" w:rsidRDefault="00D54DAC" w:rsidP="0030573C">
            <w:pPr>
              <w:pStyle w:val="Tabletext"/>
              <w:jc w:val="center"/>
              <w:rPr>
                <w:sz w:val="17"/>
                <w:szCs w:val="17"/>
                <w:lang w:val="es-ES"/>
              </w:rPr>
            </w:pPr>
            <w:r w:rsidRPr="003A5248">
              <w:rPr>
                <w:sz w:val="17"/>
                <w:szCs w:val="17"/>
                <w:lang w:val="es-ES"/>
              </w:rPr>
              <w:t>1 de enero de 2003</w:t>
            </w:r>
          </w:p>
        </w:tc>
        <w:tc>
          <w:tcPr>
            <w:tcW w:w="851" w:type="dxa"/>
            <w:tcMar>
              <w:left w:w="85" w:type="dxa"/>
              <w:right w:w="85" w:type="dxa"/>
            </w:tcMar>
          </w:tcPr>
          <w:p w14:paraId="438C0902" w14:textId="77777777" w:rsidR="00D54DAC" w:rsidRPr="003A5248" w:rsidRDefault="00D54DAC" w:rsidP="0030573C">
            <w:pPr>
              <w:pStyle w:val="Tabletext"/>
              <w:jc w:val="center"/>
              <w:rPr>
                <w:sz w:val="17"/>
                <w:szCs w:val="17"/>
                <w:lang w:val="es-ES"/>
              </w:rPr>
            </w:pPr>
            <w:r w:rsidRPr="003A5248">
              <w:rPr>
                <w:sz w:val="17"/>
                <w:szCs w:val="17"/>
                <w:lang w:val="es-ES"/>
              </w:rPr>
              <w:t>31 de agosto de 2023</w:t>
            </w:r>
          </w:p>
        </w:tc>
        <w:tc>
          <w:tcPr>
            <w:tcW w:w="920" w:type="dxa"/>
            <w:tcMar>
              <w:left w:w="85" w:type="dxa"/>
              <w:right w:w="85" w:type="dxa"/>
            </w:tcMar>
          </w:tcPr>
          <w:p w14:paraId="6E427920" w14:textId="5EA39A18" w:rsidR="00D54DAC" w:rsidRPr="003A5248" w:rsidRDefault="00D54DAC" w:rsidP="0030573C">
            <w:pPr>
              <w:pStyle w:val="Tabletext"/>
              <w:jc w:val="center"/>
              <w:rPr>
                <w:sz w:val="17"/>
                <w:szCs w:val="17"/>
                <w:lang w:val="es-ES"/>
              </w:rPr>
            </w:pPr>
            <w:proofErr w:type="spellStart"/>
            <w:r w:rsidRPr="003A5248">
              <w:rPr>
                <w:sz w:val="17"/>
                <w:szCs w:val="17"/>
                <w:lang w:val="es-ES"/>
              </w:rPr>
              <w:t>Multi</w:t>
            </w:r>
            <w:r w:rsidR="001172E9">
              <w:rPr>
                <w:sz w:val="17"/>
                <w:szCs w:val="17"/>
                <w:lang w:val="es-ES"/>
              </w:rPr>
              <w:t>-</w:t>
            </w:r>
            <w:r w:rsidRPr="003A5248">
              <w:rPr>
                <w:sz w:val="17"/>
                <w:szCs w:val="17"/>
                <w:lang w:val="es-ES"/>
              </w:rPr>
              <w:t>rregional</w:t>
            </w:r>
            <w:proofErr w:type="spellEnd"/>
          </w:p>
        </w:tc>
        <w:tc>
          <w:tcPr>
            <w:tcW w:w="886" w:type="dxa"/>
            <w:tcMar>
              <w:left w:w="85" w:type="dxa"/>
              <w:right w:w="85" w:type="dxa"/>
            </w:tcMar>
          </w:tcPr>
          <w:p w14:paraId="072DB3F2" w14:textId="77777777" w:rsidR="00D54DAC" w:rsidRPr="003A5248" w:rsidRDefault="00D54DAC" w:rsidP="0030573C">
            <w:pPr>
              <w:pStyle w:val="Tabletext"/>
              <w:jc w:val="center"/>
              <w:rPr>
                <w:sz w:val="17"/>
                <w:szCs w:val="17"/>
                <w:lang w:val="es-ES"/>
              </w:rPr>
            </w:pPr>
            <w:r w:rsidRPr="003A5248">
              <w:rPr>
                <w:sz w:val="17"/>
                <w:szCs w:val="17"/>
                <w:lang w:val="es-ES"/>
              </w:rPr>
              <w:t>18 de diciembre de 2002</w:t>
            </w:r>
          </w:p>
        </w:tc>
        <w:tc>
          <w:tcPr>
            <w:tcW w:w="1073" w:type="dxa"/>
            <w:tcMar>
              <w:left w:w="85" w:type="dxa"/>
              <w:right w:w="85" w:type="dxa"/>
            </w:tcMar>
          </w:tcPr>
          <w:p w14:paraId="7F5CED01" w14:textId="77777777" w:rsidR="00D54DAC" w:rsidRPr="003A5248" w:rsidRDefault="00D54DAC" w:rsidP="0030573C">
            <w:pPr>
              <w:pStyle w:val="Tabletext"/>
              <w:jc w:val="center"/>
              <w:rPr>
                <w:sz w:val="17"/>
                <w:szCs w:val="17"/>
                <w:lang w:val="es-ES"/>
              </w:rPr>
            </w:pPr>
          </w:p>
        </w:tc>
        <w:tc>
          <w:tcPr>
            <w:tcW w:w="1963" w:type="dxa"/>
            <w:tcMar>
              <w:left w:w="85" w:type="dxa"/>
              <w:right w:w="85" w:type="dxa"/>
            </w:tcMar>
          </w:tcPr>
          <w:p w14:paraId="2AFD3201" w14:textId="77777777" w:rsidR="00D54DAC" w:rsidRPr="003A5248" w:rsidRDefault="00D54DAC" w:rsidP="0030573C">
            <w:pPr>
              <w:pStyle w:val="Tabletext"/>
              <w:jc w:val="center"/>
              <w:rPr>
                <w:sz w:val="17"/>
                <w:szCs w:val="17"/>
                <w:lang w:val="es-ES"/>
              </w:rPr>
            </w:pPr>
            <w:r w:rsidRPr="003A5248">
              <w:rPr>
                <w:sz w:val="17"/>
                <w:szCs w:val="17"/>
                <w:lang w:val="es-ES"/>
              </w:rPr>
              <w:t xml:space="preserve">FD-TIC: </w:t>
            </w:r>
            <w:r w:rsidRPr="003A5248">
              <w:rPr>
                <w:sz w:val="17"/>
                <w:szCs w:val="17"/>
                <w:lang w:val="es-ES"/>
              </w:rPr>
              <w:br/>
              <w:t xml:space="preserve">Saldo (01/01/10): </w:t>
            </w:r>
            <w:r w:rsidRPr="003A5248">
              <w:rPr>
                <w:sz w:val="17"/>
                <w:szCs w:val="17"/>
                <w:lang w:val="es-ES"/>
              </w:rPr>
              <w:br/>
              <w:t>509 035 USD</w:t>
            </w:r>
          </w:p>
          <w:p w14:paraId="4E7426E8" w14:textId="77777777" w:rsidR="00D54DAC" w:rsidRPr="003A5248" w:rsidRDefault="00D54DAC" w:rsidP="0030573C">
            <w:pPr>
              <w:pStyle w:val="Tabletext"/>
              <w:jc w:val="center"/>
              <w:rPr>
                <w:sz w:val="17"/>
                <w:szCs w:val="17"/>
                <w:lang w:val="es-ES"/>
              </w:rPr>
            </w:pPr>
            <w:r w:rsidRPr="003A5248">
              <w:rPr>
                <w:sz w:val="17"/>
                <w:szCs w:val="17"/>
                <w:lang w:val="es-ES"/>
              </w:rPr>
              <w:t xml:space="preserve">Asignación adicional: (15/01/10): </w:t>
            </w:r>
            <w:r w:rsidRPr="003A5248">
              <w:rPr>
                <w:sz w:val="17"/>
                <w:szCs w:val="17"/>
                <w:lang w:val="es-ES"/>
              </w:rPr>
              <w:br/>
              <w:t>1 000 000 USD</w:t>
            </w:r>
          </w:p>
          <w:p w14:paraId="59056440" w14:textId="77777777" w:rsidR="00D54DAC" w:rsidRPr="003A5248" w:rsidRDefault="00D54DAC" w:rsidP="0030573C">
            <w:pPr>
              <w:pStyle w:val="Tabletext"/>
              <w:jc w:val="center"/>
              <w:rPr>
                <w:sz w:val="17"/>
                <w:szCs w:val="17"/>
                <w:lang w:val="es-ES"/>
              </w:rPr>
            </w:pPr>
            <w:r w:rsidRPr="003A5248">
              <w:rPr>
                <w:sz w:val="17"/>
                <w:szCs w:val="17"/>
                <w:lang w:val="es-ES"/>
              </w:rPr>
              <w:t xml:space="preserve">Asignación adicional del FD-TIC: (14/11/13) </w:t>
            </w:r>
            <w:r w:rsidRPr="003A5248">
              <w:rPr>
                <w:sz w:val="17"/>
                <w:szCs w:val="17"/>
                <w:lang w:val="es-ES"/>
              </w:rPr>
              <w:br/>
              <w:t>1 000 000 USD</w:t>
            </w:r>
          </w:p>
        </w:tc>
        <w:tc>
          <w:tcPr>
            <w:tcW w:w="1358" w:type="dxa"/>
            <w:tcMar>
              <w:left w:w="85" w:type="dxa"/>
              <w:right w:w="85" w:type="dxa"/>
            </w:tcMar>
          </w:tcPr>
          <w:p w14:paraId="3EE3E083" w14:textId="77777777" w:rsidR="00D54DAC" w:rsidRPr="003A5248" w:rsidRDefault="00D54DAC" w:rsidP="0030573C">
            <w:pPr>
              <w:pStyle w:val="Tabletext"/>
              <w:jc w:val="center"/>
              <w:rPr>
                <w:sz w:val="17"/>
                <w:szCs w:val="17"/>
                <w:lang w:val="es-ES"/>
              </w:rPr>
            </w:pPr>
            <w:r w:rsidRPr="003A5248">
              <w:rPr>
                <w:color w:val="000000" w:themeColor="text1"/>
                <w:sz w:val="17"/>
                <w:szCs w:val="17"/>
                <w:shd w:val="clear" w:color="auto" w:fill="FFFFFF"/>
                <w:lang w:val="es-ES"/>
              </w:rPr>
              <w:t>852 434 CHF</w:t>
            </w:r>
          </w:p>
        </w:tc>
      </w:tr>
      <w:tr w:rsidR="00D54DAC" w:rsidRPr="003A5248" w14:paraId="5C0398B7" w14:textId="77777777" w:rsidTr="001B5AE2">
        <w:trPr>
          <w:trHeight w:val="403"/>
          <w:jc w:val="center"/>
        </w:trPr>
        <w:tc>
          <w:tcPr>
            <w:tcW w:w="1121" w:type="dxa"/>
            <w:tcMar>
              <w:left w:w="85" w:type="dxa"/>
              <w:right w:w="85" w:type="dxa"/>
            </w:tcMar>
          </w:tcPr>
          <w:p w14:paraId="0700AAEB" w14:textId="77777777" w:rsidR="00D54DAC" w:rsidRPr="003A5248" w:rsidRDefault="00D54DAC" w:rsidP="001B5AE2">
            <w:pPr>
              <w:pStyle w:val="Tabletext"/>
              <w:rPr>
                <w:sz w:val="17"/>
                <w:szCs w:val="17"/>
                <w:lang w:val="es-ES"/>
              </w:rPr>
            </w:pPr>
            <w:r w:rsidRPr="003A5248">
              <w:rPr>
                <w:sz w:val="17"/>
                <w:szCs w:val="17"/>
                <w:lang w:val="es-ES"/>
              </w:rPr>
              <w:t>7GLO18096</w:t>
            </w:r>
          </w:p>
        </w:tc>
        <w:tc>
          <w:tcPr>
            <w:tcW w:w="1709" w:type="dxa"/>
            <w:tcMar>
              <w:left w:w="85" w:type="dxa"/>
              <w:right w:w="85" w:type="dxa"/>
            </w:tcMar>
          </w:tcPr>
          <w:p w14:paraId="3FA9B743" w14:textId="77777777" w:rsidR="00D54DAC" w:rsidRPr="003A5248" w:rsidRDefault="00D54DAC" w:rsidP="0030573C">
            <w:pPr>
              <w:pStyle w:val="Tabletext"/>
              <w:rPr>
                <w:sz w:val="17"/>
                <w:szCs w:val="17"/>
                <w:lang w:val="es-ES"/>
              </w:rPr>
            </w:pPr>
            <w:r w:rsidRPr="003A5248">
              <w:rPr>
                <w:sz w:val="17"/>
                <w:szCs w:val="17"/>
                <w:lang w:val="es-ES"/>
              </w:rPr>
              <w:t>Establecimiento del protocolo IPv6 y del centro especializado en IoT</w:t>
            </w:r>
          </w:p>
        </w:tc>
        <w:tc>
          <w:tcPr>
            <w:tcW w:w="892" w:type="dxa"/>
            <w:tcMar>
              <w:left w:w="85" w:type="dxa"/>
              <w:right w:w="85" w:type="dxa"/>
            </w:tcMar>
          </w:tcPr>
          <w:p w14:paraId="6CE86086" w14:textId="77777777" w:rsidR="00D54DAC" w:rsidRPr="003A5248" w:rsidRDefault="00D54DAC" w:rsidP="0030573C">
            <w:pPr>
              <w:pStyle w:val="Tabletext"/>
              <w:jc w:val="center"/>
              <w:rPr>
                <w:sz w:val="17"/>
                <w:szCs w:val="17"/>
                <w:lang w:val="es-ES"/>
              </w:rPr>
            </w:pPr>
            <w:r w:rsidRPr="003A5248">
              <w:rPr>
                <w:sz w:val="17"/>
                <w:szCs w:val="17"/>
                <w:lang w:val="es-ES"/>
              </w:rPr>
              <w:t>1 de junio de 2018</w:t>
            </w:r>
          </w:p>
        </w:tc>
        <w:tc>
          <w:tcPr>
            <w:tcW w:w="851" w:type="dxa"/>
            <w:tcMar>
              <w:left w:w="85" w:type="dxa"/>
              <w:right w:w="85" w:type="dxa"/>
            </w:tcMar>
          </w:tcPr>
          <w:p w14:paraId="29CBF70E" w14:textId="77777777" w:rsidR="00D54DAC" w:rsidRPr="003A5248" w:rsidRDefault="00D54DAC" w:rsidP="003A5248">
            <w:pPr>
              <w:pStyle w:val="Tabletext"/>
              <w:ind w:left="-57"/>
              <w:jc w:val="center"/>
              <w:rPr>
                <w:sz w:val="17"/>
                <w:szCs w:val="17"/>
                <w:lang w:val="es-ES"/>
              </w:rPr>
            </w:pPr>
            <w:r w:rsidRPr="003A5248">
              <w:rPr>
                <w:sz w:val="17"/>
                <w:szCs w:val="17"/>
                <w:lang w:val="es-ES"/>
              </w:rPr>
              <w:t>31 de diciembre de 2020</w:t>
            </w:r>
          </w:p>
        </w:tc>
        <w:tc>
          <w:tcPr>
            <w:tcW w:w="920" w:type="dxa"/>
            <w:tcMar>
              <w:left w:w="85" w:type="dxa"/>
              <w:right w:w="85" w:type="dxa"/>
            </w:tcMar>
          </w:tcPr>
          <w:p w14:paraId="10D1B007" w14:textId="179F38FC" w:rsidR="00D54DAC" w:rsidRPr="003A5248" w:rsidRDefault="00D54DAC" w:rsidP="0030573C">
            <w:pPr>
              <w:pStyle w:val="Tabletext"/>
              <w:jc w:val="center"/>
              <w:rPr>
                <w:sz w:val="17"/>
                <w:szCs w:val="17"/>
                <w:lang w:val="es-ES"/>
              </w:rPr>
            </w:pPr>
            <w:proofErr w:type="spellStart"/>
            <w:r w:rsidRPr="003A5248">
              <w:rPr>
                <w:sz w:val="17"/>
                <w:szCs w:val="17"/>
                <w:lang w:val="es-ES"/>
              </w:rPr>
              <w:t>Multi</w:t>
            </w:r>
            <w:r w:rsidR="001172E9">
              <w:rPr>
                <w:sz w:val="17"/>
                <w:szCs w:val="17"/>
                <w:lang w:val="es-ES"/>
              </w:rPr>
              <w:t>-</w:t>
            </w:r>
            <w:r w:rsidRPr="003A5248">
              <w:rPr>
                <w:sz w:val="17"/>
                <w:szCs w:val="17"/>
                <w:lang w:val="es-ES"/>
              </w:rPr>
              <w:t>rregional</w:t>
            </w:r>
            <w:proofErr w:type="spellEnd"/>
          </w:p>
        </w:tc>
        <w:tc>
          <w:tcPr>
            <w:tcW w:w="886" w:type="dxa"/>
            <w:tcMar>
              <w:left w:w="85" w:type="dxa"/>
              <w:right w:w="85" w:type="dxa"/>
            </w:tcMar>
          </w:tcPr>
          <w:p w14:paraId="575AAB26" w14:textId="77777777" w:rsidR="00D54DAC" w:rsidRPr="003A5248" w:rsidRDefault="00D54DAC" w:rsidP="0030573C">
            <w:pPr>
              <w:pStyle w:val="Tabletext"/>
              <w:jc w:val="center"/>
              <w:rPr>
                <w:sz w:val="17"/>
                <w:szCs w:val="17"/>
                <w:lang w:val="es-ES"/>
              </w:rPr>
            </w:pPr>
            <w:r w:rsidRPr="003A5248">
              <w:rPr>
                <w:sz w:val="17"/>
                <w:szCs w:val="17"/>
                <w:lang w:val="es-ES"/>
              </w:rPr>
              <w:t>3 de mayo de 2018</w:t>
            </w:r>
          </w:p>
        </w:tc>
        <w:tc>
          <w:tcPr>
            <w:tcW w:w="1073" w:type="dxa"/>
            <w:tcMar>
              <w:left w:w="85" w:type="dxa"/>
              <w:right w:w="85" w:type="dxa"/>
            </w:tcMar>
          </w:tcPr>
          <w:p w14:paraId="4C64A9E5" w14:textId="77777777" w:rsidR="00D54DAC" w:rsidRPr="003A5248" w:rsidRDefault="00D54DAC" w:rsidP="0030573C">
            <w:pPr>
              <w:pStyle w:val="Tabletext"/>
              <w:jc w:val="center"/>
              <w:rPr>
                <w:sz w:val="17"/>
                <w:szCs w:val="17"/>
                <w:lang w:val="es-ES"/>
              </w:rPr>
            </w:pPr>
            <w:r w:rsidRPr="003A5248">
              <w:rPr>
                <w:sz w:val="17"/>
                <w:szCs w:val="17"/>
                <w:lang w:val="es-ES"/>
              </w:rPr>
              <w:t>Universidad de Ciencias y Tecnología de Malasia (MUST)</w:t>
            </w:r>
          </w:p>
        </w:tc>
        <w:tc>
          <w:tcPr>
            <w:tcW w:w="1963" w:type="dxa"/>
            <w:tcMar>
              <w:left w:w="85" w:type="dxa"/>
              <w:right w:w="85" w:type="dxa"/>
            </w:tcMar>
          </w:tcPr>
          <w:p w14:paraId="4CD68EE8" w14:textId="77777777" w:rsidR="00D54DAC" w:rsidRPr="003A5248" w:rsidRDefault="00D54DAC" w:rsidP="0030573C">
            <w:pPr>
              <w:pStyle w:val="Tabletext"/>
              <w:jc w:val="center"/>
              <w:rPr>
                <w:sz w:val="17"/>
                <w:szCs w:val="17"/>
                <w:lang w:val="en-GB"/>
              </w:rPr>
            </w:pPr>
            <w:r w:rsidRPr="003A5248">
              <w:rPr>
                <w:sz w:val="17"/>
                <w:szCs w:val="17"/>
                <w:lang w:val="en-GB"/>
              </w:rPr>
              <w:t>FD-TIC: 299 750 USD</w:t>
            </w:r>
          </w:p>
          <w:p w14:paraId="5E353684" w14:textId="00F78509" w:rsidR="00D54DAC" w:rsidRPr="003A5248" w:rsidRDefault="00D54DAC" w:rsidP="0030573C">
            <w:pPr>
              <w:pStyle w:val="Tabletext"/>
              <w:jc w:val="center"/>
              <w:rPr>
                <w:sz w:val="17"/>
                <w:szCs w:val="17"/>
                <w:lang w:val="en-GB"/>
              </w:rPr>
            </w:pPr>
            <w:r w:rsidRPr="003A5248">
              <w:rPr>
                <w:sz w:val="17"/>
                <w:szCs w:val="17"/>
                <w:lang w:val="en-GB"/>
              </w:rPr>
              <w:t>MUST: 299 750 USD</w:t>
            </w:r>
            <w:r w:rsidRPr="003A5248">
              <w:rPr>
                <w:sz w:val="17"/>
                <w:szCs w:val="17"/>
                <w:lang w:val="en-GB"/>
              </w:rPr>
              <w:br/>
            </w:r>
          </w:p>
        </w:tc>
        <w:tc>
          <w:tcPr>
            <w:tcW w:w="1358" w:type="dxa"/>
            <w:tcMar>
              <w:left w:w="85" w:type="dxa"/>
              <w:right w:w="85" w:type="dxa"/>
            </w:tcMar>
          </w:tcPr>
          <w:p w14:paraId="3A7956CC" w14:textId="77777777" w:rsidR="00D54DAC" w:rsidRPr="003A5248" w:rsidRDefault="00D54DAC" w:rsidP="0030573C">
            <w:pPr>
              <w:pStyle w:val="Tabletext"/>
              <w:jc w:val="center"/>
              <w:rPr>
                <w:sz w:val="17"/>
                <w:szCs w:val="17"/>
                <w:lang w:val="es-ES"/>
              </w:rPr>
            </w:pPr>
            <w:r w:rsidRPr="003A5248">
              <w:rPr>
                <w:sz w:val="17"/>
                <w:szCs w:val="17"/>
                <w:lang w:val="es-ES"/>
              </w:rPr>
              <w:t>194 169 USD</w:t>
            </w:r>
          </w:p>
        </w:tc>
      </w:tr>
      <w:tr w:rsidR="00D54DAC" w:rsidRPr="003A5248" w14:paraId="2BF145F4" w14:textId="77777777" w:rsidTr="001B5AE2">
        <w:trPr>
          <w:trHeight w:val="403"/>
          <w:jc w:val="center"/>
        </w:trPr>
        <w:tc>
          <w:tcPr>
            <w:tcW w:w="1121" w:type="dxa"/>
            <w:tcMar>
              <w:left w:w="85" w:type="dxa"/>
              <w:right w:w="85" w:type="dxa"/>
            </w:tcMar>
          </w:tcPr>
          <w:p w14:paraId="11067EB3" w14:textId="77777777" w:rsidR="00D54DAC" w:rsidRPr="003A5248" w:rsidRDefault="00D54DAC" w:rsidP="001B5AE2">
            <w:pPr>
              <w:pStyle w:val="Tabletext"/>
              <w:rPr>
                <w:sz w:val="17"/>
                <w:szCs w:val="17"/>
                <w:lang w:val="es-ES"/>
              </w:rPr>
            </w:pPr>
            <w:r w:rsidRPr="003A5248">
              <w:rPr>
                <w:sz w:val="17"/>
                <w:szCs w:val="17"/>
                <w:lang w:val="es-ES"/>
              </w:rPr>
              <w:t>7OMA13005</w:t>
            </w:r>
          </w:p>
        </w:tc>
        <w:tc>
          <w:tcPr>
            <w:tcW w:w="1709" w:type="dxa"/>
            <w:tcMar>
              <w:left w:w="85" w:type="dxa"/>
              <w:right w:w="85" w:type="dxa"/>
            </w:tcMar>
          </w:tcPr>
          <w:p w14:paraId="413740D1" w14:textId="77777777" w:rsidR="00D54DAC" w:rsidRPr="003A5248" w:rsidRDefault="00D54DAC" w:rsidP="0030573C">
            <w:pPr>
              <w:pStyle w:val="Tabletext"/>
              <w:rPr>
                <w:sz w:val="17"/>
                <w:szCs w:val="17"/>
                <w:lang w:val="es-ES"/>
              </w:rPr>
            </w:pPr>
            <w:r w:rsidRPr="003A5248">
              <w:rPr>
                <w:sz w:val="17"/>
                <w:szCs w:val="17"/>
                <w:lang w:val="es-ES"/>
              </w:rPr>
              <w:t>Establecimiento de un Centro de Innovación sobre Ciberseguridad para la Región Árabe</w:t>
            </w:r>
          </w:p>
        </w:tc>
        <w:tc>
          <w:tcPr>
            <w:tcW w:w="892" w:type="dxa"/>
            <w:tcMar>
              <w:left w:w="85" w:type="dxa"/>
              <w:right w:w="85" w:type="dxa"/>
            </w:tcMar>
          </w:tcPr>
          <w:p w14:paraId="7FBE56B5" w14:textId="77777777" w:rsidR="00D54DAC" w:rsidRPr="003A5248" w:rsidRDefault="00D54DAC" w:rsidP="0030573C">
            <w:pPr>
              <w:pStyle w:val="Tabletext"/>
              <w:jc w:val="center"/>
              <w:rPr>
                <w:sz w:val="17"/>
                <w:szCs w:val="17"/>
                <w:lang w:val="es-ES"/>
              </w:rPr>
            </w:pPr>
            <w:r w:rsidRPr="003A5248">
              <w:rPr>
                <w:sz w:val="17"/>
                <w:szCs w:val="17"/>
                <w:lang w:val="es-ES"/>
              </w:rPr>
              <w:t>1 de febrero de 2013</w:t>
            </w:r>
          </w:p>
        </w:tc>
        <w:tc>
          <w:tcPr>
            <w:tcW w:w="851" w:type="dxa"/>
            <w:tcMar>
              <w:left w:w="85" w:type="dxa"/>
              <w:right w:w="85" w:type="dxa"/>
            </w:tcMar>
          </w:tcPr>
          <w:p w14:paraId="44115437" w14:textId="131770FB" w:rsidR="00D54DAC" w:rsidRPr="003A5248" w:rsidRDefault="00D54DAC" w:rsidP="001B5AE2">
            <w:pPr>
              <w:pStyle w:val="Tabletext"/>
              <w:ind w:left="-57"/>
              <w:jc w:val="center"/>
              <w:rPr>
                <w:sz w:val="17"/>
                <w:szCs w:val="17"/>
                <w:lang w:val="es-ES"/>
              </w:rPr>
            </w:pPr>
            <w:r w:rsidRPr="003A5248">
              <w:rPr>
                <w:sz w:val="17"/>
                <w:szCs w:val="17"/>
                <w:lang w:val="es-ES"/>
              </w:rPr>
              <w:t>30 de sept</w:t>
            </w:r>
            <w:r w:rsidR="001B5AE2">
              <w:rPr>
                <w:sz w:val="17"/>
                <w:szCs w:val="17"/>
                <w:lang w:val="es-ES"/>
              </w:rPr>
              <w:t>.</w:t>
            </w:r>
            <w:r w:rsidRPr="003A5248">
              <w:rPr>
                <w:sz w:val="17"/>
                <w:szCs w:val="17"/>
                <w:lang w:val="es-ES"/>
              </w:rPr>
              <w:t xml:space="preserve"> de 2030</w:t>
            </w:r>
          </w:p>
        </w:tc>
        <w:tc>
          <w:tcPr>
            <w:tcW w:w="920" w:type="dxa"/>
            <w:tcMar>
              <w:left w:w="85" w:type="dxa"/>
              <w:right w:w="85" w:type="dxa"/>
            </w:tcMar>
          </w:tcPr>
          <w:p w14:paraId="67D8A290" w14:textId="77777777" w:rsidR="00D54DAC" w:rsidRPr="003A5248" w:rsidRDefault="00D54DAC" w:rsidP="0030573C">
            <w:pPr>
              <w:pStyle w:val="Tabletext"/>
              <w:jc w:val="center"/>
              <w:rPr>
                <w:sz w:val="17"/>
                <w:szCs w:val="17"/>
                <w:lang w:val="es-ES"/>
              </w:rPr>
            </w:pPr>
            <w:r w:rsidRPr="003A5248">
              <w:rPr>
                <w:sz w:val="17"/>
                <w:szCs w:val="17"/>
                <w:lang w:val="es-ES"/>
              </w:rPr>
              <w:t>Estados Árabes</w:t>
            </w:r>
          </w:p>
        </w:tc>
        <w:tc>
          <w:tcPr>
            <w:tcW w:w="886" w:type="dxa"/>
            <w:tcMar>
              <w:left w:w="85" w:type="dxa"/>
              <w:right w:w="85" w:type="dxa"/>
            </w:tcMar>
          </w:tcPr>
          <w:p w14:paraId="7CE14D51" w14:textId="77777777" w:rsidR="00D54DAC" w:rsidRPr="003A5248" w:rsidRDefault="00D54DAC" w:rsidP="0030573C">
            <w:pPr>
              <w:pStyle w:val="Tabletext"/>
              <w:jc w:val="center"/>
              <w:rPr>
                <w:sz w:val="17"/>
                <w:szCs w:val="17"/>
                <w:lang w:val="es-ES"/>
              </w:rPr>
            </w:pPr>
            <w:r w:rsidRPr="003A5248">
              <w:rPr>
                <w:sz w:val="17"/>
                <w:szCs w:val="17"/>
                <w:lang w:val="es-ES"/>
              </w:rPr>
              <w:t>15 de diciembre de 2012</w:t>
            </w:r>
          </w:p>
        </w:tc>
        <w:tc>
          <w:tcPr>
            <w:tcW w:w="1073" w:type="dxa"/>
            <w:tcMar>
              <w:left w:w="85" w:type="dxa"/>
              <w:right w:w="85" w:type="dxa"/>
            </w:tcMar>
          </w:tcPr>
          <w:p w14:paraId="6A6028EA" w14:textId="77777777" w:rsidR="00D54DAC" w:rsidRPr="003A5248" w:rsidRDefault="00D54DAC" w:rsidP="0030573C">
            <w:pPr>
              <w:pStyle w:val="Tabletext"/>
              <w:jc w:val="center"/>
              <w:rPr>
                <w:sz w:val="17"/>
                <w:szCs w:val="17"/>
                <w:lang w:val="es-ES"/>
              </w:rPr>
            </w:pPr>
            <w:r w:rsidRPr="003A5248">
              <w:rPr>
                <w:sz w:val="17"/>
                <w:szCs w:val="17"/>
                <w:lang w:val="es-ES"/>
              </w:rPr>
              <w:t>Omán</w:t>
            </w:r>
          </w:p>
        </w:tc>
        <w:tc>
          <w:tcPr>
            <w:tcW w:w="1963" w:type="dxa"/>
            <w:tcMar>
              <w:left w:w="85" w:type="dxa"/>
              <w:right w:w="85" w:type="dxa"/>
            </w:tcMar>
          </w:tcPr>
          <w:p w14:paraId="060E8908" w14:textId="77777777" w:rsidR="00D54DAC" w:rsidRPr="003A5248" w:rsidRDefault="00D54DAC" w:rsidP="0030573C">
            <w:pPr>
              <w:pStyle w:val="Tabletext"/>
              <w:jc w:val="center"/>
              <w:rPr>
                <w:sz w:val="17"/>
                <w:szCs w:val="17"/>
                <w:lang w:val="en-GB"/>
              </w:rPr>
            </w:pPr>
            <w:proofErr w:type="spellStart"/>
            <w:r w:rsidRPr="003A5248">
              <w:rPr>
                <w:sz w:val="17"/>
                <w:szCs w:val="17"/>
                <w:lang w:val="en-GB"/>
              </w:rPr>
              <w:t>Omán</w:t>
            </w:r>
            <w:proofErr w:type="spellEnd"/>
            <w:r w:rsidRPr="003A5248">
              <w:rPr>
                <w:sz w:val="17"/>
                <w:szCs w:val="17"/>
                <w:lang w:val="en-GB"/>
              </w:rPr>
              <w:t>: 1 966 000 CHF</w:t>
            </w:r>
          </w:p>
          <w:p w14:paraId="76AB9A38" w14:textId="77777777" w:rsidR="00D54DAC" w:rsidRPr="003A5248" w:rsidRDefault="00D54DAC" w:rsidP="0030573C">
            <w:pPr>
              <w:pStyle w:val="Tabletext"/>
              <w:jc w:val="center"/>
              <w:rPr>
                <w:sz w:val="17"/>
                <w:szCs w:val="17"/>
                <w:lang w:val="en-GB"/>
              </w:rPr>
            </w:pPr>
            <w:r w:rsidRPr="003A5248">
              <w:rPr>
                <w:sz w:val="17"/>
                <w:szCs w:val="17"/>
                <w:lang w:val="en-GB"/>
              </w:rPr>
              <w:t>FD-TIC: 739 708 CHF</w:t>
            </w:r>
          </w:p>
        </w:tc>
        <w:tc>
          <w:tcPr>
            <w:tcW w:w="1358" w:type="dxa"/>
            <w:tcMar>
              <w:left w:w="85" w:type="dxa"/>
              <w:right w:w="85" w:type="dxa"/>
            </w:tcMar>
          </w:tcPr>
          <w:p w14:paraId="30485DE4" w14:textId="77777777" w:rsidR="00D54DAC" w:rsidRPr="003A5248" w:rsidRDefault="00D54DAC" w:rsidP="0030573C">
            <w:pPr>
              <w:pStyle w:val="Tabletext"/>
              <w:jc w:val="center"/>
              <w:rPr>
                <w:color w:val="000000" w:themeColor="text1"/>
                <w:sz w:val="17"/>
                <w:szCs w:val="17"/>
                <w:lang w:val="es-ES"/>
              </w:rPr>
            </w:pPr>
            <w:r w:rsidRPr="003A5248">
              <w:rPr>
                <w:color w:val="000000" w:themeColor="text1"/>
                <w:sz w:val="17"/>
                <w:szCs w:val="17"/>
                <w:shd w:val="clear" w:color="auto" w:fill="FFFFFF"/>
                <w:lang w:val="es-ES"/>
              </w:rPr>
              <w:t>143 470 CHF</w:t>
            </w:r>
          </w:p>
          <w:p w14:paraId="6346BDEE" w14:textId="77777777" w:rsidR="00D54DAC" w:rsidRPr="003A5248" w:rsidRDefault="00D54DAC" w:rsidP="0030573C">
            <w:pPr>
              <w:pStyle w:val="Tabletext"/>
              <w:jc w:val="center"/>
              <w:rPr>
                <w:sz w:val="17"/>
                <w:szCs w:val="17"/>
                <w:lang w:val="es-ES"/>
              </w:rPr>
            </w:pPr>
          </w:p>
        </w:tc>
      </w:tr>
      <w:tr w:rsidR="00D54DAC" w:rsidRPr="003A5248" w14:paraId="36745824" w14:textId="77777777" w:rsidTr="001B5AE2">
        <w:trPr>
          <w:trHeight w:val="403"/>
          <w:jc w:val="center"/>
        </w:trPr>
        <w:tc>
          <w:tcPr>
            <w:tcW w:w="1121" w:type="dxa"/>
            <w:tcMar>
              <w:left w:w="85" w:type="dxa"/>
              <w:right w:w="85" w:type="dxa"/>
            </w:tcMar>
          </w:tcPr>
          <w:p w14:paraId="62156A18" w14:textId="77777777" w:rsidR="00D54DAC" w:rsidRPr="003A5248" w:rsidRDefault="00D54DAC" w:rsidP="001B5AE2">
            <w:pPr>
              <w:pStyle w:val="Tabletext"/>
              <w:rPr>
                <w:sz w:val="17"/>
                <w:szCs w:val="17"/>
                <w:lang w:val="es-ES"/>
              </w:rPr>
            </w:pPr>
            <w:r w:rsidRPr="003A5248">
              <w:rPr>
                <w:sz w:val="17"/>
                <w:szCs w:val="17"/>
                <w:lang w:val="es-ES"/>
              </w:rPr>
              <w:t>9RAF18089</w:t>
            </w:r>
          </w:p>
        </w:tc>
        <w:tc>
          <w:tcPr>
            <w:tcW w:w="1709" w:type="dxa"/>
            <w:tcMar>
              <w:left w:w="85" w:type="dxa"/>
              <w:right w:w="85" w:type="dxa"/>
            </w:tcMar>
          </w:tcPr>
          <w:p w14:paraId="6A940D5B" w14:textId="77777777" w:rsidR="00D54DAC" w:rsidRPr="003A5248" w:rsidRDefault="00D54DAC" w:rsidP="0030573C">
            <w:pPr>
              <w:pStyle w:val="Tabletext"/>
              <w:rPr>
                <w:sz w:val="17"/>
                <w:szCs w:val="17"/>
                <w:lang w:val="es-ES"/>
              </w:rPr>
            </w:pPr>
            <w:r w:rsidRPr="003A5248">
              <w:rPr>
                <w:sz w:val="17"/>
                <w:szCs w:val="17"/>
                <w:lang w:val="es-ES"/>
              </w:rPr>
              <w:t>Acuerdo de delegación para la acción entre PRIDA y la UIT</w:t>
            </w:r>
          </w:p>
        </w:tc>
        <w:tc>
          <w:tcPr>
            <w:tcW w:w="892" w:type="dxa"/>
            <w:tcMar>
              <w:left w:w="85" w:type="dxa"/>
              <w:right w:w="85" w:type="dxa"/>
            </w:tcMar>
          </w:tcPr>
          <w:p w14:paraId="4CD158D0" w14:textId="77777777" w:rsidR="00D54DAC" w:rsidRPr="003A5248" w:rsidRDefault="00D54DAC" w:rsidP="0030573C">
            <w:pPr>
              <w:pStyle w:val="Tabletext"/>
              <w:jc w:val="center"/>
              <w:rPr>
                <w:sz w:val="17"/>
                <w:szCs w:val="17"/>
                <w:lang w:val="es-ES"/>
              </w:rPr>
            </w:pPr>
            <w:r w:rsidRPr="003A5248">
              <w:rPr>
                <w:sz w:val="17"/>
                <w:szCs w:val="17"/>
                <w:lang w:val="es-ES"/>
              </w:rPr>
              <w:t>1 de diciembre de 2018</w:t>
            </w:r>
          </w:p>
        </w:tc>
        <w:tc>
          <w:tcPr>
            <w:tcW w:w="851" w:type="dxa"/>
            <w:tcMar>
              <w:left w:w="85" w:type="dxa"/>
              <w:right w:w="85" w:type="dxa"/>
            </w:tcMar>
          </w:tcPr>
          <w:p w14:paraId="16490DF7" w14:textId="77777777" w:rsidR="00D54DAC" w:rsidRPr="003A5248" w:rsidRDefault="00D54DAC" w:rsidP="0030573C">
            <w:pPr>
              <w:pStyle w:val="Tabletext"/>
              <w:jc w:val="center"/>
              <w:rPr>
                <w:sz w:val="17"/>
                <w:szCs w:val="17"/>
                <w:lang w:val="es-ES"/>
              </w:rPr>
            </w:pPr>
            <w:r w:rsidRPr="003A5248">
              <w:rPr>
                <w:sz w:val="17"/>
                <w:szCs w:val="17"/>
                <w:lang w:val="es-ES"/>
              </w:rPr>
              <w:t>15 de mayo de 2023</w:t>
            </w:r>
          </w:p>
        </w:tc>
        <w:tc>
          <w:tcPr>
            <w:tcW w:w="920" w:type="dxa"/>
            <w:tcMar>
              <w:left w:w="85" w:type="dxa"/>
              <w:right w:w="85" w:type="dxa"/>
            </w:tcMar>
          </w:tcPr>
          <w:p w14:paraId="0BA96D83" w14:textId="77777777" w:rsidR="00D54DAC" w:rsidRPr="003A5248" w:rsidRDefault="00D54DAC" w:rsidP="0030573C">
            <w:pPr>
              <w:pStyle w:val="Tabletext"/>
              <w:jc w:val="center"/>
              <w:rPr>
                <w:sz w:val="17"/>
                <w:szCs w:val="17"/>
                <w:lang w:val="es-ES"/>
              </w:rPr>
            </w:pPr>
            <w:r w:rsidRPr="003A5248">
              <w:rPr>
                <w:sz w:val="17"/>
                <w:szCs w:val="17"/>
                <w:lang w:val="es-ES"/>
              </w:rPr>
              <w:t>África</w:t>
            </w:r>
          </w:p>
        </w:tc>
        <w:tc>
          <w:tcPr>
            <w:tcW w:w="886" w:type="dxa"/>
            <w:tcMar>
              <w:left w:w="85" w:type="dxa"/>
              <w:right w:w="85" w:type="dxa"/>
            </w:tcMar>
          </w:tcPr>
          <w:p w14:paraId="7DDAF794" w14:textId="3DFDC5CB" w:rsidR="00D54DAC" w:rsidRPr="003A5248" w:rsidRDefault="00D54DAC" w:rsidP="001172E9">
            <w:pPr>
              <w:pStyle w:val="Tabletext"/>
              <w:ind w:left="-57"/>
              <w:jc w:val="center"/>
              <w:rPr>
                <w:sz w:val="17"/>
                <w:szCs w:val="17"/>
                <w:lang w:val="es-ES"/>
              </w:rPr>
            </w:pPr>
            <w:r w:rsidRPr="003A5248">
              <w:rPr>
                <w:sz w:val="17"/>
                <w:szCs w:val="17"/>
                <w:lang w:val="es-ES"/>
              </w:rPr>
              <w:t>13 de noviem</w:t>
            </w:r>
            <w:r w:rsidR="001172E9">
              <w:rPr>
                <w:sz w:val="17"/>
                <w:szCs w:val="17"/>
                <w:lang w:val="es-ES"/>
              </w:rPr>
              <w:t xml:space="preserve">bre </w:t>
            </w:r>
            <w:r w:rsidRPr="003A5248">
              <w:rPr>
                <w:sz w:val="17"/>
                <w:szCs w:val="17"/>
                <w:lang w:val="es-ES"/>
              </w:rPr>
              <w:t>de 2018</w:t>
            </w:r>
          </w:p>
        </w:tc>
        <w:tc>
          <w:tcPr>
            <w:tcW w:w="1073" w:type="dxa"/>
            <w:tcMar>
              <w:left w:w="85" w:type="dxa"/>
              <w:right w:w="85" w:type="dxa"/>
            </w:tcMar>
          </w:tcPr>
          <w:p w14:paraId="5458E36C" w14:textId="77777777" w:rsidR="00D54DAC" w:rsidRPr="003A5248" w:rsidRDefault="00D54DAC" w:rsidP="0030573C">
            <w:pPr>
              <w:pStyle w:val="Tabletext"/>
              <w:jc w:val="center"/>
              <w:rPr>
                <w:sz w:val="17"/>
                <w:szCs w:val="17"/>
                <w:lang w:val="es-ES"/>
              </w:rPr>
            </w:pPr>
            <w:r w:rsidRPr="003A5248">
              <w:rPr>
                <w:sz w:val="17"/>
                <w:szCs w:val="17"/>
                <w:lang w:val="es-ES"/>
              </w:rPr>
              <w:t>UE</w:t>
            </w:r>
          </w:p>
        </w:tc>
        <w:tc>
          <w:tcPr>
            <w:tcW w:w="1963" w:type="dxa"/>
            <w:tcMar>
              <w:left w:w="85" w:type="dxa"/>
              <w:right w:w="85" w:type="dxa"/>
            </w:tcMar>
          </w:tcPr>
          <w:p w14:paraId="71198D68" w14:textId="77777777" w:rsidR="00D54DAC" w:rsidRPr="00681D7E" w:rsidRDefault="00D54DAC" w:rsidP="0030573C">
            <w:pPr>
              <w:pStyle w:val="Tabletext"/>
              <w:jc w:val="center"/>
              <w:rPr>
                <w:sz w:val="17"/>
                <w:szCs w:val="17"/>
                <w:lang w:val="fr-FR"/>
              </w:rPr>
            </w:pPr>
            <w:proofErr w:type="gramStart"/>
            <w:r w:rsidRPr="00681D7E">
              <w:rPr>
                <w:sz w:val="17"/>
                <w:szCs w:val="17"/>
                <w:lang w:val="fr-FR"/>
              </w:rPr>
              <w:t>UE:</w:t>
            </w:r>
            <w:proofErr w:type="gramEnd"/>
            <w:r w:rsidRPr="00681D7E">
              <w:rPr>
                <w:sz w:val="17"/>
                <w:szCs w:val="17"/>
                <w:lang w:val="fr-FR"/>
              </w:rPr>
              <w:t xml:space="preserve"> 5 000 000 EUR</w:t>
            </w:r>
          </w:p>
          <w:p w14:paraId="7C52D38D" w14:textId="77777777" w:rsidR="00D54DAC" w:rsidRPr="00681D7E" w:rsidRDefault="00D54DAC" w:rsidP="0030573C">
            <w:pPr>
              <w:pStyle w:val="Tabletext"/>
              <w:jc w:val="center"/>
              <w:rPr>
                <w:sz w:val="17"/>
                <w:szCs w:val="17"/>
                <w:lang w:val="fr-FR"/>
              </w:rPr>
            </w:pPr>
            <w:r w:rsidRPr="00681D7E">
              <w:rPr>
                <w:sz w:val="17"/>
                <w:szCs w:val="17"/>
                <w:lang w:val="fr-FR"/>
              </w:rPr>
              <w:t>FD-</w:t>
            </w:r>
            <w:proofErr w:type="gramStart"/>
            <w:r w:rsidRPr="00681D7E">
              <w:rPr>
                <w:sz w:val="17"/>
                <w:szCs w:val="17"/>
                <w:lang w:val="fr-FR"/>
              </w:rPr>
              <w:t>TIC:</w:t>
            </w:r>
            <w:proofErr w:type="gramEnd"/>
            <w:r w:rsidRPr="00681D7E">
              <w:rPr>
                <w:sz w:val="17"/>
                <w:szCs w:val="17"/>
                <w:lang w:val="fr-FR"/>
              </w:rPr>
              <w:t xml:space="preserve"> 500 000 EUR</w:t>
            </w:r>
          </w:p>
        </w:tc>
        <w:tc>
          <w:tcPr>
            <w:tcW w:w="1358" w:type="dxa"/>
            <w:tcMar>
              <w:left w:w="85" w:type="dxa"/>
              <w:right w:w="85" w:type="dxa"/>
            </w:tcMar>
          </w:tcPr>
          <w:p w14:paraId="108AC355" w14:textId="77777777" w:rsidR="00D54DAC" w:rsidRPr="003A5248" w:rsidRDefault="00D54DAC" w:rsidP="0030573C">
            <w:pPr>
              <w:pStyle w:val="Tabletext"/>
              <w:jc w:val="center"/>
              <w:rPr>
                <w:sz w:val="17"/>
                <w:szCs w:val="17"/>
                <w:lang w:val="es-ES"/>
              </w:rPr>
            </w:pPr>
            <w:r w:rsidRPr="003A5248">
              <w:rPr>
                <w:sz w:val="17"/>
                <w:szCs w:val="17"/>
                <w:lang w:val="es-ES"/>
              </w:rPr>
              <w:t>4 517 000 EUR</w:t>
            </w:r>
          </w:p>
        </w:tc>
      </w:tr>
      <w:tr w:rsidR="00D54DAC" w:rsidRPr="003A5248" w14:paraId="5C4A1B50" w14:textId="77777777" w:rsidTr="001B5AE2">
        <w:trPr>
          <w:trHeight w:val="403"/>
          <w:jc w:val="center"/>
        </w:trPr>
        <w:tc>
          <w:tcPr>
            <w:tcW w:w="1121" w:type="dxa"/>
            <w:tcMar>
              <w:left w:w="85" w:type="dxa"/>
              <w:right w:w="85" w:type="dxa"/>
            </w:tcMar>
          </w:tcPr>
          <w:p w14:paraId="286622C3" w14:textId="77777777" w:rsidR="00D54DAC" w:rsidRPr="003A5248" w:rsidRDefault="00D54DAC" w:rsidP="001B5AE2">
            <w:pPr>
              <w:pStyle w:val="Tabletext"/>
              <w:rPr>
                <w:sz w:val="17"/>
                <w:szCs w:val="17"/>
                <w:lang w:val="es-ES"/>
              </w:rPr>
            </w:pPr>
            <w:r w:rsidRPr="003A5248">
              <w:rPr>
                <w:sz w:val="17"/>
                <w:szCs w:val="17"/>
                <w:lang w:val="es-ES"/>
              </w:rPr>
              <w:t>7GLO20106</w:t>
            </w:r>
          </w:p>
        </w:tc>
        <w:tc>
          <w:tcPr>
            <w:tcW w:w="1709" w:type="dxa"/>
            <w:tcMar>
              <w:left w:w="85" w:type="dxa"/>
              <w:right w:w="85" w:type="dxa"/>
            </w:tcMar>
          </w:tcPr>
          <w:p w14:paraId="715069D4" w14:textId="77777777" w:rsidR="00D54DAC" w:rsidRPr="003A5248" w:rsidRDefault="00D54DAC" w:rsidP="0030573C">
            <w:pPr>
              <w:pStyle w:val="Tabletext"/>
              <w:rPr>
                <w:sz w:val="17"/>
                <w:szCs w:val="17"/>
                <w:lang w:val="es-ES"/>
              </w:rPr>
            </w:pPr>
            <w:r w:rsidRPr="003A5248">
              <w:rPr>
                <w:sz w:val="17"/>
                <w:szCs w:val="17"/>
                <w:lang w:val="es-ES"/>
              </w:rPr>
              <w:t>Mejora del ecosistema digital y de las capacidades digitales para el empoderamiento económico de las mujeres en los PMA</w:t>
            </w:r>
          </w:p>
        </w:tc>
        <w:tc>
          <w:tcPr>
            <w:tcW w:w="892" w:type="dxa"/>
            <w:tcMar>
              <w:left w:w="85" w:type="dxa"/>
              <w:right w:w="85" w:type="dxa"/>
            </w:tcMar>
          </w:tcPr>
          <w:p w14:paraId="34F8E5CC" w14:textId="77777777" w:rsidR="00D54DAC" w:rsidRPr="003A5248" w:rsidRDefault="00D54DAC" w:rsidP="0030573C">
            <w:pPr>
              <w:pStyle w:val="Tabletext"/>
              <w:jc w:val="center"/>
              <w:rPr>
                <w:sz w:val="17"/>
                <w:szCs w:val="17"/>
                <w:lang w:val="es-ES"/>
              </w:rPr>
            </w:pPr>
            <w:r w:rsidRPr="003A5248">
              <w:rPr>
                <w:sz w:val="17"/>
                <w:szCs w:val="17"/>
                <w:lang w:val="es-ES"/>
              </w:rPr>
              <w:t>1 de julio de 2020</w:t>
            </w:r>
          </w:p>
        </w:tc>
        <w:tc>
          <w:tcPr>
            <w:tcW w:w="851" w:type="dxa"/>
            <w:tcMar>
              <w:left w:w="85" w:type="dxa"/>
              <w:right w:w="85" w:type="dxa"/>
            </w:tcMar>
          </w:tcPr>
          <w:p w14:paraId="4B949FA5" w14:textId="77777777" w:rsidR="00D54DAC" w:rsidRPr="003A5248" w:rsidRDefault="00D54DAC" w:rsidP="0030573C">
            <w:pPr>
              <w:pStyle w:val="Tabletext"/>
              <w:jc w:val="center"/>
              <w:rPr>
                <w:sz w:val="17"/>
                <w:szCs w:val="17"/>
                <w:lang w:val="es-ES"/>
              </w:rPr>
            </w:pPr>
            <w:r w:rsidRPr="003A5248">
              <w:rPr>
                <w:sz w:val="17"/>
                <w:szCs w:val="17"/>
                <w:lang w:val="es-ES"/>
              </w:rPr>
              <w:t>30 de junio de 2022</w:t>
            </w:r>
          </w:p>
        </w:tc>
        <w:tc>
          <w:tcPr>
            <w:tcW w:w="920" w:type="dxa"/>
            <w:tcMar>
              <w:left w:w="85" w:type="dxa"/>
              <w:right w:w="85" w:type="dxa"/>
            </w:tcMar>
          </w:tcPr>
          <w:p w14:paraId="1FBD634C" w14:textId="60FF1329" w:rsidR="00D54DAC" w:rsidRPr="003A5248" w:rsidRDefault="00D54DAC" w:rsidP="0030573C">
            <w:pPr>
              <w:pStyle w:val="Tabletext"/>
              <w:jc w:val="center"/>
              <w:rPr>
                <w:sz w:val="17"/>
                <w:szCs w:val="17"/>
                <w:lang w:val="es-ES"/>
              </w:rPr>
            </w:pPr>
            <w:proofErr w:type="spellStart"/>
            <w:r w:rsidRPr="003A5248">
              <w:rPr>
                <w:sz w:val="17"/>
                <w:szCs w:val="17"/>
                <w:lang w:val="es-ES"/>
              </w:rPr>
              <w:t>Multi</w:t>
            </w:r>
            <w:r w:rsidR="001172E9">
              <w:rPr>
                <w:sz w:val="17"/>
                <w:szCs w:val="17"/>
                <w:lang w:val="es-ES"/>
              </w:rPr>
              <w:t>-</w:t>
            </w:r>
            <w:r w:rsidRPr="003A5248">
              <w:rPr>
                <w:sz w:val="17"/>
                <w:szCs w:val="17"/>
                <w:lang w:val="es-ES"/>
              </w:rPr>
              <w:t>rregional</w:t>
            </w:r>
            <w:proofErr w:type="spellEnd"/>
          </w:p>
        </w:tc>
        <w:tc>
          <w:tcPr>
            <w:tcW w:w="886" w:type="dxa"/>
            <w:tcMar>
              <w:left w:w="85" w:type="dxa"/>
              <w:right w:w="85" w:type="dxa"/>
            </w:tcMar>
          </w:tcPr>
          <w:p w14:paraId="3F9712BB" w14:textId="77777777" w:rsidR="00D54DAC" w:rsidRPr="003A5248" w:rsidRDefault="00D54DAC" w:rsidP="0030573C">
            <w:pPr>
              <w:pStyle w:val="Tabletext"/>
              <w:jc w:val="center"/>
              <w:rPr>
                <w:sz w:val="17"/>
                <w:szCs w:val="17"/>
                <w:lang w:val="es-ES"/>
              </w:rPr>
            </w:pPr>
            <w:r w:rsidRPr="003A5248">
              <w:rPr>
                <w:sz w:val="17"/>
                <w:szCs w:val="17"/>
                <w:lang w:val="es-ES"/>
              </w:rPr>
              <w:t>1 de julio de 2020</w:t>
            </w:r>
          </w:p>
        </w:tc>
        <w:tc>
          <w:tcPr>
            <w:tcW w:w="1073" w:type="dxa"/>
            <w:tcMar>
              <w:left w:w="85" w:type="dxa"/>
              <w:right w:w="85" w:type="dxa"/>
            </w:tcMar>
          </w:tcPr>
          <w:p w14:paraId="21B66BA6" w14:textId="77777777" w:rsidR="00D54DAC" w:rsidRPr="003A5248" w:rsidRDefault="00D54DAC" w:rsidP="0030573C">
            <w:pPr>
              <w:pStyle w:val="Tabletext"/>
              <w:jc w:val="center"/>
              <w:rPr>
                <w:sz w:val="17"/>
                <w:szCs w:val="17"/>
                <w:lang w:val="es-ES"/>
              </w:rPr>
            </w:pPr>
            <w:r w:rsidRPr="003A5248">
              <w:rPr>
                <w:sz w:val="17"/>
                <w:szCs w:val="17"/>
                <w:lang w:val="es-ES"/>
              </w:rPr>
              <w:t>MIM, UNOPS</w:t>
            </w:r>
          </w:p>
        </w:tc>
        <w:tc>
          <w:tcPr>
            <w:tcW w:w="1963" w:type="dxa"/>
            <w:tcMar>
              <w:left w:w="85" w:type="dxa"/>
              <w:right w:w="85" w:type="dxa"/>
            </w:tcMar>
          </w:tcPr>
          <w:p w14:paraId="6E4C7F5E" w14:textId="77777777" w:rsidR="00D54DAC" w:rsidRPr="003A5248" w:rsidRDefault="00D54DAC" w:rsidP="0030573C">
            <w:pPr>
              <w:pStyle w:val="Tabletext"/>
              <w:jc w:val="center"/>
              <w:rPr>
                <w:sz w:val="17"/>
                <w:szCs w:val="17"/>
                <w:lang w:val="en-GB"/>
              </w:rPr>
            </w:pPr>
            <w:r w:rsidRPr="003A5248">
              <w:rPr>
                <w:sz w:val="17"/>
                <w:szCs w:val="17"/>
                <w:lang w:val="en-GB"/>
              </w:rPr>
              <w:t>MIM: 798 104 USD</w:t>
            </w:r>
          </w:p>
          <w:p w14:paraId="07BF1E9B" w14:textId="77777777" w:rsidR="00D54DAC" w:rsidRPr="003A5248" w:rsidRDefault="00D54DAC" w:rsidP="0030573C">
            <w:pPr>
              <w:pStyle w:val="Tabletext"/>
              <w:jc w:val="center"/>
              <w:rPr>
                <w:sz w:val="17"/>
                <w:szCs w:val="17"/>
                <w:lang w:val="en-GB"/>
              </w:rPr>
            </w:pPr>
            <w:r w:rsidRPr="003A5248">
              <w:rPr>
                <w:sz w:val="17"/>
                <w:szCs w:val="17"/>
                <w:lang w:val="en-GB"/>
              </w:rPr>
              <w:t>FD-TIC: 430 245 USD</w:t>
            </w:r>
          </w:p>
        </w:tc>
        <w:tc>
          <w:tcPr>
            <w:tcW w:w="1358" w:type="dxa"/>
            <w:tcMar>
              <w:left w:w="85" w:type="dxa"/>
              <w:right w:w="85" w:type="dxa"/>
            </w:tcMar>
          </w:tcPr>
          <w:p w14:paraId="4A05D1B0" w14:textId="77777777" w:rsidR="00D54DAC" w:rsidRPr="003A5248" w:rsidRDefault="00D54DAC" w:rsidP="0030573C">
            <w:pPr>
              <w:pStyle w:val="Tabletext"/>
              <w:jc w:val="center"/>
              <w:rPr>
                <w:sz w:val="17"/>
                <w:szCs w:val="17"/>
                <w:lang w:val="es-ES"/>
              </w:rPr>
            </w:pPr>
            <w:r w:rsidRPr="003A5248">
              <w:rPr>
                <w:sz w:val="17"/>
                <w:szCs w:val="17"/>
                <w:lang w:val="es-ES"/>
              </w:rPr>
              <w:t>1 228 349 USD</w:t>
            </w:r>
          </w:p>
        </w:tc>
      </w:tr>
      <w:tr w:rsidR="00D54DAC" w:rsidRPr="003A5248" w14:paraId="3FA8967E" w14:textId="77777777" w:rsidTr="001B5AE2">
        <w:trPr>
          <w:trHeight w:val="403"/>
          <w:jc w:val="center"/>
        </w:trPr>
        <w:tc>
          <w:tcPr>
            <w:tcW w:w="1121" w:type="dxa"/>
            <w:tcMar>
              <w:left w:w="85" w:type="dxa"/>
              <w:right w:w="85" w:type="dxa"/>
            </w:tcMar>
          </w:tcPr>
          <w:p w14:paraId="2206A5C1" w14:textId="77777777" w:rsidR="00D54DAC" w:rsidRPr="003A5248" w:rsidRDefault="00D54DAC" w:rsidP="001B5AE2">
            <w:pPr>
              <w:pStyle w:val="Tabletext"/>
              <w:rPr>
                <w:sz w:val="17"/>
                <w:szCs w:val="17"/>
                <w:lang w:val="es-ES"/>
              </w:rPr>
            </w:pPr>
            <w:r w:rsidRPr="003A5248">
              <w:rPr>
                <w:sz w:val="17"/>
                <w:szCs w:val="17"/>
                <w:lang w:val="es-ES"/>
              </w:rPr>
              <w:t>7GLO20108</w:t>
            </w:r>
          </w:p>
        </w:tc>
        <w:tc>
          <w:tcPr>
            <w:tcW w:w="1709" w:type="dxa"/>
            <w:tcMar>
              <w:left w:w="85" w:type="dxa"/>
              <w:right w:w="85" w:type="dxa"/>
            </w:tcMar>
          </w:tcPr>
          <w:p w14:paraId="7411A0D8" w14:textId="77777777" w:rsidR="00D54DAC" w:rsidRPr="003A5248" w:rsidRDefault="00D54DAC" w:rsidP="0030573C">
            <w:pPr>
              <w:pStyle w:val="Tabletext"/>
              <w:rPr>
                <w:sz w:val="17"/>
                <w:szCs w:val="17"/>
                <w:lang w:val="es-ES"/>
              </w:rPr>
            </w:pPr>
            <w:r w:rsidRPr="003A5248">
              <w:rPr>
                <w:sz w:val="17"/>
                <w:szCs w:val="17"/>
                <w:lang w:val="es-ES"/>
              </w:rPr>
              <w:t>Fomento de las competencias digitales a través de los Centros de Transformación Digital</w:t>
            </w:r>
          </w:p>
        </w:tc>
        <w:tc>
          <w:tcPr>
            <w:tcW w:w="892" w:type="dxa"/>
            <w:tcMar>
              <w:left w:w="85" w:type="dxa"/>
              <w:right w:w="85" w:type="dxa"/>
            </w:tcMar>
          </w:tcPr>
          <w:p w14:paraId="63548676" w14:textId="77777777" w:rsidR="00D54DAC" w:rsidRPr="003A5248" w:rsidRDefault="00D54DAC" w:rsidP="0030573C">
            <w:pPr>
              <w:pStyle w:val="Tabletext"/>
              <w:jc w:val="center"/>
              <w:rPr>
                <w:sz w:val="17"/>
                <w:szCs w:val="17"/>
                <w:lang w:val="es-ES"/>
              </w:rPr>
            </w:pPr>
            <w:r w:rsidRPr="003A5248">
              <w:rPr>
                <w:sz w:val="17"/>
                <w:szCs w:val="17"/>
                <w:lang w:val="es-ES"/>
              </w:rPr>
              <w:t>1 de enero de 2021</w:t>
            </w:r>
          </w:p>
        </w:tc>
        <w:tc>
          <w:tcPr>
            <w:tcW w:w="851" w:type="dxa"/>
            <w:tcMar>
              <w:left w:w="85" w:type="dxa"/>
              <w:right w:w="85" w:type="dxa"/>
            </w:tcMar>
          </w:tcPr>
          <w:p w14:paraId="3CB750C8" w14:textId="6CD38B07" w:rsidR="00D54DAC" w:rsidRPr="003A5248" w:rsidRDefault="00D54DAC" w:rsidP="001172E9">
            <w:pPr>
              <w:pStyle w:val="Tabletext"/>
              <w:ind w:left="-57"/>
              <w:jc w:val="center"/>
              <w:rPr>
                <w:sz w:val="17"/>
                <w:szCs w:val="17"/>
                <w:lang w:val="es-ES"/>
              </w:rPr>
            </w:pPr>
            <w:r w:rsidRPr="003A5248">
              <w:rPr>
                <w:sz w:val="17"/>
                <w:szCs w:val="17"/>
                <w:lang w:val="es-ES"/>
              </w:rPr>
              <w:t>31 de diciem</w:t>
            </w:r>
            <w:r w:rsidR="001172E9">
              <w:rPr>
                <w:sz w:val="17"/>
                <w:szCs w:val="17"/>
                <w:lang w:val="es-ES"/>
              </w:rPr>
              <w:t>bre</w:t>
            </w:r>
            <w:r w:rsidRPr="003A5248">
              <w:rPr>
                <w:sz w:val="17"/>
                <w:szCs w:val="17"/>
                <w:lang w:val="es-ES"/>
              </w:rPr>
              <w:t xml:space="preserve"> de 2023</w:t>
            </w:r>
          </w:p>
        </w:tc>
        <w:tc>
          <w:tcPr>
            <w:tcW w:w="920" w:type="dxa"/>
            <w:tcMar>
              <w:left w:w="85" w:type="dxa"/>
              <w:right w:w="85" w:type="dxa"/>
            </w:tcMar>
          </w:tcPr>
          <w:p w14:paraId="5FA2E26B" w14:textId="69358D49" w:rsidR="00D54DAC" w:rsidRPr="003A5248" w:rsidRDefault="00D54DAC" w:rsidP="0030573C">
            <w:pPr>
              <w:pStyle w:val="Tabletext"/>
              <w:jc w:val="center"/>
              <w:rPr>
                <w:sz w:val="17"/>
                <w:szCs w:val="17"/>
                <w:lang w:val="es-ES"/>
              </w:rPr>
            </w:pPr>
            <w:proofErr w:type="spellStart"/>
            <w:r w:rsidRPr="003A5248">
              <w:rPr>
                <w:sz w:val="17"/>
                <w:szCs w:val="17"/>
                <w:lang w:val="es-ES"/>
              </w:rPr>
              <w:t>Multi</w:t>
            </w:r>
            <w:r w:rsidR="001172E9">
              <w:rPr>
                <w:sz w:val="17"/>
                <w:szCs w:val="17"/>
                <w:lang w:val="es-ES"/>
              </w:rPr>
              <w:t>-</w:t>
            </w:r>
            <w:r w:rsidRPr="003A5248">
              <w:rPr>
                <w:sz w:val="17"/>
                <w:szCs w:val="17"/>
                <w:lang w:val="es-ES"/>
              </w:rPr>
              <w:t>rregional</w:t>
            </w:r>
            <w:proofErr w:type="spellEnd"/>
          </w:p>
        </w:tc>
        <w:tc>
          <w:tcPr>
            <w:tcW w:w="886" w:type="dxa"/>
            <w:tcMar>
              <w:left w:w="85" w:type="dxa"/>
              <w:right w:w="85" w:type="dxa"/>
            </w:tcMar>
          </w:tcPr>
          <w:p w14:paraId="06D513F1" w14:textId="70506188" w:rsidR="00D54DAC" w:rsidRPr="003A5248" w:rsidRDefault="00D54DAC" w:rsidP="001172E9">
            <w:pPr>
              <w:pStyle w:val="Tabletext"/>
              <w:ind w:left="-57"/>
              <w:jc w:val="center"/>
              <w:rPr>
                <w:sz w:val="17"/>
                <w:szCs w:val="17"/>
                <w:lang w:val="es-ES"/>
              </w:rPr>
            </w:pPr>
            <w:r w:rsidRPr="003A5248">
              <w:rPr>
                <w:sz w:val="17"/>
                <w:szCs w:val="17"/>
                <w:lang w:val="es-ES"/>
              </w:rPr>
              <w:t>10 de noviem</w:t>
            </w:r>
            <w:r w:rsidR="001172E9">
              <w:rPr>
                <w:sz w:val="17"/>
                <w:szCs w:val="17"/>
                <w:lang w:val="es-ES"/>
              </w:rPr>
              <w:t>bre</w:t>
            </w:r>
            <w:r w:rsidRPr="003A5248">
              <w:rPr>
                <w:sz w:val="17"/>
                <w:szCs w:val="17"/>
                <w:lang w:val="es-ES"/>
              </w:rPr>
              <w:t xml:space="preserve"> de 2020</w:t>
            </w:r>
          </w:p>
        </w:tc>
        <w:tc>
          <w:tcPr>
            <w:tcW w:w="1073" w:type="dxa"/>
            <w:tcMar>
              <w:left w:w="85" w:type="dxa"/>
              <w:right w:w="85" w:type="dxa"/>
            </w:tcMar>
          </w:tcPr>
          <w:p w14:paraId="376ABBB3" w14:textId="77777777" w:rsidR="00D54DAC" w:rsidRPr="003A5248" w:rsidRDefault="00D54DAC" w:rsidP="0030573C">
            <w:pPr>
              <w:pStyle w:val="Tabletext"/>
              <w:jc w:val="center"/>
              <w:rPr>
                <w:sz w:val="17"/>
                <w:szCs w:val="17"/>
                <w:lang w:val="es-ES"/>
              </w:rPr>
            </w:pPr>
            <w:r w:rsidRPr="003A5248">
              <w:rPr>
                <w:sz w:val="17"/>
                <w:szCs w:val="17"/>
                <w:lang w:val="es-ES"/>
              </w:rPr>
              <w:t>NORAD</w:t>
            </w:r>
          </w:p>
        </w:tc>
        <w:tc>
          <w:tcPr>
            <w:tcW w:w="1963" w:type="dxa"/>
            <w:tcMar>
              <w:left w:w="85" w:type="dxa"/>
              <w:right w:w="85" w:type="dxa"/>
            </w:tcMar>
          </w:tcPr>
          <w:p w14:paraId="14AF8FE1" w14:textId="77777777" w:rsidR="00D54DAC" w:rsidRPr="003A5248" w:rsidRDefault="00D54DAC" w:rsidP="0030573C">
            <w:pPr>
              <w:pStyle w:val="Tabletext"/>
              <w:jc w:val="center"/>
              <w:rPr>
                <w:sz w:val="17"/>
                <w:szCs w:val="17"/>
                <w:lang w:val="en-GB"/>
              </w:rPr>
            </w:pPr>
            <w:r w:rsidRPr="003A5248">
              <w:rPr>
                <w:sz w:val="17"/>
                <w:szCs w:val="17"/>
                <w:lang w:val="en-GB"/>
              </w:rPr>
              <w:t>NORAD: 3 008 468 CHF</w:t>
            </w:r>
          </w:p>
          <w:p w14:paraId="2E2F7A04" w14:textId="77777777" w:rsidR="00D54DAC" w:rsidRPr="003A5248" w:rsidRDefault="00D54DAC" w:rsidP="0030573C">
            <w:pPr>
              <w:pStyle w:val="Tabletext"/>
              <w:jc w:val="center"/>
              <w:rPr>
                <w:sz w:val="17"/>
                <w:szCs w:val="17"/>
                <w:lang w:val="en-GB"/>
              </w:rPr>
            </w:pPr>
            <w:r w:rsidRPr="003A5248">
              <w:rPr>
                <w:sz w:val="17"/>
                <w:szCs w:val="17"/>
                <w:lang w:val="en-GB"/>
              </w:rPr>
              <w:t>FD-TIC: 759 024 CHF</w:t>
            </w:r>
          </w:p>
        </w:tc>
        <w:tc>
          <w:tcPr>
            <w:tcW w:w="1358" w:type="dxa"/>
            <w:tcMar>
              <w:left w:w="85" w:type="dxa"/>
              <w:right w:w="85" w:type="dxa"/>
            </w:tcMar>
          </w:tcPr>
          <w:p w14:paraId="6E68A5AB" w14:textId="77777777" w:rsidR="00D54DAC" w:rsidRPr="003A5248" w:rsidRDefault="00D54DAC" w:rsidP="0030573C">
            <w:pPr>
              <w:pStyle w:val="Tabletext"/>
              <w:jc w:val="center"/>
              <w:rPr>
                <w:sz w:val="17"/>
                <w:szCs w:val="17"/>
                <w:lang w:val="es-ES"/>
              </w:rPr>
            </w:pPr>
            <w:r w:rsidRPr="003A5248">
              <w:rPr>
                <w:sz w:val="17"/>
                <w:szCs w:val="17"/>
                <w:lang w:val="es-ES"/>
              </w:rPr>
              <w:t>3 767 492 CHF</w:t>
            </w:r>
          </w:p>
        </w:tc>
      </w:tr>
    </w:tbl>
    <w:p w14:paraId="41A245E7" w14:textId="77777777" w:rsidR="00D54DAC" w:rsidRPr="003F35CB" w:rsidRDefault="00D54DAC" w:rsidP="00D54DAC">
      <w:pPr>
        <w:spacing w:before="480"/>
        <w:jc w:val="center"/>
        <w:rPr>
          <w:rFonts w:cstheme="minorHAnsi"/>
          <w:lang w:val="es-ES"/>
        </w:rPr>
      </w:pPr>
      <w:r w:rsidRPr="003F35CB">
        <w:rPr>
          <w:rFonts w:cstheme="minorHAnsi"/>
          <w:lang w:val="es-ES"/>
        </w:rPr>
        <w:t>_______________</w:t>
      </w:r>
    </w:p>
    <w:p w14:paraId="4722DED3" w14:textId="77777777" w:rsidR="007955DA" w:rsidRDefault="007955DA" w:rsidP="000B0D00"/>
    <w:sectPr w:rsidR="007955DA" w:rsidSect="006710F6">
      <w:headerReference w:type="default" r:id="rId21"/>
      <w:footerReference w:type="default" r:id="rId22"/>
      <w:footerReference w:type="first" r:id="rId2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380CE" w14:textId="77777777" w:rsidR="005D622F" w:rsidRDefault="005D622F">
      <w:r>
        <w:separator/>
      </w:r>
    </w:p>
  </w:endnote>
  <w:endnote w:type="continuationSeparator" w:id="0">
    <w:p w14:paraId="2F50E7CB" w14:textId="77777777" w:rsidR="005D622F" w:rsidRDefault="005D6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14370" w14:textId="2E285439" w:rsidR="00760F1C" w:rsidRPr="00681D7E" w:rsidRDefault="00532E6E">
    <w:pPr>
      <w:pStyle w:val="Footer"/>
      <w:rPr>
        <w:lang w:val="fr-FR"/>
      </w:rPr>
    </w:pPr>
    <w:r>
      <w:fldChar w:fldCharType="begin"/>
    </w:r>
    <w:r w:rsidRPr="00681D7E">
      <w:rPr>
        <w:lang w:val="fr-FR"/>
      </w:rPr>
      <w:instrText xml:space="preserve"> FILENAME \p \* MERGEFORMAT </w:instrText>
    </w:r>
    <w:r>
      <w:fldChar w:fldCharType="separate"/>
    </w:r>
    <w:r w:rsidR="00D54DAC" w:rsidRPr="00681D7E">
      <w:rPr>
        <w:lang w:val="fr-FR"/>
      </w:rPr>
      <w:t>P:\ESP\SG\CONSEIL\C21\000\034S.docx</w:t>
    </w:r>
    <w:r>
      <w:rPr>
        <w:lang w:val="en-US"/>
      </w:rPr>
      <w:fldChar w:fldCharType="end"/>
    </w:r>
    <w:r w:rsidR="00D54DAC" w:rsidRPr="00681D7E">
      <w:rPr>
        <w:lang w:val="fr-FR"/>
      </w:rPr>
      <w:t xml:space="preserve"> (483230)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EAA02" w14:textId="77777777"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6EC26" w14:textId="77777777" w:rsidR="005D622F" w:rsidRDefault="005D622F">
      <w:r>
        <w:t>____________________</w:t>
      </w:r>
    </w:p>
  </w:footnote>
  <w:footnote w:type="continuationSeparator" w:id="0">
    <w:p w14:paraId="5D59D11C" w14:textId="77777777" w:rsidR="005D622F" w:rsidRDefault="005D622F">
      <w:r>
        <w:continuationSeparator/>
      </w:r>
    </w:p>
  </w:footnote>
  <w:footnote w:id="1">
    <w:p w14:paraId="28A6969D" w14:textId="77777777" w:rsidR="00D54DAC" w:rsidRPr="00C212C6" w:rsidRDefault="00D54DAC" w:rsidP="00D54DAC">
      <w:pPr>
        <w:pStyle w:val="FootnoteText"/>
        <w:tabs>
          <w:tab w:val="clear" w:pos="256"/>
          <w:tab w:val="clear" w:pos="567"/>
          <w:tab w:val="clear" w:pos="1134"/>
          <w:tab w:val="clear" w:pos="1701"/>
          <w:tab w:val="clear" w:pos="2268"/>
          <w:tab w:val="clear" w:pos="2835"/>
          <w:tab w:val="left" w:pos="284"/>
        </w:tabs>
        <w:spacing w:before="60"/>
        <w:ind w:left="284" w:hanging="284"/>
        <w:rPr>
          <w:i/>
          <w:iCs/>
          <w:sz w:val="22"/>
          <w:szCs w:val="22"/>
          <w:lang w:val="es-ES"/>
        </w:rPr>
      </w:pPr>
      <w:r w:rsidRPr="0013310F">
        <w:rPr>
          <w:rStyle w:val="FootnoteReference"/>
          <w:i/>
          <w:iCs/>
          <w:sz w:val="18"/>
          <w:szCs w:val="18"/>
        </w:rPr>
        <w:footnoteRef/>
      </w:r>
      <w:r w:rsidRPr="00C5444E">
        <w:rPr>
          <w:i/>
          <w:iCs/>
          <w:sz w:val="18"/>
          <w:szCs w:val="18"/>
          <w:lang w:val="es-ES"/>
        </w:rPr>
        <w:t xml:space="preserve"> </w:t>
      </w:r>
      <w:r w:rsidRPr="00C5444E">
        <w:rPr>
          <w:i/>
          <w:iCs/>
          <w:sz w:val="18"/>
          <w:szCs w:val="18"/>
          <w:lang w:val="es-ES"/>
        </w:rPr>
        <w:tab/>
      </w:r>
      <w:r w:rsidRPr="00C212C6">
        <w:rPr>
          <w:i/>
          <w:iCs/>
          <w:sz w:val="22"/>
          <w:szCs w:val="22"/>
          <w:lang w:val="es-ES"/>
        </w:rPr>
        <w:t xml:space="preserve">El CD FD-TIC está formado por el Secretario General de la UIT como </w:t>
      </w:r>
      <w:proofErr w:type="gramStart"/>
      <w:r w:rsidRPr="00C212C6">
        <w:rPr>
          <w:i/>
          <w:iCs/>
          <w:sz w:val="22"/>
          <w:szCs w:val="22"/>
          <w:lang w:val="es-ES"/>
        </w:rPr>
        <w:t>Presidente</w:t>
      </w:r>
      <w:proofErr w:type="gramEnd"/>
      <w:r w:rsidRPr="00C212C6">
        <w:rPr>
          <w:i/>
          <w:iCs/>
          <w:sz w:val="22"/>
          <w:szCs w:val="22"/>
          <w:lang w:val="es-ES"/>
        </w:rPr>
        <w:t>, el Vicesecretario General de la UIT y el Director de la BDT.</w:t>
      </w:r>
    </w:p>
  </w:footnote>
  <w:footnote w:id="2">
    <w:p w14:paraId="19ECC567" w14:textId="77777777" w:rsidR="00D54DAC" w:rsidRPr="0030573C" w:rsidRDefault="00D54DAC" w:rsidP="00D54DAC">
      <w:pPr>
        <w:pStyle w:val="FootnoteText"/>
        <w:ind w:left="0" w:firstLine="0"/>
        <w:rPr>
          <w:sz w:val="22"/>
          <w:szCs w:val="22"/>
          <w:lang w:val="es-ES"/>
          <w14:textOutline w14:w="9525" w14:cap="rnd" w14:cmpd="sng" w14:algn="ctr">
            <w14:solidFill>
              <w14:schemeClr w14:val="accent1"/>
            </w14:solidFill>
            <w14:prstDash w14:val="solid"/>
            <w14:bevel/>
          </w14:textOutline>
        </w:rPr>
      </w:pPr>
      <w:r>
        <w:rPr>
          <w:rStyle w:val="FootnoteReference"/>
        </w:rPr>
        <w:footnoteRef/>
      </w:r>
      <w:r w:rsidRPr="00EE7C26">
        <w:rPr>
          <w:lang w:val="es-ES"/>
        </w:rPr>
        <w:t xml:space="preserve"> </w:t>
      </w:r>
      <w:r w:rsidRPr="00EE7C26">
        <w:rPr>
          <w:lang w:val="es-ES"/>
        </w:rPr>
        <w:tab/>
      </w:r>
      <w:r w:rsidRPr="0030573C">
        <w:rPr>
          <w:i/>
          <w:iCs/>
          <w:sz w:val="22"/>
          <w:szCs w:val="22"/>
          <w:lang w:val="es-ES"/>
        </w:rPr>
        <w:t>La información definitiva estará disponible al cierre de la contabilidad financiera de la UIT.</w:t>
      </w:r>
    </w:p>
  </w:footnote>
  <w:footnote w:id="3">
    <w:p w14:paraId="2B5DB505" w14:textId="5F75F90C" w:rsidR="00D54DAC" w:rsidRPr="00532E6E" w:rsidRDefault="00D54DAC" w:rsidP="00D54DAC">
      <w:pPr>
        <w:pStyle w:val="FootnoteText"/>
        <w:spacing w:before="60"/>
        <w:rPr>
          <w:i/>
          <w:iCs/>
          <w:sz w:val="22"/>
          <w:szCs w:val="22"/>
          <w:lang w:val="es-ES"/>
        </w:rPr>
      </w:pPr>
      <w:r w:rsidRPr="00A0771A">
        <w:rPr>
          <w:rStyle w:val="FootnoteReference"/>
          <w:i/>
          <w:iCs/>
          <w:sz w:val="18"/>
          <w:szCs w:val="18"/>
        </w:rPr>
        <w:footnoteRef/>
      </w:r>
      <w:r w:rsidRPr="00532E6E">
        <w:rPr>
          <w:i/>
          <w:iCs/>
          <w:sz w:val="18"/>
          <w:szCs w:val="18"/>
          <w:lang w:val="es-ES"/>
        </w:rPr>
        <w:t xml:space="preserve"> </w:t>
      </w:r>
      <w:r w:rsidRPr="00532E6E">
        <w:rPr>
          <w:i/>
          <w:iCs/>
          <w:sz w:val="18"/>
          <w:szCs w:val="18"/>
          <w:lang w:val="es-ES"/>
        </w:rPr>
        <w:tab/>
      </w:r>
      <w:bookmarkStart w:id="15" w:name="_Hlk69306021"/>
      <w:bookmarkStart w:id="16" w:name="_Hlk69306022"/>
      <w:r w:rsidR="00532E6E" w:rsidRPr="0030573C">
        <w:rPr>
          <w:i/>
          <w:iCs/>
          <w:sz w:val="22"/>
          <w:szCs w:val="22"/>
          <w:lang w:val="es-ES"/>
        </w:rPr>
        <w:t>La información definitiva estará disponible al cierre de la contabilidad financiera de la UIT.</w:t>
      </w:r>
      <w:bookmarkEnd w:id="15"/>
      <w:bookmarkEnd w:id="16"/>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67643" w14:textId="77777777" w:rsidR="00760F1C" w:rsidRDefault="000B7C15" w:rsidP="007657F0">
    <w:pPr>
      <w:pStyle w:val="Header"/>
    </w:pPr>
    <w:r>
      <w:fldChar w:fldCharType="begin"/>
    </w:r>
    <w:r>
      <w:instrText>PAGE</w:instrText>
    </w:r>
    <w:r>
      <w:fldChar w:fldCharType="separate"/>
    </w:r>
    <w:r w:rsidR="00C2727F">
      <w:rPr>
        <w:noProof/>
      </w:rPr>
      <w:t>2</w:t>
    </w:r>
    <w:r>
      <w:rPr>
        <w:noProof/>
      </w:rPr>
      <w:fldChar w:fldCharType="end"/>
    </w:r>
  </w:p>
  <w:p w14:paraId="0463CB79" w14:textId="120DC469" w:rsidR="00760F1C" w:rsidRDefault="00760F1C" w:rsidP="00C2727F">
    <w:pPr>
      <w:pStyle w:val="Header"/>
    </w:pPr>
    <w:r>
      <w:t>C</w:t>
    </w:r>
    <w:r w:rsidR="007955DA">
      <w:t>2</w:t>
    </w:r>
    <w:r w:rsidR="000007D1">
      <w:t>1</w:t>
    </w:r>
    <w:r>
      <w:t>/</w:t>
    </w:r>
    <w:r w:rsidR="005E0076">
      <w:t>34</w:t>
    </w:r>
    <w: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E4BD2"/>
    <w:multiLevelType w:val="hybridMultilevel"/>
    <w:tmpl w:val="C408D856"/>
    <w:lvl w:ilvl="0" w:tplc="1726911A">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E87391"/>
    <w:multiLevelType w:val="hybridMultilevel"/>
    <w:tmpl w:val="95BCE81E"/>
    <w:lvl w:ilvl="0" w:tplc="04090001">
      <w:start w:val="1"/>
      <w:numFmt w:val="bullet"/>
      <w:lvlText w:val=""/>
      <w:lvlJc w:val="left"/>
      <w:pPr>
        <w:ind w:left="366" w:hanging="360"/>
      </w:pPr>
      <w:rPr>
        <w:rFonts w:ascii="Symbol" w:hAnsi="Symbol" w:hint="default"/>
      </w:rPr>
    </w:lvl>
    <w:lvl w:ilvl="1" w:tplc="04090003">
      <w:start w:val="1"/>
      <w:numFmt w:val="bullet"/>
      <w:lvlText w:val="o"/>
      <w:lvlJc w:val="left"/>
      <w:pPr>
        <w:ind w:left="1086" w:hanging="360"/>
      </w:pPr>
      <w:rPr>
        <w:rFonts w:ascii="Courier New" w:hAnsi="Courier New" w:cs="Courier New" w:hint="default"/>
      </w:rPr>
    </w:lvl>
    <w:lvl w:ilvl="2" w:tplc="04090005">
      <w:start w:val="1"/>
      <w:numFmt w:val="bullet"/>
      <w:lvlText w:val=""/>
      <w:lvlJc w:val="left"/>
      <w:pPr>
        <w:ind w:left="1806" w:hanging="360"/>
      </w:pPr>
      <w:rPr>
        <w:rFonts w:ascii="Wingdings" w:hAnsi="Wingdings" w:hint="default"/>
      </w:rPr>
    </w:lvl>
    <w:lvl w:ilvl="3" w:tplc="04090001">
      <w:start w:val="1"/>
      <w:numFmt w:val="bullet"/>
      <w:lvlText w:val=""/>
      <w:lvlJc w:val="left"/>
      <w:pPr>
        <w:ind w:left="2526" w:hanging="360"/>
      </w:pPr>
      <w:rPr>
        <w:rFonts w:ascii="Symbol" w:hAnsi="Symbol" w:hint="default"/>
      </w:rPr>
    </w:lvl>
    <w:lvl w:ilvl="4" w:tplc="04090003" w:tentative="1">
      <w:start w:val="1"/>
      <w:numFmt w:val="bullet"/>
      <w:lvlText w:val="o"/>
      <w:lvlJc w:val="left"/>
      <w:pPr>
        <w:ind w:left="3246" w:hanging="360"/>
      </w:pPr>
      <w:rPr>
        <w:rFonts w:ascii="Courier New" w:hAnsi="Courier New" w:cs="Courier New" w:hint="default"/>
      </w:rPr>
    </w:lvl>
    <w:lvl w:ilvl="5" w:tplc="04090005" w:tentative="1">
      <w:start w:val="1"/>
      <w:numFmt w:val="bullet"/>
      <w:lvlText w:val=""/>
      <w:lvlJc w:val="left"/>
      <w:pPr>
        <w:ind w:left="3966" w:hanging="360"/>
      </w:pPr>
      <w:rPr>
        <w:rFonts w:ascii="Wingdings" w:hAnsi="Wingdings" w:hint="default"/>
      </w:rPr>
    </w:lvl>
    <w:lvl w:ilvl="6" w:tplc="04090001" w:tentative="1">
      <w:start w:val="1"/>
      <w:numFmt w:val="bullet"/>
      <w:lvlText w:val=""/>
      <w:lvlJc w:val="left"/>
      <w:pPr>
        <w:ind w:left="4686" w:hanging="360"/>
      </w:pPr>
      <w:rPr>
        <w:rFonts w:ascii="Symbol" w:hAnsi="Symbol" w:hint="default"/>
      </w:rPr>
    </w:lvl>
    <w:lvl w:ilvl="7" w:tplc="04090003" w:tentative="1">
      <w:start w:val="1"/>
      <w:numFmt w:val="bullet"/>
      <w:lvlText w:val="o"/>
      <w:lvlJc w:val="left"/>
      <w:pPr>
        <w:ind w:left="5406" w:hanging="360"/>
      </w:pPr>
      <w:rPr>
        <w:rFonts w:ascii="Courier New" w:hAnsi="Courier New" w:cs="Courier New" w:hint="default"/>
      </w:rPr>
    </w:lvl>
    <w:lvl w:ilvl="8" w:tplc="04090005" w:tentative="1">
      <w:start w:val="1"/>
      <w:numFmt w:val="bullet"/>
      <w:lvlText w:val=""/>
      <w:lvlJc w:val="left"/>
      <w:pPr>
        <w:ind w:left="6126" w:hanging="360"/>
      </w:pPr>
      <w:rPr>
        <w:rFonts w:ascii="Wingdings" w:hAnsi="Wingdings" w:hint="default"/>
      </w:rPr>
    </w:lvl>
  </w:abstractNum>
  <w:abstractNum w:abstractNumId="2" w15:restartNumberingAfterBreak="0">
    <w:nsid w:val="76991932"/>
    <w:multiLevelType w:val="hybridMultilevel"/>
    <w:tmpl w:val="3D5205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290"/>
    <w:rsid w:val="000007D1"/>
    <w:rsid w:val="000548EF"/>
    <w:rsid w:val="000778BC"/>
    <w:rsid w:val="00093EEB"/>
    <w:rsid w:val="000B0D00"/>
    <w:rsid w:val="000B7C15"/>
    <w:rsid w:val="000D1D0F"/>
    <w:rsid w:val="000F5290"/>
    <w:rsid w:val="0010165C"/>
    <w:rsid w:val="0011672A"/>
    <w:rsid w:val="001172E9"/>
    <w:rsid w:val="00146BFB"/>
    <w:rsid w:val="001647D1"/>
    <w:rsid w:val="00177EB0"/>
    <w:rsid w:val="001A2D32"/>
    <w:rsid w:val="001B5AE2"/>
    <w:rsid w:val="001C3266"/>
    <w:rsid w:val="001F14A2"/>
    <w:rsid w:val="00203DD3"/>
    <w:rsid w:val="002801AA"/>
    <w:rsid w:val="002C4676"/>
    <w:rsid w:val="002C70B0"/>
    <w:rsid w:val="002F3CC4"/>
    <w:rsid w:val="0030573C"/>
    <w:rsid w:val="0037297A"/>
    <w:rsid w:val="003A5248"/>
    <w:rsid w:val="003A5EA7"/>
    <w:rsid w:val="00513630"/>
    <w:rsid w:val="00532E6E"/>
    <w:rsid w:val="00532FC3"/>
    <w:rsid w:val="0053722C"/>
    <w:rsid w:val="00560125"/>
    <w:rsid w:val="00585553"/>
    <w:rsid w:val="005A39DC"/>
    <w:rsid w:val="005B34D9"/>
    <w:rsid w:val="005B60A7"/>
    <w:rsid w:val="005D0CCF"/>
    <w:rsid w:val="005D622F"/>
    <w:rsid w:val="005E0076"/>
    <w:rsid w:val="005F3BCB"/>
    <w:rsid w:val="005F410F"/>
    <w:rsid w:val="0060149A"/>
    <w:rsid w:val="00601924"/>
    <w:rsid w:val="006447EA"/>
    <w:rsid w:val="0064731F"/>
    <w:rsid w:val="00664572"/>
    <w:rsid w:val="006710F6"/>
    <w:rsid w:val="00681D7E"/>
    <w:rsid w:val="006C1B56"/>
    <w:rsid w:val="006D4761"/>
    <w:rsid w:val="006E44FF"/>
    <w:rsid w:val="00716558"/>
    <w:rsid w:val="00726070"/>
    <w:rsid w:val="00726872"/>
    <w:rsid w:val="00760F1C"/>
    <w:rsid w:val="00763741"/>
    <w:rsid w:val="007657F0"/>
    <w:rsid w:val="0077252D"/>
    <w:rsid w:val="007955DA"/>
    <w:rsid w:val="007A6988"/>
    <w:rsid w:val="007E5DD3"/>
    <w:rsid w:val="007F350B"/>
    <w:rsid w:val="00820BE4"/>
    <w:rsid w:val="008451E8"/>
    <w:rsid w:val="00874290"/>
    <w:rsid w:val="008B7E15"/>
    <w:rsid w:val="00913B9C"/>
    <w:rsid w:val="00956E77"/>
    <w:rsid w:val="00957D51"/>
    <w:rsid w:val="00987C73"/>
    <w:rsid w:val="009C614C"/>
    <w:rsid w:val="009F4811"/>
    <w:rsid w:val="00A2703B"/>
    <w:rsid w:val="00AA390C"/>
    <w:rsid w:val="00B0200A"/>
    <w:rsid w:val="00B574DB"/>
    <w:rsid w:val="00B826C2"/>
    <w:rsid w:val="00B8298E"/>
    <w:rsid w:val="00BD0723"/>
    <w:rsid w:val="00BD2518"/>
    <w:rsid w:val="00BF1D1C"/>
    <w:rsid w:val="00C20C59"/>
    <w:rsid w:val="00C212C6"/>
    <w:rsid w:val="00C2727F"/>
    <w:rsid w:val="00C55B1F"/>
    <w:rsid w:val="00CB778B"/>
    <w:rsid w:val="00CF1A67"/>
    <w:rsid w:val="00D2750E"/>
    <w:rsid w:val="00D54DAC"/>
    <w:rsid w:val="00D62446"/>
    <w:rsid w:val="00D92C47"/>
    <w:rsid w:val="00DA4EA2"/>
    <w:rsid w:val="00DC3D3E"/>
    <w:rsid w:val="00DE2C90"/>
    <w:rsid w:val="00DE3B24"/>
    <w:rsid w:val="00E06947"/>
    <w:rsid w:val="00E25256"/>
    <w:rsid w:val="00E3592D"/>
    <w:rsid w:val="00E63D03"/>
    <w:rsid w:val="00E92DE8"/>
    <w:rsid w:val="00EA351E"/>
    <w:rsid w:val="00EB1212"/>
    <w:rsid w:val="00ED65AB"/>
    <w:rsid w:val="00F12850"/>
    <w:rsid w:val="00F33BF4"/>
    <w:rsid w:val="00F7105E"/>
    <w:rsid w:val="00F75F57"/>
    <w:rsid w:val="00F82FEE"/>
    <w:rsid w:val="00FB6BBF"/>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9EE228"/>
  <w15:docId w15:val="{95CDFABC-8A7A-456E-AE46-FAF183A90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link w:val="FootnoteTextChar"/>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customStyle="1" w:styleId="FootnoteTextChar">
    <w:name w:val="Footnote Text Char"/>
    <w:basedOn w:val="DefaultParagraphFont"/>
    <w:link w:val="FootnoteText"/>
    <w:rsid w:val="00D54DAC"/>
    <w:rPr>
      <w:rFonts w:ascii="Calibri" w:hAnsi="Calibri"/>
      <w:sz w:val="24"/>
      <w:lang w:val="es-ES_tradnl" w:eastAsia="en-US"/>
    </w:rPr>
  </w:style>
  <w:style w:type="paragraph" w:styleId="ListParagraph">
    <w:name w:val="List Paragraph"/>
    <w:basedOn w:val="Normal"/>
    <w:link w:val="ListParagraphChar"/>
    <w:uiPriority w:val="34"/>
    <w:qFormat/>
    <w:rsid w:val="00D54DAC"/>
    <w:pPr>
      <w:widowControl w:val="0"/>
      <w:tabs>
        <w:tab w:val="clear" w:pos="567"/>
        <w:tab w:val="clear" w:pos="1134"/>
        <w:tab w:val="clear" w:pos="1701"/>
        <w:tab w:val="clear" w:pos="2268"/>
        <w:tab w:val="clear" w:pos="2835"/>
      </w:tabs>
      <w:kinsoku w:val="0"/>
      <w:overflowPunct/>
      <w:autoSpaceDE/>
      <w:autoSpaceDN/>
      <w:adjustRightInd/>
      <w:spacing w:before="0" w:after="200" w:line="276" w:lineRule="auto"/>
      <w:ind w:left="720"/>
      <w:contextualSpacing/>
      <w:textAlignment w:val="auto"/>
    </w:pPr>
    <w:rPr>
      <w:rFonts w:ascii="Times New Roman" w:eastAsiaTheme="minorEastAsia" w:hAnsi="Times New Roman" w:cstheme="minorBidi"/>
      <w:sz w:val="22"/>
      <w:szCs w:val="22"/>
      <w:lang w:val="fr-CH" w:eastAsia="zh-CN"/>
    </w:rPr>
  </w:style>
  <w:style w:type="character" w:customStyle="1" w:styleId="ListParagraphChar">
    <w:name w:val="List Paragraph Char"/>
    <w:basedOn w:val="DefaultParagraphFont"/>
    <w:link w:val="ListParagraph"/>
    <w:uiPriority w:val="34"/>
    <w:rsid w:val="00D54DAC"/>
    <w:rPr>
      <w:rFonts w:ascii="Times New Roman" w:eastAsiaTheme="minorEastAsia" w:hAnsi="Times New Roman" w:cstheme="minorBidi"/>
      <w:sz w:val="22"/>
      <w:szCs w:val="22"/>
      <w:lang w:val="fr-CH"/>
    </w:rPr>
  </w:style>
  <w:style w:type="table" w:styleId="TableGrid">
    <w:name w:val="Table Grid"/>
    <w:basedOn w:val="TableNormal"/>
    <w:rsid w:val="00D54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057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451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RES-011-E.pdf" TargetMode="External"/><Relationship Id="rId13" Type="http://schemas.openxmlformats.org/officeDocument/2006/relationships/hyperlink" Target="https://www.itu.int/es/ITU-D/Projects" TargetMode="External"/><Relationship Id="rId18" Type="http://schemas.openxmlformats.org/officeDocument/2006/relationships/chart" Target="charts/chart5.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http://www.itu.int/en/ITU-D/Partners/Pages/ICT-DF/default.aspx" TargetMode="External"/><Relationship Id="rId17" Type="http://schemas.openxmlformats.org/officeDocument/2006/relationships/chart" Target="charts/chart4.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hart" Target="charts/chart3.xml"/><Relationship Id="rId20" Type="http://schemas.openxmlformats.org/officeDocument/2006/relationships/hyperlink" Target="https://www.itu.int/en/ITU-D/Projects/Pages/ICT-DF.aspx?ICTDF=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20-CL-C-0034/es"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hart" Target="charts/chart2.xml"/><Relationship Id="rId23" Type="http://schemas.openxmlformats.org/officeDocument/2006/relationships/footer" Target="footer2.xml"/><Relationship Id="rId10" Type="http://schemas.openxmlformats.org/officeDocument/2006/relationships/hyperlink" Target="http://www.itu.int/md/S11-CL-C-0106/es" TargetMode="External"/><Relationship Id="rId19" Type="http://schemas.openxmlformats.org/officeDocument/2006/relationships/chart" Target="charts/chart6.xml"/><Relationship Id="rId4" Type="http://schemas.openxmlformats.org/officeDocument/2006/relationships/webSettings" Target="webSettings.xml"/><Relationship Id="rId9" Type="http://schemas.openxmlformats.org/officeDocument/2006/relationships/hyperlink" Target="http://www.itu.int/council/index97/1997/131/131.html" TargetMode="External"/><Relationship Id="rId14" Type="http://schemas.openxmlformats.org/officeDocument/2006/relationships/chart" Target="charts/chart1.xm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alano\AppData\Roaming\Microsoft\Templates\POOL%20S%20-%20ITU\PS_C21.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ituint.sharepoint.com/sites/PRJ/Shared%20Documents/General/Quarterly%20reports/2021%20Q1%20Quarterly%20Assessment/2021%20Q1%20Assessment%20dashboard/PRJ%20database%20Mar%20202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ituint.sharepoint.com/sites/PRJ/Shared%20Documents/General/Quarterly%20reports/2021%20Q1%20Quarterly%20Assessment/2021%20Q1%20Assessment%20dashboard/PRJ%20database%20Mar%202021.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1.xml"/></Relationships>
</file>

<file path=word/charts/_rels/chart3.xml.rels><?xml version="1.0" encoding="UTF-8" standalone="yes"?>
<Relationships xmlns="http://schemas.openxmlformats.org/package/2006/relationships"><Relationship Id="rId3" Type="http://schemas.openxmlformats.org/officeDocument/2006/relationships/oleObject" Target="https://ituint.sharepoint.com/sites/PRJ/Shared%20Documents/General/Quarterly%20reports/2021%20Q1%20Quarterly%20Assessment/2021%20Q1%20Assessment%20dashboard/PRJ%20database%20Mar%202021.xlsx"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2.xml"/></Relationships>
</file>

<file path=word/charts/_rels/chart4.xml.rels><?xml version="1.0" encoding="UTF-8" standalone="yes"?>
<Relationships xmlns="http://schemas.openxmlformats.org/package/2006/relationships"><Relationship Id="rId3" Type="http://schemas.openxmlformats.org/officeDocument/2006/relationships/oleObject" Target="https://ituint.sharepoint.com/sites/PRJ/Shared%20Documents/General/Quarterly%20reports/2021%20Q1%20Quarterly%20Assessment/2021%20Q1%20Assessment%20dashboard/PRJ%20database%20Mar%202021.xlsx" TargetMode="Externa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3.xml"/></Relationships>
</file>

<file path=word/charts/_rels/chart5.xml.rels><?xml version="1.0" encoding="UTF-8" standalone="yes"?>
<Relationships xmlns="http://schemas.openxmlformats.org/package/2006/relationships"><Relationship Id="rId3" Type="http://schemas.openxmlformats.org/officeDocument/2006/relationships/oleObject" Target="https://ituint.sharepoint.com/sites/PRJ/Shared%20Documents/General/Quarterly%20reports/2021%20Q1%20Quarterly%20Assessment/2021%20Q1%20Assessment%20dashboard/PRJ%20database%20Mar%202021.xlsx" TargetMode="Externa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chartUserShapes" Target="../drawings/drawing4.xml"/></Relationships>
</file>

<file path=word/charts/_rels/chart6.xml.rels><?xml version="1.0" encoding="UTF-8" standalone="yes"?>
<Relationships xmlns="http://schemas.openxmlformats.org/package/2006/relationships"><Relationship Id="rId3" Type="http://schemas.openxmlformats.org/officeDocument/2006/relationships/oleObject" Target="https://ituint.sharepoint.com/sites/PRJ/Shared%20Documents/General/Quarterly%20reports/2021%20Q1%20Quarterly%20Assessment/2021%20Q1%20Assessment%20dashboard/PRJ%20database%20Mar%202021.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US" sz="1000">
                <a:solidFill>
                  <a:sysClr val="windowText" lastClr="000000"/>
                </a:solidFill>
              </a:rPr>
              <a:t>Figura 1 – Proyectos en curso financiados por el FD-TIC</a:t>
            </a:r>
            <a:endParaRPr lang="en-US" sz="1000" baseline="0">
              <a:solidFill>
                <a:sysClr val="windowText" lastClr="000000"/>
              </a:solidFill>
            </a:endParaRPr>
          </a:p>
          <a:p>
            <a:pPr>
              <a:defRPr>
                <a:solidFill>
                  <a:sysClr val="windowText" lastClr="000000"/>
                </a:solidFill>
              </a:defRPr>
            </a:pPr>
            <a:r>
              <a:rPr lang="en-US" sz="1000" baseline="0">
                <a:solidFill>
                  <a:sysClr val="windowText" lastClr="000000"/>
                </a:solidFill>
              </a:rPr>
              <a:t>(Diciembre de 2020)</a:t>
            </a:r>
            <a:endParaRPr lang="en-US" sz="1000">
              <a:solidFill>
                <a:sysClr val="windowText" lastClr="000000"/>
              </a:solidFill>
            </a:endParaRPr>
          </a:p>
        </c:rich>
      </c:tx>
      <c:layout>
        <c:manualLayout>
          <c:xMode val="edge"/>
          <c:yMode val="edge"/>
          <c:x val="0.16783127061255185"/>
          <c:y val="8.194322505121451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317-40A4-AF86-219D0E20CC4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317-40A4-AF86-219D0E20CC4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317-40A4-AF86-219D0E20CC4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8317-40A4-AF86-219D0E20CC49}"/>
              </c:ext>
            </c:extLst>
          </c:dPt>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Summary!$L$9:$L$12</c:f>
              <c:strCache>
                <c:ptCount val="4"/>
                <c:pt idx="0">
                  <c:v>Africa</c:v>
                </c:pt>
                <c:pt idx="1">
                  <c:v>Arab Stats</c:v>
                </c:pt>
                <c:pt idx="2">
                  <c:v>Americas</c:v>
                </c:pt>
                <c:pt idx="3">
                  <c:v>Multi-regional</c:v>
                </c:pt>
              </c:strCache>
            </c:strRef>
          </c:cat>
          <c:val>
            <c:numRef>
              <c:f>Summary!$M$9:$M$12</c:f>
              <c:numCache>
                <c:formatCode>General</c:formatCode>
                <c:ptCount val="4"/>
                <c:pt idx="0">
                  <c:v>1</c:v>
                </c:pt>
                <c:pt idx="1">
                  <c:v>1</c:v>
                </c:pt>
                <c:pt idx="2">
                  <c:v>1</c:v>
                </c:pt>
                <c:pt idx="3">
                  <c:v>4</c:v>
                </c:pt>
              </c:numCache>
            </c:numRef>
          </c:val>
          <c:extLst>
            <c:ext xmlns:c16="http://schemas.microsoft.com/office/drawing/2014/chart" uri="{C3380CC4-5D6E-409C-BE32-E72D297353CC}">
              <c16:uniqueId val="{00000008-8317-40A4-AF86-219D0E20CC49}"/>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61714126831784821"/>
          <c:y val="0.37682039086641828"/>
          <c:w val="0.14461155023139657"/>
          <c:h val="0.39508617173511784"/>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00" b="0" i="0" baseline="0">
                <a:solidFill>
                  <a:sysClr val="windowText" lastClr="000000"/>
                </a:solidFill>
                <a:effectLst/>
              </a:rPr>
              <a:t>Figura 2.1 – Situación general de los proyectos financiados </a:t>
            </a:r>
            <a:br>
              <a:rPr lang="en-US" sz="1000" b="0" i="0" baseline="0">
                <a:solidFill>
                  <a:sysClr val="windowText" lastClr="000000"/>
                </a:solidFill>
                <a:effectLst/>
              </a:rPr>
            </a:br>
            <a:r>
              <a:rPr lang="en-US" sz="1000" b="0" i="0" baseline="0">
                <a:solidFill>
                  <a:sysClr val="windowText" lastClr="000000"/>
                </a:solidFill>
                <a:effectLst/>
              </a:rPr>
              <a:t>por el FD-TIC </a:t>
            </a:r>
            <a:br>
              <a:rPr lang="en-US" sz="1000" b="0" i="0" baseline="0">
                <a:solidFill>
                  <a:sysClr val="windowText" lastClr="000000"/>
                </a:solidFill>
                <a:effectLst/>
              </a:rPr>
            </a:br>
            <a:r>
              <a:rPr lang="en-US" sz="1000" b="0" i="0" baseline="0">
                <a:solidFill>
                  <a:sysClr val="windowText" lastClr="000000"/>
                </a:solidFill>
                <a:effectLst/>
              </a:rPr>
              <a:t>(2009-2020)</a:t>
            </a:r>
            <a:endParaRPr lang="en-US" sz="1000">
              <a:solidFill>
                <a:sysClr val="windowText" lastClr="000000"/>
              </a:solidFill>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Summary!$I$60</c:f>
              <c:strCache>
                <c:ptCount val="1"/>
                <c:pt idx="0">
                  <c:v>Count of Project No</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5D9-422F-858C-7F02848B702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5D9-422F-858C-7F02848B702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5D9-422F-858C-7F02848B702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0"/>
            <c:showCatName val="0"/>
            <c:showSerName val="0"/>
            <c:showPercent val="1"/>
            <c:showBubbleSize val="0"/>
            <c:showLeaderLines val="0"/>
            <c:extLst>
              <c:ext xmlns:c15="http://schemas.microsoft.com/office/drawing/2012/chart" uri="{CE6537A1-D6FC-4f65-9D91-7224C49458BB}"/>
            </c:extLst>
          </c:dLbls>
          <c:cat>
            <c:strRef>
              <c:f>Summary!$H$61:$H$63</c:f>
              <c:strCache>
                <c:ptCount val="3"/>
                <c:pt idx="0">
                  <c:v>Closed</c:v>
                </c:pt>
                <c:pt idx="1">
                  <c:v>Ongoing</c:v>
                </c:pt>
                <c:pt idx="2">
                  <c:v>Undergoing closure</c:v>
                </c:pt>
              </c:strCache>
            </c:strRef>
          </c:cat>
          <c:val>
            <c:numRef>
              <c:f>Summary!$I$61:$I$63</c:f>
              <c:numCache>
                <c:formatCode>General</c:formatCode>
                <c:ptCount val="3"/>
                <c:pt idx="0">
                  <c:v>41</c:v>
                </c:pt>
                <c:pt idx="1">
                  <c:v>7</c:v>
                </c:pt>
                <c:pt idx="2">
                  <c:v>8</c:v>
                </c:pt>
              </c:numCache>
            </c:numRef>
          </c:val>
          <c:extLst>
            <c:ext xmlns:c16="http://schemas.microsoft.com/office/drawing/2014/chart" uri="{C3380CC4-5D6E-409C-BE32-E72D297353CC}">
              <c16:uniqueId val="{00000006-C5D9-422F-858C-7F02848B702C}"/>
            </c:ext>
          </c:extLst>
        </c:ser>
        <c:dLbls>
          <c:showLegendKey val="0"/>
          <c:showVal val="0"/>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00">
                <a:solidFill>
                  <a:sysClr val="windowText" lastClr="000000"/>
                </a:solidFill>
              </a:rPr>
              <a:t>Figura</a:t>
            </a:r>
            <a:r>
              <a:rPr lang="en-US" sz="1000" baseline="0">
                <a:solidFill>
                  <a:sysClr val="windowText" lastClr="000000"/>
                </a:solidFill>
              </a:rPr>
              <a:t> 2.2 – Financiación facilitada por el FD-TIC</a:t>
            </a:r>
            <a:endParaRPr lang="en-US" sz="1000">
              <a:solidFill>
                <a:sysClr val="windowText" lastClr="000000"/>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Summary!$I$71</c:f>
              <c:strCache>
                <c:ptCount val="1"/>
                <c:pt idx="0">
                  <c:v>已经结束</c:v>
                </c:pt>
              </c:strCache>
            </c:strRef>
          </c:tx>
          <c:spPr>
            <a:solidFill>
              <a:schemeClr val="accent1"/>
            </a:solidFill>
            <a:ln>
              <a:noFill/>
            </a:ln>
            <a:effectLst/>
          </c:spPr>
          <c:invertIfNegative val="0"/>
          <c:dLbls>
            <c:dLbl>
              <c:idx val="1"/>
              <c:layout>
                <c:manualLayout>
                  <c:x val="6.8352699931646674E-3"/>
                  <c:y val="5.555555555555555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F25-4446-BFCC-7207D9D937D0}"/>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Summary!$J$70:$L$70</c:f>
              <c:strCache>
                <c:ptCount val="3"/>
                <c:pt idx="0">
                  <c:v>外部捐款（现金）</c:v>
                </c:pt>
                <c:pt idx="1">
                  <c:v>ICT-DF捐款</c:v>
                </c:pt>
                <c:pt idx="2">
                  <c:v>资金总额</c:v>
                </c:pt>
              </c:strCache>
            </c:strRef>
          </c:cat>
          <c:val>
            <c:numRef>
              <c:f>Summary!$J$71:$L$71</c:f>
              <c:numCache>
                <c:formatCode>_(* #,##0_);_(* \(#,##0\);_(* "-"??_);_(@_)</c:formatCode>
                <c:ptCount val="3"/>
                <c:pt idx="0">
                  <c:v>11099976</c:v>
                </c:pt>
                <c:pt idx="1">
                  <c:v>8188900</c:v>
                </c:pt>
                <c:pt idx="2">
                  <c:v>26103642</c:v>
                </c:pt>
              </c:numCache>
            </c:numRef>
          </c:val>
          <c:extLst>
            <c:ext xmlns:c16="http://schemas.microsoft.com/office/drawing/2014/chart" uri="{C3380CC4-5D6E-409C-BE32-E72D297353CC}">
              <c16:uniqueId val="{00000000-8F25-4446-BFCC-7207D9D937D0}"/>
            </c:ext>
          </c:extLst>
        </c:ser>
        <c:ser>
          <c:idx val="1"/>
          <c:order val="1"/>
          <c:tx>
            <c:strRef>
              <c:f>Summary!$I$72</c:f>
              <c:strCache>
                <c:ptCount val="1"/>
                <c:pt idx="0">
                  <c:v>正在进行中</c:v>
                </c:pt>
              </c:strCache>
            </c:strRef>
          </c:tx>
          <c:spPr>
            <a:solidFill>
              <a:schemeClr val="accent2"/>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Summary!$J$70:$L$70</c:f>
              <c:strCache>
                <c:ptCount val="3"/>
                <c:pt idx="0">
                  <c:v>外部捐款（现金）</c:v>
                </c:pt>
                <c:pt idx="1">
                  <c:v>ICT-DF捐款</c:v>
                </c:pt>
                <c:pt idx="2">
                  <c:v>资金总额</c:v>
                </c:pt>
              </c:strCache>
            </c:strRef>
          </c:cat>
          <c:val>
            <c:numRef>
              <c:f>Summary!$J$72:$L$72</c:f>
              <c:numCache>
                <c:formatCode>_(* #,##0_);_(* \(#,##0\);_(* "-"??_);_(@_)</c:formatCode>
                <c:ptCount val="3"/>
                <c:pt idx="0">
                  <c:v>11643934</c:v>
                </c:pt>
                <c:pt idx="1">
                  <c:v>4598950</c:v>
                </c:pt>
                <c:pt idx="2">
                  <c:v>16386227</c:v>
                </c:pt>
              </c:numCache>
            </c:numRef>
          </c:val>
          <c:extLst>
            <c:ext xmlns:c16="http://schemas.microsoft.com/office/drawing/2014/chart" uri="{C3380CC4-5D6E-409C-BE32-E72D297353CC}">
              <c16:uniqueId val="{00000001-8F25-4446-BFCC-7207D9D937D0}"/>
            </c:ext>
          </c:extLst>
        </c:ser>
        <c:ser>
          <c:idx val="2"/>
          <c:order val="2"/>
          <c:tx>
            <c:strRef>
              <c:f>Summary!$I$73</c:f>
              <c:strCache>
                <c:ptCount val="1"/>
                <c:pt idx="0">
                  <c:v>正在完结中</c:v>
                </c:pt>
              </c:strCache>
            </c:strRef>
          </c:tx>
          <c:spPr>
            <a:solidFill>
              <a:schemeClr val="accent3"/>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Summary!$J$70:$L$70</c:f>
              <c:strCache>
                <c:ptCount val="3"/>
                <c:pt idx="0">
                  <c:v>外部捐款（现金）</c:v>
                </c:pt>
                <c:pt idx="1">
                  <c:v>ICT-DF捐款</c:v>
                </c:pt>
                <c:pt idx="2">
                  <c:v>资金总额</c:v>
                </c:pt>
              </c:strCache>
            </c:strRef>
          </c:cat>
          <c:val>
            <c:numRef>
              <c:f>Summary!$J$73:$L$73</c:f>
              <c:numCache>
                <c:formatCode>_(* #,##0_);_(* \(#,##0\);_(* "-"??_);_(@_)</c:formatCode>
                <c:ptCount val="3"/>
                <c:pt idx="0">
                  <c:v>3493627</c:v>
                </c:pt>
                <c:pt idx="1">
                  <c:v>1466467</c:v>
                </c:pt>
                <c:pt idx="2">
                  <c:v>5369794</c:v>
                </c:pt>
              </c:numCache>
            </c:numRef>
          </c:val>
          <c:extLst>
            <c:ext xmlns:c16="http://schemas.microsoft.com/office/drawing/2014/chart" uri="{C3380CC4-5D6E-409C-BE32-E72D297353CC}">
              <c16:uniqueId val="{00000002-8F25-4446-BFCC-7207D9D937D0}"/>
            </c:ext>
          </c:extLst>
        </c:ser>
        <c:dLbls>
          <c:showLegendKey val="0"/>
          <c:showVal val="0"/>
          <c:showCatName val="0"/>
          <c:showSerName val="0"/>
          <c:showPercent val="0"/>
          <c:showBubbleSize val="0"/>
        </c:dLbls>
        <c:gapWidth val="219"/>
        <c:overlap val="-27"/>
        <c:axId val="346701040"/>
        <c:axId val="1393957280"/>
      </c:barChart>
      <c:catAx>
        <c:axId val="346701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93957280"/>
        <c:crosses val="autoZero"/>
        <c:auto val="1"/>
        <c:lblAlgn val="ctr"/>
        <c:lblOffset val="100"/>
        <c:noMultiLvlLbl val="0"/>
      </c:catAx>
      <c:valAx>
        <c:axId val="139395728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46701040"/>
        <c:crosses val="autoZero"/>
        <c:crossBetween val="between"/>
        <c:dispUnits>
          <c:builtInUnit val="millions"/>
          <c:dispUnitsLbl>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a:solidFill>
                        <a:sysClr val="windowText" lastClr="000000"/>
                      </a:solidFill>
                    </a:rPr>
                    <a:t>Millones</a:t>
                  </a:r>
                </a:p>
              </c:rich>
            </c:tx>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dispUnitsLbl>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000" b="0" i="0" baseline="0">
                <a:solidFill>
                  <a:sysClr val="windowText" lastClr="000000"/>
                </a:solidFill>
                <a:effectLst/>
              </a:rPr>
              <a:t>Figura 2.3 – Valor de los proyectos del FD-TIC por región </a:t>
            </a:r>
            <a:br>
              <a:rPr lang="en-GB" sz="1000" b="0" i="0" baseline="0">
                <a:solidFill>
                  <a:sysClr val="windowText" lastClr="000000"/>
                </a:solidFill>
                <a:effectLst/>
              </a:rPr>
            </a:br>
            <a:r>
              <a:rPr lang="en-GB" sz="1000" b="0" i="0" baseline="0">
                <a:solidFill>
                  <a:sysClr val="windowText" lastClr="000000"/>
                </a:solidFill>
                <a:effectLst/>
              </a:rPr>
              <a:t>(proyectos cerrados y en proceso de cierre)</a:t>
            </a:r>
            <a:br>
              <a:rPr lang="en-GB" sz="1000" b="0" i="0" baseline="0">
                <a:solidFill>
                  <a:sysClr val="windowText" lastClr="000000"/>
                </a:solidFill>
                <a:effectLst/>
              </a:rPr>
            </a:br>
            <a:r>
              <a:rPr lang="en-GB" sz="1000" b="0" i="0" baseline="0">
                <a:solidFill>
                  <a:sysClr val="windowText" lastClr="000000"/>
                </a:solidFill>
                <a:effectLst/>
              </a:rPr>
              <a:t>(diciembre de 2020)</a:t>
            </a:r>
            <a:endParaRPr lang="en-US" sz="1000">
              <a:solidFill>
                <a:sysClr val="windowText" lastClr="000000"/>
              </a:solidFill>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'Summary (2)'!$N$19</c:f>
              <c:strCache>
                <c:ptCount val="1"/>
                <c:pt idx="0">
                  <c:v>External contribution (Cash)</c:v>
                </c:pt>
              </c:strCache>
            </c:strRef>
          </c:tx>
          <c:spPr>
            <a:solidFill>
              <a:schemeClr val="accent1"/>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'Summary (2)'!$M$20:$M$26</c:f>
              <c:strCache>
                <c:ptCount val="7"/>
                <c:pt idx="0">
                  <c:v>Africa</c:v>
                </c:pt>
                <c:pt idx="1">
                  <c:v>Arab States</c:v>
                </c:pt>
                <c:pt idx="2">
                  <c:v>Asia &amp; Pacific</c:v>
                </c:pt>
                <c:pt idx="3">
                  <c:v>CIS countries</c:v>
                </c:pt>
                <c:pt idx="4">
                  <c:v>Europe</c:v>
                </c:pt>
                <c:pt idx="5">
                  <c:v>The Americas</c:v>
                </c:pt>
                <c:pt idx="6">
                  <c:v>World or Multi-Regional</c:v>
                </c:pt>
              </c:strCache>
            </c:strRef>
          </c:cat>
          <c:val>
            <c:numRef>
              <c:f>'Summary (2)'!$N$20:$N$26</c:f>
              <c:numCache>
                <c:formatCode>_(* #,##0_);_(* \(#,##0\);_(* "-"??_);_(@_)</c:formatCode>
                <c:ptCount val="7"/>
                <c:pt idx="0">
                  <c:v>13172242</c:v>
                </c:pt>
                <c:pt idx="1">
                  <c:v>2946360</c:v>
                </c:pt>
                <c:pt idx="2">
                  <c:v>2753415</c:v>
                </c:pt>
                <c:pt idx="4">
                  <c:v>131080</c:v>
                </c:pt>
                <c:pt idx="5">
                  <c:v>2136964</c:v>
                </c:pt>
                <c:pt idx="6">
                  <c:v>5097476</c:v>
                </c:pt>
              </c:numCache>
            </c:numRef>
          </c:val>
          <c:extLst>
            <c:ext xmlns:c16="http://schemas.microsoft.com/office/drawing/2014/chart" uri="{C3380CC4-5D6E-409C-BE32-E72D297353CC}">
              <c16:uniqueId val="{00000000-9B26-4636-B92B-13A766FD6B70}"/>
            </c:ext>
          </c:extLst>
        </c:ser>
        <c:ser>
          <c:idx val="1"/>
          <c:order val="1"/>
          <c:tx>
            <c:strRef>
              <c:f>'Summary (2)'!$O$19</c:f>
              <c:strCache>
                <c:ptCount val="1"/>
                <c:pt idx="0">
                  <c:v>ICT-DF Contribution</c:v>
                </c:pt>
              </c:strCache>
            </c:strRef>
          </c:tx>
          <c:spPr>
            <a:solidFill>
              <a:schemeClr val="accent2"/>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'Summary (2)'!$M$20:$M$26</c:f>
              <c:strCache>
                <c:ptCount val="7"/>
                <c:pt idx="0">
                  <c:v>Africa</c:v>
                </c:pt>
                <c:pt idx="1">
                  <c:v>Arab States</c:v>
                </c:pt>
                <c:pt idx="2">
                  <c:v>Asia &amp; Pacific</c:v>
                </c:pt>
                <c:pt idx="3">
                  <c:v>CIS countries</c:v>
                </c:pt>
                <c:pt idx="4">
                  <c:v>Europe</c:v>
                </c:pt>
                <c:pt idx="5">
                  <c:v>The Americas</c:v>
                </c:pt>
                <c:pt idx="6">
                  <c:v>World or Multi-Regional</c:v>
                </c:pt>
              </c:strCache>
            </c:strRef>
          </c:cat>
          <c:val>
            <c:numRef>
              <c:f>'Summary (2)'!$O$20:$O$26</c:f>
              <c:numCache>
                <c:formatCode>_(* #,##0_);_(* \(#,##0\);_(* "-"??_);_(@_)</c:formatCode>
                <c:ptCount val="7"/>
                <c:pt idx="0">
                  <c:v>4135974</c:v>
                </c:pt>
                <c:pt idx="1">
                  <c:v>1700588</c:v>
                </c:pt>
                <c:pt idx="2">
                  <c:v>1585195</c:v>
                </c:pt>
                <c:pt idx="3">
                  <c:v>547711</c:v>
                </c:pt>
                <c:pt idx="4">
                  <c:v>132888</c:v>
                </c:pt>
                <c:pt idx="5">
                  <c:v>586952</c:v>
                </c:pt>
                <c:pt idx="6">
                  <c:v>5565009</c:v>
                </c:pt>
              </c:numCache>
            </c:numRef>
          </c:val>
          <c:extLst>
            <c:ext xmlns:c16="http://schemas.microsoft.com/office/drawing/2014/chart" uri="{C3380CC4-5D6E-409C-BE32-E72D297353CC}">
              <c16:uniqueId val="{00000001-9B26-4636-B92B-13A766FD6B70}"/>
            </c:ext>
          </c:extLst>
        </c:ser>
        <c:ser>
          <c:idx val="2"/>
          <c:order val="2"/>
          <c:tx>
            <c:strRef>
              <c:f>'Summary (2)'!$P$19</c:f>
              <c:strCache>
                <c:ptCount val="1"/>
                <c:pt idx="0">
                  <c:v>ITU funds (OP)</c:v>
                </c:pt>
              </c:strCache>
            </c:strRef>
          </c:tx>
          <c:spPr>
            <a:solidFill>
              <a:schemeClr val="accent3"/>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'Summary (2)'!$M$20:$M$26</c:f>
              <c:strCache>
                <c:ptCount val="7"/>
                <c:pt idx="0">
                  <c:v>Africa</c:v>
                </c:pt>
                <c:pt idx="1">
                  <c:v>Arab States</c:v>
                </c:pt>
                <c:pt idx="2">
                  <c:v>Asia &amp; Pacific</c:v>
                </c:pt>
                <c:pt idx="3">
                  <c:v>CIS countries</c:v>
                </c:pt>
                <c:pt idx="4">
                  <c:v>Europe</c:v>
                </c:pt>
                <c:pt idx="5">
                  <c:v>The Americas</c:v>
                </c:pt>
                <c:pt idx="6">
                  <c:v>World or Multi-Regional</c:v>
                </c:pt>
              </c:strCache>
            </c:strRef>
          </c:cat>
          <c:val>
            <c:numRef>
              <c:f>'Summary (2)'!$P$20:$P$26</c:f>
              <c:numCache>
                <c:formatCode>General</c:formatCode>
                <c:ptCount val="7"/>
                <c:pt idx="0" formatCode="_(* #,##0_);_(* \(#,##0\);_(* &quot;-&quot;??_);_(@_)">
                  <c:v>558450</c:v>
                </c:pt>
                <c:pt idx="5" formatCode="_(* #,##0_);_(* \(#,##0\);_(* &quot;-&quot;??_);_(@_)">
                  <c:v>143345</c:v>
                </c:pt>
              </c:numCache>
            </c:numRef>
          </c:val>
          <c:extLst>
            <c:ext xmlns:c16="http://schemas.microsoft.com/office/drawing/2014/chart" uri="{C3380CC4-5D6E-409C-BE32-E72D297353CC}">
              <c16:uniqueId val="{00000002-9B26-4636-B92B-13A766FD6B70}"/>
            </c:ext>
          </c:extLst>
        </c:ser>
        <c:dLbls>
          <c:showLegendKey val="0"/>
          <c:showVal val="0"/>
          <c:showCatName val="0"/>
          <c:showSerName val="0"/>
          <c:showPercent val="0"/>
          <c:showBubbleSize val="0"/>
        </c:dLbls>
        <c:gapWidth val="219"/>
        <c:overlap val="-27"/>
        <c:axId val="1385737808"/>
        <c:axId val="127410112"/>
      </c:barChart>
      <c:catAx>
        <c:axId val="1385737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7410112"/>
        <c:crosses val="autoZero"/>
        <c:auto val="1"/>
        <c:lblAlgn val="ctr"/>
        <c:lblOffset val="100"/>
        <c:noMultiLvlLbl val="0"/>
      </c:catAx>
      <c:valAx>
        <c:axId val="12741011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385737808"/>
        <c:crosses val="autoZero"/>
        <c:crossBetween val="between"/>
        <c:dispUnits>
          <c:builtInUnit val="millions"/>
          <c:dispUnitsLbl>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a:solidFill>
                        <a:sysClr val="windowText" lastClr="000000"/>
                      </a:solidFill>
                    </a:rPr>
                    <a:t>Millones</a:t>
                  </a:r>
                </a:p>
              </c:rich>
            </c:tx>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dispUnitsLbl>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mn-lt"/>
                <a:ea typeface="+mn-ea"/>
                <a:cs typeface="+mn-cs"/>
              </a:defRPr>
            </a:pPr>
            <a:r>
              <a:rPr lang="en-GB" sz="1000" b="0" i="0" baseline="0">
                <a:solidFill>
                  <a:sysClr val="windowText" lastClr="000000"/>
                </a:solidFill>
                <a:effectLst/>
              </a:rPr>
              <a:t>Figura 3 – Valor de los proyectos en curso del FD-TIC por región </a:t>
            </a:r>
            <a:br>
              <a:rPr lang="en-GB" sz="1000" b="0" i="0" baseline="0">
                <a:solidFill>
                  <a:sysClr val="windowText" lastClr="000000"/>
                </a:solidFill>
                <a:effectLst/>
              </a:rPr>
            </a:br>
            <a:r>
              <a:rPr lang="en-GB" sz="1000" b="0" i="0" baseline="0">
                <a:solidFill>
                  <a:sysClr val="windowText" lastClr="000000"/>
                </a:solidFill>
                <a:effectLst/>
              </a:rPr>
              <a:t>(diciembre de 2020)</a:t>
            </a:r>
            <a:endParaRPr lang="en-US" sz="1000">
              <a:solidFill>
                <a:sysClr val="windowText" lastClr="000000"/>
              </a:solidFill>
              <a:effectLst/>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0"/>
          <c:order val="0"/>
          <c:tx>
            <c:strRef>
              <c:f>Summary!$N$19</c:f>
              <c:strCache>
                <c:ptCount val="1"/>
                <c:pt idx="0">
                  <c:v>External contribution (Cash)</c:v>
                </c:pt>
              </c:strCache>
            </c:strRef>
          </c:tx>
          <c:spPr>
            <a:solidFill>
              <a:schemeClr val="accent1"/>
            </a:solidFill>
            <a:ln>
              <a:noFill/>
            </a:ln>
            <a:effectLst/>
          </c:spPr>
          <c:invertIfNegative val="0"/>
          <c:dLbls>
            <c:dLbl>
              <c:idx val="2"/>
              <c:layout>
                <c:manualLayout>
                  <c:x val="-2.4898848428260192E-2"/>
                  <c:y val="-1.4660632984845095E-1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202-4A38-A46E-8FBC74FE98C2}"/>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Summary!$M$20:$M$23</c:f>
              <c:strCache>
                <c:ptCount val="4"/>
                <c:pt idx="0">
                  <c:v>Africa</c:v>
                </c:pt>
                <c:pt idx="1">
                  <c:v>Arab States</c:v>
                </c:pt>
                <c:pt idx="2">
                  <c:v>The Americas</c:v>
                </c:pt>
                <c:pt idx="3">
                  <c:v>World or Multi-Regional</c:v>
                </c:pt>
              </c:strCache>
            </c:strRef>
          </c:cat>
          <c:val>
            <c:numRef>
              <c:f>Summary!$N$20:$N$23</c:f>
              <c:numCache>
                <c:formatCode>_(* #,##0_);_(* \(#,##0\);_(* "-"??_);_(@_)</c:formatCode>
                <c:ptCount val="4"/>
                <c:pt idx="0">
                  <c:v>5532436</c:v>
                </c:pt>
                <c:pt idx="1">
                  <c:v>1808000</c:v>
                </c:pt>
                <c:pt idx="2">
                  <c:v>121686</c:v>
                </c:pt>
                <c:pt idx="3">
                  <c:v>4181812</c:v>
                </c:pt>
              </c:numCache>
            </c:numRef>
          </c:val>
          <c:extLst>
            <c:ext xmlns:c16="http://schemas.microsoft.com/office/drawing/2014/chart" uri="{C3380CC4-5D6E-409C-BE32-E72D297353CC}">
              <c16:uniqueId val="{00000001-F202-4A38-A46E-8FBC74FE98C2}"/>
            </c:ext>
          </c:extLst>
        </c:ser>
        <c:ser>
          <c:idx val="1"/>
          <c:order val="1"/>
          <c:tx>
            <c:strRef>
              <c:f>Summary!$O$19</c:f>
              <c:strCache>
                <c:ptCount val="1"/>
                <c:pt idx="0">
                  <c:v>ICT-DF Contribution</c:v>
                </c:pt>
              </c:strCache>
            </c:strRef>
          </c:tx>
          <c:spPr>
            <a:solidFill>
              <a:schemeClr val="accent2"/>
            </a:solidFill>
            <a:ln>
              <a:noFill/>
            </a:ln>
            <a:effectLst/>
          </c:spPr>
          <c:invertIfNegative val="0"/>
          <c:dLbls>
            <c:dLbl>
              <c:idx val="2"/>
              <c:layout>
                <c:manualLayout>
                  <c:x val="-7.6078935771548049E-17"/>
                  <c:y val="-7.996801279488204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202-4A38-A46E-8FBC74FE98C2}"/>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Summary!$M$20:$M$23</c:f>
              <c:strCache>
                <c:ptCount val="4"/>
                <c:pt idx="0">
                  <c:v>Africa</c:v>
                </c:pt>
                <c:pt idx="1">
                  <c:v>Arab States</c:v>
                </c:pt>
                <c:pt idx="2">
                  <c:v>The Americas</c:v>
                </c:pt>
                <c:pt idx="3">
                  <c:v>World or Multi-Regional</c:v>
                </c:pt>
              </c:strCache>
            </c:strRef>
          </c:cat>
          <c:val>
            <c:numRef>
              <c:f>Summary!$O$20:$O$23</c:f>
              <c:numCache>
                <c:formatCode>_(* #,##0_);_(* \(#,##0\);_(* "-"??_);_(@_)</c:formatCode>
                <c:ptCount val="4"/>
                <c:pt idx="0">
                  <c:v>553244</c:v>
                </c:pt>
                <c:pt idx="1">
                  <c:v>680260</c:v>
                </c:pt>
                <c:pt idx="2">
                  <c:v>113195</c:v>
                </c:pt>
                <c:pt idx="3">
                  <c:v>3252251</c:v>
                </c:pt>
              </c:numCache>
            </c:numRef>
          </c:val>
          <c:extLst>
            <c:ext xmlns:c16="http://schemas.microsoft.com/office/drawing/2014/chart" uri="{C3380CC4-5D6E-409C-BE32-E72D297353CC}">
              <c16:uniqueId val="{00000003-F202-4A38-A46E-8FBC74FE98C2}"/>
            </c:ext>
          </c:extLst>
        </c:ser>
        <c:ser>
          <c:idx val="2"/>
          <c:order val="2"/>
          <c:tx>
            <c:strRef>
              <c:f>Summary!$P$19</c:f>
              <c:strCache>
                <c:ptCount val="1"/>
                <c:pt idx="0">
                  <c:v>ITU funds (OP)</c:v>
                </c:pt>
              </c:strCache>
            </c:strRef>
          </c:tx>
          <c:spPr>
            <a:solidFill>
              <a:schemeClr val="accent3"/>
            </a:solidFill>
            <a:ln>
              <a:noFill/>
            </a:ln>
            <a:effectLst/>
          </c:spPr>
          <c:invertIfNegative val="0"/>
          <c:dLbls>
            <c:dLbl>
              <c:idx val="2"/>
              <c:layout>
                <c:manualLayout>
                  <c:x val="-1.521578715430961E-16"/>
                  <c:y val="-9.19632147141144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202-4A38-A46E-8FBC74FE98C2}"/>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Summary!$M$20:$M$23</c:f>
              <c:strCache>
                <c:ptCount val="4"/>
                <c:pt idx="0">
                  <c:v>Africa</c:v>
                </c:pt>
                <c:pt idx="1">
                  <c:v>Arab States</c:v>
                </c:pt>
                <c:pt idx="2">
                  <c:v>The Americas</c:v>
                </c:pt>
                <c:pt idx="3">
                  <c:v>World or Multi-Regional</c:v>
                </c:pt>
              </c:strCache>
            </c:strRef>
          </c:cat>
          <c:val>
            <c:numRef>
              <c:f>Summary!$P$20:$P$23</c:f>
              <c:numCache>
                <c:formatCode>General</c:formatCode>
                <c:ptCount val="4"/>
                <c:pt idx="2" formatCode="_(* #,##0_);_(* \(#,##0\);_(* &quot;-&quot;??_);_(@_)">
                  <c:v>143345</c:v>
                </c:pt>
              </c:numCache>
            </c:numRef>
          </c:val>
          <c:extLst>
            <c:ext xmlns:c16="http://schemas.microsoft.com/office/drawing/2014/chart" uri="{C3380CC4-5D6E-409C-BE32-E72D297353CC}">
              <c16:uniqueId val="{00000005-F202-4A38-A46E-8FBC74FE98C2}"/>
            </c:ext>
          </c:extLst>
        </c:ser>
        <c:dLbls>
          <c:showLegendKey val="0"/>
          <c:showVal val="0"/>
          <c:showCatName val="0"/>
          <c:showSerName val="0"/>
          <c:showPercent val="0"/>
          <c:showBubbleSize val="0"/>
        </c:dLbls>
        <c:gapWidth val="219"/>
        <c:overlap val="-27"/>
        <c:axId val="1385737808"/>
        <c:axId val="127410112"/>
      </c:barChart>
      <c:catAx>
        <c:axId val="1385737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7410112"/>
        <c:crosses val="autoZero"/>
        <c:auto val="1"/>
        <c:lblAlgn val="ctr"/>
        <c:lblOffset val="100"/>
        <c:noMultiLvlLbl val="0"/>
      </c:catAx>
      <c:valAx>
        <c:axId val="12741011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385737808"/>
        <c:crosses val="autoZero"/>
        <c:crossBetween val="between"/>
        <c:dispUnits>
          <c:builtInUnit val="millions"/>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000" b="0" i="0" baseline="0">
                <a:solidFill>
                  <a:sysClr val="windowText" lastClr="000000"/>
                </a:solidFill>
                <a:effectLst/>
              </a:rPr>
              <a:t>Figura 4 – Evolución de la Cuenta de capital del FD-TIC (USD) </a:t>
            </a:r>
            <a:br>
              <a:rPr lang="en-GB" sz="1000" b="0" i="0" baseline="0">
                <a:solidFill>
                  <a:sysClr val="windowText" lastClr="000000"/>
                </a:solidFill>
                <a:effectLst/>
              </a:rPr>
            </a:br>
            <a:r>
              <a:rPr lang="en-GB" sz="1000" b="0" i="0" baseline="0">
                <a:solidFill>
                  <a:sysClr val="windowText" lastClr="000000"/>
                </a:solidFill>
                <a:effectLst/>
              </a:rPr>
              <a:t>(Diciembre de 2020)</a:t>
            </a:r>
            <a:endParaRPr lang="en-US" sz="1000">
              <a:solidFill>
                <a:sysClr val="windowText" lastClr="000000"/>
              </a:solidFill>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'ICT-DF funds'!$C$3</c:f>
              <c:strCache>
                <c:ptCount val="1"/>
                <c:pt idx="0">
                  <c:v>Funds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1"/>
              <c:layout>
                <c:manualLayout>
                  <c:x val="-2.7739247001030649E-2"/>
                  <c:y val="-5.730659025787967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FFE-45D3-B589-998D2CC39CE4}"/>
                </c:ext>
              </c:extLst>
            </c:dLbl>
            <c:dLbl>
              <c:idx val="2"/>
              <c:layout>
                <c:manualLayout>
                  <c:x val="-2.7739247001030715E-2"/>
                  <c:y val="-4.58452722063037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FFE-45D3-B589-998D2CC39CE4}"/>
                </c:ext>
              </c:extLst>
            </c:dLbl>
            <c:dLbl>
              <c:idx val="3"/>
              <c:layout>
                <c:manualLayout>
                  <c:x val="-3.3287096401236775E-2"/>
                  <c:y val="-4.58452722063037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FFE-45D3-B589-998D2CC39CE4}"/>
                </c:ext>
              </c:extLst>
            </c:dLbl>
            <c:dLbl>
              <c:idx val="4"/>
              <c:layout>
                <c:manualLayout>
                  <c:x val="-2.7739247001030649E-2"/>
                  <c:y val="-5.34861509073543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FFE-45D3-B589-998D2CC39CE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'ICT-DF funds'!$B$4:$B$8</c:f>
              <c:strCache>
                <c:ptCount val="5"/>
                <c:pt idx="0">
                  <c:v>2016</c:v>
                </c:pt>
                <c:pt idx="1">
                  <c:v>2017</c:v>
                </c:pt>
                <c:pt idx="2">
                  <c:v>2018</c:v>
                </c:pt>
                <c:pt idx="3">
                  <c:v>2019</c:v>
                </c:pt>
                <c:pt idx="4">
                  <c:v>2020</c:v>
                </c:pt>
              </c:strCache>
            </c:strRef>
          </c:cat>
          <c:val>
            <c:numRef>
              <c:f>'ICT-DF funds'!$C$4:$C$8</c:f>
              <c:numCache>
                <c:formatCode>_(* #,##0.00_);_(* \(#,##0.00\);_(* "-"??_);_(@_)</c:formatCode>
                <c:ptCount val="5"/>
                <c:pt idx="0">
                  <c:v>2587177</c:v>
                </c:pt>
                <c:pt idx="1">
                  <c:v>4557829</c:v>
                </c:pt>
                <c:pt idx="2">
                  <c:v>4375147</c:v>
                </c:pt>
                <c:pt idx="3">
                  <c:v>4306176</c:v>
                </c:pt>
                <c:pt idx="4">
                  <c:v>4100787.66</c:v>
                </c:pt>
              </c:numCache>
            </c:numRef>
          </c:val>
          <c:smooth val="0"/>
          <c:extLst>
            <c:ext xmlns:c16="http://schemas.microsoft.com/office/drawing/2014/chart" uri="{C3380CC4-5D6E-409C-BE32-E72D297353CC}">
              <c16:uniqueId val="{00000004-4FFE-45D3-B589-998D2CC39CE4}"/>
            </c:ext>
          </c:extLst>
        </c:ser>
        <c:dLbls>
          <c:showLegendKey val="0"/>
          <c:showVal val="0"/>
          <c:showCatName val="0"/>
          <c:showSerName val="0"/>
          <c:showPercent val="0"/>
          <c:showBubbleSize val="0"/>
        </c:dLbls>
        <c:marker val="1"/>
        <c:smooth val="0"/>
        <c:axId val="1946344240"/>
        <c:axId val="134762720"/>
      </c:lineChart>
      <c:catAx>
        <c:axId val="194634424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34762720"/>
        <c:crosses val="autoZero"/>
        <c:auto val="1"/>
        <c:lblAlgn val="ctr"/>
        <c:lblOffset val="100"/>
        <c:noMultiLvlLbl val="0"/>
      </c:catAx>
      <c:valAx>
        <c:axId val="134762720"/>
        <c:scaling>
          <c:orientation val="minMax"/>
        </c:scaling>
        <c:delete val="0"/>
        <c:axPos val="l"/>
        <c:majorGridlines>
          <c:spPr>
            <a:ln w="9525" cap="flat" cmpd="sng" algn="ctr">
              <a:solidFill>
                <a:schemeClr val="tx1">
                  <a:lumMod val="15000"/>
                  <a:lumOff val="85000"/>
                </a:schemeClr>
              </a:soli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946344240"/>
        <c:crosses val="autoZero"/>
        <c:crossBetween val="between"/>
        <c:dispUnits>
          <c:builtInUnit val="millions"/>
          <c:dispUnitsLbl>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a:solidFill>
                        <a:sysClr val="windowText" lastClr="000000"/>
                      </a:solidFill>
                    </a:rPr>
                    <a:t>Millones</a:t>
                  </a:r>
                </a:p>
              </c:rich>
            </c:tx>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dispUnitsLbl>
        </c:dispUnits>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0.10977</cdr:x>
      <cdr:y>0.8929</cdr:y>
    </cdr:from>
    <cdr:to>
      <cdr:x>0.2801</cdr:x>
      <cdr:y>0.96044</cdr:y>
    </cdr:to>
    <cdr:sp macro="" textlink="">
      <cdr:nvSpPr>
        <cdr:cNvPr id="2" name="Text Box 2"/>
        <cdr:cNvSpPr txBox="1">
          <a:spLocks xmlns:a="http://schemas.openxmlformats.org/drawingml/2006/main" noChangeArrowheads="1"/>
        </cdr:cNvSpPr>
      </cdr:nvSpPr>
      <cdr:spPr bwMode="auto">
        <a:xfrm xmlns:a="http://schemas.openxmlformats.org/drawingml/2006/main">
          <a:off x="250167" y="2053087"/>
          <a:ext cx="388189" cy="155276"/>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0" tIns="36000" rIns="0" bIns="0" anchor="t" anchorCtr="0">
          <a:noAutofit/>
        </a:bodyPr>
        <a:lstStyle xmlns:a="http://schemas.openxmlformats.org/drawingml/2006/main"/>
        <a:p xmlns:a="http://schemas.openxmlformats.org/drawingml/2006/main">
          <a:pPr algn="just" hangingPunct="0">
            <a:lnSpc>
              <a:spcPts val="600"/>
            </a:lnSpc>
            <a:spcBef>
              <a:spcPts val="300"/>
            </a:spcBef>
            <a:spcAft>
              <a:spcPts val="0"/>
            </a:spcAft>
            <a:tabLst>
              <a:tab pos="457200" algn="l"/>
            </a:tabLst>
          </a:pPr>
          <a:r>
            <a:rPr lang="en-GB" sz="800">
              <a:effectLst/>
              <a:latin typeface="Calibri" panose="020F0502020204030204" pitchFamily="34" charset="0"/>
              <a:ea typeface="Times New Roman" panose="02020603050405020304" pitchFamily="18" charset="0"/>
              <a:cs typeface="Times New Roman" panose="02020603050405020304" pitchFamily="18" charset="0"/>
            </a:rPr>
            <a:t>Cerrados</a:t>
          </a:r>
        </a:p>
      </cdr:txBody>
    </cdr:sp>
  </cdr:relSizeAnchor>
  <cdr:relSizeAnchor xmlns:cdr="http://schemas.openxmlformats.org/drawingml/2006/chartDrawing">
    <cdr:from>
      <cdr:x>0.3066</cdr:x>
      <cdr:y>0.8929</cdr:y>
    </cdr:from>
    <cdr:to>
      <cdr:x>0.49964</cdr:x>
      <cdr:y>0.96419</cdr:y>
    </cdr:to>
    <cdr:sp macro="" textlink="">
      <cdr:nvSpPr>
        <cdr:cNvPr id="3" name="Text Box 2"/>
        <cdr:cNvSpPr txBox="1">
          <a:spLocks xmlns:a="http://schemas.openxmlformats.org/drawingml/2006/main" noChangeArrowheads="1"/>
        </cdr:cNvSpPr>
      </cdr:nvSpPr>
      <cdr:spPr bwMode="auto">
        <a:xfrm xmlns:a="http://schemas.openxmlformats.org/drawingml/2006/main">
          <a:off x="698741" y="2053087"/>
          <a:ext cx="439946" cy="163902"/>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0" tIns="36000" rIns="0" bIns="0" anchor="t" anchorCtr="0">
          <a:noAutofit/>
        </a:bodyPr>
        <a:lstStyle xmlns:a="http://schemas.openxmlformats.org/drawingml/2006/main"/>
        <a:p xmlns:a="http://schemas.openxmlformats.org/drawingml/2006/main">
          <a:pPr algn="just" hangingPunct="0">
            <a:lnSpc>
              <a:spcPts val="600"/>
            </a:lnSpc>
            <a:spcBef>
              <a:spcPts val="300"/>
            </a:spcBef>
            <a:spcAft>
              <a:spcPts val="0"/>
            </a:spcAft>
            <a:tabLst>
              <a:tab pos="457200" algn="l"/>
            </a:tabLst>
          </a:pPr>
          <a:r>
            <a:rPr lang="en-GB" sz="800">
              <a:effectLst/>
              <a:latin typeface="Calibri" panose="020F0502020204030204" pitchFamily="34" charset="0"/>
              <a:ea typeface="Times New Roman" panose="02020603050405020304" pitchFamily="18" charset="0"/>
              <a:cs typeface="Times New Roman" panose="02020603050405020304" pitchFamily="18" charset="0"/>
            </a:rPr>
            <a:t>En curso</a:t>
          </a:r>
        </a:p>
      </cdr:txBody>
    </cdr:sp>
  </cdr:relSizeAnchor>
  <cdr:relSizeAnchor xmlns:cdr="http://schemas.openxmlformats.org/drawingml/2006/chartDrawing">
    <cdr:from>
      <cdr:x>0.54506</cdr:x>
      <cdr:y>0.8929</cdr:y>
    </cdr:from>
    <cdr:to>
      <cdr:x>0.97278</cdr:x>
      <cdr:y>0.96419</cdr:y>
    </cdr:to>
    <cdr:sp macro="" textlink="">
      <cdr:nvSpPr>
        <cdr:cNvPr id="4" name="Text Box 3"/>
        <cdr:cNvSpPr txBox="1">
          <a:spLocks xmlns:a="http://schemas.openxmlformats.org/drawingml/2006/main" noChangeArrowheads="1"/>
        </cdr:cNvSpPr>
      </cdr:nvSpPr>
      <cdr:spPr bwMode="auto">
        <a:xfrm xmlns:a="http://schemas.openxmlformats.org/drawingml/2006/main">
          <a:off x="1242205" y="2053087"/>
          <a:ext cx="974783" cy="163903"/>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0" tIns="36000" rIns="0" bIns="0" anchor="t" anchorCtr="0">
          <a:noAutofit/>
        </a:bodyPr>
        <a:lstStyle xmlns:a="http://schemas.openxmlformats.org/drawingml/2006/main"/>
        <a:p xmlns:a="http://schemas.openxmlformats.org/drawingml/2006/main">
          <a:pPr algn="just" hangingPunct="0">
            <a:lnSpc>
              <a:spcPts val="600"/>
            </a:lnSpc>
            <a:spcBef>
              <a:spcPts val="300"/>
            </a:spcBef>
            <a:spcAft>
              <a:spcPts val="0"/>
            </a:spcAft>
            <a:tabLst>
              <a:tab pos="457200" algn="l"/>
            </a:tabLst>
          </a:pPr>
          <a:r>
            <a:rPr lang="en-GB" sz="800">
              <a:effectLst/>
              <a:latin typeface="Calibri" panose="020F0502020204030204" pitchFamily="34" charset="0"/>
              <a:ea typeface="Times New Roman" panose="02020603050405020304" pitchFamily="18" charset="0"/>
              <a:cs typeface="Times New Roman" panose="02020603050405020304" pitchFamily="18" charset="0"/>
            </a:rPr>
            <a:t>En proceso de cierre</a:t>
          </a:r>
        </a:p>
      </cdr:txBody>
    </cdr:sp>
  </cdr:relSizeAnchor>
</c:userShapes>
</file>

<file path=word/drawings/drawing2.xml><?xml version="1.0" encoding="utf-8"?>
<c:userShapes xmlns:c="http://schemas.openxmlformats.org/drawingml/2006/chart">
  <cdr:relSizeAnchor xmlns:cdr="http://schemas.openxmlformats.org/drawingml/2006/chartDrawing">
    <cdr:from>
      <cdr:x>0.23885</cdr:x>
      <cdr:y>0.89015</cdr:y>
    </cdr:from>
    <cdr:to>
      <cdr:x>0.37375</cdr:x>
      <cdr:y>0.96226</cdr:y>
    </cdr:to>
    <cdr:sp macro="" textlink="">
      <cdr:nvSpPr>
        <cdr:cNvPr id="2" name="Text Box 2"/>
        <cdr:cNvSpPr txBox="1">
          <a:spLocks xmlns:a="http://schemas.openxmlformats.org/drawingml/2006/main" noChangeArrowheads="1"/>
        </cdr:cNvSpPr>
      </cdr:nvSpPr>
      <cdr:spPr bwMode="auto">
        <a:xfrm xmlns:a="http://schemas.openxmlformats.org/drawingml/2006/main">
          <a:off x="887563" y="2034876"/>
          <a:ext cx="501289" cy="164860"/>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0" tIns="36000" rIns="0" bIns="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just" hangingPunct="0">
            <a:lnSpc>
              <a:spcPts val="600"/>
            </a:lnSpc>
            <a:spcBef>
              <a:spcPts val="300"/>
            </a:spcBef>
            <a:spcAft>
              <a:spcPts val="0"/>
            </a:spcAft>
            <a:tabLst>
              <a:tab pos="457200" algn="l"/>
            </a:tabLst>
          </a:pPr>
          <a:r>
            <a:rPr lang="en-GB" sz="800">
              <a:effectLst/>
              <a:latin typeface="Calibri" panose="020F0502020204030204" pitchFamily="34" charset="0"/>
              <a:ea typeface="Times New Roman" panose="02020603050405020304" pitchFamily="18" charset="0"/>
              <a:cs typeface="Times New Roman" panose="02020603050405020304" pitchFamily="18" charset="0"/>
            </a:rPr>
            <a:t>Cerrados</a:t>
          </a:r>
        </a:p>
      </cdr:txBody>
    </cdr:sp>
  </cdr:relSizeAnchor>
  <cdr:relSizeAnchor xmlns:cdr="http://schemas.openxmlformats.org/drawingml/2006/chartDrawing">
    <cdr:from>
      <cdr:x>0.42456</cdr:x>
      <cdr:y>0.89015</cdr:y>
    </cdr:from>
    <cdr:to>
      <cdr:x>0.58267</cdr:x>
      <cdr:y>0.96604</cdr:y>
    </cdr:to>
    <cdr:sp macro="" textlink="">
      <cdr:nvSpPr>
        <cdr:cNvPr id="3" name="Text Box 2"/>
        <cdr:cNvSpPr txBox="1">
          <a:spLocks xmlns:a="http://schemas.openxmlformats.org/drawingml/2006/main" noChangeArrowheads="1"/>
        </cdr:cNvSpPr>
      </cdr:nvSpPr>
      <cdr:spPr bwMode="auto">
        <a:xfrm xmlns:a="http://schemas.openxmlformats.org/drawingml/2006/main">
          <a:off x="1577678" y="2034876"/>
          <a:ext cx="587552" cy="173486"/>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0" tIns="36000" rIns="0" bIns="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just" hangingPunct="0">
            <a:lnSpc>
              <a:spcPts val="600"/>
            </a:lnSpc>
            <a:spcBef>
              <a:spcPts val="300"/>
            </a:spcBef>
            <a:spcAft>
              <a:spcPts val="0"/>
            </a:spcAft>
            <a:tabLst>
              <a:tab pos="457200" algn="l"/>
            </a:tabLst>
          </a:pPr>
          <a:r>
            <a:rPr lang="en-GB" sz="800">
              <a:effectLst/>
              <a:latin typeface="Calibri" panose="020F0502020204030204" pitchFamily="34" charset="0"/>
              <a:ea typeface="Times New Roman" panose="02020603050405020304" pitchFamily="18" charset="0"/>
              <a:cs typeface="Times New Roman" panose="02020603050405020304" pitchFamily="18" charset="0"/>
            </a:rPr>
            <a:t>En curso</a:t>
          </a:r>
        </a:p>
      </cdr:txBody>
    </cdr:sp>
  </cdr:relSizeAnchor>
  <cdr:relSizeAnchor xmlns:cdr="http://schemas.openxmlformats.org/drawingml/2006/chartDrawing">
    <cdr:from>
      <cdr:x>0.63813</cdr:x>
      <cdr:y>0.89057</cdr:y>
    </cdr:from>
    <cdr:to>
      <cdr:x>0.90045</cdr:x>
      <cdr:y>0.96226</cdr:y>
    </cdr:to>
    <cdr:sp macro="" textlink="">
      <cdr:nvSpPr>
        <cdr:cNvPr id="4" name="Text Box 3"/>
        <cdr:cNvSpPr txBox="1">
          <a:spLocks xmlns:a="http://schemas.openxmlformats.org/drawingml/2006/main" noChangeArrowheads="1"/>
        </cdr:cNvSpPr>
      </cdr:nvSpPr>
      <cdr:spPr bwMode="auto">
        <a:xfrm xmlns:a="http://schemas.openxmlformats.org/drawingml/2006/main">
          <a:off x="2371307" y="2035833"/>
          <a:ext cx="974783" cy="163903"/>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0" tIns="36000" rIns="0" bIns="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just" hangingPunct="0">
            <a:lnSpc>
              <a:spcPts val="600"/>
            </a:lnSpc>
            <a:spcBef>
              <a:spcPts val="300"/>
            </a:spcBef>
            <a:spcAft>
              <a:spcPts val="0"/>
            </a:spcAft>
            <a:tabLst>
              <a:tab pos="457200" algn="l"/>
            </a:tabLst>
          </a:pPr>
          <a:r>
            <a:rPr lang="en-GB" sz="800">
              <a:effectLst/>
              <a:latin typeface="Calibri" panose="020F0502020204030204" pitchFamily="34" charset="0"/>
              <a:ea typeface="Times New Roman" panose="02020603050405020304" pitchFamily="18" charset="0"/>
              <a:cs typeface="Times New Roman" panose="02020603050405020304" pitchFamily="18" charset="0"/>
            </a:rPr>
            <a:t>En proceso de cierre</a:t>
          </a:r>
        </a:p>
      </cdr:txBody>
    </cdr:sp>
  </cdr:relSizeAnchor>
  <cdr:relSizeAnchor xmlns:cdr="http://schemas.openxmlformats.org/drawingml/2006/chartDrawing">
    <cdr:from>
      <cdr:x>0.18156</cdr:x>
      <cdr:y>0.7052</cdr:y>
    </cdr:from>
    <cdr:to>
      <cdr:x>0.44388</cdr:x>
      <cdr:y>0.84901</cdr:y>
    </cdr:to>
    <cdr:sp macro="" textlink="">
      <cdr:nvSpPr>
        <cdr:cNvPr id="5" name="Text Box 1"/>
        <cdr:cNvSpPr txBox="1">
          <a:spLocks xmlns:a="http://schemas.openxmlformats.org/drawingml/2006/main" noChangeArrowheads="1"/>
        </cdr:cNvSpPr>
      </cdr:nvSpPr>
      <cdr:spPr bwMode="auto">
        <a:xfrm xmlns:a="http://schemas.openxmlformats.org/drawingml/2006/main">
          <a:off x="674693" y="1612085"/>
          <a:ext cx="974783" cy="328762"/>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0" tIns="36000" rIns="0" bIns="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hangingPunct="0">
            <a:lnSpc>
              <a:spcPts val="800"/>
            </a:lnSpc>
            <a:spcBef>
              <a:spcPts val="300"/>
            </a:spcBef>
            <a:spcAft>
              <a:spcPts val="0"/>
            </a:spcAft>
            <a:tabLst>
              <a:tab pos="457200" algn="l"/>
            </a:tabLst>
          </a:pPr>
          <a:r>
            <a:rPr lang="en-GB" sz="800">
              <a:effectLst/>
              <a:latin typeface="Calibri" panose="020F0502020204030204" pitchFamily="34" charset="0"/>
              <a:ea typeface="Times New Roman" panose="02020603050405020304" pitchFamily="18" charset="0"/>
              <a:cs typeface="Times New Roman" panose="02020603050405020304" pitchFamily="18" charset="0"/>
            </a:rPr>
            <a:t>Contribución</a:t>
          </a:r>
          <a:r>
            <a:rPr lang="en-GB" sz="800" baseline="0">
              <a:effectLst/>
              <a:latin typeface="Calibri" panose="020F0502020204030204" pitchFamily="34" charset="0"/>
              <a:ea typeface="Times New Roman" panose="02020603050405020304" pitchFamily="18" charset="0"/>
              <a:cs typeface="Times New Roman" panose="02020603050405020304" pitchFamily="18" charset="0"/>
            </a:rPr>
            <a:t> externa</a:t>
          </a:r>
          <a:br>
            <a:rPr lang="en-GB" sz="800" baseline="0">
              <a:effectLst/>
              <a:latin typeface="Calibri" panose="020F0502020204030204" pitchFamily="34" charset="0"/>
              <a:ea typeface="Times New Roman" panose="02020603050405020304" pitchFamily="18" charset="0"/>
              <a:cs typeface="Times New Roman" panose="02020603050405020304" pitchFamily="18" charset="0"/>
            </a:rPr>
          </a:br>
          <a:r>
            <a:rPr lang="en-GB" sz="800" baseline="0">
              <a:effectLst/>
              <a:latin typeface="Calibri" panose="020F0502020204030204" pitchFamily="34" charset="0"/>
              <a:ea typeface="Times New Roman" panose="02020603050405020304" pitchFamily="18" charset="0"/>
              <a:cs typeface="Times New Roman" panose="02020603050405020304" pitchFamily="18" charset="0"/>
            </a:rPr>
            <a:t>(efectivo)</a:t>
          </a:r>
          <a:endParaRPr lang="en-GB" sz="800">
            <a:effectLst/>
            <a:latin typeface="Calibri" panose="020F0502020204030204" pitchFamily="34" charset="0"/>
            <a:ea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0.43692</cdr:x>
      <cdr:y>0.70897</cdr:y>
    </cdr:from>
    <cdr:to>
      <cdr:x>0.69924</cdr:x>
      <cdr:y>0.8717</cdr:y>
    </cdr:to>
    <cdr:sp macro="" textlink="">
      <cdr:nvSpPr>
        <cdr:cNvPr id="6" name="Text Box 1"/>
        <cdr:cNvSpPr txBox="1">
          <a:spLocks xmlns:a="http://schemas.openxmlformats.org/drawingml/2006/main" noChangeArrowheads="1"/>
        </cdr:cNvSpPr>
      </cdr:nvSpPr>
      <cdr:spPr bwMode="auto">
        <a:xfrm xmlns:a="http://schemas.openxmlformats.org/drawingml/2006/main">
          <a:off x="1623598" y="1620710"/>
          <a:ext cx="974783" cy="371991"/>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0" tIns="36000" rIns="0" bIns="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hangingPunct="0">
            <a:lnSpc>
              <a:spcPts val="800"/>
            </a:lnSpc>
            <a:spcBef>
              <a:spcPts val="300"/>
            </a:spcBef>
            <a:spcAft>
              <a:spcPts val="0"/>
            </a:spcAft>
            <a:tabLst>
              <a:tab pos="457200" algn="l"/>
            </a:tabLst>
          </a:pPr>
          <a:r>
            <a:rPr lang="en-GB" sz="800">
              <a:effectLst/>
              <a:latin typeface="Calibri" panose="020F0502020204030204" pitchFamily="34" charset="0"/>
              <a:ea typeface="Times New Roman" panose="02020603050405020304" pitchFamily="18" charset="0"/>
              <a:cs typeface="Times New Roman" panose="02020603050405020304" pitchFamily="18" charset="0"/>
            </a:rPr>
            <a:t>Contribución del </a:t>
          </a:r>
          <a:br>
            <a:rPr lang="en-GB" sz="800">
              <a:effectLst/>
              <a:latin typeface="Calibri" panose="020F0502020204030204" pitchFamily="34" charset="0"/>
              <a:ea typeface="Times New Roman" panose="02020603050405020304" pitchFamily="18" charset="0"/>
              <a:cs typeface="Times New Roman" panose="02020603050405020304" pitchFamily="18" charset="0"/>
            </a:rPr>
          </a:br>
          <a:r>
            <a:rPr lang="en-GB" sz="800">
              <a:effectLst/>
              <a:latin typeface="Calibri" panose="020F0502020204030204" pitchFamily="34" charset="0"/>
              <a:ea typeface="Times New Roman" panose="02020603050405020304" pitchFamily="18" charset="0"/>
              <a:cs typeface="Times New Roman" panose="02020603050405020304" pitchFamily="18" charset="0"/>
            </a:rPr>
            <a:t>FD-TIC</a:t>
          </a:r>
        </a:p>
        <a:p xmlns:a="http://schemas.openxmlformats.org/drawingml/2006/main">
          <a:pPr algn="ctr" hangingPunct="0">
            <a:lnSpc>
              <a:spcPts val="800"/>
            </a:lnSpc>
            <a:spcBef>
              <a:spcPts val="300"/>
            </a:spcBef>
            <a:spcAft>
              <a:spcPts val="0"/>
            </a:spcAft>
            <a:tabLst>
              <a:tab pos="457200" algn="l"/>
            </a:tabLst>
          </a:pPr>
          <a:endParaRPr lang="en-GB" sz="800">
            <a:effectLst/>
            <a:latin typeface="Calibri" panose="020F0502020204030204" pitchFamily="34" charset="0"/>
            <a:ea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0.70326</cdr:x>
      <cdr:y>0.70897</cdr:y>
    </cdr:from>
    <cdr:to>
      <cdr:x>0.96558</cdr:x>
      <cdr:y>0.83019</cdr:y>
    </cdr:to>
    <cdr:sp macro="" textlink="">
      <cdr:nvSpPr>
        <cdr:cNvPr id="7" name="Text Box 1"/>
        <cdr:cNvSpPr txBox="1">
          <a:spLocks xmlns:a="http://schemas.openxmlformats.org/drawingml/2006/main" noChangeArrowheads="1"/>
        </cdr:cNvSpPr>
      </cdr:nvSpPr>
      <cdr:spPr bwMode="auto">
        <a:xfrm xmlns:a="http://schemas.openxmlformats.org/drawingml/2006/main">
          <a:off x="2613325" y="1620710"/>
          <a:ext cx="974783" cy="277101"/>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0" tIns="36000" rIns="0" bIns="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hangingPunct="0">
            <a:lnSpc>
              <a:spcPts val="800"/>
            </a:lnSpc>
            <a:spcBef>
              <a:spcPts val="300"/>
            </a:spcBef>
            <a:spcAft>
              <a:spcPts val="0"/>
            </a:spcAft>
            <a:tabLst>
              <a:tab pos="457200" algn="l"/>
            </a:tabLst>
          </a:pPr>
          <a:r>
            <a:rPr lang="en-GB" sz="800">
              <a:effectLst/>
              <a:latin typeface="Calibri" panose="020F0502020204030204" pitchFamily="34" charset="0"/>
              <a:ea typeface="Times New Roman" panose="02020603050405020304" pitchFamily="18" charset="0"/>
              <a:cs typeface="Times New Roman" panose="02020603050405020304" pitchFamily="18" charset="0"/>
            </a:rPr>
            <a:t>Total fondos</a:t>
          </a:r>
        </a:p>
      </cdr:txBody>
    </cdr:sp>
  </cdr:relSizeAnchor>
</c:userShapes>
</file>

<file path=word/drawings/drawing3.xml><?xml version="1.0" encoding="utf-8"?>
<c:userShapes xmlns:c="http://schemas.openxmlformats.org/drawingml/2006/chart">
  <cdr:relSizeAnchor xmlns:cdr="http://schemas.openxmlformats.org/drawingml/2006/chartDrawing">
    <cdr:from>
      <cdr:x>0.1364</cdr:x>
      <cdr:y>0.76102</cdr:y>
    </cdr:from>
    <cdr:to>
      <cdr:x>0.2183</cdr:x>
      <cdr:y>0.82297</cdr:y>
    </cdr:to>
    <cdr:sp macro="" textlink="">
      <cdr:nvSpPr>
        <cdr:cNvPr id="2" name="Text Box 2"/>
        <cdr:cNvSpPr txBox="1">
          <a:spLocks xmlns:a="http://schemas.openxmlformats.org/drawingml/2006/main" noChangeArrowheads="1"/>
        </cdr:cNvSpPr>
      </cdr:nvSpPr>
      <cdr:spPr bwMode="auto">
        <a:xfrm xmlns:a="http://schemas.openxmlformats.org/drawingml/2006/main">
          <a:off x="834846" y="2025291"/>
          <a:ext cx="501289" cy="164860"/>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0" tIns="36000" rIns="0" bIns="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hangingPunct="0">
            <a:lnSpc>
              <a:spcPts val="600"/>
            </a:lnSpc>
            <a:spcBef>
              <a:spcPts val="300"/>
            </a:spcBef>
            <a:spcAft>
              <a:spcPts val="0"/>
            </a:spcAft>
            <a:tabLst>
              <a:tab pos="457200" algn="l"/>
            </a:tabLst>
          </a:pPr>
          <a:r>
            <a:rPr lang="en-GB" sz="800">
              <a:effectLst/>
              <a:latin typeface="Calibri" panose="020F0502020204030204" pitchFamily="34" charset="0"/>
              <a:ea typeface="Times New Roman" panose="02020603050405020304" pitchFamily="18" charset="0"/>
              <a:cs typeface="Times New Roman" panose="02020603050405020304" pitchFamily="18" charset="0"/>
            </a:rPr>
            <a:t>África</a:t>
          </a:r>
        </a:p>
      </cdr:txBody>
    </cdr:sp>
  </cdr:relSizeAnchor>
  <cdr:relSizeAnchor xmlns:cdr="http://schemas.openxmlformats.org/drawingml/2006/chartDrawing">
    <cdr:from>
      <cdr:x>0.23396</cdr:x>
      <cdr:y>0.76426</cdr:y>
    </cdr:from>
    <cdr:to>
      <cdr:x>0.34811</cdr:x>
      <cdr:y>0.82657</cdr:y>
    </cdr:to>
    <cdr:sp macro="" textlink="">
      <cdr:nvSpPr>
        <cdr:cNvPr id="3" name="Text Box 2"/>
        <cdr:cNvSpPr txBox="1">
          <a:spLocks xmlns:a="http://schemas.openxmlformats.org/drawingml/2006/main" noChangeArrowheads="1"/>
        </cdr:cNvSpPr>
      </cdr:nvSpPr>
      <cdr:spPr bwMode="auto">
        <a:xfrm xmlns:a="http://schemas.openxmlformats.org/drawingml/2006/main">
          <a:off x="1431985" y="2033916"/>
          <a:ext cx="698739" cy="165819"/>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0" tIns="36000" rIns="0" bIns="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hangingPunct="0">
            <a:lnSpc>
              <a:spcPts val="600"/>
            </a:lnSpc>
            <a:spcBef>
              <a:spcPts val="300"/>
            </a:spcBef>
            <a:spcAft>
              <a:spcPts val="0"/>
            </a:spcAft>
            <a:tabLst>
              <a:tab pos="457200" algn="l"/>
            </a:tabLst>
          </a:pPr>
          <a:r>
            <a:rPr lang="en-GB" sz="800">
              <a:effectLst/>
              <a:latin typeface="Calibri" panose="020F0502020204030204" pitchFamily="34" charset="0"/>
              <a:ea typeface="Times New Roman" panose="02020603050405020304" pitchFamily="18" charset="0"/>
              <a:cs typeface="Times New Roman" panose="02020603050405020304" pitchFamily="18" charset="0"/>
            </a:rPr>
            <a:t>Estados Árabes</a:t>
          </a:r>
        </a:p>
      </cdr:txBody>
    </cdr:sp>
  </cdr:relSizeAnchor>
  <cdr:relSizeAnchor xmlns:cdr="http://schemas.openxmlformats.org/drawingml/2006/chartDrawing">
    <cdr:from>
      <cdr:x>0.35657</cdr:x>
      <cdr:y>0.76426</cdr:y>
    </cdr:from>
    <cdr:to>
      <cdr:x>0.47073</cdr:x>
      <cdr:y>0.82657</cdr:y>
    </cdr:to>
    <cdr:sp macro="" textlink="">
      <cdr:nvSpPr>
        <cdr:cNvPr id="4" name="Text Box 3"/>
        <cdr:cNvSpPr txBox="1">
          <a:spLocks xmlns:a="http://schemas.openxmlformats.org/drawingml/2006/main" noChangeArrowheads="1"/>
        </cdr:cNvSpPr>
      </cdr:nvSpPr>
      <cdr:spPr bwMode="auto">
        <a:xfrm xmlns:a="http://schemas.openxmlformats.org/drawingml/2006/main">
          <a:off x="2182483" y="2033916"/>
          <a:ext cx="698739" cy="165819"/>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0" tIns="36000" rIns="0" bIns="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hangingPunct="0">
            <a:lnSpc>
              <a:spcPts val="600"/>
            </a:lnSpc>
            <a:spcBef>
              <a:spcPts val="300"/>
            </a:spcBef>
            <a:spcAft>
              <a:spcPts val="0"/>
            </a:spcAft>
            <a:tabLst>
              <a:tab pos="457200" algn="l"/>
            </a:tabLst>
          </a:pPr>
          <a:r>
            <a:rPr lang="en-GB" sz="800">
              <a:effectLst/>
              <a:latin typeface="Calibri" panose="020F0502020204030204" pitchFamily="34" charset="0"/>
              <a:ea typeface="Times New Roman" panose="02020603050405020304" pitchFamily="18" charset="0"/>
              <a:cs typeface="Times New Roman" panose="02020603050405020304" pitchFamily="18" charset="0"/>
            </a:rPr>
            <a:t>Asia y el Pacífico</a:t>
          </a:r>
        </a:p>
      </cdr:txBody>
    </cdr:sp>
  </cdr:relSizeAnchor>
  <cdr:relSizeAnchor xmlns:cdr="http://schemas.openxmlformats.org/drawingml/2006/chartDrawing">
    <cdr:from>
      <cdr:x>0.49046</cdr:x>
      <cdr:y>0.76102</cdr:y>
    </cdr:from>
    <cdr:to>
      <cdr:x>0.60462</cdr:x>
      <cdr:y>0.82333</cdr:y>
    </cdr:to>
    <cdr:sp macro="" textlink="">
      <cdr:nvSpPr>
        <cdr:cNvPr id="5" name="Text Box 4"/>
        <cdr:cNvSpPr txBox="1">
          <a:spLocks xmlns:a="http://schemas.openxmlformats.org/drawingml/2006/main" noChangeArrowheads="1"/>
        </cdr:cNvSpPr>
      </cdr:nvSpPr>
      <cdr:spPr bwMode="auto">
        <a:xfrm xmlns:a="http://schemas.openxmlformats.org/drawingml/2006/main">
          <a:off x="3001993" y="2025289"/>
          <a:ext cx="698739" cy="165819"/>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0" tIns="36000" rIns="0" bIns="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hangingPunct="0">
            <a:lnSpc>
              <a:spcPts val="600"/>
            </a:lnSpc>
            <a:spcBef>
              <a:spcPts val="300"/>
            </a:spcBef>
            <a:spcAft>
              <a:spcPts val="0"/>
            </a:spcAft>
            <a:tabLst>
              <a:tab pos="457200" algn="l"/>
            </a:tabLst>
          </a:pPr>
          <a:r>
            <a:rPr lang="en-GB" sz="800">
              <a:effectLst/>
              <a:latin typeface="Calibri" panose="020F0502020204030204" pitchFamily="34" charset="0"/>
              <a:ea typeface="Times New Roman" panose="02020603050405020304" pitchFamily="18" charset="0"/>
              <a:cs typeface="Times New Roman" panose="02020603050405020304" pitchFamily="18" charset="0"/>
            </a:rPr>
            <a:t>Países de la CEI</a:t>
          </a:r>
        </a:p>
      </cdr:txBody>
    </cdr:sp>
  </cdr:relSizeAnchor>
  <cdr:relSizeAnchor xmlns:cdr="http://schemas.openxmlformats.org/drawingml/2006/chartDrawing">
    <cdr:from>
      <cdr:x>0.60603</cdr:x>
      <cdr:y>0.76426</cdr:y>
    </cdr:from>
    <cdr:to>
      <cdr:x>0.72019</cdr:x>
      <cdr:y>0.82657</cdr:y>
    </cdr:to>
    <cdr:sp macro="" textlink="">
      <cdr:nvSpPr>
        <cdr:cNvPr id="6" name="Text Box 5"/>
        <cdr:cNvSpPr txBox="1">
          <a:spLocks xmlns:a="http://schemas.openxmlformats.org/drawingml/2006/main" noChangeArrowheads="1"/>
        </cdr:cNvSpPr>
      </cdr:nvSpPr>
      <cdr:spPr bwMode="auto">
        <a:xfrm xmlns:a="http://schemas.openxmlformats.org/drawingml/2006/main">
          <a:off x="3709359" y="2033915"/>
          <a:ext cx="698739" cy="165819"/>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0" tIns="36000" rIns="0" bIns="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hangingPunct="0">
            <a:lnSpc>
              <a:spcPts val="600"/>
            </a:lnSpc>
            <a:spcBef>
              <a:spcPts val="300"/>
            </a:spcBef>
            <a:spcAft>
              <a:spcPts val="0"/>
            </a:spcAft>
            <a:tabLst>
              <a:tab pos="457200" algn="l"/>
            </a:tabLst>
          </a:pPr>
          <a:r>
            <a:rPr lang="en-GB" sz="800">
              <a:effectLst/>
              <a:latin typeface="Calibri" panose="020F0502020204030204" pitchFamily="34" charset="0"/>
              <a:ea typeface="Times New Roman" panose="02020603050405020304" pitchFamily="18" charset="0"/>
              <a:cs typeface="Times New Roman" panose="02020603050405020304" pitchFamily="18" charset="0"/>
            </a:rPr>
            <a:t>Europa</a:t>
          </a:r>
        </a:p>
      </cdr:txBody>
    </cdr:sp>
  </cdr:relSizeAnchor>
  <cdr:relSizeAnchor xmlns:cdr="http://schemas.openxmlformats.org/drawingml/2006/chartDrawing">
    <cdr:from>
      <cdr:x>0.72864</cdr:x>
      <cdr:y>0.76426</cdr:y>
    </cdr:from>
    <cdr:to>
      <cdr:x>0.8428</cdr:x>
      <cdr:y>0.82657</cdr:y>
    </cdr:to>
    <cdr:sp macro="" textlink="">
      <cdr:nvSpPr>
        <cdr:cNvPr id="7" name="Text Box 6"/>
        <cdr:cNvSpPr txBox="1">
          <a:spLocks xmlns:a="http://schemas.openxmlformats.org/drawingml/2006/main" noChangeArrowheads="1"/>
        </cdr:cNvSpPr>
      </cdr:nvSpPr>
      <cdr:spPr bwMode="auto">
        <a:xfrm xmlns:a="http://schemas.openxmlformats.org/drawingml/2006/main">
          <a:off x="4459858" y="2033915"/>
          <a:ext cx="698739" cy="165819"/>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0" tIns="36000" rIns="0" bIns="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hangingPunct="0">
            <a:lnSpc>
              <a:spcPts val="600"/>
            </a:lnSpc>
            <a:spcBef>
              <a:spcPts val="300"/>
            </a:spcBef>
            <a:spcAft>
              <a:spcPts val="0"/>
            </a:spcAft>
            <a:tabLst>
              <a:tab pos="457200" algn="l"/>
            </a:tabLst>
          </a:pPr>
          <a:r>
            <a:rPr lang="en-GB" sz="800">
              <a:effectLst/>
              <a:latin typeface="Calibri" panose="020F0502020204030204" pitchFamily="34" charset="0"/>
              <a:ea typeface="Times New Roman" panose="02020603050405020304" pitchFamily="18" charset="0"/>
              <a:cs typeface="Times New Roman" panose="02020603050405020304" pitchFamily="18" charset="0"/>
            </a:rPr>
            <a:t>América</a:t>
          </a:r>
        </a:p>
      </cdr:txBody>
    </cdr:sp>
  </cdr:relSizeAnchor>
  <cdr:relSizeAnchor xmlns:cdr="http://schemas.openxmlformats.org/drawingml/2006/chartDrawing">
    <cdr:from>
      <cdr:x>0.84844</cdr:x>
      <cdr:y>0.7675</cdr:y>
    </cdr:from>
    <cdr:to>
      <cdr:x>0.97387</cdr:x>
      <cdr:y>0.86547</cdr:y>
    </cdr:to>
    <cdr:sp macro="" textlink="">
      <cdr:nvSpPr>
        <cdr:cNvPr id="8" name="Text Box 7"/>
        <cdr:cNvSpPr txBox="1">
          <a:spLocks xmlns:a="http://schemas.openxmlformats.org/drawingml/2006/main" noChangeArrowheads="1"/>
        </cdr:cNvSpPr>
      </cdr:nvSpPr>
      <cdr:spPr bwMode="auto">
        <a:xfrm xmlns:a="http://schemas.openxmlformats.org/drawingml/2006/main">
          <a:off x="5193103" y="2042541"/>
          <a:ext cx="767750" cy="260712"/>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0" tIns="36000" rIns="0" bIns="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hangingPunct="0">
            <a:lnSpc>
              <a:spcPts val="600"/>
            </a:lnSpc>
            <a:spcBef>
              <a:spcPts val="300"/>
            </a:spcBef>
            <a:spcAft>
              <a:spcPts val="0"/>
            </a:spcAft>
            <a:tabLst>
              <a:tab pos="457200" algn="l"/>
            </a:tabLst>
          </a:pPr>
          <a:r>
            <a:rPr lang="en-GB" sz="800">
              <a:effectLst/>
              <a:latin typeface="Calibri" panose="020F0502020204030204" pitchFamily="34" charset="0"/>
              <a:ea typeface="Times New Roman" panose="02020603050405020304" pitchFamily="18" charset="0"/>
              <a:cs typeface="Times New Roman" panose="02020603050405020304" pitchFamily="18" charset="0"/>
            </a:rPr>
            <a:t>Mundial o</a:t>
          </a:r>
          <a:br>
            <a:rPr lang="en-GB" sz="800">
              <a:effectLst/>
              <a:latin typeface="Calibri" panose="020F0502020204030204" pitchFamily="34" charset="0"/>
              <a:ea typeface="Times New Roman" panose="02020603050405020304" pitchFamily="18" charset="0"/>
              <a:cs typeface="Times New Roman" panose="02020603050405020304" pitchFamily="18" charset="0"/>
            </a:rPr>
          </a:br>
          <a:br>
            <a:rPr lang="en-GB" sz="800">
              <a:effectLst/>
              <a:latin typeface="Calibri" panose="020F0502020204030204" pitchFamily="34" charset="0"/>
              <a:ea typeface="Times New Roman" panose="02020603050405020304" pitchFamily="18" charset="0"/>
              <a:cs typeface="Times New Roman" panose="02020603050405020304" pitchFamily="18" charset="0"/>
            </a:rPr>
          </a:br>
          <a:r>
            <a:rPr lang="en-GB" sz="800">
              <a:effectLst/>
              <a:latin typeface="Calibri" panose="020F0502020204030204" pitchFamily="34" charset="0"/>
              <a:ea typeface="Times New Roman" panose="02020603050405020304" pitchFamily="18" charset="0"/>
              <a:cs typeface="Times New Roman" panose="02020603050405020304" pitchFamily="18" charset="0"/>
            </a:rPr>
            <a:t>multirregional</a:t>
          </a:r>
        </a:p>
      </cdr:txBody>
    </cdr:sp>
  </cdr:relSizeAnchor>
  <cdr:relSizeAnchor xmlns:cdr="http://schemas.openxmlformats.org/drawingml/2006/chartDrawing">
    <cdr:from>
      <cdr:x>0.22423</cdr:x>
      <cdr:y>0.89464</cdr:y>
    </cdr:from>
    <cdr:to>
      <cdr:x>0.44959</cdr:x>
      <cdr:y>0.95947</cdr:y>
    </cdr:to>
    <cdr:sp macro="" textlink="">
      <cdr:nvSpPr>
        <cdr:cNvPr id="9" name="Text Box 1"/>
        <cdr:cNvSpPr txBox="1">
          <a:spLocks xmlns:a="http://schemas.openxmlformats.org/drawingml/2006/main" noChangeArrowheads="1"/>
        </cdr:cNvSpPr>
      </cdr:nvSpPr>
      <cdr:spPr bwMode="auto">
        <a:xfrm xmlns:a="http://schemas.openxmlformats.org/drawingml/2006/main">
          <a:off x="1372474" y="2380891"/>
          <a:ext cx="1379353" cy="172528"/>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0" tIns="36000" rIns="0" bIns="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hangingPunct="0">
            <a:lnSpc>
              <a:spcPts val="800"/>
            </a:lnSpc>
            <a:spcBef>
              <a:spcPts val="300"/>
            </a:spcBef>
            <a:spcAft>
              <a:spcPts val="0"/>
            </a:spcAft>
            <a:tabLst>
              <a:tab pos="457200" algn="l"/>
            </a:tabLst>
          </a:pPr>
          <a:r>
            <a:rPr lang="en-GB" sz="800">
              <a:effectLst/>
              <a:latin typeface="Calibri" panose="020F0502020204030204" pitchFamily="34" charset="0"/>
              <a:ea typeface="Times New Roman" panose="02020603050405020304" pitchFamily="18" charset="0"/>
              <a:cs typeface="Times New Roman" panose="02020603050405020304" pitchFamily="18" charset="0"/>
            </a:rPr>
            <a:t>Contribución</a:t>
          </a:r>
          <a:r>
            <a:rPr lang="en-GB" sz="800" baseline="0">
              <a:effectLst/>
              <a:latin typeface="Calibri" panose="020F0502020204030204" pitchFamily="34" charset="0"/>
              <a:ea typeface="Times New Roman" panose="02020603050405020304" pitchFamily="18" charset="0"/>
              <a:cs typeface="Times New Roman" panose="02020603050405020304" pitchFamily="18" charset="0"/>
            </a:rPr>
            <a:t> externa (efectivo)</a:t>
          </a:r>
          <a:endParaRPr lang="en-GB" sz="800">
            <a:effectLst/>
            <a:latin typeface="Calibri" panose="020F0502020204030204" pitchFamily="34" charset="0"/>
            <a:ea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0.48215</cdr:x>
      <cdr:y>0.8874</cdr:y>
    </cdr:from>
    <cdr:to>
      <cdr:x>0.6624</cdr:x>
      <cdr:y>0.97568</cdr:y>
    </cdr:to>
    <cdr:sp macro="" textlink="">
      <cdr:nvSpPr>
        <cdr:cNvPr id="10" name="Text Box 1"/>
        <cdr:cNvSpPr txBox="1">
          <a:spLocks xmlns:a="http://schemas.openxmlformats.org/drawingml/2006/main" noChangeArrowheads="1"/>
        </cdr:cNvSpPr>
      </cdr:nvSpPr>
      <cdr:spPr bwMode="auto">
        <a:xfrm xmlns:a="http://schemas.openxmlformats.org/drawingml/2006/main">
          <a:off x="2951108" y="2361624"/>
          <a:ext cx="1103308" cy="234928"/>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0" tIns="36000" rIns="0" bIns="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hangingPunct="0">
            <a:lnSpc>
              <a:spcPts val="800"/>
            </a:lnSpc>
            <a:spcBef>
              <a:spcPts val="300"/>
            </a:spcBef>
            <a:spcAft>
              <a:spcPts val="0"/>
            </a:spcAft>
            <a:tabLst>
              <a:tab pos="457200" algn="l"/>
            </a:tabLst>
          </a:pPr>
          <a:r>
            <a:rPr lang="en-GB" sz="800">
              <a:effectLst/>
              <a:latin typeface="Calibri" panose="020F0502020204030204" pitchFamily="34" charset="0"/>
              <a:ea typeface="Times New Roman" panose="02020603050405020304" pitchFamily="18" charset="0"/>
              <a:cs typeface="Times New Roman" panose="02020603050405020304" pitchFamily="18" charset="0"/>
            </a:rPr>
            <a:t>Contribución del FD-TIC</a:t>
          </a:r>
        </a:p>
        <a:p xmlns:a="http://schemas.openxmlformats.org/drawingml/2006/main">
          <a:pPr algn="ctr" hangingPunct="0">
            <a:lnSpc>
              <a:spcPts val="800"/>
            </a:lnSpc>
            <a:spcBef>
              <a:spcPts val="300"/>
            </a:spcBef>
            <a:spcAft>
              <a:spcPts val="0"/>
            </a:spcAft>
            <a:tabLst>
              <a:tab pos="457200" algn="l"/>
            </a:tabLst>
          </a:pPr>
          <a:endParaRPr lang="en-GB" sz="800">
            <a:effectLst/>
            <a:latin typeface="Calibri" panose="020F0502020204030204" pitchFamily="34" charset="0"/>
            <a:ea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0.48215</cdr:x>
      <cdr:y>0.89552</cdr:y>
    </cdr:from>
    <cdr:to>
      <cdr:x>0.6624</cdr:x>
      <cdr:y>0.98379</cdr:y>
    </cdr:to>
    <cdr:sp macro="" textlink="">
      <cdr:nvSpPr>
        <cdr:cNvPr id="11" name="Text Box 1"/>
        <cdr:cNvSpPr txBox="1">
          <a:spLocks xmlns:a="http://schemas.openxmlformats.org/drawingml/2006/main" noChangeArrowheads="1"/>
        </cdr:cNvSpPr>
      </cdr:nvSpPr>
      <cdr:spPr bwMode="auto">
        <a:xfrm xmlns:a="http://schemas.openxmlformats.org/drawingml/2006/main">
          <a:off x="2951108" y="2383225"/>
          <a:ext cx="1103308" cy="234928"/>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0" tIns="36000" rIns="0" bIns="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hangingPunct="0">
            <a:lnSpc>
              <a:spcPts val="800"/>
            </a:lnSpc>
            <a:spcBef>
              <a:spcPts val="300"/>
            </a:spcBef>
            <a:spcAft>
              <a:spcPts val="0"/>
            </a:spcAft>
            <a:tabLst>
              <a:tab pos="457200" algn="l"/>
            </a:tabLst>
          </a:pPr>
          <a:r>
            <a:rPr lang="en-GB" sz="800">
              <a:effectLst/>
              <a:latin typeface="Calibri" panose="020F0502020204030204" pitchFamily="34" charset="0"/>
              <a:ea typeface="Times New Roman" panose="02020603050405020304" pitchFamily="18" charset="0"/>
              <a:cs typeface="Times New Roman" panose="02020603050405020304" pitchFamily="18" charset="0"/>
            </a:rPr>
            <a:t>Contribución del FD-TIC</a:t>
          </a:r>
        </a:p>
        <a:p xmlns:a="http://schemas.openxmlformats.org/drawingml/2006/main">
          <a:pPr algn="ctr" hangingPunct="0">
            <a:lnSpc>
              <a:spcPts val="800"/>
            </a:lnSpc>
            <a:spcBef>
              <a:spcPts val="300"/>
            </a:spcBef>
            <a:spcAft>
              <a:spcPts val="0"/>
            </a:spcAft>
            <a:tabLst>
              <a:tab pos="457200" algn="l"/>
            </a:tabLst>
          </a:pPr>
          <a:endParaRPr lang="en-GB" sz="800">
            <a:effectLst/>
            <a:latin typeface="Calibri" panose="020F0502020204030204" pitchFamily="34" charset="0"/>
            <a:ea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0.67915</cdr:x>
      <cdr:y>0.89316</cdr:y>
    </cdr:from>
    <cdr:to>
      <cdr:x>0.8594</cdr:x>
      <cdr:y>0.98144</cdr:y>
    </cdr:to>
    <cdr:sp macro="" textlink="">
      <cdr:nvSpPr>
        <cdr:cNvPr id="12" name="Text Box 1"/>
        <cdr:cNvSpPr txBox="1">
          <a:spLocks xmlns:a="http://schemas.openxmlformats.org/drawingml/2006/main" noChangeArrowheads="1"/>
        </cdr:cNvSpPr>
      </cdr:nvSpPr>
      <cdr:spPr bwMode="auto">
        <a:xfrm xmlns:a="http://schemas.openxmlformats.org/drawingml/2006/main">
          <a:off x="4156890" y="2376961"/>
          <a:ext cx="1103308" cy="234928"/>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0" tIns="36000" rIns="0" bIns="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hangingPunct="0">
            <a:lnSpc>
              <a:spcPts val="800"/>
            </a:lnSpc>
            <a:spcBef>
              <a:spcPts val="600"/>
            </a:spcBef>
            <a:spcAft>
              <a:spcPts val="0"/>
            </a:spcAft>
            <a:tabLst>
              <a:tab pos="457200" algn="l"/>
            </a:tabLst>
          </a:pPr>
          <a:r>
            <a:rPr lang="en-GB" sz="800">
              <a:effectLst/>
              <a:latin typeface="Calibri" panose="020F0502020204030204" pitchFamily="34" charset="0"/>
              <a:ea typeface="Times New Roman" panose="02020603050405020304" pitchFamily="18" charset="0"/>
              <a:cs typeface="Times New Roman" panose="02020603050405020304" pitchFamily="18" charset="0"/>
            </a:rPr>
            <a:t>Fondos de la UIT (PO)</a:t>
          </a:r>
        </a:p>
        <a:p xmlns:a="http://schemas.openxmlformats.org/drawingml/2006/main">
          <a:pPr algn="ctr" hangingPunct="0">
            <a:lnSpc>
              <a:spcPts val="800"/>
            </a:lnSpc>
            <a:spcBef>
              <a:spcPts val="300"/>
            </a:spcBef>
            <a:spcAft>
              <a:spcPts val="0"/>
            </a:spcAft>
            <a:tabLst>
              <a:tab pos="457200" algn="l"/>
            </a:tabLst>
          </a:pPr>
          <a:endParaRPr lang="en-GB" sz="800">
            <a:effectLst/>
            <a:latin typeface="Calibri" panose="020F0502020204030204" pitchFamily="34" charset="0"/>
            <a:ea typeface="Times New Roman" panose="02020603050405020304" pitchFamily="18" charset="0"/>
            <a:cs typeface="Times New Roman" panose="02020603050405020304" pitchFamily="18" charset="0"/>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0.13342</cdr:x>
      <cdr:y>0.83831</cdr:y>
    </cdr:from>
    <cdr:to>
      <cdr:x>0.21532</cdr:x>
      <cdr:y>0.89021</cdr:y>
    </cdr:to>
    <cdr:sp macro="" textlink="">
      <cdr:nvSpPr>
        <cdr:cNvPr id="2" name="Text Box 2"/>
        <cdr:cNvSpPr txBox="1">
          <a:spLocks xmlns:a="http://schemas.openxmlformats.org/drawingml/2006/main" noChangeArrowheads="1"/>
        </cdr:cNvSpPr>
      </cdr:nvSpPr>
      <cdr:spPr bwMode="auto">
        <a:xfrm xmlns:a="http://schemas.openxmlformats.org/drawingml/2006/main">
          <a:off x="816635" y="2662687"/>
          <a:ext cx="501289" cy="164860"/>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0" tIns="36000" rIns="0" bIns="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hangingPunct="0">
            <a:lnSpc>
              <a:spcPts val="600"/>
            </a:lnSpc>
            <a:spcBef>
              <a:spcPts val="300"/>
            </a:spcBef>
            <a:spcAft>
              <a:spcPts val="0"/>
            </a:spcAft>
            <a:tabLst>
              <a:tab pos="457200" algn="l"/>
            </a:tabLst>
          </a:pPr>
          <a:r>
            <a:rPr lang="en-GB" sz="800">
              <a:effectLst/>
              <a:latin typeface="Calibri" panose="020F0502020204030204" pitchFamily="34" charset="0"/>
              <a:ea typeface="Times New Roman" panose="02020603050405020304" pitchFamily="18" charset="0"/>
              <a:cs typeface="Times New Roman" panose="02020603050405020304" pitchFamily="18" charset="0"/>
            </a:rPr>
            <a:t>África</a:t>
          </a:r>
        </a:p>
      </cdr:txBody>
    </cdr:sp>
  </cdr:relSizeAnchor>
  <cdr:relSizeAnchor xmlns:cdr="http://schemas.openxmlformats.org/drawingml/2006/chartDrawing">
    <cdr:from>
      <cdr:x>0.33105</cdr:x>
      <cdr:y>0.84374</cdr:y>
    </cdr:from>
    <cdr:to>
      <cdr:x>0.4452</cdr:x>
      <cdr:y>0.89594</cdr:y>
    </cdr:to>
    <cdr:sp macro="" textlink="">
      <cdr:nvSpPr>
        <cdr:cNvPr id="3" name="Text Box 1"/>
        <cdr:cNvSpPr txBox="1">
          <a:spLocks xmlns:a="http://schemas.openxmlformats.org/drawingml/2006/main" noChangeArrowheads="1"/>
        </cdr:cNvSpPr>
      </cdr:nvSpPr>
      <cdr:spPr bwMode="auto">
        <a:xfrm xmlns:a="http://schemas.openxmlformats.org/drawingml/2006/main">
          <a:off x="2026249" y="2679938"/>
          <a:ext cx="698739" cy="165819"/>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0" tIns="36000" rIns="0" bIns="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hangingPunct="0">
            <a:lnSpc>
              <a:spcPts val="600"/>
            </a:lnSpc>
            <a:spcBef>
              <a:spcPts val="300"/>
            </a:spcBef>
            <a:spcAft>
              <a:spcPts val="0"/>
            </a:spcAft>
            <a:tabLst>
              <a:tab pos="457200" algn="l"/>
            </a:tabLst>
          </a:pPr>
          <a:r>
            <a:rPr lang="en-GB" sz="800">
              <a:effectLst/>
              <a:latin typeface="Calibri" panose="020F0502020204030204" pitchFamily="34" charset="0"/>
              <a:ea typeface="Times New Roman" panose="02020603050405020304" pitchFamily="18" charset="0"/>
              <a:cs typeface="Times New Roman" panose="02020603050405020304" pitchFamily="18" charset="0"/>
            </a:rPr>
            <a:t>Estados Árabes</a:t>
          </a:r>
        </a:p>
      </cdr:txBody>
    </cdr:sp>
  </cdr:relSizeAnchor>
  <cdr:relSizeAnchor xmlns:cdr="http://schemas.openxmlformats.org/drawingml/2006/chartDrawing">
    <cdr:from>
      <cdr:x>0.57205</cdr:x>
      <cdr:y>0.83831</cdr:y>
    </cdr:from>
    <cdr:to>
      <cdr:x>0.68621</cdr:x>
      <cdr:y>0.89051</cdr:y>
    </cdr:to>
    <cdr:sp macro="" textlink="">
      <cdr:nvSpPr>
        <cdr:cNvPr id="4" name="Text Box 1"/>
        <cdr:cNvSpPr txBox="1">
          <a:spLocks xmlns:a="http://schemas.openxmlformats.org/drawingml/2006/main" noChangeArrowheads="1"/>
        </cdr:cNvSpPr>
      </cdr:nvSpPr>
      <cdr:spPr bwMode="auto">
        <a:xfrm xmlns:a="http://schemas.openxmlformats.org/drawingml/2006/main">
          <a:off x="3501367" y="2662685"/>
          <a:ext cx="698739" cy="165819"/>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0" tIns="36000" rIns="0" bIns="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hangingPunct="0">
            <a:lnSpc>
              <a:spcPts val="600"/>
            </a:lnSpc>
            <a:spcBef>
              <a:spcPts val="300"/>
            </a:spcBef>
            <a:spcAft>
              <a:spcPts val="0"/>
            </a:spcAft>
            <a:tabLst>
              <a:tab pos="457200" algn="l"/>
            </a:tabLst>
          </a:pPr>
          <a:r>
            <a:rPr lang="en-GB" sz="800">
              <a:effectLst/>
              <a:latin typeface="Calibri" panose="020F0502020204030204" pitchFamily="34" charset="0"/>
              <a:ea typeface="Times New Roman" panose="02020603050405020304" pitchFamily="18" charset="0"/>
              <a:cs typeface="Times New Roman" panose="02020603050405020304" pitchFamily="18" charset="0"/>
            </a:rPr>
            <a:t>América</a:t>
          </a:r>
        </a:p>
      </cdr:txBody>
    </cdr:sp>
  </cdr:relSizeAnchor>
  <cdr:relSizeAnchor xmlns:cdr="http://schemas.openxmlformats.org/drawingml/2006/chartDrawing">
    <cdr:from>
      <cdr:x>0.74963</cdr:x>
      <cdr:y>0.84645</cdr:y>
    </cdr:from>
    <cdr:to>
      <cdr:x>0.96401</cdr:x>
      <cdr:y>0.92853</cdr:y>
    </cdr:to>
    <cdr:sp macro="" textlink="">
      <cdr:nvSpPr>
        <cdr:cNvPr id="5" name="Text Box 1"/>
        <cdr:cNvSpPr txBox="1">
          <a:spLocks xmlns:a="http://schemas.openxmlformats.org/drawingml/2006/main" noChangeArrowheads="1"/>
        </cdr:cNvSpPr>
      </cdr:nvSpPr>
      <cdr:spPr bwMode="auto">
        <a:xfrm xmlns:a="http://schemas.openxmlformats.org/drawingml/2006/main">
          <a:off x="4588294" y="2688564"/>
          <a:ext cx="1312173" cy="260712"/>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0" tIns="36000" rIns="0" bIns="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hangingPunct="0">
            <a:lnSpc>
              <a:spcPts val="600"/>
            </a:lnSpc>
            <a:spcBef>
              <a:spcPts val="300"/>
            </a:spcBef>
            <a:spcAft>
              <a:spcPts val="0"/>
            </a:spcAft>
            <a:tabLst>
              <a:tab pos="457200" algn="l"/>
            </a:tabLst>
          </a:pPr>
          <a:r>
            <a:rPr lang="en-GB" sz="800">
              <a:effectLst/>
              <a:latin typeface="Calibri" panose="020F0502020204030204" pitchFamily="34" charset="0"/>
              <a:ea typeface="Times New Roman" panose="02020603050405020304" pitchFamily="18" charset="0"/>
              <a:cs typeface="Times New Roman" panose="02020603050405020304" pitchFamily="18" charset="0"/>
            </a:rPr>
            <a:t>Mundial o multirregional</a:t>
          </a:r>
        </a:p>
      </cdr:txBody>
    </cdr:sp>
  </cdr:relSizeAnchor>
  <cdr:relSizeAnchor xmlns:cdr="http://schemas.openxmlformats.org/drawingml/2006/chartDrawing">
    <cdr:from>
      <cdr:x>0.22267</cdr:x>
      <cdr:y>0.91767</cdr:y>
    </cdr:from>
    <cdr:to>
      <cdr:x>0.44802</cdr:x>
      <cdr:y>0.97199</cdr:y>
    </cdr:to>
    <cdr:sp macro="" textlink="">
      <cdr:nvSpPr>
        <cdr:cNvPr id="6" name="Text Box 1"/>
        <cdr:cNvSpPr txBox="1">
          <a:spLocks xmlns:a="http://schemas.openxmlformats.org/drawingml/2006/main" noChangeArrowheads="1"/>
        </cdr:cNvSpPr>
      </cdr:nvSpPr>
      <cdr:spPr bwMode="auto">
        <a:xfrm xmlns:a="http://schemas.openxmlformats.org/drawingml/2006/main">
          <a:off x="1362889" y="2914771"/>
          <a:ext cx="1379353" cy="172528"/>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0" tIns="36000" rIns="0" bIns="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hangingPunct="0">
            <a:lnSpc>
              <a:spcPts val="800"/>
            </a:lnSpc>
            <a:spcBef>
              <a:spcPts val="300"/>
            </a:spcBef>
            <a:spcAft>
              <a:spcPts val="0"/>
            </a:spcAft>
            <a:tabLst>
              <a:tab pos="457200" algn="l"/>
            </a:tabLst>
          </a:pPr>
          <a:r>
            <a:rPr lang="en-GB" sz="800">
              <a:effectLst/>
              <a:latin typeface="Calibri" panose="020F0502020204030204" pitchFamily="34" charset="0"/>
              <a:ea typeface="Times New Roman" panose="02020603050405020304" pitchFamily="18" charset="0"/>
              <a:cs typeface="Times New Roman" panose="02020603050405020304" pitchFamily="18" charset="0"/>
            </a:rPr>
            <a:t>Contribución</a:t>
          </a:r>
          <a:r>
            <a:rPr lang="en-GB" sz="800" baseline="0">
              <a:effectLst/>
              <a:latin typeface="Calibri" panose="020F0502020204030204" pitchFamily="34" charset="0"/>
              <a:ea typeface="Times New Roman" panose="02020603050405020304" pitchFamily="18" charset="0"/>
              <a:cs typeface="Times New Roman" panose="02020603050405020304" pitchFamily="18" charset="0"/>
            </a:rPr>
            <a:t> externa (efectivo)</a:t>
          </a:r>
          <a:endParaRPr lang="en-GB" sz="800">
            <a:effectLst/>
            <a:latin typeface="Calibri" panose="020F0502020204030204" pitchFamily="34" charset="0"/>
            <a:ea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0.48622</cdr:x>
      <cdr:y>0.91246</cdr:y>
    </cdr:from>
    <cdr:to>
      <cdr:x>0.66647</cdr:x>
      <cdr:y>0.98642</cdr:y>
    </cdr:to>
    <cdr:sp macro="" textlink="">
      <cdr:nvSpPr>
        <cdr:cNvPr id="7" name="Text Box 1"/>
        <cdr:cNvSpPr txBox="1">
          <a:spLocks xmlns:a="http://schemas.openxmlformats.org/drawingml/2006/main" noChangeArrowheads="1"/>
        </cdr:cNvSpPr>
      </cdr:nvSpPr>
      <cdr:spPr bwMode="auto">
        <a:xfrm xmlns:a="http://schemas.openxmlformats.org/drawingml/2006/main">
          <a:off x="2976028" y="2898210"/>
          <a:ext cx="1103308" cy="234928"/>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0" tIns="36000" rIns="0" bIns="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hangingPunct="0">
            <a:lnSpc>
              <a:spcPts val="800"/>
            </a:lnSpc>
            <a:spcBef>
              <a:spcPts val="300"/>
            </a:spcBef>
            <a:spcAft>
              <a:spcPts val="0"/>
            </a:spcAft>
            <a:tabLst>
              <a:tab pos="457200" algn="l"/>
            </a:tabLst>
          </a:pPr>
          <a:r>
            <a:rPr lang="en-GB" sz="800">
              <a:effectLst/>
              <a:latin typeface="Calibri" panose="020F0502020204030204" pitchFamily="34" charset="0"/>
              <a:ea typeface="Times New Roman" panose="02020603050405020304" pitchFamily="18" charset="0"/>
              <a:cs typeface="Times New Roman" panose="02020603050405020304" pitchFamily="18" charset="0"/>
            </a:rPr>
            <a:t>Contribución del FD-TIC</a:t>
          </a:r>
        </a:p>
        <a:p xmlns:a="http://schemas.openxmlformats.org/drawingml/2006/main">
          <a:pPr algn="ctr" hangingPunct="0">
            <a:lnSpc>
              <a:spcPts val="800"/>
            </a:lnSpc>
            <a:spcBef>
              <a:spcPts val="300"/>
            </a:spcBef>
            <a:spcAft>
              <a:spcPts val="0"/>
            </a:spcAft>
            <a:tabLst>
              <a:tab pos="457200" algn="l"/>
            </a:tabLst>
          </a:pPr>
          <a:endParaRPr lang="en-GB" sz="800">
            <a:effectLst/>
            <a:latin typeface="Calibri" panose="020F0502020204030204" pitchFamily="34" charset="0"/>
            <a:ea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0.67899</cdr:x>
      <cdr:y>0.911</cdr:y>
    </cdr:from>
    <cdr:to>
      <cdr:x>0.85925</cdr:x>
      <cdr:y>0.98497</cdr:y>
    </cdr:to>
    <cdr:sp macro="" textlink="">
      <cdr:nvSpPr>
        <cdr:cNvPr id="8" name="Text Box 1"/>
        <cdr:cNvSpPr txBox="1">
          <a:spLocks xmlns:a="http://schemas.openxmlformats.org/drawingml/2006/main" noChangeArrowheads="1"/>
        </cdr:cNvSpPr>
      </cdr:nvSpPr>
      <cdr:spPr bwMode="auto">
        <a:xfrm xmlns:a="http://schemas.openxmlformats.org/drawingml/2006/main">
          <a:off x="4155931" y="2893587"/>
          <a:ext cx="1103308" cy="234928"/>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0" tIns="36000" rIns="0" bIns="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hangingPunct="0">
            <a:lnSpc>
              <a:spcPts val="800"/>
            </a:lnSpc>
            <a:spcBef>
              <a:spcPts val="600"/>
            </a:spcBef>
            <a:spcAft>
              <a:spcPts val="0"/>
            </a:spcAft>
            <a:tabLst>
              <a:tab pos="457200" algn="l"/>
            </a:tabLst>
          </a:pPr>
          <a:r>
            <a:rPr lang="en-GB" sz="800">
              <a:effectLst/>
              <a:latin typeface="Calibri" panose="020F0502020204030204" pitchFamily="34" charset="0"/>
              <a:ea typeface="Times New Roman" panose="02020603050405020304" pitchFamily="18" charset="0"/>
              <a:cs typeface="Times New Roman" panose="02020603050405020304" pitchFamily="18" charset="0"/>
            </a:rPr>
            <a:t>Fondos de la UIT (PO)</a:t>
          </a:r>
        </a:p>
        <a:p xmlns:a="http://schemas.openxmlformats.org/drawingml/2006/main">
          <a:pPr algn="ctr" hangingPunct="0">
            <a:lnSpc>
              <a:spcPts val="800"/>
            </a:lnSpc>
            <a:spcBef>
              <a:spcPts val="300"/>
            </a:spcBef>
            <a:spcAft>
              <a:spcPts val="0"/>
            </a:spcAft>
            <a:tabLst>
              <a:tab pos="457200" algn="l"/>
            </a:tabLst>
          </a:pPr>
          <a:endParaRPr lang="en-GB" sz="800">
            <a:effectLst/>
            <a:latin typeface="Calibri" panose="020F0502020204030204" pitchFamily="34" charset="0"/>
            <a:ea typeface="Times New Roman" panose="02020603050405020304" pitchFamily="18"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PS_C21.dotx</Template>
  <TotalTime>293</TotalTime>
  <Pages>8</Pages>
  <Words>1944</Words>
  <Characters>11082</Characters>
  <Application>Microsoft Office Word</Application>
  <DocSecurity>0</DocSecurity>
  <Lines>92</Lines>
  <Paragraphs>25</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13001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Fondo para el  Desarrollo de las Tecnologías de la Información y la Comunicación (FD-TIC)</dc:title>
  <dc:subject>Consejo 2021, Virtual consultation of councillors</dc:subject>
  <dc:creator>Catalano Moreira, Rossana</dc:creator>
  <cp:keywords>C2021, C21, VCC, C21-VCC-1</cp:keywords>
  <dc:description/>
  <cp:lastModifiedBy>Mendoza-Pinto, Yelitza</cp:lastModifiedBy>
  <cp:revision>29</cp:revision>
  <cp:lastPrinted>2006-03-24T09:51:00Z</cp:lastPrinted>
  <dcterms:created xsi:type="dcterms:W3CDTF">2021-04-14T07:38:00Z</dcterms:created>
  <dcterms:modified xsi:type="dcterms:W3CDTF">2021-04-27T09:22:00Z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