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937EF" w14:paraId="423E03FA" w14:textId="77777777">
        <w:trPr>
          <w:cantSplit/>
        </w:trPr>
        <w:tc>
          <w:tcPr>
            <w:tcW w:w="6912" w:type="dxa"/>
          </w:tcPr>
          <w:p w14:paraId="418FDC31" w14:textId="77777777" w:rsidR="00520F36" w:rsidRPr="002937EF" w:rsidRDefault="00520F36" w:rsidP="001F6136">
            <w:pPr>
              <w:spacing w:before="360"/>
            </w:pPr>
            <w:bookmarkStart w:id="0" w:name="dc06"/>
            <w:bookmarkEnd w:id="0"/>
            <w:r w:rsidRPr="002937EF">
              <w:rPr>
                <w:b/>
                <w:bCs/>
                <w:sz w:val="30"/>
                <w:szCs w:val="30"/>
              </w:rPr>
              <w:t>Conseil 20</w:t>
            </w:r>
            <w:r w:rsidR="009C353C" w:rsidRPr="002937EF">
              <w:rPr>
                <w:b/>
                <w:bCs/>
                <w:sz w:val="30"/>
                <w:szCs w:val="30"/>
              </w:rPr>
              <w:t>2</w:t>
            </w:r>
            <w:r w:rsidR="004D1D50" w:rsidRPr="002937EF">
              <w:rPr>
                <w:b/>
                <w:bCs/>
                <w:sz w:val="30"/>
                <w:szCs w:val="30"/>
              </w:rPr>
              <w:t>1</w:t>
            </w:r>
            <w:r w:rsidRPr="002937EF">
              <w:rPr>
                <w:rFonts w:ascii="Verdana" w:hAnsi="Verdana"/>
                <w:b/>
                <w:bCs/>
                <w:sz w:val="26"/>
                <w:szCs w:val="26"/>
              </w:rPr>
              <w:br/>
            </w:r>
            <w:r w:rsidR="004D1D50" w:rsidRPr="002937EF">
              <w:rPr>
                <w:b/>
                <w:bCs/>
                <w:sz w:val="28"/>
                <w:szCs w:val="28"/>
              </w:rPr>
              <w:t>Consultation virtuelle des Conseillers</w:t>
            </w:r>
            <w:r w:rsidRPr="002937EF">
              <w:rPr>
                <w:b/>
                <w:bCs/>
                <w:sz w:val="28"/>
                <w:szCs w:val="28"/>
              </w:rPr>
              <w:t xml:space="preserve">, </w:t>
            </w:r>
            <w:r w:rsidR="004D1D50" w:rsidRPr="002937EF">
              <w:rPr>
                <w:b/>
                <w:bCs/>
                <w:sz w:val="28"/>
                <w:szCs w:val="28"/>
              </w:rPr>
              <w:t>8</w:t>
            </w:r>
            <w:r w:rsidRPr="002937EF">
              <w:rPr>
                <w:b/>
                <w:bCs/>
                <w:sz w:val="28"/>
                <w:szCs w:val="28"/>
              </w:rPr>
              <w:t>-</w:t>
            </w:r>
            <w:r w:rsidR="009C353C" w:rsidRPr="002937EF">
              <w:rPr>
                <w:b/>
                <w:bCs/>
                <w:sz w:val="28"/>
                <w:szCs w:val="28"/>
              </w:rPr>
              <w:t>1</w:t>
            </w:r>
            <w:r w:rsidR="004D1D50" w:rsidRPr="002937EF">
              <w:rPr>
                <w:b/>
                <w:bCs/>
                <w:sz w:val="28"/>
                <w:szCs w:val="28"/>
              </w:rPr>
              <w:t>8</w:t>
            </w:r>
            <w:r w:rsidR="00106B19" w:rsidRPr="002937EF">
              <w:rPr>
                <w:b/>
                <w:bCs/>
                <w:sz w:val="28"/>
                <w:szCs w:val="28"/>
              </w:rPr>
              <w:t xml:space="preserve"> juin</w:t>
            </w:r>
            <w:r w:rsidRPr="002937EF">
              <w:rPr>
                <w:b/>
                <w:bCs/>
                <w:sz w:val="28"/>
                <w:szCs w:val="28"/>
              </w:rPr>
              <w:t xml:space="preserve"> 20</w:t>
            </w:r>
            <w:r w:rsidR="009C353C" w:rsidRPr="002937EF">
              <w:rPr>
                <w:b/>
                <w:bCs/>
                <w:sz w:val="28"/>
                <w:szCs w:val="28"/>
              </w:rPr>
              <w:t>2</w:t>
            </w:r>
            <w:r w:rsidR="004D1D50" w:rsidRPr="002937EF">
              <w:rPr>
                <w:b/>
                <w:bCs/>
                <w:sz w:val="28"/>
                <w:szCs w:val="28"/>
              </w:rPr>
              <w:t>1</w:t>
            </w:r>
          </w:p>
        </w:tc>
        <w:tc>
          <w:tcPr>
            <w:tcW w:w="3261" w:type="dxa"/>
          </w:tcPr>
          <w:p w14:paraId="46FF110D" w14:textId="77777777" w:rsidR="00520F36" w:rsidRPr="002937EF" w:rsidRDefault="009C353C" w:rsidP="001F6136">
            <w:pPr>
              <w:spacing w:before="0"/>
            </w:pPr>
            <w:bookmarkStart w:id="1" w:name="ditulogo"/>
            <w:bookmarkEnd w:id="1"/>
            <w:r w:rsidRPr="002937EF">
              <w:rPr>
                <w:noProof/>
                <w:lang w:val="en-US"/>
              </w:rPr>
              <w:drawing>
                <wp:inline distT="0" distB="0" distL="0" distR="0" wp14:anchorId="0537895F" wp14:editId="3E9DB57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937EF" w14:paraId="487B2799" w14:textId="77777777" w:rsidTr="00EF41DD">
        <w:trPr>
          <w:cantSplit/>
          <w:trHeight w:val="20"/>
        </w:trPr>
        <w:tc>
          <w:tcPr>
            <w:tcW w:w="6912" w:type="dxa"/>
            <w:tcBorders>
              <w:bottom w:val="single" w:sz="12" w:space="0" w:color="auto"/>
            </w:tcBorders>
            <w:vAlign w:val="center"/>
          </w:tcPr>
          <w:p w14:paraId="602B6902" w14:textId="77777777" w:rsidR="00520F36" w:rsidRPr="002937EF" w:rsidRDefault="00520F36" w:rsidP="001F6136">
            <w:pPr>
              <w:spacing w:before="0"/>
              <w:rPr>
                <w:b/>
                <w:bCs/>
                <w:sz w:val="26"/>
                <w:szCs w:val="26"/>
              </w:rPr>
            </w:pPr>
          </w:p>
        </w:tc>
        <w:tc>
          <w:tcPr>
            <w:tcW w:w="3261" w:type="dxa"/>
            <w:tcBorders>
              <w:bottom w:val="single" w:sz="12" w:space="0" w:color="auto"/>
            </w:tcBorders>
          </w:tcPr>
          <w:p w14:paraId="7C684DBC" w14:textId="77777777" w:rsidR="00520F36" w:rsidRPr="002937EF" w:rsidRDefault="00520F36" w:rsidP="001F6136">
            <w:pPr>
              <w:spacing w:before="0"/>
              <w:rPr>
                <w:b/>
                <w:bCs/>
              </w:rPr>
            </w:pPr>
          </w:p>
        </w:tc>
      </w:tr>
      <w:tr w:rsidR="00520F36" w:rsidRPr="002937EF" w14:paraId="290026AC" w14:textId="77777777">
        <w:trPr>
          <w:cantSplit/>
          <w:trHeight w:val="20"/>
        </w:trPr>
        <w:tc>
          <w:tcPr>
            <w:tcW w:w="6912" w:type="dxa"/>
            <w:tcBorders>
              <w:top w:val="single" w:sz="12" w:space="0" w:color="auto"/>
            </w:tcBorders>
          </w:tcPr>
          <w:p w14:paraId="37AAEDA0" w14:textId="77777777" w:rsidR="00520F36" w:rsidRPr="002937EF" w:rsidRDefault="00520F36" w:rsidP="001F6136">
            <w:pPr>
              <w:spacing w:before="0"/>
              <w:rPr>
                <w:smallCaps/>
                <w:sz w:val="22"/>
              </w:rPr>
            </w:pPr>
          </w:p>
        </w:tc>
        <w:tc>
          <w:tcPr>
            <w:tcW w:w="3261" w:type="dxa"/>
            <w:tcBorders>
              <w:top w:val="single" w:sz="12" w:space="0" w:color="auto"/>
            </w:tcBorders>
          </w:tcPr>
          <w:p w14:paraId="336AF32F" w14:textId="77777777" w:rsidR="00520F36" w:rsidRPr="002937EF" w:rsidRDefault="00520F36" w:rsidP="001F6136">
            <w:pPr>
              <w:spacing w:before="0"/>
              <w:rPr>
                <w:b/>
                <w:bCs/>
              </w:rPr>
            </w:pPr>
          </w:p>
        </w:tc>
      </w:tr>
      <w:tr w:rsidR="00520F36" w:rsidRPr="002937EF" w14:paraId="087CF8FB" w14:textId="77777777">
        <w:trPr>
          <w:cantSplit/>
          <w:trHeight w:val="20"/>
        </w:trPr>
        <w:tc>
          <w:tcPr>
            <w:tcW w:w="6912" w:type="dxa"/>
            <w:vMerge w:val="restart"/>
          </w:tcPr>
          <w:p w14:paraId="05D84ABD" w14:textId="7500402F" w:rsidR="00520F36" w:rsidRPr="002937EF" w:rsidRDefault="00F00F15" w:rsidP="001F6136">
            <w:pPr>
              <w:spacing w:before="0"/>
              <w:rPr>
                <w:rFonts w:cs="Times"/>
                <w:b/>
                <w:bCs/>
                <w:szCs w:val="24"/>
              </w:rPr>
            </w:pPr>
            <w:bookmarkStart w:id="2" w:name="dnum" w:colFirst="1" w:colLast="1"/>
            <w:bookmarkStart w:id="3" w:name="dmeeting" w:colFirst="0" w:colLast="0"/>
            <w:r w:rsidRPr="002937EF">
              <w:rPr>
                <w:rFonts w:cs="Times"/>
                <w:b/>
                <w:bCs/>
                <w:szCs w:val="24"/>
              </w:rPr>
              <w:t xml:space="preserve">Point de l'ordre du </w:t>
            </w:r>
            <w:proofErr w:type="gramStart"/>
            <w:r w:rsidRPr="002937EF">
              <w:rPr>
                <w:rFonts w:cs="Times"/>
                <w:b/>
                <w:bCs/>
                <w:szCs w:val="24"/>
              </w:rPr>
              <w:t>jour:</w:t>
            </w:r>
            <w:proofErr w:type="gramEnd"/>
            <w:r w:rsidRPr="002937EF">
              <w:rPr>
                <w:rFonts w:cs="Times"/>
                <w:b/>
                <w:bCs/>
                <w:szCs w:val="24"/>
              </w:rPr>
              <w:t xml:space="preserve"> </w:t>
            </w:r>
            <w:r w:rsidR="00A87ACB" w:rsidRPr="002937EF">
              <w:rPr>
                <w:rFonts w:cs="Times"/>
                <w:b/>
                <w:bCs/>
                <w:szCs w:val="24"/>
              </w:rPr>
              <w:t>ADM 12</w:t>
            </w:r>
          </w:p>
        </w:tc>
        <w:tc>
          <w:tcPr>
            <w:tcW w:w="3261" w:type="dxa"/>
          </w:tcPr>
          <w:p w14:paraId="55B7D541" w14:textId="32C4A760" w:rsidR="00520F36" w:rsidRPr="002937EF" w:rsidRDefault="00520F36" w:rsidP="001F6136">
            <w:pPr>
              <w:spacing w:before="0"/>
              <w:rPr>
                <w:b/>
                <w:bCs/>
              </w:rPr>
            </w:pPr>
            <w:r w:rsidRPr="002937EF">
              <w:rPr>
                <w:b/>
                <w:bCs/>
              </w:rPr>
              <w:t xml:space="preserve">Document </w:t>
            </w:r>
            <w:r w:rsidR="00F00F15" w:rsidRPr="002937EF">
              <w:rPr>
                <w:b/>
                <w:bCs/>
              </w:rPr>
              <w:t>C21/</w:t>
            </w:r>
            <w:r w:rsidR="00B368E3" w:rsidRPr="002937EF">
              <w:rPr>
                <w:b/>
                <w:bCs/>
              </w:rPr>
              <w:t>3</w:t>
            </w:r>
            <w:r w:rsidR="00F00F15" w:rsidRPr="002937EF">
              <w:rPr>
                <w:b/>
                <w:bCs/>
              </w:rPr>
              <w:t>4-F</w:t>
            </w:r>
          </w:p>
        </w:tc>
      </w:tr>
      <w:tr w:rsidR="00520F36" w:rsidRPr="002937EF" w14:paraId="716AE748" w14:textId="77777777">
        <w:trPr>
          <w:cantSplit/>
          <w:trHeight w:val="20"/>
        </w:trPr>
        <w:tc>
          <w:tcPr>
            <w:tcW w:w="6912" w:type="dxa"/>
            <w:vMerge/>
          </w:tcPr>
          <w:p w14:paraId="3D686AE8" w14:textId="77777777" w:rsidR="00520F36" w:rsidRPr="002937EF" w:rsidRDefault="00520F36" w:rsidP="001F6136">
            <w:pPr>
              <w:shd w:val="solid" w:color="FFFFFF" w:fill="FFFFFF"/>
              <w:spacing w:before="180"/>
              <w:rPr>
                <w:smallCaps/>
              </w:rPr>
            </w:pPr>
            <w:bookmarkStart w:id="4" w:name="ddate" w:colFirst="1" w:colLast="1"/>
            <w:bookmarkEnd w:id="2"/>
            <w:bookmarkEnd w:id="3"/>
          </w:p>
        </w:tc>
        <w:tc>
          <w:tcPr>
            <w:tcW w:w="3261" w:type="dxa"/>
          </w:tcPr>
          <w:p w14:paraId="69DA292F" w14:textId="5712FB9D" w:rsidR="00520F36" w:rsidRPr="002937EF" w:rsidRDefault="00B368E3" w:rsidP="001F6136">
            <w:pPr>
              <w:spacing w:before="0"/>
              <w:rPr>
                <w:b/>
                <w:bCs/>
              </w:rPr>
            </w:pPr>
            <w:r w:rsidRPr="002937EF">
              <w:rPr>
                <w:b/>
                <w:bCs/>
              </w:rPr>
              <w:t>9 mars</w:t>
            </w:r>
            <w:r w:rsidR="00F00F15" w:rsidRPr="002937EF">
              <w:rPr>
                <w:b/>
                <w:bCs/>
              </w:rPr>
              <w:t xml:space="preserve"> 2021</w:t>
            </w:r>
          </w:p>
        </w:tc>
      </w:tr>
      <w:tr w:rsidR="00520F36" w:rsidRPr="002937EF" w14:paraId="6BC08C65" w14:textId="77777777">
        <w:trPr>
          <w:cantSplit/>
          <w:trHeight w:val="20"/>
        </w:trPr>
        <w:tc>
          <w:tcPr>
            <w:tcW w:w="6912" w:type="dxa"/>
            <w:vMerge/>
          </w:tcPr>
          <w:p w14:paraId="2D37B4FC" w14:textId="77777777" w:rsidR="00520F36" w:rsidRPr="002937EF" w:rsidRDefault="00520F36" w:rsidP="001F6136">
            <w:pPr>
              <w:shd w:val="solid" w:color="FFFFFF" w:fill="FFFFFF"/>
              <w:spacing w:before="180"/>
              <w:rPr>
                <w:smallCaps/>
              </w:rPr>
            </w:pPr>
            <w:bookmarkStart w:id="5" w:name="dorlang" w:colFirst="1" w:colLast="1"/>
            <w:bookmarkEnd w:id="4"/>
          </w:p>
        </w:tc>
        <w:tc>
          <w:tcPr>
            <w:tcW w:w="3261" w:type="dxa"/>
          </w:tcPr>
          <w:p w14:paraId="4D26FCE4" w14:textId="77777777" w:rsidR="00520F36" w:rsidRPr="002937EF" w:rsidRDefault="00520F36" w:rsidP="001F6136">
            <w:pPr>
              <w:spacing w:before="0"/>
              <w:rPr>
                <w:b/>
                <w:bCs/>
              </w:rPr>
            </w:pPr>
            <w:proofErr w:type="gramStart"/>
            <w:r w:rsidRPr="002937EF">
              <w:rPr>
                <w:b/>
                <w:bCs/>
              </w:rPr>
              <w:t>Original:</w:t>
            </w:r>
            <w:proofErr w:type="gramEnd"/>
            <w:r w:rsidRPr="002937EF">
              <w:rPr>
                <w:b/>
                <w:bCs/>
              </w:rPr>
              <w:t xml:space="preserve"> anglais</w:t>
            </w:r>
          </w:p>
        </w:tc>
      </w:tr>
      <w:tr w:rsidR="00B368E3" w:rsidRPr="002937EF" w14:paraId="53BBCE71" w14:textId="77777777">
        <w:trPr>
          <w:cantSplit/>
        </w:trPr>
        <w:tc>
          <w:tcPr>
            <w:tcW w:w="10173" w:type="dxa"/>
            <w:gridSpan w:val="2"/>
          </w:tcPr>
          <w:p w14:paraId="54D6E92A" w14:textId="659A0256" w:rsidR="00B368E3" w:rsidRPr="002937EF" w:rsidRDefault="00B368E3" w:rsidP="001F6136">
            <w:pPr>
              <w:pStyle w:val="Source"/>
            </w:pPr>
            <w:bookmarkStart w:id="6" w:name="dsource" w:colFirst="0" w:colLast="0"/>
            <w:bookmarkEnd w:id="5"/>
            <w:r w:rsidRPr="002937EF">
              <w:t>Rapport du Secrétaire général</w:t>
            </w:r>
          </w:p>
        </w:tc>
      </w:tr>
      <w:tr w:rsidR="00B368E3" w:rsidRPr="002937EF" w14:paraId="7A15AD28" w14:textId="77777777">
        <w:trPr>
          <w:cantSplit/>
        </w:trPr>
        <w:tc>
          <w:tcPr>
            <w:tcW w:w="10173" w:type="dxa"/>
            <w:gridSpan w:val="2"/>
          </w:tcPr>
          <w:p w14:paraId="66EBAB40" w14:textId="40134D50" w:rsidR="00B368E3" w:rsidRPr="002937EF" w:rsidRDefault="00B368E3" w:rsidP="001F6136">
            <w:pPr>
              <w:pStyle w:val="Title1"/>
            </w:pPr>
            <w:bookmarkStart w:id="7" w:name="dtitle1" w:colFirst="0" w:colLast="0"/>
            <w:bookmarkEnd w:id="6"/>
            <w:r w:rsidRPr="002937EF">
              <w:t xml:space="preserve">FONDS POUR LE DÉVELOPPEMENT DES TECHNOLOGIES DE L'INFORMATION </w:t>
            </w:r>
            <w:r w:rsidRPr="002937EF">
              <w:br/>
              <w:t>ET DE LA COMMUNICATION (FDTIC)</w:t>
            </w:r>
          </w:p>
        </w:tc>
      </w:tr>
      <w:bookmarkEnd w:id="7"/>
    </w:tbl>
    <w:p w14:paraId="2CA0E1DA" w14:textId="77777777" w:rsidR="00520F36" w:rsidRPr="002937EF" w:rsidRDefault="00520F36" w:rsidP="001F61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368E3" w:rsidRPr="002937EF" w14:paraId="2B732DDC" w14:textId="77777777" w:rsidTr="00C3362A">
        <w:trPr>
          <w:trHeight w:val="3372"/>
        </w:trPr>
        <w:tc>
          <w:tcPr>
            <w:tcW w:w="8080" w:type="dxa"/>
            <w:tcBorders>
              <w:top w:val="single" w:sz="12" w:space="0" w:color="auto"/>
              <w:left w:val="single" w:sz="12" w:space="0" w:color="auto"/>
              <w:bottom w:val="single" w:sz="18" w:space="0" w:color="auto"/>
              <w:right w:val="single" w:sz="12" w:space="0" w:color="auto"/>
            </w:tcBorders>
          </w:tcPr>
          <w:p w14:paraId="60841536" w14:textId="77777777" w:rsidR="00B368E3" w:rsidRPr="002937EF" w:rsidRDefault="00B368E3" w:rsidP="001F6136">
            <w:pPr>
              <w:pStyle w:val="Headingb"/>
            </w:pPr>
            <w:r w:rsidRPr="002937EF">
              <w:t>Résumé</w:t>
            </w:r>
          </w:p>
          <w:p w14:paraId="462E966D" w14:textId="145C3837" w:rsidR="00B368E3" w:rsidRPr="002937EF" w:rsidRDefault="00B368E3" w:rsidP="001F6136">
            <w:r w:rsidRPr="002937EF">
              <w:t>Le présent document a pour objet de rendre compte de la situation du Fonds pour le développement des technologies de l'information et de la communication (FDTIC) en ce qui concerne son utilisation pour la mise en œuvre de projets de développement.</w:t>
            </w:r>
          </w:p>
          <w:p w14:paraId="30E54231" w14:textId="71910CCF" w:rsidR="00B368E3" w:rsidRPr="002937EF" w:rsidRDefault="00B368E3" w:rsidP="001F6136">
            <w:r w:rsidRPr="002937EF">
              <w:t>La version de 2020 du présent rapport (Document C20/</w:t>
            </w:r>
            <w:r w:rsidR="00163090" w:rsidRPr="002937EF">
              <w:t>34</w:t>
            </w:r>
            <w:r w:rsidRPr="002937EF">
              <w:t>) a été établie en vue de sa soumission au Conseil à sa session de 2020, mais n'a pas été examinée.</w:t>
            </w:r>
          </w:p>
          <w:p w14:paraId="044DBD53" w14:textId="77777777" w:rsidR="00B368E3" w:rsidRPr="002937EF" w:rsidRDefault="00B368E3" w:rsidP="001F6136">
            <w:pPr>
              <w:pStyle w:val="Headingb"/>
            </w:pPr>
            <w:proofErr w:type="gramStart"/>
            <w:r w:rsidRPr="002937EF">
              <w:t>Suite à</w:t>
            </w:r>
            <w:proofErr w:type="gramEnd"/>
            <w:r w:rsidRPr="002937EF">
              <w:t xml:space="preserve"> donner</w:t>
            </w:r>
          </w:p>
          <w:p w14:paraId="3564D7F1" w14:textId="2C94BCF7" w:rsidR="00B368E3" w:rsidRPr="002937EF" w:rsidRDefault="00B368E3" w:rsidP="001F6136">
            <w:r w:rsidRPr="002937EF">
              <w:t xml:space="preserve">Le Conseil est invité à </w:t>
            </w:r>
            <w:r w:rsidRPr="002937EF">
              <w:rPr>
                <w:b/>
                <w:bCs/>
              </w:rPr>
              <w:t>prendre note</w:t>
            </w:r>
            <w:r w:rsidRPr="002937EF">
              <w:t xml:space="preserve"> du présent rapport</w:t>
            </w:r>
            <w:r w:rsidR="00163090" w:rsidRPr="002937EF">
              <w:t>, ainsi que du Document</w:t>
            </w:r>
            <w:r w:rsidR="00CB5814" w:rsidRPr="002937EF">
              <w:t> </w:t>
            </w:r>
            <w:r w:rsidR="00163090" w:rsidRPr="002937EF">
              <w:t>C20/34,</w:t>
            </w:r>
            <w:r w:rsidRPr="002937EF">
              <w:t xml:space="preserve"> et à formuler les avis qu'il jugera utiles.</w:t>
            </w:r>
          </w:p>
          <w:p w14:paraId="78BD1AA1" w14:textId="77777777" w:rsidR="00B368E3" w:rsidRPr="002937EF" w:rsidRDefault="00B368E3" w:rsidP="001F6136">
            <w:pPr>
              <w:pStyle w:val="Table"/>
              <w:keepNext w:val="0"/>
              <w:spacing w:before="0" w:after="0"/>
              <w:rPr>
                <w:rFonts w:ascii="Calibri" w:hAnsi="Calibri"/>
                <w:caps w:val="0"/>
                <w:sz w:val="22"/>
                <w:lang w:val="fr-FR"/>
              </w:rPr>
            </w:pPr>
            <w:r w:rsidRPr="002937EF">
              <w:rPr>
                <w:rFonts w:ascii="Calibri" w:hAnsi="Calibri"/>
                <w:caps w:val="0"/>
                <w:sz w:val="22"/>
                <w:lang w:val="fr-FR"/>
              </w:rPr>
              <w:t>____________</w:t>
            </w:r>
          </w:p>
          <w:p w14:paraId="09B389C7" w14:textId="77777777" w:rsidR="00B368E3" w:rsidRPr="002937EF" w:rsidRDefault="00B368E3" w:rsidP="001F6136">
            <w:pPr>
              <w:pStyle w:val="Headingb"/>
            </w:pPr>
            <w:r w:rsidRPr="002937EF">
              <w:t>Références</w:t>
            </w:r>
          </w:p>
          <w:p w14:paraId="47B9515D" w14:textId="000A1974" w:rsidR="00B368E3" w:rsidRPr="002937EF" w:rsidRDefault="00EC2D68" w:rsidP="00375819">
            <w:pPr>
              <w:spacing w:after="160"/>
              <w:rPr>
                <w:i/>
                <w:iCs/>
              </w:rPr>
            </w:pPr>
            <w:hyperlink r:id="rId9" w:history="1">
              <w:r w:rsidR="00B368E3" w:rsidRPr="002937EF">
                <w:rPr>
                  <w:rStyle w:val="Hyperlink"/>
                  <w:i/>
                  <w:iCs/>
                </w:rPr>
                <w:t>Résolution 11 (Rév. Dubaï, 2018)</w:t>
              </w:r>
            </w:hyperlink>
            <w:r w:rsidR="00B368E3" w:rsidRPr="002937EF">
              <w:rPr>
                <w:i/>
                <w:iCs/>
              </w:rPr>
              <w:t xml:space="preserve"> de la Conférence de </w:t>
            </w:r>
            <w:proofErr w:type="gramStart"/>
            <w:r w:rsidR="00B368E3" w:rsidRPr="002937EF">
              <w:rPr>
                <w:i/>
                <w:iCs/>
              </w:rPr>
              <w:t>plénipotentiaires;</w:t>
            </w:r>
            <w:proofErr w:type="gramEnd"/>
            <w:r w:rsidR="00B368E3" w:rsidRPr="002937EF">
              <w:rPr>
                <w:i/>
                <w:iCs/>
              </w:rPr>
              <w:t xml:space="preserve"> Résolutions </w:t>
            </w:r>
            <w:hyperlink r:id="rId10" w:history="1">
              <w:r w:rsidR="00B368E3" w:rsidRPr="002937EF">
                <w:rPr>
                  <w:rStyle w:val="Hyperlink"/>
                  <w:i/>
                  <w:iCs/>
                </w:rPr>
                <w:t>1111</w:t>
              </w:r>
            </w:hyperlink>
            <w:r w:rsidR="00163090" w:rsidRPr="002937EF">
              <w:rPr>
                <w:i/>
                <w:iCs/>
              </w:rPr>
              <w:t xml:space="preserve"> et</w:t>
            </w:r>
            <w:r w:rsidR="00B368E3" w:rsidRPr="002937EF">
              <w:rPr>
                <w:i/>
                <w:iCs/>
              </w:rPr>
              <w:t xml:space="preserve"> </w:t>
            </w:r>
            <w:hyperlink r:id="rId11" w:history="1">
              <w:r w:rsidR="00B368E3" w:rsidRPr="002937EF">
                <w:rPr>
                  <w:rStyle w:val="Hyperlink"/>
                  <w:i/>
                  <w:iCs/>
                </w:rPr>
                <w:t>1338</w:t>
              </w:r>
            </w:hyperlink>
            <w:r w:rsidR="00B368E3" w:rsidRPr="002937EF">
              <w:t xml:space="preserve"> </w:t>
            </w:r>
            <w:r w:rsidR="00163090" w:rsidRPr="002937EF">
              <w:rPr>
                <w:i/>
                <w:iCs/>
              </w:rPr>
              <w:t>du Conseil; Document</w:t>
            </w:r>
            <w:r w:rsidR="00B368E3" w:rsidRPr="002937EF">
              <w:rPr>
                <w:i/>
                <w:iCs/>
              </w:rPr>
              <w:t xml:space="preserve"> </w:t>
            </w:r>
            <w:hyperlink r:id="rId12" w:history="1">
              <w:r w:rsidR="00B368E3" w:rsidRPr="002937EF">
                <w:rPr>
                  <w:rStyle w:val="Hyperlink"/>
                  <w:i/>
                  <w:iCs/>
                </w:rPr>
                <w:t>C20/34</w:t>
              </w:r>
            </w:hyperlink>
            <w:r w:rsidR="00B368E3" w:rsidRPr="002937EF">
              <w:rPr>
                <w:i/>
                <w:iCs/>
              </w:rPr>
              <w:t>.</w:t>
            </w:r>
          </w:p>
        </w:tc>
      </w:tr>
    </w:tbl>
    <w:p w14:paraId="31CA412D" w14:textId="77777777" w:rsidR="00B368E3" w:rsidRPr="002937EF" w:rsidRDefault="00B368E3" w:rsidP="001F6136">
      <w:pPr>
        <w:pStyle w:val="Heading1"/>
      </w:pPr>
      <w:r w:rsidRPr="002937EF">
        <w:t>1</w:t>
      </w:r>
      <w:r w:rsidRPr="002937EF">
        <w:tab/>
        <w:t>Introduction</w:t>
      </w:r>
    </w:p>
    <w:p w14:paraId="37332C1F" w14:textId="77777777" w:rsidR="00B368E3" w:rsidRPr="002937EF" w:rsidRDefault="00B368E3" w:rsidP="001F6136">
      <w:pPr>
        <w:rPr>
          <w:b/>
        </w:rPr>
      </w:pPr>
      <w:r w:rsidRPr="002937EF">
        <w:t>1.1</w:t>
      </w:r>
      <w:r w:rsidRPr="002937EF">
        <w:tab/>
        <w:t xml:space="preserve">Conformément à sa Constitution, l'UIT a une double responsabilité en tant qu'institution spécialisée des Nations Unies et agent d'exécution pour la mise en œuvre de projets. À cet égard, le Secteur du développement des télécommunications (UIT-D) joue un rôle clé dans la mise en </w:t>
      </w:r>
      <w:proofErr w:type="gramStart"/>
      <w:r w:rsidRPr="002937EF">
        <w:t>œuvre</w:t>
      </w:r>
      <w:proofErr w:type="gramEnd"/>
      <w:r w:rsidRPr="002937EF">
        <w:t xml:space="preserve"> de projets dans les pays pour favoriser le développement durable.</w:t>
      </w:r>
    </w:p>
    <w:p w14:paraId="413073C2" w14:textId="77777777" w:rsidR="00B368E3" w:rsidRPr="002937EF" w:rsidRDefault="00B368E3" w:rsidP="001F6136">
      <w:r w:rsidRPr="002937EF">
        <w:t>1.2</w:t>
      </w:r>
      <w:r w:rsidRPr="002937EF">
        <w:tab/>
        <w:t>Le Fonds pour le développement des technologies de l'information et de la communication (</w:t>
      </w:r>
      <w:hyperlink r:id="rId13" w:history="1">
        <w:r w:rsidRPr="002937EF">
          <w:rPr>
            <w:rStyle w:val="Hyperlink"/>
          </w:rPr>
          <w:t>FDTIC</w:t>
        </w:r>
      </w:hyperlink>
      <w:r w:rsidRPr="002937EF">
        <w:t>) est le fruit d'une initiative spéciale lancée en 1997, qui vise à soutenir la mise en œuvre de projets en faveur du développement en vue de parvenir au développement durable. Il s'appuie sur des partenariats multi-parties prenantes conclus par des États Membres de l'UIT, des Membres de Secteurs de l'UIT, des membres des secteurs public et privé, des organisations multilatérales, des fondations, des établissements financiers et des organismes de développement.</w:t>
      </w:r>
    </w:p>
    <w:p w14:paraId="7AD5B2CA" w14:textId="77777777" w:rsidR="00B368E3" w:rsidRPr="002937EF" w:rsidRDefault="00B368E3" w:rsidP="001F6136">
      <w:pPr>
        <w:pStyle w:val="Heading1"/>
      </w:pPr>
      <w:r w:rsidRPr="002937EF">
        <w:lastRenderedPageBreak/>
        <w:t>2</w:t>
      </w:r>
      <w:r w:rsidRPr="002937EF">
        <w:tab/>
        <w:t>Principales règles et procédures du FDTIC</w:t>
      </w:r>
    </w:p>
    <w:p w14:paraId="7338DD00" w14:textId="2AD4108D" w:rsidR="00B368E3" w:rsidRPr="002937EF" w:rsidRDefault="00B368E3" w:rsidP="001F6136">
      <w:pPr>
        <w:rPr>
          <w:b/>
        </w:rPr>
      </w:pPr>
      <w:r w:rsidRPr="002937EF">
        <w:t>2.1</w:t>
      </w:r>
      <w:r w:rsidRPr="002937EF">
        <w:tab/>
        <w:t xml:space="preserve">En principe, le FDTIC finance jusqu'à 25% des contributions en espèces pour un projet. À titre exceptionnel, le FDTIC pourra financer plus de 25%. </w:t>
      </w:r>
      <w:r w:rsidR="0067757A" w:rsidRPr="002937EF">
        <w:t>Ce</w:t>
      </w:r>
      <w:r w:rsidRPr="002937EF">
        <w:t xml:space="preserve"> capital de démarrage </w:t>
      </w:r>
      <w:r w:rsidR="00EC5784" w:rsidRPr="002937EF">
        <w:t xml:space="preserve">fourni </w:t>
      </w:r>
      <w:r w:rsidR="00582B00" w:rsidRPr="002937EF">
        <w:t>par le</w:t>
      </w:r>
      <w:r w:rsidR="0067757A" w:rsidRPr="002937EF">
        <w:t xml:space="preserve"> Fonds </w:t>
      </w:r>
      <w:r w:rsidRPr="002937EF">
        <w:t>est destiné à attirer des fonds extrabudgétaires levés en mobilisant des ressources sous la forme de contributions en espèces et, dans certains cas, en nature, pour financer des projets aux niveaux national, régional et international.</w:t>
      </w:r>
    </w:p>
    <w:p w14:paraId="67833F4F" w14:textId="6E3CA074" w:rsidR="00B368E3" w:rsidRPr="002937EF" w:rsidRDefault="00B368E3" w:rsidP="001F6136">
      <w:r w:rsidRPr="002937EF">
        <w:t>2.2</w:t>
      </w:r>
      <w:r w:rsidRPr="002937EF">
        <w:tab/>
        <w:t>Conformément à la procédure adoptée, les propositions de projets, y</w:t>
      </w:r>
      <w:r w:rsidR="00716E8A" w:rsidRPr="002937EF">
        <w:t xml:space="preserve"> </w:t>
      </w:r>
      <w:r w:rsidRPr="002937EF">
        <w:t xml:space="preserve">compris les contributions connexes </w:t>
      </w:r>
      <w:r w:rsidR="00B63118" w:rsidRPr="002937EF">
        <w:t xml:space="preserve">des partenaires </w:t>
      </w:r>
      <w:r w:rsidRPr="002937EF">
        <w:t xml:space="preserve">en espèces et en nature, peuvent être soumises </w:t>
      </w:r>
      <w:r w:rsidR="00046455" w:rsidRPr="002937EF">
        <w:t>à la Commission de direction du FDTIC</w:t>
      </w:r>
      <w:r w:rsidR="00046455" w:rsidRPr="002937EF">
        <w:rPr>
          <w:rStyle w:val="FootnoteReference"/>
        </w:rPr>
        <w:footnoteReference w:id="1"/>
      </w:r>
      <w:r w:rsidRPr="002937EF">
        <w:t>, afin que leur admissibilité à bénéficier d</w:t>
      </w:r>
      <w:r w:rsidR="00552B20" w:rsidRPr="002937EF">
        <w:t>'</w:t>
      </w:r>
      <w:r w:rsidRPr="002937EF">
        <w:t>u</w:t>
      </w:r>
      <w:r w:rsidR="00552B20" w:rsidRPr="002937EF">
        <w:t>n</w:t>
      </w:r>
      <w:r w:rsidRPr="002937EF">
        <w:t xml:space="preserve"> financement soit examinée</w:t>
      </w:r>
      <w:r w:rsidR="00552B20" w:rsidRPr="002937EF">
        <w:t xml:space="preserve"> à tout moment de l'année</w:t>
      </w:r>
      <w:r w:rsidRPr="002937EF">
        <w:t>.</w:t>
      </w:r>
    </w:p>
    <w:p w14:paraId="3120B2B6" w14:textId="6DC0AAC9" w:rsidR="00B368E3" w:rsidRPr="002937EF" w:rsidRDefault="00B368E3" w:rsidP="001F6136">
      <w:r w:rsidRPr="002937EF">
        <w:t>2.3</w:t>
      </w:r>
      <w:r w:rsidRPr="002937EF">
        <w:tab/>
      </w:r>
      <w:r w:rsidR="00672A2A" w:rsidRPr="002937EF">
        <w:rPr>
          <w:rFonts w:asciiTheme="minorHAnsi" w:hAnsiTheme="minorHAnsi" w:cstheme="minorHAnsi"/>
          <w:szCs w:val="24"/>
        </w:rPr>
        <w:t>La Commission de direction du FDTIC évalue l</w:t>
      </w:r>
      <w:r w:rsidR="00E061E0" w:rsidRPr="002937EF">
        <w:rPr>
          <w:rFonts w:asciiTheme="minorHAnsi" w:hAnsiTheme="minorHAnsi" w:cstheme="minorHAnsi"/>
          <w:szCs w:val="24"/>
        </w:rPr>
        <w:t>es propositions de projets soumises pour examen</w:t>
      </w:r>
      <w:r w:rsidR="00431C43" w:rsidRPr="002937EF">
        <w:rPr>
          <w:rFonts w:asciiTheme="minorHAnsi" w:hAnsiTheme="minorHAnsi" w:cstheme="minorHAnsi"/>
          <w:szCs w:val="24"/>
        </w:rPr>
        <w:t xml:space="preserve"> au titre du Fonds</w:t>
      </w:r>
      <w:r w:rsidR="00E061E0" w:rsidRPr="002937EF">
        <w:rPr>
          <w:rFonts w:asciiTheme="minorHAnsi" w:hAnsiTheme="minorHAnsi" w:cstheme="minorHAnsi"/>
          <w:szCs w:val="24"/>
        </w:rPr>
        <w:t>, pour veiller à ce qu'elles soient conformes</w:t>
      </w:r>
      <w:r w:rsidRPr="002937EF">
        <w:t xml:space="preserve"> aux critères suivants en matière de sélection et d'éligibilité, entre </w:t>
      </w:r>
      <w:proofErr w:type="gramStart"/>
      <w:r w:rsidRPr="002937EF">
        <w:t>autres:</w:t>
      </w:r>
      <w:proofErr w:type="gramEnd"/>
    </w:p>
    <w:p w14:paraId="4E74B101" w14:textId="62E27F1A" w:rsidR="00B368E3" w:rsidRPr="002937EF" w:rsidRDefault="00B368E3" w:rsidP="001F6136">
      <w:pPr>
        <w:pStyle w:val="enumlev1"/>
      </w:pPr>
      <w:r w:rsidRPr="002937EF">
        <w:t>•</w:t>
      </w:r>
      <w:r w:rsidRPr="002937EF">
        <w:tab/>
        <w:t>Le projet doit bénéficier à un pays au moins parmi les pays les moins avancés (PMA), les petits États insulaires en développement (PEID), les pays en développement sans littoral</w:t>
      </w:r>
      <w:r w:rsidR="00672A2A" w:rsidRPr="002937EF">
        <w:t xml:space="preserve"> (PDSL)</w:t>
      </w:r>
      <w:r w:rsidRPr="002937EF">
        <w:t>, les pays dont l'économie est en transition et ceux ayant des besoins spéciaux.</w:t>
      </w:r>
    </w:p>
    <w:p w14:paraId="6DB758BD" w14:textId="41200337" w:rsidR="00B368E3" w:rsidRPr="002937EF" w:rsidRDefault="00B368E3" w:rsidP="001F6136">
      <w:pPr>
        <w:pStyle w:val="enumlev1"/>
        <w:rPr>
          <w:b/>
          <w:bCs/>
        </w:rPr>
      </w:pPr>
      <w:r w:rsidRPr="002937EF">
        <w:t>•</w:t>
      </w:r>
      <w:r w:rsidRPr="002937EF">
        <w:tab/>
        <w:t xml:space="preserve">Le projet doit relever de l'une des catégories/de l'un des thèmes </w:t>
      </w:r>
      <w:r w:rsidR="00C422BD" w:rsidRPr="002937EF">
        <w:t>adoptés par la Conférence mondiale de développement des télécommunications (CMDT), ou de tout autre thème jugé important par la Commission de direction du FDTIC.</w:t>
      </w:r>
    </w:p>
    <w:p w14:paraId="3660A186" w14:textId="042831BF" w:rsidR="00B368E3" w:rsidRPr="002937EF" w:rsidRDefault="00B368E3" w:rsidP="001F6136">
      <w:bookmarkStart w:id="8" w:name="dnote"/>
      <w:bookmarkEnd w:id="8"/>
      <w:r w:rsidRPr="002937EF">
        <w:t>2.4</w:t>
      </w:r>
      <w:r w:rsidRPr="002937EF">
        <w:tab/>
        <w:t xml:space="preserve">La Commission de direction du </w:t>
      </w:r>
      <w:proofErr w:type="gramStart"/>
      <w:r w:rsidRPr="002937EF">
        <w:t>FDTIC:</w:t>
      </w:r>
      <w:proofErr w:type="gramEnd"/>
      <w:r w:rsidRPr="002937EF">
        <w:t xml:space="preserve"> a) examine et approuve les projets pour lesquels un financement est demandé; b) approuve le montant du financement à attribuer aux projets retenus par la Commission de direction du FDTIC; et c) suit l'évolution de la mise en œuvre et les résultats budgétaires des projets appuyés par le FDTIC.</w:t>
      </w:r>
    </w:p>
    <w:p w14:paraId="34215B56" w14:textId="15091AEC" w:rsidR="00B368E3" w:rsidRPr="002937EF" w:rsidRDefault="00B368E3" w:rsidP="001F6136">
      <w:r w:rsidRPr="002937EF">
        <w:t>2.5</w:t>
      </w:r>
      <w:r w:rsidRPr="002937EF">
        <w:tab/>
        <w:t>Un rapport annuel concernant la situation du FDTIC et l'état d'avancement des projets financés approuvés par la Commission de direction du FDTIC est présenté au Conseil de l'UIT en vue d'obtenir des avis et/ou son approbation, s'il y a lieu.</w:t>
      </w:r>
    </w:p>
    <w:p w14:paraId="7EB9BAEB" w14:textId="77777777" w:rsidR="00B368E3" w:rsidRPr="002937EF" w:rsidRDefault="00B368E3" w:rsidP="001F6136">
      <w:pPr>
        <w:pStyle w:val="Heading1"/>
      </w:pPr>
      <w:r w:rsidRPr="002937EF">
        <w:t>3</w:t>
      </w:r>
      <w:r w:rsidRPr="002937EF">
        <w:tab/>
        <w:t>Principales activités du FDTIC et évolution</w:t>
      </w:r>
    </w:p>
    <w:p w14:paraId="590163C8" w14:textId="3F406D9C" w:rsidR="00102514" w:rsidRPr="002937EF" w:rsidRDefault="00A17BF7" w:rsidP="001F6136">
      <w:r w:rsidRPr="002937EF">
        <w:t xml:space="preserve">La présente section </w:t>
      </w:r>
      <w:r w:rsidR="005B6E95" w:rsidRPr="002937EF">
        <w:t xml:space="preserve">rend compte des </w:t>
      </w:r>
      <w:r w:rsidRPr="002937EF">
        <w:t>activités qui ont eu lieu au cours de la période considérée</w:t>
      </w:r>
      <w:r w:rsidR="00102514" w:rsidRPr="002937EF">
        <w:t>. Une page web présentant des informations sur le FDTIC et d'autres projets et offrant la possibilité de faire des recherches par pays, par région, par domaine d'activité et par état du projet (en cours et mis en œuvre) est disponible</w:t>
      </w:r>
      <w:r w:rsidR="002670B2" w:rsidRPr="002937EF">
        <w:t xml:space="preserve"> sur le Portail des projets de l'UIT,</w:t>
      </w:r>
      <w:r w:rsidR="00102514" w:rsidRPr="002937EF">
        <w:t xml:space="preserve"> à l'adresse</w:t>
      </w:r>
      <w:r w:rsidR="002670B2" w:rsidRPr="002937EF">
        <w:t xml:space="preserve"> </w:t>
      </w:r>
      <w:hyperlink r:id="rId14" w:history="1">
        <w:r w:rsidR="00102514" w:rsidRPr="002937EF">
          <w:rPr>
            <w:rStyle w:val="Hyperlink"/>
          </w:rPr>
          <w:t>https://www.itu.int/en/ITU-D/Projects</w:t>
        </w:r>
      </w:hyperlink>
      <w:r w:rsidR="00102514" w:rsidRPr="002937EF">
        <w:t>.</w:t>
      </w:r>
    </w:p>
    <w:p w14:paraId="719B3113" w14:textId="77777777" w:rsidR="00CB5814" w:rsidRPr="002937EF" w:rsidRDefault="00CB5814" w:rsidP="00CB5814">
      <w:pPr>
        <w:spacing w:after="120"/>
      </w:pPr>
      <w:r w:rsidRPr="002937EF">
        <w:br w:type="page"/>
      </w:r>
    </w:p>
    <w:p w14:paraId="2B3DCA6B" w14:textId="19126436" w:rsidR="00102514" w:rsidRPr="002937EF" w:rsidRDefault="00102514" w:rsidP="00CB5814">
      <w:pPr>
        <w:spacing w:after="120"/>
        <w:rPr>
          <w:u w:val="single"/>
        </w:rPr>
      </w:pPr>
      <w:r w:rsidRPr="002937EF">
        <w:lastRenderedPageBreak/>
        <w:t>3.1</w:t>
      </w:r>
      <w:r w:rsidRPr="002937EF">
        <w:tab/>
      </w:r>
      <w:r w:rsidR="002D54CC" w:rsidRPr="002937EF">
        <w:rPr>
          <w:u w:val="single"/>
        </w:rPr>
        <w:t>53ème réunion de la Commission de direction du FDTIC</w:t>
      </w:r>
      <w:r w:rsidRPr="002937EF">
        <w:rPr>
          <w:u w:val="single"/>
        </w:rPr>
        <w:t xml:space="preserve"> (</w:t>
      </w:r>
      <w:r w:rsidR="002D54CC" w:rsidRPr="002937EF">
        <w:rPr>
          <w:u w:val="single"/>
        </w:rPr>
        <w:t>tenue en janvier</w:t>
      </w:r>
      <w:r w:rsidRPr="002937EF">
        <w:rPr>
          <w:u w:val="single"/>
        </w:rPr>
        <w:t xml:space="preserve"> 2020)</w:t>
      </w:r>
    </w:p>
    <w:tbl>
      <w:tblPr>
        <w:tblStyle w:val="TableGrid"/>
        <w:tblW w:w="0" w:type="auto"/>
        <w:tblLook w:val="04A0" w:firstRow="1" w:lastRow="0" w:firstColumn="1" w:lastColumn="0" w:noHBand="0" w:noVBand="1"/>
      </w:tblPr>
      <w:tblGrid>
        <w:gridCol w:w="2875"/>
        <w:gridCol w:w="1939"/>
        <w:gridCol w:w="1841"/>
        <w:gridCol w:w="2974"/>
      </w:tblGrid>
      <w:tr w:rsidR="00102514" w:rsidRPr="002937EF" w14:paraId="1EE6DEA5" w14:textId="77777777" w:rsidTr="00C3362A">
        <w:tc>
          <w:tcPr>
            <w:tcW w:w="2875" w:type="dxa"/>
            <w:shd w:val="clear" w:color="auto" w:fill="D9D9D9" w:themeFill="background1" w:themeFillShade="D9"/>
            <w:vAlign w:val="center"/>
          </w:tcPr>
          <w:p w14:paraId="5FD9DB1A" w14:textId="30D0467A" w:rsidR="00102514" w:rsidRPr="002937EF" w:rsidRDefault="005D0AA5" w:rsidP="0072227F">
            <w:pPr>
              <w:pStyle w:val="Tablehead"/>
              <w:spacing w:before="20" w:after="20" w:line="235" w:lineRule="auto"/>
            </w:pPr>
            <w:r w:rsidRPr="002937EF">
              <w:t xml:space="preserve">Nouveau projet </w:t>
            </w:r>
            <w:r w:rsidR="00711C87" w:rsidRPr="002937EF">
              <w:br/>
            </w:r>
            <w:r w:rsidRPr="002937EF">
              <w:t>approuvé</w:t>
            </w:r>
          </w:p>
        </w:tc>
        <w:tc>
          <w:tcPr>
            <w:tcW w:w="1939" w:type="dxa"/>
            <w:shd w:val="clear" w:color="auto" w:fill="D9D9D9" w:themeFill="background1" w:themeFillShade="D9"/>
            <w:vAlign w:val="center"/>
          </w:tcPr>
          <w:p w14:paraId="43B76D28" w14:textId="4B90D9EE" w:rsidR="00102514" w:rsidRPr="002937EF" w:rsidRDefault="005D0AA5" w:rsidP="0072227F">
            <w:pPr>
              <w:pStyle w:val="Tablehead"/>
              <w:spacing w:before="20" w:after="20" w:line="235" w:lineRule="auto"/>
            </w:pPr>
            <w:r w:rsidRPr="002937EF">
              <w:t>Contribution extérieure</w:t>
            </w:r>
          </w:p>
        </w:tc>
        <w:tc>
          <w:tcPr>
            <w:tcW w:w="1841" w:type="dxa"/>
            <w:shd w:val="clear" w:color="auto" w:fill="D9D9D9" w:themeFill="background1" w:themeFillShade="D9"/>
            <w:vAlign w:val="center"/>
          </w:tcPr>
          <w:p w14:paraId="6EE362E8" w14:textId="39121D3E" w:rsidR="00102514" w:rsidRPr="002937EF" w:rsidRDefault="005D0AA5" w:rsidP="0072227F">
            <w:pPr>
              <w:pStyle w:val="Tablehead"/>
              <w:spacing w:before="20" w:after="20" w:line="235" w:lineRule="auto"/>
            </w:pPr>
            <w:r w:rsidRPr="002937EF">
              <w:t>Contribution de l'UIT</w:t>
            </w:r>
          </w:p>
        </w:tc>
        <w:tc>
          <w:tcPr>
            <w:tcW w:w="2974" w:type="dxa"/>
            <w:shd w:val="clear" w:color="auto" w:fill="D9D9D9" w:themeFill="background1" w:themeFillShade="D9"/>
            <w:vAlign w:val="center"/>
          </w:tcPr>
          <w:p w14:paraId="24565425" w14:textId="08170028" w:rsidR="00102514" w:rsidRPr="002937EF" w:rsidRDefault="005D0AA5" w:rsidP="0072227F">
            <w:pPr>
              <w:pStyle w:val="Tablehead"/>
              <w:spacing w:before="20" w:after="20" w:line="235" w:lineRule="auto"/>
            </w:pPr>
            <w:r w:rsidRPr="002937EF">
              <w:t>Observations</w:t>
            </w:r>
          </w:p>
        </w:tc>
      </w:tr>
      <w:tr w:rsidR="00102514" w:rsidRPr="002937EF" w14:paraId="2E2C9D3C" w14:textId="77777777" w:rsidTr="00C3362A">
        <w:tc>
          <w:tcPr>
            <w:tcW w:w="2875" w:type="dxa"/>
          </w:tcPr>
          <w:p w14:paraId="19F81332" w14:textId="6F32AD2D" w:rsidR="00102514" w:rsidRPr="002937EF" w:rsidRDefault="00102514" w:rsidP="0072227F">
            <w:pPr>
              <w:pStyle w:val="Tabletext"/>
              <w:spacing w:before="20" w:after="20" w:line="235" w:lineRule="auto"/>
              <w:jc w:val="center"/>
            </w:pPr>
            <w:r w:rsidRPr="002937EF">
              <w:t>Renforcer l'écosystème numérique et les compétences numériques pour autonomiser les femmes sur le plan économique dans les PMA</w:t>
            </w:r>
          </w:p>
        </w:tc>
        <w:tc>
          <w:tcPr>
            <w:tcW w:w="1939" w:type="dxa"/>
          </w:tcPr>
          <w:p w14:paraId="5D0521EE" w14:textId="6278CE4D" w:rsidR="00102514" w:rsidRPr="002937EF" w:rsidRDefault="00236254" w:rsidP="0072227F">
            <w:pPr>
              <w:pStyle w:val="Tabletext"/>
              <w:spacing w:before="20" w:after="20" w:line="235" w:lineRule="auto"/>
              <w:jc w:val="center"/>
            </w:pPr>
            <w:r w:rsidRPr="002937EF">
              <w:t xml:space="preserve">873 </w:t>
            </w:r>
            <w:r w:rsidR="00102514" w:rsidRPr="002937EF">
              <w:t>941</w:t>
            </w:r>
            <w:r w:rsidRPr="002937EF">
              <w:t xml:space="preserve"> USD</w:t>
            </w:r>
          </w:p>
          <w:p w14:paraId="28F38D37" w14:textId="74930167" w:rsidR="00102514" w:rsidRPr="002937EF" w:rsidRDefault="001C7321" w:rsidP="0072227F">
            <w:pPr>
              <w:pStyle w:val="Tabletext"/>
              <w:spacing w:before="20" w:after="20" w:line="235" w:lineRule="auto"/>
              <w:jc w:val="center"/>
            </w:pPr>
            <w:proofErr w:type="gramStart"/>
            <w:r w:rsidRPr="002937EF">
              <w:t>Partenaire</w:t>
            </w:r>
            <w:r w:rsidR="00102514" w:rsidRPr="002937EF">
              <w:t>:</w:t>
            </w:r>
            <w:proofErr w:type="gramEnd"/>
            <w:r w:rsidR="00102514" w:rsidRPr="002937EF">
              <w:t xml:space="preserve"> </w:t>
            </w:r>
            <w:r w:rsidRPr="002937EF">
              <w:t>Cadre intégré renforcé (CIR)</w:t>
            </w:r>
          </w:p>
        </w:tc>
        <w:tc>
          <w:tcPr>
            <w:tcW w:w="1841" w:type="dxa"/>
          </w:tcPr>
          <w:p w14:paraId="227D4415" w14:textId="209DB970" w:rsidR="00102514" w:rsidRPr="002937EF" w:rsidRDefault="00236254" w:rsidP="0072227F">
            <w:pPr>
              <w:pStyle w:val="Tabletext"/>
              <w:spacing w:before="20" w:after="20" w:line="235" w:lineRule="auto"/>
              <w:jc w:val="center"/>
            </w:pPr>
            <w:r w:rsidRPr="002937EF">
              <w:t xml:space="preserve">480 </w:t>
            </w:r>
            <w:r w:rsidR="00102514" w:rsidRPr="002937EF">
              <w:t>697</w:t>
            </w:r>
            <w:r w:rsidRPr="002937EF">
              <w:t xml:space="preserve"> USD</w:t>
            </w:r>
          </w:p>
          <w:p w14:paraId="3AA9AFF2" w14:textId="69ABD1CB" w:rsidR="00102514" w:rsidRPr="002937EF" w:rsidRDefault="00102514" w:rsidP="0072227F">
            <w:pPr>
              <w:pStyle w:val="Tabletext"/>
              <w:spacing w:before="20" w:after="20" w:line="235" w:lineRule="auto"/>
              <w:jc w:val="center"/>
            </w:pPr>
            <w:r w:rsidRPr="002937EF">
              <w:t xml:space="preserve">(35% </w:t>
            </w:r>
            <w:r w:rsidR="00EC45FC" w:rsidRPr="002937EF">
              <w:t>du budget total de</w:t>
            </w:r>
            <w:r w:rsidR="00510C8A" w:rsidRPr="002937EF">
              <w:t xml:space="preserve"> 1 324 </w:t>
            </w:r>
            <w:r w:rsidRPr="002937EF">
              <w:t>632</w:t>
            </w:r>
            <w:r w:rsidR="00CB5814" w:rsidRPr="002937EF">
              <w:t> </w:t>
            </w:r>
            <w:r w:rsidR="00EC45FC" w:rsidRPr="002937EF">
              <w:t>USD</w:t>
            </w:r>
            <w:r w:rsidRPr="002937EF">
              <w:t>)</w:t>
            </w:r>
          </w:p>
        </w:tc>
        <w:tc>
          <w:tcPr>
            <w:tcW w:w="2974" w:type="dxa"/>
          </w:tcPr>
          <w:p w14:paraId="1ACFBA59" w14:textId="16CF7398" w:rsidR="00102514" w:rsidRPr="002937EF" w:rsidRDefault="00A42BD8" w:rsidP="0072227F">
            <w:pPr>
              <w:pStyle w:val="Tabletext"/>
              <w:spacing w:before="20" w:after="20" w:line="235" w:lineRule="auto"/>
              <w:jc w:val="center"/>
            </w:pPr>
            <w:r w:rsidRPr="002937EF">
              <w:t xml:space="preserve">La Commission de direction a exceptionnellement approuvé un financement supérieur à 25% pour le projet, étant donné que </w:t>
            </w:r>
            <w:r w:rsidR="008219C6" w:rsidRPr="002937EF">
              <w:t>ce dernier</w:t>
            </w:r>
            <w:r w:rsidRPr="002937EF">
              <w:t xml:space="preserve"> a des incidences durables à long terme et qu'au-delà de ce projet, le partenaire pourrait très probablement cofinancer des projets avec l'UIT dans l'avenir.</w:t>
            </w:r>
          </w:p>
        </w:tc>
      </w:tr>
    </w:tbl>
    <w:p w14:paraId="4B855351" w14:textId="7F9C417E" w:rsidR="00102514" w:rsidRPr="002937EF" w:rsidRDefault="00102514" w:rsidP="001F6136">
      <w:pPr>
        <w:keepNext/>
        <w:keepLines/>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u w:val="single"/>
        </w:rPr>
      </w:pPr>
      <w:r w:rsidRPr="002937EF">
        <w:rPr>
          <w:rFonts w:asciiTheme="minorHAnsi" w:hAnsiTheme="minorHAnsi" w:cstheme="minorHAnsi"/>
          <w:szCs w:val="24"/>
        </w:rPr>
        <w:t>3.2</w:t>
      </w:r>
      <w:bookmarkStart w:id="9" w:name="_Hlk65833378"/>
      <w:r w:rsidRPr="002937EF">
        <w:rPr>
          <w:rFonts w:asciiTheme="minorHAnsi" w:hAnsiTheme="minorHAnsi" w:cstheme="minorHAnsi"/>
          <w:szCs w:val="24"/>
        </w:rPr>
        <w:tab/>
      </w:r>
      <w:r w:rsidR="00342122" w:rsidRPr="002937EF">
        <w:rPr>
          <w:u w:val="single"/>
        </w:rPr>
        <w:t>54</w:t>
      </w:r>
      <w:r w:rsidR="005316D7" w:rsidRPr="002937EF">
        <w:rPr>
          <w:u w:val="single"/>
        </w:rPr>
        <w:t xml:space="preserve">ème réunion de la Commission </w:t>
      </w:r>
      <w:r w:rsidR="00342122" w:rsidRPr="002937EF">
        <w:rPr>
          <w:u w:val="single"/>
        </w:rPr>
        <w:t>de direction du FDTIC</w:t>
      </w:r>
      <w:r w:rsidRPr="002937EF">
        <w:rPr>
          <w:rFonts w:asciiTheme="minorHAnsi" w:hAnsiTheme="minorHAnsi" w:cstheme="minorHAnsi"/>
          <w:szCs w:val="24"/>
          <w:u w:val="single"/>
        </w:rPr>
        <w:t xml:space="preserve"> (</w:t>
      </w:r>
      <w:r w:rsidR="00342122" w:rsidRPr="002937EF">
        <w:rPr>
          <w:rFonts w:asciiTheme="minorHAnsi" w:hAnsiTheme="minorHAnsi" w:cstheme="minorHAnsi"/>
          <w:szCs w:val="24"/>
          <w:u w:val="single"/>
        </w:rPr>
        <w:t>tenue en septembre</w:t>
      </w:r>
      <w:r w:rsidRPr="002937EF">
        <w:rPr>
          <w:rFonts w:asciiTheme="minorHAnsi" w:hAnsiTheme="minorHAnsi" w:cstheme="minorHAnsi"/>
          <w:szCs w:val="24"/>
          <w:u w:val="single"/>
        </w:rPr>
        <w:t xml:space="preserve"> 2020)</w:t>
      </w:r>
      <w:bookmarkEnd w:id="9"/>
    </w:p>
    <w:tbl>
      <w:tblPr>
        <w:tblStyle w:val="TableGrid"/>
        <w:tblW w:w="0" w:type="auto"/>
        <w:tblLook w:val="04A0" w:firstRow="1" w:lastRow="0" w:firstColumn="1" w:lastColumn="0" w:noHBand="0" w:noVBand="1"/>
      </w:tblPr>
      <w:tblGrid>
        <w:gridCol w:w="2875"/>
        <w:gridCol w:w="1939"/>
        <w:gridCol w:w="1841"/>
        <w:gridCol w:w="2974"/>
      </w:tblGrid>
      <w:tr w:rsidR="00102514" w:rsidRPr="002937EF" w14:paraId="651796FB" w14:textId="77777777" w:rsidTr="00C3362A">
        <w:tc>
          <w:tcPr>
            <w:tcW w:w="2875" w:type="dxa"/>
            <w:shd w:val="clear" w:color="auto" w:fill="D9D9D9" w:themeFill="background1" w:themeFillShade="D9"/>
            <w:vAlign w:val="center"/>
          </w:tcPr>
          <w:p w14:paraId="54DA1AAC" w14:textId="412C7BDB" w:rsidR="00102514" w:rsidRPr="002937EF" w:rsidRDefault="007642C6" w:rsidP="0072227F">
            <w:pPr>
              <w:pStyle w:val="Tablehead"/>
              <w:spacing w:before="20" w:after="20" w:line="235" w:lineRule="auto"/>
            </w:pPr>
            <w:r w:rsidRPr="002937EF">
              <w:t xml:space="preserve">Nouveau projet </w:t>
            </w:r>
            <w:r w:rsidR="00711C87" w:rsidRPr="002937EF">
              <w:br/>
            </w:r>
            <w:r w:rsidRPr="002937EF">
              <w:t>approuvé</w:t>
            </w:r>
          </w:p>
        </w:tc>
        <w:tc>
          <w:tcPr>
            <w:tcW w:w="1939" w:type="dxa"/>
            <w:shd w:val="clear" w:color="auto" w:fill="D9D9D9" w:themeFill="background1" w:themeFillShade="D9"/>
            <w:vAlign w:val="center"/>
          </w:tcPr>
          <w:p w14:paraId="4E3E26EE" w14:textId="2B69E649" w:rsidR="00102514" w:rsidRPr="002937EF" w:rsidRDefault="007642C6" w:rsidP="0072227F">
            <w:pPr>
              <w:pStyle w:val="Tablehead"/>
              <w:spacing w:before="20" w:after="20" w:line="235" w:lineRule="auto"/>
            </w:pPr>
            <w:r w:rsidRPr="002937EF">
              <w:t>Contribution extérieure</w:t>
            </w:r>
          </w:p>
        </w:tc>
        <w:tc>
          <w:tcPr>
            <w:tcW w:w="1841" w:type="dxa"/>
            <w:shd w:val="clear" w:color="auto" w:fill="D9D9D9" w:themeFill="background1" w:themeFillShade="D9"/>
            <w:vAlign w:val="center"/>
          </w:tcPr>
          <w:p w14:paraId="41684843" w14:textId="076D586A" w:rsidR="00102514" w:rsidRPr="002937EF" w:rsidRDefault="007642C6" w:rsidP="0072227F">
            <w:pPr>
              <w:pStyle w:val="Tablehead"/>
              <w:spacing w:before="20" w:after="20" w:line="235" w:lineRule="auto"/>
            </w:pPr>
            <w:r w:rsidRPr="002937EF">
              <w:t>Contribution de l'UIT</w:t>
            </w:r>
          </w:p>
        </w:tc>
        <w:tc>
          <w:tcPr>
            <w:tcW w:w="2974" w:type="dxa"/>
            <w:shd w:val="clear" w:color="auto" w:fill="D9D9D9" w:themeFill="background1" w:themeFillShade="D9"/>
            <w:vAlign w:val="center"/>
          </w:tcPr>
          <w:p w14:paraId="58A8F6F9" w14:textId="66A3A333" w:rsidR="00102514" w:rsidRPr="002937EF" w:rsidRDefault="00F61F1D" w:rsidP="0072227F">
            <w:pPr>
              <w:pStyle w:val="Tablehead"/>
              <w:spacing w:before="20" w:after="20" w:line="235" w:lineRule="auto"/>
            </w:pPr>
            <w:r w:rsidRPr="002937EF">
              <w:t>Observations</w:t>
            </w:r>
          </w:p>
        </w:tc>
      </w:tr>
      <w:tr w:rsidR="00102514" w:rsidRPr="002937EF" w14:paraId="31EE4B93" w14:textId="77777777" w:rsidTr="00C3362A">
        <w:tc>
          <w:tcPr>
            <w:tcW w:w="2875" w:type="dxa"/>
          </w:tcPr>
          <w:p w14:paraId="550803EF" w14:textId="2B27C60D" w:rsidR="00102514" w:rsidRPr="002937EF" w:rsidRDefault="00995661" w:rsidP="0072227F">
            <w:pPr>
              <w:pStyle w:val="Tabletext"/>
              <w:spacing w:before="20" w:after="20" w:line="235" w:lineRule="auto"/>
              <w:jc w:val="center"/>
            </w:pPr>
            <w:r w:rsidRPr="002937EF">
              <w:t>Renforcer les compétences numériques au moyen des Centres de transformation numérique (DTC)</w:t>
            </w:r>
          </w:p>
        </w:tc>
        <w:tc>
          <w:tcPr>
            <w:tcW w:w="1939" w:type="dxa"/>
          </w:tcPr>
          <w:p w14:paraId="2F8BBF1E" w14:textId="76134D48" w:rsidR="00102514" w:rsidRPr="002937EF" w:rsidRDefault="00995661" w:rsidP="0072227F">
            <w:pPr>
              <w:pStyle w:val="Tabletext"/>
              <w:spacing w:before="20" w:after="20" w:line="235" w:lineRule="auto"/>
              <w:jc w:val="center"/>
            </w:pPr>
            <w:r w:rsidRPr="002937EF">
              <w:t xml:space="preserve">3 008 </w:t>
            </w:r>
            <w:r w:rsidR="00102514" w:rsidRPr="002937EF">
              <w:t>468</w:t>
            </w:r>
            <w:r w:rsidRPr="002937EF">
              <w:t xml:space="preserve"> CHF</w:t>
            </w:r>
          </w:p>
          <w:p w14:paraId="1F2FACD4" w14:textId="2C8B087C" w:rsidR="00102514" w:rsidRPr="002937EF" w:rsidRDefault="00F271D1" w:rsidP="0072227F">
            <w:pPr>
              <w:pStyle w:val="Tabletext"/>
              <w:spacing w:before="20" w:after="20" w:line="235" w:lineRule="auto"/>
              <w:jc w:val="center"/>
            </w:pPr>
            <w:r w:rsidRPr="002937EF">
              <w:t>En partenariat avec l'Agence norvégienne de coopération pour le développement (NORAD)</w:t>
            </w:r>
          </w:p>
        </w:tc>
        <w:tc>
          <w:tcPr>
            <w:tcW w:w="1841" w:type="dxa"/>
          </w:tcPr>
          <w:p w14:paraId="03060D12" w14:textId="6FE22BA9" w:rsidR="00102514" w:rsidRPr="002937EF" w:rsidRDefault="00AA5700" w:rsidP="0072227F">
            <w:pPr>
              <w:pStyle w:val="Tabletext"/>
              <w:spacing w:before="20" w:after="20" w:line="235" w:lineRule="auto"/>
              <w:jc w:val="center"/>
            </w:pPr>
            <w:r w:rsidRPr="002937EF">
              <w:t xml:space="preserve">759 </w:t>
            </w:r>
            <w:r w:rsidR="00102514" w:rsidRPr="002937EF">
              <w:t>024</w:t>
            </w:r>
            <w:r w:rsidRPr="002937EF">
              <w:t xml:space="preserve"> CHF</w:t>
            </w:r>
          </w:p>
          <w:p w14:paraId="1A302D07" w14:textId="22ABF724" w:rsidR="00102514" w:rsidRPr="002937EF" w:rsidRDefault="00AA5700" w:rsidP="0072227F">
            <w:pPr>
              <w:pStyle w:val="Tabletext"/>
              <w:spacing w:before="20" w:after="20" w:line="235" w:lineRule="auto"/>
              <w:jc w:val="center"/>
            </w:pPr>
            <w:r w:rsidRPr="002937EF">
              <w:t>(20,</w:t>
            </w:r>
            <w:r w:rsidR="00102514" w:rsidRPr="002937EF">
              <w:t xml:space="preserve">1% </w:t>
            </w:r>
            <w:r w:rsidRPr="002937EF">
              <w:t xml:space="preserve">du budget total de </w:t>
            </w:r>
            <w:r w:rsidR="009B47D0" w:rsidRPr="002937EF">
              <w:t>3 767 </w:t>
            </w:r>
            <w:r w:rsidR="00102514" w:rsidRPr="002937EF">
              <w:t>492</w:t>
            </w:r>
            <w:r w:rsidR="00CB5814" w:rsidRPr="002937EF">
              <w:t> </w:t>
            </w:r>
            <w:r w:rsidRPr="002937EF">
              <w:t>CHF</w:t>
            </w:r>
            <w:r w:rsidR="00102514" w:rsidRPr="002937EF">
              <w:t>)</w:t>
            </w:r>
          </w:p>
        </w:tc>
        <w:tc>
          <w:tcPr>
            <w:tcW w:w="2974" w:type="dxa"/>
          </w:tcPr>
          <w:p w14:paraId="453C35F2" w14:textId="24BFFA71" w:rsidR="00102514" w:rsidRPr="002937EF" w:rsidRDefault="005E7F5A" w:rsidP="0072227F">
            <w:pPr>
              <w:pStyle w:val="Tabletext"/>
              <w:spacing w:before="20" w:after="20" w:line="235" w:lineRule="auto"/>
              <w:jc w:val="center"/>
            </w:pPr>
            <w:r w:rsidRPr="002937EF">
              <w:t>L'UIT a lancé l'initiative sur les Centres de transformation numérique (DTC) dans le but de renforcer les compétences numériques</w:t>
            </w:r>
            <w:r w:rsidR="00FF5438" w:rsidRPr="002937EF">
              <w:t xml:space="preserve">, essentiellement aux niveaux élémentaire et intermédiaire et notamment au sein des communautés </w:t>
            </w:r>
            <w:r w:rsidR="00F70DA7" w:rsidRPr="002937EF">
              <w:t>mal</w:t>
            </w:r>
            <w:r w:rsidR="00716E8A" w:rsidRPr="002937EF">
              <w:t> </w:t>
            </w:r>
            <w:r w:rsidR="00F70DA7" w:rsidRPr="002937EF">
              <w:t>desservies.</w:t>
            </w:r>
          </w:p>
        </w:tc>
      </w:tr>
    </w:tbl>
    <w:p w14:paraId="39C0E4FE" w14:textId="64EBEA68" w:rsidR="00102514" w:rsidRPr="002937EF" w:rsidRDefault="00102514" w:rsidP="001F6136">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u w:val="single"/>
        </w:rPr>
      </w:pPr>
      <w:r w:rsidRPr="002937EF">
        <w:rPr>
          <w:rFonts w:asciiTheme="minorHAnsi" w:hAnsiTheme="minorHAnsi" w:cstheme="minorHAnsi"/>
          <w:szCs w:val="24"/>
        </w:rPr>
        <w:t>3.3</w:t>
      </w:r>
      <w:r w:rsidRPr="002937EF">
        <w:rPr>
          <w:rFonts w:asciiTheme="minorHAnsi" w:hAnsiTheme="minorHAnsi" w:cstheme="minorHAnsi"/>
          <w:szCs w:val="24"/>
        </w:rPr>
        <w:tab/>
      </w:r>
      <w:r w:rsidR="00A83815" w:rsidRPr="002937EF">
        <w:rPr>
          <w:u w:val="single"/>
        </w:rPr>
        <w:t>55ème réunion de la Commission de direction du FDTIC</w:t>
      </w:r>
      <w:r w:rsidR="00A83815" w:rsidRPr="002937EF">
        <w:rPr>
          <w:rFonts w:asciiTheme="minorHAnsi" w:hAnsiTheme="minorHAnsi" w:cstheme="minorHAnsi"/>
          <w:szCs w:val="24"/>
          <w:u w:val="single"/>
        </w:rPr>
        <w:t xml:space="preserve"> </w:t>
      </w:r>
      <w:r w:rsidRPr="002937EF">
        <w:rPr>
          <w:rFonts w:asciiTheme="minorHAnsi" w:hAnsiTheme="minorHAnsi" w:cstheme="minorHAnsi"/>
          <w:szCs w:val="24"/>
          <w:u w:val="single"/>
        </w:rPr>
        <w:t>(</w:t>
      </w:r>
      <w:r w:rsidR="00A83815" w:rsidRPr="002937EF">
        <w:rPr>
          <w:rFonts w:asciiTheme="minorHAnsi" w:hAnsiTheme="minorHAnsi" w:cstheme="minorHAnsi"/>
          <w:szCs w:val="24"/>
          <w:u w:val="single"/>
        </w:rPr>
        <w:t>tenue en septembre</w:t>
      </w:r>
      <w:r w:rsidR="00B43D8A" w:rsidRPr="002937EF">
        <w:rPr>
          <w:rFonts w:asciiTheme="minorHAnsi" w:hAnsiTheme="minorHAnsi" w:cstheme="minorHAnsi"/>
          <w:szCs w:val="24"/>
          <w:u w:val="single"/>
        </w:rPr>
        <w:t xml:space="preserve"> </w:t>
      </w:r>
      <w:r w:rsidRPr="002937EF">
        <w:rPr>
          <w:rFonts w:asciiTheme="minorHAnsi" w:hAnsiTheme="minorHAnsi" w:cstheme="minorHAnsi"/>
          <w:szCs w:val="24"/>
          <w:u w:val="single"/>
        </w:rPr>
        <w:t>2020)</w:t>
      </w:r>
    </w:p>
    <w:tbl>
      <w:tblPr>
        <w:tblStyle w:val="TableGrid"/>
        <w:tblW w:w="0" w:type="auto"/>
        <w:tblLook w:val="04A0" w:firstRow="1" w:lastRow="0" w:firstColumn="1" w:lastColumn="0" w:noHBand="0" w:noVBand="1"/>
      </w:tblPr>
      <w:tblGrid>
        <w:gridCol w:w="2875"/>
        <w:gridCol w:w="1939"/>
        <w:gridCol w:w="1841"/>
        <w:gridCol w:w="2974"/>
      </w:tblGrid>
      <w:tr w:rsidR="00B43D8A" w:rsidRPr="002937EF" w14:paraId="6B7562FC" w14:textId="77777777" w:rsidTr="0012700F">
        <w:trPr>
          <w:tblHeader/>
        </w:trPr>
        <w:tc>
          <w:tcPr>
            <w:tcW w:w="2875" w:type="dxa"/>
            <w:shd w:val="clear" w:color="auto" w:fill="D9D9D9" w:themeFill="background1" w:themeFillShade="D9"/>
            <w:vAlign w:val="center"/>
          </w:tcPr>
          <w:p w14:paraId="381DA6E3" w14:textId="6298499D" w:rsidR="00B43D8A" w:rsidRPr="002937EF" w:rsidRDefault="00B43D8A" w:rsidP="0072227F">
            <w:pPr>
              <w:pStyle w:val="Tablehead"/>
              <w:spacing w:before="20" w:after="20" w:line="235" w:lineRule="auto"/>
            </w:pPr>
            <w:r w:rsidRPr="002937EF">
              <w:t xml:space="preserve">Nouveau projet </w:t>
            </w:r>
            <w:r w:rsidR="00711C87" w:rsidRPr="002937EF">
              <w:br/>
            </w:r>
            <w:r w:rsidRPr="002937EF">
              <w:t>approuvé</w:t>
            </w:r>
          </w:p>
        </w:tc>
        <w:tc>
          <w:tcPr>
            <w:tcW w:w="1939" w:type="dxa"/>
            <w:shd w:val="clear" w:color="auto" w:fill="D9D9D9" w:themeFill="background1" w:themeFillShade="D9"/>
            <w:vAlign w:val="center"/>
          </w:tcPr>
          <w:p w14:paraId="6498184C" w14:textId="0676805D" w:rsidR="00B43D8A" w:rsidRPr="002937EF" w:rsidRDefault="00B43D8A" w:rsidP="0072227F">
            <w:pPr>
              <w:pStyle w:val="Tablehead"/>
              <w:spacing w:before="20" w:after="20" w:line="235" w:lineRule="auto"/>
            </w:pPr>
            <w:r w:rsidRPr="002937EF">
              <w:t>Contribution extérieure</w:t>
            </w:r>
          </w:p>
        </w:tc>
        <w:tc>
          <w:tcPr>
            <w:tcW w:w="1841" w:type="dxa"/>
            <w:shd w:val="clear" w:color="auto" w:fill="D9D9D9" w:themeFill="background1" w:themeFillShade="D9"/>
            <w:vAlign w:val="center"/>
          </w:tcPr>
          <w:p w14:paraId="39E9008A" w14:textId="75054F97" w:rsidR="00B43D8A" w:rsidRPr="002937EF" w:rsidRDefault="00B43D8A" w:rsidP="0072227F">
            <w:pPr>
              <w:pStyle w:val="Tablehead"/>
              <w:spacing w:before="20" w:after="20" w:line="235" w:lineRule="auto"/>
            </w:pPr>
            <w:r w:rsidRPr="002937EF">
              <w:t>Contribution de l'UIT</w:t>
            </w:r>
          </w:p>
        </w:tc>
        <w:tc>
          <w:tcPr>
            <w:tcW w:w="2974" w:type="dxa"/>
            <w:shd w:val="clear" w:color="auto" w:fill="D9D9D9" w:themeFill="background1" w:themeFillShade="D9"/>
            <w:vAlign w:val="center"/>
          </w:tcPr>
          <w:p w14:paraId="3AC67B4F" w14:textId="7CD50718" w:rsidR="00B43D8A" w:rsidRPr="002937EF" w:rsidRDefault="00B43D8A" w:rsidP="0072227F">
            <w:pPr>
              <w:pStyle w:val="Tablehead"/>
              <w:spacing w:before="20" w:after="20" w:line="235" w:lineRule="auto"/>
            </w:pPr>
            <w:r w:rsidRPr="002937EF">
              <w:t>Observations</w:t>
            </w:r>
          </w:p>
        </w:tc>
      </w:tr>
      <w:tr w:rsidR="00102514" w:rsidRPr="002937EF" w14:paraId="2D26F5F4" w14:textId="77777777" w:rsidTr="00C3362A">
        <w:tc>
          <w:tcPr>
            <w:tcW w:w="2875" w:type="dxa"/>
          </w:tcPr>
          <w:p w14:paraId="11633CDC" w14:textId="15F36856" w:rsidR="00102514" w:rsidRPr="002937EF" w:rsidRDefault="008147E3" w:rsidP="0072227F">
            <w:pPr>
              <w:pStyle w:val="Tabletext"/>
              <w:spacing w:before="20" w:after="20" w:line="235" w:lineRule="auto"/>
              <w:jc w:val="center"/>
              <w:rPr>
                <w:rFonts w:asciiTheme="minorHAnsi" w:hAnsiTheme="minorHAnsi" w:cstheme="minorHAnsi"/>
                <w:szCs w:val="24"/>
              </w:rPr>
            </w:pPr>
            <w:r w:rsidRPr="002937EF">
              <w:rPr>
                <w:rFonts w:asciiTheme="minorHAnsi" w:hAnsiTheme="minorHAnsi" w:cstheme="minorHAnsi"/>
                <w:szCs w:val="24"/>
              </w:rPr>
              <w:t>Analyse comparative des TIC en Afrique centrale</w:t>
            </w:r>
            <w:r w:rsidR="00102514" w:rsidRPr="002937EF">
              <w:rPr>
                <w:rFonts w:asciiTheme="minorHAnsi" w:hAnsiTheme="minorHAnsi" w:cstheme="minorHAnsi"/>
                <w:szCs w:val="24"/>
              </w:rPr>
              <w:t>.</w:t>
            </w:r>
          </w:p>
          <w:p w14:paraId="27227933" w14:textId="1044A119" w:rsidR="00102514" w:rsidRPr="002937EF" w:rsidRDefault="009B47D0" w:rsidP="0072227F">
            <w:pPr>
              <w:pStyle w:val="Tabletext"/>
              <w:spacing w:before="20" w:after="20" w:line="235" w:lineRule="auto"/>
              <w:jc w:val="center"/>
              <w:rPr>
                <w:rFonts w:asciiTheme="minorHAnsi" w:hAnsiTheme="minorHAnsi" w:cstheme="minorHAnsi"/>
                <w:szCs w:val="24"/>
              </w:rPr>
            </w:pPr>
            <w:r w:rsidRPr="002937EF">
              <w:rPr>
                <w:rFonts w:asciiTheme="minorHAnsi" w:hAnsiTheme="minorHAnsi" w:cstheme="minorHAnsi"/>
                <w:szCs w:val="24"/>
              </w:rPr>
              <w:t>Ce projet s'inscrit dans le "Programme d'appui à la gouvernance des infrastructures régionales et nationales de l'Afrique centrale (PAGIRN)", conformément à l'accord de financement signé entre la Commission européenne (CE) et la République démocratique du Congo</w:t>
            </w:r>
            <w:r w:rsidR="00FB630E" w:rsidRPr="002937EF">
              <w:rPr>
                <w:rFonts w:asciiTheme="minorHAnsi" w:hAnsiTheme="minorHAnsi" w:cstheme="minorHAnsi"/>
                <w:szCs w:val="24"/>
              </w:rPr>
              <w:t xml:space="preserve">. </w:t>
            </w:r>
            <w:r w:rsidR="00B45263">
              <w:rPr>
                <w:rFonts w:asciiTheme="minorHAnsi" w:hAnsiTheme="minorHAnsi" w:cstheme="minorHAnsi"/>
                <w:szCs w:val="24"/>
              </w:rPr>
              <w:t>Le Programme est financé par la </w:t>
            </w:r>
            <w:r w:rsidR="00FB630E" w:rsidRPr="002937EF">
              <w:rPr>
                <w:rFonts w:asciiTheme="minorHAnsi" w:hAnsiTheme="minorHAnsi" w:cstheme="minorHAnsi"/>
                <w:szCs w:val="24"/>
              </w:rPr>
              <w:t xml:space="preserve">CE </w:t>
            </w:r>
            <w:r w:rsidR="000A5F0B" w:rsidRPr="002937EF">
              <w:rPr>
                <w:rFonts w:asciiTheme="minorHAnsi" w:hAnsiTheme="minorHAnsi" w:cstheme="minorHAnsi"/>
                <w:szCs w:val="24"/>
              </w:rPr>
              <w:t xml:space="preserve">via le </w:t>
            </w:r>
            <w:r w:rsidR="00AA71E6" w:rsidRPr="002937EF">
              <w:rPr>
                <w:rFonts w:asciiTheme="minorHAnsi" w:hAnsiTheme="minorHAnsi" w:cstheme="minorHAnsi"/>
                <w:szCs w:val="24"/>
              </w:rPr>
              <w:t xml:space="preserve">11ème </w:t>
            </w:r>
            <w:r w:rsidR="000A5F0B" w:rsidRPr="002937EF">
              <w:rPr>
                <w:rFonts w:asciiTheme="minorHAnsi" w:hAnsiTheme="minorHAnsi" w:cstheme="minorHAnsi"/>
                <w:szCs w:val="24"/>
              </w:rPr>
              <w:t xml:space="preserve">Fonds </w:t>
            </w:r>
            <w:r w:rsidR="00AA71E6" w:rsidRPr="002937EF">
              <w:rPr>
                <w:rFonts w:asciiTheme="minorHAnsi" w:hAnsiTheme="minorHAnsi" w:cstheme="minorHAnsi"/>
                <w:szCs w:val="24"/>
              </w:rPr>
              <w:t xml:space="preserve">européen de développement (FED), </w:t>
            </w:r>
            <w:r w:rsidR="005D5AC9" w:rsidRPr="002937EF">
              <w:rPr>
                <w:rFonts w:asciiTheme="minorHAnsi" w:hAnsiTheme="minorHAnsi" w:cstheme="minorHAnsi"/>
                <w:szCs w:val="24"/>
              </w:rPr>
              <w:t>dans le cadre de</w:t>
            </w:r>
            <w:r w:rsidR="00AA71E6" w:rsidRPr="002937EF">
              <w:rPr>
                <w:rFonts w:asciiTheme="minorHAnsi" w:hAnsiTheme="minorHAnsi" w:cstheme="minorHAnsi"/>
                <w:szCs w:val="24"/>
              </w:rPr>
              <w:t xml:space="preserve"> l'accord de partenariat ACP</w:t>
            </w:r>
            <w:r w:rsidR="00CB5814" w:rsidRPr="002937EF">
              <w:rPr>
                <w:rFonts w:asciiTheme="minorHAnsi" w:hAnsiTheme="minorHAnsi" w:cstheme="minorHAnsi"/>
                <w:szCs w:val="24"/>
              </w:rPr>
              <w:noBreakHyphen/>
            </w:r>
            <w:r w:rsidR="00AA71E6" w:rsidRPr="002937EF">
              <w:rPr>
                <w:rFonts w:asciiTheme="minorHAnsi" w:hAnsiTheme="minorHAnsi" w:cstheme="minorHAnsi"/>
                <w:szCs w:val="24"/>
              </w:rPr>
              <w:t>UE.</w:t>
            </w:r>
          </w:p>
        </w:tc>
        <w:tc>
          <w:tcPr>
            <w:tcW w:w="1939" w:type="dxa"/>
          </w:tcPr>
          <w:p w14:paraId="7090529F" w14:textId="321E80DF" w:rsidR="00102514" w:rsidRPr="002937EF" w:rsidRDefault="009B47D0" w:rsidP="0072227F">
            <w:pPr>
              <w:pStyle w:val="Tabletext"/>
              <w:spacing w:before="20" w:after="20" w:line="235" w:lineRule="auto"/>
              <w:jc w:val="center"/>
              <w:rPr>
                <w:rFonts w:asciiTheme="minorHAnsi" w:hAnsiTheme="minorHAnsi" w:cstheme="minorHAnsi"/>
                <w:szCs w:val="24"/>
              </w:rPr>
            </w:pPr>
            <w:r w:rsidRPr="002937EF">
              <w:rPr>
                <w:rFonts w:asciiTheme="minorHAnsi" w:hAnsiTheme="minorHAnsi" w:cstheme="minorHAnsi"/>
                <w:szCs w:val="22"/>
              </w:rPr>
              <w:t xml:space="preserve">1 000 </w:t>
            </w:r>
            <w:r w:rsidR="00102514" w:rsidRPr="002937EF">
              <w:rPr>
                <w:rFonts w:asciiTheme="minorHAnsi" w:hAnsiTheme="minorHAnsi" w:cstheme="minorHAnsi"/>
                <w:szCs w:val="22"/>
              </w:rPr>
              <w:t>000</w:t>
            </w:r>
            <w:r w:rsidRPr="002937EF">
              <w:rPr>
                <w:rFonts w:asciiTheme="minorHAnsi" w:hAnsiTheme="minorHAnsi" w:cstheme="minorHAnsi"/>
                <w:szCs w:val="22"/>
              </w:rPr>
              <w:t xml:space="preserve"> EUR</w:t>
            </w:r>
          </w:p>
        </w:tc>
        <w:tc>
          <w:tcPr>
            <w:tcW w:w="1841" w:type="dxa"/>
          </w:tcPr>
          <w:p w14:paraId="6BBE8755" w14:textId="7718277A" w:rsidR="00102514" w:rsidRPr="002937EF" w:rsidRDefault="009B47D0" w:rsidP="0072227F">
            <w:pPr>
              <w:pStyle w:val="Tabletext"/>
              <w:spacing w:before="20" w:after="20" w:line="235" w:lineRule="auto"/>
              <w:jc w:val="center"/>
              <w:rPr>
                <w:rFonts w:asciiTheme="minorHAnsi" w:hAnsiTheme="minorHAnsi" w:cstheme="minorHAnsi"/>
                <w:szCs w:val="22"/>
              </w:rPr>
            </w:pPr>
            <w:r w:rsidRPr="002937EF">
              <w:rPr>
                <w:rFonts w:asciiTheme="minorHAnsi" w:hAnsiTheme="minorHAnsi" w:cstheme="minorHAnsi"/>
                <w:szCs w:val="22"/>
              </w:rPr>
              <w:t xml:space="preserve">300 </w:t>
            </w:r>
            <w:r w:rsidR="00102514" w:rsidRPr="002937EF">
              <w:rPr>
                <w:rFonts w:asciiTheme="minorHAnsi" w:hAnsiTheme="minorHAnsi" w:cstheme="minorHAnsi"/>
                <w:szCs w:val="22"/>
              </w:rPr>
              <w:t>000</w:t>
            </w:r>
            <w:r w:rsidRPr="002937EF">
              <w:rPr>
                <w:rFonts w:asciiTheme="minorHAnsi" w:hAnsiTheme="minorHAnsi" w:cstheme="minorHAnsi"/>
                <w:szCs w:val="22"/>
              </w:rPr>
              <w:t xml:space="preserve"> EUR</w:t>
            </w:r>
            <w:r w:rsidR="00102514" w:rsidRPr="002937EF">
              <w:rPr>
                <w:rFonts w:asciiTheme="minorHAnsi" w:hAnsiTheme="minorHAnsi" w:cstheme="minorHAnsi"/>
                <w:szCs w:val="22"/>
              </w:rPr>
              <w:t xml:space="preserve"> </w:t>
            </w:r>
          </w:p>
          <w:p w14:paraId="075AC58A" w14:textId="561A4BEE" w:rsidR="00102514" w:rsidRPr="002937EF" w:rsidRDefault="00102514" w:rsidP="0072227F">
            <w:pPr>
              <w:pStyle w:val="Tabletext"/>
              <w:spacing w:before="20" w:after="20" w:line="235" w:lineRule="auto"/>
              <w:jc w:val="center"/>
              <w:rPr>
                <w:rFonts w:asciiTheme="minorHAnsi" w:hAnsiTheme="minorHAnsi" w:cstheme="minorHAnsi"/>
                <w:szCs w:val="24"/>
              </w:rPr>
            </w:pPr>
            <w:r w:rsidRPr="002937EF">
              <w:rPr>
                <w:rFonts w:asciiTheme="minorHAnsi" w:hAnsiTheme="minorHAnsi" w:cstheme="minorHAnsi"/>
                <w:szCs w:val="22"/>
              </w:rPr>
              <w:t xml:space="preserve">(23% </w:t>
            </w:r>
            <w:r w:rsidR="009B47D0" w:rsidRPr="002937EF">
              <w:rPr>
                <w:rFonts w:asciiTheme="minorHAnsi" w:hAnsiTheme="minorHAnsi" w:cstheme="minorHAnsi"/>
                <w:szCs w:val="22"/>
              </w:rPr>
              <w:t>du budget total de 1 </w:t>
            </w:r>
            <w:r w:rsidRPr="002937EF">
              <w:rPr>
                <w:rFonts w:asciiTheme="minorHAnsi" w:hAnsiTheme="minorHAnsi" w:cstheme="minorHAnsi"/>
                <w:szCs w:val="22"/>
              </w:rPr>
              <w:t>300</w:t>
            </w:r>
            <w:r w:rsidR="009B47D0" w:rsidRPr="002937EF">
              <w:rPr>
                <w:rFonts w:asciiTheme="minorHAnsi" w:hAnsiTheme="minorHAnsi" w:cstheme="minorHAnsi"/>
                <w:szCs w:val="22"/>
              </w:rPr>
              <w:t> </w:t>
            </w:r>
            <w:r w:rsidRPr="002937EF">
              <w:rPr>
                <w:rFonts w:asciiTheme="minorHAnsi" w:hAnsiTheme="minorHAnsi" w:cstheme="minorHAnsi"/>
                <w:szCs w:val="22"/>
              </w:rPr>
              <w:t>000</w:t>
            </w:r>
            <w:r w:rsidR="00CB5814" w:rsidRPr="002937EF">
              <w:rPr>
                <w:rFonts w:asciiTheme="minorHAnsi" w:hAnsiTheme="minorHAnsi" w:cstheme="minorHAnsi"/>
                <w:szCs w:val="22"/>
              </w:rPr>
              <w:t> </w:t>
            </w:r>
            <w:r w:rsidR="009B47D0" w:rsidRPr="002937EF">
              <w:rPr>
                <w:rFonts w:asciiTheme="minorHAnsi" w:hAnsiTheme="minorHAnsi" w:cstheme="minorHAnsi"/>
                <w:szCs w:val="22"/>
              </w:rPr>
              <w:t>EUR</w:t>
            </w:r>
            <w:r w:rsidRPr="002937EF">
              <w:rPr>
                <w:rFonts w:asciiTheme="minorHAnsi" w:hAnsiTheme="minorHAnsi" w:cstheme="minorHAnsi"/>
                <w:szCs w:val="22"/>
              </w:rPr>
              <w:t>)</w:t>
            </w:r>
          </w:p>
        </w:tc>
        <w:tc>
          <w:tcPr>
            <w:tcW w:w="2974" w:type="dxa"/>
          </w:tcPr>
          <w:p w14:paraId="4058E3C6" w14:textId="729F5048" w:rsidR="00102514" w:rsidRPr="002937EF" w:rsidRDefault="00502761" w:rsidP="0072227F">
            <w:pPr>
              <w:pStyle w:val="Tabletext"/>
              <w:spacing w:before="20" w:after="20" w:line="235" w:lineRule="auto"/>
              <w:jc w:val="center"/>
              <w:rPr>
                <w:rFonts w:asciiTheme="minorHAnsi" w:hAnsiTheme="minorHAnsi" w:cstheme="minorHAnsi"/>
                <w:szCs w:val="22"/>
              </w:rPr>
            </w:pPr>
            <w:r w:rsidRPr="002937EF">
              <w:rPr>
                <w:rFonts w:asciiTheme="minorHAnsi" w:hAnsiTheme="minorHAnsi" w:cstheme="minorHAnsi"/>
                <w:szCs w:val="22"/>
              </w:rPr>
              <w:t xml:space="preserve">Le projet "Analyse comparative des TIC en Afrique centrale" </w:t>
            </w:r>
            <w:r w:rsidR="009C55A7" w:rsidRPr="002937EF">
              <w:rPr>
                <w:rFonts w:asciiTheme="minorHAnsi" w:hAnsiTheme="minorHAnsi" w:cstheme="minorHAnsi"/>
                <w:szCs w:val="22"/>
              </w:rPr>
              <w:t xml:space="preserve">vise en particulier à recueillir et à analyser des données </w:t>
            </w:r>
            <w:r w:rsidR="002A3226" w:rsidRPr="002937EF">
              <w:rPr>
                <w:rFonts w:asciiTheme="minorHAnsi" w:hAnsiTheme="minorHAnsi" w:cstheme="minorHAnsi"/>
                <w:szCs w:val="22"/>
              </w:rPr>
              <w:t xml:space="preserve">sur l'efficacité de la réglementation existante en matière de TIC, pour contribuer à </w:t>
            </w:r>
            <w:r w:rsidR="00D41878" w:rsidRPr="002937EF">
              <w:rPr>
                <w:rFonts w:asciiTheme="minorHAnsi" w:hAnsiTheme="minorHAnsi" w:cstheme="minorHAnsi"/>
                <w:szCs w:val="22"/>
              </w:rPr>
              <w:t xml:space="preserve">mettre à niveau le cadre réglementaire et administratif et </w:t>
            </w:r>
            <w:r w:rsidR="00390A22" w:rsidRPr="002937EF">
              <w:rPr>
                <w:rFonts w:asciiTheme="minorHAnsi" w:hAnsiTheme="minorHAnsi" w:cstheme="minorHAnsi"/>
                <w:szCs w:val="22"/>
              </w:rPr>
              <w:t>pour</w:t>
            </w:r>
            <w:r w:rsidR="00D41878" w:rsidRPr="002937EF">
              <w:rPr>
                <w:rFonts w:asciiTheme="minorHAnsi" w:hAnsiTheme="minorHAnsi" w:cstheme="minorHAnsi"/>
                <w:szCs w:val="22"/>
              </w:rPr>
              <w:t xml:space="preserve"> renforcer la concurrence.</w:t>
            </w:r>
            <w:r w:rsidR="00E97542" w:rsidRPr="002937EF">
              <w:rPr>
                <w:rFonts w:asciiTheme="minorHAnsi" w:hAnsiTheme="minorHAnsi" w:cstheme="minorHAnsi"/>
                <w:szCs w:val="22"/>
              </w:rPr>
              <w:t xml:space="preserve"> C</w:t>
            </w:r>
            <w:r w:rsidR="00665462" w:rsidRPr="002937EF">
              <w:rPr>
                <w:rFonts w:asciiTheme="minorHAnsi" w:hAnsiTheme="minorHAnsi" w:cstheme="minorHAnsi"/>
                <w:szCs w:val="22"/>
              </w:rPr>
              <w:t xml:space="preserve">ela facilitera l'échange de bonnes pratiques </w:t>
            </w:r>
            <w:r w:rsidR="002B4FA6" w:rsidRPr="002937EF">
              <w:rPr>
                <w:rFonts w:asciiTheme="minorHAnsi" w:hAnsiTheme="minorHAnsi" w:cstheme="minorHAnsi"/>
                <w:szCs w:val="22"/>
              </w:rPr>
              <w:t xml:space="preserve">et permettra de </w:t>
            </w:r>
            <w:r w:rsidR="0089643B" w:rsidRPr="002937EF">
              <w:rPr>
                <w:rFonts w:asciiTheme="minorHAnsi" w:hAnsiTheme="minorHAnsi" w:cstheme="minorHAnsi"/>
                <w:szCs w:val="22"/>
              </w:rPr>
              <w:t>mettre en place des mesures qui favoriseront la bonne gouvernance.</w:t>
            </w:r>
          </w:p>
        </w:tc>
      </w:tr>
    </w:tbl>
    <w:p w14:paraId="2A9A70F6" w14:textId="4A62E84D" w:rsidR="00102514" w:rsidRPr="002937EF" w:rsidRDefault="00102514" w:rsidP="001F6136">
      <w:r w:rsidRPr="002937EF">
        <w:lastRenderedPageBreak/>
        <w:t>3.4</w:t>
      </w:r>
      <w:r w:rsidRPr="002937EF">
        <w:tab/>
        <w:t xml:space="preserve">La Commission de direction </w:t>
      </w:r>
      <w:r w:rsidR="001A7D40" w:rsidRPr="002937EF">
        <w:t xml:space="preserve">du FDTIC </w:t>
      </w:r>
      <w:r w:rsidRPr="002937EF">
        <w:t>a en outre examiné les progrès accomplis dans l'exécution des projets financés par le FDTIC et a approuvé la restitution au FDTIC de certains financements attribués au départ pour la mise en œuvre de projets de développement pour lesquels aucun partenaire n'a ensuite été trouvé.</w:t>
      </w:r>
    </w:p>
    <w:p w14:paraId="265792BB" w14:textId="51BBF6C5" w:rsidR="001A7D40" w:rsidRPr="002937EF" w:rsidRDefault="002C7EA6" w:rsidP="00511B28">
      <w:pPr>
        <w:spacing w:after="120"/>
      </w:pPr>
      <w:r w:rsidRPr="002937EF">
        <w:t>3.5</w:t>
      </w:r>
      <w:r w:rsidRPr="002937EF">
        <w:tab/>
      </w:r>
      <w:r w:rsidR="001A7D40" w:rsidRPr="002937EF">
        <w:t xml:space="preserve">En décembre 2020, </w:t>
      </w:r>
      <w:r w:rsidR="008D08F2" w:rsidRPr="002937EF">
        <w:t xml:space="preserve">parmi </w:t>
      </w:r>
      <w:r w:rsidR="001A7D40" w:rsidRPr="002937EF">
        <w:t xml:space="preserve">les projets </w:t>
      </w:r>
      <w:r w:rsidR="008D08F2" w:rsidRPr="002937EF">
        <w:t>financés par le FDTIC, sept étaient en cours (</w:t>
      </w:r>
      <w:r w:rsidR="00B45263">
        <w:t>voir </w:t>
      </w:r>
      <w:r w:rsidR="006731EA" w:rsidRPr="002937EF">
        <w:t xml:space="preserve">l'Annexe 1). Dans la </w:t>
      </w:r>
      <w:r w:rsidR="00CB5814" w:rsidRPr="002937EF">
        <w:t>F</w:t>
      </w:r>
      <w:r w:rsidR="006731EA" w:rsidRPr="002937EF">
        <w:t xml:space="preserve">igure 1, ces projets sont présentés </w:t>
      </w:r>
      <w:r w:rsidR="009A6060" w:rsidRPr="002937EF">
        <w:t>par région.</w:t>
      </w:r>
    </w:p>
    <w:p w14:paraId="16D5172E" w14:textId="6BF4F0E8" w:rsidR="00511B28" w:rsidRPr="002937EF" w:rsidRDefault="00511B28" w:rsidP="00511B28">
      <w:pPr>
        <w:pStyle w:val="Figure"/>
      </w:pPr>
      <w:r w:rsidRPr="002937EF">
        <w:rPr>
          <w:noProof/>
          <w:lang w:val="en-US"/>
        </w:rPr>
        <w:drawing>
          <wp:inline distT="0" distB="0" distL="0" distR="0" wp14:anchorId="2BA5E8C5" wp14:editId="3A892564">
            <wp:extent cx="5970814" cy="2743200"/>
            <wp:effectExtent l="0" t="0" r="11430" b="0"/>
            <wp:docPr id="3" name="Chart 3">
              <a:extLst xmlns:a="http://schemas.openxmlformats.org/drawingml/2006/main">
                <a:ext uri="{FF2B5EF4-FFF2-40B4-BE49-F238E27FC236}">
                  <a16:creationId xmlns:a16="http://schemas.microsoft.com/office/drawing/2014/main" id="{4A00FA00-23F7-4C01-96E1-A17A740D3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D6BC29" w14:textId="4B1481D5" w:rsidR="009E6F32" w:rsidRPr="002937EF" w:rsidRDefault="002C7EA6" w:rsidP="00CB5814">
      <w:pPr>
        <w:spacing w:after="120"/>
      </w:pPr>
      <w:r w:rsidRPr="002937EF">
        <w:t>3.6</w:t>
      </w:r>
      <w:r w:rsidRPr="002937EF">
        <w:tab/>
      </w:r>
      <w:r w:rsidR="009E6F32" w:rsidRPr="002937EF">
        <w:t xml:space="preserve">Depuis la création du FDTIC, 41 projets ont été </w:t>
      </w:r>
      <w:r w:rsidR="0025433C" w:rsidRPr="002937EF">
        <w:t xml:space="preserve">clôturés et 8 projets sont </w:t>
      </w:r>
      <w:proofErr w:type="gramStart"/>
      <w:r w:rsidR="009F529C" w:rsidRPr="002937EF">
        <w:t xml:space="preserve">actuellement </w:t>
      </w:r>
      <w:r w:rsidR="0025433C" w:rsidRPr="002937EF">
        <w:t>en cours</w:t>
      </w:r>
      <w:proofErr w:type="gramEnd"/>
      <w:r w:rsidR="0025433C" w:rsidRPr="002937EF">
        <w:t xml:space="preserve"> de clôture</w:t>
      </w:r>
      <w:r w:rsidR="009F529C" w:rsidRPr="002937EF">
        <w:t xml:space="preserve"> (voir les </w:t>
      </w:r>
      <w:r w:rsidR="00CB5814" w:rsidRPr="002937EF">
        <w:t>F</w:t>
      </w:r>
      <w:r w:rsidR="009F529C" w:rsidRPr="002937EF">
        <w:t xml:space="preserve">igures 2.1 et 2.2). La </w:t>
      </w:r>
      <w:r w:rsidR="00CB5814" w:rsidRPr="002937EF">
        <w:t>F</w:t>
      </w:r>
      <w:r w:rsidR="009F529C" w:rsidRPr="002937EF">
        <w:t>igure 2.3 donne la répartition des projets clôturés par région.</w:t>
      </w:r>
    </w:p>
    <w:p w14:paraId="6CC5A97C" w14:textId="26C591BC" w:rsidR="009D5751" w:rsidRPr="002937EF" w:rsidRDefault="009D5751" w:rsidP="009D5751">
      <w:pPr>
        <w:spacing w:after="120"/>
        <w:jc w:val="center"/>
      </w:pPr>
      <w:r w:rsidRPr="002937EF">
        <w:rPr>
          <w:rFonts w:asciiTheme="minorHAnsi" w:hAnsiTheme="minorHAnsi" w:cstheme="minorHAnsi"/>
          <w:noProof/>
          <w:lang w:val="en-US"/>
        </w:rPr>
        <w:drawing>
          <wp:inline distT="0" distB="0" distL="0" distR="0" wp14:anchorId="0E3A6251" wp14:editId="19F5200D">
            <wp:extent cx="4029075" cy="2647950"/>
            <wp:effectExtent l="0" t="0" r="9525" b="0"/>
            <wp:docPr id="13" name="Chart 13">
              <a:extLst xmlns:a="http://schemas.openxmlformats.org/drawingml/2006/main">
                <a:ext uri="{FF2B5EF4-FFF2-40B4-BE49-F238E27FC236}">
                  <a16:creationId xmlns:a16="http://schemas.microsoft.com/office/drawing/2014/main" id="{8EFC75B4-231C-4922-A7DD-898CC75164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71BF9E" w14:textId="5D2F8E8E" w:rsidR="008B0237" w:rsidRPr="002937EF" w:rsidRDefault="008B0237" w:rsidP="009D5751">
      <w:pPr>
        <w:spacing w:after="120"/>
        <w:jc w:val="center"/>
      </w:pPr>
      <w:r w:rsidRPr="002937EF">
        <w:rPr>
          <w:noProof/>
          <w:lang w:val="en-US"/>
        </w:rPr>
        <w:lastRenderedPageBreak/>
        <w:drawing>
          <wp:inline distT="0" distB="0" distL="0" distR="0" wp14:anchorId="047CC5F7" wp14:editId="45139E54">
            <wp:extent cx="4572000" cy="2743200"/>
            <wp:effectExtent l="0" t="0" r="0" b="0"/>
            <wp:docPr id="15" name="Chart 15">
              <a:extLst xmlns:a="http://schemas.openxmlformats.org/drawingml/2006/main">
                <a:ext uri="{FF2B5EF4-FFF2-40B4-BE49-F238E27FC236}">
                  <a16:creationId xmlns:a16="http://schemas.microsoft.com/office/drawing/2014/main" id="{4409959E-6808-4F04-92A2-4121648109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ECBA3F" w14:textId="5BCDE293" w:rsidR="009D5751" w:rsidRPr="002937EF" w:rsidRDefault="009D5751" w:rsidP="009D5751">
      <w:pPr>
        <w:tabs>
          <w:tab w:val="clear" w:pos="567"/>
          <w:tab w:val="clear" w:pos="1134"/>
          <w:tab w:val="clear" w:pos="1701"/>
          <w:tab w:val="clear" w:pos="2268"/>
          <w:tab w:val="clear" w:pos="2835"/>
        </w:tabs>
        <w:snapToGrid w:val="0"/>
        <w:spacing w:before="240" w:after="120"/>
        <w:jc w:val="both"/>
        <w:rPr>
          <w:highlight w:val="yellow"/>
        </w:rPr>
      </w:pPr>
    </w:p>
    <w:p w14:paraId="64EECBFC" w14:textId="444D843E" w:rsidR="009D5751" w:rsidRPr="002937EF" w:rsidRDefault="009D5751" w:rsidP="009D5751">
      <w:pPr>
        <w:pStyle w:val="Figure"/>
        <w:rPr>
          <w:highlight w:val="yellow"/>
        </w:rPr>
      </w:pPr>
      <w:r w:rsidRPr="002937EF">
        <w:rPr>
          <w:noProof/>
          <w:lang w:val="en-US"/>
        </w:rPr>
        <w:drawing>
          <wp:inline distT="0" distB="0" distL="0" distR="0" wp14:anchorId="6CD70567" wp14:editId="73B2B1B1">
            <wp:extent cx="6120765" cy="2864485"/>
            <wp:effectExtent l="0" t="0" r="13335" b="12065"/>
            <wp:docPr id="1" name="Chart 1">
              <a:extLst xmlns:a="http://schemas.openxmlformats.org/drawingml/2006/main">
                <a:ext uri="{FF2B5EF4-FFF2-40B4-BE49-F238E27FC236}">
                  <a16:creationId xmlns:a16="http://schemas.microsoft.com/office/drawing/2014/main" id="{410AFA4D-A7A3-4446-A9B9-2ECDEEDB8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B352B8" w14:textId="2FC34320" w:rsidR="002C7EA6" w:rsidRPr="002937EF" w:rsidRDefault="002C7EA6" w:rsidP="001F6136">
      <w:r w:rsidRPr="002937EF">
        <w:t>3.7</w:t>
      </w:r>
      <w:r w:rsidRPr="002937EF">
        <w:tab/>
        <w:t xml:space="preserve">En décembre 2020, </w:t>
      </w:r>
      <w:r w:rsidR="00BB648F" w:rsidRPr="002937EF">
        <w:t xml:space="preserve">la valeur totale des projets en cours financés par le FDTIC était </w:t>
      </w:r>
      <w:r w:rsidRPr="002937EF">
        <w:t>de 1</w:t>
      </w:r>
      <w:r w:rsidR="00BB648F" w:rsidRPr="002937EF">
        <w:t>6 386</w:t>
      </w:r>
      <w:r w:rsidRPr="002937EF">
        <w:t> </w:t>
      </w:r>
      <w:r w:rsidR="00BB648F" w:rsidRPr="002937EF">
        <w:t>227</w:t>
      </w:r>
      <w:r w:rsidRPr="002937EF">
        <w:t xml:space="preserve"> CHF (financement extérieur en </w:t>
      </w:r>
      <w:proofErr w:type="gramStart"/>
      <w:r w:rsidRPr="002937EF">
        <w:t>espèces:</w:t>
      </w:r>
      <w:proofErr w:type="gramEnd"/>
      <w:r w:rsidRPr="002937EF">
        <w:t xml:space="preserve"> 71%; FDTIC: 28% et financement du Plan opérationnel en espèces: </w:t>
      </w:r>
      <w:r w:rsidR="00076BDD" w:rsidRPr="002937EF">
        <w:t>1</w:t>
      </w:r>
      <w:r w:rsidRPr="002937EF">
        <w:t>%)</w:t>
      </w:r>
      <w:r w:rsidR="00BB648F" w:rsidRPr="002937EF">
        <w:t xml:space="preserve"> (voir la </w:t>
      </w:r>
      <w:r w:rsidR="003456FB" w:rsidRPr="002937EF">
        <w:t>F</w:t>
      </w:r>
      <w:r w:rsidR="00BB648F" w:rsidRPr="002937EF">
        <w:t>igure 3)</w:t>
      </w:r>
      <w:r w:rsidRPr="002937EF">
        <w:t>.</w:t>
      </w:r>
    </w:p>
    <w:p w14:paraId="01DB288F" w14:textId="45961BE9" w:rsidR="008B0237" w:rsidRPr="002937EF" w:rsidRDefault="008B0237" w:rsidP="008B0237">
      <w:pPr>
        <w:pStyle w:val="Figure"/>
      </w:pPr>
      <w:r w:rsidRPr="002937EF">
        <w:rPr>
          <w:noProof/>
          <w:lang w:val="en-US"/>
        </w:rPr>
        <w:lastRenderedPageBreak/>
        <w:drawing>
          <wp:inline distT="0" distB="0" distL="0" distR="0" wp14:anchorId="2AB9949C" wp14:editId="4C93109C">
            <wp:extent cx="6120765" cy="2851785"/>
            <wp:effectExtent l="0" t="0" r="13335" b="5715"/>
            <wp:docPr id="16" name="Chart 16">
              <a:extLst xmlns:a="http://schemas.openxmlformats.org/drawingml/2006/main">
                <a:ext uri="{FF2B5EF4-FFF2-40B4-BE49-F238E27FC236}">
                  <a16:creationId xmlns:a16="http://schemas.microsoft.com/office/drawing/2014/main" id="{67F9E608-61A7-487A-9B51-C666F09868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2B3D53" w14:textId="0F400257" w:rsidR="00F00F15" w:rsidRPr="002937EF" w:rsidRDefault="00076BDD" w:rsidP="008B0237">
      <w:pPr>
        <w:spacing w:before="240"/>
      </w:pPr>
      <w:r w:rsidRPr="002937EF">
        <w:t>3.8</w:t>
      </w:r>
      <w:r w:rsidRPr="002937EF">
        <w:tab/>
        <w:t>Le BDT continuera à contrôler la mise en œuvre efficace des projets restants. La</w:t>
      </w:r>
      <w:r w:rsidR="004F19F2" w:rsidRPr="002937EF">
        <w:t xml:space="preserve"> </w:t>
      </w:r>
      <w:r w:rsidRPr="002937EF">
        <w:t xml:space="preserve">Commission de direction </w:t>
      </w:r>
      <w:r w:rsidR="00FF1B2E" w:rsidRPr="002937EF">
        <w:t xml:space="preserve">du FDTIC </w:t>
      </w:r>
      <w:r w:rsidRPr="002937EF">
        <w:t>continuera à examiner des propositions de projet et à financer les projets sélectionnés dans différents domaines d'activité, en accordant une attention particulière aux initiatives régionales approuvées par la CMDT-17, compte tenu des règles et des critères définis dans les règles et procédures du FDTIC et dans les limites du compte de capital du FDTIC.</w:t>
      </w:r>
    </w:p>
    <w:p w14:paraId="5F2CC955" w14:textId="25B9D589" w:rsidR="00076BDD" w:rsidRPr="002937EF" w:rsidRDefault="00076BDD" w:rsidP="001F6136">
      <w:r w:rsidRPr="002937EF">
        <w:t>3.9</w:t>
      </w:r>
      <w:r w:rsidRPr="002937EF">
        <w:tab/>
        <w:t>La prochaine réunion de la Commission de direction du FDTIC aura lieu après réception de nouvelles propositions de projets qui remplissent les critères de sélection.</w:t>
      </w:r>
    </w:p>
    <w:p w14:paraId="54F114F1" w14:textId="31BECE22" w:rsidR="00076BDD" w:rsidRPr="002937EF" w:rsidRDefault="00076BDD" w:rsidP="001F6136">
      <w:pPr>
        <w:pStyle w:val="Heading1"/>
      </w:pPr>
      <w:r w:rsidRPr="002937EF">
        <w:t>4</w:t>
      </w:r>
      <w:r w:rsidRPr="002937EF">
        <w:tab/>
        <w:t>Évolution du compte de capital du FDTIC</w:t>
      </w:r>
      <w:r w:rsidRPr="002937EF">
        <w:rPr>
          <w:rStyle w:val="FootnoteReference"/>
          <w:rFonts w:asciiTheme="minorHAnsi" w:hAnsiTheme="minorHAnsi"/>
          <w:b w:val="0"/>
        </w:rPr>
        <w:footnoteReference w:id="2"/>
      </w:r>
    </w:p>
    <w:p w14:paraId="3FBD3D43" w14:textId="379A71B6" w:rsidR="00076BDD" w:rsidRPr="002937EF" w:rsidRDefault="00076BDD" w:rsidP="001F6136">
      <w:r w:rsidRPr="002937EF">
        <w:t>4.1</w:t>
      </w:r>
      <w:r w:rsidRPr="002937EF">
        <w:tab/>
        <w:t>Le montant total des intérêts perçus en 2020 pour le compte de capital du FDTIC était de 41 209,71 USD</w:t>
      </w:r>
      <w:r w:rsidR="00354260" w:rsidRPr="002937EF">
        <w:t xml:space="preserve"> et les intérêts des projets s'élevaient à 18 094 USD.</w:t>
      </w:r>
    </w:p>
    <w:p w14:paraId="59E419C4" w14:textId="6AD7C9AE" w:rsidR="00076BDD" w:rsidRPr="002937EF" w:rsidRDefault="00076BDD" w:rsidP="001F6136">
      <w:r w:rsidRPr="002937EF">
        <w:t>4.2</w:t>
      </w:r>
      <w:r w:rsidRPr="002937EF">
        <w:tab/>
        <w:t>Au 31 décembre 2020, le solde disponible du compte de capital du FDTIC s'élevait à 4 100 787,66 USD</w:t>
      </w:r>
      <w:r w:rsidR="00DA6A2B" w:rsidRPr="002937EF">
        <w:t xml:space="preserve"> (voir la </w:t>
      </w:r>
      <w:r w:rsidR="007A24F1" w:rsidRPr="002937EF">
        <w:t>F</w:t>
      </w:r>
      <w:r w:rsidR="00DA6A2B" w:rsidRPr="002937EF">
        <w:t>igure 4)</w:t>
      </w:r>
      <w:r w:rsidRPr="002937EF">
        <w:t>, tandis que celui du Fonds de roulement des expositions (EWCF) s'élevait à </w:t>
      </w:r>
      <w:r w:rsidRPr="002937EF">
        <w:rPr>
          <w:rFonts w:asciiTheme="minorHAnsi" w:hAnsiTheme="minorHAnsi" w:cstheme="minorHAnsi"/>
        </w:rPr>
        <w:t xml:space="preserve">6 616 097,76 </w:t>
      </w:r>
      <w:r w:rsidRPr="002937EF">
        <w:t>CHF.</w:t>
      </w:r>
    </w:p>
    <w:p w14:paraId="7710AC7A" w14:textId="688B0C3F" w:rsidR="007A24F1" w:rsidRPr="002937EF" w:rsidRDefault="007A24F1" w:rsidP="0012700F">
      <w:pPr>
        <w:pStyle w:val="Figure"/>
      </w:pPr>
      <w:r w:rsidRPr="002937EF">
        <w:rPr>
          <w:noProof/>
          <w:lang w:val="en-US"/>
        </w:rPr>
        <w:lastRenderedPageBreak/>
        <w:drawing>
          <wp:inline distT="0" distB="0" distL="0" distR="0" wp14:anchorId="3961B171" wp14:editId="11911485">
            <wp:extent cx="5810250" cy="2657475"/>
            <wp:effectExtent l="0" t="0" r="0" b="9525"/>
            <wp:docPr id="17" name="Chart 17">
              <a:extLst xmlns:a="http://schemas.openxmlformats.org/drawingml/2006/main">
                <a:ext uri="{FF2B5EF4-FFF2-40B4-BE49-F238E27FC236}">
                  <a16:creationId xmlns:a16="http://schemas.microsoft.com/office/drawing/2014/main" id="{9B9397BB-5759-455A-A582-340FD5399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1814B4" w14:textId="490FAF8C" w:rsidR="00076BDD" w:rsidRPr="002937EF" w:rsidRDefault="00076BDD" w:rsidP="007A24F1">
      <w:pPr>
        <w:spacing w:before="100" w:beforeAutospacing="1"/>
        <w:rPr>
          <w:b/>
          <w:bCs/>
        </w:rPr>
      </w:pPr>
      <w:r w:rsidRPr="002937EF">
        <w:t>4.3</w:t>
      </w:r>
      <w:r w:rsidRPr="002937EF">
        <w:tab/>
        <w:t xml:space="preserve">Il est à noter que les dispositions ci-après de la Résolution 11 (Rév. Dubaï, 2018) de la Conférence de plénipotentiaires de l'UIT peuvent avoir une incidence sur le </w:t>
      </w:r>
      <w:r w:rsidR="00C12199" w:rsidRPr="002937EF">
        <w:t>Fonds de roulement des expositions</w:t>
      </w:r>
      <w:r w:rsidR="007D0614" w:rsidRPr="002937EF">
        <w:t xml:space="preserve"> </w:t>
      </w:r>
      <w:r w:rsidR="00C12199" w:rsidRPr="002937EF">
        <w:t>(</w:t>
      </w:r>
      <w:r w:rsidRPr="002937EF">
        <w:t>EWCF</w:t>
      </w:r>
      <w:r w:rsidR="00C12199" w:rsidRPr="002937EF">
        <w:t>)</w:t>
      </w:r>
      <w:r w:rsidR="007D0614" w:rsidRPr="002937EF">
        <w:t xml:space="preserve"> </w:t>
      </w:r>
      <w:r w:rsidRPr="002937EF">
        <w:t xml:space="preserve">et, par conséquent, sur le </w:t>
      </w:r>
      <w:proofErr w:type="gramStart"/>
      <w:r w:rsidRPr="002937EF">
        <w:t>FDTIC:</w:t>
      </w:r>
      <w:proofErr w:type="gramEnd"/>
    </w:p>
    <w:p w14:paraId="76DF20F8" w14:textId="77777777" w:rsidR="00076BDD" w:rsidRPr="002937EF" w:rsidRDefault="00076BDD" w:rsidP="001F6136">
      <w:pPr>
        <w:pStyle w:val="enumlev1"/>
      </w:pPr>
      <w:r w:rsidRPr="002937EF">
        <w:t>–</w:t>
      </w:r>
      <w:r w:rsidRPr="002937EF">
        <w:rPr>
          <w:b/>
          <w:bCs/>
        </w:rPr>
        <w:tab/>
        <w:t xml:space="preserve">Point 4 du </w:t>
      </w:r>
      <w:proofErr w:type="gramStart"/>
      <w:r w:rsidRPr="002937EF">
        <w:rPr>
          <w:b/>
          <w:bCs/>
          <w:i/>
          <w:iCs/>
        </w:rPr>
        <w:t>décide</w:t>
      </w:r>
      <w:r w:rsidRPr="002937EF">
        <w:rPr>
          <w:i/>
          <w:iCs/>
        </w:rPr>
        <w:t>:</w:t>
      </w:r>
      <w:proofErr w:type="gramEnd"/>
      <w:r w:rsidRPr="002937EF">
        <w:rPr>
          <w:i/>
          <w:iCs/>
        </w:rPr>
        <w:t xml:space="preserve"> que le cahier des charges établi à partir des contributions soumises par les membres de l'UIT, pour le recrutement du cabinet de conseil en gestion externe indépendant sera soumis pour approbation au Groupe de travail du Conseil sur les ressources financières et les ressources humaines (GTC-FHR) et que les honoraires dudit cabinet de conseil seront couverts par le Fonds de roulement des expositions (EWCF).</w:t>
      </w:r>
    </w:p>
    <w:p w14:paraId="6900B34A" w14:textId="2F6700A1" w:rsidR="00076BDD" w:rsidRPr="002937EF" w:rsidRDefault="00076BDD" w:rsidP="001F6136">
      <w:pPr>
        <w:pStyle w:val="enumlev1"/>
        <w:rPr>
          <w:i/>
          <w:iCs/>
        </w:rPr>
      </w:pPr>
      <w:r w:rsidRPr="002937EF">
        <w:t>–</w:t>
      </w:r>
      <w:r w:rsidRPr="002937EF">
        <w:rPr>
          <w:b/>
          <w:bCs/>
        </w:rPr>
        <w:tab/>
        <w:t xml:space="preserve">Point 10 du </w:t>
      </w:r>
      <w:proofErr w:type="gramStart"/>
      <w:r w:rsidRPr="002937EF">
        <w:rPr>
          <w:b/>
          <w:bCs/>
          <w:i/>
          <w:iCs/>
        </w:rPr>
        <w:t>décide</w:t>
      </w:r>
      <w:r w:rsidRPr="002937EF">
        <w:rPr>
          <w:i/>
          <w:iCs/>
        </w:rPr>
        <w:t>:</w:t>
      </w:r>
      <w:proofErr w:type="gramEnd"/>
      <w:r w:rsidRPr="002937EF">
        <w:rPr>
          <w:i/>
          <w:iCs/>
        </w:rPr>
        <w:t xml:space="preserve"> que le Fonds EWCF doit être doté d'une réserve minimale de cinq</w:t>
      </w:r>
      <w:r w:rsidR="007A24F1" w:rsidRPr="002937EF">
        <w:rPr>
          <w:i/>
          <w:iCs/>
        </w:rPr>
        <w:t> </w:t>
      </w:r>
      <w:r w:rsidRPr="002937EF">
        <w:rPr>
          <w:i/>
          <w:iCs/>
        </w:rPr>
        <w:t>millions</w:t>
      </w:r>
      <w:r w:rsidR="007A24F1" w:rsidRPr="002937EF">
        <w:rPr>
          <w:i/>
          <w:iCs/>
        </w:rPr>
        <w:t> </w:t>
      </w:r>
      <w:r w:rsidRPr="002937EF">
        <w:rPr>
          <w:i/>
          <w:iCs/>
        </w:rPr>
        <w:t>de francs suisses (5 000 000 CHF).</w:t>
      </w:r>
    </w:p>
    <w:p w14:paraId="33C41DE9" w14:textId="250D80C7" w:rsidR="00BC235D" w:rsidRPr="002937EF" w:rsidRDefault="00BC235D" w:rsidP="001F6136">
      <w:pPr>
        <w:spacing w:after="120"/>
        <w:rPr>
          <w:rFonts w:asciiTheme="minorHAnsi" w:hAnsiTheme="minorHAnsi" w:cstheme="minorHAnsi"/>
        </w:rPr>
      </w:pPr>
      <w:r w:rsidRPr="002937EF">
        <w:rPr>
          <w:rFonts w:asciiTheme="minorHAnsi" w:hAnsiTheme="minorHAnsi" w:cstheme="minorHAnsi"/>
        </w:rPr>
        <w:t xml:space="preserve">Au 31 décembre 2020, </w:t>
      </w:r>
      <w:r w:rsidR="009465F3" w:rsidRPr="002937EF">
        <w:rPr>
          <w:rFonts w:asciiTheme="minorHAnsi" w:hAnsiTheme="minorHAnsi" w:cstheme="minorHAnsi"/>
        </w:rPr>
        <w:t xml:space="preserve">les honoraires du </w:t>
      </w:r>
      <w:r w:rsidR="00D85262" w:rsidRPr="002937EF">
        <w:rPr>
          <w:rFonts w:asciiTheme="minorHAnsi" w:hAnsiTheme="minorHAnsi" w:cstheme="minorHAnsi"/>
        </w:rPr>
        <w:t xml:space="preserve">cabinet de conseil </w:t>
      </w:r>
      <w:r w:rsidR="009C06E6" w:rsidRPr="002937EF">
        <w:rPr>
          <w:rFonts w:asciiTheme="minorHAnsi" w:hAnsiTheme="minorHAnsi" w:cstheme="minorHAnsi"/>
        </w:rPr>
        <w:t xml:space="preserve">Dalberg se </w:t>
      </w:r>
      <w:r w:rsidR="005D7F3A" w:rsidRPr="002937EF">
        <w:rPr>
          <w:rFonts w:asciiTheme="minorHAnsi" w:hAnsiTheme="minorHAnsi" w:cstheme="minorHAnsi"/>
        </w:rPr>
        <w:t>chiffraient</w:t>
      </w:r>
      <w:r w:rsidR="009C06E6" w:rsidRPr="002937EF">
        <w:rPr>
          <w:rFonts w:asciiTheme="minorHAnsi" w:hAnsiTheme="minorHAnsi" w:cstheme="minorHAnsi"/>
        </w:rPr>
        <w:t xml:space="preserve"> à </w:t>
      </w:r>
      <w:r w:rsidR="009C06E6" w:rsidRPr="002937EF">
        <w:rPr>
          <w:rFonts w:asciiTheme="minorHAnsi" w:hAnsiTheme="minorHAnsi" w:cstheme="minorHAnsi"/>
          <w:b/>
        </w:rPr>
        <w:t>225 915 CHF</w:t>
      </w:r>
      <w:r w:rsidR="009C06E6" w:rsidRPr="002937EF">
        <w:rPr>
          <w:rFonts w:asciiTheme="minorHAnsi" w:hAnsiTheme="minorHAnsi" w:cstheme="minorHAnsi"/>
        </w:rPr>
        <w:t xml:space="preserve"> et </w:t>
      </w:r>
      <w:r w:rsidR="009465F3" w:rsidRPr="002937EF">
        <w:rPr>
          <w:rFonts w:asciiTheme="minorHAnsi" w:hAnsiTheme="minorHAnsi" w:cstheme="minorHAnsi"/>
        </w:rPr>
        <w:t>le solde du Fonds EWCF</w:t>
      </w:r>
      <w:r w:rsidR="009465F3" w:rsidRPr="002937EF">
        <w:rPr>
          <w:rStyle w:val="FootnoteReference"/>
          <w:rFonts w:cstheme="minorHAnsi"/>
        </w:rPr>
        <w:footnoteReference w:id="3"/>
      </w:r>
      <w:r w:rsidR="009465F3" w:rsidRPr="002937EF">
        <w:rPr>
          <w:rFonts w:asciiTheme="minorHAnsi" w:hAnsiTheme="minorHAnsi" w:cstheme="minorHAnsi"/>
        </w:rPr>
        <w:t xml:space="preserve"> s'élevait à </w:t>
      </w:r>
      <w:r w:rsidR="009465F3" w:rsidRPr="002937EF">
        <w:rPr>
          <w:rFonts w:asciiTheme="minorHAnsi" w:hAnsiTheme="minorHAnsi" w:cstheme="minorHAnsi"/>
          <w:b/>
        </w:rPr>
        <w:t>6 616 098 CHF</w:t>
      </w:r>
      <w:r w:rsidR="009465F3" w:rsidRPr="002937EF">
        <w:rPr>
          <w:rFonts w:asciiTheme="minorHAnsi" w:hAnsiTheme="minorHAnsi" w:cstheme="minorHAnsi"/>
        </w:rPr>
        <w:t>.</w:t>
      </w:r>
    </w:p>
    <w:p w14:paraId="5AEB1EFC" w14:textId="77777777" w:rsidR="00076BDD" w:rsidRPr="002937EF" w:rsidRDefault="00076BDD" w:rsidP="007A24F1">
      <w:pPr>
        <w:pStyle w:val="Heading1"/>
        <w:spacing w:before="240"/>
      </w:pPr>
      <w:r w:rsidRPr="002937EF">
        <w:t>5</w:t>
      </w:r>
      <w:r w:rsidRPr="002937EF">
        <w:tab/>
      </w:r>
      <w:proofErr w:type="gramStart"/>
      <w:r w:rsidRPr="002937EF">
        <w:t>Perspectives d'avenir</w:t>
      </w:r>
      <w:proofErr w:type="gramEnd"/>
    </w:p>
    <w:p w14:paraId="0910821E" w14:textId="77777777" w:rsidR="00076BDD" w:rsidRPr="002937EF" w:rsidRDefault="00076BDD" w:rsidP="001F6136">
      <w:r w:rsidRPr="002937EF">
        <w:t>5.1</w:t>
      </w:r>
      <w:r w:rsidRPr="002937EF">
        <w:tab/>
        <w:t xml:space="preserve">La progression de la mise en œuvre des projets financés par le FDTIC sera analysée et mise à jour à intervalles réguliers à l'adresse </w:t>
      </w:r>
      <w:hyperlink r:id="rId21" w:history="1">
        <w:r w:rsidRPr="002937EF">
          <w:rPr>
            <w:rStyle w:val="Hyperlink"/>
          </w:rPr>
          <w:t>https://www.itu.int/en/ITU-D/Projects/Pages/ICT-DF.aspx</w:t>
        </w:r>
      </w:hyperlink>
      <w:r w:rsidRPr="002937EF">
        <w:t>.</w:t>
      </w:r>
    </w:p>
    <w:p w14:paraId="595C60D6" w14:textId="77777777" w:rsidR="00076BDD" w:rsidRPr="002937EF" w:rsidRDefault="00076BDD" w:rsidP="001F6136">
      <w:r w:rsidRPr="002937EF">
        <w:t>5.2</w:t>
      </w:r>
      <w:r w:rsidRPr="002937EF">
        <w:tab/>
        <w:t>Compte tenu du fait que le FDTIC est conçu pour répondre à une demande et pour fournir des capitaux de démarrage, la Commission de direction du FDTIC continuera à examiner les projets proposés à la lumière des règles et des critères tout en rentrant dans les limites du compte de capital du FDTIC, afin de soutenir le développement des télécommunications/TIC dans les États Membres de l'UIT et de contribuer à la réalisation des Objectifs de développement durable.</w:t>
      </w:r>
    </w:p>
    <w:p w14:paraId="20ACD117" w14:textId="77777777" w:rsidR="00076BDD" w:rsidRPr="002937EF" w:rsidRDefault="00076BDD" w:rsidP="001F6136">
      <w:r w:rsidRPr="002937EF">
        <w:t>5.3</w:t>
      </w:r>
      <w:r w:rsidRPr="002937EF">
        <w:tab/>
        <w:t>La Commission de direction du FDTIC doit tenir dûment compte des dispositions pertinentes de la Résolution 11 (Rév. Dubaï, 2018) de la Conférence de plénipotentiaires dont il est fait mention au paragraphe 4.3 ci-avant, avant d'envisager le financement de nouveaux projets par le FDTIC.</w:t>
      </w:r>
    </w:p>
    <w:p w14:paraId="20DE1A40" w14:textId="43F619DD" w:rsidR="00076BDD" w:rsidRPr="002937EF" w:rsidRDefault="00076BDD" w:rsidP="001F6136">
      <w:r w:rsidRPr="002937EF">
        <w:t>5.4</w:t>
      </w:r>
      <w:r w:rsidRPr="002937EF">
        <w:tab/>
        <w:t xml:space="preserve">Le Conseil est invité à </w:t>
      </w:r>
      <w:r w:rsidRPr="002937EF">
        <w:rPr>
          <w:b/>
          <w:bCs/>
        </w:rPr>
        <w:t>prendre note du présent rapport et à formuler les avis qu'il jugera utiles</w:t>
      </w:r>
      <w:r w:rsidRPr="002937EF">
        <w:t>.</w:t>
      </w:r>
    </w:p>
    <w:p w14:paraId="2F2746FF" w14:textId="7F0DF093" w:rsidR="00076BDD" w:rsidRPr="002937EF" w:rsidRDefault="00076BDD" w:rsidP="007A24F1">
      <w:pPr>
        <w:pStyle w:val="AnnexNo"/>
        <w:rPr>
          <w:b/>
        </w:rPr>
      </w:pPr>
      <w:r w:rsidRPr="002937EF">
        <w:lastRenderedPageBreak/>
        <w:t>ANNEX</w:t>
      </w:r>
      <w:r w:rsidR="00C41251" w:rsidRPr="002937EF">
        <w:t>E</w:t>
      </w:r>
      <w:r w:rsidRPr="002937EF">
        <w:t xml:space="preserve"> 1</w:t>
      </w:r>
    </w:p>
    <w:p w14:paraId="10DB7E1B" w14:textId="113FBE25" w:rsidR="00076BDD" w:rsidRPr="002937EF" w:rsidRDefault="00ED48ED" w:rsidP="007A24F1">
      <w:pPr>
        <w:pStyle w:val="Annextitle"/>
      </w:pPr>
      <w:r w:rsidRPr="002937EF">
        <w:t>Projets en cours financés par le FDTIC au</w:t>
      </w:r>
      <w:r w:rsidR="00076BDD" w:rsidRPr="002937EF">
        <w:t xml:space="preserve"> </w:t>
      </w:r>
      <w:r w:rsidR="00E6429A" w:rsidRPr="002937EF">
        <w:t>4ème trimestre</w:t>
      </w:r>
      <w:r w:rsidR="00076BDD" w:rsidRPr="002937EF">
        <w:t xml:space="preserve"> </w:t>
      </w:r>
      <w:r w:rsidR="00E6429A" w:rsidRPr="002937EF">
        <w:t xml:space="preserve">de </w:t>
      </w:r>
      <w:r w:rsidR="00076BDD" w:rsidRPr="002937EF">
        <w:t>2020</w:t>
      </w:r>
    </w:p>
    <w:tbl>
      <w:tblPr>
        <w:tblStyle w:val="TableGrid"/>
        <w:tblW w:w="10840" w:type="dxa"/>
        <w:jc w:val="center"/>
        <w:tblLayout w:type="fixed"/>
        <w:tblCellMar>
          <w:left w:w="28" w:type="dxa"/>
          <w:right w:w="28" w:type="dxa"/>
        </w:tblCellMar>
        <w:tblLook w:val="04A0" w:firstRow="1" w:lastRow="0" w:firstColumn="1" w:lastColumn="0" w:noHBand="0" w:noVBand="1"/>
      </w:tblPr>
      <w:tblGrid>
        <w:gridCol w:w="1045"/>
        <w:gridCol w:w="1652"/>
        <w:gridCol w:w="850"/>
        <w:gridCol w:w="851"/>
        <w:gridCol w:w="1165"/>
        <w:gridCol w:w="961"/>
        <w:gridCol w:w="1236"/>
        <w:gridCol w:w="1741"/>
        <w:gridCol w:w="1339"/>
      </w:tblGrid>
      <w:tr w:rsidR="00076BDD" w:rsidRPr="002937EF" w14:paraId="3E329258" w14:textId="77777777" w:rsidTr="00B45263">
        <w:trPr>
          <w:trHeight w:val="403"/>
          <w:tblHeader/>
          <w:jc w:val="center"/>
        </w:trPr>
        <w:tc>
          <w:tcPr>
            <w:tcW w:w="1045" w:type="dxa"/>
            <w:shd w:val="clear" w:color="auto" w:fill="D9D9D9" w:themeFill="background1" w:themeFillShade="D9"/>
            <w:tcMar>
              <w:left w:w="85" w:type="dxa"/>
              <w:right w:w="85" w:type="dxa"/>
            </w:tcMar>
          </w:tcPr>
          <w:p w14:paraId="3630DB36" w14:textId="6E04DE0F" w:rsidR="00076BDD" w:rsidRPr="002937EF" w:rsidRDefault="00D60C4B" w:rsidP="009E5A68">
            <w:pPr>
              <w:pStyle w:val="Tablehead"/>
              <w:spacing w:before="20" w:after="20" w:line="228" w:lineRule="auto"/>
              <w:rPr>
                <w:sz w:val="18"/>
                <w:szCs w:val="18"/>
              </w:rPr>
            </w:pPr>
            <w:r w:rsidRPr="002937EF">
              <w:rPr>
                <w:sz w:val="18"/>
                <w:szCs w:val="18"/>
              </w:rPr>
              <w:t>N° du projet</w:t>
            </w:r>
          </w:p>
        </w:tc>
        <w:tc>
          <w:tcPr>
            <w:tcW w:w="1652" w:type="dxa"/>
            <w:shd w:val="clear" w:color="auto" w:fill="D9D9D9" w:themeFill="background1" w:themeFillShade="D9"/>
            <w:tcMar>
              <w:left w:w="85" w:type="dxa"/>
              <w:right w:w="85" w:type="dxa"/>
            </w:tcMar>
          </w:tcPr>
          <w:p w14:paraId="0B5672F9" w14:textId="3E913294" w:rsidR="00076BDD" w:rsidRPr="002937EF" w:rsidRDefault="00D60C4B" w:rsidP="009E5A68">
            <w:pPr>
              <w:pStyle w:val="Tablehead"/>
              <w:spacing w:before="20" w:after="20" w:line="228" w:lineRule="auto"/>
              <w:rPr>
                <w:sz w:val="18"/>
                <w:szCs w:val="18"/>
              </w:rPr>
            </w:pPr>
            <w:r w:rsidRPr="002937EF">
              <w:rPr>
                <w:sz w:val="18"/>
                <w:szCs w:val="18"/>
              </w:rPr>
              <w:t>Titre</w:t>
            </w:r>
          </w:p>
        </w:tc>
        <w:tc>
          <w:tcPr>
            <w:tcW w:w="850" w:type="dxa"/>
            <w:shd w:val="clear" w:color="auto" w:fill="D9D9D9" w:themeFill="background1" w:themeFillShade="D9"/>
            <w:tcMar>
              <w:left w:w="85" w:type="dxa"/>
              <w:right w:w="85" w:type="dxa"/>
            </w:tcMar>
          </w:tcPr>
          <w:p w14:paraId="0E857175" w14:textId="7772BA6F" w:rsidR="00076BDD" w:rsidRPr="002937EF" w:rsidRDefault="00D60C4B" w:rsidP="009E5A68">
            <w:pPr>
              <w:pStyle w:val="Tablehead"/>
              <w:spacing w:before="20" w:after="20" w:line="228" w:lineRule="auto"/>
              <w:rPr>
                <w:sz w:val="18"/>
                <w:szCs w:val="18"/>
              </w:rPr>
            </w:pPr>
            <w:r w:rsidRPr="002937EF">
              <w:rPr>
                <w:sz w:val="18"/>
                <w:szCs w:val="18"/>
              </w:rPr>
              <w:t>Date de début</w:t>
            </w:r>
          </w:p>
        </w:tc>
        <w:tc>
          <w:tcPr>
            <w:tcW w:w="851" w:type="dxa"/>
            <w:shd w:val="clear" w:color="auto" w:fill="D9D9D9" w:themeFill="background1" w:themeFillShade="D9"/>
            <w:tcMar>
              <w:left w:w="85" w:type="dxa"/>
              <w:right w:w="85" w:type="dxa"/>
            </w:tcMar>
          </w:tcPr>
          <w:p w14:paraId="305E556B" w14:textId="7A674AD4" w:rsidR="00076BDD" w:rsidRPr="002937EF" w:rsidRDefault="00D60C4B" w:rsidP="009E5A68">
            <w:pPr>
              <w:pStyle w:val="Tablehead"/>
              <w:spacing w:before="20" w:after="20" w:line="228" w:lineRule="auto"/>
              <w:rPr>
                <w:sz w:val="18"/>
                <w:szCs w:val="18"/>
              </w:rPr>
            </w:pPr>
            <w:r w:rsidRPr="002937EF">
              <w:rPr>
                <w:sz w:val="18"/>
                <w:szCs w:val="18"/>
              </w:rPr>
              <w:t>Date de fin</w:t>
            </w:r>
          </w:p>
        </w:tc>
        <w:tc>
          <w:tcPr>
            <w:tcW w:w="1165" w:type="dxa"/>
            <w:shd w:val="clear" w:color="auto" w:fill="D9D9D9" w:themeFill="background1" w:themeFillShade="D9"/>
            <w:tcMar>
              <w:left w:w="85" w:type="dxa"/>
              <w:right w:w="85" w:type="dxa"/>
            </w:tcMar>
          </w:tcPr>
          <w:p w14:paraId="2DFFC164" w14:textId="73877A6E" w:rsidR="00076BDD" w:rsidRPr="002937EF" w:rsidRDefault="00D60C4B" w:rsidP="009E5A68">
            <w:pPr>
              <w:pStyle w:val="Tablehead"/>
              <w:spacing w:before="20" w:after="20" w:line="228" w:lineRule="auto"/>
              <w:rPr>
                <w:sz w:val="18"/>
                <w:szCs w:val="18"/>
              </w:rPr>
            </w:pPr>
            <w:r w:rsidRPr="002937EF">
              <w:rPr>
                <w:sz w:val="18"/>
                <w:szCs w:val="18"/>
              </w:rPr>
              <w:t>Région</w:t>
            </w:r>
          </w:p>
        </w:tc>
        <w:tc>
          <w:tcPr>
            <w:tcW w:w="961" w:type="dxa"/>
            <w:shd w:val="clear" w:color="auto" w:fill="D9D9D9" w:themeFill="background1" w:themeFillShade="D9"/>
            <w:tcMar>
              <w:left w:w="85" w:type="dxa"/>
              <w:right w:w="85" w:type="dxa"/>
            </w:tcMar>
          </w:tcPr>
          <w:p w14:paraId="47AAD2CC" w14:textId="1AB112E4" w:rsidR="00076BDD" w:rsidRPr="002937EF" w:rsidRDefault="00D60C4B" w:rsidP="009E5A68">
            <w:pPr>
              <w:pStyle w:val="Tablehead"/>
              <w:spacing w:before="20" w:after="20" w:line="228" w:lineRule="auto"/>
              <w:rPr>
                <w:sz w:val="18"/>
                <w:szCs w:val="18"/>
              </w:rPr>
            </w:pPr>
            <w:r w:rsidRPr="002937EF">
              <w:rPr>
                <w:sz w:val="18"/>
                <w:szCs w:val="18"/>
              </w:rPr>
              <w:t>Date de signature</w:t>
            </w:r>
          </w:p>
        </w:tc>
        <w:tc>
          <w:tcPr>
            <w:tcW w:w="1236" w:type="dxa"/>
            <w:shd w:val="clear" w:color="auto" w:fill="D9D9D9" w:themeFill="background1" w:themeFillShade="D9"/>
            <w:tcMar>
              <w:left w:w="85" w:type="dxa"/>
              <w:right w:w="85" w:type="dxa"/>
            </w:tcMar>
          </w:tcPr>
          <w:p w14:paraId="7F65C228" w14:textId="69C88745" w:rsidR="00076BDD" w:rsidRPr="002937EF" w:rsidRDefault="00D60C4B" w:rsidP="009E5A68">
            <w:pPr>
              <w:pStyle w:val="Tablehead"/>
              <w:spacing w:before="20" w:after="20" w:line="228" w:lineRule="auto"/>
              <w:rPr>
                <w:sz w:val="18"/>
                <w:szCs w:val="18"/>
              </w:rPr>
            </w:pPr>
            <w:r w:rsidRPr="002937EF">
              <w:rPr>
                <w:sz w:val="18"/>
                <w:szCs w:val="18"/>
              </w:rPr>
              <w:t>Partenaire</w:t>
            </w:r>
            <w:r w:rsidR="00076BDD" w:rsidRPr="002937EF">
              <w:rPr>
                <w:sz w:val="18"/>
                <w:szCs w:val="18"/>
              </w:rPr>
              <w:t>(s)</w:t>
            </w:r>
          </w:p>
        </w:tc>
        <w:tc>
          <w:tcPr>
            <w:tcW w:w="1741" w:type="dxa"/>
            <w:shd w:val="clear" w:color="auto" w:fill="D9D9D9" w:themeFill="background1" w:themeFillShade="D9"/>
            <w:tcMar>
              <w:left w:w="85" w:type="dxa"/>
              <w:right w:w="85" w:type="dxa"/>
            </w:tcMar>
          </w:tcPr>
          <w:p w14:paraId="7DD687DE" w14:textId="4EFF7ED0" w:rsidR="00076BDD" w:rsidRPr="002937EF" w:rsidRDefault="00D60C4B" w:rsidP="009E5A68">
            <w:pPr>
              <w:pStyle w:val="Tablehead"/>
              <w:spacing w:before="20" w:after="20" w:line="228" w:lineRule="auto"/>
              <w:rPr>
                <w:sz w:val="18"/>
                <w:szCs w:val="18"/>
              </w:rPr>
            </w:pPr>
            <w:r w:rsidRPr="002937EF">
              <w:rPr>
                <w:sz w:val="18"/>
                <w:szCs w:val="18"/>
              </w:rPr>
              <w:t>Budget signé</w:t>
            </w:r>
          </w:p>
        </w:tc>
        <w:tc>
          <w:tcPr>
            <w:tcW w:w="1339" w:type="dxa"/>
            <w:shd w:val="clear" w:color="auto" w:fill="D9D9D9" w:themeFill="background1" w:themeFillShade="D9"/>
            <w:tcMar>
              <w:left w:w="85" w:type="dxa"/>
              <w:right w:w="85" w:type="dxa"/>
            </w:tcMar>
          </w:tcPr>
          <w:p w14:paraId="2A273BEC" w14:textId="33344DC6" w:rsidR="00076BDD" w:rsidRPr="002937EF" w:rsidRDefault="00214B4C" w:rsidP="009E5A68">
            <w:pPr>
              <w:pStyle w:val="Tablehead"/>
              <w:spacing w:before="20" w:after="20" w:line="228" w:lineRule="auto"/>
              <w:rPr>
                <w:sz w:val="18"/>
                <w:szCs w:val="18"/>
              </w:rPr>
            </w:pPr>
            <w:r w:rsidRPr="002937EF">
              <w:rPr>
                <w:sz w:val="18"/>
                <w:szCs w:val="18"/>
              </w:rPr>
              <w:t>Budget restant</w:t>
            </w:r>
            <w:r w:rsidR="00076BDD" w:rsidRPr="002937EF">
              <w:rPr>
                <w:sz w:val="18"/>
                <w:szCs w:val="18"/>
              </w:rPr>
              <w:t xml:space="preserve"> </w:t>
            </w:r>
            <w:r w:rsidR="00076BDD" w:rsidRPr="002937EF">
              <w:rPr>
                <w:sz w:val="18"/>
                <w:szCs w:val="18"/>
              </w:rPr>
              <w:br/>
              <w:t>(</w:t>
            </w:r>
            <w:r w:rsidRPr="002937EF">
              <w:rPr>
                <w:sz w:val="18"/>
                <w:szCs w:val="18"/>
              </w:rPr>
              <w:t xml:space="preserve">après </w:t>
            </w:r>
            <w:r w:rsidR="0065559B" w:rsidRPr="002937EF">
              <w:rPr>
                <w:sz w:val="18"/>
                <w:szCs w:val="18"/>
              </w:rPr>
              <w:t xml:space="preserve">déduction des </w:t>
            </w:r>
            <w:r w:rsidRPr="002937EF">
              <w:rPr>
                <w:sz w:val="18"/>
                <w:szCs w:val="18"/>
              </w:rPr>
              <w:t>engagements de dépenses</w:t>
            </w:r>
            <w:r w:rsidR="00076BDD" w:rsidRPr="002937EF">
              <w:rPr>
                <w:sz w:val="18"/>
                <w:szCs w:val="18"/>
              </w:rPr>
              <w:t>)</w:t>
            </w:r>
          </w:p>
        </w:tc>
      </w:tr>
      <w:tr w:rsidR="00076BDD" w:rsidRPr="002937EF" w14:paraId="07475BF0" w14:textId="77777777" w:rsidTr="009E5A68">
        <w:trPr>
          <w:trHeight w:val="403"/>
          <w:jc w:val="center"/>
        </w:trPr>
        <w:tc>
          <w:tcPr>
            <w:tcW w:w="1045" w:type="dxa"/>
            <w:tcMar>
              <w:left w:w="85" w:type="dxa"/>
              <w:right w:w="85" w:type="dxa"/>
            </w:tcMar>
          </w:tcPr>
          <w:p w14:paraId="352509FE" w14:textId="77777777" w:rsidR="00076BDD" w:rsidRPr="002937EF" w:rsidRDefault="00076BDD" w:rsidP="009E5A68">
            <w:pPr>
              <w:pStyle w:val="Tabletext"/>
              <w:spacing w:before="20" w:after="20" w:line="228" w:lineRule="auto"/>
              <w:ind w:left="-65"/>
              <w:jc w:val="center"/>
              <w:rPr>
                <w:sz w:val="18"/>
                <w:szCs w:val="18"/>
              </w:rPr>
            </w:pPr>
            <w:r w:rsidRPr="002937EF">
              <w:rPr>
                <w:sz w:val="18"/>
                <w:szCs w:val="18"/>
              </w:rPr>
              <w:t>7CUB18004</w:t>
            </w:r>
          </w:p>
        </w:tc>
        <w:tc>
          <w:tcPr>
            <w:tcW w:w="1652" w:type="dxa"/>
            <w:tcMar>
              <w:left w:w="85" w:type="dxa"/>
              <w:right w:w="85" w:type="dxa"/>
            </w:tcMar>
          </w:tcPr>
          <w:p w14:paraId="68FD2ED0" w14:textId="69E80346" w:rsidR="00076BDD" w:rsidRPr="002937EF" w:rsidRDefault="00C41251" w:rsidP="009E5A68">
            <w:pPr>
              <w:pStyle w:val="Tabletext"/>
              <w:spacing w:before="20" w:after="20" w:line="228" w:lineRule="auto"/>
              <w:jc w:val="center"/>
              <w:rPr>
                <w:sz w:val="18"/>
                <w:szCs w:val="18"/>
              </w:rPr>
            </w:pPr>
            <w:r w:rsidRPr="002937EF">
              <w:rPr>
                <w:sz w:val="18"/>
                <w:szCs w:val="18"/>
                <w:lang w:eastAsia="zh-CN"/>
              </w:rPr>
              <w:t>Contrôle du spectre radioélectrique</w:t>
            </w:r>
          </w:p>
        </w:tc>
        <w:tc>
          <w:tcPr>
            <w:tcW w:w="850" w:type="dxa"/>
            <w:tcMar>
              <w:left w:w="85" w:type="dxa"/>
              <w:right w:w="85" w:type="dxa"/>
            </w:tcMar>
          </w:tcPr>
          <w:p w14:paraId="53F9BDB9" w14:textId="35EBB026" w:rsidR="00076BDD" w:rsidRPr="002937EF" w:rsidRDefault="009A4503" w:rsidP="009E5A68">
            <w:pPr>
              <w:pStyle w:val="Tabletext"/>
              <w:spacing w:before="20" w:after="20" w:line="228" w:lineRule="auto"/>
              <w:jc w:val="center"/>
              <w:rPr>
                <w:sz w:val="18"/>
                <w:szCs w:val="18"/>
              </w:rPr>
            </w:pPr>
            <w:r w:rsidRPr="002937EF">
              <w:rPr>
                <w:sz w:val="18"/>
                <w:szCs w:val="18"/>
              </w:rPr>
              <w:t>1er juin</w:t>
            </w:r>
            <w:r w:rsidR="00076BDD" w:rsidRPr="002937EF">
              <w:rPr>
                <w:sz w:val="18"/>
                <w:szCs w:val="18"/>
              </w:rPr>
              <w:t xml:space="preserve"> 2018</w:t>
            </w:r>
          </w:p>
        </w:tc>
        <w:tc>
          <w:tcPr>
            <w:tcW w:w="851" w:type="dxa"/>
            <w:tcMar>
              <w:left w:w="85" w:type="dxa"/>
              <w:right w:w="85" w:type="dxa"/>
            </w:tcMar>
          </w:tcPr>
          <w:p w14:paraId="2EF04C15" w14:textId="4E41306D" w:rsidR="00076BDD" w:rsidRPr="002937EF" w:rsidRDefault="00076BDD" w:rsidP="009E5A68">
            <w:pPr>
              <w:pStyle w:val="Tabletext"/>
              <w:spacing w:before="20" w:after="20" w:line="228" w:lineRule="auto"/>
              <w:jc w:val="center"/>
              <w:rPr>
                <w:sz w:val="18"/>
                <w:szCs w:val="18"/>
              </w:rPr>
            </w:pPr>
            <w:r w:rsidRPr="002937EF">
              <w:rPr>
                <w:sz w:val="18"/>
                <w:szCs w:val="18"/>
              </w:rPr>
              <w:t xml:space="preserve">28 </w:t>
            </w:r>
            <w:r w:rsidR="009A4503" w:rsidRPr="002937EF">
              <w:rPr>
                <w:sz w:val="18"/>
                <w:szCs w:val="18"/>
              </w:rPr>
              <w:t>fév.</w:t>
            </w:r>
            <w:r w:rsidRPr="002937EF">
              <w:rPr>
                <w:sz w:val="18"/>
                <w:szCs w:val="18"/>
              </w:rPr>
              <w:t xml:space="preserve"> 2021</w:t>
            </w:r>
          </w:p>
        </w:tc>
        <w:tc>
          <w:tcPr>
            <w:tcW w:w="1165" w:type="dxa"/>
            <w:tcMar>
              <w:left w:w="85" w:type="dxa"/>
              <w:right w:w="85" w:type="dxa"/>
            </w:tcMar>
          </w:tcPr>
          <w:p w14:paraId="53A38E5B" w14:textId="05DC21AD" w:rsidR="00076BDD" w:rsidRPr="002937EF" w:rsidRDefault="00AF1FDD" w:rsidP="009E5A68">
            <w:pPr>
              <w:pStyle w:val="Tabletext"/>
              <w:spacing w:before="20" w:after="20" w:line="228" w:lineRule="auto"/>
              <w:jc w:val="center"/>
              <w:rPr>
                <w:sz w:val="18"/>
                <w:szCs w:val="18"/>
              </w:rPr>
            </w:pPr>
            <w:r w:rsidRPr="002937EF">
              <w:rPr>
                <w:sz w:val="18"/>
                <w:szCs w:val="18"/>
              </w:rPr>
              <w:t>Amériques</w:t>
            </w:r>
          </w:p>
        </w:tc>
        <w:tc>
          <w:tcPr>
            <w:tcW w:w="961" w:type="dxa"/>
            <w:tcMar>
              <w:left w:w="85" w:type="dxa"/>
              <w:right w:w="85" w:type="dxa"/>
            </w:tcMar>
          </w:tcPr>
          <w:p w14:paraId="449912E6" w14:textId="5EF3246B" w:rsidR="00076BDD" w:rsidRPr="002937EF" w:rsidRDefault="00076BDD" w:rsidP="009E5A68">
            <w:pPr>
              <w:pStyle w:val="Tabletext"/>
              <w:spacing w:before="20" w:after="20" w:line="228" w:lineRule="auto"/>
              <w:jc w:val="center"/>
              <w:rPr>
                <w:sz w:val="18"/>
                <w:szCs w:val="18"/>
              </w:rPr>
            </w:pPr>
            <w:r w:rsidRPr="002937EF">
              <w:rPr>
                <w:sz w:val="18"/>
                <w:szCs w:val="18"/>
              </w:rPr>
              <w:t xml:space="preserve">28 </w:t>
            </w:r>
            <w:r w:rsidR="009A4503" w:rsidRPr="002937EF">
              <w:rPr>
                <w:sz w:val="18"/>
                <w:szCs w:val="18"/>
              </w:rPr>
              <w:t>mai</w:t>
            </w:r>
            <w:r w:rsidRPr="002937EF">
              <w:rPr>
                <w:sz w:val="18"/>
                <w:szCs w:val="18"/>
              </w:rPr>
              <w:t xml:space="preserve"> 2018</w:t>
            </w:r>
          </w:p>
        </w:tc>
        <w:tc>
          <w:tcPr>
            <w:tcW w:w="1236" w:type="dxa"/>
            <w:tcMar>
              <w:left w:w="85" w:type="dxa"/>
              <w:right w:w="85" w:type="dxa"/>
            </w:tcMar>
          </w:tcPr>
          <w:p w14:paraId="3F76D33A" w14:textId="77777777" w:rsidR="00076BDD" w:rsidRPr="002937EF" w:rsidRDefault="00076BDD" w:rsidP="009E5A68">
            <w:pPr>
              <w:pStyle w:val="Tabletext"/>
              <w:spacing w:before="20" w:after="20" w:line="228" w:lineRule="auto"/>
              <w:jc w:val="center"/>
              <w:rPr>
                <w:sz w:val="18"/>
                <w:szCs w:val="18"/>
              </w:rPr>
            </w:pPr>
            <w:r w:rsidRPr="002937EF">
              <w:rPr>
                <w:sz w:val="18"/>
                <w:szCs w:val="18"/>
              </w:rPr>
              <w:t>Cuba</w:t>
            </w:r>
          </w:p>
        </w:tc>
        <w:tc>
          <w:tcPr>
            <w:tcW w:w="1741" w:type="dxa"/>
            <w:tcMar>
              <w:left w:w="85" w:type="dxa"/>
              <w:right w:w="85" w:type="dxa"/>
            </w:tcMar>
          </w:tcPr>
          <w:p w14:paraId="4C923176" w14:textId="295F0956" w:rsidR="00076BDD" w:rsidRPr="002937EF" w:rsidRDefault="00C803A2" w:rsidP="009E5A68">
            <w:pPr>
              <w:pStyle w:val="Tabletext"/>
              <w:spacing w:before="20" w:after="20" w:line="228" w:lineRule="auto"/>
              <w:jc w:val="center"/>
              <w:rPr>
                <w:sz w:val="18"/>
                <w:szCs w:val="18"/>
              </w:rPr>
            </w:pPr>
            <w:r w:rsidRPr="002937EF">
              <w:rPr>
                <w:sz w:val="18"/>
                <w:szCs w:val="18"/>
              </w:rPr>
              <w:t xml:space="preserve">Ministère des communications de </w:t>
            </w:r>
            <w:proofErr w:type="gramStart"/>
            <w:r w:rsidRPr="002937EF">
              <w:rPr>
                <w:sz w:val="18"/>
                <w:szCs w:val="18"/>
              </w:rPr>
              <w:t>Cuba:</w:t>
            </w:r>
            <w:proofErr w:type="gramEnd"/>
            <w:r w:rsidRPr="002937EF">
              <w:rPr>
                <w:sz w:val="18"/>
                <w:szCs w:val="18"/>
              </w:rPr>
              <w:t xml:space="preserve"> </w:t>
            </w:r>
            <w:r w:rsidRPr="002937EF">
              <w:rPr>
                <w:sz w:val="18"/>
                <w:szCs w:val="18"/>
              </w:rPr>
              <w:br/>
            </w:r>
            <w:r w:rsidR="00A573C3" w:rsidRPr="002937EF">
              <w:rPr>
                <w:sz w:val="18"/>
                <w:szCs w:val="18"/>
              </w:rPr>
              <w:t>132 </w:t>
            </w:r>
            <w:r w:rsidR="00076BDD" w:rsidRPr="002937EF">
              <w:rPr>
                <w:sz w:val="18"/>
                <w:szCs w:val="18"/>
              </w:rPr>
              <w:t>320</w:t>
            </w:r>
            <w:r w:rsidRPr="002937EF">
              <w:rPr>
                <w:sz w:val="18"/>
                <w:szCs w:val="18"/>
              </w:rPr>
              <w:t xml:space="preserve"> USD</w:t>
            </w:r>
            <w:r w:rsidR="00076BDD" w:rsidRPr="002937EF">
              <w:rPr>
                <w:sz w:val="18"/>
                <w:szCs w:val="18"/>
              </w:rPr>
              <w:br/>
            </w:r>
            <w:r w:rsidR="00A573C3" w:rsidRPr="002937EF">
              <w:rPr>
                <w:sz w:val="18"/>
                <w:szCs w:val="18"/>
              </w:rPr>
              <w:t>FDTIC: 123 </w:t>
            </w:r>
            <w:r w:rsidR="00076BDD" w:rsidRPr="002937EF">
              <w:rPr>
                <w:sz w:val="18"/>
                <w:szCs w:val="18"/>
              </w:rPr>
              <w:t>087</w:t>
            </w:r>
            <w:r w:rsidR="00A573C3" w:rsidRPr="002937EF">
              <w:rPr>
                <w:sz w:val="18"/>
                <w:szCs w:val="18"/>
              </w:rPr>
              <w:t xml:space="preserve"> USD</w:t>
            </w:r>
          </w:p>
          <w:p w14:paraId="1F804A18" w14:textId="2C89BB37" w:rsidR="00076BDD" w:rsidRPr="002937EF" w:rsidRDefault="00A573C3" w:rsidP="009E5A68">
            <w:pPr>
              <w:pStyle w:val="Tabletext"/>
              <w:spacing w:before="20" w:after="20" w:line="228" w:lineRule="auto"/>
              <w:jc w:val="center"/>
              <w:rPr>
                <w:sz w:val="18"/>
                <w:szCs w:val="18"/>
              </w:rPr>
            </w:pPr>
            <w:r w:rsidRPr="002937EF">
              <w:rPr>
                <w:sz w:val="18"/>
                <w:szCs w:val="18"/>
              </w:rPr>
              <w:t xml:space="preserve">Plan opérationnel de </w:t>
            </w:r>
            <w:proofErr w:type="gramStart"/>
            <w:r w:rsidRPr="002937EF">
              <w:rPr>
                <w:sz w:val="18"/>
                <w:szCs w:val="18"/>
              </w:rPr>
              <w:t>l'UIT</w:t>
            </w:r>
            <w:r w:rsidR="00076BDD" w:rsidRPr="002937EF">
              <w:rPr>
                <w:sz w:val="18"/>
                <w:szCs w:val="18"/>
              </w:rPr>
              <w:t>:</w:t>
            </w:r>
            <w:proofErr w:type="gramEnd"/>
            <w:r w:rsidR="00076BDD" w:rsidRPr="002937EF">
              <w:rPr>
                <w:sz w:val="18"/>
                <w:szCs w:val="18"/>
              </w:rPr>
              <w:t xml:space="preserve"> </w:t>
            </w:r>
            <w:r w:rsidRPr="002937EF">
              <w:rPr>
                <w:sz w:val="18"/>
                <w:szCs w:val="18"/>
              </w:rPr>
              <w:t>120</w:t>
            </w:r>
            <w:r w:rsidR="007A24F1" w:rsidRPr="002937EF">
              <w:rPr>
                <w:sz w:val="18"/>
                <w:szCs w:val="18"/>
              </w:rPr>
              <w:t> </w:t>
            </w:r>
            <w:r w:rsidR="00076BDD" w:rsidRPr="002937EF">
              <w:rPr>
                <w:sz w:val="18"/>
                <w:szCs w:val="18"/>
              </w:rPr>
              <w:t>087</w:t>
            </w:r>
            <w:r w:rsidR="007A24F1" w:rsidRPr="002937EF">
              <w:rPr>
                <w:sz w:val="18"/>
                <w:szCs w:val="18"/>
              </w:rPr>
              <w:t> </w:t>
            </w:r>
            <w:r w:rsidRPr="002937EF">
              <w:rPr>
                <w:sz w:val="18"/>
                <w:szCs w:val="18"/>
              </w:rPr>
              <w:t>USD</w:t>
            </w:r>
          </w:p>
        </w:tc>
        <w:tc>
          <w:tcPr>
            <w:tcW w:w="1339" w:type="dxa"/>
            <w:tcMar>
              <w:left w:w="85" w:type="dxa"/>
              <w:right w:w="85" w:type="dxa"/>
            </w:tcMar>
          </w:tcPr>
          <w:p w14:paraId="17A74679" w14:textId="76111D10" w:rsidR="00076BDD" w:rsidRPr="002937EF" w:rsidRDefault="00076BDD" w:rsidP="009E5A68">
            <w:pPr>
              <w:pStyle w:val="Tabletext"/>
              <w:spacing w:before="20" w:after="20" w:line="228" w:lineRule="auto"/>
              <w:jc w:val="center"/>
              <w:rPr>
                <w:sz w:val="18"/>
                <w:szCs w:val="18"/>
              </w:rPr>
            </w:pPr>
            <w:r w:rsidRPr="002937EF">
              <w:rPr>
                <w:sz w:val="18"/>
                <w:szCs w:val="18"/>
              </w:rPr>
              <w:t>0</w:t>
            </w:r>
            <w:r w:rsidR="00214B4C" w:rsidRPr="002937EF">
              <w:rPr>
                <w:sz w:val="18"/>
                <w:szCs w:val="18"/>
              </w:rPr>
              <w:t xml:space="preserve"> USD</w:t>
            </w:r>
          </w:p>
        </w:tc>
      </w:tr>
      <w:tr w:rsidR="00076BDD" w:rsidRPr="002937EF" w14:paraId="458AA25A" w14:textId="77777777" w:rsidTr="009E5A68">
        <w:trPr>
          <w:trHeight w:val="403"/>
          <w:jc w:val="center"/>
        </w:trPr>
        <w:tc>
          <w:tcPr>
            <w:tcW w:w="1045" w:type="dxa"/>
            <w:tcMar>
              <w:left w:w="85" w:type="dxa"/>
              <w:right w:w="85" w:type="dxa"/>
            </w:tcMar>
          </w:tcPr>
          <w:p w14:paraId="579EC0B5" w14:textId="77777777" w:rsidR="00076BDD" w:rsidRPr="002937EF" w:rsidRDefault="00076BDD" w:rsidP="009E5A68">
            <w:pPr>
              <w:pStyle w:val="Tabletext"/>
              <w:spacing w:before="20" w:after="20" w:line="228" w:lineRule="auto"/>
              <w:ind w:left="-65"/>
              <w:jc w:val="center"/>
              <w:rPr>
                <w:sz w:val="18"/>
                <w:szCs w:val="18"/>
              </w:rPr>
            </w:pPr>
            <w:r w:rsidRPr="002937EF">
              <w:rPr>
                <w:sz w:val="18"/>
                <w:szCs w:val="18"/>
              </w:rPr>
              <w:t>7GLO03043</w:t>
            </w:r>
          </w:p>
        </w:tc>
        <w:tc>
          <w:tcPr>
            <w:tcW w:w="1652" w:type="dxa"/>
            <w:tcMar>
              <w:left w:w="85" w:type="dxa"/>
              <w:right w:w="85" w:type="dxa"/>
            </w:tcMar>
          </w:tcPr>
          <w:p w14:paraId="0053B447" w14:textId="34ED7248" w:rsidR="00076BDD" w:rsidRPr="002937EF" w:rsidRDefault="00611E59" w:rsidP="009E5A68">
            <w:pPr>
              <w:pStyle w:val="Tabletext"/>
              <w:spacing w:before="20" w:after="20" w:line="228" w:lineRule="auto"/>
              <w:jc w:val="center"/>
              <w:rPr>
                <w:sz w:val="18"/>
                <w:szCs w:val="18"/>
              </w:rPr>
            </w:pPr>
            <w:r w:rsidRPr="002937EF">
              <w:rPr>
                <w:sz w:val="18"/>
                <w:szCs w:val="18"/>
                <w:lang w:eastAsia="zh-CN"/>
              </w:rPr>
              <w:t xml:space="preserve">Développement des </w:t>
            </w:r>
            <w:r w:rsidRPr="002937EF">
              <w:rPr>
                <w:spacing w:val="-1"/>
                <w:sz w:val="18"/>
                <w:szCs w:val="18"/>
                <w:lang w:eastAsia="zh-CN"/>
              </w:rPr>
              <w:t>télécommunications</w:t>
            </w:r>
            <w:r w:rsidRPr="002937EF">
              <w:rPr>
                <w:sz w:val="18"/>
                <w:szCs w:val="18"/>
                <w:lang w:eastAsia="zh-CN"/>
              </w:rPr>
              <w:t xml:space="preserve"> rurales dans les pays les moins avancés</w:t>
            </w:r>
          </w:p>
        </w:tc>
        <w:tc>
          <w:tcPr>
            <w:tcW w:w="850" w:type="dxa"/>
            <w:tcMar>
              <w:left w:w="85" w:type="dxa"/>
              <w:right w:w="85" w:type="dxa"/>
            </w:tcMar>
          </w:tcPr>
          <w:p w14:paraId="2637B713" w14:textId="6A2CBC46" w:rsidR="00076BDD" w:rsidRPr="002937EF" w:rsidRDefault="009A4503" w:rsidP="009E5A68">
            <w:pPr>
              <w:pStyle w:val="Tabletext"/>
              <w:spacing w:before="20" w:after="20" w:line="228" w:lineRule="auto"/>
              <w:jc w:val="center"/>
              <w:rPr>
                <w:sz w:val="18"/>
                <w:szCs w:val="18"/>
              </w:rPr>
            </w:pPr>
            <w:r w:rsidRPr="002937EF">
              <w:rPr>
                <w:sz w:val="18"/>
                <w:szCs w:val="18"/>
              </w:rPr>
              <w:t>1er j</w:t>
            </w:r>
            <w:r w:rsidR="00076BDD" w:rsidRPr="002937EF">
              <w:rPr>
                <w:sz w:val="18"/>
                <w:szCs w:val="18"/>
              </w:rPr>
              <w:t>an. 2003</w:t>
            </w:r>
          </w:p>
        </w:tc>
        <w:tc>
          <w:tcPr>
            <w:tcW w:w="851" w:type="dxa"/>
            <w:tcMar>
              <w:left w:w="85" w:type="dxa"/>
              <w:right w:w="85" w:type="dxa"/>
            </w:tcMar>
          </w:tcPr>
          <w:p w14:paraId="42771EFB" w14:textId="0259D514" w:rsidR="00076BDD" w:rsidRPr="002937EF" w:rsidRDefault="00076BDD" w:rsidP="009E5A68">
            <w:pPr>
              <w:pStyle w:val="Tabletext"/>
              <w:spacing w:before="20" w:after="20" w:line="228" w:lineRule="auto"/>
              <w:jc w:val="center"/>
              <w:rPr>
                <w:sz w:val="18"/>
                <w:szCs w:val="18"/>
              </w:rPr>
            </w:pPr>
            <w:r w:rsidRPr="002937EF">
              <w:rPr>
                <w:sz w:val="18"/>
                <w:szCs w:val="18"/>
              </w:rPr>
              <w:t xml:space="preserve">31 </w:t>
            </w:r>
            <w:r w:rsidR="009A4503" w:rsidRPr="002937EF">
              <w:rPr>
                <w:sz w:val="18"/>
                <w:szCs w:val="18"/>
              </w:rPr>
              <w:t>août</w:t>
            </w:r>
            <w:r w:rsidRPr="002937EF">
              <w:rPr>
                <w:sz w:val="18"/>
                <w:szCs w:val="18"/>
              </w:rPr>
              <w:t xml:space="preserve"> 2023</w:t>
            </w:r>
          </w:p>
        </w:tc>
        <w:tc>
          <w:tcPr>
            <w:tcW w:w="1165" w:type="dxa"/>
            <w:tcMar>
              <w:left w:w="85" w:type="dxa"/>
              <w:right w:w="85" w:type="dxa"/>
            </w:tcMar>
          </w:tcPr>
          <w:p w14:paraId="6EEC6B8E" w14:textId="439C9623" w:rsidR="00076BDD" w:rsidRPr="002937EF" w:rsidRDefault="00AF1FDD" w:rsidP="009E5A68">
            <w:pPr>
              <w:pStyle w:val="Tabletext"/>
              <w:spacing w:before="20" w:after="20" w:line="228" w:lineRule="auto"/>
              <w:jc w:val="center"/>
              <w:rPr>
                <w:sz w:val="18"/>
                <w:szCs w:val="18"/>
              </w:rPr>
            </w:pPr>
            <w:r w:rsidRPr="002937EF">
              <w:rPr>
                <w:sz w:val="18"/>
                <w:szCs w:val="18"/>
              </w:rPr>
              <w:t xml:space="preserve">Projet </w:t>
            </w:r>
            <w:r w:rsidR="00AB3455" w:rsidRPr="002937EF">
              <w:rPr>
                <w:sz w:val="18"/>
                <w:szCs w:val="18"/>
              </w:rPr>
              <w:t>multirégional</w:t>
            </w:r>
          </w:p>
        </w:tc>
        <w:tc>
          <w:tcPr>
            <w:tcW w:w="961" w:type="dxa"/>
            <w:tcMar>
              <w:left w:w="85" w:type="dxa"/>
              <w:right w:w="85" w:type="dxa"/>
            </w:tcMar>
          </w:tcPr>
          <w:p w14:paraId="7EE727C2" w14:textId="049B6CE9" w:rsidR="00076BDD" w:rsidRPr="002937EF" w:rsidRDefault="00076BDD" w:rsidP="009E5A68">
            <w:pPr>
              <w:pStyle w:val="Tabletext"/>
              <w:spacing w:before="20" w:after="20" w:line="228" w:lineRule="auto"/>
              <w:jc w:val="center"/>
              <w:rPr>
                <w:sz w:val="18"/>
                <w:szCs w:val="18"/>
              </w:rPr>
            </w:pPr>
            <w:r w:rsidRPr="002937EF">
              <w:rPr>
                <w:sz w:val="18"/>
                <w:szCs w:val="18"/>
              </w:rPr>
              <w:t xml:space="preserve">18 </w:t>
            </w:r>
            <w:r w:rsidR="009A4503" w:rsidRPr="002937EF">
              <w:rPr>
                <w:sz w:val="18"/>
                <w:szCs w:val="18"/>
              </w:rPr>
              <w:t>dé</w:t>
            </w:r>
            <w:r w:rsidRPr="002937EF">
              <w:rPr>
                <w:sz w:val="18"/>
                <w:szCs w:val="18"/>
              </w:rPr>
              <w:t>c. 2002</w:t>
            </w:r>
          </w:p>
        </w:tc>
        <w:tc>
          <w:tcPr>
            <w:tcW w:w="1236" w:type="dxa"/>
            <w:tcMar>
              <w:left w:w="85" w:type="dxa"/>
              <w:right w:w="85" w:type="dxa"/>
            </w:tcMar>
          </w:tcPr>
          <w:p w14:paraId="04ED4361" w14:textId="77777777" w:rsidR="00076BDD" w:rsidRPr="002937EF" w:rsidRDefault="00076BDD" w:rsidP="009E5A68">
            <w:pPr>
              <w:pStyle w:val="Tabletext"/>
              <w:spacing w:before="20" w:after="20" w:line="228" w:lineRule="auto"/>
              <w:jc w:val="center"/>
              <w:rPr>
                <w:sz w:val="18"/>
                <w:szCs w:val="18"/>
              </w:rPr>
            </w:pPr>
          </w:p>
        </w:tc>
        <w:tc>
          <w:tcPr>
            <w:tcW w:w="1741" w:type="dxa"/>
            <w:tcMar>
              <w:left w:w="85" w:type="dxa"/>
              <w:right w:w="85" w:type="dxa"/>
            </w:tcMar>
          </w:tcPr>
          <w:p w14:paraId="1D3E8422" w14:textId="2F9551F4" w:rsidR="00076BDD" w:rsidRPr="002937EF" w:rsidRDefault="00A573C3" w:rsidP="009E5A68">
            <w:pPr>
              <w:pStyle w:val="Tabletext"/>
              <w:spacing w:before="20" w:after="20" w:line="228" w:lineRule="auto"/>
              <w:jc w:val="center"/>
              <w:rPr>
                <w:sz w:val="18"/>
                <w:szCs w:val="18"/>
              </w:rPr>
            </w:pPr>
            <w:proofErr w:type="gramStart"/>
            <w:r w:rsidRPr="002937EF">
              <w:rPr>
                <w:sz w:val="18"/>
                <w:szCs w:val="18"/>
              </w:rPr>
              <w:t>FDTIC</w:t>
            </w:r>
            <w:r w:rsidR="00D63128" w:rsidRPr="002937EF">
              <w:rPr>
                <w:sz w:val="18"/>
                <w:szCs w:val="18"/>
              </w:rPr>
              <w:t>:</w:t>
            </w:r>
            <w:proofErr w:type="gramEnd"/>
            <w:r w:rsidR="00D63128" w:rsidRPr="002937EF">
              <w:rPr>
                <w:sz w:val="18"/>
                <w:szCs w:val="18"/>
              </w:rPr>
              <w:t xml:space="preserve"> </w:t>
            </w:r>
            <w:r w:rsidR="00D63128" w:rsidRPr="002937EF">
              <w:rPr>
                <w:sz w:val="18"/>
                <w:szCs w:val="18"/>
              </w:rPr>
              <w:br/>
              <w:t>Solde (01</w:t>
            </w:r>
            <w:r w:rsidR="00F0594A" w:rsidRPr="002937EF">
              <w:rPr>
                <w:sz w:val="18"/>
                <w:szCs w:val="18"/>
              </w:rPr>
              <w:t>/01/</w:t>
            </w:r>
            <w:r w:rsidR="00076BDD" w:rsidRPr="002937EF">
              <w:rPr>
                <w:sz w:val="18"/>
                <w:szCs w:val="18"/>
              </w:rPr>
              <w:t xml:space="preserve">10): </w:t>
            </w:r>
            <w:r w:rsidR="00076BDD" w:rsidRPr="002937EF">
              <w:rPr>
                <w:sz w:val="18"/>
                <w:szCs w:val="18"/>
              </w:rPr>
              <w:br/>
            </w:r>
            <w:r w:rsidR="00D63128" w:rsidRPr="002937EF">
              <w:rPr>
                <w:sz w:val="18"/>
                <w:szCs w:val="18"/>
              </w:rPr>
              <w:t xml:space="preserve">509 </w:t>
            </w:r>
            <w:r w:rsidR="00076BDD" w:rsidRPr="002937EF">
              <w:rPr>
                <w:sz w:val="18"/>
                <w:szCs w:val="18"/>
              </w:rPr>
              <w:t>035</w:t>
            </w:r>
            <w:r w:rsidR="00D63128" w:rsidRPr="002937EF">
              <w:rPr>
                <w:sz w:val="18"/>
                <w:szCs w:val="18"/>
              </w:rPr>
              <w:t xml:space="preserve"> USD</w:t>
            </w:r>
          </w:p>
          <w:p w14:paraId="025FC00E" w14:textId="7DF5D551" w:rsidR="00076BDD" w:rsidRPr="002937EF" w:rsidRDefault="00893D23" w:rsidP="009E5A68">
            <w:pPr>
              <w:pStyle w:val="Tabletext"/>
              <w:spacing w:before="20" w:after="20" w:line="228" w:lineRule="auto"/>
              <w:jc w:val="center"/>
              <w:rPr>
                <w:sz w:val="18"/>
                <w:szCs w:val="18"/>
              </w:rPr>
            </w:pPr>
            <w:r w:rsidRPr="002937EF">
              <w:rPr>
                <w:sz w:val="18"/>
                <w:szCs w:val="18"/>
              </w:rPr>
              <w:t xml:space="preserve">Fonds supplémentaires </w:t>
            </w:r>
            <w:proofErr w:type="gramStart"/>
            <w:r w:rsidRPr="002937EF">
              <w:rPr>
                <w:sz w:val="18"/>
                <w:szCs w:val="18"/>
              </w:rPr>
              <w:t>alloués</w:t>
            </w:r>
            <w:r w:rsidR="00F0594A" w:rsidRPr="002937EF">
              <w:rPr>
                <w:sz w:val="18"/>
                <w:szCs w:val="18"/>
              </w:rPr>
              <w:t>:</w:t>
            </w:r>
            <w:proofErr w:type="gramEnd"/>
            <w:r w:rsidR="00F0594A" w:rsidRPr="002937EF">
              <w:rPr>
                <w:sz w:val="18"/>
                <w:szCs w:val="18"/>
              </w:rPr>
              <w:t xml:space="preserve"> (15/01/</w:t>
            </w:r>
            <w:r w:rsidR="00076BDD" w:rsidRPr="002937EF">
              <w:rPr>
                <w:sz w:val="18"/>
                <w:szCs w:val="18"/>
              </w:rPr>
              <w:t xml:space="preserve">10): </w:t>
            </w:r>
            <w:r w:rsidR="00076BDD" w:rsidRPr="002937EF">
              <w:rPr>
                <w:sz w:val="18"/>
                <w:szCs w:val="18"/>
              </w:rPr>
              <w:br/>
            </w:r>
            <w:r w:rsidRPr="002937EF">
              <w:rPr>
                <w:sz w:val="18"/>
                <w:szCs w:val="18"/>
              </w:rPr>
              <w:t>1 000 </w:t>
            </w:r>
            <w:r w:rsidR="00076BDD" w:rsidRPr="002937EF">
              <w:rPr>
                <w:sz w:val="18"/>
                <w:szCs w:val="18"/>
              </w:rPr>
              <w:t>000</w:t>
            </w:r>
            <w:r w:rsidRPr="002937EF">
              <w:rPr>
                <w:sz w:val="18"/>
                <w:szCs w:val="18"/>
              </w:rPr>
              <w:t xml:space="preserve"> USD</w:t>
            </w:r>
          </w:p>
          <w:p w14:paraId="2E57994D" w14:textId="724D049F" w:rsidR="00076BDD" w:rsidRPr="002937EF" w:rsidRDefault="00893D23" w:rsidP="009E5A68">
            <w:pPr>
              <w:pStyle w:val="Tabletext"/>
              <w:spacing w:before="20" w:after="20" w:line="228" w:lineRule="auto"/>
              <w:jc w:val="center"/>
              <w:rPr>
                <w:sz w:val="18"/>
                <w:szCs w:val="18"/>
              </w:rPr>
            </w:pPr>
            <w:r w:rsidRPr="002937EF">
              <w:rPr>
                <w:sz w:val="18"/>
                <w:szCs w:val="18"/>
              </w:rPr>
              <w:t xml:space="preserve">Fonds supplémentaires alloués depuis le </w:t>
            </w:r>
            <w:proofErr w:type="gramStart"/>
            <w:r w:rsidRPr="002937EF">
              <w:rPr>
                <w:sz w:val="18"/>
                <w:szCs w:val="18"/>
              </w:rPr>
              <w:t>FDTIC</w:t>
            </w:r>
            <w:r w:rsidR="00BC7DE8" w:rsidRPr="002937EF">
              <w:rPr>
                <w:sz w:val="18"/>
                <w:szCs w:val="18"/>
              </w:rPr>
              <w:t>:</w:t>
            </w:r>
            <w:proofErr w:type="gramEnd"/>
            <w:r w:rsidR="00BC7DE8" w:rsidRPr="002937EF">
              <w:rPr>
                <w:sz w:val="18"/>
                <w:szCs w:val="18"/>
              </w:rPr>
              <w:t xml:space="preserve"> (14/</w:t>
            </w:r>
            <w:r w:rsidR="00076BDD" w:rsidRPr="002937EF">
              <w:rPr>
                <w:sz w:val="18"/>
                <w:szCs w:val="18"/>
              </w:rPr>
              <w:t>11</w:t>
            </w:r>
            <w:r w:rsidR="00BC7DE8" w:rsidRPr="002937EF">
              <w:rPr>
                <w:sz w:val="18"/>
                <w:szCs w:val="18"/>
              </w:rPr>
              <w:t>/</w:t>
            </w:r>
            <w:r w:rsidR="00076BDD" w:rsidRPr="002937EF">
              <w:rPr>
                <w:sz w:val="18"/>
                <w:szCs w:val="18"/>
              </w:rPr>
              <w:t xml:space="preserve">13) </w:t>
            </w:r>
            <w:r w:rsidR="00076BDD" w:rsidRPr="002937EF">
              <w:rPr>
                <w:sz w:val="18"/>
                <w:szCs w:val="18"/>
              </w:rPr>
              <w:br/>
            </w:r>
            <w:r w:rsidRPr="002937EF">
              <w:rPr>
                <w:sz w:val="18"/>
                <w:szCs w:val="18"/>
              </w:rPr>
              <w:t>1 000 </w:t>
            </w:r>
            <w:r w:rsidR="00076BDD" w:rsidRPr="002937EF">
              <w:rPr>
                <w:sz w:val="18"/>
                <w:szCs w:val="18"/>
              </w:rPr>
              <w:t>000</w:t>
            </w:r>
            <w:r w:rsidRPr="002937EF">
              <w:rPr>
                <w:sz w:val="18"/>
                <w:szCs w:val="18"/>
              </w:rPr>
              <w:t xml:space="preserve"> USD</w:t>
            </w:r>
          </w:p>
        </w:tc>
        <w:tc>
          <w:tcPr>
            <w:tcW w:w="1339" w:type="dxa"/>
            <w:tcMar>
              <w:left w:w="85" w:type="dxa"/>
              <w:right w:w="85" w:type="dxa"/>
            </w:tcMar>
          </w:tcPr>
          <w:p w14:paraId="71A0EC00" w14:textId="6A5C12A2" w:rsidR="00076BDD" w:rsidRPr="002937EF" w:rsidRDefault="0065559B" w:rsidP="009E5A68">
            <w:pPr>
              <w:pStyle w:val="Tabletext"/>
              <w:spacing w:before="20" w:after="20" w:line="228" w:lineRule="auto"/>
              <w:jc w:val="center"/>
              <w:rPr>
                <w:sz w:val="18"/>
                <w:szCs w:val="18"/>
              </w:rPr>
            </w:pPr>
            <w:r w:rsidRPr="002937EF">
              <w:rPr>
                <w:color w:val="000000" w:themeColor="text1"/>
                <w:sz w:val="18"/>
                <w:szCs w:val="18"/>
                <w:shd w:val="clear" w:color="auto" w:fill="FFFFFF"/>
              </w:rPr>
              <w:t xml:space="preserve">852 </w:t>
            </w:r>
            <w:r w:rsidR="00076BDD" w:rsidRPr="002937EF">
              <w:rPr>
                <w:color w:val="000000" w:themeColor="text1"/>
                <w:sz w:val="18"/>
                <w:szCs w:val="18"/>
                <w:shd w:val="clear" w:color="auto" w:fill="FFFFFF"/>
              </w:rPr>
              <w:t>434</w:t>
            </w:r>
            <w:r w:rsidRPr="002937EF">
              <w:rPr>
                <w:color w:val="000000" w:themeColor="text1"/>
                <w:sz w:val="18"/>
                <w:szCs w:val="18"/>
                <w:shd w:val="clear" w:color="auto" w:fill="FFFFFF"/>
              </w:rPr>
              <w:t xml:space="preserve"> CHF</w:t>
            </w:r>
          </w:p>
        </w:tc>
      </w:tr>
      <w:tr w:rsidR="00076BDD" w:rsidRPr="002937EF" w14:paraId="196C4A05" w14:textId="77777777" w:rsidTr="009E5A68">
        <w:trPr>
          <w:trHeight w:val="403"/>
          <w:jc w:val="center"/>
        </w:trPr>
        <w:tc>
          <w:tcPr>
            <w:tcW w:w="1045" w:type="dxa"/>
            <w:tcMar>
              <w:left w:w="85" w:type="dxa"/>
              <w:right w:w="85" w:type="dxa"/>
            </w:tcMar>
          </w:tcPr>
          <w:p w14:paraId="72833554" w14:textId="77777777" w:rsidR="00076BDD" w:rsidRPr="002937EF" w:rsidRDefault="00076BDD" w:rsidP="009E5A68">
            <w:pPr>
              <w:pStyle w:val="Tabletext"/>
              <w:spacing w:before="20" w:after="20" w:line="228" w:lineRule="auto"/>
              <w:ind w:left="-65"/>
              <w:jc w:val="center"/>
              <w:rPr>
                <w:sz w:val="18"/>
                <w:szCs w:val="18"/>
              </w:rPr>
            </w:pPr>
            <w:r w:rsidRPr="002937EF">
              <w:rPr>
                <w:sz w:val="18"/>
                <w:szCs w:val="18"/>
              </w:rPr>
              <w:t>7GLO18096</w:t>
            </w:r>
          </w:p>
        </w:tc>
        <w:tc>
          <w:tcPr>
            <w:tcW w:w="1652" w:type="dxa"/>
            <w:tcMar>
              <w:left w:w="85" w:type="dxa"/>
              <w:right w:w="85" w:type="dxa"/>
            </w:tcMar>
          </w:tcPr>
          <w:p w14:paraId="2EA1C12A" w14:textId="61078633" w:rsidR="00076BDD" w:rsidRPr="002937EF" w:rsidRDefault="00611E59" w:rsidP="009E5A68">
            <w:pPr>
              <w:pStyle w:val="Tabletext"/>
              <w:spacing w:before="20" w:after="20" w:line="228" w:lineRule="auto"/>
              <w:jc w:val="center"/>
              <w:rPr>
                <w:sz w:val="18"/>
                <w:szCs w:val="18"/>
              </w:rPr>
            </w:pPr>
            <w:r w:rsidRPr="002937EF">
              <w:rPr>
                <w:sz w:val="18"/>
                <w:szCs w:val="18"/>
                <w:lang w:eastAsia="zh-CN"/>
              </w:rPr>
              <w:t>Création d'un centre d'expertise sur le protocole IPv6 et l'Internet des objets</w:t>
            </w:r>
          </w:p>
        </w:tc>
        <w:tc>
          <w:tcPr>
            <w:tcW w:w="850" w:type="dxa"/>
            <w:tcMar>
              <w:left w:w="85" w:type="dxa"/>
              <w:right w:w="85" w:type="dxa"/>
            </w:tcMar>
          </w:tcPr>
          <w:p w14:paraId="0E7C4699" w14:textId="739638D5" w:rsidR="00076BDD" w:rsidRPr="002937EF" w:rsidRDefault="00076BDD" w:rsidP="009E5A68">
            <w:pPr>
              <w:pStyle w:val="Tabletext"/>
              <w:spacing w:before="20" w:after="20" w:line="228" w:lineRule="auto"/>
              <w:jc w:val="center"/>
              <w:rPr>
                <w:sz w:val="18"/>
                <w:szCs w:val="18"/>
              </w:rPr>
            </w:pPr>
            <w:r w:rsidRPr="002937EF">
              <w:rPr>
                <w:sz w:val="18"/>
                <w:szCs w:val="18"/>
              </w:rPr>
              <w:t>1</w:t>
            </w:r>
            <w:r w:rsidR="00F24E69" w:rsidRPr="002937EF">
              <w:rPr>
                <w:sz w:val="18"/>
                <w:szCs w:val="18"/>
              </w:rPr>
              <w:t>er</w:t>
            </w:r>
            <w:r w:rsidRPr="002937EF">
              <w:rPr>
                <w:sz w:val="18"/>
                <w:szCs w:val="18"/>
              </w:rPr>
              <w:t xml:space="preserve"> </w:t>
            </w:r>
            <w:r w:rsidR="00F24E69" w:rsidRPr="002937EF">
              <w:rPr>
                <w:sz w:val="18"/>
                <w:szCs w:val="18"/>
              </w:rPr>
              <w:t>j</w:t>
            </w:r>
            <w:r w:rsidRPr="002937EF">
              <w:rPr>
                <w:sz w:val="18"/>
                <w:szCs w:val="18"/>
              </w:rPr>
              <w:t>u</w:t>
            </w:r>
            <w:r w:rsidR="00F24E69" w:rsidRPr="002937EF">
              <w:rPr>
                <w:sz w:val="18"/>
                <w:szCs w:val="18"/>
              </w:rPr>
              <w:t>i</w:t>
            </w:r>
            <w:r w:rsidRPr="002937EF">
              <w:rPr>
                <w:sz w:val="18"/>
                <w:szCs w:val="18"/>
              </w:rPr>
              <w:t>n 2018</w:t>
            </w:r>
          </w:p>
        </w:tc>
        <w:tc>
          <w:tcPr>
            <w:tcW w:w="851" w:type="dxa"/>
            <w:tcMar>
              <w:left w:w="85" w:type="dxa"/>
              <w:right w:w="85" w:type="dxa"/>
            </w:tcMar>
          </w:tcPr>
          <w:p w14:paraId="50AD02FE" w14:textId="230F7828" w:rsidR="00076BDD" w:rsidRPr="002937EF" w:rsidRDefault="00076BDD" w:rsidP="009E5A68">
            <w:pPr>
              <w:pStyle w:val="Tabletext"/>
              <w:spacing w:before="20" w:after="20" w:line="228" w:lineRule="auto"/>
              <w:jc w:val="center"/>
              <w:rPr>
                <w:sz w:val="18"/>
                <w:szCs w:val="18"/>
              </w:rPr>
            </w:pPr>
            <w:r w:rsidRPr="002937EF">
              <w:rPr>
                <w:sz w:val="18"/>
                <w:szCs w:val="18"/>
              </w:rPr>
              <w:t xml:space="preserve">31 </w:t>
            </w:r>
            <w:r w:rsidR="00F24E69" w:rsidRPr="002937EF">
              <w:rPr>
                <w:sz w:val="18"/>
                <w:szCs w:val="18"/>
              </w:rPr>
              <w:t>dé</w:t>
            </w:r>
            <w:r w:rsidRPr="002937EF">
              <w:rPr>
                <w:sz w:val="18"/>
                <w:szCs w:val="18"/>
              </w:rPr>
              <w:t>c. 2020</w:t>
            </w:r>
          </w:p>
        </w:tc>
        <w:tc>
          <w:tcPr>
            <w:tcW w:w="1165" w:type="dxa"/>
            <w:tcMar>
              <w:left w:w="85" w:type="dxa"/>
              <w:right w:w="85" w:type="dxa"/>
            </w:tcMar>
          </w:tcPr>
          <w:p w14:paraId="1858B8F2" w14:textId="320533A6" w:rsidR="00076BDD" w:rsidRPr="002937EF" w:rsidRDefault="00AF1FDD" w:rsidP="009E5A68">
            <w:pPr>
              <w:pStyle w:val="Tabletext"/>
              <w:spacing w:before="20" w:after="20" w:line="228" w:lineRule="auto"/>
              <w:jc w:val="center"/>
              <w:rPr>
                <w:sz w:val="18"/>
                <w:szCs w:val="18"/>
              </w:rPr>
            </w:pPr>
            <w:r w:rsidRPr="002937EF">
              <w:rPr>
                <w:sz w:val="18"/>
                <w:szCs w:val="18"/>
              </w:rPr>
              <w:t xml:space="preserve">Projet </w:t>
            </w:r>
            <w:r w:rsidR="00AB3455" w:rsidRPr="002937EF">
              <w:rPr>
                <w:sz w:val="18"/>
                <w:szCs w:val="18"/>
              </w:rPr>
              <w:t>multirégional</w:t>
            </w:r>
          </w:p>
        </w:tc>
        <w:tc>
          <w:tcPr>
            <w:tcW w:w="961" w:type="dxa"/>
            <w:tcMar>
              <w:left w:w="85" w:type="dxa"/>
              <w:right w:w="85" w:type="dxa"/>
            </w:tcMar>
          </w:tcPr>
          <w:p w14:paraId="1EBBDA42" w14:textId="1A8EEBAD" w:rsidR="00076BDD" w:rsidRPr="002937EF" w:rsidRDefault="00076BDD" w:rsidP="009E5A68">
            <w:pPr>
              <w:pStyle w:val="Tabletext"/>
              <w:spacing w:before="20" w:after="20" w:line="228" w:lineRule="auto"/>
              <w:jc w:val="center"/>
              <w:rPr>
                <w:sz w:val="18"/>
                <w:szCs w:val="18"/>
              </w:rPr>
            </w:pPr>
            <w:r w:rsidRPr="002937EF">
              <w:rPr>
                <w:sz w:val="18"/>
                <w:szCs w:val="18"/>
              </w:rPr>
              <w:t xml:space="preserve">3 </w:t>
            </w:r>
            <w:r w:rsidR="00F24E69" w:rsidRPr="002937EF">
              <w:rPr>
                <w:sz w:val="18"/>
                <w:szCs w:val="18"/>
              </w:rPr>
              <w:t>mai</w:t>
            </w:r>
            <w:r w:rsidRPr="002937EF">
              <w:rPr>
                <w:sz w:val="18"/>
                <w:szCs w:val="18"/>
              </w:rPr>
              <w:t xml:space="preserve"> 2018</w:t>
            </w:r>
          </w:p>
        </w:tc>
        <w:tc>
          <w:tcPr>
            <w:tcW w:w="1236" w:type="dxa"/>
            <w:tcMar>
              <w:left w:w="85" w:type="dxa"/>
              <w:right w:w="85" w:type="dxa"/>
            </w:tcMar>
          </w:tcPr>
          <w:p w14:paraId="27B0CE40" w14:textId="76AD2809" w:rsidR="00076BDD" w:rsidRPr="002937EF" w:rsidRDefault="008958EB" w:rsidP="009E5A68">
            <w:pPr>
              <w:pStyle w:val="Tabletext"/>
              <w:spacing w:before="20" w:after="20" w:line="228" w:lineRule="auto"/>
              <w:jc w:val="center"/>
              <w:rPr>
                <w:sz w:val="18"/>
                <w:szCs w:val="18"/>
              </w:rPr>
            </w:pPr>
            <w:r w:rsidRPr="002937EF">
              <w:rPr>
                <w:sz w:val="18"/>
                <w:szCs w:val="18"/>
              </w:rPr>
              <w:t>Université des sciences et technologies de la Malaisie (MUST)</w:t>
            </w:r>
          </w:p>
        </w:tc>
        <w:tc>
          <w:tcPr>
            <w:tcW w:w="1741" w:type="dxa"/>
            <w:tcMar>
              <w:left w:w="85" w:type="dxa"/>
              <w:right w:w="85" w:type="dxa"/>
            </w:tcMar>
          </w:tcPr>
          <w:p w14:paraId="44E53089" w14:textId="2F5AD1DC" w:rsidR="00076BDD" w:rsidRPr="00B45263" w:rsidRDefault="00F0594A" w:rsidP="009E5A68">
            <w:pPr>
              <w:pStyle w:val="Tabletext"/>
              <w:spacing w:before="20" w:after="20" w:line="228" w:lineRule="auto"/>
              <w:jc w:val="center"/>
              <w:rPr>
                <w:sz w:val="18"/>
                <w:szCs w:val="18"/>
                <w:lang w:val="en-US"/>
              </w:rPr>
            </w:pPr>
            <w:r w:rsidRPr="00B45263">
              <w:rPr>
                <w:sz w:val="18"/>
                <w:szCs w:val="18"/>
                <w:lang w:val="en-US"/>
              </w:rPr>
              <w:t>FDTIC: 299 </w:t>
            </w:r>
            <w:r w:rsidR="00076BDD" w:rsidRPr="00B45263">
              <w:rPr>
                <w:sz w:val="18"/>
                <w:szCs w:val="18"/>
                <w:lang w:val="en-US"/>
              </w:rPr>
              <w:t>750</w:t>
            </w:r>
            <w:r w:rsidRPr="00B45263">
              <w:rPr>
                <w:sz w:val="18"/>
                <w:szCs w:val="18"/>
                <w:lang w:val="en-US"/>
              </w:rPr>
              <w:t xml:space="preserve"> USD</w:t>
            </w:r>
          </w:p>
          <w:p w14:paraId="2783D5F5" w14:textId="179CE8C4" w:rsidR="00076BDD" w:rsidRPr="00B45263" w:rsidRDefault="008958EB" w:rsidP="009E5A68">
            <w:pPr>
              <w:pStyle w:val="Tabletext"/>
              <w:spacing w:before="20" w:after="20" w:line="228" w:lineRule="auto"/>
              <w:jc w:val="center"/>
              <w:rPr>
                <w:sz w:val="18"/>
                <w:szCs w:val="18"/>
                <w:lang w:val="en-US"/>
              </w:rPr>
            </w:pPr>
            <w:proofErr w:type="spellStart"/>
            <w:r w:rsidRPr="00B45263">
              <w:rPr>
                <w:sz w:val="18"/>
                <w:szCs w:val="18"/>
                <w:lang w:val="en-US"/>
              </w:rPr>
              <w:t>Université</w:t>
            </w:r>
            <w:proofErr w:type="spellEnd"/>
            <w:r w:rsidRPr="00B45263">
              <w:rPr>
                <w:sz w:val="18"/>
                <w:szCs w:val="18"/>
                <w:lang w:val="en-US"/>
              </w:rPr>
              <w:t xml:space="preserve"> </w:t>
            </w:r>
            <w:r w:rsidR="00076BDD" w:rsidRPr="00B45263">
              <w:rPr>
                <w:sz w:val="18"/>
                <w:szCs w:val="18"/>
                <w:lang w:val="en-US"/>
              </w:rPr>
              <w:t xml:space="preserve">MUST: </w:t>
            </w:r>
            <w:r w:rsidR="00F0594A" w:rsidRPr="00B45263">
              <w:rPr>
                <w:sz w:val="18"/>
                <w:szCs w:val="18"/>
                <w:lang w:val="en-US"/>
              </w:rPr>
              <w:t>299 </w:t>
            </w:r>
            <w:r w:rsidR="00076BDD" w:rsidRPr="00B45263">
              <w:rPr>
                <w:sz w:val="18"/>
                <w:szCs w:val="18"/>
                <w:lang w:val="en-US"/>
              </w:rPr>
              <w:t>750</w:t>
            </w:r>
            <w:r w:rsidR="00F0594A" w:rsidRPr="00B45263">
              <w:rPr>
                <w:sz w:val="18"/>
                <w:szCs w:val="18"/>
                <w:lang w:val="en-US"/>
              </w:rPr>
              <w:t xml:space="preserve"> USD</w:t>
            </w:r>
          </w:p>
        </w:tc>
        <w:tc>
          <w:tcPr>
            <w:tcW w:w="1339" w:type="dxa"/>
            <w:tcMar>
              <w:left w:w="85" w:type="dxa"/>
              <w:right w:w="85" w:type="dxa"/>
            </w:tcMar>
          </w:tcPr>
          <w:p w14:paraId="07B3D7D9" w14:textId="0AB82F4B" w:rsidR="00076BDD" w:rsidRPr="002937EF" w:rsidRDefault="00F0594A" w:rsidP="009E5A68">
            <w:pPr>
              <w:pStyle w:val="Tabletext"/>
              <w:spacing w:before="20" w:after="20" w:line="228" w:lineRule="auto"/>
              <w:jc w:val="center"/>
              <w:rPr>
                <w:sz w:val="18"/>
                <w:szCs w:val="18"/>
              </w:rPr>
            </w:pPr>
            <w:r w:rsidRPr="002937EF">
              <w:rPr>
                <w:sz w:val="18"/>
                <w:szCs w:val="18"/>
              </w:rPr>
              <w:t xml:space="preserve">194 </w:t>
            </w:r>
            <w:r w:rsidR="00076BDD" w:rsidRPr="002937EF">
              <w:rPr>
                <w:sz w:val="18"/>
                <w:szCs w:val="18"/>
              </w:rPr>
              <w:t>169</w:t>
            </w:r>
            <w:r w:rsidRPr="002937EF">
              <w:rPr>
                <w:sz w:val="18"/>
                <w:szCs w:val="18"/>
              </w:rPr>
              <w:t xml:space="preserve"> USD</w:t>
            </w:r>
          </w:p>
        </w:tc>
      </w:tr>
      <w:tr w:rsidR="00076BDD" w:rsidRPr="002937EF" w14:paraId="2964AA06" w14:textId="77777777" w:rsidTr="009E5A68">
        <w:trPr>
          <w:trHeight w:val="403"/>
          <w:jc w:val="center"/>
        </w:trPr>
        <w:tc>
          <w:tcPr>
            <w:tcW w:w="1045" w:type="dxa"/>
            <w:tcMar>
              <w:left w:w="85" w:type="dxa"/>
              <w:right w:w="85" w:type="dxa"/>
            </w:tcMar>
          </w:tcPr>
          <w:p w14:paraId="6A605F68" w14:textId="77777777" w:rsidR="00076BDD" w:rsidRPr="002937EF" w:rsidRDefault="00076BDD" w:rsidP="009E5A68">
            <w:pPr>
              <w:pStyle w:val="Tabletext"/>
              <w:spacing w:before="20" w:after="20" w:line="228" w:lineRule="auto"/>
              <w:ind w:left="-65"/>
              <w:jc w:val="center"/>
              <w:rPr>
                <w:sz w:val="18"/>
                <w:szCs w:val="18"/>
              </w:rPr>
            </w:pPr>
            <w:r w:rsidRPr="002937EF">
              <w:rPr>
                <w:sz w:val="18"/>
                <w:szCs w:val="18"/>
              </w:rPr>
              <w:t>7OMA13005</w:t>
            </w:r>
          </w:p>
        </w:tc>
        <w:tc>
          <w:tcPr>
            <w:tcW w:w="1652" w:type="dxa"/>
            <w:tcMar>
              <w:left w:w="85" w:type="dxa"/>
              <w:right w:w="85" w:type="dxa"/>
            </w:tcMar>
          </w:tcPr>
          <w:p w14:paraId="0E38FE76" w14:textId="21E63EC6" w:rsidR="00076BDD" w:rsidRPr="002937EF" w:rsidRDefault="00611E59" w:rsidP="009E5A68">
            <w:pPr>
              <w:pStyle w:val="Tabletext"/>
              <w:spacing w:before="20" w:after="20" w:line="228" w:lineRule="auto"/>
              <w:jc w:val="center"/>
              <w:rPr>
                <w:sz w:val="18"/>
                <w:szCs w:val="18"/>
              </w:rPr>
            </w:pPr>
            <w:r w:rsidRPr="002937EF">
              <w:rPr>
                <w:sz w:val="18"/>
                <w:szCs w:val="18"/>
                <w:lang w:eastAsia="zh-CN"/>
              </w:rPr>
              <w:t xml:space="preserve">Création d'un centre pour l'innovation en matière de cybersécurité pour la région des </w:t>
            </w:r>
            <w:r w:rsidR="00D85262" w:rsidRPr="002937EF">
              <w:rPr>
                <w:sz w:val="18"/>
                <w:szCs w:val="18"/>
                <w:lang w:eastAsia="zh-CN"/>
              </w:rPr>
              <w:t>É</w:t>
            </w:r>
            <w:r w:rsidRPr="002937EF">
              <w:rPr>
                <w:sz w:val="18"/>
                <w:szCs w:val="18"/>
                <w:lang w:eastAsia="zh-CN"/>
              </w:rPr>
              <w:t>tats arabes</w:t>
            </w:r>
          </w:p>
        </w:tc>
        <w:tc>
          <w:tcPr>
            <w:tcW w:w="850" w:type="dxa"/>
            <w:tcMar>
              <w:left w:w="85" w:type="dxa"/>
              <w:right w:w="85" w:type="dxa"/>
            </w:tcMar>
          </w:tcPr>
          <w:p w14:paraId="3B86BB00" w14:textId="062D7A82" w:rsidR="00076BDD" w:rsidRPr="002937EF" w:rsidRDefault="00F24E69" w:rsidP="009E5A68">
            <w:pPr>
              <w:pStyle w:val="Tabletext"/>
              <w:spacing w:before="20" w:after="20" w:line="228" w:lineRule="auto"/>
              <w:jc w:val="center"/>
              <w:rPr>
                <w:sz w:val="18"/>
                <w:szCs w:val="18"/>
              </w:rPr>
            </w:pPr>
            <w:r w:rsidRPr="002937EF">
              <w:rPr>
                <w:sz w:val="18"/>
                <w:szCs w:val="18"/>
              </w:rPr>
              <w:t>1er</w:t>
            </w:r>
            <w:r w:rsidR="00076BDD" w:rsidRPr="002937EF">
              <w:rPr>
                <w:sz w:val="18"/>
                <w:szCs w:val="18"/>
              </w:rPr>
              <w:t xml:space="preserve"> </w:t>
            </w:r>
            <w:r w:rsidRPr="002937EF">
              <w:rPr>
                <w:sz w:val="18"/>
                <w:szCs w:val="18"/>
              </w:rPr>
              <w:t>fév</w:t>
            </w:r>
            <w:r w:rsidR="00076BDD" w:rsidRPr="002937EF">
              <w:rPr>
                <w:sz w:val="18"/>
                <w:szCs w:val="18"/>
              </w:rPr>
              <w:t>. 2013</w:t>
            </w:r>
          </w:p>
        </w:tc>
        <w:tc>
          <w:tcPr>
            <w:tcW w:w="851" w:type="dxa"/>
            <w:tcMar>
              <w:left w:w="85" w:type="dxa"/>
              <w:right w:w="85" w:type="dxa"/>
            </w:tcMar>
          </w:tcPr>
          <w:p w14:paraId="3AC0C970" w14:textId="55EFACD4" w:rsidR="00076BDD" w:rsidRPr="002937EF" w:rsidRDefault="00076BDD" w:rsidP="009E5A68">
            <w:pPr>
              <w:pStyle w:val="Tabletext"/>
              <w:spacing w:before="20" w:after="20" w:line="228" w:lineRule="auto"/>
              <w:jc w:val="center"/>
              <w:rPr>
                <w:sz w:val="18"/>
                <w:szCs w:val="18"/>
              </w:rPr>
            </w:pPr>
            <w:r w:rsidRPr="002937EF">
              <w:rPr>
                <w:sz w:val="18"/>
                <w:szCs w:val="18"/>
              </w:rPr>
              <w:t xml:space="preserve">30 </w:t>
            </w:r>
            <w:r w:rsidR="00F24E69" w:rsidRPr="002937EF">
              <w:rPr>
                <w:sz w:val="18"/>
                <w:szCs w:val="18"/>
              </w:rPr>
              <w:t>s</w:t>
            </w:r>
            <w:r w:rsidRPr="002937EF">
              <w:rPr>
                <w:sz w:val="18"/>
                <w:szCs w:val="18"/>
              </w:rPr>
              <w:t>ep. 2030</w:t>
            </w:r>
          </w:p>
        </w:tc>
        <w:tc>
          <w:tcPr>
            <w:tcW w:w="1165" w:type="dxa"/>
            <w:tcMar>
              <w:left w:w="85" w:type="dxa"/>
              <w:right w:w="85" w:type="dxa"/>
            </w:tcMar>
          </w:tcPr>
          <w:p w14:paraId="10FCB0BF" w14:textId="7A8834E6" w:rsidR="00076BDD" w:rsidRPr="002937EF" w:rsidRDefault="00F0594A" w:rsidP="009E5A68">
            <w:pPr>
              <w:pStyle w:val="Tabletext"/>
              <w:spacing w:before="20" w:after="20" w:line="228" w:lineRule="auto"/>
              <w:jc w:val="center"/>
              <w:rPr>
                <w:sz w:val="18"/>
                <w:szCs w:val="18"/>
              </w:rPr>
            </w:pPr>
            <w:r w:rsidRPr="002937EF">
              <w:rPr>
                <w:sz w:val="18"/>
                <w:szCs w:val="18"/>
              </w:rPr>
              <w:t>États arabes</w:t>
            </w:r>
          </w:p>
        </w:tc>
        <w:tc>
          <w:tcPr>
            <w:tcW w:w="961" w:type="dxa"/>
            <w:tcMar>
              <w:left w:w="85" w:type="dxa"/>
              <w:right w:w="85" w:type="dxa"/>
            </w:tcMar>
          </w:tcPr>
          <w:p w14:paraId="491547CF" w14:textId="5BF8D1D1" w:rsidR="00076BDD" w:rsidRPr="002937EF" w:rsidRDefault="00076BDD" w:rsidP="009E5A68">
            <w:pPr>
              <w:pStyle w:val="Tabletext"/>
              <w:spacing w:before="20" w:after="20" w:line="228" w:lineRule="auto"/>
              <w:jc w:val="center"/>
              <w:rPr>
                <w:sz w:val="18"/>
                <w:szCs w:val="18"/>
              </w:rPr>
            </w:pPr>
            <w:r w:rsidRPr="002937EF">
              <w:rPr>
                <w:sz w:val="18"/>
                <w:szCs w:val="18"/>
              </w:rPr>
              <w:t xml:space="preserve">15 </w:t>
            </w:r>
            <w:r w:rsidR="009A4503" w:rsidRPr="002937EF">
              <w:rPr>
                <w:sz w:val="18"/>
                <w:szCs w:val="18"/>
              </w:rPr>
              <w:t>dé</w:t>
            </w:r>
            <w:r w:rsidRPr="002937EF">
              <w:rPr>
                <w:sz w:val="18"/>
                <w:szCs w:val="18"/>
              </w:rPr>
              <w:t>c. 2012</w:t>
            </w:r>
          </w:p>
        </w:tc>
        <w:tc>
          <w:tcPr>
            <w:tcW w:w="1236" w:type="dxa"/>
            <w:tcMar>
              <w:left w:w="85" w:type="dxa"/>
              <w:right w:w="85" w:type="dxa"/>
            </w:tcMar>
          </w:tcPr>
          <w:p w14:paraId="5070A16C" w14:textId="77777777" w:rsidR="00076BDD" w:rsidRPr="002937EF" w:rsidRDefault="00076BDD" w:rsidP="009E5A68">
            <w:pPr>
              <w:pStyle w:val="Tabletext"/>
              <w:spacing w:before="20" w:after="20" w:line="228" w:lineRule="auto"/>
              <w:jc w:val="center"/>
              <w:rPr>
                <w:sz w:val="18"/>
                <w:szCs w:val="18"/>
              </w:rPr>
            </w:pPr>
            <w:r w:rsidRPr="002937EF">
              <w:rPr>
                <w:sz w:val="18"/>
                <w:szCs w:val="18"/>
              </w:rPr>
              <w:t>Oman</w:t>
            </w:r>
          </w:p>
        </w:tc>
        <w:tc>
          <w:tcPr>
            <w:tcW w:w="1741" w:type="dxa"/>
            <w:tcMar>
              <w:left w:w="85" w:type="dxa"/>
              <w:right w:w="85" w:type="dxa"/>
            </w:tcMar>
          </w:tcPr>
          <w:p w14:paraId="0BED822E" w14:textId="6F25D771" w:rsidR="00076BDD" w:rsidRPr="002937EF" w:rsidRDefault="00076BDD" w:rsidP="009E5A68">
            <w:pPr>
              <w:pStyle w:val="Tabletext"/>
              <w:spacing w:before="20" w:after="20" w:line="228" w:lineRule="auto"/>
              <w:jc w:val="center"/>
              <w:rPr>
                <w:spacing w:val="-2"/>
                <w:sz w:val="18"/>
                <w:szCs w:val="18"/>
              </w:rPr>
            </w:pPr>
            <w:proofErr w:type="gramStart"/>
            <w:r w:rsidRPr="002937EF">
              <w:rPr>
                <w:spacing w:val="-2"/>
                <w:sz w:val="18"/>
                <w:szCs w:val="18"/>
              </w:rPr>
              <w:t>Oman:</w:t>
            </w:r>
            <w:proofErr w:type="gramEnd"/>
            <w:r w:rsidRPr="002937EF">
              <w:rPr>
                <w:spacing w:val="-2"/>
                <w:sz w:val="18"/>
                <w:szCs w:val="18"/>
              </w:rPr>
              <w:t xml:space="preserve"> </w:t>
            </w:r>
            <w:r w:rsidR="008958EB" w:rsidRPr="002937EF">
              <w:rPr>
                <w:spacing w:val="-2"/>
                <w:sz w:val="18"/>
                <w:szCs w:val="18"/>
              </w:rPr>
              <w:t>1 966 </w:t>
            </w:r>
            <w:r w:rsidRPr="002937EF">
              <w:rPr>
                <w:spacing w:val="-2"/>
                <w:sz w:val="18"/>
                <w:szCs w:val="18"/>
              </w:rPr>
              <w:t>000</w:t>
            </w:r>
            <w:r w:rsidR="00A20553" w:rsidRPr="002937EF">
              <w:rPr>
                <w:spacing w:val="-2"/>
                <w:sz w:val="18"/>
                <w:szCs w:val="18"/>
              </w:rPr>
              <w:t xml:space="preserve"> CHF</w:t>
            </w:r>
          </w:p>
          <w:p w14:paraId="31A7DF4D" w14:textId="4E9B929D" w:rsidR="00076BDD" w:rsidRPr="002937EF" w:rsidRDefault="00A20553" w:rsidP="009E5A68">
            <w:pPr>
              <w:pStyle w:val="Tabletext"/>
              <w:spacing w:before="20" w:after="20" w:line="228" w:lineRule="auto"/>
              <w:jc w:val="center"/>
              <w:rPr>
                <w:sz w:val="18"/>
                <w:szCs w:val="18"/>
              </w:rPr>
            </w:pPr>
            <w:proofErr w:type="gramStart"/>
            <w:r w:rsidRPr="002937EF">
              <w:rPr>
                <w:sz w:val="18"/>
                <w:szCs w:val="18"/>
              </w:rPr>
              <w:t>FDTIC</w:t>
            </w:r>
            <w:r w:rsidR="00076BDD" w:rsidRPr="002937EF">
              <w:rPr>
                <w:sz w:val="18"/>
                <w:szCs w:val="18"/>
              </w:rPr>
              <w:t>:</w:t>
            </w:r>
            <w:proofErr w:type="gramEnd"/>
            <w:r w:rsidR="00076BDD" w:rsidRPr="002937EF">
              <w:rPr>
                <w:sz w:val="18"/>
                <w:szCs w:val="18"/>
              </w:rPr>
              <w:t xml:space="preserve"> 739</w:t>
            </w:r>
            <w:r w:rsidRPr="002937EF">
              <w:rPr>
                <w:sz w:val="18"/>
                <w:szCs w:val="18"/>
              </w:rPr>
              <w:t> </w:t>
            </w:r>
            <w:r w:rsidR="00076BDD" w:rsidRPr="002937EF">
              <w:rPr>
                <w:sz w:val="18"/>
                <w:szCs w:val="18"/>
              </w:rPr>
              <w:t>708</w:t>
            </w:r>
            <w:r w:rsidRPr="002937EF">
              <w:rPr>
                <w:sz w:val="18"/>
                <w:szCs w:val="18"/>
              </w:rPr>
              <w:t xml:space="preserve"> CHF</w:t>
            </w:r>
          </w:p>
        </w:tc>
        <w:tc>
          <w:tcPr>
            <w:tcW w:w="1339" w:type="dxa"/>
            <w:tcMar>
              <w:left w:w="85" w:type="dxa"/>
              <w:right w:w="85" w:type="dxa"/>
            </w:tcMar>
          </w:tcPr>
          <w:p w14:paraId="5CB8676D" w14:textId="458C076F" w:rsidR="00076BDD" w:rsidRPr="002937EF" w:rsidRDefault="004C73AD" w:rsidP="009E5A68">
            <w:pPr>
              <w:pStyle w:val="Tabletext"/>
              <w:spacing w:before="20" w:after="20" w:line="228" w:lineRule="auto"/>
              <w:jc w:val="center"/>
              <w:rPr>
                <w:color w:val="000000" w:themeColor="text1"/>
                <w:sz w:val="18"/>
                <w:szCs w:val="18"/>
              </w:rPr>
            </w:pPr>
            <w:r w:rsidRPr="002937EF">
              <w:rPr>
                <w:color w:val="000000" w:themeColor="text1"/>
                <w:sz w:val="18"/>
                <w:szCs w:val="18"/>
                <w:shd w:val="clear" w:color="auto" w:fill="FFFFFF"/>
              </w:rPr>
              <w:t xml:space="preserve">143 </w:t>
            </w:r>
            <w:r w:rsidR="00076BDD" w:rsidRPr="002937EF">
              <w:rPr>
                <w:color w:val="000000" w:themeColor="text1"/>
                <w:sz w:val="18"/>
                <w:szCs w:val="18"/>
                <w:shd w:val="clear" w:color="auto" w:fill="FFFFFF"/>
              </w:rPr>
              <w:t>470</w:t>
            </w:r>
            <w:r w:rsidRPr="002937EF">
              <w:rPr>
                <w:color w:val="000000" w:themeColor="text1"/>
                <w:sz w:val="18"/>
                <w:szCs w:val="18"/>
                <w:shd w:val="clear" w:color="auto" w:fill="FFFFFF"/>
              </w:rPr>
              <w:t xml:space="preserve"> CHF</w:t>
            </w:r>
          </w:p>
        </w:tc>
      </w:tr>
      <w:tr w:rsidR="00076BDD" w:rsidRPr="002937EF" w14:paraId="1D1B97E4" w14:textId="77777777" w:rsidTr="009E5A68">
        <w:trPr>
          <w:trHeight w:val="403"/>
          <w:jc w:val="center"/>
        </w:trPr>
        <w:tc>
          <w:tcPr>
            <w:tcW w:w="1045" w:type="dxa"/>
            <w:tcMar>
              <w:left w:w="85" w:type="dxa"/>
              <w:right w:w="85" w:type="dxa"/>
            </w:tcMar>
          </w:tcPr>
          <w:p w14:paraId="15DB7176" w14:textId="77777777" w:rsidR="00076BDD" w:rsidRPr="002937EF" w:rsidRDefault="00076BDD" w:rsidP="009E5A68">
            <w:pPr>
              <w:pStyle w:val="Tabletext"/>
              <w:spacing w:before="20" w:after="20" w:line="228" w:lineRule="auto"/>
              <w:ind w:left="-65"/>
              <w:jc w:val="center"/>
              <w:rPr>
                <w:sz w:val="18"/>
                <w:szCs w:val="18"/>
              </w:rPr>
            </w:pPr>
            <w:r w:rsidRPr="002937EF">
              <w:rPr>
                <w:sz w:val="18"/>
                <w:szCs w:val="18"/>
              </w:rPr>
              <w:t>9RAF18089</w:t>
            </w:r>
          </w:p>
        </w:tc>
        <w:tc>
          <w:tcPr>
            <w:tcW w:w="1652" w:type="dxa"/>
            <w:tcMar>
              <w:left w:w="85" w:type="dxa"/>
              <w:right w:w="85" w:type="dxa"/>
            </w:tcMar>
          </w:tcPr>
          <w:p w14:paraId="1E9C8812" w14:textId="792FBA6E" w:rsidR="00076BDD" w:rsidRPr="002937EF" w:rsidRDefault="00611E59" w:rsidP="009E5A68">
            <w:pPr>
              <w:pStyle w:val="Tabletext"/>
              <w:spacing w:before="20" w:after="20" w:line="228" w:lineRule="auto"/>
              <w:jc w:val="center"/>
              <w:rPr>
                <w:sz w:val="18"/>
                <w:szCs w:val="18"/>
              </w:rPr>
            </w:pPr>
            <w:r w:rsidRPr="002937EF">
              <w:rPr>
                <w:sz w:val="18"/>
                <w:szCs w:val="18"/>
                <w:lang w:eastAsia="zh-CN"/>
              </w:rPr>
              <w:t>Convention de délégation PRIDA</w:t>
            </w:r>
            <w:r w:rsidR="009E5A68" w:rsidRPr="002937EF">
              <w:rPr>
                <w:sz w:val="18"/>
                <w:szCs w:val="18"/>
                <w:lang w:eastAsia="zh-CN"/>
              </w:rPr>
              <w:noBreakHyphen/>
            </w:r>
            <w:r w:rsidRPr="002937EF">
              <w:rPr>
                <w:sz w:val="18"/>
                <w:szCs w:val="18"/>
                <w:lang w:eastAsia="zh-CN"/>
              </w:rPr>
              <w:t>UIT en vue de l'action</w:t>
            </w:r>
          </w:p>
        </w:tc>
        <w:tc>
          <w:tcPr>
            <w:tcW w:w="850" w:type="dxa"/>
            <w:tcMar>
              <w:left w:w="85" w:type="dxa"/>
              <w:right w:w="85" w:type="dxa"/>
            </w:tcMar>
          </w:tcPr>
          <w:p w14:paraId="761CE9F6" w14:textId="1B48D278" w:rsidR="00076BDD" w:rsidRPr="002937EF" w:rsidRDefault="00F24E69" w:rsidP="009E5A68">
            <w:pPr>
              <w:pStyle w:val="Tabletext"/>
              <w:spacing w:before="20" w:after="20" w:line="228" w:lineRule="auto"/>
              <w:jc w:val="center"/>
              <w:rPr>
                <w:sz w:val="18"/>
                <w:szCs w:val="18"/>
              </w:rPr>
            </w:pPr>
            <w:r w:rsidRPr="002937EF">
              <w:rPr>
                <w:sz w:val="18"/>
                <w:szCs w:val="18"/>
              </w:rPr>
              <w:t>1er dé</w:t>
            </w:r>
            <w:r w:rsidR="00076BDD" w:rsidRPr="002937EF">
              <w:rPr>
                <w:sz w:val="18"/>
                <w:szCs w:val="18"/>
              </w:rPr>
              <w:t>c. 2018</w:t>
            </w:r>
          </w:p>
        </w:tc>
        <w:tc>
          <w:tcPr>
            <w:tcW w:w="851" w:type="dxa"/>
            <w:tcMar>
              <w:left w:w="85" w:type="dxa"/>
              <w:right w:w="85" w:type="dxa"/>
            </w:tcMar>
          </w:tcPr>
          <w:p w14:paraId="4E4870E3" w14:textId="41D7CF02" w:rsidR="00076BDD" w:rsidRPr="002937EF" w:rsidRDefault="00076BDD" w:rsidP="009E5A68">
            <w:pPr>
              <w:pStyle w:val="Tabletext"/>
              <w:spacing w:before="20" w:after="20" w:line="228" w:lineRule="auto"/>
              <w:jc w:val="center"/>
              <w:rPr>
                <w:sz w:val="18"/>
                <w:szCs w:val="18"/>
              </w:rPr>
            </w:pPr>
            <w:r w:rsidRPr="002937EF">
              <w:rPr>
                <w:sz w:val="18"/>
                <w:szCs w:val="18"/>
              </w:rPr>
              <w:t xml:space="preserve">15 </w:t>
            </w:r>
            <w:r w:rsidR="00F24E69" w:rsidRPr="002937EF">
              <w:rPr>
                <w:sz w:val="18"/>
                <w:szCs w:val="18"/>
              </w:rPr>
              <w:t>mai</w:t>
            </w:r>
            <w:r w:rsidRPr="002937EF">
              <w:rPr>
                <w:sz w:val="18"/>
                <w:szCs w:val="18"/>
              </w:rPr>
              <w:t xml:space="preserve"> 2023</w:t>
            </w:r>
          </w:p>
        </w:tc>
        <w:tc>
          <w:tcPr>
            <w:tcW w:w="1165" w:type="dxa"/>
            <w:tcMar>
              <w:left w:w="85" w:type="dxa"/>
              <w:right w:w="85" w:type="dxa"/>
            </w:tcMar>
          </w:tcPr>
          <w:p w14:paraId="4C1F8B4E" w14:textId="5EBAAC2B" w:rsidR="00076BDD" w:rsidRPr="002937EF" w:rsidRDefault="004C73AD" w:rsidP="009E5A68">
            <w:pPr>
              <w:pStyle w:val="Tabletext"/>
              <w:spacing w:before="20" w:after="20" w:line="228" w:lineRule="auto"/>
              <w:jc w:val="center"/>
              <w:rPr>
                <w:sz w:val="18"/>
                <w:szCs w:val="18"/>
              </w:rPr>
            </w:pPr>
            <w:r w:rsidRPr="002937EF">
              <w:rPr>
                <w:sz w:val="18"/>
                <w:szCs w:val="18"/>
              </w:rPr>
              <w:t>Afrique</w:t>
            </w:r>
          </w:p>
        </w:tc>
        <w:tc>
          <w:tcPr>
            <w:tcW w:w="961" w:type="dxa"/>
            <w:tcMar>
              <w:left w:w="85" w:type="dxa"/>
              <w:right w:w="85" w:type="dxa"/>
            </w:tcMar>
          </w:tcPr>
          <w:p w14:paraId="71301D2E" w14:textId="57D5183D" w:rsidR="00076BDD" w:rsidRPr="002937EF" w:rsidRDefault="00076BDD" w:rsidP="009E5A68">
            <w:pPr>
              <w:pStyle w:val="Tabletext"/>
              <w:spacing w:before="20" w:after="20" w:line="228" w:lineRule="auto"/>
              <w:jc w:val="center"/>
              <w:rPr>
                <w:sz w:val="18"/>
                <w:szCs w:val="18"/>
              </w:rPr>
            </w:pPr>
            <w:r w:rsidRPr="002937EF">
              <w:rPr>
                <w:sz w:val="18"/>
                <w:szCs w:val="18"/>
              </w:rPr>
              <w:t xml:space="preserve">13 </w:t>
            </w:r>
            <w:r w:rsidR="00F24E69" w:rsidRPr="002937EF">
              <w:rPr>
                <w:sz w:val="18"/>
                <w:szCs w:val="18"/>
              </w:rPr>
              <w:t>n</w:t>
            </w:r>
            <w:r w:rsidRPr="002937EF">
              <w:rPr>
                <w:sz w:val="18"/>
                <w:szCs w:val="18"/>
              </w:rPr>
              <w:t>ov. 2018</w:t>
            </w:r>
          </w:p>
        </w:tc>
        <w:tc>
          <w:tcPr>
            <w:tcW w:w="1236" w:type="dxa"/>
            <w:tcMar>
              <w:left w:w="85" w:type="dxa"/>
              <w:right w:w="85" w:type="dxa"/>
            </w:tcMar>
          </w:tcPr>
          <w:p w14:paraId="5DDC527D" w14:textId="4823024E" w:rsidR="00076BDD" w:rsidRPr="002937EF" w:rsidRDefault="004C73AD" w:rsidP="009E5A68">
            <w:pPr>
              <w:pStyle w:val="Tabletext"/>
              <w:spacing w:before="20" w:after="20" w:line="228" w:lineRule="auto"/>
              <w:jc w:val="center"/>
              <w:rPr>
                <w:sz w:val="18"/>
                <w:szCs w:val="18"/>
              </w:rPr>
            </w:pPr>
            <w:r w:rsidRPr="002937EF">
              <w:rPr>
                <w:sz w:val="18"/>
                <w:szCs w:val="18"/>
              </w:rPr>
              <w:t>UE</w:t>
            </w:r>
          </w:p>
        </w:tc>
        <w:tc>
          <w:tcPr>
            <w:tcW w:w="1741" w:type="dxa"/>
            <w:tcMar>
              <w:left w:w="85" w:type="dxa"/>
              <w:right w:w="85" w:type="dxa"/>
            </w:tcMar>
          </w:tcPr>
          <w:p w14:paraId="68556B16" w14:textId="6DB8507D" w:rsidR="00076BDD" w:rsidRPr="002937EF" w:rsidRDefault="004C73AD" w:rsidP="009E5A68">
            <w:pPr>
              <w:pStyle w:val="Tabletext"/>
              <w:spacing w:before="20" w:after="20" w:line="228" w:lineRule="auto"/>
              <w:jc w:val="center"/>
              <w:rPr>
                <w:sz w:val="18"/>
                <w:szCs w:val="18"/>
              </w:rPr>
            </w:pPr>
            <w:proofErr w:type="gramStart"/>
            <w:r w:rsidRPr="002937EF">
              <w:rPr>
                <w:sz w:val="18"/>
                <w:szCs w:val="18"/>
              </w:rPr>
              <w:t>UE</w:t>
            </w:r>
            <w:r w:rsidR="00076BDD" w:rsidRPr="002937EF">
              <w:rPr>
                <w:sz w:val="18"/>
                <w:szCs w:val="18"/>
              </w:rPr>
              <w:t>:</w:t>
            </w:r>
            <w:proofErr w:type="gramEnd"/>
            <w:r w:rsidR="00076BDD" w:rsidRPr="002937EF">
              <w:rPr>
                <w:sz w:val="18"/>
                <w:szCs w:val="18"/>
              </w:rPr>
              <w:t xml:space="preserve"> </w:t>
            </w:r>
            <w:r w:rsidRPr="002937EF">
              <w:rPr>
                <w:sz w:val="18"/>
                <w:szCs w:val="18"/>
              </w:rPr>
              <w:t>5 000 </w:t>
            </w:r>
            <w:r w:rsidR="00076BDD" w:rsidRPr="002937EF">
              <w:rPr>
                <w:sz w:val="18"/>
                <w:szCs w:val="18"/>
              </w:rPr>
              <w:t>000</w:t>
            </w:r>
            <w:r w:rsidRPr="002937EF">
              <w:rPr>
                <w:sz w:val="18"/>
                <w:szCs w:val="18"/>
              </w:rPr>
              <w:t xml:space="preserve"> EUR</w:t>
            </w:r>
          </w:p>
          <w:p w14:paraId="2FFA177D" w14:textId="5AC5C42E" w:rsidR="00076BDD" w:rsidRPr="002937EF" w:rsidRDefault="004C73AD" w:rsidP="009E5A68">
            <w:pPr>
              <w:pStyle w:val="Tabletext"/>
              <w:spacing w:before="20" w:after="20" w:line="228" w:lineRule="auto"/>
              <w:jc w:val="center"/>
              <w:rPr>
                <w:sz w:val="18"/>
                <w:szCs w:val="18"/>
              </w:rPr>
            </w:pPr>
            <w:proofErr w:type="gramStart"/>
            <w:r w:rsidRPr="002937EF">
              <w:rPr>
                <w:sz w:val="18"/>
                <w:szCs w:val="18"/>
              </w:rPr>
              <w:t>FDTIC:</w:t>
            </w:r>
            <w:proofErr w:type="gramEnd"/>
            <w:r w:rsidRPr="002937EF">
              <w:rPr>
                <w:sz w:val="18"/>
                <w:szCs w:val="18"/>
              </w:rPr>
              <w:t xml:space="preserve"> 500 </w:t>
            </w:r>
            <w:r w:rsidR="00076BDD" w:rsidRPr="002937EF">
              <w:rPr>
                <w:sz w:val="18"/>
                <w:szCs w:val="18"/>
              </w:rPr>
              <w:t>000</w:t>
            </w:r>
            <w:r w:rsidRPr="002937EF">
              <w:rPr>
                <w:sz w:val="18"/>
                <w:szCs w:val="18"/>
              </w:rPr>
              <w:t xml:space="preserve"> EUR</w:t>
            </w:r>
          </w:p>
        </w:tc>
        <w:tc>
          <w:tcPr>
            <w:tcW w:w="1339" w:type="dxa"/>
            <w:tcMar>
              <w:left w:w="85" w:type="dxa"/>
              <w:right w:w="85" w:type="dxa"/>
            </w:tcMar>
          </w:tcPr>
          <w:p w14:paraId="2863F0DA" w14:textId="3DA3C27C" w:rsidR="00076BDD" w:rsidRPr="002937EF" w:rsidRDefault="004C73AD" w:rsidP="009E5A68">
            <w:pPr>
              <w:pStyle w:val="Tabletext"/>
              <w:spacing w:before="20" w:after="20" w:line="228" w:lineRule="auto"/>
              <w:jc w:val="center"/>
              <w:rPr>
                <w:sz w:val="18"/>
                <w:szCs w:val="18"/>
              </w:rPr>
            </w:pPr>
            <w:r w:rsidRPr="002937EF">
              <w:rPr>
                <w:sz w:val="18"/>
                <w:szCs w:val="18"/>
              </w:rPr>
              <w:t>4 517 </w:t>
            </w:r>
            <w:r w:rsidR="00076BDD" w:rsidRPr="002937EF">
              <w:rPr>
                <w:sz w:val="18"/>
                <w:szCs w:val="18"/>
              </w:rPr>
              <w:t>000</w:t>
            </w:r>
            <w:r w:rsidRPr="002937EF">
              <w:rPr>
                <w:sz w:val="18"/>
                <w:szCs w:val="18"/>
              </w:rPr>
              <w:t xml:space="preserve"> EUR</w:t>
            </w:r>
          </w:p>
        </w:tc>
      </w:tr>
      <w:tr w:rsidR="00076BDD" w:rsidRPr="002937EF" w14:paraId="30366283" w14:textId="77777777" w:rsidTr="009E5A68">
        <w:trPr>
          <w:trHeight w:val="403"/>
          <w:jc w:val="center"/>
        </w:trPr>
        <w:tc>
          <w:tcPr>
            <w:tcW w:w="1045" w:type="dxa"/>
            <w:tcMar>
              <w:left w:w="85" w:type="dxa"/>
              <w:right w:w="85" w:type="dxa"/>
            </w:tcMar>
          </w:tcPr>
          <w:p w14:paraId="469EBE40" w14:textId="77777777" w:rsidR="00076BDD" w:rsidRPr="002937EF" w:rsidRDefault="00076BDD" w:rsidP="009E5A68">
            <w:pPr>
              <w:pStyle w:val="Tabletext"/>
              <w:spacing w:before="20" w:after="20" w:line="228" w:lineRule="auto"/>
              <w:ind w:left="-65"/>
              <w:jc w:val="center"/>
              <w:rPr>
                <w:sz w:val="18"/>
                <w:szCs w:val="18"/>
              </w:rPr>
            </w:pPr>
            <w:r w:rsidRPr="002937EF">
              <w:rPr>
                <w:sz w:val="18"/>
                <w:szCs w:val="18"/>
              </w:rPr>
              <w:t>7GLO20106</w:t>
            </w:r>
          </w:p>
        </w:tc>
        <w:tc>
          <w:tcPr>
            <w:tcW w:w="1652" w:type="dxa"/>
            <w:tcMar>
              <w:left w:w="85" w:type="dxa"/>
              <w:right w:w="85" w:type="dxa"/>
            </w:tcMar>
          </w:tcPr>
          <w:p w14:paraId="52F56E79" w14:textId="5B0A3E54" w:rsidR="00076BDD" w:rsidRPr="002937EF" w:rsidRDefault="00611E59" w:rsidP="009E5A68">
            <w:pPr>
              <w:pStyle w:val="Tabletext"/>
              <w:spacing w:before="20" w:after="20" w:line="228" w:lineRule="auto"/>
              <w:jc w:val="center"/>
              <w:rPr>
                <w:sz w:val="18"/>
                <w:szCs w:val="18"/>
              </w:rPr>
            </w:pPr>
            <w:r w:rsidRPr="002937EF">
              <w:rPr>
                <w:sz w:val="18"/>
                <w:szCs w:val="18"/>
              </w:rPr>
              <w:t>Renforcer l'écosystème numérique et les compétences numériques pour autonomiser les femmes sur le plan économique dans les PMA</w:t>
            </w:r>
          </w:p>
        </w:tc>
        <w:tc>
          <w:tcPr>
            <w:tcW w:w="850" w:type="dxa"/>
            <w:tcMar>
              <w:left w:w="85" w:type="dxa"/>
              <w:right w:w="85" w:type="dxa"/>
            </w:tcMar>
          </w:tcPr>
          <w:p w14:paraId="2C9BEDE7" w14:textId="39B59B64" w:rsidR="00076BDD" w:rsidRPr="002937EF" w:rsidRDefault="00F24E69" w:rsidP="009E5A68">
            <w:pPr>
              <w:pStyle w:val="Tabletext"/>
              <w:spacing w:before="20" w:after="20" w:line="228" w:lineRule="auto"/>
              <w:jc w:val="center"/>
              <w:rPr>
                <w:sz w:val="18"/>
                <w:szCs w:val="18"/>
              </w:rPr>
            </w:pPr>
            <w:r w:rsidRPr="002937EF">
              <w:rPr>
                <w:sz w:val="18"/>
                <w:szCs w:val="18"/>
              </w:rPr>
              <w:t>1er</w:t>
            </w:r>
            <w:r w:rsidR="00076BDD" w:rsidRPr="002937EF">
              <w:rPr>
                <w:sz w:val="18"/>
                <w:szCs w:val="18"/>
              </w:rPr>
              <w:t xml:space="preserve"> </w:t>
            </w:r>
            <w:r w:rsidRPr="002937EF">
              <w:rPr>
                <w:sz w:val="18"/>
                <w:szCs w:val="18"/>
              </w:rPr>
              <w:t>jui</w:t>
            </w:r>
            <w:r w:rsidR="00076BDD" w:rsidRPr="002937EF">
              <w:rPr>
                <w:sz w:val="18"/>
                <w:szCs w:val="18"/>
              </w:rPr>
              <w:t>l. 2020</w:t>
            </w:r>
          </w:p>
        </w:tc>
        <w:tc>
          <w:tcPr>
            <w:tcW w:w="851" w:type="dxa"/>
            <w:tcMar>
              <w:left w:w="85" w:type="dxa"/>
              <w:right w:w="85" w:type="dxa"/>
            </w:tcMar>
          </w:tcPr>
          <w:p w14:paraId="75027781" w14:textId="73F89C5F" w:rsidR="00076BDD" w:rsidRPr="002937EF" w:rsidRDefault="00076BDD" w:rsidP="009E5A68">
            <w:pPr>
              <w:pStyle w:val="Tabletext"/>
              <w:spacing w:before="20" w:after="20" w:line="228" w:lineRule="auto"/>
              <w:jc w:val="center"/>
              <w:rPr>
                <w:sz w:val="18"/>
                <w:szCs w:val="18"/>
              </w:rPr>
            </w:pPr>
            <w:r w:rsidRPr="002937EF">
              <w:rPr>
                <w:sz w:val="18"/>
                <w:szCs w:val="18"/>
              </w:rPr>
              <w:t xml:space="preserve">30 </w:t>
            </w:r>
            <w:r w:rsidR="00F24E69" w:rsidRPr="002937EF">
              <w:rPr>
                <w:sz w:val="18"/>
                <w:szCs w:val="18"/>
              </w:rPr>
              <w:t>j</w:t>
            </w:r>
            <w:r w:rsidRPr="002937EF">
              <w:rPr>
                <w:sz w:val="18"/>
                <w:szCs w:val="18"/>
              </w:rPr>
              <w:t>u</w:t>
            </w:r>
            <w:r w:rsidR="00F24E69" w:rsidRPr="002937EF">
              <w:rPr>
                <w:sz w:val="18"/>
                <w:szCs w:val="18"/>
              </w:rPr>
              <w:t>i</w:t>
            </w:r>
            <w:r w:rsidRPr="002937EF">
              <w:rPr>
                <w:sz w:val="18"/>
                <w:szCs w:val="18"/>
              </w:rPr>
              <w:t>n 2022</w:t>
            </w:r>
          </w:p>
        </w:tc>
        <w:tc>
          <w:tcPr>
            <w:tcW w:w="1165" w:type="dxa"/>
            <w:tcMar>
              <w:left w:w="85" w:type="dxa"/>
              <w:right w:w="85" w:type="dxa"/>
            </w:tcMar>
          </w:tcPr>
          <w:p w14:paraId="7AAF7FBA" w14:textId="694B423B" w:rsidR="00076BDD" w:rsidRPr="002937EF" w:rsidRDefault="001438B5" w:rsidP="009E5A68">
            <w:pPr>
              <w:pStyle w:val="Tabletext"/>
              <w:spacing w:before="20" w:after="20" w:line="228" w:lineRule="auto"/>
              <w:jc w:val="center"/>
              <w:rPr>
                <w:sz w:val="18"/>
                <w:szCs w:val="18"/>
              </w:rPr>
            </w:pPr>
            <w:r w:rsidRPr="002937EF">
              <w:rPr>
                <w:sz w:val="18"/>
                <w:szCs w:val="18"/>
              </w:rPr>
              <w:t xml:space="preserve">Projet </w:t>
            </w:r>
            <w:r w:rsidR="00AB3455" w:rsidRPr="002937EF">
              <w:rPr>
                <w:sz w:val="18"/>
                <w:szCs w:val="18"/>
              </w:rPr>
              <w:t>multirégional</w:t>
            </w:r>
          </w:p>
        </w:tc>
        <w:tc>
          <w:tcPr>
            <w:tcW w:w="961" w:type="dxa"/>
            <w:tcMar>
              <w:left w:w="85" w:type="dxa"/>
              <w:right w:w="85" w:type="dxa"/>
            </w:tcMar>
          </w:tcPr>
          <w:p w14:paraId="39C40A1E" w14:textId="2331D4A5" w:rsidR="00076BDD" w:rsidRPr="002937EF" w:rsidRDefault="00F24E69" w:rsidP="009E5A68">
            <w:pPr>
              <w:pStyle w:val="Tabletext"/>
              <w:spacing w:before="20" w:after="20" w:line="228" w:lineRule="auto"/>
              <w:jc w:val="center"/>
              <w:rPr>
                <w:sz w:val="18"/>
                <w:szCs w:val="18"/>
              </w:rPr>
            </w:pPr>
            <w:r w:rsidRPr="002937EF">
              <w:rPr>
                <w:sz w:val="18"/>
                <w:szCs w:val="18"/>
              </w:rPr>
              <w:t>1er</w:t>
            </w:r>
            <w:r w:rsidR="00076BDD" w:rsidRPr="002937EF">
              <w:rPr>
                <w:sz w:val="18"/>
                <w:szCs w:val="18"/>
              </w:rPr>
              <w:t xml:space="preserve"> </w:t>
            </w:r>
            <w:r w:rsidRPr="002937EF">
              <w:rPr>
                <w:sz w:val="18"/>
                <w:szCs w:val="18"/>
              </w:rPr>
              <w:t>jui</w:t>
            </w:r>
            <w:r w:rsidR="00076BDD" w:rsidRPr="002937EF">
              <w:rPr>
                <w:sz w:val="18"/>
                <w:szCs w:val="18"/>
              </w:rPr>
              <w:t>l. 2020</w:t>
            </w:r>
          </w:p>
        </w:tc>
        <w:tc>
          <w:tcPr>
            <w:tcW w:w="1236" w:type="dxa"/>
            <w:tcMar>
              <w:left w:w="85" w:type="dxa"/>
              <w:right w:w="85" w:type="dxa"/>
            </w:tcMar>
          </w:tcPr>
          <w:p w14:paraId="30C4EB01" w14:textId="7FA8969B" w:rsidR="00076BDD" w:rsidRPr="002937EF" w:rsidRDefault="001438B5" w:rsidP="009E5A68">
            <w:pPr>
              <w:pStyle w:val="Tabletext"/>
              <w:spacing w:before="20" w:after="20" w:line="228" w:lineRule="auto"/>
              <w:jc w:val="center"/>
              <w:rPr>
                <w:sz w:val="18"/>
                <w:szCs w:val="18"/>
              </w:rPr>
            </w:pPr>
            <w:r w:rsidRPr="002937EF">
              <w:rPr>
                <w:sz w:val="18"/>
                <w:szCs w:val="18"/>
              </w:rPr>
              <w:t>CIR</w:t>
            </w:r>
            <w:r w:rsidR="00076BDD" w:rsidRPr="002937EF">
              <w:rPr>
                <w:sz w:val="18"/>
                <w:szCs w:val="18"/>
              </w:rPr>
              <w:t>, UNOPS</w:t>
            </w:r>
          </w:p>
        </w:tc>
        <w:tc>
          <w:tcPr>
            <w:tcW w:w="1741" w:type="dxa"/>
            <w:tcMar>
              <w:left w:w="85" w:type="dxa"/>
              <w:right w:w="85" w:type="dxa"/>
            </w:tcMar>
          </w:tcPr>
          <w:p w14:paraId="0D78517E" w14:textId="55007E52" w:rsidR="00076BDD" w:rsidRPr="002937EF" w:rsidRDefault="001438B5" w:rsidP="009E5A68">
            <w:pPr>
              <w:pStyle w:val="Tabletext"/>
              <w:spacing w:before="20" w:after="20" w:line="228" w:lineRule="auto"/>
              <w:jc w:val="center"/>
              <w:rPr>
                <w:sz w:val="18"/>
                <w:szCs w:val="18"/>
              </w:rPr>
            </w:pPr>
            <w:proofErr w:type="gramStart"/>
            <w:r w:rsidRPr="002937EF">
              <w:rPr>
                <w:sz w:val="18"/>
                <w:szCs w:val="18"/>
              </w:rPr>
              <w:t>CIR</w:t>
            </w:r>
            <w:r w:rsidR="00076BDD" w:rsidRPr="002937EF">
              <w:rPr>
                <w:sz w:val="18"/>
                <w:szCs w:val="18"/>
              </w:rPr>
              <w:t>:</w:t>
            </w:r>
            <w:proofErr w:type="gramEnd"/>
            <w:r w:rsidR="00076BDD" w:rsidRPr="002937EF">
              <w:rPr>
                <w:sz w:val="18"/>
                <w:szCs w:val="18"/>
              </w:rPr>
              <w:t xml:space="preserve"> </w:t>
            </w:r>
            <w:r w:rsidR="00C70A77" w:rsidRPr="002937EF">
              <w:rPr>
                <w:sz w:val="18"/>
                <w:szCs w:val="18"/>
              </w:rPr>
              <w:t>798 </w:t>
            </w:r>
            <w:r w:rsidR="00076BDD" w:rsidRPr="002937EF">
              <w:rPr>
                <w:sz w:val="18"/>
                <w:szCs w:val="18"/>
              </w:rPr>
              <w:t>104</w:t>
            </w:r>
            <w:r w:rsidR="00C70A77" w:rsidRPr="002937EF">
              <w:rPr>
                <w:sz w:val="18"/>
                <w:szCs w:val="18"/>
              </w:rPr>
              <w:t xml:space="preserve"> </w:t>
            </w:r>
            <w:r w:rsidR="003D5116" w:rsidRPr="002937EF">
              <w:rPr>
                <w:sz w:val="18"/>
                <w:szCs w:val="18"/>
              </w:rPr>
              <w:t>USD</w:t>
            </w:r>
          </w:p>
          <w:p w14:paraId="5BDB173A" w14:textId="78AE9A69" w:rsidR="00076BDD" w:rsidRPr="002937EF" w:rsidRDefault="003D5116" w:rsidP="009E5A68">
            <w:pPr>
              <w:pStyle w:val="Tabletext"/>
              <w:spacing w:before="20" w:after="20" w:line="228" w:lineRule="auto"/>
              <w:jc w:val="center"/>
              <w:rPr>
                <w:sz w:val="18"/>
                <w:szCs w:val="18"/>
              </w:rPr>
            </w:pPr>
            <w:proofErr w:type="gramStart"/>
            <w:r w:rsidRPr="002937EF">
              <w:rPr>
                <w:sz w:val="18"/>
                <w:szCs w:val="18"/>
              </w:rPr>
              <w:t>FDTIC</w:t>
            </w:r>
            <w:r w:rsidR="00076BDD" w:rsidRPr="002937EF">
              <w:rPr>
                <w:sz w:val="18"/>
                <w:szCs w:val="18"/>
              </w:rPr>
              <w:t>:</w:t>
            </w:r>
            <w:proofErr w:type="gramEnd"/>
            <w:r w:rsidR="00076BDD" w:rsidRPr="002937EF">
              <w:rPr>
                <w:sz w:val="18"/>
                <w:szCs w:val="18"/>
              </w:rPr>
              <w:t xml:space="preserve"> </w:t>
            </w:r>
            <w:r w:rsidR="009A0A79" w:rsidRPr="002937EF">
              <w:rPr>
                <w:sz w:val="18"/>
                <w:szCs w:val="18"/>
              </w:rPr>
              <w:t>430 </w:t>
            </w:r>
            <w:r w:rsidR="00076BDD" w:rsidRPr="002937EF">
              <w:rPr>
                <w:sz w:val="18"/>
                <w:szCs w:val="18"/>
              </w:rPr>
              <w:t>245</w:t>
            </w:r>
            <w:r w:rsidR="009A0A79" w:rsidRPr="002937EF">
              <w:rPr>
                <w:sz w:val="18"/>
                <w:szCs w:val="18"/>
              </w:rPr>
              <w:t xml:space="preserve"> USD</w:t>
            </w:r>
          </w:p>
        </w:tc>
        <w:tc>
          <w:tcPr>
            <w:tcW w:w="1339" w:type="dxa"/>
            <w:tcMar>
              <w:left w:w="85" w:type="dxa"/>
              <w:right w:w="85" w:type="dxa"/>
            </w:tcMar>
          </w:tcPr>
          <w:p w14:paraId="7F16FEB5" w14:textId="2E926F6E" w:rsidR="00076BDD" w:rsidRPr="002937EF" w:rsidRDefault="009A0A79" w:rsidP="009E5A68">
            <w:pPr>
              <w:pStyle w:val="Tabletext"/>
              <w:spacing w:before="20" w:after="20" w:line="228" w:lineRule="auto"/>
              <w:jc w:val="center"/>
              <w:rPr>
                <w:sz w:val="18"/>
                <w:szCs w:val="18"/>
              </w:rPr>
            </w:pPr>
            <w:r w:rsidRPr="002937EF">
              <w:rPr>
                <w:sz w:val="18"/>
                <w:szCs w:val="18"/>
              </w:rPr>
              <w:t>1 228 </w:t>
            </w:r>
            <w:r w:rsidR="00076BDD" w:rsidRPr="002937EF">
              <w:rPr>
                <w:sz w:val="18"/>
                <w:szCs w:val="18"/>
              </w:rPr>
              <w:t>349</w:t>
            </w:r>
            <w:r w:rsidRPr="002937EF">
              <w:rPr>
                <w:sz w:val="18"/>
                <w:szCs w:val="18"/>
              </w:rPr>
              <w:t xml:space="preserve"> USD</w:t>
            </w:r>
          </w:p>
        </w:tc>
      </w:tr>
      <w:tr w:rsidR="00076BDD" w:rsidRPr="002937EF" w14:paraId="1792FB61" w14:textId="77777777" w:rsidTr="009E5A68">
        <w:trPr>
          <w:trHeight w:val="403"/>
          <w:jc w:val="center"/>
        </w:trPr>
        <w:tc>
          <w:tcPr>
            <w:tcW w:w="1045" w:type="dxa"/>
            <w:tcMar>
              <w:left w:w="85" w:type="dxa"/>
              <w:right w:w="85" w:type="dxa"/>
            </w:tcMar>
          </w:tcPr>
          <w:p w14:paraId="316DFFB3" w14:textId="77777777" w:rsidR="00076BDD" w:rsidRPr="002937EF" w:rsidRDefault="00076BDD" w:rsidP="009E5A68">
            <w:pPr>
              <w:pStyle w:val="Tabletext"/>
              <w:spacing w:before="20" w:after="20" w:line="228" w:lineRule="auto"/>
              <w:ind w:left="-65"/>
              <w:jc w:val="center"/>
              <w:rPr>
                <w:sz w:val="18"/>
                <w:szCs w:val="18"/>
              </w:rPr>
            </w:pPr>
            <w:r w:rsidRPr="002937EF">
              <w:rPr>
                <w:sz w:val="18"/>
                <w:szCs w:val="18"/>
              </w:rPr>
              <w:t>7GLO20108</w:t>
            </w:r>
          </w:p>
        </w:tc>
        <w:tc>
          <w:tcPr>
            <w:tcW w:w="1652" w:type="dxa"/>
            <w:tcMar>
              <w:left w:w="85" w:type="dxa"/>
              <w:right w:w="85" w:type="dxa"/>
            </w:tcMar>
          </w:tcPr>
          <w:p w14:paraId="63F75423" w14:textId="31FDFB21" w:rsidR="00076BDD" w:rsidRPr="002937EF" w:rsidRDefault="00AF1FDD" w:rsidP="009E5A68">
            <w:pPr>
              <w:pStyle w:val="Tabletext"/>
              <w:spacing w:before="20" w:after="20" w:line="228" w:lineRule="auto"/>
              <w:jc w:val="center"/>
              <w:rPr>
                <w:sz w:val="18"/>
                <w:szCs w:val="18"/>
              </w:rPr>
            </w:pPr>
            <w:r w:rsidRPr="002937EF">
              <w:rPr>
                <w:sz w:val="18"/>
                <w:szCs w:val="18"/>
              </w:rPr>
              <w:t>Renforcer les compétences numériques au moyen des Centres de transformation numérique</w:t>
            </w:r>
          </w:p>
        </w:tc>
        <w:tc>
          <w:tcPr>
            <w:tcW w:w="850" w:type="dxa"/>
            <w:tcMar>
              <w:left w:w="85" w:type="dxa"/>
              <w:right w:w="85" w:type="dxa"/>
            </w:tcMar>
          </w:tcPr>
          <w:p w14:paraId="2263A1F3" w14:textId="43F4AFFE" w:rsidR="00076BDD" w:rsidRPr="002937EF" w:rsidRDefault="00F24E69" w:rsidP="009E5A68">
            <w:pPr>
              <w:pStyle w:val="Tabletext"/>
              <w:spacing w:before="20" w:after="20" w:line="228" w:lineRule="auto"/>
              <w:jc w:val="center"/>
              <w:rPr>
                <w:sz w:val="18"/>
                <w:szCs w:val="18"/>
              </w:rPr>
            </w:pPr>
            <w:r w:rsidRPr="002937EF">
              <w:rPr>
                <w:sz w:val="18"/>
                <w:szCs w:val="18"/>
              </w:rPr>
              <w:t>1er</w:t>
            </w:r>
            <w:r w:rsidR="00076BDD" w:rsidRPr="002937EF">
              <w:rPr>
                <w:sz w:val="18"/>
                <w:szCs w:val="18"/>
              </w:rPr>
              <w:t xml:space="preserve"> </w:t>
            </w:r>
            <w:r w:rsidRPr="002937EF">
              <w:rPr>
                <w:sz w:val="18"/>
                <w:szCs w:val="18"/>
              </w:rPr>
              <w:t>j</w:t>
            </w:r>
            <w:r w:rsidR="00076BDD" w:rsidRPr="002937EF">
              <w:rPr>
                <w:sz w:val="18"/>
                <w:szCs w:val="18"/>
              </w:rPr>
              <w:t>an. 2021</w:t>
            </w:r>
          </w:p>
        </w:tc>
        <w:tc>
          <w:tcPr>
            <w:tcW w:w="851" w:type="dxa"/>
            <w:tcMar>
              <w:left w:w="85" w:type="dxa"/>
              <w:right w:w="85" w:type="dxa"/>
            </w:tcMar>
          </w:tcPr>
          <w:p w14:paraId="6348BBF2" w14:textId="534291B7" w:rsidR="00076BDD" w:rsidRPr="002937EF" w:rsidRDefault="00076BDD" w:rsidP="009E5A68">
            <w:pPr>
              <w:pStyle w:val="Tabletext"/>
              <w:spacing w:before="20" w:after="20" w:line="228" w:lineRule="auto"/>
              <w:jc w:val="center"/>
              <w:rPr>
                <w:sz w:val="18"/>
                <w:szCs w:val="18"/>
              </w:rPr>
            </w:pPr>
            <w:r w:rsidRPr="002937EF">
              <w:rPr>
                <w:sz w:val="18"/>
                <w:szCs w:val="18"/>
              </w:rPr>
              <w:t xml:space="preserve">31 </w:t>
            </w:r>
            <w:r w:rsidR="00F24E69" w:rsidRPr="002937EF">
              <w:rPr>
                <w:sz w:val="18"/>
                <w:szCs w:val="18"/>
              </w:rPr>
              <w:t>dé</w:t>
            </w:r>
            <w:r w:rsidR="001438B5" w:rsidRPr="002937EF">
              <w:rPr>
                <w:sz w:val="18"/>
                <w:szCs w:val="18"/>
              </w:rPr>
              <w:t xml:space="preserve">c. </w:t>
            </w:r>
            <w:r w:rsidRPr="002937EF">
              <w:rPr>
                <w:sz w:val="18"/>
                <w:szCs w:val="18"/>
              </w:rPr>
              <w:t>2023</w:t>
            </w:r>
          </w:p>
        </w:tc>
        <w:tc>
          <w:tcPr>
            <w:tcW w:w="1165" w:type="dxa"/>
            <w:tcMar>
              <w:left w:w="85" w:type="dxa"/>
              <w:right w:w="85" w:type="dxa"/>
            </w:tcMar>
          </w:tcPr>
          <w:p w14:paraId="785F167E" w14:textId="3AB8D3A2" w:rsidR="00076BDD" w:rsidRPr="002937EF" w:rsidRDefault="001438B5" w:rsidP="009E5A68">
            <w:pPr>
              <w:pStyle w:val="Tabletext"/>
              <w:spacing w:before="20" w:after="20" w:line="228" w:lineRule="auto"/>
              <w:jc w:val="center"/>
              <w:rPr>
                <w:sz w:val="18"/>
                <w:szCs w:val="18"/>
              </w:rPr>
            </w:pPr>
            <w:r w:rsidRPr="002937EF">
              <w:rPr>
                <w:sz w:val="18"/>
                <w:szCs w:val="18"/>
              </w:rPr>
              <w:t xml:space="preserve">Projet </w:t>
            </w:r>
            <w:r w:rsidR="00AB3455" w:rsidRPr="002937EF">
              <w:rPr>
                <w:sz w:val="18"/>
                <w:szCs w:val="18"/>
              </w:rPr>
              <w:t>multirégional</w:t>
            </w:r>
          </w:p>
        </w:tc>
        <w:tc>
          <w:tcPr>
            <w:tcW w:w="961" w:type="dxa"/>
            <w:tcMar>
              <w:left w:w="85" w:type="dxa"/>
              <w:right w:w="85" w:type="dxa"/>
            </w:tcMar>
          </w:tcPr>
          <w:p w14:paraId="72EEC8F8" w14:textId="269E093A" w:rsidR="00076BDD" w:rsidRPr="002937EF" w:rsidRDefault="00076BDD" w:rsidP="009E5A68">
            <w:pPr>
              <w:pStyle w:val="Tabletext"/>
              <w:spacing w:before="20" w:after="20" w:line="228" w:lineRule="auto"/>
              <w:jc w:val="center"/>
              <w:rPr>
                <w:sz w:val="18"/>
                <w:szCs w:val="18"/>
              </w:rPr>
            </w:pPr>
            <w:r w:rsidRPr="002937EF">
              <w:rPr>
                <w:sz w:val="18"/>
                <w:szCs w:val="18"/>
              </w:rPr>
              <w:t xml:space="preserve">10 </w:t>
            </w:r>
            <w:r w:rsidR="00F24E69" w:rsidRPr="002937EF">
              <w:rPr>
                <w:sz w:val="18"/>
                <w:szCs w:val="18"/>
              </w:rPr>
              <w:t>n</w:t>
            </w:r>
            <w:r w:rsidRPr="002937EF">
              <w:rPr>
                <w:sz w:val="18"/>
                <w:szCs w:val="18"/>
              </w:rPr>
              <w:t>ov. 2020</w:t>
            </w:r>
          </w:p>
        </w:tc>
        <w:tc>
          <w:tcPr>
            <w:tcW w:w="1236" w:type="dxa"/>
            <w:tcMar>
              <w:left w:w="85" w:type="dxa"/>
              <w:right w:w="85" w:type="dxa"/>
            </w:tcMar>
          </w:tcPr>
          <w:p w14:paraId="4DA0D332" w14:textId="77777777" w:rsidR="00076BDD" w:rsidRPr="002937EF" w:rsidRDefault="00076BDD" w:rsidP="009E5A68">
            <w:pPr>
              <w:pStyle w:val="Tabletext"/>
              <w:spacing w:before="20" w:after="20" w:line="228" w:lineRule="auto"/>
              <w:jc w:val="center"/>
              <w:rPr>
                <w:sz w:val="18"/>
                <w:szCs w:val="18"/>
              </w:rPr>
            </w:pPr>
            <w:r w:rsidRPr="002937EF">
              <w:rPr>
                <w:sz w:val="18"/>
                <w:szCs w:val="18"/>
              </w:rPr>
              <w:t>NORAD</w:t>
            </w:r>
          </w:p>
        </w:tc>
        <w:tc>
          <w:tcPr>
            <w:tcW w:w="1741" w:type="dxa"/>
            <w:tcMar>
              <w:left w:w="85" w:type="dxa"/>
              <w:right w:w="85" w:type="dxa"/>
            </w:tcMar>
          </w:tcPr>
          <w:p w14:paraId="2DD2FDCE" w14:textId="0F96FE25" w:rsidR="00076BDD" w:rsidRPr="002937EF" w:rsidRDefault="00076BDD" w:rsidP="009E5A68">
            <w:pPr>
              <w:pStyle w:val="Tabletext"/>
              <w:spacing w:before="20" w:after="20" w:line="228" w:lineRule="auto"/>
              <w:jc w:val="center"/>
              <w:rPr>
                <w:sz w:val="18"/>
                <w:szCs w:val="18"/>
              </w:rPr>
            </w:pPr>
            <w:proofErr w:type="gramStart"/>
            <w:r w:rsidRPr="002937EF">
              <w:rPr>
                <w:sz w:val="18"/>
                <w:szCs w:val="18"/>
              </w:rPr>
              <w:t>NORAD:</w:t>
            </w:r>
            <w:proofErr w:type="gramEnd"/>
            <w:r w:rsidRPr="002937EF">
              <w:rPr>
                <w:sz w:val="18"/>
                <w:szCs w:val="18"/>
              </w:rPr>
              <w:t xml:space="preserve"> </w:t>
            </w:r>
            <w:r w:rsidR="009A0A79" w:rsidRPr="002937EF">
              <w:rPr>
                <w:sz w:val="18"/>
                <w:szCs w:val="18"/>
              </w:rPr>
              <w:t>3 </w:t>
            </w:r>
            <w:r w:rsidRPr="002937EF">
              <w:rPr>
                <w:sz w:val="18"/>
                <w:szCs w:val="18"/>
              </w:rPr>
              <w:t>008</w:t>
            </w:r>
            <w:r w:rsidR="009A0A79" w:rsidRPr="002937EF">
              <w:rPr>
                <w:sz w:val="18"/>
                <w:szCs w:val="18"/>
              </w:rPr>
              <w:t> </w:t>
            </w:r>
            <w:r w:rsidRPr="002937EF">
              <w:rPr>
                <w:sz w:val="18"/>
                <w:szCs w:val="18"/>
              </w:rPr>
              <w:t>468</w:t>
            </w:r>
            <w:r w:rsidR="007A24F1" w:rsidRPr="002937EF">
              <w:rPr>
                <w:sz w:val="18"/>
                <w:szCs w:val="18"/>
              </w:rPr>
              <w:t> </w:t>
            </w:r>
            <w:r w:rsidR="009A0A79" w:rsidRPr="002937EF">
              <w:rPr>
                <w:sz w:val="18"/>
                <w:szCs w:val="18"/>
              </w:rPr>
              <w:t>CHF</w:t>
            </w:r>
          </w:p>
          <w:p w14:paraId="125F9D1C" w14:textId="31733832" w:rsidR="00076BDD" w:rsidRPr="002937EF" w:rsidRDefault="009A0A79" w:rsidP="009E5A68">
            <w:pPr>
              <w:pStyle w:val="Tabletext"/>
              <w:spacing w:before="20" w:after="20" w:line="228" w:lineRule="auto"/>
              <w:jc w:val="center"/>
              <w:rPr>
                <w:sz w:val="18"/>
                <w:szCs w:val="18"/>
              </w:rPr>
            </w:pPr>
            <w:proofErr w:type="gramStart"/>
            <w:r w:rsidRPr="002937EF">
              <w:rPr>
                <w:sz w:val="18"/>
                <w:szCs w:val="18"/>
              </w:rPr>
              <w:t>FDTIC</w:t>
            </w:r>
            <w:r w:rsidR="00076BDD" w:rsidRPr="002937EF">
              <w:rPr>
                <w:sz w:val="18"/>
                <w:szCs w:val="18"/>
              </w:rPr>
              <w:t>:</w:t>
            </w:r>
            <w:proofErr w:type="gramEnd"/>
            <w:r w:rsidR="00076BDD" w:rsidRPr="002937EF">
              <w:rPr>
                <w:sz w:val="18"/>
                <w:szCs w:val="18"/>
              </w:rPr>
              <w:t xml:space="preserve"> </w:t>
            </w:r>
            <w:r w:rsidR="00F42C13" w:rsidRPr="002937EF">
              <w:rPr>
                <w:sz w:val="18"/>
                <w:szCs w:val="18"/>
              </w:rPr>
              <w:t>759 </w:t>
            </w:r>
            <w:r w:rsidR="00076BDD" w:rsidRPr="002937EF">
              <w:rPr>
                <w:sz w:val="18"/>
                <w:szCs w:val="18"/>
              </w:rPr>
              <w:t>024</w:t>
            </w:r>
            <w:r w:rsidR="00F42C13" w:rsidRPr="002937EF">
              <w:rPr>
                <w:sz w:val="18"/>
                <w:szCs w:val="18"/>
              </w:rPr>
              <w:t xml:space="preserve"> CHF</w:t>
            </w:r>
          </w:p>
        </w:tc>
        <w:tc>
          <w:tcPr>
            <w:tcW w:w="1339" w:type="dxa"/>
            <w:tcMar>
              <w:left w:w="85" w:type="dxa"/>
              <w:right w:w="85" w:type="dxa"/>
            </w:tcMar>
          </w:tcPr>
          <w:p w14:paraId="791AE368" w14:textId="12F7EC82" w:rsidR="00076BDD" w:rsidRPr="002937EF" w:rsidRDefault="007F2700" w:rsidP="009E5A68">
            <w:pPr>
              <w:pStyle w:val="Tabletext"/>
              <w:spacing w:before="20" w:after="20" w:line="228" w:lineRule="auto"/>
              <w:jc w:val="center"/>
              <w:rPr>
                <w:sz w:val="18"/>
                <w:szCs w:val="18"/>
              </w:rPr>
            </w:pPr>
            <w:r w:rsidRPr="002937EF">
              <w:rPr>
                <w:sz w:val="18"/>
                <w:szCs w:val="18"/>
              </w:rPr>
              <w:t>3 767 </w:t>
            </w:r>
            <w:r w:rsidR="00076BDD" w:rsidRPr="002937EF">
              <w:rPr>
                <w:sz w:val="18"/>
                <w:szCs w:val="18"/>
              </w:rPr>
              <w:t>492</w:t>
            </w:r>
            <w:r w:rsidRPr="002937EF">
              <w:rPr>
                <w:sz w:val="18"/>
                <w:szCs w:val="18"/>
              </w:rPr>
              <w:t xml:space="preserve"> CHF</w:t>
            </w:r>
          </w:p>
        </w:tc>
      </w:tr>
    </w:tbl>
    <w:p w14:paraId="12F7D2B8" w14:textId="77777777" w:rsidR="00611E59" w:rsidRPr="002937EF" w:rsidRDefault="00611E59" w:rsidP="007909AD">
      <w:pPr>
        <w:spacing w:before="360"/>
        <w:jc w:val="center"/>
      </w:pPr>
      <w:r w:rsidRPr="002937EF">
        <w:t>______________</w:t>
      </w:r>
    </w:p>
    <w:sectPr w:rsidR="00611E59" w:rsidRPr="002937EF" w:rsidSect="005C3890">
      <w:headerReference w:type="even" r:id="rId22"/>
      <w:headerReference w:type="default" r:id="rId23"/>
      <w:footerReference w:type="even" r:id="rId24"/>
      <w:footerReference w:type="default" r:id="rId25"/>
      <w:footerReference w:type="first" r:id="rId2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199A9" w14:textId="77777777" w:rsidR="00F00F15" w:rsidRDefault="00F00F15">
      <w:r>
        <w:separator/>
      </w:r>
    </w:p>
  </w:endnote>
  <w:endnote w:type="continuationSeparator" w:id="0">
    <w:p w14:paraId="0E532111" w14:textId="77777777" w:rsidR="00F00F15" w:rsidRDefault="00F0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3B51" w14:textId="43757004" w:rsidR="00732045" w:rsidRDefault="00EC2D68">
    <w:pPr>
      <w:pStyle w:val="Footer"/>
    </w:pPr>
    <w:r>
      <w:fldChar w:fldCharType="begin"/>
    </w:r>
    <w:r>
      <w:instrText xml:space="preserve"> FILENAME \p \* MERGEFORMAT </w:instrText>
    </w:r>
    <w:r>
      <w:fldChar w:fldCharType="separate"/>
    </w:r>
    <w:r w:rsidR="00B45263">
      <w:t>P:\FRA\SG\CONSEIL\C21\000\034F.docx</w:t>
    </w:r>
    <w:r>
      <w:fldChar w:fldCharType="end"/>
    </w:r>
    <w:r w:rsidR="00732045">
      <w:tab/>
    </w:r>
    <w:r w:rsidR="002F1B76">
      <w:fldChar w:fldCharType="begin"/>
    </w:r>
    <w:r w:rsidR="00732045">
      <w:instrText xml:space="preserve"> savedate \@ dd.MM.yy </w:instrText>
    </w:r>
    <w:r w:rsidR="002F1B76">
      <w:fldChar w:fldCharType="separate"/>
    </w:r>
    <w:r>
      <w:t>09.04.21</w:t>
    </w:r>
    <w:r w:rsidR="002F1B76">
      <w:fldChar w:fldCharType="end"/>
    </w:r>
    <w:r w:rsidR="00732045">
      <w:tab/>
    </w:r>
    <w:r w:rsidR="002F1B76">
      <w:fldChar w:fldCharType="begin"/>
    </w:r>
    <w:r w:rsidR="00732045">
      <w:instrText xml:space="preserve"> printdate \@ dd.MM.yy </w:instrText>
    </w:r>
    <w:r w:rsidR="002F1B76">
      <w:fldChar w:fldCharType="separate"/>
    </w:r>
    <w:r w:rsidR="00B4526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71CB" w14:textId="2116D48C" w:rsidR="0012700F" w:rsidRPr="00EC2D68" w:rsidRDefault="00B45263" w:rsidP="0012700F">
    <w:pPr>
      <w:pStyle w:val="Footer"/>
      <w:rPr>
        <w:color w:val="D9D9D9" w:themeColor="background1" w:themeShade="D9"/>
      </w:rPr>
    </w:pPr>
    <w:r w:rsidRPr="00EC2D68">
      <w:rPr>
        <w:color w:val="D9D9D9" w:themeColor="background1" w:themeShade="D9"/>
      </w:rPr>
      <w:fldChar w:fldCharType="begin"/>
    </w:r>
    <w:r w:rsidRPr="00EC2D68">
      <w:rPr>
        <w:color w:val="D9D9D9" w:themeColor="background1" w:themeShade="D9"/>
      </w:rPr>
      <w:instrText xml:space="preserve"> FILENAME \p  \* MERGEFORMAT </w:instrText>
    </w:r>
    <w:r w:rsidRPr="00EC2D68">
      <w:rPr>
        <w:color w:val="D9D9D9" w:themeColor="background1" w:themeShade="D9"/>
      </w:rPr>
      <w:fldChar w:fldCharType="separate"/>
    </w:r>
    <w:r w:rsidRPr="00EC2D68">
      <w:rPr>
        <w:color w:val="D9D9D9" w:themeColor="background1" w:themeShade="D9"/>
      </w:rPr>
      <w:t>P:\FRA\SG\CONSEIL\C21\000\034F.docx</w:t>
    </w:r>
    <w:r w:rsidRPr="00EC2D68">
      <w:rPr>
        <w:color w:val="D9D9D9" w:themeColor="background1" w:themeShade="D9"/>
      </w:rPr>
      <w:fldChar w:fldCharType="end"/>
    </w:r>
    <w:r w:rsidR="0012700F" w:rsidRPr="00EC2D68">
      <w:rPr>
        <w:color w:val="D9D9D9" w:themeColor="background1" w:themeShade="D9"/>
      </w:rPr>
      <w:t xml:space="preserve"> (483230)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664B"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FEBDC" w14:textId="77777777" w:rsidR="00F00F15" w:rsidRDefault="00F00F15">
      <w:r>
        <w:t>____________________</w:t>
      </w:r>
    </w:p>
  </w:footnote>
  <w:footnote w:type="continuationSeparator" w:id="0">
    <w:p w14:paraId="30CBE89D" w14:textId="77777777" w:rsidR="00F00F15" w:rsidRDefault="00F00F15">
      <w:r>
        <w:continuationSeparator/>
      </w:r>
    </w:p>
  </w:footnote>
  <w:footnote w:id="1">
    <w:p w14:paraId="3B154241" w14:textId="0BD215A3" w:rsidR="00046455" w:rsidRDefault="00046455" w:rsidP="00CB5814">
      <w:pPr>
        <w:pStyle w:val="FootnoteText"/>
        <w:tabs>
          <w:tab w:val="clear" w:pos="567"/>
        </w:tabs>
      </w:pPr>
      <w:r>
        <w:rPr>
          <w:rStyle w:val="FootnoteReference"/>
        </w:rPr>
        <w:footnoteRef/>
      </w:r>
      <w:r w:rsidR="00CB5814">
        <w:tab/>
      </w:r>
      <w:r w:rsidRPr="00EC2D68">
        <w:rPr>
          <w:i/>
          <w:iCs/>
          <w:sz w:val="20"/>
        </w:rPr>
        <w:t xml:space="preserve">La Commission de direction du FDTIC </w:t>
      </w:r>
      <w:r w:rsidR="00E63F4C" w:rsidRPr="00EC2D68">
        <w:rPr>
          <w:i/>
          <w:iCs/>
          <w:sz w:val="20"/>
        </w:rPr>
        <w:t>est composée du Secrétaire général de l'UIT</w:t>
      </w:r>
      <w:r w:rsidR="00230EF0" w:rsidRPr="00EC2D68">
        <w:rPr>
          <w:i/>
          <w:iCs/>
          <w:sz w:val="20"/>
        </w:rPr>
        <w:t>, qui la préside, du Vice-Secrétaire général de l'UIT et de la Directrice du BDT.</w:t>
      </w:r>
    </w:p>
  </w:footnote>
  <w:footnote w:id="2">
    <w:p w14:paraId="7FF6C50A" w14:textId="69AF8C4E" w:rsidR="00076BDD" w:rsidRPr="006769E6" w:rsidRDefault="00076BDD" w:rsidP="00AE5252">
      <w:pPr>
        <w:pStyle w:val="FootnoteText"/>
        <w:spacing w:line="480" w:lineRule="auto"/>
        <w:ind w:left="0" w:firstLine="0"/>
        <w:rPr>
          <w:i/>
          <w:sz w:val="20"/>
          <w:szCs w:val="18"/>
          <w:lang w:val="fr-CH"/>
          <w14:textOutline w14:w="9525" w14:cap="rnd" w14:cmpd="sng" w14:algn="ctr">
            <w14:solidFill>
              <w14:schemeClr w14:val="accent1"/>
            </w14:solidFill>
            <w14:prstDash w14:val="solid"/>
            <w14:bevel/>
          </w14:textOutline>
        </w:rPr>
      </w:pPr>
      <w:r>
        <w:rPr>
          <w:rStyle w:val="FootnoteReference"/>
        </w:rPr>
        <w:footnoteRef/>
      </w:r>
      <w:r w:rsidRPr="006769E6">
        <w:rPr>
          <w:lang w:val="fr-CH"/>
        </w:rPr>
        <w:tab/>
      </w:r>
      <w:r w:rsidR="006769E6" w:rsidRPr="00EC2D68">
        <w:rPr>
          <w:i/>
          <w:iCs/>
          <w:sz w:val="20"/>
        </w:rPr>
        <w:t>Les informations définitives seront disponibles à la clôture des comptes financiers de l'UIT.</w:t>
      </w:r>
    </w:p>
  </w:footnote>
  <w:footnote w:id="3">
    <w:p w14:paraId="0E22C2D9" w14:textId="2EC1A3D3" w:rsidR="009465F3" w:rsidRDefault="009465F3" w:rsidP="007A24F1">
      <w:pPr>
        <w:pStyle w:val="FootnoteText10pt"/>
      </w:pPr>
      <w:r>
        <w:rPr>
          <w:rStyle w:val="FootnoteReference"/>
        </w:rPr>
        <w:footnoteRef/>
      </w:r>
      <w:r w:rsidR="007A24F1">
        <w:tab/>
      </w:r>
      <w:r w:rsidRPr="00EC2D68">
        <w:rPr>
          <w:rStyle w:val="FootnoteTextChar"/>
          <w:sz w:val="20"/>
          <w:szCs w:val="20"/>
        </w:rPr>
        <w:t>Les informations définitives seront disponibles à la clôture des comptes financiers de 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723D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CE61E8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B4163" w14:textId="4C65813A" w:rsidR="00732045" w:rsidRDefault="00C27A7C" w:rsidP="00475FB3">
    <w:pPr>
      <w:pStyle w:val="Header"/>
    </w:pPr>
    <w:r>
      <w:fldChar w:fldCharType="begin"/>
    </w:r>
    <w:r>
      <w:instrText>PAGE</w:instrText>
    </w:r>
    <w:r>
      <w:fldChar w:fldCharType="separate"/>
    </w:r>
    <w:r w:rsidR="00B45263">
      <w:rPr>
        <w:noProof/>
      </w:rPr>
      <w:t>8</w:t>
    </w:r>
    <w:r>
      <w:rPr>
        <w:noProof/>
      </w:rPr>
      <w:fldChar w:fldCharType="end"/>
    </w:r>
  </w:p>
  <w:p w14:paraId="6D883520" w14:textId="108C0AB5" w:rsidR="00732045" w:rsidRDefault="00732045" w:rsidP="00106B19">
    <w:pPr>
      <w:pStyle w:val="Header"/>
    </w:pPr>
    <w:r>
      <w:t>C</w:t>
    </w:r>
    <w:r w:rsidR="009C353C">
      <w:t>2</w:t>
    </w:r>
    <w:r w:rsidR="004D1D50">
      <w:t>1</w:t>
    </w:r>
    <w:r>
      <w:t>/</w:t>
    </w:r>
    <w:r w:rsidR="00102514">
      <w:t>3</w:t>
    </w:r>
    <w:r w:rsidR="00F00F15">
      <w:t>4</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F8F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3EC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0EB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2E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C66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C87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1236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0CB6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182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8C45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15"/>
    <w:rsid w:val="00046455"/>
    <w:rsid w:val="000640C5"/>
    <w:rsid w:val="00076BDD"/>
    <w:rsid w:val="0008530A"/>
    <w:rsid w:val="000A5F0B"/>
    <w:rsid w:val="000C1621"/>
    <w:rsid w:val="000D0D0A"/>
    <w:rsid w:val="000D46BD"/>
    <w:rsid w:val="00102514"/>
    <w:rsid w:val="00103163"/>
    <w:rsid w:val="00106B19"/>
    <w:rsid w:val="00115D93"/>
    <w:rsid w:val="00122E18"/>
    <w:rsid w:val="001247A8"/>
    <w:rsid w:val="0012700F"/>
    <w:rsid w:val="001378C0"/>
    <w:rsid w:val="001438B5"/>
    <w:rsid w:val="00163090"/>
    <w:rsid w:val="00176592"/>
    <w:rsid w:val="0018694A"/>
    <w:rsid w:val="001A2099"/>
    <w:rsid w:val="001A3287"/>
    <w:rsid w:val="001A6508"/>
    <w:rsid w:val="001A7D40"/>
    <w:rsid w:val="001C7321"/>
    <w:rsid w:val="001D2A55"/>
    <w:rsid w:val="001D4C31"/>
    <w:rsid w:val="001E4D21"/>
    <w:rsid w:val="001F6136"/>
    <w:rsid w:val="001F7FBA"/>
    <w:rsid w:val="00207CD1"/>
    <w:rsid w:val="00214B4C"/>
    <w:rsid w:val="00230EF0"/>
    <w:rsid w:val="00236254"/>
    <w:rsid w:val="002477A2"/>
    <w:rsid w:val="0025433C"/>
    <w:rsid w:val="00263A51"/>
    <w:rsid w:val="002670B2"/>
    <w:rsid w:val="00267E02"/>
    <w:rsid w:val="00281A66"/>
    <w:rsid w:val="002937EF"/>
    <w:rsid w:val="002A3226"/>
    <w:rsid w:val="002A5D44"/>
    <w:rsid w:val="002B4FA6"/>
    <w:rsid w:val="002C7EA6"/>
    <w:rsid w:val="002D54CC"/>
    <w:rsid w:val="002E0BC4"/>
    <w:rsid w:val="002E28F4"/>
    <w:rsid w:val="002F1B76"/>
    <w:rsid w:val="00325D93"/>
    <w:rsid w:val="0033568E"/>
    <w:rsid w:val="00342122"/>
    <w:rsid w:val="003456FB"/>
    <w:rsid w:val="00354260"/>
    <w:rsid w:val="00355FF5"/>
    <w:rsid w:val="00361350"/>
    <w:rsid w:val="00375819"/>
    <w:rsid w:val="00390A22"/>
    <w:rsid w:val="003C3FAE"/>
    <w:rsid w:val="003D0A83"/>
    <w:rsid w:val="003D5116"/>
    <w:rsid w:val="004038CB"/>
    <w:rsid w:val="0040546F"/>
    <w:rsid w:val="0042404A"/>
    <w:rsid w:val="00431C43"/>
    <w:rsid w:val="004411F3"/>
    <w:rsid w:val="0044618F"/>
    <w:rsid w:val="0046769A"/>
    <w:rsid w:val="00475FB3"/>
    <w:rsid w:val="004C37A9"/>
    <w:rsid w:val="004C73AD"/>
    <w:rsid w:val="004D1D50"/>
    <w:rsid w:val="004F19F2"/>
    <w:rsid w:val="004F259E"/>
    <w:rsid w:val="00502761"/>
    <w:rsid w:val="00510C8A"/>
    <w:rsid w:val="00511B28"/>
    <w:rsid w:val="00511F1D"/>
    <w:rsid w:val="00520F36"/>
    <w:rsid w:val="005316D7"/>
    <w:rsid w:val="00540615"/>
    <w:rsid w:val="00540A6D"/>
    <w:rsid w:val="00552B20"/>
    <w:rsid w:val="00571EEA"/>
    <w:rsid w:val="00575417"/>
    <w:rsid w:val="005768E1"/>
    <w:rsid w:val="00582B00"/>
    <w:rsid w:val="00592201"/>
    <w:rsid w:val="005B1938"/>
    <w:rsid w:val="005B6E95"/>
    <w:rsid w:val="005C3890"/>
    <w:rsid w:val="005C4A4E"/>
    <w:rsid w:val="005C55CE"/>
    <w:rsid w:val="005C769D"/>
    <w:rsid w:val="005D0AA5"/>
    <w:rsid w:val="005D5AC9"/>
    <w:rsid w:val="005D7F3A"/>
    <w:rsid w:val="005E7F5A"/>
    <w:rsid w:val="005F7BFE"/>
    <w:rsid w:val="00600017"/>
    <w:rsid w:val="00602A30"/>
    <w:rsid w:val="00611E59"/>
    <w:rsid w:val="006235CA"/>
    <w:rsid w:val="00644318"/>
    <w:rsid w:val="0065559B"/>
    <w:rsid w:val="006643AB"/>
    <w:rsid w:val="00665462"/>
    <w:rsid w:val="00672A2A"/>
    <w:rsid w:val="006731EA"/>
    <w:rsid w:val="006769E6"/>
    <w:rsid w:val="0067757A"/>
    <w:rsid w:val="00711C87"/>
    <w:rsid w:val="00716E8A"/>
    <w:rsid w:val="007210CD"/>
    <w:rsid w:val="0072227F"/>
    <w:rsid w:val="00732045"/>
    <w:rsid w:val="00734406"/>
    <w:rsid w:val="007369DB"/>
    <w:rsid w:val="0075262A"/>
    <w:rsid w:val="007642C6"/>
    <w:rsid w:val="007668F0"/>
    <w:rsid w:val="007878D6"/>
    <w:rsid w:val="007909AD"/>
    <w:rsid w:val="007956C2"/>
    <w:rsid w:val="007A187E"/>
    <w:rsid w:val="007A24F1"/>
    <w:rsid w:val="007C3509"/>
    <w:rsid w:val="007C72C2"/>
    <w:rsid w:val="007D0614"/>
    <w:rsid w:val="007D4436"/>
    <w:rsid w:val="007D6B5D"/>
    <w:rsid w:val="007D70D5"/>
    <w:rsid w:val="007F257A"/>
    <w:rsid w:val="007F2700"/>
    <w:rsid w:val="007F3665"/>
    <w:rsid w:val="00800037"/>
    <w:rsid w:val="008147E3"/>
    <w:rsid w:val="008219C6"/>
    <w:rsid w:val="00861D73"/>
    <w:rsid w:val="00867DCB"/>
    <w:rsid w:val="00893D23"/>
    <w:rsid w:val="008958EB"/>
    <w:rsid w:val="0089643B"/>
    <w:rsid w:val="00897553"/>
    <w:rsid w:val="008A4E87"/>
    <w:rsid w:val="008B0237"/>
    <w:rsid w:val="008D08F2"/>
    <w:rsid w:val="008D76E6"/>
    <w:rsid w:val="0092392D"/>
    <w:rsid w:val="0093234A"/>
    <w:rsid w:val="009465F3"/>
    <w:rsid w:val="00995661"/>
    <w:rsid w:val="009A0A79"/>
    <w:rsid w:val="009A4503"/>
    <w:rsid w:val="009A6060"/>
    <w:rsid w:val="009B47D0"/>
    <w:rsid w:val="009C06E6"/>
    <w:rsid w:val="009C307F"/>
    <w:rsid w:val="009C353C"/>
    <w:rsid w:val="009C55A7"/>
    <w:rsid w:val="009D5751"/>
    <w:rsid w:val="009E5A68"/>
    <w:rsid w:val="009E6F32"/>
    <w:rsid w:val="009F529C"/>
    <w:rsid w:val="00A03AC3"/>
    <w:rsid w:val="00A17BF7"/>
    <w:rsid w:val="00A20553"/>
    <w:rsid w:val="00A2113E"/>
    <w:rsid w:val="00A23A51"/>
    <w:rsid w:val="00A24607"/>
    <w:rsid w:val="00A25CD3"/>
    <w:rsid w:val="00A32984"/>
    <w:rsid w:val="00A40E34"/>
    <w:rsid w:val="00A42BD8"/>
    <w:rsid w:val="00A573C3"/>
    <w:rsid w:val="00A709FE"/>
    <w:rsid w:val="00A82767"/>
    <w:rsid w:val="00A83815"/>
    <w:rsid w:val="00A87ACB"/>
    <w:rsid w:val="00AA332F"/>
    <w:rsid w:val="00AA5700"/>
    <w:rsid w:val="00AA71E6"/>
    <w:rsid w:val="00AA7BBB"/>
    <w:rsid w:val="00AB3455"/>
    <w:rsid w:val="00AB64A8"/>
    <w:rsid w:val="00AC0266"/>
    <w:rsid w:val="00AD1005"/>
    <w:rsid w:val="00AD24EC"/>
    <w:rsid w:val="00AE402E"/>
    <w:rsid w:val="00AE5252"/>
    <w:rsid w:val="00AF1FDD"/>
    <w:rsid w:val="00AF4D96"/>
    <w:rsid w:val="00B309F9"/>
    <w:rsid w:val="00B32B60"/>
    <w:rsid w:val="00B368E3"/>
    <w:rsid w:val="00B43D8A"/>
    <w:rsid w:val="00B45263"/>
    <w:rsid w:val="00B61619"/>
    <w:rsid w:val="00B63118"/>
    <w:rsid w:val="00BB0203"/>
    <w:rsid w:val="00BB4545"/>
    <w:rsid w:val="00BB648F"/>
    <w:rsid w:val="00BC235D"/>
    <w:rsid w:val="00BC2EE4"/>
    <w:rsid w:val="00BC7DE8"/>
    <w:rsid w:val="00BD5873"/>
    <w:rsid w:val="00C04BE3"/>
    <w:rsid w:val="00C12199"/>
    <w:rsid w:val="00C25D29"/>
    <w:rsid w:val="00C27A7C"/>
    <w:rsid w:val="00C41251"/>
    <w:rsid w:val="00C422BD"/>
    <w:rsid w:val="00C66D16"/>
    <w:rsid w:val="00C70A77"/>
    <w:rsid w:val="00C803A2"/>
    <w:rsid w:val="00CA08ED"/>
    <w:rsid w:val="00CB5814"/>
    <w:rsid w:val="00CB67B8"/>
    <w:rsid w:val="00CF1070"/>
    <w:rsid w:val="00CF183B"/>
    <w:rsid w:val="00D375CD"/>
    <w:rsid w:val="00D41878"/>
    <w:rsid w:val="00D553A2"/>
    <w:rsid w:val="00D60C4B"/>
    <w:rsid w:val="00D63128"/>
    <w:rsid w:val="00D774D3"/>
    <w:rsid w:val="00D85262"/>
    <w:rsid w:val="00D87170"/>
    <w:rsid w:val="00D904E8"/>
    <w:rsid w:val="00DA08C3"/>
    <w:rsid w:val="00DA6A2B"/>
    <w:rsid w:val="00DB5A3E"/>
    <w:rsid w:val="00DC22AA"/>
    <w:rsid w:val="00DE7492"/>
    <w:rsid w:val="00DF74DD"/>
    <w:rsid w:val="00E061E0"/>
    <w:rsid w:val="00E25AD0"/>
    <w:rsid w:val="00E63F4C"/>
    <w:rsid w:val="00E6429A"/>
    <w:rsid w:val="00E76438"/>
    <w:rsid w:val="00E8698C"/>
    <w:rsid w:val="00E9009B"/>
    <w:rsid w:val="00E97542"/>
    <w:rsid w:val="00EB6350"/>
    <w:rsid w:val="00EC2D68"/>
    <w:rsid w:val="00EC45FC"/>
    <w:rsid w:val="00EC5784"/>
    <w:rsid w:val="00ED48ED"/>
    <w:rsid w:val="00F00F15"/>
    <w:rsid w:val="00F04366"/>
    <w:rsid w:val="00F04CFF"/>
    <w:rsid w:val="00F0594A"/>
    <w:rsid w:val="00F15B57"/>
    <w:rsid w:val="00F24E69"/>
    <w:rsid w:val="00F271D1"/>
    <w:rsid w:val="00F427DB"/>
    <w:rsid w:val="00F42C13"/>
    <w:rsid w:val="00F50F09"/>
    <w:rsid w:val="00F51389"/>
    <w:rsid w:val="00F61F1D"/>
    <w:rsid w:val="00F70DA7"/>
    <w:rsid w:val="00FA5EB1"/>
    <w:rsid w:val="00FA7439"/>
    <w:rsid w:val="00FB630E"/>
    <w:rsid w:val="00FC4EC0"/>
    <w:rsid w:val="00FF0181"/>
    <w:rsid w:val="00FF1B2E"/>
    <w:rsid w:val="00FF5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1A42FC"/>
  <w15:docId w15:val="{45CC634B-6345-495B-BAE3-2145FCF0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F00F15"/>
    <w:rPr>
      <w:color w:val="605E5C"/>
      <w:shd w:val="clear" w:color="auto" w:fill="E1DFDD"/>
    </w:rPr>
  </w:style>
  <w:style w:type="table" w:styleId="TableGrid">
    <w:name w:val="Table Grid"/>
    <w:basedOn w:val="TableNormal"/>
    <w:rsid w:val="0010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76BDD"/>
    <w:rPr>
      <w:rFonts w:ascii="Calibri" w:hAnsi="Calibri"/>
      <w:sz w:val="24"/>
      <w:lang w:val="fr-FR" w:eastAsia="en-US"/>
    </w:rPr>
  </w:style>
  <w:style w:type="character" w:styleId="CommentReference">
    <w:name w:val="annotation reference"/>
    <w:basedOn w:val="DefaultParagraphFont"/>
    <w:semiHidden/>
    <w:unhideWhenUsed/>
    <w:rsid w:val="00325D93"/>
    <w:rPr>
      <w:sz w:val="16"/>
      <w:szCs w:val="16"/>
    </w:rPr>
  </w:style>
  <w:style w:type="paragraph" w:styleId="CommentText">
    <w:name w:val="annotation text"/>
    <w:basedOn w:val="Normal"/>
    <w:link w:val="CommentTextChar"/>
    <w:semiHidden/>
    <w:unhideWhenUsed/>
    <w:rsid w:val="00325D93"/>
    <w:rPr>
      <w:sz w:val="20"/>
    </w:rPr>
  </w:style>
  <w:style w:type="character" w:customStyle="1" w:styleId="CommentTextChar">
    <w:name w:val="Comment Text Char"/>
    <w:basedOn w:val="DefaultParagraphFont"/>
    <w:link w:val="CommentText"/>
    <w:semiHidden/>
    <w:rsid w:val="00325D93"/>
    <w:rPr>
      <w:rFonts w:ascii="Calibri" w:hAnsi="Calibri"/>
      <w:lang w:val="fr-FR" w:eastAsia="en-US"/>
    </w:rPr>
  </w:style>
  <w:style w:type="paragraph" w:styleId="CommentSubject">
    <w:name w:val="annotation subject"/>
    <w:basedOn w:val="CommentText"/>
    <w:next w:val="CommentText"/>
    <w:link w:val="CommentSubjectChar"/>
    <w:semiHidden/>
    <w:unhideWhenUsed/>
    <w:rsid w:val="00325D93"/>
    <w:rPr>
      <w:b/>
      <w:bCs/>
    </w:rPr>
  </w:style>
  <w:style w:type="character" w:customStyle="1" w:styleId="CommentSubjectChar">
    <w:name w:val="Comment Subject Char"/>
    <w:basedOn w:val="CommentTextChar"/>
    <w:link w:val="CommentSubject"/>
    <w:semiHidden/>
    <w:rsid w:val="00325D93"/>
    <w:rPr>
      <w:rFonts w:ascii="Calibri" w:hAnsi="Calibri"/>
      <w:b/>
      <w:bCs/>
      <w:lang w:val="fr-FR" w:eastAsia="en-US"/>
    </w:rPr>
  </w:style>
  <w:style w:type="paragraph" w:styleId="Revision">
    <w:name w:val="Revision"/>
    <w:hidden/>
    <w:uiPriority w:val="99"/>
    <w:semiHidden/>
    <w:rsid w:val="00325D93"/>
    <w:rPr>
      <w:rFonts w:ascii="Calibri" w:hAnsi="Calibri"/>
      <w:sz w:val="24"/>
      <w:lang w:val="fr-FR" w:eastAsia="en-US"/>
    </w:rPr>
  </w:style>
  <w:style w:type="paragraph" w:styleId="BalloonText">
    <w:name w:val="Balloon Text"/>
    <w:basedOn w:val="Normal"/>
    <w:link w:val="BalloonTextChar"/>
    <w:semiHidden/>
    <w:unhideWhenUsed/>
    <w:rsid w:val="00325D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25D93"/>
    <w:rPr>
      <w:rFonts w:ascii="Segoe UI" w:hAnsi="Segoe UI" w:cs="Segoe UI"/>
      <w:sz w:val="18"/>
      <w:szCs w:val="18"/>
      <w:lang w:val="fr-FR" w:eastAsia="en-US"/>
    </w:rPr>
  </w:style>
  <w:style w:type="paragraph" w:customStyle="1" w:styleId="FootnoteText10pt">
    <w:name w:val="Footnote Text + 10 pt"/>
    <w:aliases w:val="Italic"/>
    <w:basedOn w:val="FootnoteText"/>
    <w:rsid w:val="007A24F1"/>
    <w:rPr>
      <w:i/>
      <w:sz w:val="20"/>
      <w:szCs w:val="1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D/Partners/Pages/ICT-DF/default.aspx" TargetMode="External"/><Relationship Id="rId18" Type="http://schemas.openxmlformats.org/officeDocument/2006/relationships/chart" Target="charts/chart4.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tu.int/en/ITU-D/Projects/Pages/ICT-DF.aspx?ICTDF=1" TargetMode="External"/><Relationship Id="rId7" Type="http://schemas.openxmlformats.org/officeDocument/2006/relationships/endnotes" Target="endnotes.xml"/><Relationship Id="rId12" Type="http://schemas.openxmlformats.org/officeDocument/2006/relationships/hyperlink" Target="https://www.itu.int/md/S20-CL-C-0034/en" TargetMode="External"/><Relationship Id="rId17" Type="http://schemas.openxmlformats.org/officeDocument/2006/relationships/chart" Target="charts/chart3.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1-CL-C-0106/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itu.int/council/index97/1997/131/131.html"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s://www.itu.int/en/council/Documents/basic-texts/RES-011-F.pdf" TargetMode="External"/><Relationship Id="rId14" Type="http://schemas.openxmlformats.org/officeDocument/2006/relationships/hyperlink" Target="https://www.itu.int/fr/ITU-D/Projects/Pages/default.aspx"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CONSEIL\483230\PRJ%20database%20Mar%202021%20ICT_D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appxchg\APP\CONF\RefDocs\CONSEIL\483230\PRJ%20database%20Mar%202021%20ICT_D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CONSEIL\483230\PRJ%20database%20Mar%202021%20ICT_D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appxchg\APP\CONF\RefDocs\CONSEIL\483230\PRJ%20database%20Mar%202021%20ICT_DF.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appxchg\APP\CONF\RefDocs\CONSEIL\483230\PRJ%20database%20Mar%202021%20ICT_D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appxchg\APP\CONF\RefDocs\CONSEIL\483230\PRJ%20database%20Mar%202021%20ICT_DF.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rPr>
              <a:t>Figure 1 </a:t>
            </a:r>
            <a:r>
              <a:rPr lang="fr-CH" sz="1100" b="0" i="0" baseline="0">
                <a:effectLst/>
              </a:rPr>
              <a:t>–</a:t>
            </a:r>
            <a:r>
              <a:rPr lang="en-US" sz="1100" b="0" i="0" baseline="0">
                <a:effectLst/>
              </a:rPr>
              <a:t> Projets en cours financés par le FDTIC</a:t>
            </a:r>
          </a:p>
          <a:p>
            <a:pPr>
              <a:defRPr/>
            </a:pPr>
            <a:r>
              <a:rPr lang="en-US" sz="1000" b="0" i="0" baseline="0">
                <a:effectLst/>
              </a:rPr>
              <a:t>(décembre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DF-4433-9CC0-1379A56222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DF-4433-9CC0-1379A56222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DF-4433-9CC0-1379A56222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DF-4433-9CC0-1379A5622268}"/>
              </c:ext>
            </c:extLst>
          </c:dPt>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 (2)'!$L$9:$L$12</c:f>
              <c:strCache>
                <c:ptCount val="4"/>
                <c:pt idx="0">
                  <c:v>Afrique</c:v>
                </c:pt>
                <c:pt idx="1">
                  <c:v>États arabes</c:v>
                </c:pt>
                <c:pt idx="2">
                  <c:v>Amériques</c:v>
                </c:pt>
                <c:pt idx="3">
                  <c:v>Projets multirégionaux</c:v>
                </c:pt>
              </c:strCache>
            </c:strRef>
          </c:cat>
          <c:val>
            <c:numRef>
              <c:f>'Summary (2)'!$M$9:$M$12</c:f>
              <c:numCache>
                <c:formatCode>General</c:formatCode>
                <c:ptCount val="4"/>
                <c:pt idx="0">
                  <c:v>1</c:v>
                </c:pt>
                <c:pt idx="1">
                  <c:v>1</c:v>
                </c:pt>
                <c:pt idx="2">
                  <c:v>1</c:v>
                </c:pt>
                <c:pt idx="3">
                  <c:v>4</c:v>
                </c:pt>
              </c:numCache>
            </c:numRef>
          </c:val>
          <c:extLst>
            <c:ext xmlns:c16="http://schemas.microsoft.com/office/drawing/2014/chart" uri="{C3380CC4-5D6E-409C-BE32-E72D297353CC}">
              <c16:uniqueId val="{00000008-7ADF-4433-9CC0-1379A562226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Figure 2.1 –</a:t>
            </a:r>
            <a:br>
              <a:rPr lang="en-US" sz="1200"/>
            </a:br>
            <a:r>
              <a:rPr lang="en-US" sz="1200"/>
              <a:t>Aperçu du statut des projets financés par le FDTIC </a:t>
            </a:r>
            <a:br>
              <a:rPr lang="en-US" sz="1200"/>
            </a:br>
            <a:r>
              <a:rPr lang="en-US" sz="1000"/>
              <a:t>(2009-2020)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'Summary (2)'!$I$60</c:f>
              <c:strCache>
                <c:ptCount val="1"/>
                <c:pt idx="0">
                  <c:v>Figure 2.1 –_x000b_Aperçu du statut des projets financés par le FDTIC _x000b_(2009-2020)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6D-49BC-B4E9-04BC869EC9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6D-49BC-B4E9-04BC869EC9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6D-49BC-B4E9-04BC869EC94B}"/>
              </c:ext>
            </c:extLst>
          </c:dPt>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 (2)'!$H$61:$H$63</c:f>
              <c:strCache>
                <c:ptCount val="3"/>
                <c:pt idx="0">
                  <c:v>Clôturés</c:v>
                </c:pt>
                <c:pt idx="1">
                  <c:v>En cours</c:v>
                </c:pt>
                <c:pt idx="2">
                  <c:v>En cours de clôture</c:v>
                </c:pt>
              </c:strCache>
            </c:strRef>
          </c:cat>
          <c:val>
            <c:numRef>
              <c:f>'Summary (2)'!$I$61:$I$63</c:f>
              <c:numCache>
                <c:formatCode>General</c:formatCode>
                <c:ptCount val="3"/>
                <c:pt idx="0">
                  <c:v>41</c:v>
                </c:pt>
                <c:pt idx="1">
                  <c:v>7</c:v>
                </c:pt>
                <c:pt idx="2">
                  <c:v>8</c:v>
                </c:pt>
              </c:numCache>
            </c:numRef>
          </c:val>
          <c:extLst>
            <c:ext xmlns:c16="http://schemas.microsoft.com/office/drawing/2014/chart" uri="{C3380CC4-5D6E-409C-BE32-E72D297353CC}">
              <c16:uniqueId val="{00000006-736D-49BC-B4E9-04BC869EC94B}"/>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Figure 2.2 </a:t>
            </a:r>
            <a:r>
              <a:rPr lang="fr-CH" sz="1200" b="0" i="0" baseline="0">
                <a:effectLst/>
              </a:rPr>
              <a:t>–</a:t>
            </a:r>
            <a:r>
              <a:rPr lang="en-US" sz="1200" b="0" i="0" baseline="0">
                <a:effectLst/>
              </a:rPr>
              <a:t> Financement prévu par le FDTIC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 (2)'!$I$71</c:f>
              <c:strCache>
                <c:ptCount val="1"/>
                <c:pt idx="0">
                  <c:v>Clôturés</c:v>
                </c:pt>
              </c:strCache>
            </c:strRef>
          </c:tx>
          <c:spPr>
            <a:solidFill>
              <a:schemeClr val="accent1"/>
            </a:solidFill>
            <a:ln>
              <a:noFill/>
            </a:ln>
            <a:effectLst/>
          </c:spPr>
          <c:invertIfNegative val="0"/>
          <c:dLbls>
            <c:dLbl>
              <c:idx val="0"/>
              <c:tx>
                <c:rich>
                  <a:bodyPr/>
                  <a:lstStyle/>
                  <a:p>
                    <a:r>
                      <a:rPr lang="en-US"/>
                      <a:t>11,1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F3A-4581-B5C0-344501FBB622}"/>
                </c:ext>
              </c:extLst>
            </c:dLbl>
            <c:dLbl>
              <c:idx val="1"/>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F3A-4581-B5C0-344501FBB622}"/>
                </c:ext>
              </c:extLst>
            </c:dLbl>
            <c:dLbl>
              <c:idx val="2"/>
              <c:tx>
                <c:rich>
                  <a:bodyPr/>
                  <a:lstStyle/>
                  <a:p>
                    <a:r>
                      <a:rPr lang="en-US"/>
                      <a:t>26,1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F3A-4581-B5C0-344501FBB6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(2)'!$J$70:$L$70</c:f>
              <c:strCache>
                <c:ptCount val="3"/>
                <c:pt idx="0">
                  <c:v>Contribution extérieure (en espèces)</c:v>
                </c:pt>
                <c:pt idx="1">
                  <c:v>Contribution du FDTIC</c:v>
                </c:pt>
                <c:pt idx="2">
                  <c:v>Total des fonds</c:v>
                </c:pt>
              </c:strCache>
            </c:strRef>
          </c:cat>
          <c:val>
            <c:numRef>
              <c:f>'Summary (2)'!$J$71:$L$71</c:f>
              <c:numCache>
                <c:formatCode>_(* #\ ##0_);_(* \(#\ ##0\);_(* "-"??_);_(@_)</c:formatCode>
                <c:ptCount val="3"/>
                <c:pt idx="0">
                  <c:v>11099976</c:v>
                </c:pt>
                <c:pt idx="1">
                  <c:v>8188900</c:v>
                </c:pt>
                <c:pt idx="2">
                  <c:v>26103642</c:v>
                </c:pt>
              </c:numCache>
            </c:numRef>
          </c:val>
          <c:extLst>
            <c:ext xmlns:c16="http://schemas.microsoft.com/office/drawing/2014/chart" uri="{C3380CC4-5D6E-409C-BE32-E72D297353CC}">
              <c16:uniqueId val="{00000000-D1FE-492D-9EFC-8559E02F2CD2}"/>
            </c:ext>
          </c:extLst>
        </c:ser>
        <c:ser>
          <c:idx val="1"/>
          <c:order val="1"/>
          <c:tx>
            <c:strRef>
              <c:f>'Summary (2)'!$I$72</c:f>
              <c:strCache>
                <c:ptCount val="1"/>
                <c:pt idx="0">
                  <c:v>En cours</c:v>
                </c:pt>
              </c:strCache>
            </c:strRef>
          </c:tx>
          <c:spPr>
            <a:solidFill>
              <a:schemeClr val="accent2"/>
            </a:solidFill>
            <a:ln>
              <a:noFill/>
            </a:ln>
            <a:effectLst/>
          </c:spPr>
          <c:invertIfNegative val="0"/>
          <c:dLbls>
            <c:dLbl>
              <c:idx val="0"/>
              <c:tx>
                <c:rich>
                  <a:bodyPr/>
                  <a:lstStyle/>
                  <a:p>
                    <a:r>
                      <a:rPr lang="en-US"/>
                      <a:t>11,6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F3A-4581-B5C0-344501FBB622}"/>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F3A-4581-B5C0-344501FBB622}"/>
                </c:ext>
              </c:extLst>
            </c:dLbl>
            <c:dLbl>
              <c:idx val="2"/>
              <c:tx>
                <c:rich>
                  <a:bodyPr/>
                  <a:lstStyle/>
                  <a:p>
                    <a:r>
                      <a:rPr lang="en-US"/>
                      <a:t>16,4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F3A-4581-B5C0-344501FBB6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(2)'!$J$70:$L$70</c:f>
              <c:strCache>
                <c:ptCount val="3"/>
                <c:pt idx="0">
                  <c:v>Contribution extérieure (en espèces)</c:v>
                </c:pt>
                <c:pt idx="1">
                  <c:v>Contribution du FDTIC</c:v>
                </c:pt>
                <c:pt idx="2">
                  <c:v>Total des fonds</c:v>
                </c:pt>
              </c:strCache>
            </c:strRef>
          </c:cat>
          <c:val>
            <c:numRef>
              <c:f>'Summary (2)'!$J$72:$L$72</c:f>
              <c:numCache>
                <c:formatCode>_(* #\ ##0_);_(* \(#\ ##0\);_(* "-"??_);_(@_)</c:formatCode>
                <c:ptCount val="3"/>
                <c:pt idx="0">
                  <c:v>11643934</c:v>
                </c:pt>
                <c:pt idx="1">
                  <c:v>4598950</c:v>
                </c:pt>
                <c:pt idx="2">
                  <c:v>16386227</c:v>
                </c:pt>
              </c:numCache>
            </c:numRef>
          </c:val>
          <c:extLst>
            <c:ext xmlns:c16="http://schemas.microsoft.com/office/drawing/2014/chart" uri="{C3380CC4-5D6E-409C-BE32-E72D297353CC}">
              <c16:uniqueId val="{00000001-D1FE-492D-9EFC-8559E02F2CD2}"/>
            </c:ext>
          </c:extLst>
        </c:ser>
        <c:ser>
          <c:idx val="2"/>
          <c:order val="2"/>
          <c:tx>
            <c:strRef>
              <c:f>'Summary (2)'!$I$73</c:f>
              <c:strCache>
                <c:ptCount val="1"/>
                <c:pt idx="0">
                  <c:v>En cours de clôture</c:v>
                </c:pt>
              </c:strCache>
            </c:strRef>
          </c:tx>
          <c:spPr>
            <a:solidFill>
              <a:schemeClr val="accent3"/>
            </a:solidFill>
            <a:ln>
              <a:noFill/>
            </a:ln>
            <a:effectLst/>
          </c:spPr>
          <c:invertIfNegative val="0"/>
          <c:dLbls>
            <c:dLbl>
              <c:idx val="0"/>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F3A-4581-B5C0-344501FBB622}"/>
                </c:ext>
              </c:extLst>
            </c:dLbl>
            <c:dLbl>
              <c:idx val="1"/>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F3A-4581-B5C0-344501FBB622}"/>
                </c:ext>
              </c:extLst>
            </c:dLbl>
            <c:dLbl>
              <c:idx val="2"/>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F3A-4581-B5C0-344501FBB6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(2)'!$J$70:$L$70</c:f>
              <c:strCache>
                <c:ptCount val="3"/>
                <c:pt idx="0">
                  <c:v>Contribution extérieure (en espèces)</c:v>
                </c:pt>
                <c:pt idx="1">
                  <c:v>Contribution du FDTIC</c:v>
                </c:pt>
                <c:pt idx="2">
                  <c:v>Total des fonds</c:v>
                </c:pt>
              </c:strCache>
            </c:strRef>
          </c:cat>
          <c:val>
            <c:numRef>
              <c:f>'Summary (2)'!$J$73:$L$73</c:f>
              <c:numCache>
                <c:formatCode>_(* #\ ##0_);_(* \(#\ ##0\);_(* "-"??_);_(@_)</c:formatCode>
                <c:ptCount val="3"/>
                <c:pt idx="0">
                  <c:v>3493627</c:v>
                </c:pt>
                <c:pt idx="1">
                  <c:v>1466467</c:v>
                </c:pt>
                <c:pt idx="2">
                  <c:v>5369794</c:v>
                </c:pt>
              </c:numCache>
            </c:numRef>
          </c:val>
          <c:extLst>
            <c:ext xmlns:c16="http://schemas.microsoft.com/office/drawing/2014/chart" uri="{C3380CC4-5D6E-409C-BE32-E72D297353CC}">
              <c16:uniqueId val="{00000002-D1FE-492D-9EFC-8559E02F2CD2}"/>
            </c:ext>
          </c:extLst>
        </c:ser>
        <c:dLbls>
          <c:showLegendKey val="0"/>
          <c:showVal val="0"/>
          <c:showCatName val="0"/>
          <c:showSerName val="0"/>
          <c:showPercent val="0"/>
          <c:showBubbleSize val="0"/>
        </c:dLbls>
        <c:gapWidth val="219"/>
        <c:overlap val="-27"/>
        <c:axId val="346701040"/>
        <c:axId val="1393957280"/>
      </c:barChart>
      <c:catAx>
        <c:axId val="34670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957280"/>
        <c:crosses val="autoZero"/>
        <c:auto val="1"/>
        <c:lblAlgn val="ctr"/>
        <c:lblOffset val="100"/>
        <c:noMultiLvlLbl val="0"/>
      </c:catAx>
      <c:valAx>
        <c:axId val="1393957280"/>
        <c:scaling>
          <c:orientation val="minMax"/>
        </c:scaling>
        <c:delete val="0"/>
        <c:axPos val="l"/>
        <c:majorGridlines>
          <c:spPr>
            <a:ln w="9525" cap="flat" cmpd="sng" algn="ctr">
              <a:solidFill>
                <a:schemeClr val="tx1">
                  <a:lumMod val="15000"/>
                  <a:lumOff val="85000"/>
                </a:schemeClr>
              </a:solidFill>
              <a:round/>
            </a:ln>
            <a:effectLst/>
          </c:spPr>
        </c:majorGridlines>
        <c:numFmt formatCode="_(* #\ ##0_);_(* \(#\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7010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baseline="0">
                <a:effectLst/>
              </a:rPr>
              <a:t>Figure 2.3 </a:t>
            </a:r>
            <a:r>
              <a:rPr lang="fr-CH" sz="1200" b="0" i="0" baseline="0">
                <a:effectLst/>
              </a:rPr>
              <a:t>–</a:t>
            </a:r>
            <a:r>
              <a:rPr lang="en-GB" sz="1200" b="0" i="0" baseline="0">
                <a:effectLst/>
              </a:rPr>
              <a:t> Valeur des projets financés par le FDTIC, par région </a:t>
            </a:r>
            <a:br>
              <a:rPr lang="en-GB" sz="1200" b="0" i="0" baseline="0">
                <a:effectLst/>
              </a:rPr>
            </a:br>
            <a:r>
              <a:rPr lang="en-GB" sz="1200" b="0" i="0" baseline="0">
                <a:effectLst/>
              </a:rPr>
              <a:t>(projets clôturés et en cours de clôture)</a:t>
            </a:r>
            <a:br>
              <a:rPr lang="en-GB" sz="1800" b="0" i="0" baseline="0">
                <a:effectLst/>
              </a:rPr>
            </a:br>
            <a:r>
              <a:rPr lang="en-GB" sz="1000" b="0" i="0" baseline="0">
                <a:effectLst/>
              </a:rPr>
              <a:t>(décembre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 (2)'!$N$19</c:f>
              <c:strCache>
                <c:ptCount val="1"/>
                <c:pt idx="0">
                  <c:v>Contribution extérieure (en espèces)</c:v>
                </c:pt>
              </c:strCache>
            </c:strRef>
          </c:tx>
          <c:spPr>
            <a:solidFill>
              <a:schemeClr val="accent1"/>
            </a:solidFill>
            <a:ln>
              <a:noFill/>
            </a:ln>
            <a:effectLst/>
          </c:spPr>
          <c:invertIfNegative val="0"/>
          <c:dLbls>
            <c:dLbl>
              <c:idx val="0"/>
              <c:tx>
                <c:rich>
                  <a:bodyPr/>
                  <a:lstStyle/>
                  <a:p>
                    <a:r>
                      <a:rPr lang="en-US"/>
                      <a:t>13,2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AB1-4E13-8062-7AE3814F1862}"/>
                </c:ext>
              </c:extLst>
            </c:dLbl>
            <c:dLbl>
              <c:idx val="1"/>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AB1-4E13-8062-7AE3814F1862}"/>
                </c:ext>
              </c:extLst>
            </c:dLbl>
            <c:dLbl>
              <c:idx val="2"/>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AB1-4E13-8062-7AE3814F1862}"/>
                </c:ext>
              </c:extLst>
            </c:dLbl>
            <c:dLbl>
              <c:idx val="4"/>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AB1-4E13-8062-7AE3814F1862}"/>
                </c:ext>
              </c:extLst>
            </c:dLbl>
            <c:dLbl>
              <c:idx val="5"/>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AB1-4E13-8062-7AE3814F1862}"/>
                </c:ext>
              </c:extLst>
            </c:dLbl>
            <c:dLbl>
              <c:idx val="6"/>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6AB1-4E13-8062-7AE3814F1862}"/>
                </c:ext>
              </c:extLst>
            </c:dLbl>
            <c:numFmt formatCode="_(* #,##0_);_(* \(#,##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Afrique</c:v>
                </c:pt>
                <c:pt idx="1">
                  <c:v>États arabes</c:v>
                </c:pt>
                <c:pt idx="2">
                  <c:v>Asie-Pacifique</c:v>
                </c:pt>
                <c:pt idx="3">
                  <c:v>Pays de la CEI</c:v>
                </c:pt>
                <c:pt idx="4">
                  <c:v>Europe</c:v>
                </c:pt>
                <c:pt idx="5">
                  <c:v>Amériques</c:v>
                </c:pt>
                <c:pt idx="6">
                  <c:v>Projets mondiaux ou multirégionaux</c:v>
                </c:pt>
              </c:strCache>
            </c:strRef>
          </c:cat>
          <c:val>
            <c:numRef>
              <c:f>'Summary (2)'!$N$20:$N$26</c:f>
              <c:numCache>
                <c:formatCode>_(* #\ ##0_);_(* \(#\ ##0\);_(* "-"??_);_(@_)</c:formatCode>
                <c:ptCount val="7"/>
                <c:pt idx="0">
                  <c:v>13172242</c:v>
                </c:pt>
                <c:pt idx="1">
                  <c:v>2946360</c:v>
                </c:pt>
                <c:pt idx="2">
                  <c:v>2753415</c:v>
                </c:pt>
                <c:pt idx="4">
                  <c:v>131080</c:v>
                </c:pt>
                <c:pt idx="5">
                  <c:v>2136964</c:v>
                </c:pt>
                <c:pt idx="6">
                  <c:v>5097476</c:v>
                </c:pt>
              </c:numCache>
            </c:numRef>
          </c:val>
          <c:extLst>
            <c:ext xmlns:c16="http://schemas.microsoft.com/office/drawing/2014/chart" uri="{C3380CC4-5D6E-409C-BE32-E72D297353CC}">
              <c16:uniqueId val="{00000000-B468-4FE6-A1AF-2D765C353D8E}"/>
            </c:ext>
          </c:extLst>
        </c:ser>
        <c:ser>
          <c:idx val="1"/>
          <c:order val="1"/>
          <c:tx>
            <c:strRef>
              <c:f>'Summary (2)'!$O$19</c:f>
              <c:strCache>
                <c:ptCount val="1"/>
                <c:pt idx="0">
                  <c:v>Contribution du FDTIC</c:v>
                </c:pt>
              </c:strCache>
            </c:strRef>
          </c:tx>
          <c:spPr>
            <a:solidFill>
              <a:schemeClr val="accent2"/>
            </a:solidFill>
            <a:ln>
              <a:noFill/>
            </a:ln>
            <a:effectLst/>
          </c:spPr>
          <c:invertIfNegative val="0"/>
          <c:dLbls>
            <c:dLbl>
              <c:idx val="0"/>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AB1-4E13-8062-7AE3814F1862}"/>
                </c:ext>
              </c:extLst>
            </c:dLbl>
            <c:dLbl>
              <c:idx val="1"/>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AB1-4E13-8062-7AE3814F1862}"/>
                </c:ext>
              </c:extLst>
            </c:dLbl>
            <c:dLbl>
              <c:idx val="2"/>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AB1-4E13-8062-7AE3814F1862}"/>
                </c:ext>
              </c:extLst>
            </c:dLbl>
            <c:dLbl>
              <c:idx val="3"/>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AB1-4E13-8062-7AE3814F1862}"/>
                </c:ext>
              </c:extLst>
            </c:dLbl>
            <c:dLbl>
              <c:idx val="4"/>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AB1-4E13-8062-7AE3814F1862}"/>
                </c:ext>
              </c:extLst>
            </c:dLbl>
            <c:dLbl>
              <c:idx val="5"/>
              <c:tx>
                <c:rich>
                  <a:bodyPr/>
                  <a:lstStyle/>
                  <a:p>
                    <a:r>
                      <a:rPr lang="en-US"/>
                      <a:t>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6AB1-4E13-8062-7AE3814F1862}"/>
                </c:ext>
              </c:extLst>
            </c:dLbl>
            <c:dLbl>
              <c:idx val="6"/>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AB1-4E13-8062-7AE3814F1862}"/>
                </c:ext>
              </c:extLst>
            </c:dLbl>
            <c:numFmt formatCode="_(* #,##0_);_(* \(#,##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Afrique</c:v>
                </c:pt>
                <c:pt idx="1">
                  <c:v>États arabes</c:v>
                </c:pt>
                <c:pt idx="2">
                  <c:v>Asie-Pacifique</c:v>
                </c:pt>
                <c:pt idx="3">
                  <c:v>Pays de la CEI</c:v>
                </c:pt>
                <c:pt idx="4">
                  <c:v>Europe</c:v>
                </c:pt>
                <c:pt idx="5">
                  <c:v>Amériques</c:v>
                </c:pt>
                <c:pt idx="6">
                  <c:v>Projets mondiaux ou multirégionaux</c:v>
                </c:pt>
              </c:strCache>
            </c:strRef>
          </c:cat>
          <c:val>
            <c:numRef>
              <c:f>'Summary (2)'!$O$20:$O$26</c:f>
              <c:numCache>
                <c:formatCode>_(* #\ ##0_);_(* \(#\ ##0\);_(* "-"??_);_(@_)</c:formatCode>
                <c:ptCount val="7"/>
                <c:pt idx="0">
                  <c:v>4135974</c:v>
                </c:pt>
                <c:pt idx="1">
                  <c:v>1700588</c:v>
                </c:pt>
                <c:pt idx="2">
                  <c:v>1585195</c:v>
                </c:pt>
                <c:pt idx="3">
                  <c:v>547711</c:v>
                </c:pt>
                <c:pt idx="4">
                  <c:v>132888</c:v>
                </c:pt>
                <c:pt idx="5">
                  <c:v>586952</c:v>
                </c:pt>
                <c:pt idx="6">
                  <c:v>5565009</c:v>
                </c:pt>
              </c:numCache>
            </c:numRef>
          </c:val>
          <c:extLst>
            <c:ext xmlns:c16="http://schemas.microsoft.com/office/drawing/2014/chart" uri="{C3380CC4-5D6E-409C-BE32-E72D297353CC}">
              <c16:uniqueId val="{00000001-B468-4FE6-A1AF-2D765C353D8E}"/>
            </c:ext>
          </c:extLst>
        </c:ser>
        <c:ser>
          <c:idx val="2"/>
          <c:order val="2"/>
          <c:tx>
            <c:strRef>
              <c:f>'Summary (2)'!$P$19</c:f>
              <c:strCache>
                <c:ptCount val="1"/>
                <c:pt idx="0">
                  <c:v>Fonds de l'UIT (Plan opérationnel)</c:v>
                </c:pt>
              </c:strCache>
            </c:strRef>
          </c:tx>
          <c:spPr>
            <a:solidFill>
              <a:schemeClr val="accent3"/>
            </a:solidFill>
            <a:ln>
              <a:noFill/>
            </a:ln>
            <a:effectLst/>
          </c:spPr>
          <c:invertIfNegative val="0"/>
          <c:dLbls>
            <c:dLbl>
              <c:idx val="0"/>
              <c:tx>
                <c:rich>
                  <a:bodyPr/>
                  <a:lstStyle/>
                  <a:p>
                    <a:r>
                      <a:rPr lang="en-US"/>
                      <a:t>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AB1-4E13-8062-7AE3814F1862}"/>
                </c:ext>
              </c:extLst>
            </c:dLbl>
            <c:dLbl>
              <c:idx val="5"/>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6AB1-4E13-8062-7AE3814F1862}"/>
                </c:ext>
              </c:extLst>
            </c:dLbl>
            <c:numFmt formatCode="_(* #,##0_);_(* \(#,##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Afrique</c:v>
                </c:pt>
                <c:pt idx="1">
                  <c:v>États arabes</c:v>
                </c:pt>
                <c:pt idx="2">
                  <c:v>Asie-Pacifique</c:v>
                </c:pt>
                <c:pt idx="3">
                  <c:v>Pays de la CEI</c:v>
                </c:pt>
                <c:pt idx="4">
                  <c:v>Europe</c:v>
                </c:pt>
                <c:pt idx="5">
                  <c:v>Amériques</c:v>
                </c:pt>
                <c:pt idx="6">
                  <c:v>Projets mondiaux ou multirégionaux</c:v>
                </c:pt>
              </c:strCache>
            </c:strRef>
          </c:cat>
          <c:val>
            <c:numRef>
              <c:f>'Summary (2)'!$P$20:$P$26</c:f>
              <c:numCache>
                <c:formatCode>General</c:formatCode>
                <c:ptCount val="7"/>
                <c:pt idx="0" formatCode="_(* #\ ##0_);_(* \(#\ ##0\);_(* &quot;-&quot;??_);_(@_)">
                  <c:v>558450</c:v>
                </c:pt>
                <c:pt idx="5" formatCode="_(* #\ ##0_);_(* \(#\ ##0\);_(* &quot;-&quot;??_);_(@_)">
                  <c:v>143345</c:v>
                </c:pt>
              </c:numCache>
            </c:numRef>
          </c:val>
          <c:extLst>
            <c:ext xmlns:c16="http://schemas.microsoft.com/office/drawing/2014/chart" uri="{C3380CC4-5D6E-409C-BE32-E72D297353CC}">
              <c16:uniqueId val="{00000002-B468-4FE6-A1AF-2D765C353D8E}"/>
            </c:ext>
          </c:extLst>
        </c:ser>
        <c:dLbls>
          <c:showLegendKey val="0"/>
          <c:showVal val="0"/>
          <c:showCatName val="0"/>
          <c:showSerName val="0"/>
          <c:showPercent val="0"/>
          <c:showBubbleSize val="0"/>
        </c:dLbls>
        <c:gapWidth val="219"/>
        <c:overlap val="-27"/>
        <c:axId val="1385737808"/>
        <c:axId val="127410112"/>
      </c:barChart>
      <c:catAx>
        <c:axId val="138573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10112"/>
        <c:crosses val="autoZero"/>
        <c:auto val="1"/>
        <c:lblAlgn val="ctr"/>
        <c:lblOffset val="100"/>
        <c:noMultiLvlLbl val="0"/>
      </c:catAx>
      <c:valAx>
        <c:axId val="127410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73780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200" b="0" i="0" baseline="0">
                <a:effectLst/>
              </a:rPr>
              <a:t>Figure 3 </a:t>
            </a:r>
            <a:r>
              <a:rPr lang="fr-CH" sz="1200" b="0" i="0" baseline="0">
                <a:effectLst/>
              </a:rPr>
              <a:t>– </a:t>
            </a:r>
            <a:r>
              <a:rPr lang="en-GB" sz="1200" b="0" i="0" baseline="0">
                <a:effectLst/>
              </a:rPr>
              <a:t>Valeur des projets en cours financés par le FDTIC, par région </a:t>
            </a:r>
            <a:br>
              <a:rPr lang="en-GB" sz="1800" b="0" i="0" baseline="0">
                <a:effectLst/>
              </a:rPr>
            </a:br>
            <a:r>
              <a:rPr lang="en-GB" sz="1000" b="0" i="0" baseline="0">
                <a:effectLst/>
              </a:rPr>
              <a:t>(décembre 2020)</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Summary!$N$19</c:f>
              <c:strCache>
                <c:ptCount val="1"/>
                <c:pt idx="0">
                  <c:v>Contribution extérieure (en espèces)</c:v>
                </c:pt>
              </c:strCache>
            </c:strRef>
          </c:tx>
          <c:spPr>
            <a:solidFill>
              <a:schemeClr val="accent1"/>
            </a:solidFill>
            <a:ln>
              <a:noFill/>
            </a:ln>
            <a:effectLst/>
          </c:spPr>
          <c:invertIfNegative val="0"/>
          <c:dLbls>
            <c:dLbl>
              <c:idx val="0"/>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44D-4A70-8313-599B718293EC}"/>
                </c:ext>
              </c:extLst>
            </c:dLbl>
            <c:dLbl>
              <c:idx val="1"/>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44D-4A70-8313-599B718293EC}"/>
                </c:ext>
              </c:extLst>
            </c:dLbl>
            <c:dLbl>
              <c:idx val="2"/>
              <c:layout>
                <c:manualLayout>
                  <c:x val="-2.0749040356883571E-2"/>
                  <c:y val="-1.336005344021368E-2"/>
                </c:manualLayout>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A58-41FC-BE83-2342642724DB}"/>
                </c:ext>
              </c:extLst>
            </c:dLbl>
            <c:dLbl>
              <c:idx val="3"/>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44D-4A70-8313-599B718293EC}"/>
                </c:ext>
              </c:extLst>
            </c:dLbl>
            <c:numFmt formatCode="_(* #,##0_);_(* \(#,##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Summary!$M$20:$M$23</c:f>
              <c:strCache>
                <c:ptCount val="4"/>
                <c:pt idx="0">
                  <c:v>Afrique</c:v>
                </c:pt>
                <c:pt idx="1">
                  <c:v>États arabes</c:v>
                </c:pt>
                <c:pt idx="2">
                  <c:v>Amériques</c:v>
                </c:pt>
                <c:pt idx="3">
                  <c:v>Projets mondiaux ou multirégionaux</c:v>
                </c:pt>
              </c:strCache>
            </c:strRef>
          </c:cat>
          <c:val>
            <c:numRef>
              <c:f>Summary!$N$20:$N$23</c:f>
              <c:numCache>
                <c:formatCode>_(* #\ ##0_);_(* \(#\ ##0\);_(* "-"??_);_(@_)</c:formatCode>
                <c:ptCount val="4"/>
                <c:pt idx="0">
                  <c:v>5532436</c:v>
                </c:pt>
                <c:pt idx="1">
                  <c:v>1808000</c:v>
                </c:pt>
                <c:pt idx="2">
                  <c:v>121686</c:v>
                </c:pt>
                <c:pt idx="3">
                  <c:v>4181812</c:v>
                </c:pt>
              </c:numCache>
            </c:numRef>
          </c:val>
          <c:extLst>
            <c:ext xmlns:c16="http://schemas.microsoft.com/office/drawing/2014/chart" uri="{C3380CC4-5D6E-409C-BE32-E72D297353CC}">
              <c16:uniqueId val="{00000000-4A58-41FC-BE83-2342642724DB}"/>
            </c:ext>
          </c:extLst>
        </c:ser>
        <c:ser>
          <c:idx val="1"/>
          <c:order val="1"/>
          <c:tx>
            <c:strRef>
              <c:f>Summary!$O$19</c:f>
              <c:strCache>
                <c:ptCount val="1"/>
                <c:pt idx="0">
                  <c:v>Contribution du FDTIC</c:v>
                </c:pt>
              </c:strCache>
            </c:strRef>
          </c:tx>
          <c:spPr>
            <a:solidFill>
              <a:schemeClr val="accent2"/>
            </a:solidFill>
            <a:ln>
              <a:noFill/>
            </a:ln>
            <a:effectLst/>
          </c:spPr>
          <c:invertIfNegative val="0"/>
          <c:dLbls>
            <c:dLbl>
              <c:idx val="0"/>
              <c:tx>
                <c:rich>
                  <a:bodyPr/>
                  <a:lstStyle/>
                  <a:p>
                    <a:r>
                      <a:rPr lang="en-US"/>
                      <a:t>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44D-4A70-8313-599B718293EC}"/>
                </c:ext>
              </c:extLst>
            </c:dLbl>
            <c:dLbl>
              <c:idx val="1"/>
              <c:tx>
                <c:rich>
                  <a:bodyPr/>
                  <a:lstStyle/>
                  <a:p>
                    <a:r>
                      <a:rPr lang="en-US"/>
                      <a:t>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44D-4A70-8313-599B718293EC}"/>
                </c:ext>
              </c:extLst>
            </c:dLbl>
            <c:dLbl>
              <c:idx val="2"/>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44D-4A70-8313-599B718293EC}"/>
                </c:ext>
              </c:extLst>
            </c:dLbl>
            <c:dLbl>
              <c:idx val="3"/>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44D-4A70-8313-599B718293EC}"/>
                </c:ext>
              </c:extLst>
            </c:dLbl>
            <c:numFmt formatCode="_(* #,##0_);_(* \(#,##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Summary!$M$20:$M$23</c:f>
              <c:strCache>
                <c:ptCount val="4"/>
                <c:pt idx="0">
                  <c:v>Afrique</c:v>
                </c:pt>
                <c:pt idx="1">
                  <c:v>États arabes</c:v>
                </c:pt>
                <c:pt idx="2">
                  <c:v>Amériques</c:v>
                </c:pt>
                <c:pt idx="3">
                  <c:v>Projets mondiaux ou multirégionaux</c:v>
                </c:pt>
              </c:strCache>
            </c:strRef>
          </c:cat>
          <c:val>
            <c:numRef>
              <c:f>Summary!$O$20:$O$23</c:f>
              <c:numCache>
                <c:formatCode>_(* #\ ##0_);_(* \(#\ ##0\);_(* "-"??_);_(@_)</c:formatCode>
                <c:ptCount val="4"/>
                <c:pt idx="0">
                  <c:v>553244</c:v>
                </c:pt>
                <c:pt idx="1">
                  <c:v>680260</c:v>
                </c:pt>
                <c:pt idx="2">
                  <c:v>113195</c:v>
                </c:pt>
                <c:pt idx="3">
                  <c:v>3252251</c:v>
                </c:pt>
              </c:numCache>
            </c:numRef>
          </c:val>
          <c:extLst>
            <c:ext xmlns:c16="http://schemas.microsoft.com/office/drawing/2014/chart" uri="{C3380CC4-5D6E-409C-BE32-E72D297353CC}">
              <c16:uniqueId val="{00000001-4A58-41FC-BE83-2342642724DB}"/>
            </c:ext>
          </c:extLst>
        </c:ser>
        <c:ser>
          <c:idx val="2"/>
          <c:order val="2"/>
          <c:tx>
            <c:strRef>
              <c:f>Summary!$P$19</c:f>
              <c:strCache>
                <c:ptCount val="1"/>
                <c:pt idx="0">
                  <c:v>Fonds de l'UIT (Plan opérationnel)</c:v>
                </c:pt>
              </c:strCache>
            </c:strRef>
          </c:tx>
          <c:spPr>
            <a:solidFill>
              <a:schemeClr val="accent3"/>
            </a:solidFill>
            <a:ln>
              <a:noFill/>
            </a:ln>
            <a:effectLst/>
          </c:spPr>
          <c:invertIfNegative val="0"/>
          <c:dLbls>
            <c:dLbl>
              <c:idx val="2"/>
              <c:layout>
                <c:manualLayout>
                  <c:x val="2.2823944392571769E-2"/>
                  <c:y val="-1.6328765573412415E-16"/>
                </c:manualLayout>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A58-41FC-BE83-2342642724DB}"/>
                </c:ext>
              </c:extLst>
            </c:dLbl>
            <c:numFmt formatCode="_(* #,##0_);_(* \(#,##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Summary!$M$20:$M$23</c:f>
              <c:strCache>
                <c:ptCount val="4"/>
                <c:pt idx="0">
                  <c:v>Afrique</c:v>
                </c:pt>
                <c:pt idx="1">
                  <c:v>États arabes</c:v>
                </c:pt>
                <c:pt idx="2">
                  <c:v>Amériques</c:v>
                </c:pt>
                <c:pt idx="3">
                  <c:v>Projets mondiaux ou multirégionaux</c:v>
                </c:pt>
              </c:strCache>
            </c:strRef>
          </c:cat>
          <c:val>
            <c:numRef>
              <c:f>Summary!$P$20:$P$23</c:f>
              <c:numCache>
                <c:formatCode>General</c:formatCode>
                <c:ptCount val="4"/>
                <c:pt idx="2" formatCode="_(* #\ ##0_);_(* \(#\ ##0\);_(* &quot;-&quot;??_);_(@_)">
                  <c:v>143345</c:v>
                </c:pt>
              </c:numCache>
            </c:numRef>
          </c:val>
          <c:extLst>
            <c:ext xmlns:c16="http://schemas.microsoft.com/office/drawing/2014/chart" uri="{C3380CC4-5D6E-409C-BE32-E72D297353CC}">
              <c16:uniqueId val="{00000002-4A58-41FC-BE83-2342642724DB}"/>
            </c:ext>
          </c:extLst>
        </c:ser>
        <c:dLbls>
          <c:showLegendKey val="0"/>
          <c:showVal val="0"/>
          <c:showCatName val="0"/>
          <c:showSerName val="0"/>
          <c:showPercent val="0"/>
          <c:showBubbleSize val="0"/>
        </c:dLbls>
        <c:gapWidth val="219"/>
        <c:overlap val="-27"/>
        <c:axId val="1385737808"/>
        <c:axId val="127410112"/>
      </c:barChart>
      <c:catAx>
        <c:axId val="138573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10112"/>
        <c:crosses val="autoZero"/>
        <c:auto val="1"/>
        <c:lblAlgn val="ctr"/>
        <c:lblOffset val="100"/>
        <c:noMultiLvlLbl val="0"/>
      </c:catAx>
      <c:valAx>
        <c:axId val="127410112"/>
        <c:scaling>
          <c:orientation val="minMax"/>
        </c:scaling>
        <c:delete val="0"/>
        <c:axPos val="l"/>
        <c:majorGridlines>
          <c:spPr>
            <a:ln w="9525" cap="flat" cmpd="sng" algn="ctr">
              <a:solidFill>
                <a:schemeClr val="tx1">
                  <a:lumMod val="15000"/>
                  <a:lumOff val="85000"/>
                </a:schemeClr>
              </a:solidFill>
              <a:round/>
            </a:ln>
            <a:effectLst/>
          </c:spPr>
        </c:majorGridlines>
        <c:numFmt formatCode="_(* #\ ##0_);_(* \(#\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73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baseline="0">
                <a:effectLst/>
              </a:rPr>
              <a:t>Figure 4 – Évolution du compte de capital du FDTIC (USD) </a:t>
            </a:r>
            <a:br>
              <a:rPr lang="en-GB" sz="1200" b="0" i="0" baseline="0">
                <a:effectLst/>
              </a:rPr>
            </a:br>
            <a:r>
              <a:rPr lang="en-GB" sz="1000" b="0" i="0" baseline="0">
                <a:effectLst/>
              </a:rPr>
              <a:t>(décembre 2020)</a:t>
            </a:r>
            <a:endParaRPr lang="en-US"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'ICT-DF funds'!$C$3</c:f>
              <c:strCache>
                <c:ptCount val="1"/>
                <c:pt idx="0">
                  <c:v>Funds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7739247001030649E-2"/>
                  <c:y val="-5.7306590257879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17-48F5-979D-D517F2A5681E}"/>
                </c:ext>
              </c:extLst>
            </c:dLbl>
            <c:dLbl>
              <c:idx val="2"/>
              <c:layout>
                <c:manualLayout>
                  <c:x val="-2.7739247001030715E-2"/>
                  <c:y val="-4.5845272206303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17-48F5-979D-D517F2A5681E}"/>
                </c:ext>
              </c:extLst>
            </c:dLbl>
            <c:dLbl>
              <c:idx val="3"/>
              <c:layout>
                <c:manualLayout>
                  <c:x val="-3.3287096401236775E-2"/>
                  <c:y val="-4.5845272206303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17-48F5-979D-D517F2A5681E}"/>
                </c:ext>
              </c:extLst>
            </c:dLbl>
            <c:dLbl>
              <c:idx val="4"/>
              <c:layout>
                <c:manualLayout>
                  <c:x val="-2.7739247001030649E-2"/>
                  <c:y val="-5.3486150907354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17-48F5-979D-D517F2A568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'ICT-DF funds'!$B$4:$B$8</c:f>
              <c:strCache>
                <c:ptCount val="5"/>
                <c:pt idx="0">
                  <c:v>2016</c:v>
                </c:pt>
                <c:pt idx="1">
                  <c:v>2017</c:v>
                </c:pt>
                <c:pt idx="2">
                  <c:v>2018</c:v>
                </c:pt>
                <c:pt idx="3">
                  <c:v>2019</c:v>
                </c:pt>
                <c:pt idx="4">
                  <c:v>2020</c:v>
                </c:pt>
              </c:strCache>
            </c:strRef>
          </c:cat>
          <c:val>
            <c:numRef>
              <c:f>'ICT-DF funds'!$C$4:$C$8</c:f>
              <c:numCache>
                <c:formatCode>_(* #\ ##0.00_);_(* \(#\ ##0.00\);_(* "-"??_);_(@_)</c:formatCode>
                <c:ptCount val="5"/>
                <c:pt idx="0">
                  <c:v>2587177</c:v>
                </c:pt>
                <c:pt idx="1">
                  <c:v>4557829</c:v>
                </c:pt>
                <c:pt idx="2">
                  <c:v>4375147</c:v>
                </c:pt>
                <c:pt idx="3">
                  <c:v>4306176</c:v>
                </c:pt>
                <c:pt idx="4">
                  <c:v>4100787.66</c:v>
                </c:pt>
              </c:numCache>
            </c:numRef>
          </c:val>
          <c:smooth val="0"/>
          <c:extLst>
            <c:ext xmlns:c16="http://schemas.microsoft.com/office/drawing/2014/chart" uri="{C3380CC4-5D6E-409C-BE32-E72D297353CC}">
              <c16:uniqueId val="{00000004-0317-48F5-979D-D517F2A5681E}"/>
            </c:ext>
          </c:extLst>
        </c:ser>
        <c:dLbls>
          <c:showLegendKey val="0"/>
          <c:showVal val="0"/>
          <c:showCatName val="0"/>
          <c:showSerName val="0"/>
          <c:showPercent val="0"/>
          <c:showBubbleSize val="0"/>
        </c:dLbls>
        <c:marker val="1"/>
        <c:smooth val="0"/>
        <c:axId val="1946344240"/>
        <c:axId val="134762720"/>
      </c:lineChart>
      <c:catAx>
        <c:axId val="1946344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762720"/>
        <c:crosses val="autoZero"/>
        <c:auto val="1"/>
        <c:lblAlgn val="ctr"/>
        <c:lblOffset val="100"/>
        <c:noMultiLvlLbl val="0"/>
      </c:catAx>
      <c:valAx>
        <c:axId val="134762720"/>
        <c:scaling>
          <c:orientation val="minMax"/>
        </c:scaling>
        <c:delete val="0"/>
        <c:axPos val="l"/>
        <c:majorGridlines>
          <c:spPr>
            <a:ln w="9525" cap="flat" cmpd="sng" algn="ctr">
              <a:solidFill>
                <a:schemeClr val="tx1">
                  <a:lumMod val="15000"/>
                  <a:lumOff val="85000"/>
                </a:schemeClr>
              </a:solidFill>
              <a:round/>
            </a:ln>
            <a:effectLst/>
          </c:spPr>
        </c:majorGridlines>
        <c:numFmt formatCode="_(* #\ ##0.00_);_(* \(#\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344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52210-4B69-4078-8B60-798708DC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8</Pages>
  <Words>2073</Words>
  <Characters>11335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13382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pour le développement des technologies de l'information et de la communication (FDTIC)</dc:title>
  <dc:subject>Council 2021, Virtual consultation of councillors</dc:subject>
  <dc:creator>Chanavat, Emilie</dc:creator>
  <cp:keywords>C2021, C21, VCC, C21-VCC-1</cp:keywords>
  <dc:description/>
  <cp:lastModifiedBy>Brouard, Ricarda</cp:lastModifiedBy>
  <cp:revision>2</cp:revision>
  <cp:lastPrinted>2000-07-18T08:55:00Z</cp:lastPrinted>
  <dcterms:created xsi:type="dcterms:W3CDTF">2021-04-09T14:30:00Z</dcterms:created>
  <dcterms:modified xsi:type="dcterms:W3CDTF">2021-04-09T14:30:00Z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