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722CEEAF" w:rsidR="002A2188" w:rsidRPr="00813E5E" w:rsidRDefault="002A2188" w:rsidP="009F66A3">
            <w:pPr>
              <w:spacing w:before="360" w:after="48" w:line="240" w:lineRule="atLeast"/>
              <w:rPr>
                <w:position w:val="6"/>
              </w:rPr>
            </w:pPr>
            <w:bookmarkStart w:id="0" w:name="dc06"/>
            <w:bookmarkEnd w:id="0"/>
            <w:r w:rsidRPr="00DE4373">
              <w:rPr>
                <w:b/>
                <w:bCs/>
                <w:position w:val="6"/>
                <w:sz w:val="30"/>
                <w:szCs w:val="30"/>
              </w:rPr>
              <w:t>C</w:t>
            </w:r>
            <w:r w:rsidR="009F66A3" w:rsidRPr="00DE4373">
              <w:rPr>
                <w:b/>
                <w:bCs/>
                <w:position w:val="6"/>
                <w:sz w:val="30"/>
                <w:szCs w:val="30"/>
              </w:rPr>
              <w:t>ouncil 202</w:t>
            </w:r>
            <w:r w:rsidR="00F56668" w:rsidRPr="00DE4373">
              <w:rPr>
                <w:b/>
                <w:bCs/>
                <w:position w:val="6"/>
                <w:sz w:val="30"/>
                <w:szCs w:val="30"/>
              </w:rPr>
              <w:t>1</w:t>
            </w:r>
            <w:r w:rsidR="00F56668" w:rsidRPr="00DE4373">
              <w:rPr>
                <w:b/>
                <w:bCs/>
                <w:position w:val="6"/>
                <w:sz w:val="30"/>
                <w:szCs w:val="30"/>
              </w:rPr>
              <w:br/>
            </w:r>
            <w:r w:rsidR="00EA2120" w:rsidRPr="00DE4373">
              <w:rPr>
                <w:b/>
                <w:bCs/>
                <w:position w:val="6"/>
                <w:sz w:val="28"/>
                <w:szCs w:val="28"/>
              </w:rPr>
              <w:t>Virtual consultation of councillors</w:t>
            </w:r>
            <w:r w:rsidR="00F56668" w:rsidRPr="00DE4373">
              <w:rPr>
                <w:b/>
                <w:bCs/>
                <w:position w:val="6"/>
                <w:sz w:val="28"/>
                <w:szCs w:val="28"/>
              </w:rPr>
              <w:t xml:space="preserve">, </w:t>
            </w:r>
            <w:r w:rsidR="00F56668" w:rsidRPr="00722181">
              <w:rPr>
                <w:b/>
                <w:bCs/>
                <w:position w:val="6"/>
                <w:sz w:val="28"/>
                <w:szCs w:val="28"/>
              </w:rPr>
              <w:t>8-18 June</w:t>
            </w:r>
            <w:r w:rsidR="00F56668" w:rsidRPr="00DE4373">
              <w:rPr>
                <w:b/>
                <w:bCs/>
                <w:position w:val="6"/>
                <w:sz w:val="28"/>
                <w:szCs w:val="28"/>
              </w:rPr>
              <w:t xml:space="preserve"> 2021</w:t>
            </w:r>
          </w:p>
        </w:tc>
        <w:tc>
          <w:tcPr>
            <w:tcW w:w="3120" w:type="dxa"/>
            <w:vAlign w:val="center"/>
          </w:tcPr>
          <w:p w14:paraId="049BF09C"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DE4373">
            <w:pPr>
              <w:spacing w:before="0"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DE4373">
            <w:pPr>
              <w:spacing w:before="0" w:line="240" w:lineRule="atLeast"/>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DE4373">
            <w:pPr>
              <w:spacing w:before="0" w:line="240" w:lineRule="atLeast"/>
              <w:rPr>
                <w:b/>
                <w:smallCaps/>
                <w:szCs w:val="24"/>
              </w:rPr>
            </w:pPr>
          </w:p>
        </w:tc>
        <w:tc>
          <w:tcPr>
            <w:tcW w:w="3120" w:type="dxa"/>
            <w:tcBorders>
              <w:top w:val="single" w:sz="12" w:space="0" w:color="auto"/>
            </w:tcBorders>
          </w:tcPr>
          <w:p w14:paraId="22C9147A" w14:textId="77777777" w:rsidR="002A2188" w:rsidRPr="00813E5E" w:rsidRDefault="002A2188" w:rsidP="00DE4373">
            <w:pPr>
              <w:spacing w:before="0" w:line="240" w:lineRule="atLeast"/>
              <w:rPr>
                <w:szCs w:val="24"/>
              </w:rPr>
            </w:pPr>
          </w:p>
        </w:tc>
      </w:tr>
      <w:tr w:rsidR="002A2188" w:rsidRPr="00813E5E" w14:paraId="6804D83E" w14:textId="77777777" w:rsidTr="00464B6C">
        <w:trPr>
          <w:cantSplit/>
          <w:trHeight w:val="23"/>
        </w:trPr>
        <w:tc>
          <w:tcPr>
            <w:tcW w:w="6911" w:type="dxa"/>
            <w:vMerge w:val="restart"/>
          </w:tcPr>
          <w:p w14:paraId="42A03540" w14:textId="65E2DB83" w:rsidR="002A2188" w:rsidRPr="00E85629" w:rsidRDefault="00DE4373" w:rsidP="00DE4373">
            <w:pPr>
              <w:tabs>
                <w:tab w:val="left" w:pos="851"/>
              </w:tabs>
              <w:spacing w:before="0" w:line="240" w:lineRule="atLeast"/>
              <w:rPr>
                <w:b/>
              </w:rPr>
            </w:pPr>
            <w:bookmarkStart w:id="2" w:name="dmeeting" w:colFirst="0" w:colLast="0"/>
            <w:bookmarkStart w:id="3" w:name="dnum" w:colFirst="1" w:colLast="1"/>
            <w:r>
              <w:rPr>
                <w:b/>
              </w:rPr>
              <w:t xml:space="preserve">Agenda item: </w:t>
            </w:r>
            <w:r w:rsidR="00342E34">
              <w:rPr>
                <w:b/>
              </w:rPr>
              <w:t>PL 1.3</w:t>
            </w:r>
          </w:p>
        </w:tc>
        <w:tc>
          <w:tcPr>
            <w:tcW w:w="3120" w:type="dxa"/>
          </w:tcPr>
          <w:p w14:paraId="1727AC2C" w14:textId="17C25CCE" w:rsidR="002A2188" w:rsidRPr="00E85629" w:rsidRDefault="009F66A3" w:rsidP="00DE4373">
            <w:pPr>
              <w:tabs>
                <w:tab w:val="left" w:pos="851"/>
              </w:tabs>
              <w:spacing w:before="0" w:line="240" w:lineRule="atLeast"/>
              <w:rPr>
                <w:b/>
              </w:rPr>
            </w:pPr>
            <w:r>
              <w:rPr>
                <w:b/>
              </w:rPr>
              <w:t>Document C2</w:t>
            </w:r>
            <w:r w:rsidR="00F56668">
              <w:rPr>
                <w:b/>
              </w:rPr>
              <w:t>1</w:t>
            </w:r>
            <w:r w:rsidR="002A2188">
              <w:rPr>
                <w:b/>
              </w:rPr>
              <w:t>/</w:t>
            </w:r>
            <w:r w:rsidR="00342E34">
              <w:rPr>
                <w:b/>
              </w:rPr>
              <w:t>33</w:t>
            </w:r>
            <w:r w:rsidR="002A2188">
              <w:rPr>
                <w:b/>
              </w:rPr>
              <w:t>-E</w:t>
            </w:r>
          </w:p>
        </w:tc>
      </w:tr>
      <w:tr w:rsidR="002A2188" w:rsidRPr="00813E5E" w14:paraId="6B217E52" w14:textId="77777777" w:rsidTr="00464B6C">
        <w:trPr>
          <w:cantSplit/>
          <w:trHeight w:val="23"/>
        </w:trPr>
        <w:tc>
          <w:tcPr>
            <w:tcW w:w="6911" w:type="dxa"/>
            <w:vMerge/>
          </w:tcPr>
          <w:p w14:paraId="1CE8AE93"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257DEE08" w14:textId="2B20109C" w:rsidR="002A2188" w:rsidRPr="00E85629" w:rsidRDefault="00342E34" w:rsidP="009F66A3">
            <w:pPr>
              <w:tabs>
                <w:tab w:val="left" w:pos="993"/>
              </w:tabs>
              <w:spacing w:before="0"/>
              <w:rPr>
                <w:b/>
              </w:rPr>
            </w:pPr>
            <w:r>
              <w:rPr>
                <w:b/>
              </w:rPr>
              <w:t>7 April</w:t>
            </w:r>
            <w:r w:rsidR="002A2188">
              <w:rPr>
                <w:b/>
              </w:rPr>
              <w:t xml:space="preserve"> 20</w:t>
            </w:r>
            <w:r w:rsidR="009F66A3">
              <w:rPr>
                <w:b/>
              </w:rPr>
              <w:t>2</w:t>
            </w:r>
            <w:r w:rsidR="00F56668">
              <w:rPr>
                <w:b/>
              </w:rPr>
              <w:t>1</w:t>
            </w:r>
          </w:p>
        </w:tc>
      </w:tr>
      <w:tr w:rsidR="002A2188" w:rsidRPr="00813E5E" w14:paraId="10D36551" w14:textId="77777777" w:rsidTr="00464B6C">
        <w:trPr>
          <w:cantSplit/>
          <w:trHeight w:val="23"/>
        </w:trPr>
        <w:tc>
          <w:tcPr>
            <w:tcW w:w="6911" w:type="dxa"/>
            <w:vMerge/>
          </w:tcPr>
          <w:p w14:paraId="7EF812AF"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0DF1D05E" w14:textId="3B429F99" w:rsidR="002A2188" w:rsidRPr="00E85629" w:rsidRDefault="002A2188" w:rsidP="00464B6C">
            <w:pPr>
              <w:tabs>
                <w:tab w:val="left" w:pos="993"/>
              </w:tabs>
              <w:spacing w:before="0"/>
              <w:rPr>
                <w:b/>
              </w:rPr>
            </w:pPr>
            <w:r>
              <w:rPr>
                <w:b/>
              </w:rPr>
              <w:t xml:space="preserve">Original: </w:t>
            </w:r>
            <w:r w:rsidR="00DE4373">
              <w:rPr>
                <w:b/>
              </w:rPr>
              <w:t>English</w:t>
            </w:r>
          </w:p>
        </w:tc>
      </w:tr>
      <w:tr w:rsidR="002A2188" w:rsidRPr="00813E5E" w14:paraId="46399271" w14:textId="77777777" w:rsidTr="00464B6C">
        <w:trPr>
          <w:cantSplit/>
        </w:trPr>
        <w:tc>
          <w:tcPr>
            <w:tcW w:w="10031" w:type="dxa"/>
            <w:gridSpan w:val="2"/>
          </w:tcPr>
          <w:p w14:paraId="18E28CA0" w14:textId="1E44D3C3" w:rsidR="00EA2120" w:rsidRPr="00DE4373" w:rsidRDefault="00342E34" w:rsidP="00722181">
            <w:pPr>
              <w:pStyle w:val="Source"/>
            </w:pPr>
            <w:bookmarkStart w:id="6" w:name="dsource" w:colFirst="0" w:colLast="0"/>
            <w:bookmarkEnd w:id="5"/>
            <w:r w:rsidRPr="00342E34">
              <w:t>Report by the Secretary-General</w:t>
            </w:r>
          </w:p>
        </w:tc>
      </w:tr>
      <w:tr w:rsidR="002A2188" w:rsidRPr="00813E5E" w14:paraId="73F317E2" w14:textId="77777777" w:rsidTr="00464B6C">
        <w:trPr>
          <w:cantSplit/>
        </w:trPr>
        <w:tc>
          <w:tcPr>
            <w:tcW w:w="10031" w:type="dxa"/>
            <w:gridSpan w:val="2"/>
          </w:tcPr>
          <w:p w14:paraId="29B3DB5C" w14:textId="17E00C4D" w:rsidR="002A2188" w:rsidRPr="00813E5E" w:rsidRDefault="00342E34" w:rsidP="00464B6C">
            <w:pPr>
              <w:pStyle w:val="Title1"/>
            </w:pPr>
            <w:bookmarkStart w:id="7" w:name="dtitle1" w:colFirst="0" w:colLast="0"/>
            <w:bookmarkEnd w:id="6"/>
            <w:r w:rsidRPr="00342E34">
              <w:t>ITU INTERNET ACTIVITIES: RESOLUTIONS 101, 102, 133, 180 AND 206</w:t>
            </w:r>
          </w:p>
        </w:tc>
      </w:tr>
      <w:bookmarkEnd w:id="7"/>
    </w:tbl>
    <w:p w14:paraId="4FE83389"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4E4C3AF4"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1320B955" w14:textId="77777777" w:rsidR="00342E34" w:rsidRPr="00342E34" w:rsidRDefault="00342E34" w:rsidP="00342E34">
            <w:pPr>
              <w:pStyle w:val="Headingb"/>
              <w:snapToGrid w:val="0"/>
              <w:spacing w:before="120" w:after="120"/>
              <w:rPr>
                <w:szCs w:val="24"/>
              </w:rPr>
            </w:pPr>
            <w:r w:rsidRPr="00342E34">
              <w:rPr>
                <w:szCs w:val="24"/>
              </w:rPr>
              <w:t>Summary</w:t>
            </w:r>
          </w:p>
          <w:p w14:paraId="6972A880" w14:textId="064C0F89" w:rsidR="00342E34" w:rsidRDefault="00342E34" w:rsidP="00342E34">
            <w:pPr>
              <w:snapToGrid w:val="0"/>
              <w:spacing w:after="120"/>
              <w:jc w:val="both"/>
              <w:rPr>
                <w:szCs w:val="24"/>
              </w:rPr>
            </w:pPr>
            <w:r w:rsidRPr="00342E34">
              <w:rPr>
                <w:szCs w:val="24"/>
              </w:rPr>
              <w:t xml:space="preserve">This report summarizes ITU’s activities related to Plenipotentiary Conference (PP) Resolution 101 (Rev. Dubai, 2018), </w:t>
            </w:r>
            <w:r w:rsidRPr="00342E34">
              <w:rPr>
                <w:i/>
                <w:szCs w:val="24"/>
              </w:rPr>
              <w:t>“Internet Protocol-based networks”</w:t>
            </w:r>
            <w:r w:rsidRPr="00342E34">
              <w:rPr>
                <w:szCs w:val="24"/>
              </w:rPr>
              <w:t xml:space="preserve">; Resolution 102 (Rev. Dubai, 2018), </w:t>
            </w:r>
            <w:r w:rsidRPr="00342E34">
              <w:rPr>
                <w:i/>
                <w:szCs w:val="24"/>
              </w:rPr>
              <w:t>“ITU’s role with regard to international public policy issues pertaining to the Internet and the management of Internet resources, including domain names and addresses”</w:t>
            </w:r>
            <w:r w:rsidRPr="00342E34">
              <w:rPr>
                <w:szCs w:val="24"/>
              </w:rPr>
              <w:t xml:space="preserve">; Resolution 133 (Rev. Dubai, 2018), </w:t>
            </w:r>
            <w:r w:rsidRPr="00342E34">
              <w:rPr>
                <w:i/>
                <w:szCs w:val="24"/>
              </w:rPr>
              <w:t>“Roles of administrations of Member States in the management of Internationalized (multilingual) domain names”</w:t>
            </w:r>
            <w:r w:rsidRPr="00342E34">
              <w:rPr>
                <w:szCs w:val="24"/>
              </w:rPr>
              <w:t xml:space="preserve">; Resolution 180 (Rev. Dubai, 2018), </w:t>
            </w:r>
            <w:r w:rsidRPr="00342E34">
              <w:rPr>
                <w:i/>
                <w:szCs w:val="24"/>
              </w:rPr>
              <w:t>“Facilitating the transition from IPv4 to IPv6”</w:t>
            </w:r>
            <w:r w:rsidRPr="00342E34">
              <w:rPr>
                <w:szCs w:val="24"/>
              </w:rPr>
              <w:t xml:space="preserve"> and Resolution 206 (Dubai, 2018), </w:t>
            </w:r>
            <w:r w:rsidRPr="00342E34">
              <w:rPr>
                <w:i/>
                <w:szCs w:val="24"/>
              </w:rPr>
              <w:t>“OTTs”</w:t>
            </w:r>
            <w:r w:rsidRPr="00342E34">
              <w:rPr>
                <w:szCs w:val="24"/>
              </w:rPr>
              <w:t>.</w:t>
            </w:r>
          </w:p>
          <w:p w14:paraId="2EFCBAD6" w14:textId="1B942F9D" w:rsidR="003F08DA" w:rsidRPr="000A3F73" w:rsidRDefault="003F08DA" w:rsidP="00342E34">
            <w:pPr>
              <w:snapToGrid w:val="0"/>
              <w:spacing w:after="120"/>
              <w:jc w:val="both"/>
              <w:rPr>
                <w:szCs w:val="24"/>
              </w:rPr>
            </w:pPr>
            <w:r w:rsidRPr="000A3F73">
              <w:rPr>
                <w:szCs w:val="24"/>
              </w:rPr>
              <w:t>Th</w:t>
            </w:r>
            <w:r w:rsidR="00DE4050" w:rsidRPr="000A3F73">
              <w:rPr>
                <w:szCs w:val="24"/>
              </w:rPr>
              <w:t>e 2020 version of this report (C20/33)</w:t>
            </w:r>
            <w:r w:rsidRPr="000A3F73">
              <w:rPr>
                <w:szCs w:val="24"/>
              </w:rPr>
              <w:t xml:space="preserve"> was originally prepared for submission to the 2020 session of the Council but was not reviewed.</w:t>
            </w:r>
          </w:p>
          <w:p w14:paraId="6EB7204C" w14:textId="77777777" w:rsidR="00342E34" w:rsidRPr="000A3F73" w:rsidRDefault="00342E34" w:rsidP="00342E34">
            <w:pPr>
              <w:pStyle w:val="Headingb"/>
              <w:snapToGrid w:val="0"/>
              <w:spacing w:before="120" w:after="120"/>
              <w:rPr>
                <w:szCs w:val="24"/>
              </w:rPr>
            </w:pPr>
            <w:r w:rsidRPr="000A3F73">
              <w:rPr>
                <w:szCs w:val="24"/>
              </w:rPr>
              <w:t>Action required</w:t>
            </w:r>
          </w:p>
          <w:p w14:paraId="025EEFBC" w14:textId="79C5511F" w:rsidR="00342E34" w:rsidRPr="00342E34" w:rsidRDefault="00342E34" w:rsidP="00342E34">
            <w:pPr>
              <w:spacing w:after="120"/>
              <w:jc w:val="both"/>
              <w:rPr>
                <w:szCs w:val="24"/>
              </w:rPr>
            </w:pPr>
            <w:r w:rsidRPr="000A3F73">
              <w:rPr>
                <w:szCs w:val="24"/>
              </w:rPr>
              <w:t xml:space="preserve">The Council is invited to </w:t>
            </w:r>
            <w:r w:rsidRPr="000A3F73">
              <w:rPr>
                <w:b/>
                <w:bCs/>
                <w:szCs w:val="24"/>
              </w:rPr>
              <w:t>note</w:t>
            </w:r>
            <w:r w:rsidRPr="000A3F73">
              <w:rPr>
                <w:szCs w:val="24"/>
              </w:rPr>
              <w:t xml:space="preserve"> the report</w:t>
            </w:r>
            <w:r w:rsidR="003F08DA" w:rsidRPr="000A3F73">
              <w:rPr>
                <w:szCs w:val="24"/>
              </w:rPr>
              <w:t xml:space="preserve">, as well as document </w:t>
            </w:r>
            <w:hyperlink r:id="rId9" w:history="1">
              <w:r w:rsidR="003F08DA" w:rsidRPr="000A3F73">
                <w:rPr>
                  <w:rStyle w:val="Hyperlink"/>
                  <w:szCs w:val="24"/>
                </w:rPr>
                <w:t>C20/33</w:t>
              </w:r>
            </w:hyperlink>
            <w:r w:rsidRPr="000A3F73">
              <w:rPr>
                <w:szCs w:val="24"/>
              </w:rPr>
              <w:t xml:space="preserve">. The Council is also invited to </w:t>
            </w:r>
            <w:r w:rsidRPr="000A3F73">
              <w:rPr>
                <w:b/>
                <w:bCs/>
                <w:szCs w:val="24"/>
              </w:rPr>
              <w:t>endorse</w:t>
            </w:r>
            <w:r w:rsidRPr="000A3F73">
              <w:rPr>
                <w:szCs w:val="24"/>
              </w:rPr>
              <w:t xml:space="preserve"> the transmission of the report</w:t>
            </w:r>
            <w:r w:rsidR="00A077A0" w:rsidRPr="000A3F73">
              <w:rPr>
                <w:szCs w:val="24"/>
              </w:rPr>
              <w:t>s</w:t>
            </w:r>
            <w:r w:rsidRPr="000A3F73">
              <w:rPr>
                <w:szCs w:val="24"/>
              </w:rPr>
              <w:t>,</w:t>
            </w:r>
            <w:r w:rsidRPr="00342E34">
              <w:rPr>
                <w:szCs w:val="24"/>
              </w:rPr>
              <w:t xml:space="preserve"> along with the compilation of views of Council Member States and the related summary records with a cover note, to the United Nations Secretary-General.</w:t>
            </w:r>
          </w:p>
          <w:p w14:paraId="0F1FB6F9" w14:textId="77777777" w:rsidR="00342E34" w:rsidRPr="00342E34" w:rsidRDefault="00342E34" w:rsidP="00342E34">
            <w:pPr>
              <w:pStyle w:val="Table"/>
              <w:keepNext w:val="0"/>
              <w:snapToGrid w:val="0"/>
              <w:spacing w:before="120"/>
              <w:rPr>
                <w:rFonts w:ascii="Calibri" w:hAnsi="Calibri"/>
                <w:caps w:val="0"/>
                <w:szCs w:val="24"/>
              </w:rPr>
            </w:pPr>
            <w:r w:rsidRPr="00342E34">
              <w:rPr>
                <w:rFonts w:ascii="Calibri" w:hAnsi="Calibri"/>
                <w:caps w:val="0"/>
                <w:szCs w:val="24"/>
              </w:rPr>
              <w:t>____________</w:t>
            </w:r>
          </w:p>
          <w:p w14:paraId="4EBB205C" w14:textId="77777777" w:rsidR="00342E34" w:rsidRPr="00342E34" w:rsidRDefault="00342E34" w:rsidP="00342E34">
            <w:pPr>
              <w:pStyle w:val="Headingb"/>
              <w:snapToGrid w:val="0"/>
              <w:spacing w:before="120" w:after="120"/>
              <w:rPr>
                <w:szCs w:val="24"/>
              </w:rPr>
            </w:pPr>
            <w:r w:rsidRPr="00342E34">
              <w:rPr>
                <w:szCs w:val="24"/>
              </w:rPr>
              <w:t>References</w:t>
            </w:r>
          </w:p>
          <w:p w14:paraId="2E0343C9" w14:textId="4185D14C" w:rsidR="00DE4373" w:rsidRPr="00342E34" w:rsidRDefault="00342E34" w:rsidP="00140253">
            <w:pPr>
              <w:pStyle w:val="NoSpacing"/>
              <w:spacing w:before="120" w:after="120"/>
              <w:jc w:val="both"/>
            </w:pPr>
            <w:r w:rsidRPr="00342E34">
              <w:rPr>
                <w:i/>
              </w:rPr>
              <w:t xml:space="preserve">Plenipotentiary Resolutions </w:t>
            </w:r>
            <w:hyperlink r:id="rId10" w:history="1">
              <w:r w:rsidRPr="00342E34">
                <w:rPr>
                  <w:rStyle w:val="Hyperlink"/>
                  <w:i/>
                </w:rPr>
                <w:t>101</w:t>
              </w:r>
            </w:hyperlink>
            <w:r w:rsidRPr="00342E34">
              <w:rPr>
                <w:i/>
              </w:rPr>
              <w:t xml:space="preserve">, </w:t>
            </w:r>
            <w:hyperlink r:id="rId11" w:history="1">
              <w:r w:rsidRPr="00342E34">
                <w:rPr>
                  <w:rStyle w:val="Hyperlink"/>
                  <w:i/>
                </w:rPr>
                <w:t>102</w:t>
              </w:r>
            </w:hyperlink>
            <w:r w:rsidRPr="00342E34">
              <w:rPr>
                <w:i/>
              </w:rPr>
              <w:t xml:space="preserve">, </w:t>
            </w:r>
            <w:hyperlink r:id="rId12" w:history="1">
              <w:r w:rsidRPr="00342E34">
                <w:rPr>
                  <w:rStyle w:val="Hyperlink"/>
                  <w:i/>
                </w:rPr>
                <w:t>133</w:t>
              </w:r>
            </w:hyperlink>
            <w:r w:rsidRPr="00342E34">
              <w:rPr>
                <w:i/>
              </w:rPr>
              <w:t xml:space="preserve">, </w:t>
            </w:r>
            <w:hyperlink r:id="rId13" w:history="1">
              <w:r w:rsidRPr="00342E34">
                <w:rPr>
                  <w:rStyle w:val="Hyperlink"/>
                  <w:i/>
                </w:rPr>
                <w:t>180</w:t>
              </w:r>
            </w:hyperlink>
            <w:r w:rsidRPr="00342E34">
              <w:rPr>
                <w:i/>
              </w:rPr>
              <w:t xml:space="preserve"> (Rev. Dubai, 2018), Resolution </w:t>
            </w:r>
            <w:hyperlink r:id="rId14" w:history="1">
              <w:r w:rsidRPr="00342E34">
                <w:rPr>
                  <w:rStyle w:val="Hyperlink"/>
                  <w:i/>
                </w:rPr>
                <w:t>206</w:t>
              </w:r>
            </w:hyperlink>
            <w:r w:rsidRPr="00342E34">
              <w:rPr>
                <w:i/>
              </w:rPr>
              <w:t xml:space="preserve"> (Dubai, 2018); Council Resolutions </w:t>
            </w:r>
            <w:hyperlink r:id="rId15" w:history="1">
              <w:r w:rsidRPr="00342E34">
                <w:rPr>
                  <w:rStyle w:val="Hyperlink"/>
                  <w:i/>
                </w:rPr>
                <w:t>1305</w:t>
              </w:r>
            </w:hyperlink>
            <w:r w:rsidR="00140253">
              <w:t xml:space="preserve">, </w:t>
            </w:r>
            <w:hyperlink r:id="rId16" w:history="1">
              <w:r w:rsidRPr="00342E34">
                <w:rPr>
                  <w:rStyle w:val="Hyperlink"/>
                  <w:i/>
                </w:rPr>
                <w:t>1336</w:t>
              </w:r>
            </w:hyperlink>
            <w:r w:rsidRPr="00342E34">
              <w:rPr>
                <w:i/>
              </w:rPr>
              <w:t xml:space="preserve">, </w:t>
            </w:r>
            <w:hyperlink r:id="rId17" w:history="1">
              <w:r w:rsidRPr="00342E34">
                <w:rPr>
                  <w:rStyle w:val="Hyperlink"/>
                  <w:i/>
                </w:rPr>
                <w:t>1344</w:t>
              </w:r>
            </w:hyperlink>
            <w:r w:rsidRPr="00342E34">
              <w:rPr>
                <w:i/>
              </w:rPr>
              <w:t xml:space="preserve">; WTSA </w:t>
            </w:r>
            <w:r w:rsidRPr="00342E34">
              <w:rPr>
                <w:i/>
                <w:spacing w:val="-4"/>
              </w:rPr>
              <w:t xml:space="preserve">Resolutions </w:t>
            </w:r>
            <w:hyperlink r:id="rId18" w:history="1">
              <w:r w:rsidRPr="00342E34">
                <w:rPr>
                  <w:rStyle w:val="Hyperlink"/>
                  <w:i/>
                  <w:spacing w:val="-4"/>
                </w:rPr>
                <w:t>47</w:t>
              </w:r>
            </w:hyperlink>
            <w:r w:rsidRPr="00342E34">
              <w:rPr>
                <w:i/>
                <w:spacing w:val="-4"/>
              </w:rPr>
              <w:t xml:space="preserve">, </w:t>
            </w:r>
            <w:hyperlink r:id="rId19" w:history="1">
              <w:r w:rsidRPr="00342E34">
                <w:rPr>
                  <w:rStyle w:val="Hyperlink"/>
                  <w:i/>
                  <w:spacing w:val="-4"/>
                </w:rPr>
                <w:t>48</w:t>
              </w:r>
            </w:hyperlink>
            <w:r w:rsidRPr="00342E34">
              <w:rPr>
                <w:spacing w:val="-4"/>
              </w:rPr>
              <w:t xml:space="preserve"> </w:t>
            </w:r>
            <w:r w:rsidRPr="00342E34">
              <w:rPr>
                <w:i/>
                <w:spacing w:val="-4"/>
              </w:rPr>
              <w:t xml:space="preserve">(Rev. Dubai, 2012) </w:t>
            </w:r>
            <w:hyperlink r:id="rId20" w:history="1">
              <w:r w:rsidRPr="00342E34">
                <w:rPr>
                  <w:rStyle w:val="Hyperlink"/>
                  <w:i/>
                  <w:spacing w:val="-4"/>
                </w:rPr>
                <w:t>49</w:t>
              </w:r>
            </w:hyperlink>
            <w:r w:rsidRPr="00342E34">
              <w:rPr>
                <w:i/>
                <w:spacing w:val="-4"/>
              </w:rPr>
              <w:t xml:space="preserve">, </w:t>
            </w:r>
            <w:hyperlink r:id="rId21" w:history="1">
              <w:r w:rsidRPr="00342E34">
                <w:rPr>
                  <w:rStyle w:val="Hyperlink"/>
                  <w:i/>
                  <w:spacing w:val="-4"/>
                </w:rPr>
                <w:t>50</w:t>
              </w:r>
            </w:hyperlink>
            <w:r w:rsidRPr="00342E34">
              <w:rPr>
                <w:i/>
                <w:spacing w:val="-4"/>
              </w:rPr>
              <w:t xml:space="preserve">, </w:t>
            </w:r>
            <w:hyperlink r:id="rId22" w:history="1">
              <w:r w:rsidRPr="00342E34">
                <w:rPr>
                  <w:rStyle w:val="Hyperlink"/>
                  <w:i/>
                  <w:spacing w:val="-4"/>
                </w:rPr>
                <w:t>52</w:t>
              </w:r>
            </w:hyperlink>
            <w:r w:rsidRPr="00342E34">
              <w:rPr>
                <w:rStyle w:val="Hyperlink"/>
                <w:i/>
                <w:spacing w:val="-4"/>
              </w:rPr>
              <w:t xml:space="preserve"> </w:t>
            </w:r>
            <w:r w:rsidRPr="00342E34">
              <w:rPr>
                <w:i/>
                <w:spacing w:val="-4"/>
              </w:rPr>
              <w:t xml:space="preserve">(Rev. Hammamet, 2016), </w:t>
            </w:r>
            <w:hyperlink r:id="rId23" w:history="1">
              <w:r w:rsidRPr="00342E34">
                <w:rPr>
                  <w:rStyle w:val="Hyperlink"/>
                  <w:i/>
                  <w:spacing w:val="-4"/>
                </w:rPr>
                <w:t>58</w:t>
              </w:r>
            </w:hyperlink>
            <w:r w:rsidRPr="00342E34">
              <w:rPr>
                <w:rStyle w:val="Hyperlink"/>
                <w:i/>
                <w:color w:val="auto"/>
                <w:spacing w:val="-4"/>
                <w:u w:val="none"/>
              </w:rPr>
              <w:t xml:space="preserve">, </w:t>
            </w:r>
            <w:hyperlink r:id="rId24" w:history="1">
              <w:r w:rsidRPr="00342E34">
                <w:rPr>
                  <w:rStyle w:val="Hyperlink"/>
                  <w:i/>
                  <w:spacing w:val="-4"/>
                </w:rPr>
                <w:t>60</w:t>
              </w:r>
            </w:hyperlink>
            <w:r w:rsidRPr="00342E34">
              <w:rPr>
                <w:rStyle w:val="Hyperlink"/>
                <w:i/>
                <w:spacing w:val="-4"/>
                <w:u w:val="none"/>
              </w:rPr>
              <w:t xml:space="preserve"> </w:t>
            </w:r>
            <w:r w:rsidRPr="00342E34">
              <w:rPr>
                <w:rStyle w:val="Hyperlink"/>
                <w:i/>
                <w:color w:val="auto"/>
                <w:spacing w:val="-4"/>
                <w:u w:val="none"/>
              </w:rPr>
              <w:t>(Rev. Dubai, 2012)</w:t>
            </w:r>
            <w:r w:rsidRPr="00342E34">
              <w:rPr>
                <w:i/>
                <w:spacing w:val="-4"/>
              </w:rPr>
              <w:t>,</w:t>
            </w:r>
            <w:r w:rsidRPr="00342E34">
              <w:rPr>
                <w:i/>
              </w:rPr>
              <w:t xml:space="preserve"> </w:t>
            </w:r>
            <w:hyperlink r:id="rId25" w:history="1">
              <w:r w:rsidRPr="00342E34">
                <w:rPr>
                  <w:rStyle w:val="Hyperlink"/>
                  <w:i/>
                </w:rPr>
                <w:t>64</w:t>
              </w:r>
            </w:hyperlink>
            <w:r w:rsidRPr="00342E34">
              <w:rPr>
                <w:i/>
              </w:rPr>
              <w:t xml:space="preserve">, </w:t>
            </w:r>
            <w:hyperlink r:id="rId26" w:history="1">
              <w:r w:rsidRPr="00342E34">
                <w:rPr>
                  <w:rStyle w:val="Hyperlink"/>
                  <w:i/>
                </w:rPr>
                <w:t>69</w:t>
              </w:r>
            </w:hyperlink>
            <w:r w:rsidRPr="00342E34">
              <w:rPr>
                <w:i/>
              </w:rPr>
              <w:t xml:space="preserve">, </w:t>
            </w:r>
            <w:hyperlink r:id="rId27" w:history="1">
              <w:r w:rsidRPr="00342E34">
                <w:rPr>
                  <w:rStyle w:val="Hyperlink"/>
                  <w:i/>
                </w:rPr>
                <w:t>75</w:t>
              </w:r>
            </w:hyperlink>
            <w:r w:rsidRPr="00342E34">
              <w:rPr>
                <w:rStyle w:val="Hyperlink"/>
                <w:i/>
              </w:rPr>
              <w:t xml:space="preserve"> </w:t>
            </w:r>
            <w:r w:rsidRPr="00342E34">
              <w:rPr>
                <w:i/>
              </w:rPr>
              <w:t xml:space="preserve">(Rev. Hammamet, </w:t>
            </w:r>
            <w:r w:rsidRPr="00140253">
              <w:rPr>
                <w:i/>
                <w:spacing w:val="-2"/>
              </w:rPr>
              <w:t xml:space="preserve">2016), </w:t>
            </w:r>
            <w:hyperlink r:id="rId28" w:history="1">
              <w:r w:rsidRPr="00140253">
                <w:rPr>
                  <w:rStyle w:val="Hyperlink"/>
                  <w:i/>
                  <w:spacing w:val="-2"/>
                </w:rPr>
                <w:t>98</w:t>
              </w:r>
            </w:hyperlink>
            <w:r w:rsidRPr="00140253">
              <w:rPr>
                <w:i/>
                <w:spacing w:val="-2"/>
              </w:rPr>
              <w:t xml:space="preserve"> (Hammamet, 2016); </w:t>
            </w:r>
            <w:hyperlink r:id="rId29" w:history="1">
              <w:r w:rsidRPr="00140253">
                <w:rPr>
                  <w:rStyle w:val="Hyperlink"/>
                  <w:i/>
                  <w:spacing w:val="-2"/>
                </w:rPr>
                <w:t>WTDC-17/Buenos Aire</w:t>
              </w:r>
              <w:r w:rsidRPr="00140253">
                <w:rPr>
                  <w:rStyle w:val="Hyperlink"/>
                  <w:i/>
                  <w:iCs/>
                  <w:spacing w:val="-2"/>
                </w:rPr>
                <w:t>s Action Plan Objective 3/Output 3.3</w:t>
              </w:r>
            </w:hyperlink>
            <w:r w:rsidRPr="00342E34">
              <w:rPr>
                <w:rStyle w:val="apple-style-span"/>
                <w:rFonts w:eastAsiaTheme="majorEastAsia"/>
                <w:i/>
                <w:color w:val="000000"/>
              </w:rPr>
              <w:t xml:space="preserve">, WTDC </w:t>
            </w:r>
            <w:r w:rsidRPr="00342E34">
              <w:rPr>
                <w:rFonts w:eastAsiaTheme="majorEastAsia"/>
                <w:i/>
              </w:rPr>
              <w:t xml:space="preserve">Resolutions </w:t>
            </w:r>
            <w:hyperlink r:id="rId30" w:history="1">
              <w:r w:rsidRPr="00342E34">
                <w:rPr>
                  <w:rStyle w:val="Hyperlink"/>
                  <w:i/>
                </w:rPr>
                <w:t>20, 30 , 63</w:t>
              </w:r>
            </w:hyperlink>
            <w:r w:rsidRPr="00342E34">
              <w:rPr>
                <w:rStyle w:val="Hyperlink"/>
                <w:i/>
                <w:color w:val="auto"/>
                <w:u w:val="none"/>
              </w:rPr>
              <w:t xml:space="preserve"> (Rev. Buenos Aires, 2017)</w:t>
            </w:r>
            <w:r w:rsidRPr="00342E34">
              <w:rPr>
                <w:i/>
              </w:rPr>
              <w:t xml:space="preserve">, and </w:t>
            </w:r>
            <w:hyperlink r:id="rId31" w:history="1">
              <w:r w:rsidRPr="00342E34">
                <w:rPr>
                  <w:rStyle w:val="Hyperlink"/>
                  <w:i/>
                </w:rPr>
                <w:t>45</w:t>
              </w:r>
            </w:hyperlink>
            <w:r w:rsidRPr="00342E34">
              <w:rPr>
                <w:rStyle w:val="Hyperlink"/>
                <w:color w:val="auto"/>
                <w:u w:val="none"/>
              </w:rPr>
              <w:t> </w:t>
            </w:r>
            <w:r w:rsidRPr="00342E34">
              <w:rPr>
                <w:rStyle w:val="apple-style-span"/>
                <w:rFonts w:eastAsiaTheme="majorEastAsia"/>
                <w:i/>
                <w:color w:val="000000"/>
              </w:rPr>
              <w:t xml:space="preserve"> (Rev. Dubai, 2014); </w:t>
            </w:r>
            <w:r w:rsidRPr="00342E34">
              <w:rPr>
                <w:i/>
              </w:rPr>
              <w:t xml:space="preserve">Council Documents </w:t>
            </w:r>
            <w:hyperlink r:id="rId32" w:history="1">
              <w:r w:rsidRPr="00342E34">
                <w:rPr>
                  <w:rStyle w:val="Hyperlink"/>
                  <w:i/>
                </w:rPr>
                <w:t>C16/33</w:t>
              </w:r>
            </w:hyperlink>
            <w:r w:rsidRPr="00342E34">
              <w:rPr>
                <w:rStyle w:val="Hyperlink"/>
                <w:i/>
                <w:u w:val="none"/>
              </w:rPr>
              <w:t xml:space="preserve">, </w:t>
            </w:r>
            <w:hyperlink r:id="rId33" w:history="1">
              <w:r w:rsidRPr="00342E34">
                <w:rPr>
                  <w:rStyle w:val="Hyperlink"/>
                  <w:i/>
                </w:rPr>
                <w:t>C17/33</w:t>
              </w:r>
            </w:hyperlink>
            <w:r w:rsidRPr="00342E34">
              <w:rPr>
                <w:rStyle w:val="Hyperlink"/>
                <w:i/>
              </w:rPr>
              <w:t>,</w:t>
            </w:r>
            <w:hyperlink r:id="rId34" w:history="1">
              <w:r w:rsidRPr="00342E34">
                <w:rPr>
                  <w:rStyle w:val="Hyperlink"/>
                  <w:i/>
                </w:rPr>
                <w:t xml:space="preserve"> C18/33</w:t>
              </w:r>
            </w:hyperlink>
            <w:r w:rsidRPr="00342E34">
              <w:rPr>
                <w:rStyle w:val="Hyperlink"/>
                <w:i/>
                <w:color w:val="auto"/>
                <w:u w:val="none"/>
              </w:rPr>
              <w:t xml:space="preserve"> and </w:t>
            </w:r>
            <w:hyperlink r:id="rId35" w:history="1">
              <w:r w:rsidRPr="00342E34">
                <w:rPr>
                  <w:rStyle w:val="Hyperlink"/>
                  <w:i/>
                </w:rPr>
                <w:t>C19/33</w:t>
              </w:r>
            </w:hyperlink>
            <w:r w:rsidRPr="00342E34">
              <w:rPr>
                <w:rStyle w:val="Hyperlink"/>
                <w:i/>
              </w:rPr>
              <w:t>,</w:t>
            </w:r>
            <w:r w:rsidRPr="00342E34">
              <w:rPr>
                <w:rStyle w:val="Hyperlink"/>
                <w:i/>
                <w:color w:val="auto"/>
                <w:u w:val="none"/>
              </w:rPr>
              <w:t xml:space="preserve"> </w:t>
            </w:r>
            <w:hyperlink r:id="rId36" w:history="1">
              <w:r w:rsidRPr="00342E34">
                <w:rPr>
                  <w:rStyle w:val="Hyperlink"/>
                  <w:i/>
                </w:rPr>
                <w:t>C20/33</w:t>
              </w:r>
            </w:hyperlink>
            <w:r w:rsidRPr="00342E34">
              <w:rPr>
                <w:rStyle w:val="Hyperlink"/>
                <w:i/>
                <w:color w:val="auto"/>
                <w:u w:val="none"/>
              </w:rPr>
              <w:t>.</w:t>
            </w:r>
          </w:p>
        </w:tc>
      </w:tr>
    </w:tbl>
    <w:p w14:paraId="5D7E80AD" w14:textId="77777777" w:rsidR="00264425" w:rsidRDefault="00264425" w:rsidP="00DB384B">
      <w:pPr>
        <w:rPr>
          <w:lang w:val="en-US"/>
        </w:rPr>
      </w:pPr>
      <w:bookmarkStart w:id="8" w:name="dstart"/>
      <w:bookmarkStart w:id="9" w:name="dbreak"/>
      <w:bookmarkEnd w:id="8"/>
      <w:bookmarkEnd w:id="9"/>
    </w:p>
    <w:p w14:paraId="591B451D" w14:textId="4FB63F65" w:rsidR="00D338E0" w:rsidRDefault="00D338E0">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14:paraId="7699F9B1" w14:textId="0C0CEB9F" w:rsidR="00342E34" w:rsidRDefault="00342E34" w:rsidP="00342E34">
      <w:pPr>
        <w:pStyle w:val="Heading1"/>
        <w:keepNext w:val="0"/>
        <w:keepLines w:val="0"/>
        <w:numPr>
          <w:ilvl w:val="0"/>
          <w:numId w:val="13"/>
        </w:numPr>
        <w:tabs>
          <w:tab w:val="clear" w:pos="567"/>
          <w:tab w:val="clear" w:pos="1134"/>
          <w:tab w:val="clear" w:pos="1701"/>
          <w:tab w:val="clear" w:pos="2268"/>
          <w:tab w:val="clear" w:pos="2835"/>
        </w:tabs>
        <w:snapToGrid w:val="0"/>
        <w:spacing w:before="120" w:after="120"/>
        <w:ind w:left="0" w:firstLine="0"/>
        <w:jc w:val="both"/>
        <w:rPr>
          <w:rFonts w:asciiTheme="minorHAnsi" w:hAnsiTheme="minorHAnsi" w:cstheme="minorHAnsi"/>
          <w:b w:val="0"/>
          <w:bCs/>
          <w:sz w:val="24"/>
          <w:szCs w:val="24"/>
        </w:rPr>
      </w:pPr>
      <w:r w:rsidRPr="00342E34">
        <w:rPr>
          <w:rFonts w:asciiTheme="minorHAnsi" w:hAnsiTheme="minorHAnsi" w:cstheme="minorHAnsi"/>
          <w:sz w:val="24"/>
          <w:szCs w:val="24"/>
        </w:rPr>
        <w:lastRenderedPageBreak/>
        <w:t>Introduction</w:t>
      </w:r>
      <w:r w:rsidRPr="00342E34">
        <w:rPr>
          <w:rFonts w:asciiTheme="minorHAnsi" w:hAnsiTheme="minorHAnsi" w:cstheme="minorHAnsi"/>
          <w:b w:val="0"/>
          <w:bCs/>
          <w:sz w:val="24"/>
          <w:szCs w:val="24"/>
        </w:rPr>
        <w:t xml:space="preserve">: </w:t>
      </w:r>
    </w:p>
    <w:p w14:paraId="46537597" w14:textId="59F7E14D" w:rsidR="00342E34" w:rsidRPr="00342E34" w:rsidRDefault="00342E34" w:rsidP="00342E34">
      <w:pPr>
        <w:pStyle w:val="Heading1"/>
        <w:keepNext w:val="0"/>
        <w:keepLines w:val="0"/>
        <w:tabs>
          <w:tab w:val="clear" w:pos="567"/>
          <w:tab w:val="clear" w:pos="1134"/>
          <w:tab w:val="clear" w:pos="1701"/>
          <w:tab w:val="clear" w:pos="2268"/>
          <w:tab w:val="clear" w:pos="2835"/>
        </w:tabs>
        <w:snapToGrid w:val="0"/>
        <w:spacing w:before="120" w:after="120"/>
        <w:ind w:left="0" w:firstLine="0"/>
        <w:jc w:val="both"/>
        <w:rPr>
          <w:rFonts w:asciiTheme="minorHAnsi" w:hAnsiTheme="minorHAnsi" w:cstheme="minorHAnsi"/>
          <w:sz w:val="24"/>
          <w:szCs w:val="24"/>
        </w:rPr>
      </w:pPr>
      <w:r w:rsidRPr="00342E34">
        <w:rPr>
          <w:rFonts w:asciiTheme="minorHAnsi" w:hAnsiTheme="minorHAnsi" w:cstheme="minorHAnsi"/>
          <w:b w:val="0"/>
          <w:bCs/>
          <w:sz w:val="24"/>
          <w:szCs w:val="24"/>
        </w:rPr>
        <w:t xml:space="preserve">This report describes ITU’s activities related to the 2018 Plenipotentiary Conference Resolutions 101, 102, 133, 180 and 206 for the reporting period from </w:t>
      </w:r>
      <w:r>
        <w:rPr>
          <w:rFonts w:asciiTheme="minorHAnsi" w:hAnsiTheme="minorHAnsi" w:cstheme="minorHAnsi"/>
          <w:b w:val="0"/>
          <w:bCs/>
          <w:sz w:val="24"/>
          <w:szCs w:val="24"/>
        </w:rPr>
        <w:t>the Virtual consultation of councillors (VCC-1) (9-12 June 2020)</w:t>
      </w:r>
      <w:r w:rsidRPr="00342E34">
        <w:rPr>
          <w:rFonts w:asciiTheme="minorHAnsi" w:hAnsiTheme="minorHAnsi" w:cstheme="minorHAnsi"/>
          <w:b w:val="0"/>
          <w:bCs/>
          <w:sz w:val="24"/>
          <w:szCs w:val="24"/>
        </w:rPr>
        <w:t xml:space="preserve"> till date</w:t>
      </w:r>
      <w:r w:rsidRPr="00342E34">
        <w:rPr>
          <w:rStyle w:val="FootnoteReference"/>
          <w:rFonts w:asciiTheme="minorHAnsi" w:hAnsiTheme="minorHAnsi" w:cstheme="minorHAnsi"/>
          <w:b w:val="0"/>
          <w:bCs/>
          <w:sz w:val="20"/>
        </w:rPr>
        <w:footnoteReference w:id="1"/>
      </w:r>
      <w:r w:rsidRPr="00342E34">
        <w:rPr>
          <w:rFonts w:asciiTheme="minorHAnsi" w:hAnsiTheme="minorHAnsi" w:cstheme="minorHAnsi"/>
          <w:b w:val="0"/>
          <w:bCs/>
          <w:sz w:val="24"/>
          <w:szCs w:val="24"/>
        </w:rPr>
        <w:t>.</w:t>
      </w:r>
      <w:bookmarkStart w:id="10" w:name="_Hlt239152104"/>
      <w:bookmarkStart w:id="11" w:name="_Hlt239152105"/>
      <w:bookmarkStart w:id="12" w:name="_Hlt239151886"/>
      <w:bookmarkStart w:id="13" w:name="_Hlt239151887"/>
      <w:bookmarkStart w:id="14" w:name="_Hlt239152106"/>
      <w:bookmarkStart w:id="15" w:name="_Hlt239152114"/>
      <w:bookmarkStart w:id="16" w:name="_Hlt239153440"/>
      <w:bookmarkStart w:id="17" w:name="_Hlt239153441"/>
      <w:bookmarkEnd w:id="10"/>
      <w:bookmarkEnd w:id="11"/>
      <w:bookmarkEnd w:id="12"/>
      <w:bookmarkEnd w:id="13"/>
      <w:bookmarkEnd w:id="14"/>
      <w:bookmarkEnd w:id="15"/>
      <w:bookmarkEnd w:id="16"/>
      <w:bookmarkEnd w:id="17"/>
      <w:r w:rsidRPr="00342E34">
        <w:rPr>
          <w:rFonts w:asciiTheme="minorHAnsi" w:hAnsiTheme="minorHAnsi" w:cstheme="minorHAnsi"/>
          <w:b w:val="0"/>
          <w:bCs/>
          <w:sz w:val="24"/>
          <w:szCs w:val="24"/>
        </w:rPr>
        <w:t xml:space="preserve"> </w:t>
      </w:r>
    </w:p>
    <w:p w14:paraId="0AD2EA04" w14:textId="77777777" w:rsidR="00342E34" w:rsidRPr="00342E34" w:rsidRDefault="00342E34" w:rsidP="00342E34">
      <w:pPr>
        <w:pStyle w:val="Heading1"/>
        <w:tabs>
          <w:tab w:val="clear" w:pos="567"/>
          <w:tab w:val="clear" w:pos="1134"/>
          <w:tab w:val="clear" w:pos="1701"/>
          <w:tab w:val="clear" w:pos="2268"/>
          <w:tab w:val="clear" w:pos="2835"/>
        </w:tabs>
        <w:snapToGrid w:val="0"/>
        <w:spacing w:before="360" w:after="120"/>
        <w:ind w:left="0" w:firstLine="0"/>
        <w:jc w:val="both"/>
        <w:rPr>
          <w:rFonts w:asciiTheme="minorHAnsi" w:hAnsiTheme="minorHAnsi" w:cstheme="minorHAnsi"/>
          <w:sz w:val="24"/>
          <w:szCs w:val="24"/>
        </w:rPr>
      </w:pPr>
      <w:r w:rsidRPr="00342E34">
        <w:rPr>
          <w:rFonts w:asciiTheme="minorHAnsi" w:hAnsiTheme="minorHAnsi" w:cstheme="minorHAnsi"/>
          <w:sz w:val="24"/>
          <w:szCs w:val="24"/>
        </w:rPr>
        <w:t>2.</w:t>
      </w:r>
      <w:r w:rsidRPr="00342E34">
        <w:rPr>
          <w:rFonts w:asciiTheme="minorHAnsi" w:hAnsiTheme="minorHAnsi" w:cstheme="minorHAnsi"/>
          <w:sz w:val="24"/>
          <w:szCs w:val="24"/>
        </w:rPr>
        <w:tab/>
        <w:t>Activities related to Internet Protocol (IP) networks, the development of next-generation networks (NGN) and future Internet, including policy and regulatory challenges</w:t>
      </w:r>
    </w:p>
    <w:p w14:paraId="58684BDB" w14:textId="77777777" w:rsidR="00342E34" w:rsidRPr="00342E34" w:rsidRDefault="00342E34" w:rsidP="00342E34">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342E34">
        <w:rPr>
          <w:rFonts w:asciiTheme="minorHAnsi" w:hAnsiTheme="minorHAnsi" w:cstheme="minorHAnsi"/>
          <w:b/>
          <w:szCs w:val="24"/>
        </w:rPr>
        <w:t>2.1</w:t>
      </w:r>
      <w:r w:rsidRPr="00342E34">
        <w:rPr>
          <w:rFonts w:asciiTheme="minorHAnsi" w:hAnsiTheme="minorHAnsi" w:cstheme="minorHAnsi"/>
          <w:szCs w:val="24"/>
        </w:rPr>
        <w:tab/>
        <w:t xml:space="preserve">More than 270 new/revised </w:t>
      </w:r>
      <w:hyperlink r:id="rId37" w:history="1">
        <w:r w:rsidRPr="00342E34">
          <w:rPr>
            <w:rStyle w:val="Hyperlink"/>
            <w:rFonts w:asciiTheme="minorHAnsi" w:hAnsiTheme="minorHAnsi" w:cstheme="minorHAnsi"/>
            <w:szCs w:val="24"/>
          </w:rPr>
          <w:t>ITU-T Recommendations</w:t>
        </w:r>
      </w:hyperlink>
      <w:r w:rsidRPr="00342E34">
        <w:rPr>
          <w:rFonts w:asciiTheme="minorHAnsi" w:hAnsiTheme="minorHAnsi" w:cstheme="minorHAnsi"/>
          <w:szCs w:val="24"/>
        </w:rPr>
        <w:t xml:space="preserve"> and other texts have been approved from 1 April to 16 December 2020. </w:t>
      </w:r>
    </w:p>
    <w:p w14:paraId="3432F770" w14:textId="77777777" w:rsidR="00342E34" w:rsidRPr="00342E34" w:rsidRDefault="00342E34" w:rsidP="00342E34">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b/>
          <w:bCs/>
          <w:szCs w:val="24"/>
        </w:rPr>
      </w:pPr>
      <w:r w:rsidRPr="00342E34">
        <w:rPr>
          <w:rFonts w:asciiTheme="minorHAnsi" w:hAnsiTheme="minorHAnsi" w:cstheme="minorHAnsi"/>
          <w:b/>
          <w:bCs/>
          <w:szCs w:val="24"/>
        </w:rPr>
        <w:t>2.2</w:t>
      </w:r>
      <w:r w:rsidRPr="00342E34">
        <w:rPr>
          <w:rFonts w:asciiTheme="minorHAnsi" w:hAnsiTheme="minorHAnsi" w:cstheme="minorHAnsi"/>
          <w:b/>
          <w:bCs/>
          <w:szCs w:val="24"/>
        </w:rPr>
        <w:tab/>
        <w:t>Multimedia</w:t>
      </w:r>
    </w:p>
    <w:p w14:paraId="224B463A" w14:textId="77777777" w:rsidR="00342E34" w:rsidRPr="00342E34" w:rsidRDefault="00342E34" w:rsidP="00342E3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342E34">
        <w:rPr>
          <w:rFonts w:asciiTheme="minorHAnsi" w:hAnsiTheme="minorHAnsi" w:cstheme="minorHAnsi"/>
          <w:szCs w:val="24"/>
        </w:rPr>
        <w:t>2.2.1</w:t>
      </w:r>
      <w:r w:rsidRPr="00342E34">
        <w:rPr>
          <w:rFonts w:asciiTheme="minorHAnsi" w:hAnsiTheme="minorHAnsi" w:cstheme="minorHAnsi"/>
          <w:szCs w:val="24"/>
        </w:rPr>
        <w:tab/>
        <w:t>ITU-T SG16 approved four ITU-T standards on versatile video coding, multimedia content delivery networks, IPTV accessibility, and IPTV gesture control interfaces. Work also continues in improving management, storage and delivery of video over IP networks.</w:t>
      </w:r>
    </w:p>
    <w:p w14:paraId="3CD1DDF0" w14:textId="77777777" w:rsidR="00342E34" w:rsidRPr="00342E34" w:rsidRDefault="00342E34" w:rsidP="00342E3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
          <w:bCs/>
          <w:szCs w:val="24"/>
        </w:rPr>
      </w:pPr>
      <w:r w:rsidRPr="00342E34">
        <w:rPr>
          <w:rFonts w:asciiTheme="minorHAnsi" w:hAnsiTheme="minorHAnsi" w:cstheme="minorHAnsi"/>
          <w:b/>
          <w:bCs/>
          <w:szCs w:val="24"/>
        </w:rPr>
        <w:t>2.3</w:t>
      </w:r>
      <w:r w:rsidRPr="00342E34">
        <w:rPr>
          <w:rFonts w:asciiTheme="minorHAnsi" w:hAnsiTheme="minorHAnsi" w:cstheme="minorHAnsi"/>
          <w:b/>
          <w:bCs/>
          <w:szCs w:val="24"/>
        </w:rPr>
        <w:tab/>
        <w:t>Distributed Ledger Technologies (DLT)</w:t>
      </w:r>
    </w:p>
    <w:p w14:paraId="5A3C02DF" w14:textId="77777777" w:rsidR="00342E34" w:rsidRPr="00342E34" w:rsidRDefault="00342E34" w:rsidP="00342E3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342E34">
        <w:rPr>
          <w:rFonts w:asciiTheme="minorHAnsi" w:hAnsiTheme="minorHAnsi" w:cstheme="minorHAnsi"/>
          <w:szCs w:val="24"/>
        </w:rPr>
        <w:t>2.3.1</w:t>
      </w:r>
      <w:r w:rsidRPr="00342E34">
        <w:rPr>
          <w:rFonts w:asciiTheme="minorHAnsi" w:hAnsiTheme="minorHAnsi" w:cstheme="minorHAnsi"/>
          <w:szCs w:val="24"/>
        </w:rPr>
        <w:tab/>
        <w:t>The first eight foundational ITU-T standards were approved, addressing DLT system requirements, assessment criteria, a reference framework, terms and definitions, security threats, security framework, security guidelines for decentralized identity management, and security assurance</w:t>
      </w:r>
      <w:r w:rsidRPr="00342E34">
        <w:rPr>
          <w:rFonts w:asciiTheme="minorHAnsi" w:hAnsiTheme="minorHAnsi" w:cstheme="minorHAnsi"/>
          <w:i/>
          <w:iCs/>
          <w:szCs w:val="24"/>
        </w:rPr>
        <w:t xml:space="preserve">. </w:t>
      </w:r>
      <w:r w:rsidRPr="00342E34">
        <w:rPr>
          <w:rFonts w:asciiTheme="minorHAnsi" w:hAnsiTheme="minorHAnsi" w:cstheme="minorHAnsi"/>
          <w:szCs w:val="24"/>
        </w:rPr>
        <w:t xml:space="preserve">The DLT experts also agreed to organize a series of </w:t>
      </w:r>
      <w:hyperlink r:id="rId38" w:history="1">
        <w:r w:rsidRPr="00342E34">
          <w:rPr>
            <w:rStyle w:val="Hyperlink"/>
            <w:rFonts w:asciiTheme="minorHAnsi" w:hAnsiTheme="minorHAnsi" w:cstheme="minorHAnsi"/>
            <w:szCs w:val="24"/>
          </w:rPr>
          <w:t xml:space="preserve">DLT </w:t>
        </w:r>
        <w:r w:rsidRPr="00342E34">
          <w:rPr>
            <w:rStyle w:val="Hyperlink"/>
            <w:rFonts w:asciiTheme="minorHAnsi" w:hAnsiTheme="minorHAnsi" w:cstheme="minorHAnsi"/>
            <w:i/>
            <w:iCs/>
            <w:szCs w:val="24"/>
          </w:rPr>
          <w:t>"</w:t>
        </w:r>
        <w:r w:rsidRPr="00342E34">
          <w:rPr>
            <w:rStyle w:val="Hyperlink"/>
            <w:rFonts w:asciiTheme="minorHAnsi" w:hAnsiTheme="minorHAnsi" w:cstheme="minorHAnsi"/>
            <w:szCs w:val="24"/>
          </w:rPr>
          <w:t>meet-ups</w:t>
        </w:r>
        <w:r w:rsidRPr="00342E34">
          <w:rPr>
            <w:rStyle w:val="Hyperlink"/>
            <w:rFonts w:asciiTheme="minorHAnsi" w:hAnsiTheme="minorHAnsi" w:cstheme="minorHAnsi"/>
            <w:i/>
            <w:iCs/>
            <w:szCs w:val="24"/>
          </w:rPr>
          <w:t>"</w:t>
        </w:r>
      </w:hyperlink>
      <w:r w:rsidRPr="00342E34">
        <w:rPr>
          <w:rFonts w:asciiTheme="minorHAnsi" w:hAnsiTheme="minorHAnsi" w:cstheme="minorHAnsi"/>
          <w:szCs w:val="24"/>
        </w:rPr>
        <w:t>.</w:t>
      </w:r>
    </w:p>
    <w:p w14:paraId="4B47182D" w14:textId="77777777" w:rsidR="00342E34" w:rsidRPr="00342E34" w:rsidRDefault="00342E34" w:rsidP="00342E34">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342E34">
        <w:rPr>
          <w:rFonts w:asciiTheme="minorHAnsi" w:hAnsiTheme="minorHAnsi" w:cstheme="minorHAnsi"/>
          <w:b/>
          <w:bCs/>
          <w:szCs w:val="24"/>
        </w:rPr>
        <w:t>2.4</w:t>
      </w:r>
      <w:r w:rsidRPr="00342E34">
        <w:rPr>
          <w:rFonts w:asciiTheme="minorHAnsi" w:hAnsiTheme="minorHAnsi" w:cstheme="minorHAnsi"/>
          <w:szCs w:val="24"/>
        </w:rPr>
        <w:tab/>
      </w:r>
      <w:r w:rsidRPr="00342E34">
        <w:rPr>
          <w:rFonts w:asciiTheme="minorHAnsi" w:hAnsiTheme="minorHAnsi" w:cstheme="minorHAnsi"/>
          <w:b/>
          <w:bCs/>
          <w:szCs w:val="24"/>
        </w:rPr>
        <w:t>IMT-2020</w:t>
      </w:r>
    </w:p>
    <w:p w14:paraId="01775729" w14:textId="77777777" w:rsidR="00342E34" w:rsidRPr="00342E34" w:rsidRDefault="00342E34" w:rsidP="00342E34">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342E34">
        <w:rPr>
          <w:rFonts w:asciiTheme="minorHAnsi" w:hAnsiTheme="minorHAnsi" w:cstheme="minorHAnsi"/>
          <w:szCs w:val="24"/>
        </w:rPr>
        <w:t>2.4.1</w:t>
      </w:r>
      <w:r w:rsidRPr="00342E34">
        <w:rPr>
          <w:rFonts w:asciiTheme="minorHAnsi" w:hAnsiTheme="minorHAnsi" w:cstheme="minorHAnsi"/>
          <w:szCs w:val="24"/>
        </w:rPr>
        <w:tab/>
        <w:t>ITU-T SG13 approved fourteen ITU-T standards on IMT-2020 covering IMT-2020 for Information Centric Networking, fixed mobile convergence, network softwarization, network management and slice orchestration, SDN, AI-assisted analysis and machine learning, and agreed two Supplements on IMT-2020 standardization roadmap, and on use cases and migration aspects. ITU-T SG11 approved one ITU standard on energy efficient device-to-device signalling.</w:t>
      </w:r>
    </w:p>
    <w:p w14:paraId="5A576715" w14:textId="77777777" w:rsidR="00342E34" w:rsidRPr="00342E34" w:rsidRDefault="00342E34" w:rsidP="00342E34">
      <w:pPr>
        <w:tabs>
          <w:tab w:val="clear" w:pos="567"/>
          <w:tab w:val="clear" w:pos="1134"/>
          <w:tab w:val="clear" w:pos="1701"/>
          <w:tab w:val="clear" w:pos="2268"/>
          <w:tab w:val="clear" w:pos="2835"/>
        </w:tabs>
        <w:spacing w:after="120"/>
        <w:jc w:val="both"/>
        <w:rPr>
          <w:rFonts w:asciiTheme="minorHAnsi" w:hAnsiTheme="minorHAnsi" w:cstheme="minorHAnsi"/>
          <w:b/>
          <w:bCs/>
          <w:szCs w:val="24"/>
        </w:rPr>
      </w:pPr>
      <w:r w:rsidRPr="00342E34">
        <w:rPr>
          <w:rFonts w:asciiTheme="minorHAnsi" w:hAnsiTheme="minorHAnsi" w:cstheme="minorHAnsi"/>
          <w:b/>
          <w:bCs/>
          <w:szCs w:val="24"/>
        </w:rPr>
        <w:t>2.5</w:t>
      </w:r>
      <w:r w:rsidRPr="00342E34">
        <w:rPr>
          <w:rFonts w:asciiTheme="minorHAnsi" w:hAnsiTheme="minorHAnsi" w:cstheme="minorHAnsi"/>
          <w:szCs w:val="24"/>
        </w:rPr>
        <w:tab/>
      </w:r>
      <w:r w:rsidRPr="00342E34">
        <w:rPr>
          <w:rFonts w:asciiTheme="minorHAnsi" w:hAnsiTheme="minorHAnsi" w:cstheme="minorHAnsi"/>
          <w:b/>
          <w:bCs/>
          <w:szCs w:val="24"/>
        </w:rPr>
        <w:t>Internet-of-things (IoT)</w:t>
      </w:r>
    </w:p>
    <w:p w14:paraId="661A6A64" w14:textId="77777777" w:rsidR="00342E34" w:rsidRPr="00342E34" w:rsidRDefault="00342E34" w:rsidP="00342E3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342E34">
        <w:rPr>
          <w:rFonts w:asciiTheme="minorHAnsi" w:hAnsiTheme="minorHAnsi" w:cstheme="minorHAnsi"/>
          <w:szCs w:val="24"/>
        </w:rPr>
        <w:t>2.5.1</w:t>
      </w:r>
      <w:r w:rsidRPr="00342E34">
        <w:rPr>
          <w:rFonts w:asciiTheme="minorHAnsi" w:hAnsiTheme="minorHAnsi" w:cstheme="minorHAnsi"/>
          <w:szCs w:val="24"/>
        </w:rPr>
        <w:tab/>
        <w:t>ITU-T SG2 agreed one Supplement on E.164.1 Identification codes and E.212 Mobile Network Codes numbering assignments for IoT.</w:t>
      </w:r>
    </w:p>
    <w:p w14:paraId="1E707ADC" w14:textId="77777777" w:rsidR="00342E34" w:rsidRPr="00342E34" w:rsidRDefault="00342E34" w:rsidP="00342E3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lang w:eastAsia="en-GB"/>
        </w:rPr>
      </w:pPr>
      <w:r w:rsidRPr="00342E34">
        <w:rPr>
          <w:rFonts w:asciiTheme="minorHAnsi" w:hAnsiTheme="minorHAnsi" w:cstheme="minorHAnsi"/>
          <w:szCs w:val="24"/>
          <w:lang w:eastAsia="en-GB"/>
        </w:rPr>
        <w:t>2.5.2</w:t>
      </w:r>
      <w:r w:rsidRPr="00342E34">
        <w:rPr>
          <w:rFonts w:asciiTheme="minorHAnsi" w:hAnsiTheme="minorHAnsi" w:cstheme="minorHAnsi"/>
          <w:szCs w:val="24"/>
        </w:rPr>
        <w:tab/>
      </w:r>
      <w:r w:rsidRPr="00342E34">
        <w:rPr>
          <w:rFonts w:asciiTheme="minorHAnsi" w:hAnsiTheme="minorHAnsi" w:cstheme="minorHAnsi"/>
          <w:szCs w:val="24"/>
          <w:lang w:eastAsia="en-GB"/>
        </w:rPr>
        <w:t>ITU-T SG11 approved four ITU-T standards for IoT-based applications over SDN, heterogeneous IoT gateways, IoT testing framework, and testing IoT identification systems.</w:t>
      </w:r>
    </w:p>
    <w:p w14:paraId="5C261F6A" w14:textId="77777777" w:rsidR="00342E34" w:rsidRPr="00342E34" w:rsidRDefault="00342E34" w:rsidP="00342E3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342E34">
        <w:rPr>
          <w:rFonts w:asciiTheme="minorHAnsi" w:hAnsiTheme="minorHAnsi" w:cstheme="minorHAnsi"/>
          <w:szCs w:val="24"/>
        </w:rPr>
        <w:t>2.5.3</w:t>
      </w:r>
      <w:r w:rsidRPr="00342E34">
        <w:rPr>
          <w:rFonts w:asciiTheme="minorHAnsi" w:hAnsiTheme="minorHAnsi" w:cstheme="minorHAnsi"/>
          <w:szCs w:val="24"/>
        </w:rPr>
        <w:tab/>
        <w:t xml:space="preserve">ITU-T SG17 approved six ITU-T standards on IoT security, personally identifiable information (PII) handling system, IoT security requirements, identity-based crypto in IoT devices, message authentication schemes, and IoT error logging format. A draft standard is under approval on </w:t>
      </w:r>
      <w:r w:rsidRPr="00342E34">
        <w:rPr>
          <w:rFonts w:asciiTheme="minorHAnsi" w:hAnsiTheme="minorHAnsi" w:cstheme="minorHAnsi"/>
          <w:i/>
          <w:iCs/>
          <w:szCs w:val="24"/>
        </w:rPr>
        <w:t>Secure software update procedure for IoT devices.</w:t>
      </w:r>
    </w:p>
    <w:p w14:paraId="3D900903" w14:textId="77777777" w:rsidR="00342E34" w:rsidRPr="00342E34" w:rsidRDefault="00342E34" w:rsidP="00342E3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342E34">
        <w:rPr>
          <w:rFonts w:asciiTheme="minorHAnsi" w:hAnsiTheme="minorHAnsi" w:cstheme="minorHAnsi"/>
          <w:szCs w:val="24"/>
        </w:rPr>
        <w:t>2.5.4</w:t>
      </w:r>
      <w:r w:rsidRPr="00342E34">
        <w:rPr>
          <w:rFonts w:asciiTheme="minorHAnsi" w:hAnsiTheme="minorHAnsi" w:cstheme="minorHAnsi"/>
          <w:szCs w:val="24"/>
        </w:rPr>
        <w:tab/>
        <w:t xml:space="preserve">ITU-T SG20 approved thirteen ITU-T standards on smart port, mobile IoT devices, accessibility for smart public transportation, IoT devices for smart home, AI for smart sustainable cities, sensor API, IoT using visible light communication, software framework for IoT device, smart fire smoke detection, DLT for IoT, smart cities and KPI management. The standardization of IoT test specifications is accelerating, supported by the increasing collaboration of ITU-T and oneM2M. SG20 </w:t>
      </w:r>
      <w:r w:rsidRPr="00342E34">
        <w:rPr>
          <w:rFonts w:asciiTheme="minorHAnsi" w:hAnsiTheme="minorHAnsi" w:cstheme="minorHAnsi"/>
          <w:szCs w:val="24"/>
        </w:rPr>
        <w:lastRenderedPageBreak/>
        <w:t>continues its Internet-related activities through a huge work programme on IoT and smart sustainable cities.</w:t>
      </w:r>
    </w:p>
    <w:p w14:paraId="59B69A52" w14:textId="77777777" w:rsidR="00342E34" w:rsidRPr="00342E34" w:rsidRDefault="00342E34" w:rsidP="00342E3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
          <w:bCs/>
          <w:szCs w:val="24"/>
        </w:rPr>
      </w:pPr>
      <w:r w:rsidRPr="00342E34">
        <w:rPr>
          <w:rFonts w:asciiTheme="minorHAnsi" w:hAnsiTheme="minorHAnsi" w:cstheme="minorHAnsi"/>
          <w:b/>
          <w:bCs/>
          <w:szCs w:val="24"/>
        </w:rPr>
        <w:t>2.6</w:t>
      </w:r>
      <w:r w:rsidRPr="00342E34">
        <w:rPr>
          <w:rFonts w:asciiTheme="minorHAnsi" w:hAnsiTheme="minorHAnsi" w:cstheme="minorHAnsi"/>
          <w:b/>
          <w:bCs/>
          <w:szCs w:val="24"/>
        </w:rPr>
        <w:tab/>
        <w:t>Smart Cities</w:t>
      </w:r>
    </w:p>
    <w:p w14:paraId="4D4B1AA6" w14:textId="77777777" w:rsidR="00342E34" w:rsidRPr="00342E34" w:rsidRDefault="00342E34" w:rsidP="00342E3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Cs w:val="24"/>
        </w:rPr>
      </w:pPr>
      <w:r w:rsidRPr="00342E34">
        <w:rPr>
          <w:rFonts w:asciiTheme="minorHAnsi" w:hAnsiTheme="minorHAnsi" w:cstheme="minorHAnsi"/>
          <w:szCs w:val="24"/>
        </w:rPr>
        <w:t>2.6.1</w:t>
      </w:r>
      <w:r w:rsidRPr="00342E34">
        <w:rPr>
          <w:rFonts w:asciiTheme="minorHAnsi" w:hAnsiTheme="minorHAnsi" w:cstheme="minorHAnsi"/>
          <w:szCs w:val="24"/>
        </w:rPr>
        <w:tab/>
      </w:r>
      <w:r w:rsidRPr="00342E34">
        <w:rPr>
          <w:rFonts w:asciiTheme="minorHAnsi" w:hAnsiTheme="minorHAnsi" w:cstheme="minorHAnsi"/>
          <w:bCs/>
          <w:szCs w:val="24"/>
        </w:rPr>
        <w:t xml:space="preserve">Under the </w:t>
      </w:r>
      <w:hyperlink r:id="rId39" w:history="1">
        <w:r w:rsidRPr="00342E34">
          <w:rPr>
            <w:rStyle w:val="Hyperlink"/>
            <w:rFonts w:asciiTheme="minorHAnsi" w:hAnsiTheme="minorHAnsi" w:cstheme="minorHAnsi"/>
            <w:bCs/>
            <w:szCs w:val="24"/>
          </w:rPr>
          <w:t>United for Smart Sustainable Cities (U4SSC) initiative</w:t>
        </w:r>
      </w:hyperlink>
      <w:r w:rsidRPr="00342E34">
        <w:rPr>
          <w:rStyle w:val="Hyperlink"/>
          <w:rFonts w:asciiTheme="minorHAnsi" w:hAnsiTheme="minorHAnsi" w:cstheme="minorHAnsi"/>
          <w:bCs/>
          <w:szCs w:val="24"/>
        </w:rPr>
        <w:t>,</w:t>
      </w:r>
      <w:r w:rsidRPr="00342E34">
        <w:rPr>
          <w:rFonts w:asciiTheme="minorHAnsi" w:hAnsiTheme="minorHAnsi" w:cstheme="minorHAnsi"/>
          <w:bCs/>
          <w:szCs w:val="24"/>
        </w:rPr>
        <w:t xml:space="preserve"> three deliverables were published on circular cities, city transformation, and DLT. Several city snapshots were launched reporting on the implementation progress on the </w:t>
      </w:r>
      <w:r w:rsidRPr="00342E34">
        <w:rPr>
          <w:rFonts w:asciiTheme="minorHAnsi" w:hAnsiTheme="minorHAnsi" w:cstheme="minorHAnsi"/>
          <w:bCs/>
          <w:i/>
          <w:szCs w:val="24"/>
        </w:rPr>
        <w:t>Key Performance Indicators for Smart Sustainable Cities.</w:t>
      </w:r>
    </w:p>
    <w:p w14:paraId="554A2A7F" w14:textId="77777777" w:rsidR="00342E34" w:rsidRPr="00342E34" w:rsidRDefault="00342E34" w:rsidP="00342E3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342E34">
        <w:rPr>
          <w:rFonts w:asciiTheme="minorHAnsi" w:hAnsiTheme="minorHAnsi" w:cstheme="minorHAnsi"/>
          <w:szCs w:val="24"/>
        </w:rPr>
        <w:t>2.6.2</w:t>
      </w:r>
      <w:r w:rsidRPr="00342E34">
        <w:rPr>
          <w:rFonts w:asciiTheme="minorHAnsi" w:hAnsiTheme="minorHAnsi" w:cstheme="minorHAnsi"/>
          <w:szCs w:val="24"/>
        </w:rPr>
        <w:tab/>
        <w:t xml:space="preserve">SG20 continued coordination on IoT in its ITU-T JCA-IoT and SC&amp;C. SG20 is collaborating with IETF on use of </w:t>
      </w:r>
      <w:r w:rsidRPr="00342E34">
        <w:rPr>
          <w:rFonts w:asciiTheme="minorHAnsi" w:hAnsiTheme="minorHAnsi" w:cstheme="minorHAnsi"/>
          <w:i/>
          <w:iCs/>
          <w:szCs w:val="24"/>
        </w:rPr>
        <w:t>"ppk"</w:t>
      </w:r>
      <w:r w:rsidRPr="00342E34">
        <w:rPr>
          <w:rFonts w:asciiTheme="minorHAnsi" w:hAnsiTheme="minorHAnsi" w:cstheme="minorHAnsi"/>
          <w:szCs w:val="24"/>
        </w:rPr>
        <w:t xml:space="preserve"> URI scheme name, with oneM2M on </w:t>
      </w:r>
      <w:r w:rsidRPr="00342E34">
        <w:rPr>
          <w:rFonts w:asciiTheme="minorHAnsi" w:hAnsiTheme="minorHAnsi" w:cstheme="minorHAnsi"/>
          <w:i/>
          <w:iCs/>
          <w:szCs w:val="24"/>
        </w:rPr>
        <w:t>oneM2M Security Solutions</w:t>
      </w:r>
      <w:r w:rsidRPr="00342E34">
        <w:rPr>
          <w:rFonts w:asciiTheme="minorHAnsi" w:hAnsiTheme="minorHAnsi" w:cstheme="minorHAnsi"/>
          <w:szCs w:val="24"/>
        </w:rPr>
        <w:t xml:space="preserve">, and with W3C on Decentralised Identifiers (DIDs). </w:t>
      </w:r>
      <w:r w:rsidRPr="00342E34">
        <w:rPr>
          <w:rFonts w:asciiTheme="minorHAnsi" w:hAnsiTheme="minorHAnsi" w:cstheme="minorHAnsi"/>
          <w:bCs/>
          <w:szCs w:val="24"/>
        </w:rPr>
        <w:t>IEC, ISO, and ITU launched and kicked-off the IEC-ISO-ITU Joint Smart Cities Task Force (J-SCTF) as a means for standards coordination among the three SDOs.</w:t>
      </w:r>
    </w:p>
    <w:p w14:paraId="194D1BF6" w14:textId="77777777" w:rsidR="00342E34" w:rsidRPr="00342E34" w:rsidRDefault="00342E34" w:rsidP="00342E34">
      <w:pPr>
        <w:pStyle w:val="Heading2"/>
        <w:tabs>
          <w:tab w:val="clear" w:pos="567"/>
          <w:tab w:val="clear" w:pos="1134"/>
          <w:tab w:val="clear" w:pos="1701"/>
          <w:tab w:val="clear" w:pos="2268"/>
          <w:tab w:val="clear" w:pos="2835"/>
        </w:tabs>
        <w:spacing w:before="120" w:after="120"/>
        <w:ind w:left="0" w:firstLine="0"/>
        <w:jc w:val="both"/>
        <w:rPr>
          <w:rFonts w:asciiTheme="minorHAnsi" w:hAnsiTheme="minorHAnsi" w:cstheme="minorHAnsi"/>
          <w:szCs w:val="24"/>
        </w:rPr>
      </w:pPr>
      <w:r w:rsidRPr="00342E34">
        <w:rPr>
          <w:rFonts w:asciiTheme="minorHAnsi" w:hAnsiTheme="minorHAnsi" w:cstheme="minorHAnsi"/>
          <w:szCs w:val="24"/>
        </w:rPr>
        <w:t>2.7</w:t>
      </w:r>
      <w:r w:rsidRPr="00342E34">
        <w:rPr>
          <w:rFonts w:asciiTheme="minorHAnsi" w:hAnsiTheme="minorHAnsi" w:cstheme="minorHAnsi"/>
          <w:szCs w:val="24"/>
        </w:rPr>
        <w:tab/>
        <w:t>QoS and QoE</w:t>
      </w:r>
    </w:p>
    <w:p w14:paraId="3E366D55" w14:textId="77777777" w:rsidR="00342E34" w:rsidRPr="00342E34" w:rsidRDefault="00342E34" w:rsidP="00342E3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342E34">
        <w:rPr>
          <w:rFonts w:asciiTheme="minorHAnsi" w:hAnsiTheme="minorHAnsi" w:cstheme="minorHAnsi"/>
          <w:szCs w:val="24"/>
        </w:rPr>
        <w:t>2.7.2</w:t>
      </w:r>
      <w:r w:rsidRPr="00342E34">
        <w:rPr>
          <w:rFonts w:asciiTheme="minorHAnsi" w:hAnsiTheme="minorHAnsi" w:cstheme="minorHAnsi"/>
          <w:szCs w:val="24"/>
        </w:rPr>
        <w:tab/>
        <w:t>ITU-T SG12 approved one ITU standard on a search algorithm for IP-based capacity parameters and methods of measurement”, and agreed one Supplement on maximum IP-Layer capacity measurements. The above work is harmonized with the IETF IP performance measurement working group (ippm); ETSI TC STQ; and BBF. SG12 also approved an ITU standard on Crowdsourcing approach for the assessment of end-to-end quality of service in fixed and mobile broadband networks, and agreed a Technical Paper on Performance metrics for end-to-end IPTV video quality.</w:t>
      </w:r>
    </w:p>
    <w:p w14:paraId="490D1BDD" w14:textId="77777777" w:rsidR="00342E34" w:rsidRPr="00342E34" w:rsidRDefault="00342E34" w:rsidP="00342E3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
          <w:bCs/>
          <w:spacing w:val="-2"/>
          <w:szCs w:val="24"/>
        </w:rPr>
      </w:pPr>
      <w:r w:rsidRPr="00342E34">
        <w:rPr>
          <w:rFonts w:asciiTheme="minorHAnsi" w:hAnsiTheme="minorHAnsi" w:cstheme="minorHAnsi"/>
          <w:b/>
          <w:bCs/>
          <w:spacing w:val="-2"/>
          <w:szCs w:val="24"/>
        </w:rPr>
        <w:t>2.8</w:t>
      </w:r>
      <w:r w:rsidRPr="00342E34">
        <w:rPr>
          <w:rFonts w:asciiTheme="minorHAnsi" w:hAnsiTheme="minorHAnsi" w:cstheme="minorHAnsi"/>
          <w:b/>
          <w:bCs/>
          <w:spacing w:val="-2"/>
          <w:szCs w:val="24"/>
        </w:rPr>
        <w:tab/>
        <w:t>Networks</w:t>
      </w:r>
    </w:p>
    <w:p w14:paraId="16F2B9CA" w14:textId="77777777" w:rsidR="00342E34" w:rsidRPr="00342E34" w:rsidRDefault="00342E34" w:rsidP="00342E3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342E34">
        <w:rPr>
          <w:rFonts w:asciiTheme="minorHAnsi" w:hAnsiTheme="minorHAnsi" w:cstheme="minorHAnsi"/>
          <w:szCs w:val="24"/>
        </w:rPr>
        <w:t>2.8.1</w:t>
      </w:r>
      <w:r w:rsidRPr="00342E34">
        <w:rPr>
          <w:rFonts w:asciiTheme="minorHAnsi" w:hAnsiTheme="minorHAnsi" w:cstheme="minorHAnsi"/>
          <w:szCs w:val="24"/>
        </w:rPr>
        <w:tab/>
        <w:t>ITU-T SG2 approved one ITU standard on smart operation, management and maintenance.</w:t>
      </w:r>
    </w:p>
    <w:p w14:paraId="78CE3F50" w14:textId="77777777" w:rsidR="00342E34" w:rsidRPr="00342E34" w:rsidRDefault="00342E34" w:rsidP="00342E34">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342E34">
        <w:rPr>
          <w:rFonts w:asciiTheme="minorHAnsi" w:hAnsiTheme="minorHAnsi" w:cstheme="minorHAnsi"/>
          <w:szCs w:val="24"/>
        </w:rPr>
        <w:t>2.8.2</w:t>
      </w:r>
      <w:r w:rsidRPr="00342E34">
        <w:rPr>
          <w:rFonts w:asciiTheme="minorHAnsi" w:hAnsiTheme="minorHAnsi" w:cstheme="minorHAnsi"/>
          <w:szCs w:val="24"/>
        </w:rPr>
        <w:tab/>
        <w:t>ITU-T SG3 agreed a Supplement on Principles for increased adoption and use of mobile financial services (MFSs) through effective consumer protection mechanisms.</w:t>
      </w:r>
    </w:p>
    <w:p w14:paraId="1B5FE477" w14:textId="77777777" w:rsidR="00342E34" w:rsidRPr="00342E34" w:rsidRDefault="00342E34" w:rsidP="00342E3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Theme="minorEastAsia" w:hAnsiTheme="minorHAnsi" w:cstheme="minorHAnsi"/>
          <w:szCs w:val="24"/>
        </w:rPr>
      </w:pPr>
      <w:r w:rsidRPr="00342E34">
        <w:rPr>
          <w:rFonts w:asciiTheme="minorHAnsi" w:hAnsiTheme="minorHAnsi" w:cstheme="minorHAnsi"/>
          <w:szCs w:val="24"/>
        </w:rPr>
        <w:t>2.8.3</w:t>
      </w:r>
      <w:r w:rsidRPr="00342E34">
        <w:rPr>
          <w:rFonts w:asciiTheme="minorHAnsi" w:hAnsiTheme="minorHAnsi" w:cstheme="minorHAnsi"/>
          <w:szCs w:val="24"/>
        </w:rPr>
        <w:tab/>
        <w:t xml:space="preserve">ITU-T SG9 approved </w:t>
      </w:r>
      <w:r w:rsidRPr="00342E34">
        <w:rPr>
          <w:rFonts w:asciiTheme="minorHAnsi" w:hAnsiTheme="minorHAnsi" w:cstheme="minorHAnsi"/>
          <w:spacing w:val="-4"/>
          <w:szCs w:val="24"/>
        </w:rPr>
        <w:t>three ITU-T standards on IP cable modems; one draft standard is under approval on requirement of cloud-based converged media service to support IP and Broadcast Cable TV.</w:t>
      </w:r>
    </w:p>
    <w:p w14:paraId="48CC5B35" w14:textId="692DC854" w:rsidR="00342E34" w:rsidRPr="00342E34" w:rsidRDefault="00342E34" w:rsidP="00342E3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342E34">
        <w:rPr>
          <w:rFonts w:asciiTheme="minorHAnsi" w:hAnsiTheme="minorHAnsi" w:cstheme="minorHAnsi"/>
          <w:spacing w:val="-2"/>
          <w:szCs w:val="24"/>
        </w:rPr>
        <w:t>2.8.</w:t>
      </w:r>
      <w:r w:rsidR="00DC320C">
        <w:rPr>
          <w:rFonts w:asciiTheme="minorHAnsi" w:hAnsiTheme="minorHAnsi" w:cstheme="minorHAnsi"/>
          <w:spacing w:val="-2"/>
          <w:szCs w:val="24"/>
        </w:rPr>
        <w:t>4</w:t>
      </w:r>
      <w:r w:rsidRPr="00342E34">
        <w:rPr>
          <w:rFonts w:asciiTheme="minorHAnsi" w:hAnsiTheme="minorHAnsi" w:cstheme="minorHAnsi"/>
          <w:spacing w:val="-2"/>
          <w:szCs w:val="24"/>
        </w:rPr>
        <w:tab/>
      </w:r>
      <w:r w:rsidRPr="00342E34">
        <w:rPr>
          <w:rFonts w:asciiTheme="minorHAnsi" w:hAnsiTheme="minorHAnsi" w:cstheme="minorHAnsi"/>
          <w:spacing w:val="2"/>
          <w:szCs w:val="24"/>
        </w:rPr>
        <w:t>ITU-T SG11 approved 16 ITU-T standards covering VoLTE, remote testing, and testing of SDN-based</w:t>
      </w:r>
      <w:r w:rsidRPr="00342E34">
        <w:rPr>
          <w:rFonts w:asciiTheme="minorHAnsi" w:hAnsiTheme="minorHAnsi" w:cstheme="minorHAnsi"/>
          <w:szCs w:val="24"/>
        </w:rPr>
        <w:t xml:space="preserve"> equipment using OpenFlow protocol, parameter and service quality monitoring of virtualized broadband network gateways and web-browsing service, signalling architecture of orchestration in NGNe, fast deployment emergency telecommunication network, service function discovery, hybrid peer-to-peer communications, protocols for overlay content management and data streaming in managed P2P communications, testing augmented Reality applications, and addressing mobile devices with duplicate unique identifiers.</w:t>
      </w:r>
    </w:p>
    <w:p w14:paraId="62D3E003" w14:textId="57917EB0" w:rsidR="00342E34" w:rsidRPr="00342E34" w:rsidRDefault="00342E34" w:rsidP="00342E34">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342E34">
        <w:rPr>
          <w:rFonts w:asciiTheme="minorHAnsi" w:hAnsiTheme="minorHAnsi" w:cstheme="minorHAnsi"/>
          <w:szCs w:val="24"/>
        </w:rPr>
        <w:t>2.8.</w:t>
      </w:r>
      <w:r w:rsidR="00DC320C">
        <w:rPr>
          <w:rFonts w:asciiTheme="minorHAnsi" w:hAnsiTheme="minorHAnsi" w:cstheme="minorHAnsi"/>
          <w:szCs w:val="24"/>
        </w:rPr>
        <w:t>5</w:t>
      </w:r>
      <w:r w:rsidRPr="00342E34">
        <w:rPr>
          <w:rFonts w:asciiTheme="minorHAnsi" w:hAnsiTheme="minorHAnsi" w:cstheme="minorHAnsi"/>
          <w:szCs w:val="24"/>
        </w:rPr>
        <w:tab/>
        <w:t>ITU-T SG13 approved an ITU standard on Service model of the Agriculture Information based Convergence Service, and agreed a Supplement on use cases and key network requirements for Network 2030.</w:t>
      </w:r>
    </w:p>
    <w:p w14:paraId="7545B22C" w14:textId="7C6C558F" w:rsidR="00342E34" w:rsidRPr="00342E34" w:rsidRDefault="00342E34" w:rsidP="00342E3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342E34">
        <w:rPr>
          <w:rFonts w:asciiTheme="minorHAnsi" w:hAnsiTheme="minorHAnsi" w:cstheme="minorHAnsi"/>
          <w:szCs w:val="24"/>
        </w:rPr>
        <w:t>2.8.</w:t>
      </w:r>
      <w:r w:rsidR="00DC320C">
        <w:rPr>
          <w:rFonts w:asciiTheme="minorHAnsi" w:hAnsiTheme="minorHAnsi" w:cstheme="minorHAnsi"/>
          <w:szCs w:val="24"/>
        </w:rPr>
        <w:t>6</w:t>
      </w:r>
      <w:r w:rsidRPr="00342E34">
        <w:rPr>
          <w:rFonts w:asciiTheme="minorHAnsi" w:hAnsiTheme="minorHAnsi" w:cstheme="minorHAnsi"/>
          <w:szCs w:val="24"/>
        </w:rPr>
        <w:tab/>
        <w:t>ITU-T SG15 is developing Recommendations collaborating with various organizations such as IEC, IETF, IEEE, Broadband Forum, MEF, ETSI, 3GPP, OIF and ONF.</w:t>
      </w:r>
    </w:p>
    <w:p w14:paraId="0DD12F15" w14:textId="77777777" w:rsidR="00342E34" w:rsidRPr="00342E34" w:rsidRDefault="00342E34" w:rsidP="00342E3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
          <w:bCs/>
          <w:szCs w:val="24"/>
        </w:rPr>
      </w:pPr>
      <w:r w:rsidRPr="00342E34">
        <w:rPr>
          <w:rFonts w:asciiTheme="minorHAnsi" w:hAnsiTheme="minorHAnsi" w:cstheme="minorHAnsi"/>
          <w:b/>
          <w:bCs/>
          <w:szCs w:val="24"/>
        </w:rPr>
        <w:t>2.9</w:t>
      </w:r>
      <w:r w:rsidRPr="00342E34">
        <w:rPr>
          <w:rFonts w:asciiTheme="minorHAnsi" w:hAnsiTheme="minorHAnsi" w:cstheme="minorHAnsi"/>
          <w:b/>
          <w:bCs/>
          <w:szCs w:val="24"/>
        </w:rPr>
        <w:tab/>
        <w:t xml:space="preserve">Security </w:t>
      </w:r>
    </w:p>
    <w:p w14:paraId="2D07FE17" w14:textId="77777777" w:rsidR="00342E34" w:rsidRPr="00342E34" w:rsidRDefault="00342E34" w:rsidP="00342E3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342E34">
        <w:rPr>
          <w:rFonts w:asciiTheme="minorHAnsi" w:hAnsiTheme="minorHAnsi" w:cstheme="minorHAnsi"/>
          <w:szCs w:val="24"/>
        </w:rPr>
        <w:t xml:space="preserve">A separate report on ITU’s activities related to building confidence and security in the use of ICTs is presented as </w:t>
      </w:r>
      <w:hyperlink r:id="rId40" w:history="1">
        <w:r w:rsidRPr="00342E34">
          <w:rPr>
            <w:rStyle w:val="Hyperlink"/>
            <w:rFonts w:asciiTheme="minorHAnsi" w:hAnsiTheme="minorHAnsi" w:cstheme="minorHAnsi"/>
            <w:szCs w:val="24"/>
          </w:rPr>
          <w:t>Document C21/18</w:t>
        </w:r>
      </w:hyperlink>
      <w:r w:rsidRPr="00342E34">
        <w:rPr>
          <w:rFonts w:asciiTheme="minorHAnsi" w:hAnsiTheme="minorHAnsi" w:cstheme="minorHAnsi"/>
          <w:szCs w:val="24"/>
        </w:rPr>
        <w:t>.</w:t>
      </w:r>
    </w:p>
    <w:p w14:paraId="26AB7A72" w14:textId="77777777" w:rsidR="00342E34" w:rsidRPr="00342E34" w:rsidRDefault="00342E34" w:rsidP="00342E34">
      <w:pPr>
        <w:pStyle w:val="Heading2"/>
        <w:tabs>
          <w:tab w:val="clear" w:pos="567"/>
          <w:tab w:val="clear" w:pos="1134"/>
          <w:tab w:val="clear" w:pos="1701"/>
          <w:tab w:val="clear" w:pos="2268"/>
          <w:tab w:val="clear" w:pos="2835"/>
        </w:tabs>
        <w:spacing w:before="120" w:after="120"/>
        <w:ind w:left="0" w:firstLine="0"/>
        <w:jc w:val="both"/>
        <w:rPr>
          <w:rFonts w:asciiTheme="minorHAnsi" w:hAnsiTheme="minorHAnsi" w:cstheme="minorHAnsi"/>
          <w:szCs w:val="24"/>
        </w:rPr>
      </w:pPr>
      <w:r w:rsidRPr="00342E34">
        <w:rPr>
          <w:rFonts w:asciiTheme="minorHAnsi" w:hAnsiTheme="minorHAnsi" w:cstheme="minorHAnsi"/>
          <w:szCs w:val="24"/>
        </w:rPr>
        <w:lastRenderedPageBreak/>
        <w:t>2.10</w:t>
      </w:r>
      <w:r w:rsidRPr="00342E34">
        <w:rPr>
          <w:rFonts w:asciiTheme="minorHAnsi" w:hAnsiTheme="minorHAnsi" w:cstheme="minorHAnsi"/>
          <w:szCs w:val="24"/>
        </w:rPr>
        <w:tab/>
        <w:t>ITU-T Focus Groups</w:t>
      </w:r>
    </w:p>
    <w:p w14:paraId="1B8522D6" w14:textId="631B4D5A" w:rsidR="00342E34" w:rsidRPr="00342E34" w:rsidRDefault="00342E34" w:rsidP="00342E3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i/>
          <w:iCs/>
          <w:color w:val="444444"/>
          <w:szCs w:val="24"/>
          <w:bdr w:val="none" w:sz="0" w:space="0" w:color="auto" w:frame="1"/>
          <w:shd w:val="clear" w:color="auto" w:fill="FFFFFF"/>
        </w:rPr>
      </w:pPr>
      <w:r w:rsidRPr="00342E34">
        <w:rPr>
          <w:rFonts w:asciiTheme="minorHAnsi" w:hAnsiTheme="minorHAnsi" w:cstheme="minorHAnsi"/>
          <w:bCs/>
          <w:szCs w:val="24"/>
        </w:rPr>
        <w:t xml:space="preserve">Several ITU-T Focus Groups are exploring emerging technologies and their potential impact on ITU standardization. </w:t>
      </w:r>
      <w:r w:rsidRPr="00342E34">
        <w:rPr>
          <w:rFonts w:asciiTheme="minorHAnsi" w:hAnsiTheme="minorHAnsi" w:cstheme="minorHAnsi"/>
          <w:szCs w:val="24"/>
        </w:rPr>
        <w:t>At present, the following</w:t>
      </w:r>
      <w:hyperlink r:id="rId41">
        <w:r w:rsidRPr="00342E34">
          <w:rPr>
            <w:rStyle w:val="Hyperlink"/>
            <w:rFonts w:asciiTheme="minorHAnsi" w:hAnsiTheme="minorHAnsi" w:cstheme="minorHAnsi"/>
            <w:szCs w:val="24"/>
          </w:rPr>
          <w:t xml:space="preserve"> ITU-T Focus Groups are active</w:t>
        </w:r>
      </w:hyperlink>
      <w:r w:rsidRPr="00342E34">
        <w:rPr>
          <w:rFonts w:asciiTheme="minorHAnsi" w:hAnsiTheme="minorHAnsi" w:cstheme="minorHAnsi"/>
          <w:szCs w:val="24"/>
        </w:rPr>
        <w:t xml:space="preserve">: </w:t>
      </w:r>
      <w:hyperlink r:id="rId42" w:history="1">
        <w:r w:rsidRPr="00342E34">
          <w:rPr>
            <w:rStyle w:val="Hyperlink"/>
            <w:rFonts w:asciiTheme="minorHAnsi" w:hAnsiTheme="minorHAnsi" w:cstheme="minorHAnsi"/>
            <w:i/>
            <w:szCs w:val="24"/>
          </w:rPr>
          <w:t>Focus Group on Artificial Intelligence for Health (FG AI4H)</w:t>
        </w:r>
      </w:hyperlink>
      <w:r w:rsidRPr="00342E34">
        <w:rPr>
          <w:rFonts w:asciiTheme="minorHAnsi" w:hAnsiTheme="minorHAnsi" w:cstheme="minorHAnsi"/>
          <w:szCs w:val="24"/>
        </w:rPr>
        <w:t xml:space="preserve">; </w:t>
      </w:r>
      <w:hyperlink r:id="rId43" w:history="1">
        <w:r w:rsidRPr="00342E34">
          <w:rPr>
            <w:rStyle w:val="Hyperlink"/>
            <w:rFonts w:asciiTheme="minorHAnsi" w:hAnsiTheme="minorHAnsi" w:cstheme="minorHAnsi"/>
            <w:i/>
            <w:szCs w:val="24"/>
          </w:rPr>
          <w:t>Focus Group on Vehicular Multimedia (FG VM</w:t>
        </w:r>
      </w:hyperlink>
      <w:r w:rsidRPr="00342E34">
        <w:rPr>
          <w:rFonts w:asciiTheme="minorHAnsi" w:hAnsiTheme="minorHAnsi" w:cstheme="minorHAnsi"/>
          <w:i/>
          <w:szCs w:val="24"/>
        </w:rPr>
        <w:t>);</w:t>
      </w:r>
      <w:r w:rsidRPr="00342E34" w:rsidDel="002534EE">
        <w:rPr>
          <w:rFonts w:asciiTheme="minorHAnsi" w:hAnsiTheme="minorHAnsi" w:cstheme="minorHAnsi"/>
          <w:szCs w:val="24"/>
        </w:rPr>
        <w:t xml:space="preserve"> </w:t>
      </w:r>
      <w:hyperlink r:id="rId44" w:history="1">
        <w:r w:rsidRPr="00342E34">
          <w:rPr>
            <w:rStyle w:val="Hyperlink"/>
            <w:rFonts w:asciiTheme="minorHAnsi" w:hAnsiTheme="minorHAnsi" w:cstheme="minorHAnsi"/>
            <w:i/>
            <w:spacing w:val="4"/>
            <w:szCs w:val="24"/>
          </w:rPr>
          <w:t>Focus Group on “Environmental Efficiency for AI and other Emerging Technologies”</w:t>
        </w:r>
      </w:hyperlink>
      <w:r w:rsidRPr="00342E34">
        <w:rPr>
          <w:rFonts w:asciiTheme="minorHAnsi" w:hAnsiTheme="minorHAnsi" w:cstheme="minorHAnsi"/>
          <w:szCs w:val="24"/>
        </w:rPr>
        <w:t xml:space="preserve"> (FG-AI4EE); </w:t>
      </w:r>
      <w:hyperlink r:id="rId45" w:history="1">
        <w:r w:rsidRPr="00342E34">
          <w:rPr>
            <w:rStyle w:val="Hyperlink"/>
            <w:rFonts w:asciiTheme="minorHAnsi" w:hAnsiTheme="minorHAnsi" w:cstheme="minorHAnsi"/>
            <w:i/>
            <w:szCs w:val="24"/>
          </w:rPr>
          <w:t>Focus Group on “AI for autonomous and assisted driving”</w:t>
        </w:r>
      </w:hyperlink>
      <w:r w:rsidRPr="00342E34">
        <w:rPr>
          <w:rFonts w:asciiTheme="minorHAnsi" w:hAnsiTheme="minorHAnsi" w:cstheme="minorHAnsi"/>
          <w:szCs w:val="24"/>
        </w:rPr>
        <w:t xml:space="preserve"> (FG-AI4AD); </w:t>
      </w:r>
      <w:hyperlink r:id="rId46" w:history="1">
        <w:r w:rsidRPr="00342E34">
          <w:rPr>
            <w:rStyle w:val="Hyperlink"/>
            <w:rFonts w:asciiTheme="minorHAnsi" w:hAnsiTheme="minorHAnsi" w:cstheme="minorHAnsi"/>
            <w:i/>
            <w:szCs w:val="24"/>
            <w:bdr w:val="none" w:sz="0" w:space="0" w:color="auto" w:frame="1"/>
            <w:shd w:val="clear" w:color="auto" w:fill="FFFFFF"/>
          </w:rPr>
          <w:t>Focus Group on "Quantum Information Technology for Networks"</w:t>
        </w:r>
        <w:r w:rsidRPr="00342E34">
          <w:rPr>
            <w:rStyle w:val="Hyperlink"/>
            <w:rFonts w:asciiTheme="minorHAnsi" w:hAnsiTheme="minorHAnsi" w:cstheme="minorHAnsi"/>
            <w:bCs/>
            <w:i/>
            <w:szCs w:val="24"/>
            <w:bdr w:val="none" w:sz="0" w:space="0" w:color="auto" w:frame="1"/>
            <w:shd w:val="clear" w:color="auto" w:fill="FFFFFF"/>
          </w:rPr>
          <w:t xml:space="preserve"> </w:t>
        </w:r>
        <w:r w:rsidRPr="00342E34">
          <w:rPr>
            <w:rStyle w:val="Hyperlink"/>
            <w:rFonts w:asciiTheme="minorHAnsi" w:hAnsiTheme="minorHAnsi" w:cstheme="minorHAnsi"/>
            <w:i/>
            <w:szCs w:val="24"/>
            <w:bdr w:val="none" w:sz="0" w:space="0" w:color="auto" w:frame="1"/>
            <w:shd w:val="clear" w:color="auto" w:fill="FFFFFF"/>
          </w:rPr>
          <w:t>(FG-QIT4N)</w:t>
        </w:r>
      </w:hyperlink>
      <w:r w:rsidRPr="00342E34">
        <w:rPr>
          <w:rStyle w:val="Hyperlink"/>
          <w:rFonts w:asciiTheme="minorHAnsi" w:hAnsiTheme="minorHAnsi" w:cstheme="minorHAnsi"/>
          <w:i/>
          <w:szCs w:val="24"/>
          <w:bdr w:val="none" w:sz="0" w:space="0" w:color="auto" w:frame="1"/>
          <w:shd w:val="clear" w:color="auto" w:fill="FFFFFF"/>
        </w:rPr>
        <w:t xml:space="preserve"> and </w:t>
      </w:r>
      <w:hyperlink r:id="rId47" w:history="1">
        <w:r w:rsidRPr="00342E34">
          <w:rPr>
            <w:rStyle w:val="Hyperlink"/>
            <w:rFonts w:asciiTheme="minorHAnsi" w:hAnsiTheme="minorHAnsi" w:cstheme="minorHAnsi"/>
            <w:i/>
            <w:spacing w:val="2"/>
            <w:szCs w:val="24"/>
          </w:rPr>
          <w:t>Focus Group on AI for Natural Disaster Management</w:t>
        </w:r>
        <w:r w:rsidRPr="00342E34">
          <w:rPr>
            <w:rStyle w:val="Hyperlink"/>
            <w:rFonts w:asciiTheme="minorHAnsi" w:hAnsiTheme="minorHAnsi" w:cstheme="minorHAnsi"/>
            <w:i/>
            <w:szCs w:val="24"/>
          </w:rPr>
          <w:t xml:space="preserve"> (FG-AI4NDM)</w:t>
        </w:r>
      </w:hyperlink>
      <w:r w:rsidRPr="00342E34">
        <w:rPr>
          <w:rStyle w:val="Hyperlink"/>
          <w:rFonts w:asciiTheme="minorHAnsi" w:hAnsiTheme="minorHAnsi" w:cstheme="minorHAnsi"/>
          <w:i/>
          <w:iCs/>
          <w:szCs w:val="24"/>
          <w:bdr w:val="none" w:sz="0" w:space="0" w:color="auto" w:frame="1"/>
          <w:shd w:val="clear" w:color="auto" w:fill="FFFFFF"/>
        </w:rPr>
        <w:t>.</w:t>
      </w:r>
    </w:p>
    <w:p w14:paraId="5D9620CA" w14:textId="77777777" w:rsidR="00342E34" w:rsidRPr="00342E34" w:rsidRDefault="00342E34" w:rsidP="00342E34">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342E34">
        <w:rPr>
          <w:rFonts w:asciiTheme="minorHAnsi" w:hAnsiTheme="minorHAnsi" w:cstheme="minorHAnsi"/>
          <w:b/>
          <w:bCs/>
          <w:szCs w:val="24"/>
        </w:rPr>
        <w:t>2.11</w:t>
      </w:r>
      <w:r w:rsidRPr="00342E34">
        <w:rPr>
          <w:rFonts w:asciiTheme="minorHAnsi" w:hAnsiTheme="minorHAnsi" w:cstheme="minorHAnsi"/>
          <w:szCs w:val="24"/>
        </w:rPr>
        <w:tab/>
        <w:t xml:space="preserve">TSB has not received feedback concerning any reported incidents with regard to </w:t>
      </w:r>
      <w:hyperlink r:id="rId48">
        <w:r w:rsidRPr="00342E34">
          <w:rPr>
            <w:rStyle w:val="Hyperlink"/>
            <w:rFonts w:asciiTheme="minorHAnsi" w:hAnsiTheme="minorHAnsi" w:cstheme="minorHAnsi"/>
            <w:szCs w:val="24"/>
          </w:rPr>
          <w:t>WTSA Resolution 69</w:t>
        </w:r>
      </w:hyperlink>
      <w:r w:rsidRPr="00342E34">
        <w:rPr>
          <w:rFonts w:asciiTheme="minorHAnsi" w:hAnsiTheme="minorHAnsi" w:cstheme="minorHAnsi"/>
          <w:szCs w:val="24"/>
        </w:rPr>
        <w:t>.</w:t>
      </w:r>
    </w:p>
    <w:p w14:paraId="6374D64C" w14:textId="77777777" w:rsidR="00342E34" w:rsidRPr="00342E34" w:rsidRDefault="00342E34" w:rsidP="00342E34">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bookmarkStart w:id="18" w:name="a353677d2-7347-4cd3-8301-15d8ee365aeb"/>
      <w:bookmarkStart w:id="19" w:name="_Hlk500492095"/>
      <w:bookmarkEnd w:id="18"/>
      <w:r w:rsidRPr="00342E34">
        <w:rPr>
          <w:rFonts w:asciiTheme="minorHAnsi" w:hAnsiTheme="minorHAnsi" w:cstheme="minorHAnsi"/>
          <w:b/>
          <w:bCs/>
          <w:szCs w:val="24"/>
        </w:rPr>
        <w:t>2.12</w:t>
      </w:r>
      <w:r w:rsidRPr="00342E34">
        <w:rPr>
          <w:rFonts w:asciiTheme="minorHAnsi" w:hAnsiTheme="minorHAnsi" w:cstheme="minorHAnsi"/>
          <w:szCs w:val="24"/>
        </w:rPr>
        <w:tab/>
        <w:t xml:space="preserve">ITU-D SG 1 </w:t>
      </w:r>
      <w:r w:rsidRPr="00342E34">
        <w:rPr>
          <w:rFonts w:asciiTheme="minorHAnsi" w:hAnsiTheme="minorHAnsi" w:cstheme="minorHAnsi"/>
          <w:spacing w:val="-2"/>
          <w:szCs w:val="24"/>
        </w:rPr>
        <w:t xml:space="preserve">and SG 2 continue their work on the </w:t>
      </w:r>
      <w:hyperlink r:id="rId49" w:history="1">
        <w:r w:rsidRPr="00342E34">
          <w:rPr>
            <w:rStyle w:val="Hyperlink"/>
            <w:rFonts w:asciiTheme="minorHAnsi" w:hAnsiTheme="minorHAnsi" w:cstheme="minorHAnsi"/>
            <w:spacing w:val="-2"/>
            <w:szCs w:val="24"/>
          </w:rPr>
          <w:t>2018-2021 study period</w:t>
        </w:r>
      </w:hyperlink>
      <w:hyperlink r:id="rId50" w:history="1"/>
      <w:r w:rsidRPr="00342E34">
        <w:rPr>
          <w:rFonts w:asciiTheme="minorHAnsi" w:hAnsiTheme="minorHAnsi" w:cstheme="minorHAnsi"/>
          <w:spacing w:val="-2"/>
          <w:szCs w:val="24"/>
        </w:rPr>
        <w:t xml:space="preserve"> including on</w:t>
      </w:r>
      <w:r w:rsidRPr="00342E34">
        <w:rPr>
          <w:rFonts w:asciiTheme="minorHAnsi" w:hAnsiTheme="minorHAnsi" w:cstheme="minorHAnsi"/>
          <w:szCs w:val="24"/>
        </w:rPr>
        <w:t xml:space="preserve"> IP-related issues such as NGN interconnection, VoIP, cloud services, and strategies, policies, and technologies for the deployment of broadband. </w:t>
      </w:r>
    </w:p>
    <w:bookmarkEnd w:id="19"/>
    <w:p w14:paraId="144E178D" w14:textId="41E3C6AC" w:rsidR="00342E34" w:rsidRPr="00342E34" w:rsidRDefault="00342E34" w:rsidP="00342E34">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US"/>
        </w:rPr>
      </w:pPr>
      <w:r w:rsidRPr="00342E34">
        <w:rPr>
          <w:rFonts w:asciiTheme="minorHAnsi" w:hAnsiTheme="minorHAnsi" w:cstheme="minorHAnsi"/>
          <w:b/>
          <w:bCs/>
          <w:szCs w:val="24"/>
        </w:rPr>
        <w:t>2.13</w:t>
      </w:r>
      <w:r w:rsidRPr="00342E34">
        <w:rPr>
          <w:rFonts w:asciiTheme="minorHAnsi" w:hAnsiTheme="minorHAnsi" w:cstheme="minorHAnsi"/>
          <w:szCs w:val="24"/>
        </w:rPr>
        <w:tab/>
        <w:t>BDT continues implementing Internet broadband wireless connectivity and developing ICT applications to provide free or low-cost digital access for schools and hospitals, and for underserved populations in rural and remote areas in selected countries (Burundi, Burkina Faso, Djibouti, Lesotho, Mali, Rwanda, Eswatini, Antigua and Barbuda, and St. Kitts and Nevis, etc.).</w:t>
      </w:r>
    </w:p>
    <w:p w14:paraId="12EA2BF4" w14:textId="77777777" w:rsidR="00342E34" w:rsidRPr="00342E34" w:rsidRDefault="00342E34" w:rsidP="00342E34">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342E34">
        <w:rPr>
          <w:rFonts w:asciiTheme="minorHAnsi" w:hAnsiTheme="minorHAnsi" w:cstheme="minorHAnsi"/>
          <w:b/>
          <w:bCs/>
          <w:szCs w:val="24"/>
        </w:rPr>
        <w:t>2.14</w:t>
      </w:r>
      <w:r w:rsidRPr="00342E34">
        <w:rPr>
          <w:rFonts w:asciiTheme="minorHAnsi" w:hAnsiTheme="minorHAnsi" w:cstheme="minorHAnsi"/>
          <w:szCs w:val="24"/>
        </w:rPr>
        <w:tab/>
        <w:t xml:space="preserve">ITU-R approved Recommendation ITU-R M.2083-0 </w:t>
      </w:r>
      <w:r w:rsidRPr="00342E34">
        <w:rPr>
          <w:rFonts w:asciiTheme="minorHAnsi" w:hAnsiTheme="minorHAnsi" w:cstheme="minorHAnsi"/>
          <w:i/>
          <w:iCs/>
          <w:szCs w:val="24"/>
        </w:rPr>
        <w:t>“IMT Vision – Framework and overall objectives of the future development of IMT for 2020 and beyond”</w:t>
      </w:r>
      <w:r w:rsidRPr="00342E34">
        <w:rPr>
          <w:rFonts w:asciiTheme="minorHAnsi" w:hAnsiTheme="minorHAnsi" w:cstheme="minorHAnsi"/>
          <w:szCs w:val="24"/>
        </w:rPr>
        <w:t xml:space="preserve">, Resolutions ITU-R 65 </w:t>
      </w:r>
      <w:r w:rsidRPr="00342E34">
        <w:rPr>
          <w:rFonts w:asciiTheme="minorHAnsi" w:hAnsiTheme="minorHAnsi" w:cstheme="minorHAnsi"/>
          <w:i/>
          <w:iCs/>
          <w:szCs w:val="24"/>
        </w:rPr>
        <w:t>“Principles for the process of future development of IMT for 2020 and beyond”</w:t>
      </w:r>
      <w:r w:rsidRPr="00342E34">
        <w:rPr>
          <w:rFonts w:asciiTheme="minorHAnsi" w:hAnsiTheme="minorHAnsi" w:cstheme="minorHAnsi"/>
          <w:szCs w:val="24"/>
        </w:rPr>
        <w:t xml:space="preserve"> and ITU-R 66 </w:t>
      </w:r>
      <w:r w:rsidRPr="00342E34">
        <w:rPr>
          <w:rFonts w:asciiTheme="minorHAnsi" w:hAnsiTheme="minorHAnsi" w:cstheme="minorHAnsi"/>
          <w:i/>
          <w:iCs/>
          <w:szCs w:val="24"/>
        </w:rPr>
        <w:t>“Studies related to wireless systems and applications for the development of the Internet of Things”</w:t>
      </w:r>
      <w:r w:rsidRPr="00342E34">
        <w:rPr>
          <w:rFonts w:asciiTheme="minorHAnsi" w:hAnsiTheme="minorHAnsi" w:cstheme="minorHAnsi"/>
          <w:szCs w:val="24"/>
        </w:rPr>
        <w:t xml:space="preserve">, and Report ITU-R M.2440-0 </w:t>
      </w:r>
      <w:r w:rsidRPr="00342E34">
        <w:rPr>
          <w:rFonts w:asciiTheme="minorHAnsi" w:hAnsiTheme="minorHAnsi" w:cstheme="minorHAnsi"/>
          <w:i/>
          <w:iCs/>
          <w:szCs w:val="24"/>
        </w:rPr>
        <w:t>“The use of the terrestrial component of International Mobile Telecommunications for narrowband and broadband machine-type communications”</w:t>
      </w:r>
      <w:r w:rsidRPr="00342E34">
        <w:rPr>
          <w:rFonts w:asciiTheme="minorHAnsi" w:hAnsiTheme="minorHAnsi" w:cstheme="minorHAnsi"/>
          <w:szCs w:val="24"/>
        </w:rPr>
        <w:t>.</w:t>
      </w:r>
    </w:p>
    <w:p w14:paraId="3CA4FE2A" w14:textId="77777777" w:rsidR="00342E34" w:rsidRPr="00342E34" w:rsidRDefault="00342E34" w:rsidP="00342E34">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342E34">
        <w:rPr>
          <w:rFonts w:asciiTheme="minorHAnsi" w:hAnsiTheme="minorHAnsi" w:cstheme="minorHAnsi"/>
          <w:b/>
          <w:bCs/>
          <w:szCs w:val="24"/>
        </w:rPr>
        <w:t>2.15</w:t>
      </w:r>
      <w:r w:rsidRPr="00342E34">
        <w:rPr>
          <w:rFonts w:asciiTheme="minorHAnsi" w:hAnsiTheme="minorHAnsi" w:cstheme="minorHAnsi"/>
          <w:szCs w:val="24"/>
        </w:rPr>
        <w:tab/>
        <w:t>ITU continues its cooperation with the Corporation for National Research Initiatives (CNRI) and the DONA Foundation on the use of the Digital Object Architecture (DOA) – an advanced architecture for information management – in the use of its advanced digital object management features in ITU and interested UN agencies.</w:t>
      </w:r>
    </w:p>
    <w:p w14:paraId="20B778E3" w14:textId="77777777" w:rsidR="00342E34" w:rsidRPr="00342E34" w:rsidRDefault="00342E34" w:rsidP="00342E34">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342E34">
        <w:rPr>
          <w:rFonts w:asciiTheme="minorHAnsi" w:hAnsiTheme="minorHAnsi" w:cstheme="minorHAnsi"/>
          <w:b/>
          <w:bCs/>
          <w:szCs w:val="24"/>
        </w:rPr>
        <w:t>2.16</w:t>
      </w:r>
      <w:r w:rsidRPr="00342E34">
        <w:rPr>
          <w:rFonts w:asciiTheme="minorHAnsi" w:hAnsiTheme="minorHAnsi" w:cstheme="minorHAnsi"/>
          <w:szCs w:val="24"/>
        </w:rPr>
        <w:tab/>
        <w:t xml:space="preserve">Several trainings were provided through </w:t>
      </w:r>
      <w:hyperlink r:id="rId51">
        <w:r w:rsidRPr="00342E34">
          <w:rPr>
            <w:rStyle w:val="Hyperlink"/>
            <w:rFonts w:asciiTheme="minorHAnsi" w:hAnsiTheme="minorHAnsi" w:cstheme="minorHAnsi"/>
            <w:szCs w:val="24"/>
          </w:rPr>
          <w:t>ITU Academy</w:t>
        </w:r>
      </w:hyperlink>
      <w:r w:rsidRPr="00342E34">
        <w:rPr>
          <w:rFonts w:asciiTheme="minorHAnsi" w:hAnsiTheme="minorHAnsi" w:cstheme="minorHAnsi"/>
          <w:szCs w:val="24"/>
        </w:rPr>
        <w:t xml:space="preserve"> and the </w:t>
      </w:r>
      <w:hyperlink r:id="rId52">
        <w:r w:rsidRPr="00342E34">
          <w:rPr>
            <w:rStyle w:val="Hyperlink"/>
            <w:rFonts w:asciiTheme="minorHAnsi" w:hAnsiTheme="minorHAnsi" w:cstheme="minorHAnsi"/>
            <w:szCs w:val="24"/>
          </w:rPr>
          <w:t>ITU Centers of Excellence</w:t>
        </w:r>
      </w:hyperlink>
      <w:r w:rsidRPr="00342E34">
        <w:rPr>
          <w:rFonts w:asciiTheme="minorHAnsi" w:hAnsiTheme="minorHAnsi" w:cstheme="minorHAnsi"/>
          <w:szCs w:val="24"/>
        </w:rPr>
        <w:t xml:space="preserve"> network, covering topics such as IPv6, IoT, 5G, NGN, Smart Sustainable Cities etc. Through the ITU Academy, a training course on Internet and IPv6 Infrastructure Security continues to be provided in the Asia-Pacific region by the Centre of Excellence ALTTC, in partnership with MDES (Thailand) and APNIC. Other sessions in 2020 include topics such as “Applications of satellite based IoT networks", “Digital Government and Smart City for Resilience", “Cybersecurity Policy &amp; Strategy”, “Mobile broadband Internet, 5G and future services" etc.</w:t>
      </w:r>
    </w:p>
    <w:p w14:paraId="39A557F5" w14:textId="77777777" w:rsidR="00342E34" w:rsidRPr="00342E34" w:rsidRDefault="00342E34" w:rsidP="00342E34">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342E34">
        <w:rPr>
          <w:rFonts w:asciiTheme="minorHAnsi" w:hAnsiTheme="minorHAnsi" w:cstheme="minorHAnsi"/>
          <w:b/>
          <w:szCs w:val="24"/>
        </w:rPr>
        <w:t>2.17</w:t>
      </w:r>
      <w:r w:rsidRPr="00342E34">
        <w:rPr>
          <w:rFonts w:asciiTheme="minorHAnsi" w:hAnsiTheme="minorHAnsi" w:cstheme="minorHAnsi"/>
          <w:szCs w:val="24"/>
        </w:rPr>
        <w:tab/>
        <w:t xml:space="preserve">ITU is also supporting the Costa Rican ICE strengthen its capacity building, including on NGN Networks, through a project called </w:t>
      </w:r>
      <w:r w:rsidRPr="00342E34">
        <w:rPr>
          <w:rFonts w:asciiTheme="minorHAnsi" w:hAnsiTheme="minorHAnsi" w:cstheme="minorHAnsi"/>
          <w:i/>
          <w:iCs/>
          <w:szCs w:val="24"/>
        </w:rPr>
        <w:t>“Desarrollo del conocimiento en tecnologías, para especialistas del ICE”</w:t>
      </w:r>
      <w:r w:rsidRPr="00342E34">
        <w:rPr>
          <w:rFonts w:asciiTheme="minorHAnsi" w:hAnsiTheme="minorHAnsi" w:cstheme="minorHAnsi"/>
          <w:szCs w:val="24"/>
        </w:rPr>
        <w:t>.</w:t>
      </w:r>
    </w:p>
    <w:p w14:paraId="172C3463" w14:textId="77777777" w:rsidR="00342E34" w:rsidRPr="00342E34" w:rsidRDefault="00342E34" w:rsidP="00342E34">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cstheme="minorHAnsi"/>
          <w:sz w:val="24"/>
          <w:szCs w:val="24"/>
        </w:rPr>
      </w:pPr>
      <w:r w:rsidRPr="00342E34">
        <w:rPr>
          <w:rFonts w:asciiTheme="minorHAnsi" w:hAnsiTheme="minorHAnsi" w:cstheme="minorHAnsi"/>
          <w:sz w:val="24"/>
          <w:szCs w:val="24"/>
        </w:rPr>
        <w:t>3.</w:t>
      </w:r>
      <w:r w:rsidRPr="00342E34">
        <w:rPr>
          <w:rFonts w:asciiTheme="minorHAnsi" w:hAnsiTheme="minorHAnsi" w:cstheme="minorHAnsi"/>
          <w:sz w:val="24"/>
          <w:szCs w:val="24"/>
        </w:rPr>
        <w:tab/>
        <w:t>IPv6</w:t>
      </w:r>
    </w:p>
    <w:p w14:paraId="15E28066" w14:textId="77777777" w:rsidR="00342E34" w:rsidRPr="00342E34" w:rsidRDefault="00342E34" w:rsidP="00342E34">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342E34">
        <w:rPr>
          <w:rFonts w:asciiTheme="minorHAnsi" w:hAnsiTheme="minorHAnsi" w:cstheme="minorHAnsi"/>
          <w:b/>
          <w:szCs w:val="24"/>
        </w:rPr>
        <w:t>3.1</w:t>
      </w:r>
      <w:r w:rsidRPr="00342E34">
        <w:rPr>
          <w:rFonts w:asciiTheme="minorHAnsi" w:hAnsiTheme="minorHAnsi" w:cstheme="minorHAnsi"/>
          <w:szCs w:val="24"/>
        </w:rPr>
        <w:tab/>
      </w:r>
      <w:r w:rsidRPr="00342E34">
        <w:rPr>
          <w:rFonts w:asciiTheme="minorHAnsi" w:hAnsiTheme="minorHAnsi" w:cstheme="minorHAnsi"/>
          <w:spacing w:val="-2"/>
          <w:szCs w:val="24"/>
        </w:rPr>
        <w:t xml:space="preserve">The updated </w:t>
      </w:r>
      <w:hyperlink r:id="rId53" w:history="1">
        <w:r w:rsidRPr="00342E34">
          <w:rPr>
            <w:rStyle w:val="Hyperlink"/>
            <w:rFonts w:asciiTheme="minorHAnsi" w:hAnsiTheme="minorHAnsi" w:cstheme="minorHAnsi"/>
            <w:spacing w:val="-2"/>
            <w:szCs w:val="24"/>
          </w:rPr>
          <w:t>ITU-T IPv6 webpage</w:t>
        </w:r>
      </w:hyperlink>
      <w:r w:rsidRPr="00342E34">
        <w:rPr>
          <w:rFonts w:asciiTheme="minorHAnsi" w:hAnsiTheme="minorHAnsi" w:cstheme="minorHAnsi"/>
          <w:spacing w:val="-2"/>
          <w:szCs w:val="24"/>
        </w:rPr>
        <w:t xml:space="preserve"> highlights the IPV6 activities within ITU-T.</w:t>
      </w:r>
    </w:p>
    <w:p w14:paraId="2D649901" w14:textId="77777777" w:rsidR="00342E34" w:rsidRPr="00342E34" w:rsidRDefault="00342E34" w:rsidP="00342E34">
      <w:pPr>
        <w:pStyle w:val="Header"/>
        <w:snapToGrid w:val="0"/>
        <w:spacing w:before="120" w:after="120"/>
        <w:jc w:val="both"/>
        <w:rPr>
          <w:rFonts w:asciiTheme="minorHAnsi" w:hAnsiTheme="minorHAnsi" w:cstheme="minorHAnsi"/>
          <w:sz w:val="24"/>
          <w:szCs w:val="24"/>
        </w:rPr>
      </w:pPr>
      <w:r w:rsidRPr="00342E34">
        <w:rPr>
          <w:rFonts w:asciiTheme="minorHAnsi" w:hAnsiTheme="minorHAnsi" w:cstheme="minorHAnsi"/>
          <w:b/>
          <w:sz w:val="24"/>
          <w:szCs w:val="24"/>
        </w:rPr>
        <w:t>3.2</w:t>
      </w:r>
      <w:r w:rsidRPr="00342E34">
        <w:rPr>
          <w:rFonts w:asciiTheme="minorHAnsi" w:hAnsiTheme="minorHAnsi" w:cstheme="minorHAnsi"/>
          <w:sz w:val="24"/>
          <w:szCs w:val="24"/>
        </w:rPr>
        <w:tab/>
        <w:t xml:space="preserve">BDT and Malaysia University of Science and Technology continue working towards the establishment of an ITU IPV6/IoT Expertise Centre for supporting Member States in their transition from IPv4 to IPv6. </w:t>
      </w:r>
    </w:p>
    <w:p w14:paraId="074E8DF0" w14:textId="77777777" w:rsidR="00342E34" w:rsidRPr="00342E34" w:rsidRDefault="00342E34" w:rsidP="00342E34">
      <w:pPr>
        <w:pStyle w:val="Header"/>
        <w:snapToGrid w:val="0"/>
        <w:spacing w:before="120" w:after="120"/>
        <w:jc w:val="both"/>
        <w:rPr>
          <w:rFonts w:asciiTheme="minorHAnsi" w:hAnsiTheme="minorHAnsi" w:cstheme="minorHAnsi"/>
          <w:color w:val="000000"/>
          <w:sz w:val="24"/>
          <w:szCs w:val="24"/>
        </w:rPr>
      </w:pPr>
      <w:r w:rsidRPr="00342E34">
        <w:rPr>
          <w:rFonts w:asciiTheme="minorHAnsi" w:hAnsiTheme="minorHAnsi" w:cstheme="minorHAnsi"/>
          <w:b/>
          <w:sz w:val="24"/>
          <w:szCs w:val="24"/>
        </w:rPr>
        <w:lastRenderedPageBreak/>
        <w:t>3.3</w:t>
      </w:r>
      <w:r w:rsidRPr="00342E34">
        <w:rPr>
          <w:rFonts w:asciiTheme="minorHAnsi" w:hAnsiTheme="minorHAnsi" w:cstheme="minorHAnsi"/>
          <w:sz w:val="24"/>
          <w:szCs w:val="24"/>
        </w:rPr>
        <w:tab/>
        <w:t>Trainings/courses are being organized on all forms of IoT connectivity, including “</w:t>
      </w:r>
      <w:r w:rsidRPr="00342E34">
        <w:rPr>
          <w:rFonts w:asciiTheme="minorHAnsi" w:hAnsiTheme="minorHAnsi" w:cstheme="minorHAnsi"/>
          <w:i/>
          <w:sz w:val="24"/>
          <w:szCs w:val="24"/>
        </w:rPr>
        <w:t xml:space="preserve">Certified IoT Security Professional” </w:t>
      </w:r>
      <w:r w:rsidRPr="00342E34">
        <w:rPr>
          <w:rFonts w:asciiTheme="minorHAnsi" w:hAnsiTheme="minorHAnsi" w:cstheme="minorHAnsi"/>
          <w:iCs/>
          <w:sz w:val="24"/>
          <w:szCs w:val="24"/>
        </w:rPr>
        <w:t>in Morocco on 3-7 February 2020.</w:t>
      </w:r>
      <w:r w:rsidRPr="00342E34">
        <w:rPr>
          <w:rFonts w:asciiTheme="minorHAnsi" w:hAnsiTheme="minorHAnsi" w:cstheme="minorHAnsi"/>
          <w:sz w:val="24"/>
          <w:szCs w:val="24"/>
        </w:rPr>
        <w:t xml:space="preserve"> </w:t>
      </w:r>
      <w:r w:rsidRPr="00342E34">
        <w:rPr>
          <w:rFonts w:asciiTheme="minorHAnsi" w:hAnsiTheme="minorHAnsi" w:cstheme="minorHAnsi"/>
          <w:color w:val="000000"/>
          <w:sz w:val="24"/>
          <w:szCs w:val="24"/>
        </w:rPr>
        <w:t>Due to COVID-19, several other online training courses were also organised on C</w:t>
      </w:r>
      <w:r w:rsidRPr="00342E34">
        <w:rPr>
          <w:rFonts w:asciiTheme="minorHAnsi" w:hAnsiTheme="minorHAnsi" w:cstheme="minorHAnsi"/>
          <w:sz w:val="24"/>
          <w:szCs w:val="24"/>
        </w:rPr>
        <w:t>ertified IPv6 Fundamentals and Certified Industry 4.0 in English and Arabic.</w:t>
      </w:r>
    </w:p>
    <w:p w14:paraId="6BA7EA1B" w14:textId="1F7EF0CC" w:rsidR="00342E34" w:rsidRPr="00342E34" w:rsidRDefault="00342E34" w:rsidP="00342E34">
      <w:pPr>
        <w:widowControl w:val="0"/>
        <w:tabs>
          <w:tab w:val="clear" w:pos="567"/>
          <w:tab w:val="clear" w:pos="1134"/>
          <w:tab w:val="clear" w:pos="1701"/>
          <w:tab w:val="clear" w:pos="2268"/>
          <w:tab w:val="clear" w:pos="2835"/>
        </w:tabs>
        <w:spacing w:after="120"/>
        <w:jc w:val="both"/>
        <w:rPr>
          <w:rFonts w:asciiTheme="minorHAnsi" w:hAnsiTheme="minorHAnsi" w:cstheme="minorHAnsi"/>
          <w:i/>
          <w:color w:val="000000"/>
          <w:szCs w:val="24"/>
        </w:rPr>
      </w:pPr>
      <w:r w:rsidRPr="00342E34">
        <w:rPr>
          <w:rFonts w:asciiTheme="minorHAnsi" w:hAnsiTheme="minorHAnsi" w:cstheme="minorHAnsi"/>
          <w:b/>
          <w:color w:val="000000"/>
          <w:szCs w:val="24"/>
        </w:rPr>
        <w:t>3.4</w:t>
      </w:r>
      <w:r w:rsidRPr="00342E34">
        <w:rPr>
          <w:rFonts w:asciiTheme="minorHAnsi" w:hAnsiTheme="minorHAnsi" w:cstheme="minorHAnsi"/>
          <w:color w:val="000000"/>
          <w:szCs w:val="24"/>
        </w:rPr>
        <w:tab/>
        <w:t>BDT is also providing technical assistance on IPv6 to Montenegro, working closely with the Ministry of Economy, the Ministry of Public Administration and the University of Montenegro.</w:t>
      </w:r>
    </w:p>
    <w:p w14:paraId="23CCF74F" w14:textId="5247BEF0" w:rsidR="00342E34" w:rsidRPr="00342E34" w:rsidRDefault="00342E34" w:rsidP="00342E34">
      <w:pPr>
        <w:widowControl w:val="0"/>
        <w:tabs>
          <w:tab w:val="clear" w:pos="567"/>
          <w:tab w:val="clear" w:pos="1134"/>
          <w:tab w:val="clear" w:pos="1701"/>
          <w:tab w:val="clear" w:pos="2268"/>
          <w:tab w:val="clear" w:pos="2835"/>
        </w:tabs>
        <w:spacing w:after="120"/>
        <w:jc w:val="both"/>
        <w:rPr>
          <w:rFonts w:asciiTheme="minorHAnsi" w:hAnsiTheme="minorHAnsi" w:cstheme="minorHAnsi"/>
          <w:color w:val="000000"/>
          <w:szCs w:val="24"/>
        </w:rPr>
      </w:pPr>
      <w:r w:rsidRPr="00342E34">
        <w:rPr>
          <w:rFonts w:asciiTheme="minorHAnsi" w:hAnsiTheme="minorHAnsi" w:cstheme="minorHAnsi"/>
          <w:b/>
          <w:bCs/>
          <w:color w:val="000000" w:themeColor="text1"/>
          <w:szCs w:val="24"/>
        </w:rPr>
        <w:t>3.5</w:t>
      </w:r>
      <w:r w:rsidRPr="00342E34">
        <w:rPr>
          <w:rFonts w:asciiTheme="minorHAnsi" w:hAnsiTheme="minorHAnsi" w:cstheme="minorHAnsi"/>
          <w:szCs w:val="24"/>
        </w:rPr>
        <w:tab/>
      </w:r>
      <w:r w:rsidRPr="00342E34">
        <w:rPr>
          <w:rFonts w:asciiTheme="minorHAnsi" w:hAnsiTheme="minorHAnsi" w:cstheme="minorHAnsi"/>
          <w:color w:val="000000" w:themeColor="text1"/>
          <w:szCs w:val="24"/>
        </w:rPr>
        <w:t>Other similar workshops on IoT Ecosystems and/or IPv6 over 5G Networks including IPv6 to support Industry 4.0 are planned for Argentina, Morocco, Senegal, Sri Lanka, Thailand, Malaysia and Vietnam etc.</w:t>
      </w:r>
    </w:p>
    <w:p w14:paraId="093861F3" w14:textId="77777777" w:rsidR="00342E34" w:rsidRPr="00342E34" w:rsidRDefault="00342E34" w:rsidP="00342E34">
      <w:pPr>
        <w:tabs>
          <w:tab w:val="clear" w:pos="567"/>
          <w:tab w:val="clear" w:pos="1134"/>
          <w:tab w:val="clear" w:pos="1701"/>
          <w:tab w:val="clear" w:pos="2268"/>
          <w:tab w:val="clear" w:pos="2835"/>
        </w:tabs>
        <w:spacing w:after="120"/>
        <w:jc w:val="both"/>
        <w:rPr>
          <w:rFonts w:asciiTheme="minorHAnsi" w:hAnsiTheme="minorHAnsi" w:cstheme="minorHAnsi"/>
          <w:szCs w:val="24"/>
          <w:highlight w:val="green"/>
        </w:rPr>
      </w:pPr>
      <w:r w:rsidRPr="00342E34">
        <w:rPr>
          <w:rFonts w:asciiTheme="minorHAnsi" w:hAnsiTheme="minorHAnsi" w:cstheme="minorHAnsi"/>
          <w:b/>
          <w:bCs/>
          <w:color w:val="000000" w:themeColor="text1"/>
          <w:szCs w:val="24"/>
        </w:rPr>
        <w:t>3.6</w:t>
      </w:r>
      <w:r w:rsidRPr="00342E34">
        <w:rPr>
          <w:rFonts w:asciiTheme="minorHAnsi" w:hAnsiTheme="minorHAnsi" w:cstheme="minorHAnsi"/>
          <w:szCs w:val="24"/>
        </w:rPr>
        <w:tab/>
      </w:r>
      <w:r w:rsidRPr="00342E34">
        <w:rPr>
          <w:rFonts w:asciiTheme="minorHAnsi" w:hAnsiTheme="minorHAnsi" w:cstheme="minorHAnsi"/>
          <w:color w:val="000000" w:themeColor="text1"/>
          <w:szCs w:val="24"/>
        </w:rPr>
        <w:t xml:space="preserve">BDT is also working on the creation of an Information and Training Center on IP Telephony (technical, policy, economic and capacity building aspect) for the CIS region. </w:t>
      </w:r>
    </w:p>
    <w:p w14:paraId="53126F5C" w14:textId="77777777" w:rsidR="00342E34" w:rsidRPr="00342E34" w:rsidRDefault="00342E34" w:rsidP="00342E34">
      <w:pPr>
        <w:pStyle w:val="NormalWeb"/>
        <w:adjustRightInd w:val="0"/>
        <w:snapToGrid w:val="0"/>
        <w:spacing w:before="120" w:after="120" w:line="240" w:lineRule="auto"/>
        <w:jc w:val="both"/>
        <w:rPr>
          <w:rFonts w:asciiTheme="minorHAnsi" w:hAnsiTheme="minorHAnsi" w:cstheme="minorHAnsi"/>
          <w:iCs/>
          <w:sz w:val="24"/>
          <w:lang w:val="en-GB"/>
        </w:rPr>
      </w:pPr>
      <w:r w:rsidRPr="00342E34">
        <w:rPr>
          <w:rFonts w:asciiTheme="minorHAnsi" w:hAnsiTheme="minorHAnsi" w:cstheme="minorHAnsi"/>
          <w:b/>
          <w:iCs/>
          <w:sz w:val="24"/>
          <w:lang w:val="en-GB"/>
        </w:rPr>
        <w:t>3.7</w:t>
      </w:r>
      <w:r w:rsidRPr="00342E34">
        <w:rPr>
          <w:rFonts w:asciiTheme="minorHAnsi" w:hAnsiTheme="minorHAnsi" w:cstheme="minorHAnsi"/>
          <w:iCs/>
          <w:sz w:val="24"/>
          <w:lang w:val="en-GB"/>
        </w:rPr>
        <w:tab/>
        <w:t xml:space="preserve">BDT continues to provide assistance to countries on the implementation of IPv6 policies and IPv6 test bed as requested by Member States, e.g.: In the Africa region, assistance was provided in setting up of an Internet protocol version 6 (IPv6) testbed in Côte d’Ivoire and Uganda, to be used as sub-regional test beds for IPv4 to IPv6 migration in Western and Eastern Africa, respectively; in Zimbabwe to be used as a sub-regional testbed for IPv4 to IPv6 migration in Southern Africa; and in Cameroon, to be used as a sub-regional testbed for IPv4 to IPv6 migration in Central Africa. </w:t>
      </w:r>
    </w:p>
    <w:p w14:paraId="0546EC39" w14:textId="77777777" w:rsidR="00342E34" w:rsidRPr="00342E34" w:rsidRDefault="00342E34" w:rsidP="00342E34">
      <w:pPr>
        <w:pStyle w:val="NormalWeb"/>
        <w:snapToGrid w:val="0"/>
        <w:spacing w:before="120" w:after="120" w:line="240" w:lineRule="auto"/>
        <w:jc w:val="both"/>
        <w:rPr>
          <w:rFonts w:asciiTheme="minorHAnsi" w:hAnsiTheme="minorHAnsi" w:cstheme="minorHAnsi"/>
          <w:sz w:val="24"/>
          <w:lang w:val="en-GB"/>
        </w:rPr>
      </w:pPr>
      <w:r w:rsidRPr="00342E34">
        <w:rPr>
          <w:rFonts w:asciiTheme="minorHAnsi" w:hAnsiTheme="minorHAnsi" w:cstheme="minorHAnsi"/>
          <w:b/>
          <w:iCs/>
          <w:sz w:val="24"/>
          <w:lang w:val="en-GB"/>
        </w:rPr>
        <w:t>3.8</w:t>
      </w:r>
      <w:r w:rsidRPr="00342E34">
        <w:rPr>
          <w:rFonts w:asciiTheme="minorHAnsi" w:hAnsiTheme="minorHAnsi" w:cstheme="minorHAnsi"/>
          <w:iCs/>
          <w:sz w:val="24"/>
          <w:lang w:val="en-GB"/>
        </w:rPr>
        <w:tab/>
        <w:t>BDT is also focusing on a special program to train the trainers on “IPv6 Over 5G Networks” in order to assist developing countries to implement their 5G mobile and/or fixed networks.</w:t>
      </w:r>
      <w:r w:rsidRPr="00342E34">
        <w:rPr>
          <w:rFonts w:asciiTheme="minorHAnsi" w:hAnsiTheme="minorHAnsi" w:cstheme="minorHAnsi"/>
          <w:sz w:val="24"/>
          <w:lang w:val="en-GB"/>
        </w:rPr>
        <w:t xml:space="preserve"> </w:t>
      </w:r>
    </w:p>
    <w:p w14:paraId="0CE10B58" w14:textId="77777777" w:rsidR="00342E34" w:rsidRPr="00342E34" w:rsidRDefault="00342E34" w:rsidP="00342E34">
      <w:pPr>
        <w:pStyle w:val="Header"/>
        <w:snapToGrid w:val="0"/>
        <w:spacing w:before="120" w:after="120"/>
        <w:jc w:val="both"/>
        <w:rPr>
          <w:rFonts w:asciiTheme="minorHAnsi" w:hAnsiTheme="minorHAnsi" w:cstheme="minorHAnsi"/>
          <w:sz w:val="24"/>
          <w:szCs w:val="24"/>
        </w:rPr>
      </w:pPr>
      <w:r w:rsidRPr="00342E34">
        <w:rPr>
          <w:rFonts w:asciiTheme="minorHAnsi" w:hAnsiTheme="minorHAnsi" w:cstheme="minorHAnsi"/>
          <w:b/>
          <w:sz w:val="24"/>
          <w:szCs w:val="24"/>
        </w:rPr>
        <w:t>3.9</w:t>
      </w:r>
      <w:r w:rsidRPr="00342E34">
        <w:rPr>
          <w:rFonts w:asciiTheme="minorHAnsi" w:hAnsiTheme="minorHAnsi" w:cstheme="minorHAnsi"/>
          <w:sz w:val="24"/>
          <w:szCs w:val="24"/>
        </w:rPr>
        <w:tab/>
        <w:t>In the Arab region, a project on human capacity building in relation to IPv6 was implemented under the framework cooperation agreement signed between the UAE’s Telecommunications Regulatory Authority (TRA) and ITU.</w:t>
      </w:r>
      <w:r w:rsidRPr="00342E34" w:rsidDel="00E55059">
        <w:rPr>
          <w:rFonts w:asciiTheme="minorHAnsi" w:hAnsiTheme="minorHAnsi" w:cstheme="minorHAnsi"/>
          <w:sz w:val="24"/>
          <w:szCs w:val="24"/>
        </w:rPr>
        <w:t xml:space="preserve"> </w:t>
      </w:r>
    </w:p>
    <w:p w14:paraId="307CF122" w14:textId="77777777" w:rsidR="00342E34" w:rsidRPr="00342E34" w:rsidRDefault="00342E34" w:rsidP="00342E34">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342E34">
        <w:rPr>
          <w:rFonts w:asciiTheme="minorHAnsi" w:hAnsiTheme="minorHAnsi" w:cstheme="minorHAnsi"/>
          <w:b/>
          <w:szCs w:val="24"/>
        </w:rPr>
        <w:t>3.10</w:t>
      </w:r>
      <w:r w:rsidRPr="00342E34">
        <w:rPr>
          <w:rFonts w:asciiTheme="minorHAnsi" w:hAnsiTheme="minorHAnsi" w:cstheme="minorHAnsi"/>
          <w:szCs w:val="24"/>
        </w:rPr>
        <w:tab/>
        <w:t xml:space="preserve">The </w:t>
      </w:r>
      <w:hyperlink r:id="rId54" w:history="1">
        <w:r w:rsidRPr="00342E34">
          <w:rPr>
            <w:rStyle w:val="Hyperlink"/>
            <w:rFonts w:asciiTheme="minorHAnsi" w:hAnsiTheme="minorHAnsi" w:cstheme="minorHAnsi"/>
            <w:szCs w:val="24"/>
          </w:rPr>
          <w:t>final report</w:t>
        </w:r>
      </w:hyperlink>
      <w:r w:rsidRPr="00342E34">
        <w:rPr>
          <w:rFonts w:asciiTheme="minorHAnsi" w:hAnsiTheme="minorHAnsi" w:cstheme="minorHAnsi"/>
          <w:szCs w:val="24"/>
        </w:rPr>
        <w:t xml:space="preserve"> in response to ITU-D SG 1 </w:t>
      </w:r>
      <w:hyperlink r:id="rId55" w:history="1">
        <w:r w:rsidRPr="00342E34">
          <w:rPr>
            <w:rStyle w:val="Hyperlink"/>
            <w:rFonts w:asciiTheme="minorHAnsi" w:hAnsiTheme="minorHAnsi" w:cstheme="minorHAnsi"/>
            <w:szCs w:val="24"/>
          </w:rPr>
          <w:t>Question 1/1</w:t>
        </w:r>
      </w:hyperlink>
      <w:r w:rsidRPr="00342E34">
        <w:rPr>
          <w:rFonts w:asciiTheme="minorHAnsi" w:hAnsiTheme="minorHAnsi" w:cstheme="minorHAnsi"/>
          <w:szCs w:val="24"/>
        </w:rPr>
        <w:t xml:space="preserve"> is available and explores through case studies the experiences of countries in transitioning from IPv4 to IPv6 to enable IoT, M2M, Internet of Everything (IoE), and other future technologies. An essential Guide has been developed also in order to assist developing countries to implement IPv6 over 5G Networks.</w:t>
      </w:r>
    </w:p>
    <w:p w14:paraId="443B67BD" w14:textId="63E88D1C" w:rsidR="00342E34" w:rsidRPr="00342E34" w:rsidRDefault="00342E34" w:rsidP="00342E34">
      <w:pPr>
        <w:tabs>
          <w:tab w:val="clear" w:pos="567"/>
          <w:tab w:val="clear" w:pos="1134"/>
          <w:tab w:val="clear" w:pos="1701"/>
          <w:tab w:val="clear" w:pos="2268"/>
          <w:tab w:val="clear" w:pos="2835"/>
        </w:tabs>
        <w:snapToGrid w:val="0"/>
        <w:spacing w:before="360" w:after="120"/>
        <w:jc w:val="both"/>
        <w:rPr>
          <w:rFonts w:asciiTheme="minorHAnsi" w:hAnsiTheme="minorHAnsi" w:cstheme="minorHAnsi"/>
          <w:b/>
          <w:bCs/>
          <w:szCs w:val="24"/>
        </w:rPr>
      </w:pPr>
      <w:r w:rsidRPr="00342E34">
        <w:rPr>
          <w:rFonts w:asciiTheme="minorHAnsi" w:hAnsiTheme="minorHAnsi" w:cstheme="minorHAnsi"/>
          <w:b/>
          <w:bCs/>
          <w:szCs w:val="24"/>
        </w:rPr>
        <w:t>4.</w:t>
      </w:r>
      <w:r w:rsidRPr="00342E34">
        <w:rPr>
          <w:rFonts w:asciiTheme="minorHAnsi" w:hAnsiTheme="minorHAnsi" w:cstheme="minorHAnsi"/>
          <w:b/>
          <w:bCs/>
          <w:szCs w:val="24"/>
        </w:rPr>
        <w:tab/>
        <w:t xml:space="preserve">Internet-related public policy issues including the management of domain names and </w:t>
      </w:r>
      <w:r>
        <w:rPr>
          <w:rFonts w:asciiTheme="minorHAnsi" w:hAnsiTheme="minorHAnsi" w:cstheme="minorHAnsi"/>
          <w:b/>
          <w:bCs/>
          <w:szCs w:val="24"/>
        </w:rPr>
        <w:tab/>
      </w:r>
      <w:r w:rsidRPr="00342E34">
        <w:rPr>
          <w:rFonts w:asciiTheme="minorHAnsi" w:hAnsiTheme="minorHAnsi" w:cstheme="minorHAnsi"/>
          <w:b/>
          <w:bCs/>
          <w:szCs w:val="24"/>
        </w:rPr>
        <w:t>addresses</w:t>
      </w:r>
    </w:p>
    <w:p w14:paraId="360794F4" w14:textId="2127548B" w:rsidR="00342E34" w:rsidRPr="00342E34" w:rsidRDefault="00342E34" w:rsidP="00342E34">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342E34">
        <w:rPr>
          <w:rFonts w:asciiTheme="minorHAnsi" w:hAnsiTheme="minorHAnsi" w:cstheme="minorHAnsi"/>
          <w:b/>
          <w:bCs/>
          <w:szCs w:val="24"/>
        </w:rPr>
        <w:t>4.1</w:t>
      </w:r>
      <w:r w:rsidRPr="00342E34">
        <w:rPr>
          <w:rFonts w:asciiTheme="minorHAnsi" w:hAnsiTheme="minorHAnsi" w:cstheme="minorHAnsi"/>
          <w:szCs w:val="24"/>
        </w:rPr>
        <w:tab/>
      </w:r>
      <w:r w:rsidRPr="00342E34">
        <w:rPr>
          <w:rFonts w:asciiTheme="minorHAnsi" w:hAnsiTheme="minorHAnsi" w:cstheme="minorHAnsi"/>
          <w:spacing w:val="-4"/>
          <w:szCs w:val="24"/>
        </w:rPr>
        <w:t xml:space="preserve">The </w:t>
      </w:r>
      <w:hyperlink r:id="rId56" w:history="1">
        <w:r w:rsidRPr="00342E34">
          <w:rPr>
            <w:rStyle w:val="Hyperlink"/>
            <w:rFonts w:asciiTheme="minorHAnsi" w:hAnsiTheme="minorHAnsi" w:cstheme="minorHAnsi"/>
            <w:spacing w:val="-4"/>
            <w:szCs w:val="24"/>
          </w:rPr>
          <w:t>Council Working Group on international Internet-related public policy issues (CWG-Internet)</w:t>
        </w:r>
      </w:hyperlink>
      <w:r w:rsidRPr="00342E34">
        <w:rPr>
          <w:rFonts w:asciiTheme="minorHAnsi" w:hAnsiTheme="minorHAnsi" w:cstheme="minorHAnsi"/>
          <w:szCs w:val="24"/>
        </w:rPr>
        <w:t xml:space="preserve"> did not hold a meeting during the CWG cluster in September 2020. The open consultation on </w:t>
      </w:r>
      <w:hyperlink r:id="rId57" w:history="1">
        <w:r w:rsidRPr="00342E34">
          <w:rPr>
            <w:rStyle w:val="Hyperlink"/>
            <w:rFonts w:asciiTheme="minorHAnsi" w:hAnsiTheme="minorHAnsi" w:cstheme="minorHAnsi"/>
            <w:szCs w:val="24"/>
          </w:rPr>
          <w:t>Expanding Internet Connectivity</w:t>
        </w:r>
      </w:hyperlink>
      <w:r w:rsidRPr="00342E34">
        <w:rPr>
          <w:rFonts w:asciiTheme="minorHAnsi" w:hAnsiTheme="minorHAnsi" w:cstheme="minorHAnsi"/>
          <w:szCs w:val="24"/>
        </w:rPr>
        <w:t xml:space="preserve"> launched in February 2020 by the Group was extended until 15</w:t>
      </w:r>
      <w:r>
        <w:rPr>
          <w:rFonts w:asciiTheme="minorHAnsi" w:hAnsiTheme="minorHAnsi" w:cstheme="minorHAnsi"/>
          <w:szCs w:val="24"/>
        </w:rPr>
        <w:t> </w:t>
      </w:r>
      <w:r w:rsidRPr="00342E34">
        <w:rPr>
          <w:rFonts w:asciiTheme="minorHAnsi" w:hAnsiTheme="minorHAnsi" w:cstheme="minorHAnsi"/>
          <w:szCs w:val="24"/>
        </w:rPr>
        <w:t xml:space="preserve">December 2020. The fifteenth meeting of the CWG-Internet was held on 27-28 January 2020. An open consultation on </w:t>
      </w:r>
      <w:hyperlink r:id="rId58" w:history="1">
        <w:r w:rsidRPr="00342E34">
          <w:rPr>
            <w:rStyle w:val="Hyperlink"/>
            <w:rFonts w:asciiTheme="minorHAnsi" w:hAnsiTheme="minorHAnsi" w:cstheme="minorHAnsi"/>
            <w:szCs w:val="24"/>
          </w:rPr>
          <w:t>The role of the Internet and international Internet-related public policy in mitigating the impact of COVID-19 and possible future pandemics</w:t>
        </w:r>
      </w:hyperlink>
      <w:r w:rsidRPr="00342E34">
        <w:rPr>
          <w:rFonts w:asciiTheme="minorHAnsi" w:hAnsiTheme="minorHAnsi" w:cstheme="minorHAnsi"/>
          <w:szCs w:val="24"/>
        </w:rPr>
        <w:t xml:space="preserve"> has been launched. </w:t>
      </w:r>
      <w:r w:rsidRPr="00342E34">
        <w:rPr>
          <w:rFonts w:asciiTheme="minorHAnsi" w:hAnsiTheme="minorHAnsi" w:cstheme="minorHAnsi"/>
          <w:szCs w:val="24"/>
          <w:lang w:val="en-US"/>
        </w:rPr>
        <w:t xml:space="preserve">A separate report is presented in </w:t>
      </w:r>
      <w:hyperlink r:id="rId59" w:history="1">
        <w:r w:rsidRPr="00342E34">
          <w:rPr>
            <w:rStyle w:val="Hyperlink"/>
            <w:rFonts w:asciiTheme="minorHAnsi" w:hAnsiTheme="minorHAnsi" w:cstheme="minorHAnsi"/>
            <w:szCs w:val="24"/>
            <w:lang w:val="en-US"/>
          </w:rPr>
          <w:t>Document C21/51</w:t>
        </w:r>
      </w:hyperlink>
      <w:r w:rsidRPr="00342E34">
        <w:rPr>
          <w:rFonts w:asciiTheme="minorHAnsi" w:hAnsiTheme="minorHAnsi" w:cstheme="minorHAnsi"/>
          <w:szCs w:val="24"/>
          <w:lang w:val="en-US"/>
        </w:rPr>
        <w:t>.</w:t>
      </w:r>
    </w:p>
    <w:p w14:paraId="5BEA1F91" w14:textId="77777777" w:rsidR="00342E34" w:rsidRPr="00342E34" w:rsidRDefault="00342E34" w:rsidP="00342E34">
      <w:pPr>
        <w:pStyle w:val="normalWSIS"/>
        <w:numPr>
          <w:ilvl w:val="0"/>
          <w:numId w:val="0"/>
        </w:numPr>
        <w:tabs>
          <w:tab w:val="clear" w:pos="426"/>
        </w:tabs>
        <w:adjustRightInd w:val="0"/>
        <w:snapToGrid w:val="0"/>
        <w:spacing w:before="120" w:after="120" w:line="240" w:lineRule="auto"/>
        <w:rPr>
          <w:rFonts w:cstheme="minorHAnsi"/>
          <w:sz w:val="24"/>
          <w:szCs w:val="24"/>
          <w:lang w:val="en-GB"/>
        </w:rPr>
      </w:pPr>
      <w:r w:rsidRPr="00342E34">
        <w:rPr>
          <w:rFonts w:cstheme="minorHAnsi"/>
          <w:b/>
          <w:bCs/>
          <w:sz w:val="24"/>
          <w:szCs w:val="24"/>
          <w:lang w:val="en-GB"/>
        </w:rPr>
        <w:t>4.2</w:t>
      </w:r>
      <w:r w:rsidRPr="00342E34">
        <w:rPr>
          <w:rFonts w:cstheme="minorHAnsi"/>
          <w:sz w:val="24"/>
          <w:szCs w:val="24"/>
          <w:lang w:val="en-GB"/>
        </w:rPr>
        <w:tab/>
        <w:t>ITU participated in the 15th IGF meeting, held virtually from 2-6 and 9-17 November 2020. The ITU SG was invited to speak at the opening ceremony of IGF on 9 November 2020. ITU also organized the annual EQUALs in Tech Awards and co-organized an Open Forum on Implementation of WSIS Action Lines for SDGs and WSIS Forum 2021 (co-organized by the WSIS Action Line Facilitators) at this IGF meeting.</w:t>
      </w:r>
    </w:p>
    <w:p w14:paraId="3FC9F017" w14:textId="77777777" w:rsidR="00342E34" w:rsidRPr="00342E34" w:rsidRDefault="00342E34" w:rsidP="00342E34">
      <w:pPr>
        <w:pStyle w:val="Style2"/>
        <w:widowControl/>
        <w:adjustRightInd w:val="0"/>
        <w:snapToGrid w:val="0"/>
        <w:spacing w:before="120" w:after="120" w:line="240" w:lineRule="auto"/>
        <w:ind w:firstLine="0"/>
        <w:rPr>
          <w:rFonts w:cstheme="minorHAnsi"/>
          <w:sz w:val="24"/>
          <w:lang w:val="en-GB"/>
        </w:rPr>
      </w:pPr>
      <w:r w:rsidRPr="00342E34">
        <w:rPr>
          <w:rFonts w:cstheme="minorHAnsi"/>
          <w:b/>
          <w:bCs/>
          <w:sz w:val="24"/>
          <w:lang w:val="en-GB"/>
        </w:rPr>
        <w:lastRenderedPageBreak/>
        <w:t>4.3</w:t>
      </w:r>
      <w:r w:rsidRPr="00342E34">
        <w:rPr>
          <w:rFonts w:cstheme="minorHAnsi"/>
          <w:sz w:val="24"/>
          <w:lang w:val="en-GB"/>
        </w:rPr>
        <w:tab/>
        <w:t>ITU continues to follow the issue of protecting intergovernmental organization (IGO) names and acronyms in any new gTLDs, as part of the IGO coalition composed of approximately 35 IGOs including OECD, UN, UPU, WHO, WIPO, and the World Bank.</w:t>
      </w:r>
    </w:p>
    <w:p w14:paraId="410C8A35" w14:textId="77777777" w:rsidR="00342E34" w:rsidRPr="00342E34" w:rsidRDefault="00342E34" w:rsidP="00342E34">
      <w:pPr>
        <w:pStyle w:val="Style2"/>
        <w:widowControl/>
        <w:adjustRightInd w:val="0"/>
        <w:snapToGrid w:val="0"/>
        <w:spacing w:before="120" w:after="120" w:line="240" w:lineRule="auto"/>
        <w:ind w:firstLine="0"/>
        <w:rPr>
          <w:rFonts w:cstheme="minorHAnsi"/>
          <w:b/>
          <w:bCs/>
          <w:sz w:val="24"/>
          <w:lang w:val="en-GB"/>
        </w:rPr>
      </w:pPr>
      <w:r w:rsidRPr="00342E34">
        <w:rPr>
          <w:rFonts w:cstheme="minorHAnsi"/>
          <w:b/>
          <w:bCs/>
          <w:sz w:val="24"/>
          <w:lang w:val="en-GB"/>
        </w:rPr>
        <w:t>4.4</w:t>
      </w:r>
      <w:r w:rsidRPr="00342E34">
        <w:rPr>
          <w:rFonts w:cstheme="minorHAnsi"/>
          <w:b/>
          <w:bCs/>
          <w:sz w:val="24"/>
          <w:lang w:val="en-GB"/>
        </w:rPr>
        <w:tab/>
      </w:r>
      <w:r w:rsidRPr="00342E34">
        <w:rPr>
          <w:rFonts w:cstheme="minorHAnsi"/>
          <w:sz w:val="24"/>
          <w:lang w:val="en-GB"/>
        </w:rPr>
        <w:t>In all</w:t>
      </w:r>
      <w:r w:rsidRPr="00342E34">
        <w:rPr>
          <w:rFonts w:cstheme="minorHAnsi"/>
          <w:b/>
          <w:bCs/>
          <w:sz w:val="24"/>
          <w:lang w:val="en-GB"/>
        </w:rPr>
        <w:t xml:space="preserve"> </w:t>
      </w:r>
      <w:r w:rsidRPr="00342E34">
        <w:rPr>
          <w:rFonts w:cstheme="minorHAnsi"/>
          <w:sz w:val="24"/>
          <w:lang w:val="en-GB"/>
        </w:rPr>
        <w:t>the activities listed in the various sections of this report, particularly with regard to beneficiary countries on IPv6, broadband and capacity building activities, ITU aims to address the challenges faced by landlocked developing countries as per the Vienna Programme of Action.</w:t>
      </w:r>
    </w:p>
    <w:p w14:paraId="191EE3A8" w14:textId="77777777" w:rsidR="00342E34" w:rsidRPr="00342E34" w:rsidRDefault="00342E34" w:rsidP="00342E34">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cstheme="minorHAnsi"/>
          <w:sz w:val="24"/>
          <w:szCs w:val="24"/>
        </w:rPr>
      </w:pPr>
      <w:r w:rsidRPr="00342E34">
        <w:rPr>
          <w:rFonts w:asciiTheme="minorHAnsi" w:hAnsiTheme="minorHAnsi" w:cstheme="minorHAnsi"/>
          <w:sz w:val="24"/>
          <w:szCs w:val="24"/>
        </w:rPr>
        <w:t>5.</w:t>
      </w:r>
      <w:r w:rsidRPr="00342E34">
        <w:rPr>
          <w:rFonts w:asciiTheme="minorHAnsi" w:hAnsiTheme="minorHAnsi" w:cstheme="minorHAnsi"/>
          <w:sz w:val="24"/>
          <w:szCs w:val="24"/>
        </w:rPr>
        <w:tab/>
        <w:t>ENUM</w:t>
      </w:r>
    </w:p>
    <w:p w14:paraId="511053AF" w14:textId="01479CD5" w:rsidR="00342E34" w:rsidRPr="00342E34" w:rsidRDefault="00342E34" w:rsidP="00342E34">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342E34">
        <w:rPr>
          <w:rFonts w:asciiTheme="minorHAnsi" w:hAnsiTheme="minorHAnsi" w:cstheme="minorHAnsi"/>
          <w:b/>
          <w:szCs w:val="24"/>
        </w:rPr>
        <w:t>5.1</w:t>
      </w:r>
      <w:r w:rsidRPr="00342E34">
        <w:rPr>
          <w:rFonts w:asciiTheme="minorHAnsi" w:hAnsiTheme="minorHAnsi" w:cstheme="minorHAnsi"/>
          <w:szCs w:val="24"/>
        </w:rPr>
        <w:tab/>
      </w:r>
      <w:hyperlink r:id="rId60" w:history="1">
        <w:r w:rsidRPr="00342E34">
          <w:rPr>
            <w:rStyle w:val="Hyperlink"/>
            <w:rFonts w:asciiTheme="minorHAnsi" w:hAnsiTheme="minorHAnsi" w:cstheme="minorHAnsi"/>
            <w:szCs w:val="24"/>
          </w:rPr>
          <w:t>Updated Information on ENUM</w:t>
        </w:r>
      </w:hyperlink>
      <w:r w:rsidRPr="00342E34">
        <w:rPr>
          <w:rFonts w:asciiTheme="minorHAnsi" w:hAnsiTheme="minorHAnsi" w:cstheme="minorHAnsi"/>
          <w:szCs w:val="24"/>
        </w:rPr>
        <w:t xml:space="preserve"> is being maintained by ITU-T. ITU-T SG2 is continuing work on a new draft ITU standard on </w:t>
      </w:r>
      <w:r w:rsidRPr="00342E34">
        <w:rPr>
          <w:rFonts w:asciiTheme="minorHAnsi" w:hAnsiTheme="minorHAnsi" w:cstheme="minorHAnsi"/>
          <w:i/>
          <w:szCs w:val="24"/>
        </w:rPr>
        <w:t>“Differentiating between ENUM and Infrastructure ENUM”</w:t>
      </w:r>
      <w:r w:rsidRPr="00342E34">
        <w:rPr>
          <w:rFonts w:asciiTheme="minorHAnsi" w:hAnsiTheme="minorHAnsi" w:cstheme="minorHAnsi"/>
          <w:szCs w:val="24"/>
        </w:rPr>
        <w:t>. ITU-T SG11 approved two ITU standards on ENUM for IMS.</w:t>
      </w:r>
    </w:p>
    <w:p w14:paraId="7A674E7E" w14:textId="77777777" w:rsidR="00342E34" w:rsidRPr="00342E34" w:rsidRDefault="00342E34" w:rsidP="00342E34">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cstheme="minorHAnsi"/>
          <w:sz w:val="24"/>
          <w:szCs w:val="24"/>
        </w:rPr>
      </w:pPr>
      <w:r w:rsidRPr="00342E34">
        <w:rPr>
          <w:rFonts w:asciiTheme="minorHAnsi" w:hAnsiTheme="minorHAnsi" w:cstheme="minorHAnsi"/>
          <w:sz w:val="24"/>
          <w:szCs w:val="24"/>
        </w:rPr>
        <w:t>6.</w:t>
      </w:r>
      <w:r w:rsidRPr="00342E34">
        <w:rPr>
          <w:rFonts w:asciiTheme="minorHAnsi" w:hAnsiTheme="minorHAnsi" w:cstheme="minorHAnsi"/>
          <w:sz w:val="24"/>
          <w:szCs w:val="24"/>
        </w:rPr>
        <w:tab/>
        <w:t>International Internet Connectivity (IIC)/Internet Exchange Points (IXPs)</w:t>
      </w:r>
    </w:p>
    <w:p w14:paraId="683B2385" w14:textId="77777777" w:rsidR="00342E34" w:rsidRPr="00342E34" w:rsidRDefault="00342E34" w:rsidP="00342E34">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342E34">
        <w:rPr>
          <w:rFonts w:asciiTheme="minorHAnsi" w:hAnsiTheme="minorHAnsi" w:cstheme="minorHAnsi"/>
          <w:b/>
          <w:bCs/>
          <w:szCs w:val="24"/>
        </w:rPr>
        <w:t>6.1</w:t>
      </w:r>
      <w:r w:rsidRPr="00342E34">
        <w:rPr>
          <w:rFonts w:asciiTheme="minorHAnsi" w:hAnsiTheme="minorHAnsi" w:cstheme="minorHAnsi"/>
          <w:szCs w:val="24"/>
        </w:rPr>
        <w:tab/>
        <w:t xml:space="preserve">BDT continues to provide assistance to countries in the creation of national IXPs, and on achieving efficient and cost-effective regional Internet connectivity by, for example, developing model interconnection as a basis for formulating National and Regional IXPs, as in the case of Guatemala; and supporting strengthening capabilities of the national IXPs (Montenegro) and the National Internet Exchange in Timor Leste. </w:t>
      </w:r>
    </w:p>
    <w:p w14:paraId="3FCE86F3" w14:textId="77777777" w:rsidR="00342E34" w:rsidRPr="00342E34" w:rsidRDefault="00342E34" w:rsidP="00342E34">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342E34">
        <w:rPr>
          <w:rFonts w:asciiTheme="minorHAnsi" w:hAnsiTheme="minorHAnsi" w:cstheme="minorHAnsi"/>
          <w:b/>
          <w:bCs/>
          <w:szCs w:val="24"/>
        </w:rPr>
        <w:t>6.2</w:t>
      </w:r>
      <w:r w:rsidRPr="00342E34">
        <w:rPr>
          <w:rFonts w:asciiTheme="minorHAnsi" w:hAnsiTheme="minorHAnsi" w:cstheme="minorHAnsi"/>
          <w:szCs w:val="24"/>
        </w:rPr>
        <w:tab/>
        <w:t xml:space="preserve">BDT is assisting to establish SIXP (Samoa IXP) to enable local ISPs to connect directly together and exchange domestic traffic, typically with settlement-free peering, thereby reducing and/or saving cost on international transit while reducing latency (by avoiding local traffic to be carried internationally). </w:t>
      </w:r>
      <w:bookmarkStart w:id="20" w:name="_Hlk500485334"/>
    </w:p>
    <w:p w14:paraId="711BE5C0" w14:textId="4A376FFD" w:rsidR="00342E34" w:rsidRPr="00342E34" w:rsidRDefault="00342E34" w:rsidP="00342E34">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342E34">
        <w:rPr>
          <w:rFonts w:asciiTheme="minorHAnsi" w:hAnsiTheme="minorHAnsi" w:cstheme="minorHAnsi"/>
          <w:b/>
          <w:bCs/>
          <w:szCs w:val="24"/>
        </w:rPr>
        <w:t>6.</w:t>
      </w:r>
      <w:r w:rsidR="00DC320C">
        <w:rPr>
          <w:rFonts w:asciiTheme="minorHAnsi" w:hAnsiTheme="minorHAnsi" w:cstheme="minorHAnsi"/>
          <w:b/>
          <w:bCs/>
          <w:szCs w:val="24"/>
        </w:rPr>
        <w:t>3</w:t>
      </w:r>
      <w:r w:rsidRPr="00342E34">
        <w:rPr>
          <w:rFonts w:asciiTheme="minorHAnsi" w:hAnsiTheme="minorHAnsi" w:cstheme="minorHAnsi"/>
          <w:szCs w:val="24"/>
        </w:rPr>
        <w:tab/>
        <w:t>In the Africa region, BDT is providing assistance to support the implementation of One Network Area roaming in West Africa and supporting the setting up of national and regional Internet Exchange points to support high speed and high-quality broadband connectivity and access. Another sub-regional IXP is under consideration with Djibouti Telecom using their New Data Center and optical cables.</w:t>
      </w:r>
    </w:p>
    <w:p w14:paraId="5649EFE8" w14:textId="0B10BDE3" w:rsidR="00342E34" w:rsidRPr="00342E34" w:rsidRDefault="00342E34" w:rsidP="00342E34">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342E34">
        <w:rPr>
          <w:rFonts w:asciiTheme="minorHAnsi" w:hAnsiTheme="minorHAnsi" w:cstheme="minorHAnsi"/>
          <w:b/>
          <w:szCs w:val="24"/>
        </w:rPr>
        <w:t>6.</w:t>
      </w:r>
      <w:r w:rsidR="00DC320C">
        <w:rPr>
          <w:rFonts w:asciiTheme="minorHAnsi" w:hAnsiTheme="minorHAnsi" w:cstheme="minorHAnsi"/>
          <w:b/>
          <w:szCs w:val="24"/>
        </w:rPr>
        <w:t>4</w:t>
      </w:r>
      <w:r w:rsidRPr="00342E34">
        <w:rPr>
          <w:rFonts w:asciiTheme="minorHAnsi" w:hAnsiTheme="minorHAnsi" w:cstheme="minorHAnsi"/>
          <w:szCs w:val="24"/>
        </w:rPr>
        <w:tab/>
        <w:t xml:space="preserve">BDT has also developed an </w:t>
      </w:r>
      <w:hyperlink r:id="rId61" w:history="1">
        <w:r w:rsidRPr="00342E34">
          <w:rPr>
            <w:rStyle w:val="Hyperlink"/>
            <w:rFonts w:asciiTheme="minorHAnsi" w:hAnsiTheme="minorHAnsi" w:cstheme="minorHAnsi"/>
            <w:szCs w:val="24"/>
          </w:rPr>
          <w:t>ICT-data mapping platform</w:t>
        </w:r>
      </w:hyperlink>
      <w:r w:rsidRPr="00342E34">
        <w:rPr>
          <w:rFonts w:asciiTheme="minorHAnsi" w:hAnsiTheme="minorHAnsi" w:cstheme="minorHAnsi"/>
          <w:szCs w:val="24"/>
        </w:rPr>
        <w:t xml:space="preserve"> to take stock of IXPs locations, national backbone connectivity (optical cables, microwave links and satellite earth stations) as well as of other key metrics of the ICT sector.</w:t>
      </w:r>
      <w:bookmarkEnd w:id="20"/>
      <w:r w:rsidRPr="00342E34">
        <w:rPr>
          <w:rFonts w:asciiTheme="minorHAnsi" w:hAnsiTheme="minorHAnsi" w:cstheme="minorHAnsi"/>
          <w:szCs w:val="24"/>
        </w:rPr>
        <w:t xml:space="preserve"> This is a result of collaboration between ITU, UN ESCAP, TeleGeography and ITU Member States.</w:t>
      </w:r>
    </w:p>
    <w:p w14:paraId="6D858C8B" w14:textId="77777777" w:rsidR="00342E34" w:rsidRPr="00342E34" w:rsidRDefault="00342E34" w:rsidP="00342E34">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cstheme="minorHAnsi"/>
          <w:sz w:val="24"/>
          <w:szCs w:val="24"/>
        </w:rPr>
      </w:pPr>
      <w:r w:rsidRPr="00342E34">
        <w:rPr>
          <w:rFonts w:asciiTheme="minorHAnsi" w:hAnsiTheme="minorHAnsi" w:cstheme="minorHAnsi"/>
          <w:sz w:val="24"/>
          <w:szCs w:val="24"/>
        </w:rPr>
        <w:t>7.</w:t>
      </w:r>
      <w:r w:rsidRPr="00342E34">
        <w:rPr>
          <w:rFonts w:asciiTheme="minorHAnsi" w:hAnsiTheme="minorHAnsi" w:cstheme="minorHAnsi"/>
          <w:sz w:val="24"/>
          <w:szCs w:val="24"/>
        </w:rPr>
        <w:tab/>
        <w:t>OTT</w:t>
      </w:r>
    </w:p>
    <w:p w14:paraId="1DAAD844" w14:textId="1835CED0" w:rsidR="00342E34" w:rsidRPr="00342E34" w:rsidRDefault="00342E34" w:rsidP="00342E34">
      <w:pPr>
        <w:tabs>
          <w:tab w:val="clear" w:pos="567"/>
          <w:tab w:val="clear" w:pos="1134"/>
          <w:tab w:val="clear" w:pos="1701"/>
          <w:tab w:val="clear" w:pos="2268"/>
          <w:tab w:val="clear" w:pos="2835"/>
        </w:tabs>
        <w:spacing w:after="120"/>
        <w:jc w:val="both"/>
        <w:rPr>
          <w:rFonts w:asciiTheme="minorHAnsi" w:hAnsiTheme="minorHAnsi" w:cstheme="minorHAnsi"/>
          <w:szCs w:val="24"/>
          <w:u w:val="single"/>
        </w:rPr>
      </w:pPr>
      <w:r w:rsidRPr="00342E34">
        <w:rPr>
          <w:rFonts w:asciiTheme="minorHAnsi" w:hAnsiTheme="minorHAnsi" w:cstheme="minorHAnsi"/>
          <w:b/>
          <w:szCs w:val="24"/>
        </w:rPr>
        <w:t>7.1</w:t>
      </w:r>
      <w:r w:rsidRPr="00342E34">
        <w:rPr>
          <w:rFonts w:asciiTheme="minorHAnsi" w:hAnsiTheme="minorHAnsi" w:cstheme="minorHAnsi"/>
          <w:szCs w:val="24"/>
        </w:rPr>
        <w:tab/>
        <w:t xml:space="preserve">Under ITU-D Q3/1, work continues on </w:t>
      </w:r>
      <w:r w:rsidRPr="00342E34">
        <w:rPr>
          <w:rFonts w:asciiTheme="minorHAnsi" w:hAnsiTheme="minorHAnsi" w:cstheme="minorHAnsi"/>
          <w:i/>
          <w:szCs w:val="24"/>
        </w:rPr>
        <w:t>“Emerging technologies, including cloud computing, m-services and OTTs: Challenges and opportunities, economic and policy impact for developing countries”</w:t>
      </w:r>
      <w:r w:rsidRPr="00342E34">
        <w:rPr>
          <w:rFonts w:asciiTheme="minorHAnsi" w:hAnsiTheme="minorHAnsi" w:cstheme="minorHAnsi"/>
          <w:szCs w:val="24"/>
        </w:rPr>
        <w:t xml:space="preserve">. ITU-T SG2 is progressing two new work items on OTTs: TR.OTTnumber </w:t>
      </w:r>
      <w:r w:rsidRPr="00342E34">
        <w:rPr>
          <w:rFonts w:asciiTheme="minorHAnsi" w:hAnsiTheme="minorHAnsi" w:cstheme="minorHAnsi"/>
          <w:i/>
          <w:szCs w:val="24"/>
        </w:rPr>
        <w:t>“Current use of E.164 numbers as identifiers for OTTs”</w:t>
      </w:r>
      <w:r w:rsidRPr="00342E34">
        <w:rPr>
          <w:rFonts w:asciiTheme="minorHAnsi" w:hAnsiTheme="minorHAnsi" w:cstheme="minorHAnsi"/>
          <w:szCs w:val="24"/>
        </w:rPr>
        <w:t xml:space="preserve"> and E.sup.OTTnum </w:t>
      </w:r>
      <w:r w:rsidRPr="00342E34">
        <w:rPr>
          <w:rFonts w:asciiTheme="minorHAnsi" w:hAnsiTheme="minorHAnsi" w:cstheme="minorHAnsi"/>
          <w:i/>
          <w:szCs w:val="24"/>
        </w:rPr>
        <w:t>“Guidance on the use of E.164 numbers as identifiers for OTTs”, and</w:t>
      </w:r>
      <w:r w:rsidRPr="00342E34">
        <w:rPr>
          <w:rFonts w:asciiTheme="minorHAnsi" w:hAnsiTheme="minorHAnsi" w:cstheme="minorHAnsi"/>
          <w:szCs w:val="24"/>
        </w:rPr>
        <w:t xml:space="preserve"> further E.dit </w:t>
      </w:r>
      <w:r w:rsidRPr="00342E34">
        <w:rPr>
          <w:rFonts w:asciiTheme="minorHAnsi" w:hAnsiTheme="minorHAnsi" w:cstheme="minorHAnsi"/>
          <w:i/>
          <w:szCs w:val="24"/>
        </w:rPr>
        <w:t>“Deemed impermissible traffic”</w:t>
      </w:r>
      <w:r w:rsidRPr="00342E34">
        <w:rPr>
          <w:rFonts w:asciiTheme="minorHAnsi" w:hAnsiTheme="minorHAnsi" w:cstheme="minorHAnsi"/>
          <w:szCs w:val="24"/>
        </w:rPr>
        <w:t xml:space="preserve">, and E.ACP </w:t>
      </w:r>
      <w:r w:rsidRPr="00342E34">
        <w:rPr>
          <w:rFonts w:asciiTheme="minorHAnsi" w:hAnsiTheme="minorHAnsi" w:cstheme="minorHAnsi"/>
          <w:i/>
          <w:szCs w:val="24"/>
        </w:rPr>
        <w:t>“Alternative calling procedures”</w:t>
      </w:r>
      <w:r w:rsidRPr="00342E34">
        <w:rPr>
          <w:rFonts w:asciiTheme="minorHAnsi" w:hAnsiTheme="minorHAnsi" w:cstheme="minorHAnsi"/>
          <w:szCs w:val="24"/>
        </w:rPr>
        <w:t xml:space="preserve">. ITU-T SG3 approved one ITU-T standard on </w:t>
      </w:r>
      <w:r w:rsidRPr="00342E34">
        <w:rPr>
          <w:rFonts w:asciiTheme="minorHAnsi" w:hAnsiTheme="minorHAnsi" w:cstheme="minorHAnsi"/>
          <w:i/>
          <w:iCs/>
          <w:szCs w:val="24"/>
        </w:rPr>
        <w:t>voluntary commercial arrangements between telecommunications network operators and OTT providers</w:t>
      </w:r>
      <w:r w:rsidRPr="00342E34">
        <w:rPr>
          <w:rFonts w:asciiTheme="minorHAnsi" w:hAnsiTheme="minorHAnsi" w:cstheme="minorHAnsi"/>
          <w:szCs w:val="24"/>
        </w:rPr>
        <w:t>.</w:t>
      </w:r>
    </w:p>
    <w:p w14:paraId="40975FDC" w14:textId="18DA943E" w:rsidR="00CF134B" w:rsidRPr="00CF134B" w:rsidRDefault="00CF134B" w:rsidP="006848DD">
      <w:pPr>
        <w:spacing w:before="840"/>
        <w:jc w:val="center"/>
        <w:rPr>
          <w:rFonts w:cstheme="minorHAnsi"/>
        </w:rPr>
      </w:pPr>
      <w:r w:rsidRPr="008D77AF">
        <w:rPr>
          <w:rFonts w:cstheme="minorHAnsi"/>
        </w:rPr>
        <w:t>_______________</w:t>
      </w:r>
    </w:p>
    <w:sectPr w:rsidR="00CF134B" w:rsidRPr="00CF134B" w:rsidSect="004D1851">
      <w:headerReference w:type="default" r:id="rId62"/>
      <w:footerReference w:type="default" r:id="rId63"/>
      <w:footerReference w:type="first" r:id="rId6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6FCCC" w14:textId="6216F85E" w:rsidR="00CB18FF" w:rsidRPr="006848DD" w:rsidRDefault="00A93619">
    <w:pPr>
      <w:pStyle w:val="Footer"/>
      <w:rPr>
        <w:color w:val="D9D9D9" w:themeColor="background1" w:themeShade="D9"/>
      </w:rPr>
    </w:pPr>
    <w:r w:rsidRPr="006848DD">
      <w:rPr>
        <w:color w:val="D9D9D9" w:themeColor="background1" w:themeShade="D9"/>
      </w:rPr>
      <w:fldChar w:fldCharType="begin"/>
    </w:r>
    <w:r w:rsidRPr="006848DD">
      <w:rPr>
        <w:color w:val="D9D9D9" w:themeColor="background1" w:themeShade="D9"/>
      </w:rPr>
      <w:instrText xml:space="preserve"> FILENAME \p  \* MERGEFORMAT </w:instrText>
    </w:r>
    <w:r w:rsidRPr="006848DD">
      <w:rPr>
        <w:color w:val="D9D9D9" w:themeColor="background1" w:themeShade="D9"/>
      </w:rPr>
      <w:fldChar w:fldCharType="separate"/>
    </w:r>
    <w:r w:rsidR="005F3269" w:rsidRPr="006848DD">
      <w:rPr>
        <w:color w:val="D9D9D9" w:themeColor="background1" w:themeShade="D9"/>
      </w:rPr>
      <w:t>Document1</w:t>
    </w:r>
    <w:r w:rsidRPr="006848DD">
      <w:rPr>
        <w:color w:val="D9D9D9" w:themeColor="background1" w:themeShade="D9"/>
      </w:rPr>
      <w:fldChar w:fldCharType="end"/>
    </w:r>
    <w:r w:rsidR="00CB18FF" w:rsidRPr="006848DD">
      <w:rPr>
        <w:color w:val="D9D9D9" w:themeColor="background1" w:themeShade="D9"/>
      </w:rPr>
      <w:tab/>
    </w:r>
    <w:r w:rsidR="00864AFF" w:rsidRPr="006848DD">
      <w:rPr>
        <w:color w:val="D9D9D9" w:themeColor="background1" w:themeShade="D9"/>
      </w:rPr>
      <w:fldChar w:fldCharType="begin"/>
    </w:r>
    <w:r w:rsidR="00CB18FF" w:rsidRPr="006848DD">
      <w:rPr>
        <w:color w:val="D9D9D9" w:themeColor="background1" w:themeShade="D9"/>
      </w:rPr>
      <w:instrText xml:space="preserve"> SAVEDATE \@ DD.MM.YY </w:instrText>
    </w:r>
    <w:r w:rsidR="00864AFF" w:rsidRPr="006848DD">
      <w:rPr>
        <w:color w:val="D9D9D9" w:themeColor="background1" w:themeShade="D9"/>
      </w:rPr>
      <w:fldChar w:fldCharType="separate"/>
    </w:r>
    <w:r w:rsidR="00DC320C">
      <w:rPr>
        <w:color w:val="D9D9D9" w:themeColor="background1" w:themeShade="D9"/>
      </w:rPr>
      <w:t>01.04.21</w:t>
    </w:r>
    <w:r w:rsidR="00864AFF" w:rsidRPr="006848DD">
      <w:rPr>
        <w:color w:val="D9D9D9" w:themeColor="background1" w:themeShade="D9"/>
      </w:rPr>
      <w:fldChar w:fldCharType="end"/>
    </w:r>
    <w:r w:rsidR="00CB18FF" w:rsidRPr="006848DD">
      <w:rPr>
        <w:color w:val="D9D9D9" w:themeColor="background1" w:themeShade="D9"/>
      </w:rPr>
      <w:tab/>
    </w:r>
    <w:r w:rsidR="00864AFF" w:rsidRPr="006848DD">
      <w:rPr>
        <w:color w:val="D9D9D9" w:themeColor="background1" w:themeShade="D9"/>
      </w:rPr>
      <w:fldChar w:fldCharType="begin"/>
    </w:r>
    <w:r w:rsidR="00CB18FF" w:rsidRPr="006848DD">
      <w:rPr>
        <w:color w:val="D9D9D9" w:themeColor="background1" w:themeShade="D9"/>
      </w:rPr>
      <w:instrText xml:space="preserve"> PRINTDATE \@ DD.MM.YY </w:instrText>
    </w:r>
    <w:r w:rsidR="00864AFF" w:rsidRPr="006848DD">
      <w:rPr>
        <w:color w:val="D9D9D9" w:themeColor="background1" w:themeShade="D9"/>
      </w:rPr>
      <w:fldChar w:fldCharType="separate"/>
    </w:r>
    <w:r w:rsidR="005F3269" w:rsidRPr="006848DD">
      <w:rPr>
        <w:color w:val="D9D9D9" w:themeColor="background1" w:themeShade="D9"/>
      </w:rPr>
      <w:t>18.07.00</w:t>
    </w:r>
    <w:r w:rsidR="00864AFF" w:rsidRPr="006848DD">
      <w:rPr>
        <w:color w:val="D9D9D9" w:themeColor="background1" w:themeShade="D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1CDDD" w14:textId="71E8601E" w:rsidR="00322D0D" w:rsidRDefault="00322D0D" w:rsidP="00CF134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 w:id="1">
    <w:p w14:paraId="21D0536C" w14:textId="177C05F5" w:rsidR="00342E34" w:rsidRPr="00B67419" w:rsidRDefault="00342E34" w:rsidP="00DC320C">
      <w:pPr>
        <w:pStyle w:val="FootnoteText"/>
        <w:rPr>
          <w:lang w:val="en-US"/>
        </w:rPr>
      </w:pPr>
      <w:r>
        <w:rPr>
          <w:rStyle w:val="FootnoteReference"/>
        </w:rPr>
        <w:footnoteRef/>
      </w:r>
      <w:r>
        <w:t xml:space="preserve"> </w:t>
      </w:r>
      <w:r w:rsidRPr="001711A8">
        <w:rPr>
          <w:rFonts w:asciiTheme="minorHAnsi" w:hAnsiTheme="minorHAnsi" w:cstheme="minorHAnsi"/>
          <w:sz w:val="20"/>
        </w:rPr>
        <w:t xml:space="preserve">A more detailed version of the </w:t>
      </w:r>
      <w:r w:rsidRPr="009773C4">
        <w:rPr>
          <w:rFonts w:asciiTheme="minorHAnsi" w:hAnsiTheme="minorHAnsi" w:cstheme="minorHAnsi"/>
          <w:sz w:val="20"/>
        </w:rPr>
        <w:t>report (</w:t>
      </w:r>
      <w:hyperlink r:id="rId1" w:history="1">
        <w:r w:rsidRPr="009773C4">
          <w:rPr>
            <w:rStyle w:val="Hyperlink"/>
            <w:rFonts w:asciiTheme="minorHAnsi" w:hAnsiTheme="minorHAnsi" w:cstheme="minorHAnsi"/>
            <w:sz w:val="20"/>
          </w:rPr>
          <w:t>CWG-Internet-15/2</w:t>
        </w:r>
      </w:hyperlink>
      <w:r w:rsidRPr="009773C4">
        <w:rPr>
          <w:rFonts w:asciiTheme="minorHAnsi" w:hAnsiTheme="minorHAnsi" w:cstheme="minorHAnsi"/>
          <w:sz w:val="20"/>
        </w:rPr>
        <w:t>) was</w:t>
      </w:r>
      <w:r w:rsidRPr="001711A8">
        <w:rPr>
          <w:rFonts w:asciiTheme="minorHAnsi" w:hAnsiTheme="minorHAnsi" w:cstheme="minorHAnsi"/>
          <w:sz w:val="20"/>
        </w:rPr>
        <w:t xml:space="preserve"> presented to CWG-Internet.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3C43F"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p>
  <w:p w14:paraId="34EC98F4" w14:textId="7A90FB37" w:rsidR="00322D0D" w:rsidRPr="00623AE3" w:rsidRDefault="00D338E0" w:rsidP="00D338E0">
    <w:pPr>
      <w:pStyle w:val="Header"/>
      <w:rPr>
        <w:bCs/>
      </w:rPr>
    </w:pPr>
    <w:r w:rsidRPr="00F56668">
      <w:rPr>
        <w:bCs/>
      </w:rPr>
      <w:t>C2</w:t>
    </w:r>
    <w:r w:rsidR="00F56668" w:rsidRPr="00F56668">
      <w:rPr>
        <w:bCs/>
      </w:rPr>
      <w:t>1</w:t>
    </w:r>
    <w:r w:rsidR="00623AE3" w:rsidRPr="00F56668">
      <w:rPr>
        <w:bCs/>
      </w:rPr>
      <w:t>/</w:t>
    </w:r>
    <w:r w:rsidR="00342E34">
      <w:rPr>
        <w:bCs/>
      </w:rPr>
      <w:t>33</w:t>
    </w:r>
    <w:r w:rsidR="00623AE3" w:rsidRPr="00F56668">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E3561"/>
    <w:multiLevelType w:val="hybridMultilevel"/>
    <w:tmpl w:val="8DC67212"/>
    <w:lvl w:ilvl="0" w:tplc="FFFFFFFF">
      <w:start w:val="1"/>
      <w:numFmt w:val="decimal"/>
      <w:pStyle w:val="normalWSIS"/>
      <w:lvlText w:val="%1."/>
      <w:lvlJc w:val="left"/>
      <w:pPr>
        <w:ind w:left="928" w:hanging="360"/>
      </w:pPr>
      <w:rPr>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11"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B739A5"/>
    <w:multiLevelType w:val="hybridMultilevel"/>
    <w:tmpl w:val="28722354"/>
    <w:lvl w:ilvl="0" w:tplc="A5646D5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A3F73"/>
    <w:rsid w:val="000B1705"/>
    <w:rsid w:val="000D75B2"/>
    <w:rsid w:val="001121F5"/>
    <w:rsid w:val="001400DC"/>
    <w:rsid w:val="00140253"/>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22D0D"/>
    <w:rsid w:val="00342E34"/>
    <w:rsid w:val="003942D4"/>
    <w:rsid w:val="003958A8"/>
    <w:rsid w:val="003C2533"/>
    <w:rsid w:val="003F08DA"/>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5F3269"/>
    <w:rsid w:val="00623AE3"/>
    <w:rsid w:val="0064737F"/>
    <w:rsid w:val="006535F1"/>
    <w:rsid w:val="0065557D"/>
    <w:rsid w:val="00662984"/>
    <w:rsid w:val="006716BB"/>
    <w:rsid w:val="006848DD"/>
    <w:rsid w:val="006B6680"/>
    <w:rsid w:val="006B6DCC"/>
    <w:rsid w:val="00702DEF"/>
    <w:rsid w:val="00706861"/>
    <w:rsid w:val="00722181"/>
    <w:rsid w:val="00740FE3"/>
    <w:rsid w:val="0075051B"/>
    <w:rsid w:val="00792FA4"/>
    <w:rsid w:val="00793188"/>
    <w:rsid w:val="00794D34"/>
    <w:rsid w:val="00813E5E"/>
    <w:rsid w:val="0083581B"/>
    <w:rsid w:val="00864AFF"/>
    <w:rsid w:val="008B4A6A"/>
    <w:rsid w:val="008C7E27"/>
    <w:rsid w:val="009173EF"/>
    <w:rsid w:val="00932906"/>
    <w:rsid w:val="00961B0B"/>
    <w:rsid w:val="009B38C3"/>
    <w:rsid w:val="009E17BD"/>
    <w:rsid w:val="009E485A"/>
    <w:rsid w:val="009F66A3"/>
    <w:rsid w:val="00A04CEC"/>
    <w:rsid w:val="00A077A0"/>
    <w:rsid w:val="00A27F92"/>
    <w:rsid w:val="00A32257"/>
    <w:rsid w:val="00A36D20"/>
    <w:rsid w:val="00A55622"/>
    <w:rsid w:val="00A83502"/>
    <w:rsid w:val="00A8382F"/>
    <w:rsid w:val="00A93619"/>
    <w:rsid w:val="00AC1A4D"/>
    <w:rsid w:val="00AC47C8"/>
    <w:rsid w:val="00AD15B3"/>
    <w:rsid w:val="00AD39A0"/>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134B"/>
    <w:rsid w:val="00CF33F3"/>
    <w:rsid w:val="00CF5A9F"/>
    <w:rsid w:val="00D06183"/>
    <w:rsid w:val="00D22C42"/>
    <w:rsid w:val="00D338E0"/>
    <w:rsid w:val="00D65041"/>
    <w:rsid w:val="00D8774A"/>
    <w:rsid w:val="00DB384B"/>
    <w:rsid w:val="00DC320C"/>
    <w:rsid w:val="00DE4050"/>
    <w:rsid w:val="00DE4373"/>
    <w:rsid w:val="00E10E80"/>
    <w:rsid w:val="00E124F0"/>
    <w:rsid w:val="00E60F04"/>
    <w:rsid w:val="00E854E4"/>
    <w:rsid w:val="00EA2120"/>
    <w:rsid w:val="00EB0D6F"/>
    <w:rsid w:val="00EB2232"/>
    <w:rsid w:val="00EC5337"/>
    <w:rsid w:val="00F2150A"/>
    <w:rsid w:val="00F231D8"/>
    <w:rsid w:val="00F46C5F"/>
    <w:rsid w:val="00F56668"/>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Style 58,超?级链,超????,하이퍼링크2,하이퍼링크21,超链接1,CEO_Hyperlink"/>
    <w:basedOn w:val="DefaultParagraphFont"/>
    <w:qForma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 w:type="character" w:customStyle="1" w:styleId="apple-style-span">
    <w:name w:val="apple-style-span"/>
    <w:basedOn w:val="DefaultParagraphFont"/>
    <w:rsid w:val="00342E34"/>
  </w:style>
  <w:style w:type="paragraph" w:styleId="NormalWeb">
    <w:name w:val="Normal (Web)"/>
    <w:basedOn w:val="Normal"/>
    <w:link w:val="NormalWebChar"/>
    <w:uiPriority w:val="99"/>
    <w:rsid w:val="00342E34"/>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ascii="Times New Roman" w:eastAsiaTheme="minorEastAsia" w:hAnsi="Times New Roman" w:cstheme="minorBidi"/>
      <w:sz w:val="22"/>
      <w:szCs w:val="24"/>
      <w:lang w:val="fr-CH" w:eastAsia="zh-CN"/>
    </w:rPr>
  </w:style>
  <w:style w:type="paragraph" w:customStyle="1" w:styleId="Style2">
    <w:name w:val="Style2"/>
    <w:basedOn w:val="Normal"/>
    <w:uiPriority w:val="99"/>
    <w:rsid w:val="00342E34"/>
    <w:pPr>
      <w:widowControl w:val="0"/>
      <w:tabs>
        <w:tab w:val="clear" w:pos="567"/>
        <w:tab w:val="clear" w:pos="1134"/>
        <w:tab w:val="clear" w:pos="1701"/>
        <w:tab w:val="clear" w:pos="2268"/>
        <w:tab w:val="clear" w:pos="2835"/>
      </w:tabs>
      <w:overflowPunct/>
      <w:autoSpaceDE/>
      <w:autoSpaceDN/>
      <w:adjustRightInd/>
      <w:spacing w:before="0" w:after="200" w:line="269" w:lineRule="atLeast"/>
      <w:ind w:hanging="346"/>
      <w:jc w:val="both"/>
      <w:textAlignment w:val="auto"/>
    </w:pPr>
    <w:rPr>
      <w:rFonts w:asciiTheme="minorHAnsi" w:eastAsia="SimSun" w:hAnsiTheme="minorHAnsi" w:cstheme="minorBidi"/>
      <w:sz w:val="22"/>
      <w:szCs w:val="24"/>
      <w:lang w:val="fr-CH" w:eastAsia="zh-CN"/>
    </w:rPr>
  </w:style>
  <w:style w:type="paragraph" w:customStyle="1" w:styleId="normalWSIS">
    <w:name w:val="normal WSIS"/>
    <w:basedOn w:val="ListParagraph"/>
    <w:link w:val="normalWSISChar"/>
    <w:qFormat/>
    <w:rsid w:val="00342E34"/>
    <w:pPr>
      <w:numPr>
        <w:numId w:val="12"/>
      </w:numPr>
      <w:tabs>
        <w:tab w:val="clear" w:pos="567"/>
        <w:tab w:val="clear" w:pos="1134"/>
        <w:tab w:val="clear" w:pos="1701"/>
        <w:tab w:val="clear" w:pos="2268"/>
        <w:tab w:val="clear" w:pos="2835"/>
        <w:tab w:val="left" w:pos="426"/>
      </w:tabs>
      <w:overflowPunct/>
      <w:autoSpaceDE/>
      <w:autoSpaceDN/>
      <w:adjustRightInd/>
      <w:spacing w:before="0" w:after="200" w:line="276" w:lineRule="auto"/>
      <w:contextualSpacing w:val="0"/>
      <w:jc w:val="both"/>
      <w:textAlignment w:val="auto"/>
    </w:pPr>
    <w:rPr>
      <w:rFonts w:asciiTheme="minorHAnsi" w:eastAsia="SimSun" w:hAnsiTheme="minorHAnsi" w:cs="Arial"/>
      <w:sz w:val="22"/>
      <w:szCs w:val="22"/>
      <w:lang w:val="fr-CH" w:eastAsia="zh-CN"/>
    </w:rPr>
  </w:style>
  <w:style w:type="character" w:customStyle="1" w:styleId="normalWSISChar">
    <w:name w:val="normal WSIS Char"/>
    <w:basedOn w:val="DefaultParagraphFont"/>
    <w:link w:val="normalWSIS"/>
    <w:rsid w:val="00342E34"/>
    <w:rPr>
      <w:rFonts w:asciiTheme="minorHAnsi" w:eastAsia="SimSun" w:hAnsiTheme="minorHAnsi" w:cs="Arial"/>
      <w:sz w:val="22"/>
      <w:szCs w:val="22"/>
      <w:lang w:val="fr-CH"/>
    </w:rPr>
  </w:style>
  <w:style w:type="character" w:customStyle="1" w:styleId="NormalWebChar">
    <w:name w:val="Normal (Web) Char"/>
    <w:link w:val="NormalWeb"/>
    <w:uiPriority w:val="99"/>
    <w:locked/>
    <w:rsid w:val="00342E34"/>
    <w:rPr>
      <w:rFonts w:ascii="Times New Roman" w:eastAsiaTheme="minorEastAsia" w:hAnsi="Times New Roman" w:cstheme="minorBidi"/>
      <w:sz w:val="22"/>
      <w:szCs w:val="24"/>
      <w:lang w:val="fr-CH"/>
    </w:rPr>
  </w:style>
  <w:style w:type="character" w:styleId="CommentReference">
    <w:name w:val="annotation reference"/>
    <w:basedOn w:val="DefaultParagraphFont"/>
    <w:semiHidden/>
    <w:unhideWhenUsed/>
    <w:rsid w:val="00342E34"/>
    <w:rPr>
      <w:sz w:val="16"/>
      <w:szCs w:val="16"/>
    </w:rPr>
  </w:style>
  <w:style w:type="paragraph" w:styleId="CommentText">
    <w:name w:val="annotation text"/>
    <w:basedOn w:val="Normal"/>
    <w:link w:val="CommentTextChar"/>
    <w:unhideWhenUsed/>
    <w:rsid w:val="00342E34"/>
    <w:rPr>
      <w:sz w:val="20"/>
    </w:rPr>
  </w:style>
  <w:style w:type="character" w:customStyle="1" w:styleId="CommentTextChar">
    <w:name w:val="Comment Text Char"/>
    <w:basedOn w:val="DefaultParagraphFont"/>
    <w:link w:val="CommentText"/>
    <w:rsid w:val="00342E34"/>
    <w:rPr>
      <w:rFonts w:ascii="Calibri" w:hAnsi="Calibri"/>
      <w:lang w:val="en-GB" w:eastAsia="en-US"/>
    </w:rPr>
  </w:style>
  <w:style w:type="character" w:customStyle="1" w:styleId="HeaderChar">
    <w:name w:val="Header Char"/>
    <w:basedOn w:val="DefaultParagraphFont"/>
    <w:link w:val="Header"/>
    <w:rsid w:val="00342E34"/>
    <w:rPr>
      <w:rFonts w:ascii="Calibri" w:hAnsi="Calibri"/>
      <w:sz w:val="18"/>
      <w:lang w:val="en-GB" w:eastAsia="en-US"/>
    </w:rPr>
  </w:style>
  <w:style w:type="paragraph" w:styleId="ListParagraph">
    <w:name w:val="List Paragraph"/>
    <w:basedOn w:val="Normal"/>
    <w:uiPriority w:val="34"/>
    <w:qFormat/>
    <w:rsid w:val="00342E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T-RES-T.69-2016" TargetMode="External"/><Relationship Id="rId21" Type="http://schemas.openxmlformats.org/officeDocument/2006/relationships/hyperlink" Target="https://www.itu.int/pub/T-RES-T.50-2016" TargetMode="External"/><Relationship Id="rId34" Type="http://schemas.openxmlformats.org/officeDocument/2006/relationships/hyperlink" Target="https://www.itu.int/md/S18-CL-C-0033/en" TargetMode="External"/><Relationship Id="rId42" Type="http://schemas.openxmlformats.org/officeDocument/2006/relationships/hyperlink" Target="https://www.itu.int/en/ITU-T/focusgroups/ai4h" TargetMode="External"/><Relationship Id="rId47" Type="http://schemas.openxmlformats.org/officeDocument/2006/relationships/hyperlink" Target="https://www.itu.int/en/ITU-T/focusgroups/ai4ndm/Pages/default.aspx" TargetMode="External"/><Relationship Id="rId50" Type="http://schemas.openxmlformats.org/officeDocument/2006/relationships/hyperlink" Target="http://www.itu.int/itu-d/study-groups" TargetMode="External"/><Relationship Id="rId55" Type="http://schemas.openxmlformats.org/officeDocument/2006/relationships/hyperlink" Target="https://www.itu.int/net4/ITU-D/CDS/sg/rgqlist.asp?lg=1&amp;sp=2014&amp;rgq=D14-SG01-RGQ01.1&amp;stg=1"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md/S15-CL-C-0113/en" TargetMode="External"/><Relationship Id="rId29" Type="http://schemas.openxmlformats.org/officeDocument/2006/relationships/hyperlink" Target="https://www.itu.int/en/ITU-D/Conferences/WTDC/WTDC17/Documents/WTDC17_FinalReport_en.pdf" TargetMode="External"/><Relationship Id="rId11" Type="http://schemas.openxmlformats.org/officeDocument/2006/relationships/hyperlink" Target="https://www.itu.int/en/council/Documents/basic-texts/RES-102-E.pdf" TargetMode="External"/><Relationship Id="rId24" Type="http://schemas.openxmlformats.org/officeDocument/2006/relationships/hyperlink" Target="https://www.itu.int/pub/T-RES-T.60-2016" TargetMode="External"/><Relationship Id="rId32" Type="http://schemas.openxmlformats.org/officeDocument/2006/relationships/hyperlink" Target="http://www.itu.int/md/S16-CL-C-0033/en" TargetMode="External"/><Relationship Id="rId37" Type="http://schemas.openxmlformats.org/officeDocument/2006/relationships/hyperlink" Target="https://www.itu.int/itu-t/workprog/wp_search.aspx?isn_sp=3925&amp;isn_status=-1,2&amp;adf=2020-04-01&amp;adt=2020-12-31&amp;pg_size=100&amp;details=0&amp;field=acdefghijo" TargetMode="External"/><Relationship Id="rId40" Type="http://schemas.openxmlformats.org/officeDocument/2006/relationships/hyperlink" Target="https://www.itu.int/md/S21-CL-C-0018/en" TargetMode="External"/><Relationship Id="rId45" Type="http://schemas.openxmlformats.org/officeDocument/2006/relationships/hyperlink" Target="https://www.itu.int/en/ITU-T/focusgroups/ai4ad/Pages/default.aspx" TargetMode="External"/><Relationship Id="rId53" Type="http://schemas.openxmlformats.org/officeDocument/2006/relationships/hyperlink" Target="https://www.itu.int/en/ITU-T/ipv6/Pages/default.aspx" TargetMode="External"/><Relationship Id="rId58" Type="http://schemas.openxmlformats.org/officeDocument/2006/relationships/hyperlink" Target="https://www.itu.int/en/council/cwg-internet/Pages/consultation-feb2021.aspx"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itu.int/itu-d/tnd-map-public/" TargetMode="External"/><Relationship Id="rId19" Type="http://schemas.openxmlformats.org/officeDocument/2006/relationships/hyperlink" Target="https://www.itu.int/pub/T-RES-T.48-2016" TargetMode="External"/><Relationship Id="rId14" Type="http://schemas.openxmlformats.org/officeDocument/2006/relationships/hyperlink" Target="https://www.itu.int/en/council/Documents/basic-texts/RES-206-E.pdf" TargetMode="External"/><Relationship Id="rId22" Type="http://schemas.openxmlformats.org/officeDocument/2006/relationships/hyperlink" Target="https://www.itu.int/pub/T-RES-T.52-2016" TargetMode="External"/><Relationship Id="rId27" Type="http://schemas.openxmlformats.org/officeDocument/2006/relationships/hyperlink" Target="https://www.itu.int/pub/T-RES-T.75-2016" TargetMode="External"/><Relationship Id="rId30" Type="http://schemas.openxmlformats.org/officeDocument/2006/relationships/hyperlink" Target="https://www.itu.int/en/ITU-D/Conferences/WTDC/WTDC17/Documents/WTDC17_FinalReport_en.pdf" TargetMode="External"/><Relationship Id="rId35" Type="http://schemas.openxmlformats.org/officeDocument/2006/relationships/hyperlink" Target="https://www.itu.int/md/S19-CL-C-0033/en" TargetMode="External"/><Relationship Id="rId43" Type="http://schemas.openxmlformats.org/officeDocument/2006/relationships/hyperlink" Target="https://www.itu.int/en/ITU-T/focusgroups/vm/Pages/default.aspx" TargetMode="External"/><Relationship Id="rId48" Type="http://schemas.openxmlformats.org/officeDocument/2006/relationships/hyperlink" Target="https://www.itu.int/net/ITU-T/res69/Default.aspx" TargetMode="External"/><Relationship Id="rId56" Type="http://schemas.openxmlformats.org/officeDocument/2006/relationships/hyperlink" Target="https://www.itu.int/en/council/cwg-internet/Pages/default.aspx" TargetMode="External"/><Relationship Id="rId64"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s://academy.itu.int/" TargetMode="External"/><Relationship Id="rId3" Type="http://schemas.openxmlformats.org/officeDocument/2006/relationships/styles" Target="styles.xml"/><Relationship Id="rId12" Type="http://schemas.openxmlformats.org/officeDocument/2006/relationships/hyperlink" Target="https://www.itu.int/en/council/Documents/basic-texts/RES-133-E.pdf" TargetMode="External"/><Relationship Id="rId17" Type="http://schemas.openxmlformats.org/officeDocument/2006/relationships/hyperlink" Target="http://www.itu.int/md/S15-CL-C-0112/en" TargetMode="External"/><Relationship Id="rId25" Type="http://schemas.openxmlformats.org/officeDocument/2006/relationships/hyperlink" Target="https://www.itu.int/pub/T-RES-T.64-2016" TargetMode="External"/><Relationship Id="rId33" Type="http://schemas.openxmlformats.org/officeDocument/2006/relationships/hyperlink" Target="https://www.itu.int/md/S17-CL-C-0033/en" TargetMode="External"/><Relationship Id="rId38" Type="http://schemas.openxmlformats.org/officeDocument/2006/relationships/hyperlink" Target="https://www.itu.int/en/ITU-T/webinars/Pages/dlt.aspx" TargetMode="External"/><Relationship Id="rId46" Type="http://schemas.openxmlformats.org/officeDocument/2006/relationships/hyperlink" Target="https://www.itu.int/en/ITU-T/focusgroups/qit4n/Pages/default.aspx" TargetMode="External"/><Relationship Id="rId59" Type="http://schemas.openxmlformats.org/officeDocument/2006/relationships/hyperlink" Target="https://www.itu.int/md/S21-CL-C-0051/en" TargetMode="External"/><Relationship Id="rId20" Type="http://schemas.openxmlformats.org/officeDocument/2006/relationships/hyperlink" Target="https://www.itu.int/pub/publications.aspx?lang=en&amp;parent=T-RES-T.49-2016" TargetMode="External"/><Relationship Id="rId41" Type="http://schemas.openxmlformats.org/officeDocument/2006/relationships/hyperlink" Target="https://www.itu.int/en/ITU-T/focusgroups/Pages/default.aspx" TargetMode="External"/><Relationship Id="rId54" Type="http://schemas.openxmlformats.org/officeDocument/2006/relationships/hyperlink" Target="https://www.itu.int/pub/D-STG-SG01.01.1-2017"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md/S09-CL-C-0105" TargetMode="External"/><Relationship Id="rId23" Type="http://schemas.openxmlformats.org/officeDocument/2006/relationships/hyperlink" Target="https://www.itu.int/pub/T-RES-T.58-2016" TargetMode="External"/><Relationship Id="rId28" Type="http://schemas.openxmlformats.org/officeDocument/2006/relationships/hyperlink" Target="https://www.itu.int/pub/T-RES-T.98-2016" TargetMode="External"/><Relationship Id="rId36" Type="http://schemas.openxmlformats.org/officeDocument/2006/relationships/hyperlink" Target="https://www.itu.int/md/S20-CL-C-0033/en" TargetMode="External"/><Relationship Id="rId49" Type="http://schemas.openxmlformats.org/officeDocument/2006/relationships/hyperlink" Target="https://www.itu.int/net4/ITU-D/CDS/sg/index.asp?lg=1&amp;sp=2018" TargetMode="External"/><Relationship Id="rId57" Type="http://schemas.openxmlformats.org/officeDocument/2006/relationships/hyperlink" Target="https://www.itu.int/en/council/cwg-internet/Pages/consultation-sep2020.aspx" TargetMode="External"/><Relationship Id="rId10" Type="http://schemas.openxmlformats.org/officeDocument/2006/relationships/hyperlink" Target="https://www.itu.int/en/council/Documents/basic-texts/RES-101-E.pdf" TargetMode="External"/><Relationship Id="rId31" Type="http://schemas.openxmlformats.org/officeDocument/2006/relationships/hyperlink" Target="http://www.itu.int/en/action/internet/Documents/Resolution_45_wtdc14.pdf" TargetMode="External"/><Relationship Id="rId44" Type="http://schemas.openxmlformats.org/officeDocument/2006/relationships/hyperlink" Target="https://www.itu.int/en/ITU-T/focusgroups/ai4ee/Pages/default.aspx" TargetMode="External"/><Relationship Id="rId52" Type="http://schemas.openxmlformats.org/officeDocument/2006/relationships/hyperlink" Target="https://academy.itu.int/index.php?option=com_content&amp;view=article&amp;id=154&amp;Itemid=588&amp;lang=en" TargetMode="External"/><Relationship Id="rId60" Type="http://schemas.openxmlformats.org/officeDocument/2006/relationships/hyperlink" Target="http://www.itu.int/ITU-T/inr/enum/"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0-CL-C-0033/en" TargetMode="External"/><Relationship Id="rId13" Type="http://schemas.openxmlformats.org/officeDocument/2006/relationships/hyperlink" Target="https://www.itu.int/en/council/Documents/basic-texts/RES-180-E.pdf" TargetMode="External"/><Relationship Id="rId18" Type="http://schemas.openxmlformats.org/officeDocument/2006/relationships/hyperlink" Target="https://www.itu.int/pub/T-RES-T.47-2016" TargetMode="External"/><Relationship Id="rId39" Type="http://schemas.openxmlformats.org/officeDocument/2006/relationships/hyperlink" Target="https://www.itu.int/en/ITU-T/ssc/united/Pages/default.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21-RCLINTPOL15-C-0002/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2535</Words>
  <Characters>18556</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ITU Internet activities: Resolutions 101, 102, 133, 180 and 206</vt:lpstr>
    </vt:vector>
  </TitlesOfParts>
  <Manager>General Secretariat - Pool</Manager>
  <Company>International Telecommunication Union (ITU)</Company>
  <LinksUpToDate>false</LinksUpToDate>
  <CharactersWithSpaces>21049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Internet activities: Resolutions 101, 102, 133, 180 and 206</dc:title>
  <dc:subject>Council 2021, Virtual consultation of councillors</dc:subject>
  <dc:creator>Brouard, Ricarda</dc:creator>
  <cp:keywords>C2021, C21, C21/VCC-1</cp:keywords>
  <dc:description/>
  <cp:lastModifiedBy>Brouard, Ricarda</cp:lastModifiedBy>
  <cp:revision>7</cp:revision>
  <cp:lastPrinted>2000-07-18T13:30:00Z</cp:lastPrinted>
  <dcterms:created xsi:type="dcterms:W3CDTF">2021-03-31T08:52:00Z</dcterms:created>
  <dcterms:modified xsi:type="dcterms:W3CDTF">2021-04-07T15:32:00Z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