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E1478BD" w14:textId="77777777">
        <w:trPr>
          <w:cantSplit/>
        </w:trPr>
        <w:tc>
          <w:tcPr>
            <w:tcW w:w="6911" w:type="dxa"/>
          </w:tcPr>
          <w:p w14:paraId="5E3510A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B475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BB475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4CC5638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2D3A43E" wp14:editId="3C50D9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649EF73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68AEB3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502B9CE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1B69D1B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7DE718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176AD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B475B" w:rsidRPr="00732269" w14:paraId="06A121C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9FCBCC" w14:textId="638C045F" w:rsidR="00BB475B" w:rsidRPr="001E6719" w:rsidRDefault="00BB475B" w:rsidP="00BB475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BB475B">
              <w:rPr>
                <w:b/>
                <w:bCs/>
                <w:caps/>
                <w:color w:val="000000"/>
                <w:szCs w:val="22"/>
                <w:lang w:val="en-US"/>
              </w:rPr>
              <w:t>ADM 20</w:t>
            </w:r>
          </w:p>
        </w:tc>
        <w:tc>
          <w:tcPr>
            <w:tcW w:w="3120" w:type="dxa"/>
          </w:tcPr>
          <w:p w14:paraId="1E5A3B49" w14:textId="7226FF92" w:rsidR="00BB475B" w:rsidRPr="001E6719" w:rsidRDefault="00BB475B" w:rsidP="00BB475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64992">
              <w:rPr>
                <w:b/>
                <w:bCs/>
                <w:szCs w:val="22"/>
                <w:lang w:val="ru-RU"/>
              </w:rPr>
              <w:t>C</w:t>
            </w:r>
            <w:r>
              <w:rPr>
                <w:b/>
                <w:bCs/>
                <w:szCs w:val="22"/>
                <w:lang w:val="ru-RU"/>
              </w:rPr>
              <w:t>21</w:t>
            </w:r>
            <w:proofErr w:type="spellEnd"/>
            <w:r w:rsidRPr="00264992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29</w:t>
            </w:r>
            <w:r w:rsidRPr="002649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B475B" w:rsidRPr="00EB4FCB" w14:paraId="74108AAC" w14:textId="77777777">
        <w:trPr>
          <w:cantSplit/>
          <w:trHeight w:val="23"/>
        </w:trPr>
        <w:tc>
          <w:tcPr>
            <w:tcW w:w="6911" w:type="dxa"/>
            <w:vMerge/>
          </w:tcPr>
          <w:p w14:paraId="6E98D8D4" w14:textId="77777777" w:rsidR="00BB475B" w:rsidRPr="001E6719" w:rsidRDefault="00BB475B" w:rsidP="00BB475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8C3368C" w14:textId="4D48D008" w:rsidR="00BB475B" w:rsidRPr="001E6719" w:rsidRDefault="00BB475B" w:rsidP="00BB475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9 марта 2021</w:t>
            </w:r>
            <w:r w:rsidRPr="0026499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B475B" w:rsidRPr="00EB4FCB" w14:paraId="6F51DBBE" w14:textId="77777777">
        <w:trPr>
          <w:cantSplit/>
          <w:trHeight w:val="23"/>
        </w:trPr>
        <w:tc>
          <w:tcPr>
            <w:tcW w:w="6911" w:type="dxa"/>
            <w:vMerge/>
          </w:tcPr>
          <w:p w14:paraId="39A4E564" w14:textId="77777777" w:rsidR="00BB475B" w:rsidRPr="001E6719" w:rsidRDefault="00BB475B" w:rsidP="00BB475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600FF61" w14:textId="22E152EB" w:rsidR="00BB475B" w:rsidRPr="001E6719" w:rsidRDefault="00BB475B" w:rsidP="00BB475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B475B" w:rsidRPr="00EB4FCB" w14:paraId="573C626D" w14:textId="77777777">
        <w:trPr>
          <w:cantSplit/>
        </w:trPr>
        <w:tc>
          <w:tcPr>
            <w:tcW w:w="10031" w:type="dxa"/>
            <w:gridSpan w:val="2"/>
          </w:tcPr>
          <w:p w14:paraId="3267E802" w14:textId="2E658CB6" w:rsidR="00BB475B" w:rsidRPr="00EB4FCB" w:rsidRDefault="00BB475B" w:rsidP="00BB475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64992">
              <w:rPr>
                <w:lang w:val="ru-RU"/>
              </w:rPr>
              <w:t>Отчет Генерального секретаря</w:t>
            </w:r>
          </w:p>
        </w:tc>
      </w:tr>
      <w:tr w:rsidR="00BB475B" w:rsidRPr="00BB475B" w14:paraId="7C88676E" w14:textId="77777777">
        <w:trPr>
          <w:cantSplit/>
        </w:trPr>
        <w:tc>
          <w:tcPr>
            <w:tcW w:w="10031" w:type="dxa"/>
            <w:gridSpan w:val="2"/>
          </w:tcPr>
          <w:p w14:paraId="4298D74C" w14:textId="4390448D" w:rsidR="00BB475B" w:rsidRPr="00EB4FCB" w:rsidRDefault="00BB475B" w:rsidP="00BB475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03F18">
              <w:rPr>
                <w:lang w:val="ru-RU"/>
              </w:rPr>
              <w:t>Стратегия по условиям работы персонала и План реализации</w:t>
            </w:r>
          </w:p>
        </w:tc>
      </w:tr>
      <w:bookmarkEnd w:id="2"/>
    </w:tbl>
    <w:p w14:paraId="17F4EB96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B475B" w14:paraId="493DE5D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EA073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2671E8ED" w14:textId="77777777" w:rsidR="00BB475B" w:rsidRPr="00BB475B" w:rsidRDefault="00BB475B" w:rsidP="00BB475B">
            <w:pPr>
              <w:rPr>
                <w:bCs/>
                <w:szCs w:val="22"/>
                <w:lang w:val="ru-RU"/>
              </w:rPr>
            </w:pPr>
            <w:bookmarkStart w:id="3" w:name="lt_pId016"/>
            <w:r w:rsidRPr="00BB475B">
              <w:rPr>
                <w:bCs/>
                <w:szCs w:val="22"/>
                <w:lang w:val="ru-RU"/>
              </w:rPr>
              <w:t>На своей чрезвычайной сессии в сентябре 2019</w:t>
            </w:r>
            <w:r w:rsidRPr="00BB475B">
              <w:rPr>
                <w:bCs/>
                <w:szCs w:val="22"/>
              </w:rPr>
              <w:t> </w:t>
            </w:r>
            <w:r w:rsidRPr="00BB475B">
              <w:rPr>
                <w:bCs/>
                <w:szCs w:val="22"/>
                <w:lang w:val="ru-RU"/>
              </w:rPr>
              <w:t>года Совет поручил секретариату разработать План реализации ввиду предстоящих изменений условий работы при перемещении всех сотрудников в два этапа, сначала, в 2022 году, из трех зданий штаб-квартиры в два, а затем в новое здание штаб-квартиры в 2026 году.</w:t>
            </w:r>
            <w:bookmarkEnd w:id="3"/>
            <w:r w:rsidRPr="00BB475B">
              <w:rPr>
                <w:bCs/>
                <w:szCs w:val="22"/>
                <w:lang w:val="ru-RU"/>
              </w:rPr>
              <w:t xml:space="preserve"> </w:t>
            </w:r>
            <w:bookmarkStart w:id="4" w:name="lt_pId017"/>
            <w:r w:rsidRPr="00BB475B">
              <w:rPr>
                <w:bCs/>
                <w:szCs w:val="22"/>
                <w:lang w:val="ru-RU"/>
              </w:rPr>
              <w:t>В Решении</w:t>
            </w:r>
            <w:r w:rsidRPr="00BB475B">
              <w:rPr>
                <w:bCs/>
                <w:szCs w:val="22"/>
              </w:rPr>
              <w:t> </w:t>
            </w:r>
            <w:r w:rsidRPr="00BB475B">
              <w:rPr>
                <w:bCs/>
                <w:szCs w:val="22"/>
                <w:lang w:val="ru-RU"/>
              </w:rPr>
              <w:t>619 в рамках косвенных затрат выделен бюджет на эти цели.</w:t>
            </w:r>
            <w:bookmarkEnd w:id="4"/>
          </w:p>
          <w:p w14:paraId="7B018B8F" w14:textId="77777777" w:rsidR="00BB475B" w:rsidRPr="00BB475B" w:rsidRDefault="00BB475B" w:rsidP="00BB475B">
            <w:pPr>
              <w:rPr>
                <w:bCs/>
                <w:szCs w:val="22"/>
                <w:lang w:val="ru-RU"/>
              </w:rPr>
            </w:pPr>
            <w:bookmarkStart w:id="5" w:name="lt_pId018"/>
            <w:r w:rsidRPr="00BB475B">
              <w:rPr>
                <w:szCs w:val="22"/>
                <w:lang w:val="ru-RU"/>
              </w:rPr>
              <w:t>Стратегия по условиям работы персонала и план реализации были представлены вниманию вторых виртуальных консультаций Советников на четвертом заседании 19</w:t>
            </w:r>
            <w:r w:rsidRPr="00BB475B">
              <w:rPr>
                <w:szCs w:val="22"/>
              </w:rPr>
              <w:t> </w:t>
            </w:r>
            <w:r w:rsidRPr="00BB475B">
              <w:rPr>
                <w:szCs w:val="22"/>
                <w:lang w:val="ru-RU"/>
              </w:rPr>
              <w:t>ноября 2020</w:t>
            </w:r>
            <w:r w:rsidRPr="00BB475B">
              <w:rPr>
                <w:szCs w:val="22"/>
              </w:rPr>
              <w:t> </w:t>
            </w:r>
            <w:r w:rsidRPr="00BB475B">
              <w:rPr>
                <w:szCs w:val="22"/>
                <w:lang w:val="ru-RU"/>
              </w:rPr>
              <w:t>года, и затем они обсуждались на двенадцатом собрании Рабочей группы Совета по финансовым и людским ресурсам (</w:t>
            </w:r>
            <w:proofErr w:type="spellStart"/>
            <w:r w:rsidRPr="00BB475B">
              <w:rPr>
                <w:szCs w:val="22"/>
                <w:lang w:val="ru-RU"/>
              </w:rPr>
              <w:t>РГС-ФЛР</w:t>
            </w:r>
            <w:proofErr w:type="spellEnd"/>
            <w:r w:rsidRPr="00BB475B">
              <w:rPr>
                <w:szCs w:val="22"/>
                <w:lang w:val="ru-RU"/>
              </w:rPr>
              <w:t>) в январе</w:t>
            </w:r>
            <w:r w:rsidRPr="00BB475B">
              <w:rPr>
                <w:bCs/>
                <w:szCs w:val="22"/>
                <w:lang w:val="ru-RU"/>
              </w:rPr>
              <w:t xml:space="preserve"> 2021 года.</w:t>
            </w:r>
            <w:bookmarkEnd w:id="5"/>
          </w:p>
          <w:p w14:paraId="0553E763" w14:textId="2200E59D" w:rsidR="00BB475B" w:rsidRPr="00BB475B" w:rsidRDefault="00BB475B" w:rsidP="00BB475B">
            <w:pPr>
              <w:rPr>
                <w:szCs w:val="22"/>
                <w:lang w:val="ru-RU"/>
              </w:rPr>
            </w:pPr>
            <w:bookmarkStart w:id="6" w:name="lt_pId019"/>
            <w:r w:rsidRPr="00BB475B">
              <w:rPr>
                <w:szCs w:val="22"/>
                <w:lang w:val="ru-RU"/>
              </w:rPr>
              <w:t>Для обеспечения необходимых специальных знаний по условиям работы персонала и переходу на современные методы работы в новом контексте 9</w:t>
            </w:r>
            <w:r w:rsidRPr="00BB475B">
              <w:rPr>
                <w:szCs w:val="22"/>
              </w:rPr>
              <w:t> </w:t>
            </w:r>
            <w:r w:rsidRPr="00BB475B">
              <w:rPr>
                <w:szCs w:val="22"/>
                <w:lang w:val="ru-RU"/>
              </w:rPr>
              <w:t>сентября 2020</w:t>
            </w:r>
            <w:r w:rsidRPr="00BB475B">
              <w:rPr>
                <w:szCs w:val="22"/>
              </w:rPr>
              <w:t> </w:t>
            </w:r>
            <w:r w:rsidRPr="00BB475B">
              <w:rPr>
                <w:szCs w:val="22"/>
                <w:lang w:val="ru-RU"/>
              </w:rPr>
              <w:t xml:space="preserve">года было опубликовано объявление о принятии предложений, </w:t>
            </w:r>
            <w:r w:rsidRPr="00BB475B">
              <w:rPr>
                <w:szCs w:val="22"/>
              </w:rPr>
              <w:t>RFP</w:t>
            </w:r>
            <w:r w:rsidRPr="00BB475B">
              <w:rPr>
                <w:szCs w:val="22"/>
                <w:lang w:val="ru-RU"/>
              </w:rPr>
              <w:t>-</w:t>
            </w:r>
            <w:r w:rsidRPr="00BB475B">
              <w:rPr>
                <w:szCs w:val="22"/>
              </w:rPr>
              <w:t>S</w:t>
            </w:r>
            <w:r w:rsidRPr="00BB475B">
              <w:rPr>
                <w:szCs w:val="22"/>
                <w:lang w:val="ru-RU"/>
              </w:rPr>
              <w:t>-</w:t>
            </w:r>
            <w:proofErr w:type="spellStart"/>
            <w:r w:rsidRPr="00BB475B">
              <w:rPr>
                <w:szCs w:val="22"/>
              </w:rPr>
              <w:t>HRMD</w:t>
            </w:r>
            <w:proofErr w:type="spellEnd"/>
            <w:r w:rsidRPr="00BB475B">
              <w:rPr>
                <w:szCs w:val="22"/>
                <w:lang w:val="ru-RU"/>
              </w:rPr>
              <w:t>-</w:t>
            </w:r>
            <w:proofErr w:type="gramStart"/>
            <w:r w:rsidRPr="00BB475B">
              <w:rPr>
                <w:szCs w:val="22"/>
                <w:lang w:val="ru-RU"/>
              </w:rPr>
              <w:t>2020-</w:t>
            </w:r>
            <w:r w:rsidR="00CA37BE">
              <w:rPr>
                <w:szCs w:val="22"/>
                <w:lang w:val="ru-RU"/>
              </w:rPr>
              <w:t>0</w:t>
            </w:r>
            <w:r w:rsidRPr="00BB475B">
              <w:rPr>
                <w:szCs w:val="22"/>
                <w:lang w:val="ru-RU"/>
              </w:rPr>
              <w:t>66</w:t>
            </w:r>
            <w:proofErr w:type="gramEnd"/>
            <w:r w:rsidRPr="00BB475B">
              <w:rPr>
                <w:szCs w:val="22"/>
                <w:lang w:val="ru-RU"/>
              </w:rPr>
              <w:t>, с целью выбора консультационной фирмы для представления стратегии по условиям работы персонала МСЭ и плана ее реализации.</w:t>
            </w:r>
            <w:bookmarkEnd w:id="6"/>
            <w:r w:rsidRPr="00BB475B">
              <w:rPr>
                <w:szCs w:val="22"/>
                <w:lang w:val="ru-RU"/>
              </w:rPr>
              <w:t xml:space="preserve"> </w:t>
            </w:r>
          </w:p>
          <w:p w14:paraId="7EE06CF2" w14:textId="77777777" w:rsidR="00BB475B" w:rsidRPr="00BB475B" w:rsidRDefault="00BB475B" w:rsidP="00BB475B">
            <w:pPr>
              <w:rPr>
                <w:szCs w:val="22"/>
                <w:lang w:val="ru-RU"/>
              </w:rPr>
            </w:pPr>
            <w:bookmarkStart w:id="7" w:name="lt_pId020"/>
            <w:r w:rsidRPr="00BB475B">
              <w:rPr>
                <w:szCs w:val="22"/>
                <w:lang w:val="ru-RU"/>
              </w:rPr>
              <w:t xml:space="preserve">С компанией </w:t>
            </w:r>
            <w:r w:rsidRPr="00BB475B">
              <w:rPr>
                <w:szCs w:val="22"/>
              </w:rPr>
              <w:t>DREES</w:t>
            </w:r>
            <w:r w:rsidRPr="00BB475B">
              <w:rPr>
                <w:szCs w:val="22"/>
                <w:lang w:val="ru-RU"/>
              </w:rPr>
              <w:t xml:space="preserve"> &amp; </w:t>
            </w:r>
            <w:r w:rsidRPr="00BB475B">
              <w:rPr>
                <w:szCs w:val="22"/>
              </w:rPr>
              <w:t>SOMMER</w:t>
            </w:r>
            <w:r w:rsidRPr="00BB475B">
              <w:rPr>
                <w:szCs w:val="22"/>
                <w:lang w:val="ru-RU"/>
              </w:rPr>
              <w:t xml:space="preserve"> </w:t>
            </w:r>
            <w:r w:rsidRPr="00BB475B">
              <w:rPr>
                <w:szCs w:val="22"/>
              </w:rPr>
              <w:t>Schweiz</w:t>
            </w:r>
            <w:r w:rsidRPr="00BB475B">
              <w:rPr>
                <w:szCs w:val="22"/>
                <w:lang w:val="ru-RU"/>
              </w:rPr>
              <w:t xml:space="preserve"> </w:t>
            </w:r>
            <w:r w:rsidRPr="00BB475B">
              <w:rPr>
                <w:szCs w:val="22"/>
              </w:rPr>
              <w:t>AG</w:t>
            </w:r>
            <w:r w:rsidRPr="00BB475B">
              <w:rPr>
                <w:szCs w:val="22"/>
                <w:lang w:val="ru-RU"/>
              </w:rPr>
              <w:t xml:space="preserve"> был заключен контракт на общую сумму 280 150 швейцарских франков.</w:t>
            </w:r>
            <w:bookmarkEnd w:id="7"/>
          </w:p>
          <w:p w14:paraId="414FDF2A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3031312A" w14:textId="4C5AFE6F" w:rsidR="002D2F57" w:rsidRPr="001E6719" w:rsidRDefault="00BB475B">
            <w:pPr>
              <w:rPr>
                <w:szCs w:val="22"/>
                <w:lang w:val="ru-RU"/>
              </w:rPr>
            </w:pPr>
            <w:bookmarkStart w:id="8" w:name="lt_pId022"/>
            <w:r w:rsidRPr="00BB475B">
              <w:rPr>
                <w:szCs w:val="22"/>
                <w:lang w:val="ru-RU"/>
              </w:rPr>
              <w:t xml:space="preserve">Совету предлагается </w:t>
            </w:r>
            <w:r w:rsidRPr="00BB475B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Pr="00BB475B">
              <w:rPr>
                <w:szCs w:val="22"/>
                <w:lang w:val="ru-RU"/>
              </w:rPr>
              <w:t xml:space="preserve">выбор компании </w:t>
            </w:r>
            <w:r w:rsidRPr="00BB475B">
              <w:rPr>
                <w:szCs w:val="22"/>
              </w:rPr>
              <w:t>DREES</w:t>
            </w:r>
            <w:r w:rsidRPr="00BB475B">
              <w:rPr>
                <w:szCs w:val="22"/>
                <w:lang w:val="ru-RU"/>
              </w:rPr>
              <w:t xml:space="preserve"> &amp; </w:t>
            </w:r>
            <w:r w:rsidRPr="00BB475B">
              <w:rPr>
                <w:szCs w:val="22"/>
              </w:rPr>
              <w:t>SOMMER</w:t>
            </w:r>
            <w:r w:rsidRPr="00BB475B">
              <w:rPr>
                <w:szCs w:val="22"/>
                <w:lang w:val="ru-RU"/>
              </w:rPr>
              <w:t xml:space="preserve"> для оказания МСЭ содействия в отношении стратегии по условиям работы персонала и плана ее реализации.</w:t>
            </w:r>
            <w:bookmarkEnd w:id="8"/>
          </w:p>
          <w:p w14:paraId="6A37E91A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7DF68A45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bookmarkStart w:id="9" w:name="lt_pId025"/>
          <w:p w14:paraId="7623749F" w14:textId="64C3B977" w:rsidR="002D2F57" w:rsidRPr="001E6719" w:rsidRDefault="00BB475B" w:rsidP="00BB475B">
            <w:pPr>
              <w:spacing w:after="120"/>
              <w:rPr>
                <w:i/>
                <w:iCs/>
                <w:lang w:val="ru-RU"/>
              </w:rPr>
            </w:pPr>
            <w:r w:rsidRPr="00BB475B">
              <w:rPr>
                <w:i/>
                <w:iCs/>
                <w:szCs w:val="22"/>
              </w:rPr>
              <w:fldChar w:fldCharType="begin"/>
            </w:r>
            <w:r w:rsidRPr="00BB475B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BB475B">
              <w:rPr>
                <w:i/>
                <w:iCs/>
                <w:szCs w:val="22"/>
              </w:rPr>
              <w:instrText>HYPERLINK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BB475B">
              <w:rPr>
                <w:i/>
                <w:iCs/>
                <w:szCs w:val="22"/>
              </w:rPr>
              <w:instrText>https</w:instrText>
            </w:r>
            <w:r w:rsidRPr="00BB475B">
              <w:rPr>
                <w:i/>
                <w:iCs/>
                <w:szCs w:val="22"/>
                <w:lang w:val="ru-RU"/>
              </w:rPr>
              <w:instrText>://</w:instrText>
            </w:r>
            <w:r w:rsidRPr="00BB475B">
              <w:rPr>
                <w:i/>
                <w:iCs/>
                <w:szCs w:val="22"/>
              </w:rPr>
              <w:instrText>www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itu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int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md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S</w:instrText>
            </w:r>
            <w:r w:rsidRPr="00BB475B">
              <w:rPr>
                <w:i/>
                <w:iCs/>
                <w:szCs w:val="22"/>
                <w:lang w:val="ru-RU"/>
              </w:rPr>
              <w:instrText>19-</w:instrText>
            </w:r>
            <w:r w:rsidRPr="00BB475B">
              <w:rPr>
                <w:i/>
                <w:iCs/>
                <w:szCs w:val="22"/>
              </w:rPr>
              <w:instrText>CLADD</w:instrText>
            </w:r>
            <w:r w:rsidRPr="00BB475B">
              <w:rPr>
                <w:i/>
                <w:iCs/>
                <w:szCs w:val="22"/>
                <w:lang w:val="ru-RU"/>
              </w:rPr>
              <w:instrText>-</w:instrText>
            </w:r>
            <w:r w:rsidRPr="00BB475B">
              <w:rPr>
                <w:i/>
                <w:iCs/>
                <w:szCs w:val="22"/>
              </w:rPr>
              <w:instrText>C</w:instrText>
            </w:r>
            <w:r w:rsidRPr="00BB475B">
              <w:rPr>
                <w:i/>
                <w:iCs/>
                <w:szCs w:val="22"/>
                <w:lang w:val="ru-RU"/>
              </w:rPr>
              <w:instrText>-0005/</w:instrText>
            </w:r>
            <w:r w:rsidRPr="00BB475B">
              <w:rPr>
                <w:i/>
                <w:iCs/>
                <w:szCs w:val="22"/>
              </w:rPr>
              <w:instrText>en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BB475B">
              <w:rPr>
                <w:i/>
                <w:iCs/>
                <w:szCs w:val="22"/>
              </w:rPr>
              <w:fldChar w:fldCharType="separate"/>
            </w:r>
            <w:r w:rsidRPr="00BB475B">
              <w:rPr>
                <w:rStyle w:val="Hyperlink"/>
                <w:i/>
                <w:iCs/>
                <w:szCs w:val="22"/>
                <w:lang w:val="ru-RU"/>
              </w:rPr>
              <w:t>Решение 619 Совета</w:t>
            </w:r>
            <w:r w:rsidRPr="00BB475B">
              <w:rPr>
                <w:i/>
                <w:iCs/>
                <w:szCs w:val="22"/>
              </w:rPr>
              <w:fldChar w:fldCharType="end"/>
            </w:r>
            <w:r w:rsidRPr="00BB475B">
              <w:rPr>
                <w:i/>
                <w:iCs/>
                <w:szCs w:val="22"/>
                <w:lang w:val="ru-RU"/>
              </w:rPr>
              <w:t>;</w:t>
            </w:r>
            <w:bookmarkEnd w:id="9"/>
            <w:r w:rsidRPr="00BB475B">
              <w:rPr>
                <w:i/>
                <w:iCs/>
                <w:szCs w:val="22"/>
                <w:lang w:val="ru-RU"/>
              </w:rPr>
              <w:t xml:space="preserve"> </w:t>
            </w:r>
            <w:bookmarkStart w:id="10" w:name="lt_pId026"/>
            <w:r w:rsidRPr="00BB475B">
              <w:rPr>
                <w:i/>
                <w:iCs/>
                <w:szCs w:val="22"/>
              </w:rPr>
              <w:fldChar w:fldCharType="begin"/>
            </w:r>
            <w:r w:rsidRPr="00BB475B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BB475B">
              <w:rPr>
                <w:i/>
                <w:iCs/>
                <w:szCs w:val="22"/>
              </w:rPr>
              <w:instrText>HYPERLINK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BB475B">
              <w:rPr>
                <w:i/>
                <w:iCs/>
                <w:szCs w:val="22"/>
              </w:rPr>
              <w:instrText>https</w:instrText>
            </w:r>
            <w:r w:rsidRPr="00BB475B">
              <w:rPr>
                <w:i/>
                <w:iCs/>
                <w:szCs w:val="22"/>
                <w:lang w:val="ru-RU"/>
              </w:rPr>
              <w:instrText>://</w:instrText>
            </w:r>
            <w:r w:rsidRPr="00BB475B">
              <w:rPr>
                <w:i/>
                <w:iCs/>
                <w:szCs w:val="22"/>
              </w:rPr>
              <w:instrText>www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itu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int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md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S</w:instrText>
            </w:r>
            <w:r w:rsidRPr="00BB475B">
              <w:rPr>
                <w:i/>
                <w:iCs/>
                <w:szCs w:val="22"/>
                <w:lang w:val="ru-RU"/>
              </w:rPr>
              <w:instrText>20-</w:instrText>
            </w:r>
            <w:r w:rsidRPr="00BB475B">
              <w:rPr>
                <w:i/>
                <w:iCs/>
                <w:szCs w:val="22"/>
              </w:rPr>
              <w:instrText>CL</w:instrText>
            </w:r>
            <w:r w:rsidRPr="00BB475B">
              <w:rPr>
                <w:i/>
                <w:iCs/>
                <w:szCs w:val="22"/>
                <w:lang w:val="ru-RU"/>
              </w:rPr>
              <w:instrText>-</w:instrText>
            </w:r>
            <w:r w:rsidRPr="00BB475B">
              <w:rPr>
                <w:i/>
                <w:iCs/>
                <w:szCs w:val="22"/>
              </w:rPr>
              <w:instrText>C</w:instrText>
            </w:r>
            <w:r w:rsidRPr="00BB475B">
              <w:rPr>
                <w:i/>
                <w:iCs/>
                <w:szCs w:val="22"/>
                <w:lang w:val="ru-RU"/>
              </w:rPr>
              <w:instrText>-0029/</w:instrText>
            </w:r>
            <w:r w:rsidRPr="00BB475B">
              <w:rPr>
                <w:i/>
                <w:iCs/>
                <w:szCs w:val="22"/>
              </w:rPr>
              <w:instrText>en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BB475B">
              <w:rPr>
                <w:i/>
                <w:iCs/>
                <w:szCs w:val="22"/>
              </w:rPr>
              <w:fldChar w:fldCharType="separate"/>
            </w:r>
            <w:r w:rsidRPr="00BB475B">
              <w:rPr>
                <w:rStyle w:val="Hyperlink"/>
                <w:i/>
                <w:iCs/>
                <w:szCs w:val="22"/>
              </w:rPr>
              <w:t>C</w:t>
            </w:r>
            <w:r w:rsidRPr="00BB475B">
              <w:rPr>
                <w:rStyle w:val="Hyperlink"/>
                <w:i/>
                <w:iCs/>
                <w:szCs w:val="22"/>
                <w:lang w:val="ru-RU"/>
              </w:rPr>
              <w:t>20/29</w:t>
            </w:r>
            <w:r w:rsidRPr="00BB475B">
              <w:rPr>
                <w:i/>
                <w:iCs/>
                <w:szCs w:val="22"/>
              </w:rPr>
              <w:fldChar w:fldCharType="end"/>
            </w:r>
            <w:r w:rsidRPr="00BB475B">
              <w:rPr>
                <w:i/>
                <w:iCs/>
                <w:szCs w:val="22"/>
                <w:lang w:val="ru-RU"/>
              </w:rPr>
              <w:t>;</w:t>
            </w:r>
            <w:bookmarkEnd w:id="10"/>
            <w:r w:rsidRPr="00BB475B">
              <w:rPr>
                <w:i/>
                <w:iCs/>
                <w:szCs w:val="22"/>
                <w:lang w:val="ru-RU"/>
              </w:rPr>
              <w:t xml:space="preserve"> </w:t>
            </w:r>
            <w:bookmarkStart w:id="11" w:name="lt_pId027"/>
            <w:r w:rsidRPr="00BB475B">
              <w:rPr>
                <w:i/>
                <w:iCs/>
                <w:szCs w:val="22"/>
              </w:rPr>
              <w:fldChar w:fldCharType="begin"/>
            </w:r>
            <w:r w:rsidRPr="00BB475B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BB475B">
              <w:rPr>
                <w:i/>
                <w:iCs/>
                <w:szCs w:val="22"/>
              </w:rPr>
              <w:instrText>HYPERLINK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BB475B">
              <w:rPr>
                <w:i/>
                <w:iCs/>
                <w:szCs w:val="22"/>
              </w:rPr>
              <w:instrText>https</w:instrText>
            </w:r>
            <w:r w:rsidRPr="00BB475B">
              <w:rPr>
                <w:i/>
                <w:iCs/>
                <w:szCs w:val="22"/>
                <w:lang w:val="ru-RU"/>
              </w:rPr>
              <w:instrText>://</w:instrText>
            </w:r>
            <w:r w:rsidRPr="00BB475B">
              <w:rPr>
                <w:i/>
                <w:iCs/>
                <w:szCs w:val="22"/>
              </w:rPr>
              <w:instrText>www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itu</w:instrText>
            </w:r>
            <w:r w:rsidRPr="00BB475B">
              <w:rPr>
                <w:i/>
                <w:iCs/>
                <w:szCs w:val="22"/>
                <w:lang w:val="ru-RU"/>
              </w:rPr>
              <w:instrText>.</w:instrText>
            </w:r>
            <w:r w:rsidRPr="00BB475B">
              <w:rPr>
                <w:i/>
                <w:iCs/>
                <w:szCs w:val="22"/>
              </w:rPr>
              <w:instrText>int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md</w:instrText>
            </w:r>
            <w:r w:rsidRPr="00BB475B">
              <w:rPr>
                <w:i/>
                <w:iCs/>
                <w:szCs w:val="22"/>
                <w:lang w:val="ru-RU"/>
              </w:rPr>
              <w:instrText>/</w:instrText>
            </w:r>
            <w:r w:rsidRPr="00BB475B">
              <w:rPr>
                <w:i/>
                <w:iCs/>
                <w:szCs w:val="22"/>
              </w:rPr>
              <w:instrText>S</w:instrText>
            </w:r>
            <w:r w:rsidRPr="00BB475B">
              <w:rPr>
                <w:i/>
                <w:iCs/>
                <w:szCs w:val="22"/>
                <w:lang w:val="ru-RU"/>
              </w:rPr>
              <w:instrText>20-</w:instrText>
            </w:r>
            <w:r w:rsidRPr="00BB475B">
              <w:rPr>
                <w:i/>
                <w:iCs/>
                <w:szCs w:val="22"/>
              </w:rPr>
              <w:instrText>CL</w:instrText>
            </w:r>
            <w:r w:rsidRPr="00BB475B">
              <w:rPr>
                <w:i/>
                <w:iCs/>
                <w:szCs w:val="22"/>
                <w:lang w:val="ru-RU"/>
              </w:rPr>
              <w:instrText>-</w:instrText>
            </w:r>
            <w:r w:rsidRPr="00BB475B">
              <w:rPr>
                <w:i/>
                <w:iCs/>
                <w:szCs w:val="22"/>
              </w:rPr>
              <w:instrText>INF</w:instrText>
            </w:r>
            <w:r w:rsidRPr="00BB475B">
              <w:rPr>
                <w:i/>
                <w:iCs/>
                <w:szCs w:val="22"/>
                <w:lang w:val="ru-RU"/>
              </w:rPr>
              <w:instrText>-0013/</w:instrText>
            </w:r>
            <w:r w:rsidRPr="00BB475B">
              <w:rPr>
                <w:i/>
                <w:iCs/>
                <w:szCs w:val="22"/>
              </w:rPr>
              <w:instrText>en</w:instrText>
            </w:r>
            <w:r w:rsidRPr="00BB475B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BB475B">
              <w:rPr>
                <w:i/>
                <w:iCs/>
                <w:szCs w:val="22"/>
              </w:rPr>
              <w:fldChar w:fldCharType="separate"/>
            </w:r>
            <w:r w:rsidRPr="00BB475B">
              <w:rPr>
                <w:rStyle w:val="Hyperlink"/>
                <w:i/>
                <w:iCs/>
                <w:szCs w:val="22"/>
              </w:rPr>
              <w:t>C</w:t>
            </w:r>
            <w:r w:rsidRPr="00BB475B">
              <w:rPr>
                <w:rStyle w:val="Hyperlink"/>
                <w:i/>
                <w:iCs/>
                <w:szCs w:val="22"/>
                <w:lang w:val="ru-RU"/>
              </w:rPr>
              <w:t>20/</w:t>
            </w:r>
            <w:r w:rsidRPr="00BB475B">
              <w:rPr>
                <w:rStyle w:val="Hyperlink"/>
                <w:i/>
                <w:iCs/>
                <w:szCs w:val="22"/>
              </w:rPr>
              <w:t>INF</w:t>
            </w:r>
            <w:r w:rsidRPr="00BB475B">
              <w:rPr>
                <w:rStyle w:val="Hyperlink"/>
                <w:i/>
                <w:iCs/>
                <w:szCs w:val="22"/>
                <w:lang w:val="ru-RU"/>
              </w:rPr>
              <w:t>/13</w:t>
            </w:r>
            <w:r w:rsidRPr="00BB475B">
              <w:rPr>
                <w:i/>
                <w:iCs/>
                <w:szCs w:val="22"/>
              </w:rPr>
              <w:fldChar w:fldCharType="end"/>
            </w:r>
            <w:r w:rsidRPr="00BB475B">
              <w:rPr>
                <w:i/>
                <w:iCs/>
                <w:szCs w:val="22"/>
                <w:lang w:val="ru-RU"/>
              </w:rPr>
              <w:t>;</w:t>
            </w:r>
            <w:bookmarkEnd w:id="11"/>
            <w:r w:rsidRPr="00BB475B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bookmarkStart w:id="12" w:name="lt_pId028"/>
              <w:r w:rsidRPr="00BB475B">
                <w:rPr>
                  <w:rStyle w:val="Hyperlink"/>
                  <w:i/>
                  <w:iCs/>
                  <w:szCs w:val="22"/>
                </w:rPr>
                <w:t>C</w:t>
              </w:r>
              <w:r w:rsidRPr="00BB475B">
                <w:rPr>
                  <w:rStyle w:val="Hyperlink"/>
                  <w:i/>
                  <w:iCs/>
                  <w:szCs w:val="22"/>
                  <w:lang w:val="ru-RU"/>
                </w:rPr>
                <w:t>20/</w:t>
              </w:r>
              <w:r w:rsidRPr="00BB475B">
                <w:rPr>
                  <w:rStyle w:val="Hyperlink"/>
                  <w:i/>
                  <w:iCs/>
                  <w:szCs w:val="22"/>
                </w:rPr>
                <w:t>INF</w:t>
              </w:r>
              <w:r w:rsidRPr="00BB475B">
                <w:rPr>
                  <w:rStyle w:val="Hyperlink"/>
                  <w:i/>
                  <w:iCs/>
                  <w:szCs w:val="22"/>
                  <w:lang w:val="ru-RU"/>
                </w:rPr>
                <w:t>/21</w:t>
              </w:r>
              <w:bookmarkEnd w:id="12"/>
            </w:hyperlink>
          </w:p>
        </w:tc>
      </w:tr>
    </w:tbl>
    <w:p w14:paraId="7849AE50" w14:textId="77777777" w:rsidR="00BB475B" w:rsidRDefault="00BB47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B140A7C" w14:textId="77777777" w:rsidR="00BB475B" w:rsidRPr="00BB475B" w:rsidRDefault="00BB475B" w:rsidP="00CA37BE">
      <w:pPr>
        <w:pStyle w:val="Heading1"/>
        <w:rPr>
          <w:lang w:val="ru-RU"/>
        </w:rPr>
      </w:pPr>
      <w:r w:rsidRPr="00BB475B">
        <w:rPr>
          <w:lang w:val="ru-RU"/>
        </w:rPr>
        <w:lastRenderedPageBreak/>
        <w:t>1</w:t>
      </w:r>
      <w:r w:rsidRPr="00BB475B">
        <w:rPr>
          <w:lang w:val="ru-RU"/>
        </w:rPr>
        <w:tab/>
        <w:t>Стратегический контекст</w:t>
      </w:r>
    </w:p>
    <w:p w14:paraId="3AE308F2" w14:textId="06CBE4C1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1</w:t>
      </w:r>
      <w:r w:rsidRPr="00BB475B">
        <w:rPr>
          <w:lang w:val="ru-RU"/>
        </w:rPr>
        <w:tab/>
      </w:r>
      <w:bookmarkStart w:id="13" w:name="lt_pId032"/>
      <w:r w:rsidRPr="00BB475B">
        <w:rPr>
          <w:lang w:val="ru-RU"/>
        </w:rPr>
        <w:t>В мире непредсказуемых и стремительных перемен проблема в области стратегического планирования заключается в том, что, если мы до конца следуем нашему первоначальному плану, мы получим именно то, чего ранее и хотели.</w:t>
      </w:r>
      <w:bookmarkEnd w:id="13"/>
      <w:r w:rsidRPr="00BB475B">
        <w:rPr>
          <w:lang w:val="ru-RU"/>
        </w:rPr>
        <w:t xml:space="preserve"> </w:t>
      </w:r>
      <w:bookmarkStart w:id="14" w:name="lt_pId033"/>
      <w:r w:rsidRPr="00BB475B">
        <w:rPr>
          <w:lang w:val="ru-RU"/>
        </w:rPr>
        <w:t>МСЭ требуется основа для планирования и реализации стратегии по условиям работы персонала и план реализации, достаточно гибкий для адаптации к нашей динамичной среде, но и достаточно целеустремленный для обеспечения современных условий работы.</w:t>
      </w:r>
      <w:bookmarkEnd w:id="14"/>
    </w:p>
    <w:p w14:paraId="32DAF3D9" w14:textId="77777777" w:rsidR="00BB475B" w:rsidRPr="00BB475B" w:rsidRDefault="00BB475B" w:rsidP="00CA37BE">
      <w:pPr>
        <w:pStyle w:val="Heading1"/>
        <w:rPr>
          <w:lang w:val="ru-RU"/>
        </w:rPr>
      </w:pPr>
      <w:bookmarkStart w:id="15" w:name="_Hlk65497424"/>
      <w:r w:rsidRPr="00BB475B">
        <w:rPr>
          <w:lang w:val="ru-RU"/>
        </w:rPr>
        <w:t>2</w:t>
      </w:r>
      <w:r w:rsidRPr="00BB475B">
        <w:rPr>
          <w:lang w:val="ru-RU"/>
        </w:rPr>
        <w:tab/>
      </w:r>
      <w:bookmarkStart w:id="16" w:name="lt_pId035"/>
      <w:r w:rsidRPr="00BB475B">
        <w:t>RFP</w:t>
      </w:r>
      <w:r w:rsidRPr="00BB475B">
        <w:rPr>
          <w:lang w:val="ru-RU"/>
        </w:rPr>
        <w:t>-</w:t>
      </w:r>
      <w:r w:rsidRPr="00BB475B">
        <w:t>S</w:t>
      </w:r>
      <w:r w:rsidRPr="00BB475B">
        <w:rPr>
          <w:lang w:val="ru-RU"/>
        </w:rPr>
        <w:t>-</w:t>
      </w:r>
      <w:proofErr w:type="spellStart"/>
      <w:r w:rsidRPr="00BB475B">
        <w:t>HRMD</w:t>
      </w:r>
      <w:proofErr w:type="spellEnd"/>
      <w:r w:rsidRPr="00BB475B">
        <w:rPr>
          <w:lang w:val="ru-RU"/>
        </w:rPr>
        <w:t>-</w:t>
      </w:r>
      <w:proofErr w:type="gramStart"/>
      <w:r w:rsidRPr="00BB475B">
        <w:rPr>
          <w:lang w:val="ru-RU"/>
        </w:rPr>
        <w:t>2020-066</w:t>
      </w:r>
      <w:proofErr w:type="gramEnd"/>
      <w:r w:rsidRPr="00BB475B">
        <w:rPr>
          <w:lang w:val="ru-RU"/>
        </w:rPr>
        <w:t xml:space="preserve"> по стратегии по условиям работы персонала и плану реализации </w:t>
      </w:r>
      <w:bookmarkEnd w:id="16"/>
    </w:p>
    <w:bookmarkEnd w:id="15"/>
    <w:p w14:paraId="14C98DB2" w14:textId="1139B4C7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2.1</w:t>
      </w:r>
      <w:r w:rsidRPr="00BB475B">
        <w:rPr>
          <w:lang w:val="ru-RU"/>
        </w:rPr>
        <w:tab/>
      </w:r>
      <w:bookmarkStart w:id="17" w:name="lt_pId037"/>
      <w:r w:rsidRPr="00BB475B">
        <w:rPr>
          <w:lang w:val="ru-RU"/>
        </w:rPr>
        <w:t xml:space="preserve">Для обеспечения необходимых специальных знаний с целью ориентации стратегических решений и применения на рабочих местах стратегического опыта, накопленного в рамках осуществления аналогичных проектов в государственном секторе, а также для интеграции полученного в условиях пандемии </w:t>
      </w:r>
      <w:r w:rsidRPr="00BB475B">
        <w:t>COVID</w:t>
      </w:r>
      <w:r w:rsidRPr="00BB475B">
        <w:rPr>
          <w:lang w:val="ru-RU"/>
        </w:rPr>
        <w:t>-19 опыта МСЭ 9</w:t>
      </w:r>
      <w:r w:rsidRPr="00BB475B">
        <w:t> </w:t>
      </w:r>
      <w:r w:rsidRPr="00BB475B">
        <w:rPr>
          <w:lang w:val="ru-RU"/>
        </w:rPr>
        <w:t>сентября 2020</w:t>
      </w:r>
      <w:r w:rsidRPr="00BB475B">
        <w:t> </w:t>
      </w:r>
      <w:r w:rsidRPr="00BB475B">
        <w:rPr>
          <w:lang w:val="ru-RU"/>
        </w:rPr>
        <w:t xml:space="preserve">года опубликовал объявление о принятии предложений, под обозначением </w:t>
      </w:r>
      <w:r w:rsidRPr="00BB475B">
        <w:t>RFP</w:t>
      </w:r>
      <w:r w:rsidRPr="00BB475B">
        <w:rPr>
          <w:lang w:val="ru-RU"/>
        </w:rPr>
        <w:t>-</w:t>
      </w:r>
      <w:r w:rsidRPr="00BB475B">
        <w:t>S</w:t>
      </w:r>
      <w:r w:rsidRPr="00BB475B">
        <w:rPr>
          <w:lang w:val="ru-RU"/>
        </w:rPr>
        <w:t>-</w:t>
      </w:r>
      <w:proofErr w:type="spellStart"/>
      <w:r w:rsidRPr="00BB475B">
        <w:t>HRMD</w:t>
      </w:r>
      <w:proofErr w:type="spellEnd"/>
      <w:r w:rsidRPr="00BB475B">
        <w:rPr>
          <w:lang w:val="ru-RU"/>
        </w:rPr>
        <w:t>-2020-</w:t>
      </w:r>
      <w:r w:rsidR="00CA37BE">
        <w:rPr>
          <w:lang w:val="ru-RU"/>
        </w:rPr>
        <w:t>0</w:t>
      </w:r>
      <w:r w:rsidRPr="00BB475B">
        <w:rPr>
          <w:lang w:val="ru-RU"/>
        </w:rPr>
        <w:t xml:space="preserve">66, с целью выбора внешней консультационной фирмы для представления стратегии и плана реализации ввиду предстоящих изменений условий работы </w:t>
      </w:r>
      <w:r w:rsidRPr="00BB475B">
        <w:rPr>
          <w:bCs/>
          <w:lang w:val="ru-RU"/>
        </w:rPr>
        <w:t>при перемещении всех сотрудников в два этапа, сначала, в 2022 году, из трех зданий штаб-квартиры в два, а затем в новое здание штаб-квартиры в 2026 году</w:t>
      </w:r>
      <w:r w:rsidRPr="00BB475B">
        <w:rPr>
          <w:lang w:val="ru-RU"/>
        </w:rPr>
        <w:t>.</w:t>
      </w:r>
    </w:p>
    <w:bookmarkEnd w:id="17"/>
    <w:p w14:paraId="134DB28B" w14:textId="77777777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2.2</w:t>
      </w:r>
      <w:r w:rsidRPr="00BB475B">
        <w:rPr>
          <w:lang w:val="ru-RU"/>
        </w:rPr>
        <w:tab/>
      </w:r>
      <w:bookmarkStart w:id="18" w:name="lt_pId039"/>
      <w:r w:rsidRPr="00BB475B">
        <w:rPr>
          <w:lang w:val="ru-RU"/>
        </w:rPr>
        <w:t xml:space="preserve">С компанией </w:t>
      </w:r>
      <w:r w:rsidRPr="00BB475B">
        <w:t>DREES</w:t>
      </w:r>
      <w:r w:rsidRPr="00BB475B">
        <w:rPr>
          <w:lang w:val="ru-RU"/>
        </w:rPr>
        <w:t xml:space="preserve"> &amp; </w:t>
      </w:r>
      <w:r w:rsidRPr="00BB475B">
        <w:t>SOMMER</w:t>
      </w:r>
      <w:r w:rsidRPr="00BB475B">
        <w:rPr>
          <w:lang w:val="ru-RU"/>
        </w:rPr>
        <w:t xml:space="preserve"> был заключен контракт на общую сумму 280 150 швейцарских франков.</w:t>
      </w:r>
      <w:bookmarkEnd w:id="18"/>
    </w:p>
    <w:p w14:paraId="26C73FE9" w14:textId="77777777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2.3</w:t>
      </w:r>
      <w:r w:rsidRPr="00BB475B">
        <w:rPr>
          <w:lang w:val="ru-RU"/>
        </w:rPr>
        <w:tab/>
      </w:r>
      <w:bookmarkStart w:id="19" w:name="lt_pId041"/>
      <w:r w:rsidRPr="00BB475B">
        <w:rPr>
          <w:lang w:val="ru-RU"/>
        </w:rPr>
        <w:t xml:space="preserve">Компания </w:t>
      </w:r>
      <w:r w:rsidRPr="00BB475B">
        <w:t>Drees</w:t>
      </w:r>
      <w:r w:rsidRPr="00BB475B">
        <w:rPr>
          <w:lang w:val="ru-RU"/>
        </w:rPr>
        <w:t xml:space="preserve"> &amp; </w:t>
      </w:r>
      <w:r w:rsidRPr="00BB475B">
        <w:t>Sommer</w:t>
      </w:r>
      <w:r w:rsidRPr="00BB475B">
        <w:rPr>
          <w:lang w:val="ru-RU"/>
        </w:rPr>
        <w:t>, учрежденная в 1970</w:t>
      </w:r>
      <w:r w:rsidRPr="00BB475B">
        <w:t> </w:t>
      </w:r>
      <w:r w:rsidRPr="00BB475B">
        <w:rPr>
          <w:lang w:val="ru-RU"/>
        </w:rPr>
        <w:t>году, является одной из ведущих международных консультационных компаний, работающих в секторе строительства и недвижимости, и она известна полномасштабными решениями в таких областях, как концепция рабочего места, управление изменениями, а также стратегии и коммуникации, которые компания разрабатывала на протяжении более 30 лет в рамках более чем 3000 проектов различных экономических масштабов.</w:t>
      </w:r>
      <w:bookmarkEnd w:id="19"/>
      <w:r w:rsidRPr="00BB475B">
        <w:rPr>
          <w:lang w:val="ru-RU"/>
        </w:rPr>
        <w:t xml:space="preserve"> </w:t>
      </w:r>
      <w:bookmarkStart w:id="20" w:name="lt_pId042"/>
      <w:r w:rsidRPr="00BB475B">
        <w:rPr>
          <w:lang w:val="ru-RU"/>
        </w:rPr>
        <w:t>В настоящее время около 3700</w:t>
      </w:r>
      <w:r w:rsidRPr="00BB475B">
        <w:t> </w:t>
      </w:r>
      <w:r w:rsidRPr="00BB475B">
        <w:rPr>
          <w:lang w:val="ru-RU"/>
        </w:rPr>
        <w:t>сотрудников в 43</w:t>
      </w:r>
      <w:r w:rsidRPr="00BB475B">
        <w:t> </w:t>
      </w:r>
      <w:r w:rsidRPr="00BB475B">
        <w:rPr>
          <w:lang w:val="ru-RU"/>
        </w:rPr>
        <w:t>структурах в различных странах управляют широким кругом проектов.</w:t>
      </w:r>
      <w:bookmarkEnd w:id="20"/>
    </w:p>
    <w:p w14:paraId="44EB9713" w14:textId="77777777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2.4</w:t>
      </w:r>
      <w:r w:rsidRPr="00BB475B">
        <w:rPr>
          <w:lang w:val="ru-RU"/>
        </w:rPr>
        <w:tab/>
      </w:r>
      <w:bookmarkStart w:id="21" w:name="lt_pId044"/>
      <w:r w:rsidRPr="00BB475B">
        <w:rPr>
          <w:lang w:val="ru-RU"/>
        </w:rPr>
        <w:t xml:space="preserve">У компании </w:t>
      </w:r>
      <w:r w:rsidRPr="00BB475B">
        <w:t>Drees</w:t>
      </w:r>
      <w:r w:rsidRPr="00BB475B">
        <w:rPr>
          <w:lang w:val="ru-RU"/>
        </w:rPr>
        <w:t xml:space="preserve"> &amp; </w:t>
      </w:r>
      <w:r w:rsidRPr="00BB475B">
        <w:t>Sommer</w:t>
      </w:r>
      <w:r w:rsidRPr="00BB475B">
        <w:rPr>
          <w:lang w:val="ru-RU"/>
        </w:rPr>
        <w:t xml:space="preserve"> </w:t>
      </w:r>
      <w:r w:rsidRPr="00BB475B">
        <w:t>Switzerland</w:t>
      </w:r>
      <w:r w:rsidRPr="00BB475B">
        <w:rPr>
          <w:lang w:val="ru-RU"/>
        </w:rPr>
        <w:t xml:space="preserve"> </w:t>
      </w:r>
      <w:r w:rsidRPr="00BB475B">
        <w:t>AG</w:t>
      </w:r>
      <w:r w:rsidRPr="00BB475B">
        <w:rPr>
          <w:lang w:val="ru-RU"/>
        </w:rPr>
        <w:t>, располагающейся в Базеле, Цюрихе и Лозанне, около 230</w:t>
      </w:r>
      <w:r w:rsidRPr="00BB475B">
        <w:t> </w:t>
      </w:r>
      <w:r w:rsidRPr="00BB475B">
        <w:rPr>
          <w:lang w:val="ru-RU"/>
        </w:rPr>
        <w:t>служащих с разнообразными компетенциями, включая анализ характеристик пользователей и психология занятости.</w:t>
      </w:r>
      <w:bookmarkEnd w:id="21"/>
      <w:r w:rsidRPr="00BB475B">
        <w:rPr>
          <w:lang w:val="ru-RU"/>
        </w:rPr>
        <w:t xml:space="preserve"> </w:t>
      </w:r>
      <w:bookmarkStart w:id="22" w:name="lt_pId045"/>
      <w:r w:rsidRPr="00BB475B">
        <w:rPr>
          <w:lang w:val="ru-RU"/>
        </w:rPr>
        <w:t>Они имеют опыт осуществления многочисленных проектов, наблюдения за рынками и анализа и обладают обширными профессиональными знаниями в областях технической и социальной, общественной и экономической деятельности.</w:t>
      </w:r>
      <w:bookmarkEnd w:id="22"/>
    </w:p>
    <w:p w14:paraId="1D0F8E0B" w14:textId="77777777" w:rsidR="00BB475B" w:rsidRPr="00BB475B" w:rsidRDefault="00BB475B" w:rsidP="00BB475B">
      <w:pPr>
        <w:rPr>
          <w:lang w:val="ru-RU"/>
        </w:rPr>
      </w:pPr>
      <w:r w:rsidRPr="00BB475B">
        <w:rPr>
          <w:lang w:val="ru-RU"/>
        </w:rPr>
        <w:t>2.5</w:t>
      </w:r>
      <w:r w:rsidRPr="00BB475B">
        <w:rPr>
          <w:lang w:val="ru-RU"/>
        </w:rPr>
        <w:tab/>
      </w:r>
      <w:bookmarkStart w:id="23" w:name="lt_pId047"/>
      <w:r w:rsidRPr="00BB475B">
        <w:rPr>
          <w:lang w:val="ru-RU"/>
        </w:rPr>
        <w:t xml:space="preserve">Уделяя основное внимание восприятию конечных пользователей, компания </w:t>
      </w:r>
      <w:r w:rsidRPr="00BB475B">
        <w:t>Drees</w:t>
      </w:r>
      <w:r w:rsidRPr="00BB475B">
        <w:rPr>
          <w:lang w:val="ru-RU"/>
        </w:rPr>
        <w:t xml:space="preserve"> &amp; </w:t>
      </w:r>
      <w:r w:rsidRPr="00BB475B">
        <w:t>Sommer</w:t>
      </w:r>
      <w:r w:rsidRPr="00BB475B">
        <w:rPr>
          <w:lang w:val="ru-RU"/>
        </w:rPr>
        <w:t xml:space="preserve"> будет обеспечивать процесс взаимодействия для наших рабочих мест в новом здании штаб-квартиры МСЭ с целью обеспечения общих позиций, создания благожелательной атмосферы и гарантии заинтересованности персонала.</w:t>
      </w:r>
      <w:bookmarkEnd w:id="23"/>
      <w:r w:rsidRPr="00BB475B">
        <w:rPr>
          <w:lang w:val="ru-RU"/>
        </w:rPr>
        <w:t xml:space="preserve"> </w:t>
      </w:r>
      <w:bookmarkStart w:id="24" w:name="lt_pId048"/>
      <w:r w:rsidRPr="00BB475B">
        <w:rPr>
          <w:lang w:val="ru-RU"/>
        </w:rPr>
        <w:t xml:space="preserve">Будет анализироваться воздействие пандемии </w:t>
      </w:r>
      <w:r w:rsidRPr="00BB475B">
        <w:t>COVID</w:t>
      </w:r>
      <w:r w:rsidRPr="00BB475B">
        <w:rPr>
          <w:lang w:val="ru-RU"/>
        </w:rPr>
        <w:t>-19 и ее последствий для рабочей среды МСЭ в будущем.</w:t>
      </w:r>
      <w:bookmarkEnd w:id="24"/>
      <w:r w:rsidRPr="00BB475B">
        <w:rPr>
          <w:lang w:val="ru-RU"/>
        </w:rPr>
        <w:t xml:space="preserve"> </w:t>
      </w:r>
      <w:bookmarkStart w:id="25" w:name="lt_pId049"/>
      <w:r w:rsidRPr="00BB475B">
        <w:rPr>
          <w:lang w:val="ru-RU"/>
        </w:rPr>
        <w:t xml:space="preserve">Компания </w:t>
      </w:r>
      <w:r w:rsidRPr="00BB475B">
        <w:t>Drees</w:t>
      </w:r>
      <w:r w:rsidRPr="00BB475B">
        <w:rPr>
          <w:lang w:val="ru-RU"/>
        </w:rPr>
        <w:t xml:space="preserve"> &amp; </w:t>
      </w:r>
      <w:r w:rsidRPr="00BB475B">
        <w:t>Sommer</w:t>
      </w:r>
      <w:r w:rsidRPr="00BB475B">
        <w:rPr>
          <w:lang w:val="ru-RU"/>
        </w:rPr>
        <w:t xml:space="preserve"> будет внедрять концепцию управления изменениями, в том числе проведет ряд семинаров-практикумов, а также обеспечит систему, куда войдут все заинтересованные стороны (руководство высшего и среднего звеньев, члены и представители персонала).</w:t>
      </w:r>
      <w:bookmarkEnd w:id="25"/>
      <w:r w:rsidRPr="00BB475B">
        <w:rPr>
          <w:lang w:val="ru-RU"/>
        </w:rPr>
        <w:t xml:space="preserve"> </w:t>
      </w:r>
      <w:bookmarkStart w:id="26" w:name="lt_pId050"/>
      <w:r w:rsidRPr="00BB475B">
        <w:rPr>
          <w:lang w:val="ru-RU"/>
        </w:rPr>
        <w:t>Будет составлен и выполнен план коммуникаций вместе с проектной группой МСЭ.</w:t>
      </w:r>
      <w:bookmarkEnd w:id="26"/>
    </w:p>
    <w:p w14:paraId="12F1F1D5" w14:textId="77777777" w:rsidR="00BB475B" w:rsidRDefault="00BB475B" w:rsidP="00BB475B">
      <w:pPr>
        <w:spacing w:before="720"/>
        <w:jc w:val="center"/>
      </w:pPr>
      <w:r>
        <w:t>______________</w:t>
      </w:r>
    </w:p>
    <w:sectPr w:rsidR="00BB475B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3A2F3" w14:textId="77777777" w:rsidR="00BB475B" w:rsidRDefault="00BB475B">
      <w:r>
        <w:separator/>
      </w:r>
    </w:p>
  </w:endnote>
  <w:endnote w:type="continuationSeparator" w:id="0">
    <w:p w14:paraId="311F9A02" w14:textId="77777777" w:rsidR="00BB475B" w:rsidRDefault="00BB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5AEDA" w14:textId="5C122A30" w:rsidR="000E568E" w:rsidRPr="00CA37BE" w:rsidRDefault="00BB475B" w:rsidP="00BB475B">
    <w:pPr>
      <w:pStyle w:val="Footer"/>
      <w:rPr>
        <w:sz w:val="18"/>
        <w:szCs w:val="18"/>
      </w:rPr>
    </w:pPr>
    <w:fldSimple w:instr=" FILENAME \p  \* MERGEFORMAT ">
      <w:r w:rsidR="00CA37BE">
        <w:t>P:\RUS\SG\CONSEIL\C21\000\029R.DOCX</w:t>
      </w:r>
    </w:fldSimple>
    <w:r>
      <w:t xml:space="preserve"> (</w:t>
    </w:r>
    <w:r w:rsidRPr="00BB475B">
      <w:t>483225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F08F" w14:textId="0615304C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04F6C74" w14:textId="69737D05" w:rsidR="00BB475B" w:rsidRPr="00CA37BE" w:rsidRDefault="00BB475B" w:rsidP="00BB475B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A37BE">
      <w:t>P:\RUS\SG\CONSEIL\C21\000\029R.DOCX</w:t>
    </w:r>
    <w:r>
      <w:fldChar w:fldCharType="end"/>
    </w:r>
    <w:r>
      <w:t xml:space="preserve"> (</w:t>
    </w:r>
    <w:r w:rsidRPr="00BB475B">
      <w:t>483225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A4CA3" w14:textId="77777777" w:rsidR="00BB475B" w:rsidRDefault="00BB475B">
      <w:r>
        <w:t>____________________</w:t>
      </w:r>
    </w:p>
  </w:footnote>
  <w:footnote w:type="continuationSeparator" w:id="0">
    <w:p w14:paraId="2EF23105" w14:textId="77777777" w:rsidR="00BB475B" w:rsidRDefault="00BB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6AA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76537415" w14:textId="1FF03A93" w:rsidR="000E568E" w:rsidRDefault="000E568E" w:rsidP="005B3DEC">
    <w:pPr>
      <w:pStyle w:val="Header"/>
      <w:spacing w:after="480"/>
    </w:pPr>
    <w:proofErr w:type="spellStart"/>
    <w:r>
      <w:t>C</w:t>
    </w:r>
    <w:r w:rsidR="00442515">
      <w:t>2</w:t>
    </w:r>
    <w:r w:rsidR="001E7F50">
      <w:t>1</w:t>
    </w:r>
    <w:proofErr w:type="spellEnd"/>
    <w:r>
      <w:t>/</w:t>
    </w:r>
    <w:r w:rsidR="00BB475B">
      <w:t>29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5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90BE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B475B"/>
    <w:rsid w:val="00BC0D39"/>
    <w:rsid w:val="00BC7BC0"/>
    <w:rsid w:val="00BD57B7"/>
    <w:rsid w:val="00BE63E2"/>
    <w:rsid w:val="00CA37BE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25A65"/>
  <w15:docId w15:val="{2A82735F-E1EB-4CD6-90D5-6DCD347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BB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INF-0021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14</TotalTime>
  <Pages>2</Pages>
  <Words>641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2</cp:revision>
  <cp:lastPrinted>2006-03-28T16:12:00Z</cp:lastPrinted>
  <dcterms:created xsi:type="dcterms:W3CDTF">2021-03-22T14:35:00Z</dcterms:created>
  <dcterms:modified xsi:type="dcterms:W3CDTF">2021-03-22T14:51:00Z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