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290728" w:rsidRPr="00290728" w14:paraId="34B1E2BD" w14:textId="77777777" w:rsidTr="006C7CC0">
        <w:trPr>
          <w:cantSplit/>
          <w:trHeight w:val="20"/>
        </w:trPr>
        <w:tc>
          <w:tcPr>
            <w:tcW w:w="6620" w:type="dxa"/>
          </w:tcPr>
          <w:p w14:paraId="0B8BFDFE" w14:textId="77777777" w:rsidR="00290728" w:rsidRPr="00290728" w:rsidRDefault="00290728" w:rsidP="0026373E">
            <w:pPr>
              <w:spacing w:before="240"/>
              <w:jc w:val="left"/>
              <w:rPr>
                <w:b/>
                <w:bCs/>
                <w:rtl/>
                <w:lang w:bidi="ar-EG"/>
              </w:rPr>
            </w:pPr>
            <w:proofErr w:type="spellStart"/>
            <w:r w:rsidRPr="006A793B">
              <w:rPr>
                <w:rFonts w:hint="cs"/>
                <w:b/>
                <w:bCs/>
                <w:w w:val="110"/>
                <w:sz w:val="30"/>
                <w:szCs w:val="30"/>
                <w:rtl/>
                <w:lang w:bidi="ar-EG"/>
              </w:rPr>
              <w:t>ال‍مجلس</w:t>
            </w:r>
            <w:proofErr w:type="spellEnd"/>
            <w:r w:rsidRPr="006A793B">
              <w:rPr>
                <w:rFonts w:hint="cs"/>
                <w:b/>
                <w:bCs/>
                <w:w w:val="110"/>
                <w:sz w:val="30"/>
                <w:szCs w:val="30"/>
                <w:rtl/>
                <w:lang w:bidi="ar-EG"/>
              </w:rPr>
              <w:t xml:space="preserve"> </w:t>
            </w:r>
            <w:r w:rsidR="006A793B" w:rsidRPr="006A793B">
              <w:rPr>
                <w:b/>
                <w:bCs/>
                <w:w w:val="110"/>
                <w:sz w:val="30"/>
                <w:szCs w:val="30"/>
                <w:lang w:bidi="ar-SY"/>
              </w:rPr>
              <w:t>202</w:t>
            </w:r>
            <w:r w:rsidR="00C566BA">
              <w:rPr>
                <w:b/>
                <w:bCs/>
                <w:w w:val="110"/>
                <w:sz w:val="30"/>
                <w:szCs w:val="30"/>
                <w:lang w:bidi="ar-SY"/>
              </w:rPr>
              <w:t>1</w:t>
            </w:r>
            <w:r w:rsidR="00C002DE" w:rsidRPr="006A793B">
              <w:rPr>
                <w:b/>
                <w:bCs/>
                <w:w w:val="110"/>
                <w:sz w:val="30"/>
                <w:szCs w:val="30"/>
                <w:rtl/>
                <w:lang w:bidi="ar-SY"/>
              </w:rPr>
              <w:br/>
            </w:r>
            <w:r w:rsidR="00C67A87">
              <w:rPr>
                <w:rFonts w:hint="cs"/>
                <w:b/>
                <w:bCs/>
                <w:sz w:val="24"/>
                <w:szCs w:val="24"/>
                <w:rtl/>
                <w:lang w:bidi="ar-EG"/>
              </w:rPr>
              <w:t>المشاورة الافتراضية لأعضاء المجلس</w:t>
            </w:r>
            <w:r w:rsidRPr="0026373E">
              <w:rPr>
                <w:rFonts w:hint="cs"/>
                <w:b/>
                <w:bCs/>
                <w:sz w:val="24"/>
                <w:szCs w:val="24"/>
                <w:rtl/>
                <w:lang w:bidi="ar-EG"/>
              </w:rPr>
              <w:t xml:space="preserve">، </w:t>
            </w:r>
            <w:r w:rsidR="00C566BA">
              <w:rPr>
                <w:b/>
                <w:bCs/>
                <w:sz w:val="24"/>
                <w:szCs w:val="24"/>
                <w:lang w:bidi="ar-SY"/>
              </w:rPr>
              <w:t>18-8</w:t>
            </w:r>
            <w:r w:rsidR="00DC1E02" w:rsidRPr="0026373E">
              <w:rPr>
                <w:rFonts w:hint="cs"/>
                <w:b/>
                <w:bCs/>
                <w:sz w:val="24"/>
                <w:szCs w:val="24"/>
                <w:rtl/>
                <w:lang w:bidi="ar-EG"/>
              </w:rPr>
              <w:t xml:space="preserve"> </w:t>
            </w:r>
            <w:r w:rsidR="0082358A" w:rsidRPr="0026373E">
              <w:rPr>
                <w:rFonts w:hint="cs"/>
                <w:b/>
                <w:bCs/>
                <w:sz w:val="24"/>
                <w:szCs w:val="24"/>
                <w:rtl/>
                <w:lang w:bidi="ar-EG"/>
              </w:rPr>
              <w:t>يونيو</w:t>
            </w:r>
            <w:r w:rsidR="00DC1E02" w:rsidRPr="0026373E">
              <w:rPr>
                <w:rFonts w:hint="cs"/>
                <w:b/>
                <w:bCs/>
                <w:sz w:val="24"/>
                <w:szCs w:val="24"/>
                <w:rtl/>
                <w:lang w:bidi="ar-EG"/>
              </w:rPr>
              <w:t xml:space="preserve"> </w:t>
            </w:r>
            <w:r w:rsidR="00C566BA">
              <w:rPr>
                <w:b/>
                <w:bCs/>
                <w:sz w:val="24"/>
                <w:szCs w:val="24"/>
                <w:lang w:bidi="ar-EG"/>
              </w:rPr>
              <w:t>2021</w:t>
            </w:r>
          </w:p>
        </w:tc>
        <w:tc>
          <w:tcPr>
            <w:tcW w:w="3052" w:type="dxa"/>
          </w:tcPr>
          <w:p w14:paraId="149BB66B" w14:textId="77777777" w:rsidR="00290728" w:rsidRPr="00290728" w:rsidRDefault="006A793B" w:rsidP="0015650C">
            <w:pPr>
              <w:spacing w:before="0" w:line="240" w:lineRule="auto"/>
              <w:jc w:val="left"/>
              <w:rPr>
                <w:rtl/>
                <w:lang w:bidi="ar-EG"/>
              </w:rPr>
            </w:pPr>
            <w:bookmarkStart w:id="0" w:name="ditulogo"/>
            <w:bookmarkEnd w:id="0"/>
            <w:r>
              <w:rPr>
                <w:noProof/>
              </w:rPr>
              <w:drawing>
                <wp:inline distT="0" distB="0" distL="0" distR="0" wp14:anchorId="0321C1AE" wp14:editId="410FF42C">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90728" w:rsidRPr="00290728" w14:paraId="64FA1E0C" w14:textId="77777777" w:rsidTr="009F66A8">
        <w:trPr>
          <w:cantSplit/>
          <w:trHeight w:val="20"/>
        </w:trPr>
        <w:tc>
          <w:tcPr>
            <w:tcW w:w="6620" w:type="dxa"/>
            <w:tcBorders>
              <w:bottom w:val="single" w:sz="12" w:space="0" w:color="auto"/>
            </w:tcBorders>
          </w:tcPr>
          <w:p w14:paraId="27544B85" w14:textId="77777777" w:rsidR="00290728" w:rsidRPr="006A793B" w:rsidRDefault="00290728" w:rsidP="006A793B">
            <w:pPr>
              <w:spacing w:before="0" w:line="120" w:lineRule="auto"/>
              <w:rPr>
                <w:rtl/>
                <w:lang w:bidi="ar-EG"/>
              </w:rPr>
            </w:pPr>
          </w:p>
        </w:tc>
        <w:tc>
          <w:tcPr>
            <w:tcW w:w="3052" w:type="dxa"/>
            <w:tcBorders>
              <w:bottom w:val="single" w:sz="12" w:space="0" w:color="auto"/>
            </w:tcBorders>
          </w:tcPr>
          <w:p w14:paraId="67E20581" w14:textId="77777777" w:rsidR="00290728" w:rsidRPr="006A793B" w:rsidRDefault="00290728" w:rsidP="006A793B">
            <w:pPr>
              <w:spacing w:before="0" w:line="120" w:lineRule="auto"/>
              <w:rPr>
                <w:lang w:bidi="ar-EG"/>
              </w:rPr>
            </w:pPr>
          </w:p>
        </w:tc>
      </w:tr>
      <w:tr w:rsidR="00290728" w:rsidRPr="00290728" w14:paraId="07EABC3D" w14:textId="77777777" w:rsidTr="009F66A8">
        <w:trPr>
          <w:cantSplit/>
          <w:trHeight w:val="20"/>
        </w:trPr>
        <w:tc>
          <w:tcPr>
            <w:tcW w:w="6620" w:type="dxa"/>
            <w:tcBorders>
              <w:top w:val="single" w:sz="12" w:space="0" w:color="auto"/>
            </w:tcBorders>
          </w:tcPr>
          <w:p w14:paraId="6A5F99AF" w14:textId="77777777" w:rsidR="00290728" w:rsidRPr="00290728" w:rsidRDefault="00290728" w:rsidP="00290728">
            <w:pPr>
              <w:spacing w:before="60" w:after="60" w:line="260" w:lineRule="exact"/>
              <w:rPr>
                <w:b/>
                <w:bCs/>
                <w:rtl/>
                <w:lang w:bidi="ar-EG"/>
              </w:rPr>
            </w:pPr>
          </w:p>
        </w:tc>
        <w:tc>
          <w:tcPr>
            <w:tcW w:w="3052" w:type="dxa"/>
            <w:tcBorders>
              <w:top w:val="single" w:sz="12" w:space="0" w:color="auto"/>
            </w:tcBorders>
          </w:tcPr>
          <w:p w14:paraId="7097BAEB" w14:textId="77777777" w:rsidR="00290728" w:rsidRPr="00290728" w:rsidRDefault="00290728" w:rsidP="00290728">
            <w:pPr>
              <w:spacing w:before="60" w:after="60" w:line="260" w:lineRule="exact"/>
              <w:rPr>
                <w:b/>
                <w:bCs/>
                <w:lang w:bidi="ar-SY"/>
              </w:rPr>
            </w:pPr>
          </w:p>
        </w:tc>
      </w:tr>
      <w:tr w:rsidR="0015650C" w:rsidRPr="00290728" w14:paraId="3973954F" w14:textId="77777777" w:rsidTr="009F66A8">
        <w:trPr>
          <w:cantSplit/>
        </w:trPr>
        <w:tc>
          <w:tcPr>
            <w:tcW w:w="6620" w:type="dxa"/>
            <w:vMerge w:val="restart"/>
          </w:tcPr>
          <w:p w14:paraId="7AB8979F" w14:textId="1CDC68F7" w:rsidR="005805EA" w:rsidRPr="0029717E" w:rsidRDefault="005805EA" w:rsidP="003C6B4F">
            <w:pPr>
              <w:spacing w:before="20" w:after="20" w:line="300" w:lineRule="exact"/>
              <w:rPr>
                <w:b/>
                <w:bCs/>
                <w:rtl/>
                <w:lang w:bidi="ar-EG"/>
              </w:rPr>
            </w:pPr>
            <w:r w:rsidRPr="0029717E">
              <w:rPr>
                <w:rFonts w:hint="cs"/>
                <w:b/>
                <w:bCs/>
                <w:rtl/>
                <w:lang w:bidi="ar-EG"/>
              </w:rPr>
              <w:t xml:space="preserve">بند جدول الأعمال: </w:t>
            </w:r>
            <w:r w:rsidRPr="0029717E">
              <w:rPr>
                <w:b/>
                <w:bCs/>
                <w:lang w:bidi="ar-EG"/>
              </w:rPr>
              <w:t>PL </w:t>
            </w:r>
            <w:r w:rsidR="0029717E">
              <w:rPr>
                <w:b/>
                <w:bCs/>
                <w:lang w:bidi="ar-EG"/>
              </w:rPr>
              <w:t>1.7</w:t>
            </w:r>
          </w:p>
        </w:tc>
        <w:tc>
          <w:tcPr>
            <w:tcW w:w="3052" w:type="dxa"/>
            <w:vAlign w:val="center"/>
          </w:tcPr>
          <w:p w14:paraId="169DA946" w14:textId="2E0B3F41" w:rsidR="0015650C" w:rsidRPr="002F71D8" w:rsidRDefault="0015650C" w:rsidP="003C6B4F">
            <w:pPr>
              <w:spacing w:before="20" w:after="20" w:line="300" w:lineRule="exact"/>
              <w:rPr>
                <w:b/>
                <w:bCs/>
                <w:lang w:bidi="ar-SY"/>
              </w:rPr>
            </w:pPr>
            <w:r w:rsidRPr="002F71D8">
              <w:rPr>
                <w:rFonts w:hint="cs"/>
                <w:b/>
                <w:bCs/>
                <w:rtl/>
                <w:lang w:bidi="ar-EG"/>
              </w:rPr>
              <w:t xml:space="preserve">الوثيقة </w:t>
            </w:r>
            <w:r w:rsidRPr="002F71D8">
              <w:rPr>
                <w:b/>
                <w:bCs/>
                <w:lang w:bidi="ar-SY"/>
              </w:rPr>
              <w:t>C2</w:t>
            </w:r>
            <w:r>
              <w:rPr>
                <w:b/>
                <w:bCs/>
                <w:lang w:bidi="ar-SY"/>
              </w:rPr>
              <w:t>1</w:t>
            </w:r>
            <w:r w:rsidRPr="002F71D8">
              <w:rPr>
                <w:b/>
                <w:bCs/>
                <w:lang w:bidi="ar-SY"/>
              </w:rPr>
              <w:t>/</w:t>
            </w:r>
            <w:r w:rsidR="0029717E">
              <w:rPr>
                <w:b/>
                <w:bCs/>
                <w:lang w:bidi="ar-SY"/>
              </w:rPr>
              <w:t>26</w:t>
            </w:r>
            <w:r w:rsidRPr="002F71D8">
              <w:rPr>
                <w:b/>
                <w:bCs/>
                <w:lang w:bidi="ar-SY"/>
              </w:rPr>
              <w:t>-A</w:t>
            </w:r>
          </w:p>
        </w:tc>
      </w:tr>
      <w:tr w:rsidR="0015650C" w:rsidRPr="00290728" w14:paraId="1661E783" w14:textId="77777777" w:rsidTr="009F66A8">
        <w:trPr>
          <w:cantSplit/>
        </w:trPr>
        <w:tc>
          <w:tcPr>
            <w:tcW w:w="6620" w:type="dxa"/>
            <w:vMerge/>
          </w:tcPr>
          <w:p w14:paraId="2233B7FD" w14:textId="77777777" w:rsidR="0015650C" w:rsidRPr="002F71D8" w:rsidRDefault="0015650C" w:rsidP="003C6B4F">
            <w:pPr>
              <w:spacing w:before="20" w:after="20" w:line="300" w:lineRule="exact"/>
              <w:rPr>
                <w:b/>
                <w:bCs/>
                <w:lang w:bidi="ar-SY"/>
              </w:rPr>
            </w:pPr>
          </w:p>
        </w:tc>
        <w:tc>
          <w:tcPr>
            <w:tcW w:w="3052" w:type="dxa"/>
            <w:vAlign w:val="center"/>
          </w:tcPr>
          <w:p w14:paraId="352638E8" w14:textId="05C70AC3" w:rsidR="0015650C" w:rsidRPr="002F71D8" w:rsidRDefault="0029717E" w:rsidP="003C6B4F">
            <w:pPr>
              <w:spacing w:before="20" w:after="20" w:line="300" w:lineRule="exact"/>
              <w:rPr>
                <w:b/>
                <w:bCs/>
                <w:rtl/>
                <w:lang w:bidi="ar-EG"/>
              </w:rPr>
            </w:pPr>
            <w:r>
              <w:rPr>
                <w:b/>
                <w:bCs/>
                <w:lang w:bidi="ar-SY"/>
              </w:rPr>
              <w:t>22</w:t>
            </w:r>
            <w:r w:rsidR="0015650C" w:rsidRPr="002F71D8">
              <w:rPr>
                <w:rFonts w:hint="cs"/>
                <w:b/>
                <w:bCs/>
                <w:rtl/>
                <w:lang w:bidi="ar-EG"/>
              </w:rPr>
              <w:t xml:space="preserve"> </w:t>
            </w:r>
            <w:r>
              <w:rPr>
                <w:rFonts w:hint="cs"/>
                <w:b/>
                <w:bCs/>
                <w:rtl/>
                <w:lang w:bidi="ar-EG"/>
              </w:rPr>
              <w:t>أبريل</w:t>
            </w:r>
            <w:r w:rsidR="0015650C" w:rsidRPr="002F71D8">
              <w:rPr>
                <w:rFonts w:hint="cs"/>
                <w:b/>
                <w:bCs/>
                <w:rtl/>
                <w:lang w:bidi="ar-EG"/>
              </w:rPr>
              <w:t xml:space="preserve"> </w:t>
            </w:r>
            <w:r w:rsidR="0015650C" w:rsidRPr="002F71D8">
              <w:rPr>
                <w:b/>
                <w:bCs/>
                <w:lang w:bidi="ar-SY"/>
              </w:rPr>
              <w:t>202</w:t>
            </w:r>
            <w:r w:rsidR="0015650C">
              <w:rPr>
                <w:b/>
                <w:bCs/>
                <w:lang w:bidi="ar-SY"/>
              </w:rPr>
              <w:t>1</w:t>
            </w:r>
          </w:p>
        </w:tc>
      </w:tr>
      <w:tr w:rsidR="0015650C" w:rsidRPr="00290728" w14:paraId="1ACB2AAB" w14:textId="77777777" w:rsidTr="009F66A8">
        <w:trPr>
          <w:cantSplit/>
        </w:trPr>
        <w:tc>
          <w:tcPr>
            <w:tcW w:w="6620" w:type="dxa"/>
            <w:vMerge/>
          </w:tcPr>
          <w:p w14:paraId="44FB4E27" w14:textId="77777777" w:rsidR="0015650C" w:rsidRPr="002F71D8" w:rsidRDefault="0015650C" w:rsidP="003C6B4F">
            <w:pPr>
              <w:spacing w:before="20" w:after="20" w:line="300" w:lineRule="exact"/>
              <w:rPr>
                <w:b/>
                <w:bCs/>
                <w:lang w:bidi="ar-EG"/>
              </w:rPr>
            </w:pPr>
          </w:p>
        </w:tc>
        <w:tc>
          <w:tcPr>
            <w:tcW w:w="3052" w:type="dxa"/>
            <w:vAlign w:val="center"/>
          </w:tcPr>
          <w:p w14:paraId="77F20588" w14:textId="77777777" w:rsidR="0015650C" w:rsidRPr="002F71D8" w:rsidRDefault="0015650C" w:rsidP="003C6B4F">
            <w:pPr>
              <w:spacing w:before="20" w:after="20" w:line="300" w:lineRule="exact"/>
              <w:rPr>
                <w:b/>
                <w:bCs/>
                <w:lang w:bidi="ar-SY"/>
              </w:rPr>
            </w:pPr>
            <w:r w:rsidRPr="002F71D8">
              <w:rPr>
                <w:b/>
                <w:bCs/>
                <w:rtl/>
                <w:lang w:bidi="ar-EG"/>
              </w:rPr>
              <w:t xml:space="preserve">الأصل: </w:t>
            </w:r>
            <w:r w:rsidRPr="0029717E">
              <w:rPr>
                <w:rFonts w:hint="cs"/>
                <w:b/>
                <w:bCs/>
                <w:rtl/>
                <w:lang w:bidi="ar-EG"/>
              </w:rPr>
              <w:t>بالإنكليزية</w:t>
            </w:r>
          </w:p>
        </w:tc>
      </w:tr>
      <w:tr w:rsidR="00290728" w:rsidRPr="00290728" w14:paraId="08FB7CD3" w14:textId="77777777" w:rsidTr="009F66A8">
        <w:trPr>
          <w:cantSplit/>
        </w:trPr>
        <w:tc>
          <w:tcPr>
            <w:tcW w:w="9672" w:type="dxa"/>
            <w:gridSpan w:val="2"/>
          </w:tcPr>
          <w:p w14:paraId="7F30AA20" w14:textId="3FF47E82" w:rsidR="00290728" w:rsidRPr="00290728" w:rsidRDefault="00290728" w:rsidP="0029717E">
            <w:pPr>
              <w:rPr>
                <w:rtl/>
                <w:lang w:bidi="ar-EG"/>
              </w:rPr>
            </w:pPr>
          </w:p>
        </w:tc>
      </w:tr>
      <w:tr w:rsidR="00290728" w:rsidRPr="00290728" w14:paraId="47C88725" w14:textId="77777777" w:rsidTr="009F66A8">
        <w:trPr>
          <w:cantSplit/>
        </w:trPr>
        <w:tc>
          <w:tcPr>
            <w:tcW w:w="9672" w:type="dxa"/>
            <w:gridSpan w:val="2"/>
          </w:tcPr>
          <w:p w14:paraId="32F04D0C" w14:textId="06003067" w:rsidR="00290728" w:rsidRPr="00383829" w:rsidRDefault="0029717E" w:rsidP="0029717E">
            <w:pPr>
              <w:pStyle w:val="Title1"/>
              <w:rPr>
                <w:rtl/>
              </w:rPr>
            </w:pPr>
            <w:r w:rsidRPr="0029717E">
              <w:rPr>
                <w:rtl/>
                <w:lang w:bidi="ar-EG"/>
              </w:rPr>
              <w:t xml:space="preserve">تقرير مرحلي </w:t>
            </w:r>
            <w:r w:rsidRPr="0029717E">
              <w:rPr>
                <w:rFonts w:hint="cs"/>
                <w:rtl/>
                <w:lang w:bidi="ar-EG"/>
              </w:rPr>
              <w:t>مقدّم من</w:t>
            </w:r>
            <w:r w:rsidRPr="0029717E">
              <w:rPr>
                <w:rtl/>
                <w:lang w:bidi="ar-EG"/>
              </w:rPr>
              <w:br/>
            </w:r>
            <w:r w:rsidRPr="0029717E">
              <w:rPr>
                <w:rFonts w:hint="cs"/>
                <w:rtl/>
                <w:lang w:bidi="ar-EG"/>
              </w:rPr>
              <w:t xml:space="preserve">رئيس </w:t>
            </w:r>
            <w:r w:rsidRPr="0029717E">
              <w:rPr>
                <w:rtl/>
                <w:lang w:bidi="ar-SY"/>
              </w:rPr>
              <w:t xml:space="preserve">فريق الخبراء المعني بلوائح الاتصالات الدولية </w:t>
            </w:r>
            <w:r w:rsidRPr="0029717E">
              <w:t>(EG-ITR)</w:t>
            </w:r>
          </w:p>
        </w:tc>
      </w:tr>
      <w:tr w:rsidR="00DC5FB0" w:rsidRPr="00290728" w14:paraId="4FA46C03" w14:textId="77777777" w:rsidTr="009F66A8">
        <w:trPr>
          <w:cantSplit/>
        </w:trPr>
        <w:tc>
          <w:tcPr>
            <w:tcW w:w="9672" w:type="dxa"/>
            <w:gridSpan w:val="2"/>
          </w:tcPr>
          <w:p w14:paraId="72F582B6" w14:textId="77777777" w:rsidR="00DC5FB0" w:rsidRPr="00383829" w:rsidRDefault="00DC5FB0" w:rsidP="006A793B">
            <w:pPr>
              <w:rPr>
                <w:rtl/>
              </w:rPr>
            </w:pPr>
          </w:p>
        </w:tc>
      </w:tr>
    </w:tbl>
    <w:p w14:paraId="71D09E81" w14:textId="77777777" w:rsidR="00706D7A" w:rsidRDefault="00706D7A" w:rsidP="002154EE"/>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80"/>
      </w:tblGrid>
      <w:tr w:rsidR="00290728" w14:paraId="0989FB19" w14:textId="77777777" w:rsidTr="00952F86">
        <w:trPr>
          <w:jc w:val="center"/>
        </w:trPr>
        <w:tc>
          <w:tcPr>
            <w:tcW w:w="8080" w:type="dxa"/>
          </w:tcPr>
          <w:p w14:paraId="6B5DBEE2" w14:textId="77777777" w:rsidR="00290728" w:rsidRPr="00290728" w:rsidRDefault="00290728" w:rsidP="00403CF9">
            <w:pPr>
              <w:pStyle w:val="Headingb"/>
              <w:rPr>
                <w:rtl/>
                <w:lang w:bidi="ar-SY"/>
              </w:rPr>
            </w:pPr>
            <w:r w:rsidRPr="00290728">
              <w:rPr>
                <w:rFonts w:hint="cs"/>
                <w:rtl/>
                <w:lang w:bidi="ar-SY"/>
              </w:rPr>
              <w:t>ملخص</w:t>
            </w:r>
          </w:p>
          <w:p w14:paraId="0670E668" w14:textId="0EF29198" w:rsidR="00290728" w:rsidRDefault="0029717E" w:rsidP="0029717E">
            <w:pPr>
              <w:rPr>
                <w:rtl/>
              </w:rPr>
            </w:pPr>
            <w:r w:rsidRPr="0029717E">
              <w:rPr>
                <w:rFonts w:hint="cs"/>
                <w:rtl/>
              </w:rPr>
              <w:t xml:space="preserve">يلخّص هذا التقرير النتائج الرئيسية للاجتماعين </w:t>
            </w:r>
            <w:r w:rsidR="0017759E">
              <w:rPr>
                <w:rFonts w:hint="cs"/>
                <w:rtl/>
              </w:rPr>
              <w:t>الثالث والرابع</w:t>
            </w:r>
            <w:r w:rsidRPr="0029717E">
              <w:rPr>
                <w:rFonts w:hint="cs"/>
                <w:rtl/>
              </w:rPr>
              <w:t xml:space="preserve"> ل</w:t>
            </w:r>
            <w:r w:rsidRPr="0029717E">
              <w:rPr>
                <w:rtl/>
              </w:rPr>
              <w:t xml:space="preserve">فريق الخبراء المعني بلوائح الاتصالات الدولية </w:t>
            </w:r>
            <w:r w:rsidRPr="0029717E">
              <w:rPr>
                <w:rFonts w:hint="cs"/>
                <w:rtl/>
              </w:rPr>
              <w:t xml:space="preserve">اللذين عُقدا في </w:t>
            </w:r>
            <w:r w:rsidR="0017759E">
              <w:rPr>
                <w:lang w:bidi="ar-SY"/>
              </w:rPr>
              <w:t>18-17</w:t>
            </w:r>
            <w:r w:rsidRPr="0029717E">
              <w:rPr>
                <w:rFonts w:hint="cs"/>
                <w:rtl/>
              </w:rPr>
              <w:t xml:space="preserve"> سبتمبر </w:t>
            </w:r>
            <w:r w:rsidR="0017759E">
              <w:rPr>
                <w:lang w:bidi="ar-SY"/>
              </w:rPr>
              <w:t>2020</w:t>
            </w:r>
            <w:r w:rsidRPr="0029717E">
              <w:rPr>
                <w:rFonts w:hint="cs"/>
                <w:rtl/>
              </w:rPr>
              <w:t xml:space="preserve"> و</w:t>
            </w:r>
            <w:r w:rsidR="0017759E">
              <w:rPr>
                <w:lang w:bidi="ar-SY"/>
              </w:rPr>
              <w:t>4-3</w:t>
            </w:r>
            <w:r w:rsidR="0017759E">
              <w:rPr>
                <w:rFonts w:hint="cs"/>
                <w:rtl/>
              </w:rPr>
              <w:t xml:space="preserve"> </w:t>
            </w:r>
            <w:r w:rsidRPr="0029717E">
              <w:rPr>
                <w:rFonts w:hint="cs"/>
                <w:rtl/>
              </w:rPr>
              <w:t xml:space="preserve">فبراير </w:t>
            </w:r>
            <w:r w:rsidR="0017759E">
              <w:rPr>
                <w:lang w:bidi="ar-SY"/>
              </w:rPr>
              <w:t>2021</w:t>
            </w:r>
            <w:r w:rsidRPr="0029717E">
              <w:rPr>
                <w:rFonts w:hint="cs"/>
                <w:rtl/>
              </w:rPr>
              <w:t xml:space="preserve">، وذلك طبقاً للقرار </w:t>
            </w:r>
            <w:r w:rsidRPr="0029717E">
              <w:rPr>
                <w:rFonts w:hint="cs"/>
                <w:lang w:bidi="ar-SY"/>
              </w:rPr>
              <w:t>146</w:t>
            </w:r>
            <w:r w:rsidRPr="0029717E">
              <w:rPr>
                <w:rFonts w:hint="cs"/>
                <w:rtl/>
              </w:rPr>
              <w:t xml:space="preserve"> (المراجَع في</w:t>
            </w:r>
            <w:r w:rsidR="00E06E56">
              <w:rPr>
                <w:rFonts w:hint="eastAsia"/>
                <w:rtl/>
              </w:rPr>
              <w:t> </w:t>
            </w:r>
            <w:r w:rsidRPr="0029717E">
              <w:rPr>
                <w:rFonts w:hint="cs"/>
                <w:rtl/>
              </w:rPr>
              <w:t xml:space="preserve">دبي، </w:t>
            </w:r>
            <w:r w:rsidRPr="0029717E">
              <w:rPr>
                <w:rFonts w:hint="cs"/>
                <w:lang w:bidi="ar-SY"/>
              </w:rPr>
              <w:t>2018</w:t>
            </w:r>
            <w:r w:rsidRPr="0029717E">
              <w:rPr>
                <w:rFonts w:hint="cs"/>
                <w:rtl/>
              </w:rPr>
              <w:t>) الصادر عن مؤتمر المندوبين المفوضين</w:t>
            </w:r>
            <w:r w:rsidRPr="0029717E">
              <w:rPr>
                <w:rFonts w:hint="eastAsia"/>
                <w:rtl/>
              </w:rPr>
              <w:t> </w:t>
            </w:r>
            <w:r w:rsidRPr="0029717E">
              <w:rPr>
                <w:rFonts w:hint="cs"/>
                <w:rtl/>
              </w:rPr>
              <w:t>للاتحاد والقرار</w:t>
            </w:r>
            <w:r w:rsidRPr="0029717E">
              <w:rPr>
                <w:rFonts w:hint="eastAsia"/>
                <w:rtl/>
              </w:rPr>
              <w:t> </w:t>
            </w:r>
            <w:r w:rsidRPr="0029717E">
              <w:rPr>
                <w:rFonts w:hint="cs"/>
                <w:lang w:bidi="ar-SY"/>
              </w:rPr>
              <w:t>1379</w:t>
            </w:r>
            <w:r w:rsidRPr="0029717E">
              <w:rPr>
                <w:rFonts w:hint="cs"/>
                <w:rtl/>
              </w:rPr>
              <w:t xml:space="preserve"> (المعدّل في </w:t>
            </w:r>
            <w:r w:rsidRPr="0029717E">
              <w:rPr>
                <w:rFonts w:hint="cs"/>
                <w:lang w:bidi="ar-SY"/>
              </w:rPr>
              <w:t>2019</w:t>
            </w:r>
            <w:r w:rsidRPr="0029717E">
              <w:rPr>
                <w:rFonts w:hint="cs"/>
                <w:rtl/>
              </w:rPr>
              <w:t>) الصادر عن المجلس.</w:t>
            </w:r>
          </w:p>
          <w:p w14:paraId="3443D276" w14:textId="77777777" w:rsidR="00290728" w:rsidRPr="00290728" w:rsidRDefault="00290728" w:rsidP="00403CF9">
            <w:pPr>
              <w:pStyle w:val="Headingb"/>
              <w:rPr>
                <w:rtl/>
                <w:lang w:bidi="ar-SY"/>
              </w:rPr>
            </w:pPr>
            <w:r w:rsidRPr="00290728">
              <w:rPr>
                <w:rFonts w:hint="cs"/>
                <w:rtl/>
                <w:lang w:bidi="ar-SY"/>
              </w:rPr>
              <w:t>الإجراء المطلوب</w:t>
            </w:r>
          </w:p>
          <w:p w14:paraId="28EDD8ED" w14:textId="0A5F38CD" w:rsidR="00290728" w:rsidRDefault="0029717E" w:rsidP="0029717E">
            <w:pPr>
              <w:rPr>
                <w:rtl/>
                <w:lang w:bidi="ar-SY"/>
              </w:rPr>
            </w:pPr>
            <w:r w:rsidRPr="0029717E">
              <w:rPr>
                <w:rFonts w:hint="cs"/>
                <w:rtl/>
                <w:lang w:bidi="ar-EG"/>
              </w:rPr>
              <w:t xml:space="preserve">يُدعى المجلس إلى أن </w:t>
            </w:r>
            <w:r w:rsidRPr="0029717E">
              <w:rPr>
                <w:rFonts w:hint="cs"/>
                <w:b/>
                <w:bCs/>
                <w:rtl/>
                <w:lang w:bidi="ar-EG"/>
              </w:rPr>
              <w:t>يحيط علماً</w:t>
            </w:r>
            <w:r w:rsidRPr="0029717E">
              <w:rPr>
                <w:rFonts w:hint="cs"/>
                <w:rtl/>
                <w:lang w:bidi="ar-EG"/>
              </w:rPr>
              <w:t xml:space="preserve"> بهذا التقرير.</w:t>
            </w:r>
          </w:p>
          <w:p w14:paraId="47A7D0B1" w14:textId="630ED3A0" w:rsidR="00290728" w:rsidRPr="00FB7045" w:rsidRDefault="00FB7045" w:rsidP="00290728">
            <w:pPr>
              <w:jc w:val="center"/>
              <w:rPr>
                <w:rtl/>
                <w:lang w:bidi="ar-EG"/>
              </w:rPr>
            </w:pPr>
            <w:r>
              <w:rPr>
                <w:rFonts w:hint="cs"/>
                <w:rtl/>
                <w:lang w:bidi="ar-EG"/>
              </w:rPr>
              <w:t>ـــــــــــــــــــــــــــــــــــــــــــــــــــــــــــــــــــــــ</w:t>
            </w:r>
          </w:p>
          <w:p w14:paraId="0BFDF2EA" w14:textId="77777777" w:rsidR="00290728" w:rsidRPr="00290728" w:rsidRDefault="00290728" w:rsidP="00403CF9">
            <w:pPr>
              <w:pStyle w:val="Headingb"/>
              <w:rPr>
                <w:rtl/>
                <w:lang w:bidi="ar-SY"/>
              </w:rPr>
            </w:pPr>
            <w:r w:rsidRPr="00290728">
              <w:rPr>
                <w:rFonts w:hint="cs"/>
                <w:rtl/>
                <w:lang w:bidi="ar-SY"/>
              </w:rPr>
              <w:t>المراجع</w:t>
            </w:r>
          </w:p>
          <w:p w14:paraId="285CC1F7" w14:textId="7DD782F8" w:rsidR="00290728" w:rsidRPr="00290728" w:rsidRDefault="00B57DBB" w:rsidP="006956AB">
            <w:pPr>
              <w:spacing w:after="120"/>
              <w:jc w:val="left"/>
              <w:rPr>
                <w:i/>
                <w:iCs/>
                <w:rtl/>
                <w:lang w:bidi="ar-SY"/>
              </w:rPr>
            </w:pPr>
            <w:hyperlink r:id="rId9" w:history="1">
              <w:r w:rsidR="0029717E" w:rsidRPr="0029717E">
                <w:rPr>
                  <w:rStyle w:val="Hyperlink"/>
                  <w:rFonts w:hint="cs"/>
                  <w:i/>
                  <w:iCs/>
                  <w:rtl/>
                  <w:lang w:bidi="ar-SY"/>
                </w:rPr>
                <w:t xml:space="preserve">القرار </w:t>
              </w:r>
              <w:r w:rsidR="0029717E" w:rsidRPr="0029717E">
                <w:rPr>
                  <w:rStyle w:val="Hyperlink"/>
                  <w:rFonts w:hint="cs"/>
                  <w:i/>
                  <w:iCs/>
                  <w:lang w:bidi="ar-SY"/>
                </w:rPr>
                <w:t>146</w:t>
              </w:r>
              <w:r w:rsidR="0029717E" w:rsidRPr="0029717E">
                <w:rPr>
                  <w:rStyle w:val="Hyperlink"/>
                  <w:rFonts w:hint="cs"/>
                  <w:i/>
                  <w:iCs/>
                  <w:rtl/>
                  <w:lang w:bidi="ar-SY"/>
                </w:rPr>
                <w:t xml:space="preserve"> (المراجَع في دبي، </w:t>
              </w:r>
              <w:r w:rsidR="0029717E" w:rsidRPr="0029717E">
                <w:rPr>
                  <w:rStyle w:val="Hyperlink"/>
                  <w:rFonts w:hint="cs"/>
                  <w:i/>
                  <w:iCs/>
                  <w:lang w:bidi="ar-SY"/>
                </w:rPr>
                <w:t>2018</w:t>
              </w:r>
              <w:r w:rsidR="0029717E" w:rsidRPr="0029717E">
                <w:rPr>
                  <w:rStyle w:val="Hyperlink"/>
                  <w:rFonts w:hint="cs"/>
                  <w:i/>
                  <w:iCs/>
                  <w:rtl/>
                  <w:lang w:bidi="ar-SY"/>
                </w:rPr>
                <w:t>)</w:t>
              </w:r>
            </w:hyperlink>
            <w:r w:rsidR="006956AB">
              <w:rPr>
                <w:i/>
                <w:iCs/>
                <w:rtl/>
                <w:lang w:bidi="ar-EG"/>
              </w:rPr>
              <w:br/>
            </w:r>
            <w:hyperlink r:id="rId10" w:history="1">
              <w:r w:rsidR="0029717E" w:rsidRPr="0029717E">
                <w:rPr>
                  <w:rStyle w:val="Hyperlink"/>
                  <w:rFonts w:hint="cs"/>
                  <w:i/>
                  <w:iCs/>
                  <w:rtl/>
                  <w:lang w:bidi="ar-SY"/>
                </w:rPr>
                <w:t xml:space="preserve">القرار </w:t>
              </w:r>
              <w:r w:rsidR="0029717E" w:rsidRPr="0029717E">
                <w:rPr>
                  <w:rStyle w:val="Hyperlink"/>
                  <w:rFonts w:hint="cs"/>
                  <w:i/>
                  <w:iCs/>
                  <w:lang w:bidi="ar-SY"/>
                </w:rPr>
                <w:t>1379</w:t>
              </w:r>
              <w:r w:rsidR="0029717E" w:rsidRPr="0029717E">
                <w:rPr>
                  <w:rStyle w:val="Hyperlink"/>
                  <w:rFonts w:hint="cs"/>
                  <w:i/>
                  <w:iCs/>
                  <w:rtl/>
                  <w:lang w:bidi="ar-SY"/>
                </w:rPr>
                <w:t xml:space="preserve"> (المعدل في </w:t>
              </w:r>
              <w:r w:rsidR="0029717E" w:rsidRPr="0029717E">
                <w:rPr>
                  <w:rStyle w:val="Hyperlink"/>
                  <w:rFonts w:hint="cs"/>
                  <w:i/>
                  <w:iCs/>
                  <w:lang w:bidi="ar-SY"/>
                </w:rPr>
                <w:t>2019</w:t>
              </w:r>
              <w:r w:rsidR="0029717E" w:rsidRPr="0029717E">
                <w:rPr>
                  <w:rStyle w:val="Hyperlink"/>
                  <w:rFonts w:hint="cs"/>
                  <w:i/>
                  <w:iCs/>
                  <w:rtl/>
                  <w:lang w:bidi="ar-SY"/>
                </w:rPr>
                <w:t>) الصادر عن المجلس</w:t>
              </w:r>
            </w:hyperlink>
          </w:p>
        </w:tc>
      </w:tr>
    </w:tbl>
    <w:p w14:paraId="0D72A3CF" w14:textId="61A5D4BE" w:rsidR="004E11DC" w:rsidRDefault="004E11DC" w:rsidP="0026373E">
      <w:pPr>
        <w:rPr>
          <w:rtl/>
        </w:rPr>
      </w:pPr>
    </w:p>
    <w:p w14:paraId="4D0410E4" w14:textId="77777777" w:rsidR="0029717E" w:rsidRDefault="0029717E" w:rsidP="0029717E">
      <w:pPr>
        <w:pStyle w:val="Heading1"/>
        <w:rPr>
          <w:rtl/>
        </w:rPr>
      </w:pPr>
      <w:r w:rsidRPr="002F4C3F">
        <w:rPr>
          <w:rFonts w:hint="cs"/>
        </w:rPr>
        <w:t>1</w:t>
      </w:r>
      <w:r>
        <w:rPr>
          <w:rtl/>
        </w:rPr>
        <w:tab/>
      </w:r>
      <w:r>
        <w:rPr>
          <w:rFonts w:hint="cs"/>
          <w:rtl/>
        </w:rPr>
        <w:t>مقدمة</w:t>
      </w:r>
    </w:p>
    <w:p w14:paraId="3008E959" w14:textId="77777777" w:rsidR="0029717E" w:rsidRPr="00FD51AC" w:rsidRDefault="0029717E" w:rsidP="0029717E">
      <w:pPr>
        <w:rPr>
          <w:rtl/>
        </w:rPr>
      </w:pPr>
      <w:r w:rsidRPr="00FD51AC">
        <w:rPr>
          <w:rFonts w:hint="cs"/>
          <w:spacing w:val="-6"/>
          <w:lang w:bidi="ar-EG"/>
        </w:rPr>
        <w:t>1</w:t>
      </w:r>
      <w:r w:rsidRPr="00FD51AC">
        <w:rPr>
          <w:rFonts w:hint="cs"/>
          <w:spacing w:val="-6"/>
          <w:rtl/>
          <w:lang w:bidi="ar-EG"/>
        </w:rPr>
        <w:t>.</w:t>
      </w:r>
      <w:r w:rsidRPr="00FD51AC">
        <w:rPr>
          <w:rFonts w:hint="cs"/>
          <w:spacing w:val="-6"/>
          <w:lang w:bidi="ar-EG"/>
        </w:rPr>
        <w:t>1</w:t>
      </w:r>
      <w:r w:rsidRPr="00FD51AC">
        <w:rPr>
          <w:spacing w:val="-6"/>
          <w:rtl/>
          <w:lang w:bidi="ar-EG"/>
        </w:rPr>
        <w:tab/>
      </w:r>
      <w:r w:rsidRPr="00FD51AC">
        <w:rPr>
          <w:rFonts w:hint="cs"/>
          <w:spacing w:val="-6"/>
          <w:rtl/>
          <w:lang w:bidi="ar-EG"/>
        </w:rPr>
        <w:t xml:space="preserve">قرر </w:t>
      </w:r>
      <w:r w:rsidRPr="00FD51AC">
        <w:rPr>
          <w:spacing w:val="-6"/>
          <w:rtl/>
          <w:lang w:bidi="ar-EG"/>
        </w:rPr>
        <w:t xml:space="preserve">المجلس </w:t>
      </w:r>
      <w:r w:rsidRPr="00FD51AC">
        <w:rPr>
          <w:rFonts w:hint="cs"/>
          <w:spacing w:val="-6"/>
          <w:rtl/>
          <w:lang w:bidi="ar-EG"/>
        </w:rPr>
        <w:t>بموجب قراره</w:t>
      </w:r>
      <w:r w:rsidRPr="00FD51AC">
        <w:rPr>
          <w:rFonts w:hint="eastAsia"/>
          <w:spacing w:val="-6"/>
          <w:rtl/>
          <w:lang w:bidi="ar-EG"/>
        </w:rPr>
        <w:t> </w:t>
      </w:r>
      <w:r w:rsidRPr="00FD51AC">
        <w:rPr>
          <w:rFonts w:hint="cs"/>
          <w:spacing w:val="-6"/>
          <w:lang w:bidi="ar-SY"/>
        </w:rPr>
        <w:t>1379</w:t>
      </w:r>
      <w:r w:rsidRPr="00FD51AC">
        <w:rPr>
          <w:rFonts w:hint="cs"/>
          <w:spacing w:val="-6"/>
          <w:rtl/>
          <w:lang w:bidi="ar-SY"/>
        </w:rPr>
        <w:t xml:space="preserve"> (المعد</w:t>
      </w:r>
      <w:r>
        <w:rPr>
          <w:rFonts w:hint="cs"/>
          <w:spacing w:val="-6"/>
          <w:rtl/>
          <w:lang w:bidi="ar-SY"/>
        </w:rPr>
        <w:t>ّ</w:t>
      </w:r>
      <w:r w:rsidRPr="00FD51AC">
        <w:rPr>
          <w:rFonts w:hint="cs"/>
          <w:spacing w:val="-6"/>
          <w:rtl/>
          <w:lang w:bidi="ar-SY"/>
        </w:rPr>
        <w:t xml:space="preserve">ل في </w:t>
      </w:r>
      <w:r w:rsidRPr="00FD51AC">
        <w:rPr>
          <w:rFonts w:hint="cs"/>
          <w:spacing w:val="-6"/>
          <w:lang w:bidi="ar-SY"/>
        </w:rPr>
        <w:t>2019</w:t>
      </w:r>
      <w:r w:rsidRPr="00FD51AC">
        <w:rPr>
          <w:rFonts w:hint="cs"/>
          <w:spacing w:val="-6"/>
          <w:rtl/>
          <w:lang w:bidi="ar-SY"/>
        </w:rPr>
        <w:t xml:space="preserve">) </w:t>
      </w:r>
      <w:r w:rsidRPr="00FD51AC">
        <w:rPr>
          <w:rFonts w:hint="cs"/>
          <w:spacing w:val="-6"/>
          <w:rtl/>
          <w:lang w:bidi="ar-EG"/>
        </w:rPr>
        <w:t>أن يستأنف</w:t>
      </w:r>
      <w:r w:rsidRPr="00FD51AC">
        <w:rPr>
          <w:spacing w:val="-6"/>
          <w:rtl/>
          <w:lang w:bidi="ar-EG"/>
        </w:rPr>
        <w:t xml:space="preserve"> </w:t>
      </w:r>
      <w:hyperlink r:id="rId11" w:history="1">
        <w:r w:rsidRPr="00FD51AC">
          <w:rPr>
            <w:rStyle w:val="Hyperlink"/>
            <w:spacing w:val="-6"/>
            <w:rtl/>
            <w:lang w:bidi="ar-EG"/>
          </w:rPr>
          <w:t xml:space="preserve">فريق </w:t>
        </w:r>
        <w:r w:rsidRPr="00FD51AC">
          <w:rPr>
            <w:rStyle w:val="Hyperlink"/>
            <w:rFonts w:hint="cs"/>
            <w:spacing w:val="-6"/>
            <w:rtl/>
            <w:lang w:bidi="ar-EG"/>
          </w:rPr>
          <w:t>ال</w:t>
        </w:r>
        <w:r w:rsidRPr="00FD51AC">
          <w:rPr>
            <w:rStyle w:val="Hyperlink"/>
            <w:spacing w:val="-6"/>
            <w:rtl/>
            <w:lang w:bidi="ar-EG"/>
          </w:rPr>
          <w:t xml:space="preserve">خبراء </w:t>
        </w:r>
        <w:r w:rsidRPr="00FD51AC">
          <w:rPr>
            <w:rStyle w:val="Hyperlink"/>
            <w:rFonts w:hint="cs"/>
            <w:spacing w:val="-6"/>
            <w:rtl/>
            <w:lang w:bidi="ar-EG"/>
          </w:rPr>
          <w:t>ال</w:t>
        </w:r>
        <w:r w:rsidRPr="00FD51AC">
          <w:rPr>
            <w:rStyle w:val="Hyperlink"/>
            <w:spacing w:val="-6"/>
            <w:rtl/>
            <w:lang w:bidi="ar-EG"/>
          </w:rPr>
          <w:t xml:space="preserve">معني </w:t>
        </w:r>
        <w:r w:rsidRPr="00FD51AC">
          <w:rPr>
            <w:rStyle w:val="Hyperlink"/>
            <w:rFonts w:hint="cs"/>
            <w:spacing w:val="-6"/>
            <w:rtl/>
            <w:lang w:bidi="ar-EG"/>
          </w:rPr>
          <w:t>ب</w:t>
        </w:r>
        <w:r w:rsidRPr="00FD51AC">
          <w:rPr>
            <w:rStyle w:val="Hyperlink"/>
            <w:rFonts w:hint="cs"/>
            <w:spacing w:val="-6"/>
            <w:rtl/>
          </w:rPr>
          <w:t>لوائح</w:t>
        </w:r>
        <w:r w:rsidRPr="00FD51AC">
          <w:rPr>
            <w:rStyle w:val="Hyperlink"/>
            <w:spacing w:val="-6"/>
            <w:rtl/>
          </w:rPr>
          <w:t xml:space="preserve"> </w:t>
        </w:r>
        <w:r w:rsidRPr="00FD51AC">
          <w:rPr>
            <w:rStyle w:val="Hyperlink"/>
            <w:rFonts w:hint="cs"/>
            <w:spacing w:val="-6"/>
            <w:rtl/>
          </w:rPr>
          <w:t>الاتصالات</w:t>
        </w:r>
        <w:r w:rsidRPr="00FD51AC">
          <w:rPr>
            <w:rStyle w:val="Hyperlink"/>
            <w:spacing w:val="-6"/>
            <w:rtl/>
          </w:rPr>
          <w:t xml:space="preserve"> </w:t>
        </w:r>
        <w:r w:rsidRPr="00FD51AC">
          <w:rPr>
            <w:rStyle w:val="Hyperlink"/>
            <w:rFonts w:hint="cs"/>
            <w:spacing w:val="-6"/>
            <w:rtl/>
          </w:rPr>
          <w:t>الدولية</w:t>
        </w:r>
        <w:r w:rsidRPr="00FD51AC">
          <w:rPr>
            <w:rStyle w:val="Hyperlink"/>
            <w:spacing w:val="-6"/>
            <w:rtl/>
          </w:rPr>
          <w:t xml:space="preserve"> </w:t>
        </w:r>
        <w:r w:rsidRPr="00FD51AC">
          <w:rPr>
            <w:rStyle w:val="Hyperlink"/>
            <w:spacing w:val="-6"/>
          </w:rPr>
          <w:t>(EG-ITR)</w:t>
        </w:r>
      </w:hyperlink>
      <w:r w:rsidRPr="00FD51AC">
        <w:rPr>
          <w:spacing w:val="-6"/>
          <w:rtl/>
          <w:lang w:bidi="ar-EG"/>
        </w:rPr>
        <w:t xml:space="preserve">، </w:t>
      </w:r>
      <w:r w:rsidRPr="00FD51AC">
        <w:rPr>
          <w:rFonts w:hint="cs"/>
          <w:rtl/>
          <w:lang w:bidi="ar-EG"/>
        </w:rPr>
        <w:t>المفتوح باب المشاركة فيه</w:t>
      </w:r>
      <w:r w:rsidRPr="00FD51AC">
        <w:rPr>
          <w:rtl/>
          <w:lang w:bidi="ar-EG"/>
        </w:rPr>
        <w:t xml:space="preserve"> لجميع الدول الأعضاء وأعضاء القطاع</w:t>
      </w:r>
      <w:r w:rsidRPr="00FD51AC">
        <w:rPr>
          <w:rFonts w:hint="cs"/>
          <w:rtl/>
          <w:lang w:bidi="ar-EG"/>
        </w:rPr>
        <w:t>ات</w:t>
      </w:r>
      <w:r w:rsidRPr="00FD51AC">
        <w:rPr>
          <w:rtl/>
          <w:lang w:bidi="ar-EG"/>
        </w:rPr>
        <w:t xml:space="preserve">، </w:t>
      </w:r>
      <w:r w:rsidRPr="00FD51AC">
        <w:rPr>
          <w:rFonts w:hint="cs"/>
          <w:rtl/>
          <w:lang w:bidi="ar-EG"/>
        </w:rPr>
        <w:t xml:space="preserve">أعماله، من أجل </w:t>
      </w:r>
      <w:r w:rsidRPr="00FD51AC">
        <w:rPr>
          <w:rtl/>
          <w:lang w:bidi="ar-EG"/>
        </w:rPr>
        <w:t>إجراء استعراض</w:t>
      </w:r>
      <w:r w:rsidRPr="00FD51AC">
        <w:rPr>
          <w:rFonts w:hint="cs"/>
          <w:rtl/>
          <w:lang w:bidi="ar-EG"/>
        </w:rPr>
        <w:t xml:space="preserve"> </w:t>
      </w:r>
      <w:r w:rsidRPr="00FD51AC">
        <w:rPr>
          <w:rtl/>
        </w:rPr>
        <w:t xml:space="preserve">شامل للوائح الاتصالات الدولية </w:t>
      </w:r>
      <w:r w:rsidRPr="00FD51AC">
        <w:rPr>
          <w:rFonts w:hint="cs"/>
          <w:rtl/>
        </w:rPr>
        <w:t>بغية</w:t>
      </w:r>
      <w:r w:rsidRPr="00FD51AC">
        <w:rPr>
          <w:rtl/>
        </w:rPr>
        <w:t xml:space="preserve"> تحقيق توافق في الآراء بشأن سبيل المضي قدماً فيما يتعلّق بهذه اللوائح</w:t>
      </w:r>
      <w:r w:rsidRPr="00FD51AC">
        <w:rPr>
          <w:rFonts w:hint="cs"/>
          <w:rtl/>
          <w:lang w:bidi="ar-EG"/>
        </w:rPr>
        <w:t xml:space="preserve">، وفقاً للقرار </w:t>
      </w:r>
      <w:r w:rsidRPr="00FD51AC">
        <w:rPr>
          <w:rFonts w:hint="cs"/>
          <w:lang w:bidi="ar-SY"/>
        </w:rPr>
        <w:t>146</w:t>
      </w:r>
      <w:r w:rsidRPr="00FD51AC">
        <w:rPr>
          <w:rFonts w:hint="cs"/>
          <w:rtl/>
          <w:lang w:bidi="ar-EG"/>
        </w:rPr>
        <w:t xml:space="preserve"> (المراجَع في دبي، </w:t>
      </w:r>
      <w:r w:rsidRPr="00FD51AC">
        <w:rPr>
          <w:rFonts w:hint="cs"/>
          <w:lang w:bidi="ar-EG"/>
        </w:rPr>
        <w:t>2018</w:t>
      </w:r>
      <w:r w:rsidRPr="00FD51AC">
        <w:rPr>
          <w:rFonts w:hint="cs"/>
          <w:rtl/>
          <w:lang w:bidi="ar-EG"/>
        </w:rPr>
        <w:t>) الصادر عن مؤتمر المندوبين المفوضين</w:t>
      </w:r>
      <w:r w:rsidRPr="00FD51AC">
        <w:rPr>
          <w:rFonts w:hint="eastAsia"/>
          <w:rtl/>
          <w:lang w:bidi="ar-EG"/>
        </w:rPr>
        <w:t> </w:t>
      </w:r>
      <w:r w:rsidRPr="00FD51AC">
        <w:rPr>
          <w:rFonts w:hint="cs"/>
          <w:rtl/>
          <w:lang w:bidi="ar-EG"/>
        </w:rPr>
        <w:t>للاتحاد.</w:t>
      </w:r>
    </w:p>
    <w:p w14:paraId="60ECD219" w14:textId="77777777" w:rsidR="0029717E" w:rsidRDefault="0029717E" w:rsidP="0029717E">
      <w:pPr>
        <w:rPr>
          <w:rtl/>
        </w:rPr>
      </w:pPr>
      <w:r>
        <w:rPr>
          <w:lang w:bidi="ar-SY"/>
        </w:rPr>
        <w:t>2.1</w:t>
      </w:r>
      <w:r>
        <w:rPr>
          <w:rtl/>
          <w:lang w:bidi="ar-SY"/>
        </w:rPr>
        <w:tab/>
      </w:r>
      <w:r>
        <w:rPr>
          <w:rFonts w:hint="cs"/>
          <w:rtl/>
          <w:lang w:bidi="ar-SY"/>
        </w:rPr>
        <w:t xml:space="preserve">وتتمثل </w:t>
      </w:r>
      <w:r w:rsidRPr="00A84120">
        <w:rPr>
          <w:rtl/>
        </w:rPr>
        <w:t xml:space="preserve">الاختصاصات المحددة </w:t>
      </w:r>
      <w:r>
        <w:rPr>
          <w:rFonts w:hint="cs"/>
          <w:rtl/>
        </w:rPr>
        <w:t xml:space="preserve">للفريق </w:t>
      </w:r>
      <w:r w:rsidRPr="00A84120">
        <w:rPr>
          <w:rtl/>
        </w:rPr>
        <w:t xml:space="preserve">في قرار المجلس </w:t>
      </w:r>
      <w:r w:rsidRPr="002F4C3F">
        <w:t>1379</w:t>
      </w:r>
      <w:r w:rsidRPr="00A84120">
        <w:rPr>
          <w:rtl/>
        </w:rPr>
        <w:t xml:space="preserve"> (المعد</w:t>
      </w:r>
      <w:r>
        <w:rPr>
          <w:rFonts w:hint="cs"/>
          <w:rtl/>
        </w:rPr>
        <w:t>ّ</w:t>
      </w:r>
      <w:r w:rsidRPr="00A84120">
        <w:rPr>
          <w:rtl/>
        </w:rPr>
        <w:t xml:space="preserve">ل في </w:t>
      </w:r>
      <w:r w:rsidRPr="002F4C3F">
        <w:t>2019</w:t>
      </w:r>
      <w:r w:rsidRPr="00A84120">
        <w:rPr>
          <w:rtl/>
        </w:rPr>
        <w:t>)</w:t>
      </w:r>
      <w:r>
        <w:rPr>
          <w:rFonts w:hint="cs"/>
          <w:rtl/>
        </w:rPr>
        <w:t xml:space="preserve"> في </w:t>
      </w:r>
      <w:r>
        <w:rPr>
          <w:rtl/>
          <w:lang w:bidi="ar-SY"/>
        </w:rPr>
        <w:t>إجراء استعراض شامل للوائح الاتصالات الدولية بناءً على المساهمات المقدمة من الدول الأعضاء وأعضاء القطاعات والمدخلات المقدمة من مديري المكاتب</w:t>
      </w:r>
      <w:r>
        <w:rPr>
          <w:rFonts w:hint="cs"/>
          <w:rtl/>
          <w:lang w:bidi="ar-SY"/>
        </w:rPr>
        <w:t>، حسب الاقتضاء،</w:t>
      </w:r>
      <w:r w:rsidRPr="008E1F20">
        <w:rPr>
          <w:lang w:bidi="ar-SY"/>
        </w:rPr>
        <w:t> </w:t>
      </w:r>
      <w:r>
        <w:rPr>
          <w:rFonts w:hint="cs"/>
          <w:rtl/>
          <w:lang w:bidi="ar-SY"/>
        </w:rPr>
        <w:t xml:space="preserve">من خلال </w:t>
      </w:r>
      <w:r>
        <w:rPr>
          <w:rFonts w:hint="cs"/>
          <w:rtl/>
        </w:rPr>
        <w:t>تفحص</w:t>
      </w:r>
      <w:r w:rsidRPr="008E1F20">
        <w:rPr>
          <w:rtl/>
        </w:rPr>
        <w:t xml:space="preserve"> كل حكم من أحكام لوائح الاتصالات الدولية، بالتركيز على نسختها لعام </w:t>
      </w:r>
      <w:r w:rsidRPr="002F4C3F">
        <w:t>2012</w:t>
      </w:r>
      <w:r>
        <w:rPr>
          <w:rFonts w:hint="cs"/>
          <w:rtl/>
        </w:rPr>
        <w:t>، على أن يتضمن الاستعراض من بين أمور أخرى:</w:t>
      </w:r>
      <w:r w:rsidRPr="008E1F20">
        <w:rPr>
          <w:rtl/>
        </w:rPr>
        <w:t> </w:t>
      </w:r>
    </w:p>
    <w:p w14:paraId="7844EFF5" w14:textId="77777777" w:rsidR="0029717E" w:rsidRPr="00DD19CD" w:rsidRDefault="0029717E" w:rsidP="0029717E">
      <w:pPr>
        <w:pStyle w:val="enumlev1"/>
        <w:rPr>
          <w:rtl/>
        </w:rPr>
      </w:pPr>
      <w:r>
        <w:rPr>
          <w:rFonts w:hint="cs"/>
          <w:rtl/>
        </w:rPr>
        <w:t> </w:t>
      </w:r>
      <w:proofErr w:type="gramStart"/>
      <w:r>
        <w:rPr>
          <w:rFonts w:hint="cs"/>
          <w:rtl/>
        </w:rPr>
        <w:t>أ )</w:t>
      </w:r>
      <w:proofErr w:type="gramEnd"/>
      <w:r w:rsidRPr="00DD19CD">
        <w:rPr>
          <w:rtl/>
        </w:rPr>
        <w:tab/>
      </w:r>
      <w:r w:rsidRPr="00DD19CD">
        <w:rPr>
          <w:rFonts w:hint="cs"/>
          <w:rtl/>
        </w:rPr>
        <w:t>مدى انطباق أحكام لوائح الاتصالات الدولية فيما يتعلق بتعزيز إتاحة خدمات وشبكات الاتصالات/تكنولوجيا المعلومات والاتصالات وتطويرها</w:t>
      </w:r>
      <w:r w:rsidRPr="00DD19CD">
        <w:rPr>
          <w:rtl/>
        </w:rPr>
        <w:t>؛</w:t>
      </w:r>
    </w:p>
    <w:p w14:paraId="07B672E8" w14:textId="77777777" w:rsidR="0029717E" w:rsidRDefault="0029717E" w:rsidP="0029717E">
      <w:pPr>
        <w:pStyle w:val="enumlev1"/>
        <w:rPr>
          <w:rtl/>
        </w:rPr>
      </w:pPr>
      <w:r>
        <w:rPr>
          <w:rFonts w:hint="cs"/>
          <w:rtl/>
        </w:rPr>
        <w:lastRenderedPageBreak/>
        <w:t>ب)</w:t>
      </w:r>
      <w:r w:rsidRPr="00DD19CD">
        <w:rPr>
          <w:rtl/>
        </w:rPr>
        <w:tab/>
      </w:r>
      <w:r w:rsidRPr="00DD19CD">
        <w:rPr>
          <w:rFonts w:hint="cs"/>
          <w:rtl/>
        </w:rPr>
        <w:t>مرونة، أو عدم مرونة، أحكام لوائح الاتصالات الدولية لاستيعاب الاتجاهات الجديدة في الاتصالات/تكنولوجيا المعلومات والاتصالات والقضايا الناشئة في بيئة الاتصالات/تكنولوجيا المعلومات والاتصالات الدولية</w:t>
      </w:r>
      <w:r>
        <w:rPr>
          <w:rFonts w:hint="cs"/>
          <w:rtl/>
        </w:rPr>
        <w:t>.</w:t>
      </w:r>
    </w:p>
    <w:p w14:paraId="7D62ED25" w14:textId="77777777" w:rsidR="0029717E" w:rsidRPr="00DD19CD" w:rsidRDefault="0029717E" w:rsidP="0029717E">
      <w:pPr>
        <w:rPr>
          <w:rtl/>
        </w:rPr>
      </w:pPr>
      <w:r>
        <w:t>3.1</w:t>
      </w:r>
      <w:r>
        <w:rPr>
          <w:rtl/>
        </w:rPr>
        <w:tab/>
      </w:r>
      <w:r>
        <w:rPr>
          <w:rFonts w:hint="cs"/>
          <w:rtl/>
        </w:rPr>
        <w:t xml:space="preserve">وكلّف القرار </w:t>
      </w:r>
      <w:r w:rsidRPr="002F4C3F">
        <w:rPr>
          <w:rFonts w:hint="cs"/>
          <w:lang w:bidi="ar-SY"/>
        </w:rPr>
        <w:t>146</w:t>
      </w:r>
      <w:r w:rsidRPr="00D87D2E">
        <w:rPr>
          <w:rFonts w:hint="cs"/>
          <w:rtl/>
          <w:lang w:bidi="ar-EG"/>
        </w:rPr>
        <w:t xml:space="preserve"> (</w:t>
      </w:r>
      <w:r>
        <w:rPr>
          <w:rFonts w:hint="cs"/>
          <w:rtl/>
          <w:lang w:bidi="ar-EG"/>
        </w:rPr>
        <w:t xml:space="preserve">المراجَع في دبي، </w:t>
      </w:r>
      <w:r w:rsidRPr="002F4C3F">
        <w:rPr>
          <w:rFonts w:hint="cs"/>
          <w:lang w:bidi="ar-EG"/>
        </w:rPr>
        <w:t>2018</w:t>
      </w:r>
      <w:r w:rsidRPr="00D87D2E">
        <w:rPr>
          <w:rFonts w:hint="cs"/>
          <w:rtl/>
          <w:lang w:bidi="ar-EG"/>
        </w:rPr>
        <w:t>) الصادر عن مؤتمر المندوبين المفوضين</w:t>
      </w:r>
      <w:r w:rsidRPr="00D87D2E">
        <w:rPr>
          <w:rFonts w:hint="eastAsia"/>
          <w:rtl/>
          <w:lang w:bidi="ar-EG"/>
        </w:rPr>
        <w:t> </w:t>
      </w:r>
      <w:r w:rsidRPr="00D87D2E">
        <w:rPr>
          <w:rFonts w:hint="cs"/>
          <w:rtl/>
          <w:lang w:bidi="ar-EG"/>
        </w:rPr>
        <w:t>للاتحاد</w:t>
      </w:r>
      <w:r>
        <w:rPr>
          <w:rtl/>
        </w:rPr>
        <w:t xml:space="preserve"> </w:t>
      </w:r>
      <w:r>
        <w:rPr>
          <w:rFonts w:hint="cs"/>
          <w:rtl/>
        </w:rPr>
        <w:t xml:space="preserve">المجلس </w:t>
      </w:r>
      <w:r>
        <w:rPr>
          <w:rtl/>
        </w:rPr>
        <w:t xml:space="preserve">بدراسة تقارير فريق الخبراء المعني بلوائح الاتصالات الدولية في دوراته السنوية وتقديم التقرير النهائي </w:t>
      </w:r>
      <w:r>
        <w:rPr>
          <w:rFonts w:hint="cs"/>
          <w:rtl/>
        </w:rPr>
        <w:t xml:space="preserve">الصادر عن </w:t>
      </w:r>
      <w:r>
        <w:rPr>
          <w:rtl/>
        </w:rPr>
        <w:t>فريق الخبراء المعني بلوائح الاتصالات الدولية إلى مؤتمر المندوبين المفوضين لعام </w:t>
      </w:r>
      <w:r w:rsidRPr="002F4C3F">
        <w:t>2022</w:t>
      </w:r>
      <w:r>
        <w:rPr>
          <w:rtl/>
        </w:rPr>
        <w:t xml:space="preserve"> مشفوعاً بملاحظات المجلس بشأنه</w:t>
      </w:r>
      <w:r>
        <w:rPr>
          <w:rFonts w:hint="cs"/>
          <w:rtl/>
        </w:rPr>
        <w:t>.</w:t>
      </w:r>
    </w:p>
    <w:p w14:paraId="57308D7D" w14:textId="77777777" w:rsidR="0029717E" w:rsidRDefault="0029717E" w:rsidP="0029717E">
      <w:pPr>
        <w:pStyle w:val="Heading1"/>
        <w:rPr>
          <w:rtl/>
        </w:rPr>
      </w:pPr>
      <w:r w:rsidRPr="002F4C3F">
        <w:rPr>
          <w:rFonts w:hint="cs"/>
        </w:rPr>
        <w:t>2</w:t>
      </w:r>
      <w:r>
        <w:rPr>
          <w:rtl/>
        </w:rPr>
        <w:tab/>
      </w:r>
      <w:r>
        <w:rPr>
          <w:rFonts w:hint="cs"/>
          <w:rtl/>
        </w:rPr>
        <w:t xml:space="preserve">أنشطة </w:t>
      </w:r>
      <w:r w:rsidRPr="00BB14AB">
        <w:rPr>
          <w:rtl/>
        </w:rPr>
        <w:t>فريق الخبراء المعني بلوائح الاتصالات الدولية</w:t>
      </w:r>
    </w:p>
    <w:p w14:paraId="7CB0E7B9" w14:textId="546C6F4C" w:rsidR="0029717E" w:rsidRDefault="0029717E" w:rsidP="0029717E">
      <w:r w:rsidRPr="002F4C3F">
        <w:rPr>
          <w:lang w:bidi="ar-SY"/>
        </w:rPr>
        <w:t>1</w:t>
      </w:r>
      <w:r>
        <w:rPr>
          <w:lang w:bidi="ar-SY"/>
        </w:rPr>
        <w:t>.</w:t>
      </w:r>
      <w:r w:rsidRPr="002F4C3F">
        <w:rPr>
          <w:lang w:bidi="ar-SY"/>
        </w:rPr>
        <w:t>2</w:t>
      </w:r>
      <w:r>
        <w:rPr>
          <w:lang w:bidi="ar-SY"/>
        </w:rPr>
        <w:tab/>
      </w:r>
      <w:r>
        <w:rPr>
          <w:rFonts w:hint="cs"/>
          <w:rtl/>
          <w:lang w:bidi="ar-SY"/>
        </w:rPr>
        <w:t xml:space="preserve">عقد </w:t>
      </w:r>
      <w:r>
        <w:rPr>
          <w:rtl/>
        </w:rPr>
        <w:t xml:space="preserve">فريق الخبراء المعني بلوائح الاتصالات الدولية </w:t>
      </w:r>
      <w:r>
        <w:rPr>
          <w:rFonts w:hint="cs"/>
          <w:rtl/>
          <w:lang w:bidi="ar-SY"/>
        </w:rPr>
        <w:t xml:space="preserve">اجتماعيه </w:t>
      </w:r>
      <w:r w:rsidR="0017759E">
        <w:rPr>
          <w:rFonts w:hint="cs"/>
          <w:rtl/>
          <w:lang w:bidi="ar-EG"/>
        </w:rPr>
        <w:t>الثالث</w:t>
      </w:r>
      <w:r>
        <w:rPr>
          <w:rFonts w:hint="cs"/>
          <w:rtl/>
          <w:lang w:bidi="ar-EG"/>
        </w:rPr>
        <w:t xml:space="preserve"> </w:t>
      </w:r>
      <w:r w:rsidR="0017759E">
        <w:rPr>
          <w:rFonts w:hint="cs"/>
          <w:rtl/>
          <w:lang w:bidi="ar-EG"/>
        </w:rPr>
        <w:t>والرابع</w:t>
      </w:r>
      <w:r>
        <w:rPr>
          <w:rFonts w:hint="cs"/>
          <w:rtl/>
          <w:lang w:bidi="ar-EG"/>
        </w:rPr>
        <w:t xml:space="preserve"> ، </w:t>
      </w:r>
      <w:r>
        <w:rPr>
          <w:rFonts w:hint="cs"/>
          <w:rtl/>
        </w:rPr>
        <w:t>في</w:t>
      </w:r>
      <w:r>
        <w:rPr>
          <w:rFonts w:hint="eastAsia"/>
          <w:rtl/>
        </w:rPr>
        <w:t> </w:t>
      </w:r>
      <w:r w:rsidRPr="002F4C3F">
        <w:rPr>
          <w:rFonts w:hint="cs"/>
          <w:lang w:bidi="ar-SY"/>
        </w:rPr>
        <w:t>1</w:t>
      </w:r>
      <w:r w:rsidR="0017759E">
        <w:rPr>
          <w:lang w:bidi="ar-SY"/>
        </w:rPr>
        <w:t>8</w:t>
      </w:r>
      <w:r>
        <w:rPr>
          <w:lang w:bidi="ar-SY"/>
        </w:rPr>
        <w:noBreakHyphen/>
      </w:r>
      <w:r w:rsidRPr="002F4C3F">
        <w:rPr>
          <w:rFonts w:hint="cs"/>
          <w:lang w:bidi="ar-SY"/>
        </w:rPr>
        <w:t>1</w:t>
      </w:r>
      <w:r w:rsidR="0017759E">
        <w:rPr>
          <w:lang w:bidi="ar-SY"/>
        </w:rPr>
        <w:t>7</w:t>
      </w:r>
      <w:r>
        <w:rPr>
          <w:rFonts w:hint="eastAsia"/>
          <w:rtl/>
          <w:lang w:bidi="ar-SY"/>
        </w:rPr>
        <w:t> </w:t>
      </w:r>
      <w:r>
        <w:rPr>
          <w:rFonts w:hint="cs"/>
          <w:rtl/>
          <w:lang w:bidi="ar-SY"/>
        </w:rPr>
        <w:t>سبتمبر</w:t>
      </w:r>
      <w:r w:rsidR="00173743">
        <w:rPr>
          <w:rFonts w:hint="eastAsia"/>
          <w:rtl/>
          <w:lang w:bidi="ar-SY"/>
        </w:rPr>
        <w:t> </w:t>
      </w:r>
      <w:r w:rsidR="0017759E">
        <w:rPr>
          <w:lang w:bidi="ar-SY"/>
        </w:rPr>
        <w:t>2020</w:t>
      </w:r>
      <w:r>
        <w:rPr>
          <w:rFonts w:hint="cs"/>
          <w:rtl/>
          <w:lang w:bidi="ar-SY"/>
        </w:rPr>
        <w:t xml:space="preserve"> و</w:t>
      </w:r>
      <w:r w:rsidR="00E06E56">
        <w:rPr>
          <w:lang w:bidi="ar-SY"/>
        </w:rPr>
        <w:t>4</w:t>
      </w:r>
      <w:r w:rsidR="00E06E56">
        <w:rPr>
          <w:lang w:bidi="ar-SY"/>
        </w:rPr>
        <w:noBreakHyphen/>
        <w:t>3</w:t>
      </w:r>
      <w:r w:rsidR="00E06E56">
        <w:rPr>
          <w:rFonts w:hint="eastAsia"/>
          <w:rtl/>
          <w:lang w:bidi="ar-SY"/>
        </w:rPr>
        <w:t> </w:t>
      </w:r>
      <w:r>
        <w:rPr>
          <w:rFonts w:hint="cs"/>
          <w:rtl/>
          <w:lang w:bidi="ar-SY"/>
        </w:rPr>
        <w:t>فبراير</w:t>
      </w:r>
      <w:r w:rsidR="00E06E56">
        <w:rPr>
          <w:rFonts w:hint="eastAsia"/>
          <w:rtl/>
          <w:lang w:bidi="ar-SY"/>
        </w:rPr>
        <w:t> </w:t>
      </w:r>
      <w:r w:rsidR="0017759E">
        <w:rPr>
          <w:lang w:bidi="ar-SY"/>
        </w:rPr>
        <w:t>2021</w:t>
      </w:r>
      <w:r>
        <w:rPr>
          <w:rFonts w:hint="cs"/>
          <w:rtl/>
          <w:lang w:bidi="ar-SY"/>
        </w:rPr>
        <w:t xml:space="preserve"> </w:t>
      </w:r>
      <w:r>
        <w:rPr>
          <w:rFonts w:hint="cs"/>
          <w:rtl/>
          <w:lang w:bidi="ar-EG"/>
        </w:rPr>
        <w:t>على التوالي.</w:t>
      </w:r>
    </w:p>
    <w:p w14:paraId="29B692F4" w14:textId="56F9DE62" w:rsidR="0029717E" w:rsidRDefault="0029717E" w:rsidP="0029717E">
      <w:pPr>
        <w:rPr>
          <w:spacing w:val="6"/>
          <w:rtl/>
          <w:lang w:bidi="ar-EG"/>
        </w:rPr>
      </w:pPr>
      <w:r w:rsidRPr="002F4C3F">
        <w:rPr>
          <w:lang w:bidi="ar-SY"/>
        </w:rPr>
        <w:t>2</w:t>
      </w:r>
      <w:r>
        <w:rPr>
          <w:lang w:bidi="ar-SY"/>
        </w:rPr>
        <w:t>.</w:t>
      </w:r>
      <w:r w:rsidRPr="002F4C3F">
        <w:rPr>
          <w:lang w:bidi="ar-SY"/>
        </w:rPr>
        <w:t>2</w:t>
      </w:r>
      <w:r>
        <w:rPr>
          <w:spacing w:val="6"/>
          <w:lang w:bidi="ar-SY"/>
        </w:rPr>
        <w:tab/>
      </w:r>
      <w:r>
        <w:rPr>
          <w:rFonts w:hint="cs"/>
          <w:spacing w:val="6"/>
          <w:rtl/>
        </w:rPr>
        <w:t>و</w:t>
      </w:r>
      <w:r>
        <w:rPr>
          <w:rFonts w:hint="cs"/>
          <w:spacing w:val="6"/>
          <w:rtl/>
          <w:lang w:bidi="ar-EG"/>
        </w:rPr>
        <w:t xml:space="preserve">وافق الفريق على تقريرَي الاجتماعين </w:t>
      </w:r>
      <w:hyperlink r:id="rId12" w:history="1">
        <w:r w:rsidR="0017759E" w:rsidRPr="00173743">
          <w:rPr>
            <w:rStyle w:val="Hyperlink"/>
            <w:rFonts w:hint="cs"/>
            <w:rtl/>
          </w:rPr>
          <w:t>الثالث</w:t>
        </w:r>
      </w:hyperlink>
      <w:r>
        <w:rPr>
          <w:rFonts w:hint="cs"/>
          <w:rtl/>
        </w:rPr>
        <w:t xml:space="preserve"> </w:t>
      </w:r>
      <w:r w:rsidRPr="00173743">
        <w:rPr>
          <w:rFonts w:hint="cs"/>
          <w:rtl/>
        </w:rPr>
        <w:t>و</w:t>
      </w:r>
      <w:hyperlink r:id="rId13" w:history="1">
        <w:r w:rsidRPr="00173743">
          <w:rPr>
            <w:rStyle w:val="Hyperlink"/>
            <w:rFonts w:hint="cs"/>
            <w:rtl/>
          </w:rPr>
          <w:t>ا</w:t>
        </w:r>
        <w:r w:rsidR="0017759E" w:rsidRPr="00173743">
          <w:rPr>
            <w:rStyle w:val="Hyperlink"/>
            <w:rFonts w:hint="cs"/>
            <w:rtl/>
          </w:rPr>
          <w:t>لرابع</w:t>
        </w:r>
      </w:hyperlink>
      <w:r>
        <w:rPr>
          <w:rFonts w:hint="cs"/>
          <w:spacing w:val="6"/>
          <w:rtl/>
          <w:lang w:bidi="ar-EG"/>
        </w:rPr>
        <w:t>.</w:t>
      </w:r>
    </w:p>
    <w:p w14:paraId="5C306019" w14:textId="7608D3A8" w:rsidR="0029717E" w:rsidRDefault="0029717E" w:rsidP="0029717E">
      <w:pPr>
        <w:rPr>
          <w:rtl/>
        </w:rPr>
      </w:pPr>
      <w:r>
        <w:t>3.2</w:t>
      </w:r>
      <w:r>
        <w:rPr>
          <w:rtl/>
        </w:rPr>
        <w:tab/>
      </w:r>
      <w:r w:rsidR="00E92205" w:rsidRPr="009E209A">
        <w:rPr>
          <w:rFonts w:hint="cs"/>
          <w:rtl/>
        </w:rPr>
        <w:t>واستكمل</w:t>
      </w:r>
      <w:r>
        <w:rPr>
          <w:rFonts w:hint="cs"/>
          <w:rtl/>
        </w:rPr>
        <w:t xml:space="preserve"> الفريق</w:t>
      </w:r>
      <w:r w:rsidR="0027061E">
        <w:rPr>
          <w:rFonts w:hint="cs"/>
          <w:rtl/>
        </w:rPr>
        <w:t xml:space="preserve"> </w:t>
      </w:r>
      <w:r w:rsidR="0027061E">
        <w:rPr>
          <w:lang w:val="en-GB"/>
        </w:rPr>
        <w:t>EG-ITR</w:t>
      </w:r>
      <w:r>
        <w:rPr>
          <w:rFonts w:hint="cs"/>
          <w:rtl/>
        </w:rPr>
        <w:t xml:space="preserve"> في</w:t>
      </w:r>
      <w:r w:rsidR="00E92205">
        <w:rPr>
          <w:rFonts w:hint="cs"/>
          <w:rtl/>
        </w:rPr>
        <w:t xml:space="preserve"> اجتماعه </w:t>
      </w:r>
      <w:hyperlink r:id="rId14" w:history="1">
        <w:r w:rsidR="00E92205" w:rsidRPr="009E209A">
          <w:rPr>
            <w:rStyle w:val="Hyperlink"/>
            <w:rFonts w:hint="cs"/>
            <w:rtl/>
          </w:rPr>
          <w:t>الثالث</w:t>
        </w:r>
      </w:hyperlink>
      <w:r w:rsidR="00E92205">
        <w:rPr>
          <w:rFonts w:hint="cs"/>
          <w:rtl/>
        </w:rPr>
        <w:t xml:space="preserve"> </w:t>
      </w:r>
      <w:r w:rsidR="00E92205" w:rsidRPr="00E92205">
        <w:rPr>
          <w:rtl/>
        </w:rPr>
        <w:t>جدول التفحص (</w:t>
      </w:r>
      <w:r w:rsidR="00C0290F">
        <w:rPr>
          <w:rFonts w:hint="cs"/>
          <w:rtl/>
        </w:rPr>
        <w:t>فيما يتعلق</w:t>
      </w:r>
      <w:r w:rsidR="00E92205" w:rsidRPr="00E92205">
        <w:rPr>
          <w:rtl/>
        </w:rPr>
        <w:t xml:space="preserve"> </w:t>
      </w:r>
      <w:r w:rsidR="00C0290F">
        <w:rPr>
          <w:rFonts w:hint="cs"/>
          <w:rtl/>
        </w:rPr>
        <w:t>با</w:t>
      </w:r>
      <w:r w:rsidR="00E92205" w:rsidRPr="00E92205">
        <w:rPr>
          <w:rtl/>
        </w:rPr>
        <w:t xml:space="preserve">لأحكام الواردة في </w:t>
      </w:r>
      <w:r w:rsidR="00E92205">
        <w:rPr>
          <w:rFonts w:hint="cs"/>
          <w:rtl/>
        </w:rPr>
        <w:t xml:space="preserve">المواد </w:t>
      </w:r>
      <w:r w:rsidR="00E92205">
        <w:rPr>
          <w:lang w:val="en-GB"/>
        </w:rPr>
        <w:t>8-5</w:t>
      </w:r>
      <w:r w:rsidR="00E92205">
        <w:rPr>
          <w:rFonts w:hint="cs"/>
          <w:rtl/>
        </w:rPr>
        <w:t>/التذييل</w:t>
      </w:r>
      <w:r w:rsidR="00C84326">
        <w:rPr>
          <w:rFonts w:hint="eastAsia"/>
          <w:rtl/>
        </w:rPr>
        <w:t> </w:t>
      </w:r>
      <w:r w:rsidR="00E92205">
        <w:rPr>
          <w:lang w:val="en-GB"/>
        </w:rPr>
        <w:t>1</w:t>
      </w:r>
      <w:r w:rsidR="00E92205">
        <w:rPr>
          <w:rFonts w:hint="cs"/>
          <w:rtl/>
        </w:rPr>
        <w:t>)</w:t>
      </w:r>
      <w:r w:rsidR="00E92205" w:rsidRPr="00E92205">
        <w:rPr>
          <w:rtl/>
        </w:rPr>
        <w:t xml:space="preserve"> الوارد في ملحق التقرير، </w:t>
      </w:r>
      <w:r w:rsidR="00C0290F">
        <w:rPr>
          <w:rFonts w:hint="cs"/>
          <w:rtl/>
        </w:rPr>
        <w:t>باستيفاء العمود الخاص</w:t>
      </w:r>
      <w:r w:rsidR="00E92205">
        <w:rPr>
          <w:rFonts w:hint="cs"/>
          <w:rtl/>
        </w:rPr>
        <w:t xml:space="preserve"> </w:t>
      </w:r>
      <w:r w:rsidR="00C0290F">
        <w:rPr>
          <w:rFonts w:hint="cs"/>
          <w:rtl/>
        </w:rPr>
        <w:t xml:space="preserve">بملخص </w:t>
      </w:r>
      <w:r w:rsidR="00E92205">
        <w:rPr>
          <w:rFonts w:hint="cs"/>
          <w:rtl/>
        </w:rPr>
        <w:t xml:space="preserve">النتائج </w:t>
      </w:r>
      <w:r w:rsidR="00C0290F" w:rsidRPr="00EA3821">
        <w:rPr>
          <w:rFonts w:hint="cs"/>
          <w:rtl/>
          <w:lang w:bidi="ar"/>
        </w:rPr>
        <w:t>كما اتفق عليه الأعضاء أثناء الاجتماع</w:t>
      </w:r>
      <w:r w:rsidR="00E92205">
        <w:rPr>
          <w:rFonts w:hint="cs"/>
          <w:rtl/>
        </w:rPr>
        <w:t>،</w:t>
      </w:r>
      <w:r w:rsidR="00E92205" w:rsidRPr="00E92205">
        <w:rPr>
          <w:rtl/>
        </w:rPr>
        <w:t xml:space="preserve"> بينما استكمل نواب الرئيس </w:t>
      </w:r>
      <w:r w:rsidR="00E92205">
        <w:rPr>
          <w:rFonts w:hint="cs"/>
          <w:rtl/>
        </w:rPr>
        <w:t>العمودين الآخرين بشأن</w:t>
      </w:r>
      <w:r w:rsidR="00E92205" w:rsidRPr="00E92205">
        <w:rPr>
          <w:rtl/>
        </w:rPr>
        <w:t xml:space="preserve"> "</w:t>
      </w:r>
      <w:r w:rsidR="00C0290F">
        <w:rPr>
          <w:rFonts w:hint="cs"/>
          <w:color w:val="000000"/>
          <w:rtl/>
        </w:rPr>
        <w:t>إمكانية التطبيق فيما يتعلق ب</w:t>
      </w:r>
      <w:r w:rsidR="00485DE7">
        <w:rPr>
          <w:color w:val="000000"/>
          <w:rtl/>
        </w:rPr>
        <w:t xml:space="preserve">تعزيز </w:t>
      </w:r>
      <w:r w:rsidR="00C0290F">
        <w:rPr>
          <w:rFonts w:hint="cs"/>
          <w:color w:val="000000"/>
          <w:rtl/>
        </w:rPr>
        <w:t>توفير الشبكات والخدمات</w:t>
      </w:r>
      <w:r w:rsidR="00485DE7">
        <w:rPr>
          <w:color w:val="000000"/>
          <w:rtl/>
        </w:rPr>
        <w:t xml:space="preserve"> وتطويرها</w:t>
      </w:r>
      <w:r w:rsidR="00E92205" w:rsidRPr="00E92205">
        <w:rPr>
          <w:rtl/>
        </w:rPr>
        <w:t xml:space="preserve">" </w:t>
      </w:r>
      <w:r w:rsidR="00E92205">
        <w:rPr>
          <w:rFonts w:hint="cs"/>
          <w:rtl/>
        </w:rPr>
        <w:t>و"المرونة لاستيعاب الاتجاهات الجديدة والقضايا الناشئة" على التوالي</w:t>
      </w:r>
      <w:r w:rsidR="00DF51DD">
        <w:rPr>
          <w:rFonts w:hint="cs"/>
          <w:rtl/>
        </w:rPr>
        <w:t xml:space="preserve"> خارج الاجتماع </w:t>
      </w:r>
      <w:r w:rsidR="00E92205" w:rsidRPr="00E92205">
        <w:rPr>
          <w:rtl/>
        </w:rPr>
        <w:t xml:space="preserve">بالتشاور مع الأعضاء من </w:t>
      </w:r>
      <w:r w:rsidR="00DF51DD">
        <w:rPr>
          <w:rFonts w:hint="cs"/>
          <w:rtl/>
        </w:rPr>
        <w:t>مناطقهم</w:t>
      </w:r>
      <w:r w:rsidR="00E92205" w:rsidRPr="00E92205">
        <w:rPr>
          <w:rtl/>
        </w:rPr>
        <w:t xml:space="preserve"> </w:t>
      </w:r>
      <w:r w:rsidR="00E92205">
        <w:rPr>
          <w:rFonts w:hint="cs"/>
          <w:rtl/>
        </w:rPr>
        <w:t>بناءً على</w:t>
      </w:r>
      <w:r w:rsidR="00E92205" w:rsidRPr="00E92205">
        <w:rPr>
          <w:rtl/>
        </w:rPr>
        <w:t xml:space="preserve"> المساهمات والمناقشات في الاجتماع.</w:t>
      </w:r>
    </w:p>
    <w:p w14:paraId="45B50853" w14:textId="7F721A38" w:rsidR="0029717E" w:rsidRDefault="0029717E" w:rsidP="0029717E">
      <w:pPr>
        <w:rPr>
          <w:rtl/>
          <w:lang w:bidi="ar"/>
        </w:rPr>
      </w:pPr>
      <w:r>
        <w:t>4.2</w:t>
      </w:r>
      <w:r>
        <w:rPr>
          <w:rtl/>
        </w:rPr>
        <w:tab/>
      </w:r>
      <w:r w:rsidR="00C0290F" w:rsidRPr="00C84326">
        <w:rPr>
          <w:rFonts w:hint="cs"/>
          <w:rtl/>
        </w:rPr>
        <w:t xml:space="preserve">وفي </w:t>
      </w:r>
      <w:hyperlink r:id="rId15" w:history="1">
        <w:r w:rsidR="00C0290F" w:rsidRPr="00C84326">
          <w:rPr>
            <w:rStyle w:val="Hyperlink"/>
            <w:rFonts w:hint="cs"/>
            <w:rtl/>
          </w:rPr>
          <w:t xml:space="preserve">الاجتماع الرابع للفريق </w:t>
        </w:r>
        <w:r w:rsidR="00C0290F" w:rsidRPr="00C84326">
          <w:rPr>
            <w:rStyle w:val="Hyperlink"/>
          </w:rPr>
          <w:t>EG-ITR</w:t>
        </w:r>
      </w:hyperlink>
      <w:r w:rsidR="00C0290F" w:rsidRPr="00C84326">
        <w:rPr>
          <w:rFonts w:hint="cs"/>
          <w:rtl/>
        </w:rPr>
        <w:t>، استكمل الفريق</w:t>
      </w:r>
      <w:r>
        <w:rPr>
          <w:rFonts w:hint="cs"/>
          <w:rtl/>
        </w:rPr>
        <w:t xml:space="preserve"> </w:t>
      </w:r>
      <w:r>
        <w:rPr>
          <w:rFonts w:hint="cs"/>
          <w:rtl/>
          <w:lang w:bidi="ar"/>
        </w:rPr>
        <w:t>جدول التفحص</w:t>
      </w:r>
      <w:r w:rsidRPr="00EA3821">
        <w:rPr>
          <w:rFonts w:hint="cs"/>
          <w:rtl/>
          <w:lang w:bidi="ar"/>
        </w:rPr>
        <w:t xml:space="preserve"> (</w:t>
      </w:r>
      <w:r w:rsidR="00C0290F">
        <w:rPr>
          <w:rFonts w:hint="cs"/>
          <w:rtl/>
          <w:lang w:bidi="ar"/>
        </w:rPr>
        <w:t xml:space="preserve">فيما </w:t>
      </w:r>
      <w:r w:rsidR="00C0290F">
        <w:rPr>
          <w:rFonts w:hint="cs"/>
          <w:rtl/>
        </w:rPr>
        <w:t>يتعلق</w:t>
      </w:r>
      <w:r w:rsidR="00C0290F" w:rsidRPr="00E92205">
        <w:rPr>
          <w:rtl/>
        </w:rPr>
        <w:t xml:space="preserve"> </w:t>
      </w:r>
      <w:r w:rsidR="00C0290F">
        <w:rPr>
          <w:rFonts w:hint="cs"/>
          <w:rtl/>
        </w:rPr>
        <w:t>با</w:t>
      </w:r>
      <w:r w:rsidR="00C0290F" w:rsidRPr="00E92205">
        <w:rPr>
          <w:rtl/>
        </w:rPr>
        <w:t>لأحكام الواردة في</w:t>
      </w:r>
      <w:r w:rsidR="00C84326">
        <w:rPr>
          <w:rFonts w:hint="cs"/>
          <w:rtl/>
        </w:rPr>
        <w:t> </w:t>
      </w:r>
      <w:r w:rsidR="00C0290F">
        <w:rPr>
          <w:rFonts w:hint="cs"/>
          <w:rtl/>
        </w:rPr>
        <w:t>المواد</w:t>
      </w:r>
      <w:r w:rsidR="00C84326">
        <w:rPr>
          <w:rFonts w:hint="eastAsia"/>
          <w:rtl/>
        </w:rPr>
        <w:t> </w:t>
      </w:r>
      <w:r w:rsidR="00C0290F">
        <w:rPr>
          <w:lang w:val="en-GB"/>
        </w:rPr>
        <w:t>14</w:t>
      </w:r>
      <w:r w:rsidR="00C84326">
        <w:rPr>
          <w:lang w:val="en-GB"/>
        </w:rPr>
        <w:noBreakHyphen/>
      </w:r>
      <w:r w:rsidR="00C0290F">
        <w:rPr>
          <w:lang w:val="en-GB"/>
        </w:rPr>
        <w:t>9</w:t>
      </w:r>
      <w:r w:rsidR="00C0290F">
        <w:rPr>
          <w:rFonts w:hint="cs"/>
          <w:rtl/>
        </w:rPr>
        <w:t xml:space="preserve">/التذييل </w:t>
      </w:r>
      <w:r w:rsidR="00C0290F">
        <w:rPr>
          <w:lang w:val="en-GB"/>
        </w:rPr>
        <w:t>2</w:t>
      </w:r>
      <w:r w:rsidRPr="00EA3821">
        <w:rPr>
          <w:rFonts w:hint="cs"/>
          <w:rtl/>
          <w:lang w:bidi="ar"/>
        </w:rPr>
        <w:t xml:space="preserve">) الوارد في ملحق التقرير، </w:t>
      </w:r>
      <w:r>
        <w:rPr>
          <w:rFonts w:hint="cs"/>
          <w:rtl/>
          <w:lang w:bidi="ar"/>
        </w:rPr>
        <w:t>باستيفاء</w:t>
      </w:r>
      <w:r w:rsidRPr="00EA3821">
        <w:rPr>
          <w:rFonts w:hint="cs"/>
          <w:rtl/>
          <w:lang w:bidi="ar"/>
        </w:rPr>
        <w:t xml:space="preserve"> </w:t>
      </w:r>
      <w:r>
        <w:rPr>
          <w:rFonts w:hint="cs"/>
          <w:rtl/>
          <w:lang w:bidi="ar"/>
        </w:rPr>
        <w:t>ال</w:t>
      </w:r>
      <w:r w:rsidRPr="00EA3821">
        <w:rPr>
          <w:rFonts w:hint="cs"/>
          <w:rtl/>
          <w:lang w:bidi="ar"/>
        </w:rPr>
        <w:t xml:space="preserve">عمود </w:t>
      </w:r>
      <w:r>
        <w:rPr>
          <w:rFonts w:hint="cs"/>
          <w:rtl/>
          <w:lang w:bidi="ar"/>
        </w:rPr>
        <w:t>الخاص ب</w:t>
      </w:r>
      <w:r w:rsidRPr="00EA3821">
        <w:rPr>
          <w:rFonts w:hint="cs"/>
          <w:rtl/>
          <w:lang w:bidi="ar"/>
        </w:rPr>
        <w:t>ملخص النتائج كما اتفق عليه الأعضاء أثناء الاجتماع</w:t>
      </w:r>
      <w:r>
        <w:rPr>
          <w:rFonts w:hint="cs"/>
          <w:rtl/>
          <w:lang w:bidi="ar"/>
        </w:rPr>
        <w:t>،</w:t>
      </w:r>
      <w:r w:rsidRPr="00EA3821">
        <w:rPr>
          <w:rFonts w:hint="cs"/>
          <w:rtl/>
          <w:lang w:bidi="ar"/>
        </w:rPr>
        <w:t xml:space="preserve"> بينما </w:t>
      </w:r>
      <w:r>
        <w:rPr>
          <w:rFonts w:hint="cs"/>
          <w:rtl/>
          <w:lang w:bidi="ar"/>
        </w:rPr>
        <w:t>استكمل نواب الرئيس العمودين الآخرين</w:t>
      </w:r>
      <w:r w:rsidR="00C0290F">
        <w:rPr>
          <w:rFonts w:hint="cs"/>
          <w:rtl/>
          <w:lang w:bidi="ar"/>
        </w:rPr>
        <w:t xml:space="preserve"> بشأن</w:t>
      </w:r>
      <w:r>
        <w:rPr>
          <w:rFonts w:hint="cs"/>
          <w:rtl/>
          <w:lang w:bidi="ar"/>
        </w:rPr>
        <w:t xml:space="preserve"> </w:t>
      </w:r>
      <w:r>
        <w:rPr>
          <w:rFonts w:hint="cs"/>
          <w:rtl/>
        </w:rPr>
        <w:t>"</w:t>
      </w:r>
      <w:r w:rsidRPr="009B701C">
        <w:rPr>
          <w:rtl/>
        </w:rPr>
        <w:t xml:space="preserve">إمكانية التطبيق فيما يتعلق بتعزيز </w:t>
      </w:r>
      <w:r w:rsidR="00DF51DD">
        <w:rPr>
          <w:rFonts w:hint="cs"/>
          <w:rtl/>
        </w:rPr>
        <w:t>توفير الشبكات والخدمات</w:t>
      </w:r>
      <w:r w:rsidRPr="009B701C">
        <w:rPr>
          <w:rtl/>
        </w:rPr>
        <w:t xml:space="preserve"> وتطويرها</w:t>
      </w:r>
      <w:r>
        <w:rPr>
          <w:rFonts w:hint="cs"/>
          <w:rtl/>
        </w:rPr>
        <w:t>" و</w:t>
      </w:r>
      <w:r>
        <w:rPr>
          <w:rFonts w:hint="cs"/>
          <w:rtl/>
          <w:lang w:bidi="ar-EG"/>
        </w:rPr>
        <w:t>"</w:t>
      </w:r>
      <w:r w:rsidRPr="009B701C">
        <w:rPr>
          <w:rtl/>
        </w:rPr>
        <w:t>المرونة لاستيعاب الاتجاهات الجديدة والقضايا الناشئة</w:t>
      </w:r>
      <w:r>
        <w:rPr>
          <w:rFonts w:hint="cs"/>
          <w:rtl/>
        </w:rPr>
        <w:t xml:space="preserve">"، </w:t>
      </w:r>
      <w:r>
        <w:rPr>
          <w:rFonts w:hint="cs"/>
          <w:rtl/>
          <w:lang w:bidi="ar"/>
        </w:rPr>
        <w:t xml:space="preserve">على التوالي </w:t>
      </w:r>
      <w:r w:rsidRPr="00726B77">
        <w:rPr>
          <w:rFonts w:hint="cs"/>
          <w:rtl/>
        </w:rPr>
        <w:t>خارج الاجتماع</w:t>
      </w:r>
      <w:r>
        <w:rPr>
          <w:rFonts w:hint="cs"/>
          <w:rtl/>
        </w:rPr>
        <w:t xml:space="preserve"> </w:t>
      </w:r>
      <w:r w:rsidRPr="00977095">
        <w:rPr>
          <w:rFonts w:hint="cs"/>
          <w:rtl/>
          <w:lang w:bidi="ar"/>
        </w:rPr>
        <w:t xml:space="preserve">بالتشاور مع الأعضاء من مناطقهم بناءً على المساهمات والمناقشات في </w:t>
      </w:r>
      <w:r>
        <w:rPr>
          <w:rFonts w:hint="cs"/>
          <w:rtl/>
          <w:lang w:bidi="ar"/>
        </w:rPr>
        <w:t>الاجتماع</w:t>
      </w:r>
      <w:r w:rsidRPr="00977095">
        <w:rPr>
          <w:rFonts w:hint="cs"/>
          <w:rtl/>
          <w:lang w:bidi="ar"/>
        </w:rPr>
        <w:t>.</w:t>
      </w:r>
    </w:p>
    <w:p w14:paraId="7A11C98E" w14:textId="17A2CB49" w:rsidR="0029717E" w:rsidRPr="0027061E" w:rsidRDefault="0029717E" w:rsidP="0029717E">
      <w:pPr>
        <w:rPr>
          <w:rtl/>
        </w:rPr>
      </w:pPr>
      <w:r>
        <w:rPr>
          <w:lang w:bidi="ar"/>
        </w:rPr>
        <w:t>5.2</w:t>
      </w:r>
      <w:r>
        <w:rPr>
          <w:rtl/>
          <w:lang w:bidi="ar-EG"/>
        </w:rPr>
        <w:tab/>
      </w:r>
      <w:r w:rsidR="0027061E">
        <w:rPr>
          <w:rFonts w:hint="cs"/>
          <w:rtl/>
          <w:lang w:bidi="ar-EG"/>
        </w:rPr>
        <w:t xml:space="preserve">وفي ختام الاجتماع الرابع، </w:t>
      </w:r>
      <w:r w:rsidR="00BE399F">
        <w:rPr>
          <w:rFonts w:hint="cs"/>
          <w:rtl/>
          <w:lang w:bidi="ar-EG"/>
        </w:rPr>
        <w:t>كان</w:t>
      </w:r>
      <w:r w:rsidR="0027061E">
        <w:rPr>
          <w:rFonts w:hint="cs"/>
          <w:rtl/>
          <w:lang w:bidi="ar-EG"/>
        </w:rPr>
        <w:t xml:space="preserve"> </w:t>
      </w:r>
      <w:r w:rsidR="0027061E">
        <w:rPr>
          <w:rFonts w:hint="cs"/>
          <w:rtl/>
        </w:rPr>
        <w:t xml:space="preserve">الفريق </w:t>
      </w:r>
      <w:r w:rsidR="0027061E">
        <w:rPr>
          <w:lang w:val="en-GB"/>
        </w:rPr>
        <w:t>EG-ITR</w:t>
      </w:r>
      <w:r w:rsidR="0027061E">
        <w:rPr>
          <w:rFonts w:hint="cs"/>
          <w:rtl/>
        </w:rPr>
        <w:t xml:space="preserve"> </w:t>
      </w:r>
      <w:r w:rsidR="00BE399F">
        <w:rPr>
          <w:rFonts w:hint="cs"/>
          <w:rtl/>
        </w:rPr>
        <w:t xml:space="preserve">قد استكمل </w:t>
      </w:r>
      <w:r w:rsidR="0027061E">
        <w:rPr>
          <w:rFonts w:hint="cs"/>
          <w:rtl/>
        </w:rPr>
        <w:t xml:space="preserve">استعراض </w:t>
      </w:r>
      <w:r w:rsidR="0027061E">
        <w:rPr>
          <w:color w:val="000000"/>
          <w:rtl/>
        </w:rPr>
        <w:t>لوائح الاتصالات الدولية لعام 2012 على أساس كل حكم على حدة</w:t>
      </w:r>
      <w:r w:rsidR="0027061E">
        <w:rPr>
          <w:color w:val="000000"/>
        </w:rPr>
        <w:t>.</w:t>
      </w:r>
      <w:r w:rsidR="0027061E">
        <w:rPr>
          <w:rFonts w:hint="cs"/>
          <w:rtl/>
        </w:rPr>
        <w:t xml:space="preserve"> </w:t>
      </w:r>
      <w:r w:rsidR="000F1BC1">
        <w:rPr>
          <w:rFonts w:hint="cs"/>
          <w:rtl/>
        </w:rPr>
        <w:t>و</w:t>
      </w:r>
      <w:r w:rsidR="0027061E" w:rsidRPr="0027061E">
        <w:rPr>
          <w:rtl/>
        </w:rPr>
        <w:t xml:space="preserve">في الاجتماعين المتبقيين، </w:t>
      </w:r>
      <w:r w:rsidR="000F1BC1" w:rsidRPr="0027061E">
        <w:rPr>
          <w:rtl/>
        </w:rPr>
        <w:t>سيناقش الفريق</w:t>
      </w:r>
      <w:r w:rsidR="00A33EE7">
        <w:rPr>
          <w:rFonts w:hint="cs"/>
          <w:rtl/>
        </w:rPr>
        <w:t>،</w:t>
      </w:r>
      <w:r w:rsidR="000F1BC1" w:rsidRPr="0027061E">
        <w:rPr>
          <w:rtl/>
        </w:rPr>
        <w:t xml:space="preserve"> </w:t>
      </w:r>
      <w:r w:rsidR="0027061E" w:rsidRPr="0027061E">
        <w:rPr>
          <w:rtl/>
        </w:rPr>
        <w:t xml:space="preserve">وفقاً لخطة العمل المتفق عليها، الملاحظات الشاملة للأعضاء بشأن لوائح الاتصالات الدولية لعام </w:t>
      </w:r>
      <w:r w:rsidR="000F1BC1">
        <w:t>2012</w:t>
      </w:r>
      <w:r w:rsidR="0027061E" w:rsidRPr="0027061E">
        <w:rPr>
          <w:rtl/>
        </w:rPr>
        <w:t xml:space="preserve"> استناداً إلى </w:t>
      </w:r>
      <w:r w:rsidR="00A33EE7">
        <w:rPr>
          <w:rFonts w:hint="cs"/>
          <w:rtl/>
        </w:rPr>
        <w:t>ت</w:t>
      </w:r>
      <w:r w:rsidR="0027061E" w:rsidRPr="0027061E">
        <w:rPr>
          <w:rtl/>
        </w:rPr>
        <w:t xml:space="preserve">فحص كل حكم من </w:t>
      </w:r>
      <w:r w:rsidR="00A33EE7">
        <w:rPr>
          <w:rFonts w:hint="cs"/>
          <w:rtl/>
        </w:rPr>
        <w:t>الأحكام الذي أُجري في</w:t>
      </w:r>
      <w:r w:rsidR="0027061E" w:rsidRPr="0027061E">
        <w:rPr>
          <w:rtl/>
        </w:rPr>
        <w:t xml:space="preserve"> الاجتماعات الأربعة الأولى، </w:t>
      </w:r>
      <w:r w:rsidR="00A33EE7">
        <w:rPr>
          <w:rFonts w:hint="cs"/>
          <w:rtl/>
        </w:rPr>
        <w:t>فضلاً عن</w:t>
      </w:r>
      <w:r w:rsidR="0027061E" w:rsidRPr="0027061E">
        <w:rPr>
          <w:rtl/>
        </w:rPr>
        <w:t xml:space="preserve"> وضع الصيغة النهائية لتقرير الفريق</w:t>
      </w:r>
      <w:r w:rsidR="00A33EE7">
        <w:rPr>
          <w:rFonts w:hint="cs"/>
          <w:rtl/>
        </w:rPr>
        <w:t xml:space="preserve"> </w:t>
      </w:r>
      <w:r w:rsidR="00BE399F">
        <w:rPr>
          <w:rFonts w:hint="cs"/>
          <w:rtl/>
        </w:rPr>
        <w:t>الذي سيقدَّم</w:t>
      </w:r>
      <w:r w:rsidR="0027061E" w:rsidRPr="0027061E">
        <w:rPr>
          <w:rtl/>
        </w:rPr>
        <w:t xml:space="preserve"> إلى المجلس في دورته لعام </w:t>
      </w:r>
      <w:r w:rsidR="00A33EE7">
        <w:t>2022</w:t>
      </w:r>
      <w:r w:rsidR="0027061E" w:rsidRPr="0027061E">
        <w:rPr>
          <w:rtl/>
        </w:rPr>
        <w:t>.</w:t>
      </w:r>
    </w:p>
    <w:p w14:paraId="4D0D2E3F" w14:textId="77777777" w:rsidR="0029717E" w:rsidRDefault="0029717E" w:rsidP="0029717E">
      <w:pPr>
        <w:pStyle w:val="Heading1"/>
        <w:rPr>
          <w:rtl/>
        </w:rPr>
      </w:pPr>
      <w:r w:rsidRPr="00487FEE">
        <w:rPr>
          <w:rFonts w:hint="cs"/>
          <w:lang w:val="fr-FR"/>
        </w:rPr>
        <w:t>3</w:t>
      </w:r>
      <w:r>
        <w:rPr>
          <w:rtl/>
        </w:rPr>
        <w:tab/>
      </w:r>
      <w:r>
        <w:rPr>
          <w:rFonts w:hint="cs"/>
          <w:rtl/>
        </w:rPr>
        <w:t>الخلاصة</w:t>
      </w:r>
    </w:p>
    <w:p w14:paraId="0DB3F56A" w14:textId="77777777" w:rsidR="0029717E" w:rsidRPr="00977095" w:rsidRDefault="0029717E" w:rsidP="0029717E">
      <w:pPr>
        <w:pStyle w:val="enumlev1"/>
        <w:rPr>
          <w:rtl/>
        </w:rPr>
      </w:pPr>
      <w:r w:rsidRPr="00487FEE">
        <w:rPr>
          <w:lang w:val="fr-FR"/>
        </w:rPr>
        <w:t>1.3</w:t>
      </w:r>
      <w:r>
        <w:rPr>
          <w:rtl/>
        </w:rPr>
        <w:tab/>
      </w:r>
      <w:r>
        <w:rPr>
          <w:rFonts w:hint="cs"/>
          <w:rtl/>
          <w:lang w:bidi="ar-EG"/>
        </w:rPr>
        <w:t>يُدعى</w:t>
      </w:r>
      <w:r w:rsidRPr="00977095">
        <w:rPr>
          <w:rFonts w:hint="cs"/>
          <w:rtl/>
          <w:lang w:bidi="ar-EG"/>
        </w:rPr>
        <w:t xml:space="preserve"> المجلس </w:t>
      </w:r>
      <w:r>
        <w:rPr>
          <w:rFonts w:hint="cs"/>
          <w:rtl/>
          <w:lang w:bidi="ar-EG"/>
        </w:rPr>
        <w:t xml:space="preserve">إلى </w:t>
      </w:r>
      <w:r w:rsidRPr="00977095">
        <w:rPr>
          <w:rFonts w:hint="cs"/>
          <w:rtl/>
          <w:lang w:bidi="ar-EG"/>
        </w:rPr>
        <w:t>أن يحيط علماً بهذا التقرير</w:t>
      </w:r>
      <w:r>
        <w:rPr>
          <w:rFonts w:hint="cs"/>
          <w:rtl/>
          <w:lang w:bidi="ar-EG"/>
        </w:rPr>
        <w:t xml:space="preserve"> المرحلي ل</w:t>
      </w:r>
      <w:r w:rsidRPr="00977095">
        <w:rPr>
          <w:rtl/>
          <w:lang w:bidi="ar-SA"/>
        </w:rPr>
        <w:t>فريق الخبراء المعني بلوائح الاتصالات الدولية</w:t>
      </w:r>
      <w:r>
        <w:rPr>
          <w:rFonts w:hint="cs"/>
          <w:rtl/>
          <w:lang w:bidi="ar-SA"/>
        </w:rPr>
        <w:t>.</w:t>
      </w:r>
    </w:p>
    <w:p w14:paraId="4BDAA4C5" w14:textId="1E7F3255" w:rsidR="0029717E" w:rsidRDefault="0029717E" w:rsidP="0029717E">
      <w:pPr>
        <w:rPr>
          <w:rtl/>
        </w:rPr>
      </w:pPr>
      <w:r>
        <w:t>2.3</w:t>
      </w:r>
      <w:r>
        <w:rPr>
          <w:rtl/>
        </w:rPr>
        <w:tab/>
      </w:r>
      <w:r>
        <w:rPr>
          <w:rFonts w:hint="cs"/>
          <w:rtl/>
          <w:lang w:bidi="ar-SY"/>
        </w:rPr>
        <w:t>و</w:t>
      </w:r>
      <w:r>
        <w:rPr>
          <w:rFonts w:hint="cs"/>
          <w:rtl/>
        </w:rPr>
        <w:t xml:space="preserve">يتوجه الرئيس، نيابةً عن أعضاء الفريق، بشكره الخاص إلى جميع الدول الأعضاء في الاتحاد التي قدمت مساهمات وشاركت في عمل الفريق، وإلى نواب الرئيس والأمين العام ونائب الأمين العام ومديري مكاتب تقييس الاتصالات والاتصالات الراديوية وتنمية الاتصالات، وإلى الأمانة العامة على ما قدّموه من مساعدة فعّالة خلال </w:t>
      </w:r>
      <w:r w:rsidR="00A33EE7">
        <w:rPr>
          <w:rFonts w:hint="cs"/>
          <w:rtl/>
        </w:rPr>
        <w:t>الاجتماعات الأربعة</w:t>
      </w:r>
      <w:r w:rsidR="00464868">
        <w:rPr>
          <w:rFonts w:hint="cs"/>
          <w:rtl/>
        </w:rPr>
        <w:t xml:space="preserve"> للفريق</w:t>
      </w:r>
      <w:r>
        <w:rPr>
          <w:rFonts w:hint="cs"/>
          <w:rtl/>
        </w:rPr>
        <w:t xml:space="preserve"> </w:t>
      </w:r>
      <w:r w:rsidR="00464868">
        <w:rPr>
          <w:rFonts w:hint="cs"/>
          <w:rtl/>
        </w:rPr>
        <w:t>التي عُقدت حتى الآن.</w:t>
      </w:r>
    </w:p>
    <w:p w14:paraId="1DEFFB6D" w14:textId="77777777" w:rsidR="0029717E" w:rsidRDefault="0029717E" w:rsidP="00EB3D11">
      <w:pPr>
        <w:spacing w:before="960"/>
        <w:ind w:left="4536"/>
        <w:jc w:val="center"/>
        <w:rPr>
          <w:b/>
          <w:bCs/>
          <w:rtl/>
          <w:lang w:bidi="ar-EG"/>
        </w:rPr>
      </w:pPr>
      <w:r>
        <w:rPr>
          <w:rFonts w:hint="cs"/>
          <w:b/>
          <w:bCs/>
          <w:rtl/>
          <w:lang w:bidi="ar-SY"/>
        </w:rPr>
        <w:t xml:space="preserve">الرئيس: </w:t>
      </w:r>
      <w:proofErr w:type="spellStart"/>
      <w:r w:rsidRPr="003A3414">
        <w:rPr>
          <w:b/>
          <w:bCs/>
          <w:rtl/>
        </w:rPr>
        <w:t>لواندو</w:t>
      </w:r>
      <w:proofErr w:type="spellEnd"/>
      <w:r w:rsidRPr="003A3414">
        <w:rPr>
          <w:b/>
          <w:bCs/>
          <w:rtl/>
        </w:rPr>
        <w:t xml:space="preserve"> بوكو</w:t>
      </w:r>
      <w:r>
        <w:rPr>
          <w:rFonts w:hint="cs"/>
          <w:b/>
          <w:bCs/>
          <w:rtl/>
          <w:lang w:bidi="ar-SY"/>
        </w:rPr>
        <w:br/>
        <w:t>(زامبيا)</w:t>
      </w:r>
    </w:p>
    <w:p w14:paraId="7E2240ED" w14:textId="77777777" w:rsidR="00BB7213" w:rsidRDefault="00BB7213" w:rsidP="00BB7213">
      <w:pPr>
        <w:spacing w:before="600"/>
        <w:jc w:val="center"/>
        <w:rPr>
          <w:rtl/>
          <w:lang w:bidi="ar-EG"/>
        </w:rPr>
      </w:pPr>
      <w:r w:rsidRPr="00BB7213">
        <w:rPr>
          <w:rFonts w:hint="cs"/>
          <w:rtl/>
          <w:lang w:bidi="ar-EG"/>
        </w:rPr>
        <w:t>ــــــــــــــــــــــــــــــــــــــــــــــــــــــــــــــــــــــــــــــــــــــــــــــــ</w:t>
      </w:r>
    </w:p>
    <w:sectPr w:rsidR="00BB7213" w:rsidSect="006C3242">
      <w:headerReference w:type="default" r:id="rId16"/>
      <w:footerReference w:type="default" r:id="rId17"/>
      <w:footerReference w:type="first" r:id="rId1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CAC9B" w14:textId="77777777" w:rsidR="0029717E" w:rsidRDefault="0029717E" w:rsidP="006C3242">
      <w:pPr>
        <w:spacing w:before="0" w:line="240" w:lineRule="auto"/>
      </w:pPr>
      <w:r>
        <w:separator/>
      </w:r>
    </w:p>
  </w:endnote>
  <w:endnote w:type="continuationSeparator" w:id="0">
    <w:p w14:paraId="739C0233" w14:textId="77777777" w:rsidR="0029717E" w:rsidRDefault="0029717E"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B778" w14:textId="0D26DDB8" w:rsidR="006C3242" w:rsidRPr="0026373E" w:rsidRDefault="006C3242" w:rsidP="00FE5872">
    <w:pPr>
      <w:pStyle w:val="Footer"/>
      <w:tabs>
        <w:tab w:val="clear" w:pos="4153"/>
        <w:tab w:val="clear" w:pos="8306"/>
        <w:tab w:val="center" w:pos="5103"/>
        <w:tab w:val="right" w:pos="9639"/>
      </w:tabs>
      <w:spacing w:before="120"/>
      <w:rPr>
        <w:sz w:val="16"/>
        <w:szCs w:val="16"/>
        <w:lang w:val="fr-FR"/>
      </w:rPr>
    </w:pPr>
    <w:r w:rsidRPr="00B57DBB">
      <w:rPr>
        <w:color w:val="F2F2F2" w:themeColor="background1" w:themeShade="F2"/>
        <w:sz w:val="16"/>
        <w:szCs w:val="16"/>
        <w:lang w:val="fr-FR"/>
      </w:rPr>
      <w:fldChar w:fldCharType="begin"/>
    </w:r>
    <w:r w:rsidRPr="00B57DBB">
      <w:rPr>
        <w:color w:val="F2F2F2" w:themeColor="background1" w:themeShade="F2"/>
        <w:sz w:val="16"/>
        <w:szCs w:val="16"/>
        <w:lang w:val="fr-FR"/>
      </w:rPr>
      <w:instrText xml:space="preserve"> FILENAME \p \* MERGEFORMAT </w:instrText>
    </w:r>
    <w:r w:rsidRPr="00B57DBB">
      <w:rPr>
        <w:color w:val="F2F2F2" w:themeColor="background1" w:themeShade="F2"/>
        <w:sz w:val="16"/>
        <w:szCs w:val="16"/>
        <w:lang w:val="fr-FR"/>
      </w:rPr>
      <w:fldChar w:fldCharType="separate"/>
    </w:r>
    <w:r w:rsidR="00D630C8" w:rsidRPr="00B57DBB">
      <w:rPr>
        <w:noProof/>
        <w:color w:val="F2F2F2" w:themeColor="background1" w:themeShade="F2"/>
        <w:sz w:val="16"/>
        <w:szCs w:val="16"/>
        <w:lang w:val="fr-FR"/>
      </w:rPr>
      <w:t>P:\ARA\SG\CONSEIL\C21\000\026A.docx</w:t>
    </w:r>
    <w:r w:rsidRPr="00B57DBB">
      <w:rPr>
        <w:color w:val="F2F2F2" w:themeColor="background1" w:themeShade="F2"/>
        <w:sz w:val="16"/>
        <w:szCs w:val="16"/>
      </w:rPr>
      <w:fldChar w:fldCharType="end"/>
    </w:r>
    <w:r w:rsidRPr="00B57DBB">
      <w:rPr>
        <w:color w:val="F2F2F2" w:themeColor="background1" w:themeShade="F2"/>
        <w:sz w:val="16"/>
        <w:szCs w:val="16"/>
        <w:lang w:val="fr-CH"/>
      </w:rPr>
      <w:t xml:space="preserve">  </w:t>
    </w:r>
    <w:r w:rsidRPr="00B57DBB">
      <w:rPr>
        <w:color w:val="F2F2F2" w:themeColor="background1" w:themeShade="F2"/>
        <w:sz w:val="16"/>
        <w:szCs w:val="16"/>
        <w:lang w:val="fr-FR"/>
      </w:rPr>
      <w:t xml:space="preserve"> (</w:t>
    </w:r>
    <w:r w:rsidR="00563B11" w:rsidRPr="00B57DBB">
      <w:rPr>
        <w:color w:val="F2F2F2" w:themeColor="background1" w:themeShade="F2"/>
        <w:sz w:val="16"/>
        <w:szCs w:val="16"/>
        <w:lang w:val="fr-FR"/>
      </w:rPr>
      <w:t>483219</w:t>
    </w:r>
    <w:r w:rsidRPr="00B57DBB">
      <w:rPr>
        <w:color w:val="F2F2F2" w:themeColor="background1" w:themeShade="F2"/>
        <w:sz w:val="16"/>
        <w:szCs w:val="16"/>
        <w:lang w:val="fr-F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98BF" w14:textId="77777777" w:rsidR="006C3242" w:rsidRPr="005B1652" w:rsidRDefault="006C3242" w:rsidP="006C3242">
    <w:pPr>
      <w:pStyle w:val="Footer"/>
      <w:spacing w:before="120" w:after="120"/>
      <w:jc w:val="center"/>
      <w:rPr>
        <w:sz w:val="22"/>
        <w:szCs w:val="22"/>
        <w:lang w:val="fr-FR"/>
      </w:rPr>
    </w:pPr>
    <w:r w:rsidRPr="005B1652">
      <w:rPr>
        <w:sz w:val="22"/>
        <w:szCs w:val="22"/>
        <w:lang w:val="fr-FR"/>
      </w:rPr>
      <w:t xml:space="preserve">• </w:t>
    </w:r>
    <w:hyperlink r:id="rId1" w:history="1">
      <w:r w:rsidRPr="005B1652">
        <w:rPr>
          <w:rStyle w:val="Hyperlink"/>
          <w:sz w:val="22"/>
          <w:szCs w:val="22"/>
          <w:lang w:val="fr-FR"/>
        </w:rPr>
        <w:t>http://www.itu.int/council</w:t>
      </w:r>
    </w:hyperlink>
    <w:r w:rsidRPr="005B1652">
      <w:rPr>
        <w:sz w:val="22"/>
        <w:szCs w:val="22"/>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70C2A" w14:textId="77777777" w:rsidR="0029717E" w:rsidRDefault="0029717E" w:rsidP="006C3242">
      <w:pPr>
        <w:spacing w:before="0" w:line="240" w:lineRule="auto"/>
      </w:pPr>
      <w:r>
        <w:separator/>
      </w:r>
    </w:p>
  </w:footnote>
  <w:footnote w:type="continuationSeparator" w:id="0">
    <w:p w14:paraId="487592F1" w14:textId="77777777" w:rsidR="0029717E" w:rsidRDefault="0029717E"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19BE" w14:textId="4CEB4021" w:rsidR="00447F32" w:rsidRPr="00447F32" w:rsidRDefault="00B57DBB" w:rsidP="0026373E">
    <w:pPr>
      <w:pStyle w:val="Header"/>
      <w:bidi w:val="0"/>
      <w:spacing w:before="120" w:after="240" w:line="192" w:lineRule="auto"/>
      <w:jc w:val="center"/>
      <w:rPr>
        <w:rFonts w:cs="Calibri"/>
        <w:sz w:val="20"/>
        <w:szCs w:val="20"/>
      </w:rPr>
    </w:pP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r w:rsidR="00447F32" w:rsidRPr="00447F32">
          <w:rPr>
            <w:rFonts w:cs="Calibri"/>
            <w:noProof/>
            <w:sz w:val="20"/>
            <w:szCs w:val="20"/>
          </w:rPr>
          <w:br/>
          <w:t>C</w:t>
        </w:r>
        <w:r w:rsidR="0026373E">
          <w:rPr>
            <w:rFonts w:cs="Calibri"/>
            <w:noProof/>
            <w:sz w:val="20"/>
            <w:szCs w:val="20"/>
          </w:rPr>
          <w:t>2</w:t>
        </w:r>
        <w:r w:rsidR="00C566BA">
          <w:rPr>
            <w:rFonts w:cs="Calibri"/>
            <w:noProof/>
            <w:sz w:val="20"/>
            <w:szCs w:val="20"/>
          </w:rPr>
          <w:t>1</w:t>
        </w:r>
        <w:r w:rsidR="00447F32" w:rsidRPr="00447F32">
          <w:rPr>
            <w:rFonts w:cs="Calibri"/>
            <w:noProof/>
            <w:sz w:val="20"/>
            <w:szCs w:val="20"/>
          </w:rPr>
          <w:t>/</w:t>
        </w:r>
        <w:r w:rsidR="00563B11">
          <w:rPr>
            <w:rFonts w:cs="Calibri"/>
            <w:noProof/>
            <w:sz w:val="20"/>
            <w:szCs w:val="20"/>
          </w:rPr>
          <w:t>26</w:t>
        </w:r>
        <w:r w:rsidR="00447F32" w:rsidRPr="00447F32">
          <w:rPr>
            <w:rFonts w:cs="Calibri"/>
            <w:noProof/>
            <w:sz w:val="20"/>
            <w:szCs w:val="20"/>
          </w:rPr>
          <w:t>-A</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7E"/>
    <w:rsid w:val="00090574"/>
    <w:rsid w:val="000C1C0E"/>
    <w:rsid w:val="000C548A"/>
    <w:rsid w:val="000F1BC1"/>
    <w:rsid w:val="0015650C"/>
    <w:rsid w:val="00173743"/>
    <w:rsid w:val="0017759E"/>
    <w:rsid w:val="001C0169"/>
    <w:rsid w:val="001D1D50"/>
    <w:rsid w:val="001D6745"/>
    <w:rsid w:val="001E446E"/>
    <w:rsid w:val="002154EE"/>
    <w:rsid w:val="002276D2"/>
    <w:rsid w:val="0023283D"/>
    <w:rsid w:val="0026373E"/>
    <w:rsid w:val="0027061E"/>
    <w:rsid w:val="00271C43"/>
    <w:rsid w:val="00290728"/>
    <w:rsid w:val="0029717E"/>
    <w:rsid w:val="002978F4"/>
    <w:rsid w:val="002B028D"/>
    <w:rsid w:val="002E6541"/>
    <w:rsid w:val="002F71D8"/>
    <w:rsid w:val="00334924"/>
    <w:rsid w:val="003409BC"/>
    <w:rsid w:val="00357185"/>
    <w:rsid w:val="00383829"/>
    <w:rsid w:val="003C6B4F"/>
    <w:rsid w:val="003F4B29"/>
    <w:rsid w:val="00403CF9"/>
    <w:rsid w:val="0042686F"/>
    <w:rsid w:val="004317D8"/>
    <w:rsid w:val="00434183"/>
    <w:rsid w:val="00443869"/>
    <w:rsid w:val="00447F32"/>
    <w:rsid w:val="00464868"/>
    <w:rsid w:val="00485DE7"/>
    <w:rsid w:val="004E11DC"/>
    <w:rsid w:val="005409AC"/>
    <w:rsid w:val="0055516A"/>
    <w:rsid w:val="00563B11"/>
    <w:rsid w:val="005805EA"/>
    <w:rsid w:val="0058491B"/>
    <w:rsid w:val="00592EA5"/>
    <w:rsid w:val="005A3170"/>
    <w:rsid w:val="005B1652"/>
    <w:rsid w:val="00614855"/>
    <w:rsid w:val="00677396"/>
    <w:rsid w:val="0069200F"/>
    <w:rsid w:val="006956AB"/>
    <w:rsid w:val="006A65CB"/>
    <w:rsid w:val="006A793B"/>
    <w:rsid w:val="006B338E"/>
    <w:rsid w:val="006C3242"/>
    <w:rsid w:val="006C7CC0"/>
    <w:rsid w:val="006F63F7"/>
    <w:rsid w:val="007025C7"/>
    <w:rsid w:val="00706D7A"/>
    <w:rsid w:val="00722F0D"/>
    <w:rsid w:val="0074420E"/>
    <w:rsid w:val="00783E26"/>
    <w:rsid w:val="007C3BC7"/>
    <w:rsid w:val="007C3BCD"/>
    <w:rsid w:val="007D4ACF"/>
    <w:rsid w:val="007F0787"/>
    <w:rsid w:val="00810B7B"/>
    <w:rsid w:val="0082358A"/>
    <w:rsid w:val="008235CD"/>
    <w:rsid w:val="008247DE"/>
    <w:rsid w:val="00840B10"/>
    <w:rsid w:val="008513CB"/>
    <w:rsid w:val="008A7F84"/>
    <w:rsid w:val="0091702E"/>
    <w:rsid w:val="00923B0C"/>
    <w:rsid w:val="0094021C"/>
    <w:rsid w:val="00952F86"/>
    <w:rsid w:val="00982B28"/>
    <w:rsid w:val="009C437B"/>
    <w:rsid w:val="009D313F"/>
    <w:rsid w:val="009E209A"/>
    <w:rsid w:val="00A33EE7"/>
    <w:rsid w:val="00A47A5A"/>
    <w:rsid w:val="00A6683B"/>
    <w:rsid w:val="00A763D7"/>
    <w:rsid w:val="00A97F94"/>
    <w:rsid w:val="00B03099"/>
    <w:rsid w:val="00B05BC8"/>
    <w:rsid w:val="00B57DBB"/>
    <w:rsid w:val="00B64B47"/>
    <w:rsid w:val="00BB7213"/>
    <w:rsid w:val="00BE399F"/>
    <w:rsid w:val="00C002DE"/>
    <w:rsid w:val="00C0290F"/>
    <w:rsid w:val="00C21D0B"/>
    <w:rsid w:val="00C53BF8"/>
    <w:rsid w:val="00C566BA"/>
    <w:rsid w:val="00C66157"/>
    <w:rsid w:val="00C674FE"/>
    <w:rsid w:val="00C67501"/>
    <w:rsid w:val="00C67A87"/>
    <w:rsid w:val="00C75633"/>
    <w:rsid w:val="00C84326"/>
    <w:rsid w:val="00CB4866"/>
    <w:rsid w:val="00CE2EE1"/>
    <w:rsid w:val="00CE3349"/>
    <w:rsid w:val="00CE36E5"/>
    <w:rsid w:val="00CF27F5"/>
    <w:rsid w:val="00CF3FFD"/>
    <w:rsid w:val="00D10CCF"/>
    <w:rsid w:val="00D630C8"/>
    <w:rsid w:val="00D77D0F"/>
    <w:rsid w:val="00DA1CF0"/>
    <w:rsid w:val="00DC1E02"/>
    <w:rsid w:val="00DC24B4"/>
    <w:rsid w:val="00DC5FB0"/>
    <w:rsid w:val="00DF16DC"/>
    <w:rsid w:val="00DF51DD"/>
    <w:rsid w:val="00E06E56"/>
    <w:rsid w:val="00E45211"/>
    <w:rsid w:val="00E473C5"/>
    <w:rsid w:val="00E92205"/>
    <w:rsid w:val="00E92863"/>
    <w:rsid w:val="00EB3D11"/>
    <w:rsid w:val="00EB796D"/>
    <w:rsid w:val="00F058DC"/>
    <w:rsid w:val="00F24FC4"/>
    <w:rsid w:val="00F2676C"/>
    <w:rsid w:val="00F84366"/>
    <w:rsid w:val="00F85089"/>
    <w:rsid w:val="00F974C5"/>
    <w:rsid w:val="00FA6F46"/>
    <w:rsid w:val="00FB7045"/>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AEACA1"/>
  <w15:chartTrackingRefBased/>
  <w15:docId w15:val="{E9D5C816-B390-4799-84A1-4A829BF0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nhideWhenUsed/>
    <w:qFormat/>
    <w:rsid w:val="00614855"/>
    <w:pPr>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614855"/>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Tablehead0">
    <w:name w:val="Table_head"/>
    <w:basedOn w:val="Normal"/>
    <w:rsid w:val="00614855"/>
    <w:pPr>
      <w:tabs>
        <w:tab w:val="clear" w:pos="794"/>
      </w:tabs>
      <w:overflowPunct w:val="0"/>
      <w:autoSpaceDE w:val="0"/>
      <w:autoSpaceDN w:val="0"/>
      <w:bidi w:val="0"/>
      <w:adjustRightInd w:val="0"/>
      <w:spacing w:after="120" w:line="240" w:lineRule="auto"/>
      <w:jc w:val="center"/>
      <w:textAlignment w:val="baseline"/>
    </w:pPr>
    <w:rPr>
      <w:rFonts w:eastAsia="Times New Roman"/>
      <w:b/>
      <w:bCs/>
      <w:lang w:val="en-GB" w:eastAsia="en-US"/>
    </w:rPr>
  </w:style>
  <w:style w:type="character" w:styleId="UnresolvedMention">
    <w:name w:val="Unresolved Mention"/>
    <w:basedOn w:val="DefaultParagraphFont"/>
    <w:uiPriority w:val="99"/>
    <w:semiHidden/>
    <w:unhideWhenUsed/>
    <w:rsid w:val="0029717E"/>
    <w:rPr>
      <w:color w:val="605E5C"/>
      <w:shd w:val="clear" w:color="auto" w:fill="E1DFDD"/>
    </w:rPr>
  </w:style>
  <w:style w:type="character" w:customStyle="1" w:styleId="Hyperlink3">
    <w:name w:val="Hyperlink.3"/>
    <w:basedOn w:val="DefaultParagraphFont"/>
    <w:rsid w:val="00C0290F"/>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21-EGITR4-C-0008/e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0-EGITR3-C-0012/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Pages/eg-itrs.aspx" TargetMode="External"/><Relationship Id="rId5" Type="http://schemas.openxmlformats.org/officeDocument/2006/relationships/webSettings" Target="webSettings.xml"/><Relationship Id="rId15" Type="http://schemas.openxmlformats.org/officeDocument/2006/relationships/hyperlink" Target="https://www.itu.int/en/council/Pages/eg-itrs.aspx" TargetMode="External"/><Relationship Id="rId10" Type="http://schemas.openxmlformats.org/officeDocument/2006/relationships/hyperlink" Target="https://www.itu.int/md/S19-CL-C-0139/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en/council/Documents/basic-texts/RES-146-E.pdf" TargetMode="External"/><Relationship Id="rId14" Type="http://schemas.openxmlformats.org/officeDocument/2006/relationships/hyperlink" Target="https://www.itu.int/en/council/Pages/eg-itrs.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7ACE6-4D13-42CF-9BE9-22CFC474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725</Words>
  <Characters>4138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by the Chairman of the Expert Group on the International Telecommunication Regulations (EG-ITRS)</dc:title>
  <dc:subject>Council 2021, Virtual consultation of councillors</dc:subject>
  <dc:creator>Imad, RIZ</dc:creator>
  <cp:keywords>C2021, C21, VCC, C21-VCC-1</cp:keywords>
  <dc:description/>
  <cp:lastModifiedBy>Xue, Kun</cp:lastModifiedBy>
  <cp:revision>2</cp:revision>
  <dcterms:created xsi:type="dcterms:W3CDTF">2021-06-02T16:25:00Z</dcterms:created>
  <dcterms:modified xsi:type="dcterms:W3CDTF">2021-06-02T16:25:00Z</dcterms:modified>
</cp:coreProperties>
</file>