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E7724" w14:paraId="2CC8345D" w14:textId="77777777">
        <w:trPr>
          <w:cantSplit/>
        </w:trPr>
        <w:tc>
          <w:tcPr>
            <w:tcW w:w="6912" w:type="dxa"/>
          </w:tcPr>
          <w:p w14:paraId="01B5EFD9" w14:textId="77777777" w:rsidR="00520F36" w:rsidRPr="006E7724" w:rsidRDefault="00520F36" w:rsidP="00E54F16">
            <w:pPr>
              <w:spacing w:before="360"/>
            </w:pPr>
            <w:bookmarkStart w:id="0" w:name="dc06"/>
            <w:bookmarkEnd w:id="0"/>
            <w:r w:rsidRPr="006E7724">
              <w:rPr>
                <w:b/>
                <w:bCs/>
                <w:sz w:val="30"/>
                <w:szCs w:val="30"/>
              </w:rPr>
              <w:t>Conseil 20</w:t>
            </w:r>
            <w:r w:rsidR="009C353C" w:rsidRPr="006E7724">
              <w:rPr>
                <w:b/>
                <w:bCs/>
                <w:sz w:val="30"/>
                <w:szCs w:val="30"/>
              </w:rPr>
              <w:t>2</w:t>
            </w:r>
            <w:r w:rsidR="004D1D50" w:rsidRPr="006E7724">
              <w:rPr>
                <w:b/>
                <w:bCs/>
                <w:sz w:val="30"/>
                <w:szCs w:val="30"/>
              </w:rPr>
              <w:t>1</w:t>
            </w:r>
            <w:r w:rsidRPr="006E7724">
              <w:rPr>
                <w:rFonts w:ascii="Verdana" w:hAnsi="Verdana"/>
                <w:b/>
                <w:bCs/>
                <w:sz w:val="26"/>
                <w:szCs w:val="26"/>
              </w:rPr>
              <w:br/>
            </w:r>
            <w:r w:rsidR="004D1D50" w:rsidRPr="006E7724">
              <w:rPr>
                <w:b/>
                <w:bCs/>
                <w:sz w:val="28"/>
                <w:szCs w:val="28"/>
              </w:rPr>
              <w:t>Consultation virtuelle des Conseillers</w:t>
            </w:r>
            <w:r w:rsidRPr="006E7724">
              <w:rPr>
                <w:b/>
                <w:bCs/>
                <w:sz w:val="28"/>
                <w:szCs w:val="28"/>
              </w:rPr>
              <w:t xml:space="preserve">, </w:t>
            </w:r>
            <w:r w:rsidR="004D1D50" w:rsidRPr="006E7724">
              <w:rPr>
                <w:b/>
                <w:bCs/>
                <w:sz w:val="28"/>
                <w:szCs w:val="28"/>
              </w:rPr>
              <w:t>8</w:t>
            </w:r>
            <w:r w:rsidRPr="006E7724">
              <w:rPr>
                <w:b/>
                <w:bCs/>
                <w:sz w:val="28"/>
                <w:szCs w:val="28"/>
              </w:rPr>
              <w:t>-</w:t>
            </w:r>
            <w:r w:rsidR="009C353C" w:rsidRPr="006E7724">
              <w:rPr>
                <w:b/>
                <w:bCs/>
                <w:sz w:val="28"/>
                <w:szCs w:val="28"/>
              </w:rPr>
              <w:t>1</w:t>
            </w:r>
            <w:r w:rsidR="004D1D50" w:rsidRPr="006E7724">
              <w:rPr>
                <w:b/>
                <w:bCs/>
                <w:sz w:val="28"/>
                <w:szCs w:val="28"/>
              </w:rPr>
              <w:t>8</w:t>
            </w:r>
            <w:r w:rsidR="00106B19" w:rsidRPr="006E7724">
              <w:rPr>
                <w:b/>
                <w:bCs/>
                <w:sz w:val="28"/>
                <w:szCs w:val="28"/>
              </w:rPr>
              <w:t xml:space="preserve"> juin</w:t>
            </w:r>
            <w:r w:rsidRPr="006E7724">
              <w:rPr>
                <w:b/>
                <w:bCs/>
                <w:sz w:val="28"/>
                <w:szCs w:val="28"/>
              </w:rPr>
              <w:t xml:space="preserve"> 20</w:t>
            </w:r>
            <w:r w:rsidR="009C353C" w:rsidRPr="006E7724">
              <w:rPr>
                <w:b/>
                <w:bCs/>
                <w:sz w:val="28"/>
                <w:szCs w:val="28"/>
              </w:rPr>
              <w:t>2</w:t>
            </w:r>
            <w:r w:rsidR="004D1D50" w:rsidRPr="006E7724">
              <w:rPr>
                <w:b/>
                <w:bCs/>
                <w:sz w:val="28"/>
                <w:szCs w:val="28"/>
              </w:rPr>
              <w:t>1</w:t>
            </w:r>
          </w:p>
        </w:tc>
        <w:tc>
          <w:tcPr>
            <w:tcW w:w="3261" w:type="dxa"/>
          </w:tcPr>
          <w:p w14:paraId="3BBF1653" w14:textId="77777777" w:rsidR="00520F36" w:rsidRPr="006E7724" w:rsidRDefault="009C353C" w:rsidP="00E54F16">
            <w:pPr>
              <w:spacing w:before="0"/>
            </w:pPr>
            <w:bookmarkStart w:id="1" w:name="ditulogo"/>
            <w:bookmarkEnd w:id="1"/>
            <w:r w:rsidRPr="006E7724">
              <w:rPr>
                <w:noProof/>
                <w:lang w:val="en-US"/>
              </w:rPr>
              <w:drawing>
                <wp:inline distT="0" distB="0" distL="0" distR="0" wp14:anchorId="796710B8" wp14:editId="01F95F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E7724" w14:paraId="4B05FADF" w14:textId="77777777" w:rsidTr="00EF41DD">
        <w:trPr>
          <w:cantSplit/>
          <w:trHeight w:val="20"/>
        </w:trPr>
        <w:tc>
          <w:tcPr>
            <w:tcW w:w="6912" w:type="dxa"/>
            <w:tcBorders>
              <w:bottom w:val="single" w:sz="12" w:space="0" w:color="auto"/>
            </w:tcBorders>
            <w:vAlign w:val="center"/>
          </w:tcPr>
          <w:p w14:paraId="178DA5D6" w14:textId="77777777" w:rsidR="00520F36" w:rsidRPr="006E7724" w:rsidRDefault="00520F36" w:rsidP="00E54F16">
            <w:pPr>
              <w:spacing w:before="0"/>
              <w:rPr>
                <w:b/>
                <w:bCs/>
                <w:sz w:val="26"/>
                <w:szCs w:val="26"/>
              </w:rPr>
            </w:pPr>
          </w:p>
        </w:tc>
        <w:tc>
          <w:tcPr>
            <w:tcW w:w="3261" w:type="dxa"/>
            <w:tcBorders>
              <w:bottom w:val="single" w:sz="12" w:space="0" w:color="auto"/>
            </w:tcBorders>
          </w:tcPr>
          <w:p w14:paraId="301FB23F" w14:textId="77777777" w:rsidR="00520F36" w:rsidRPr="006E7724" w:rsidRDefault="00520F36" w:rsidP="00E54F16">
            <w:pPr>
              <w:spacing w:before="0"/>
              <w:rPr>
                <w:b/>
                <w:bCs/>
              </w:rPr>
            </w:pPr>
          </w:p>
        </w:tc>
      </w:tr>
      <w:tr w:rsidR="00520F36" w:rsidRPr="006E7724" w14:paraId="703C03DB" w14:textId="77777777">
        <w:trPr>
          <w:cantSplit/>
          <w:trHeight w:val="20"/>
        </w:trPr>
        <w:tc>
          <w:tcPr>
            <w:tcW w:w="6912" w:type="dxa"/>
            <w:tcBorders>
              <w:top w:val="single" w:sz="12" w:space="0" w:color="auto"/>
            </w:tcBorders>
          </w:tcPr>
          <w:p w14:paraId="3F760AA3" w14:textId="77777777" w:rsidR="00520F36" w:rsidRPr="006E7724" w:rsidRDefault="00520F36" w:rsidP="00E54F16">
            <w:pPr>
              <w:spacing w:before="0"/>
              <w:rPr>
                <w:smallCaps/>
                <w:sz w:val="22"/>
              </w:rPr>
            </w:pPr>
          </w:p>
        </w:tc>
        <w:tc>
          <w:tcPr>
            <w:tcW w:w="3261" w:type="dxa"/>
            <w:tcBorders>
              <w:top w:val="single" w:sz="12" w:space="0" w:color="auto"/>
            </w:tcBorders>
          </w:tcPr>
          <w:p w14:paraId="2E82EFF3" w14:textId="77777777" w:rsidR="00520F36" w:rsidRPr="006E7724" w:rsidRDefault="00520F36" w:rsidP="00E54F16">
            <w:pPr>
              <w:spacing w:before="0"/>
              <w:rPr>
                <w:b/>
                <w:bCs/>
              </w:rPr>
            </w:pPr>
          </w:p>
        </w:tc>
      </w:tr>
      <w:tr w:rsidR="00520F36" w:rsidRPr="006E7724" w14:paraId="1F897AF3" w14:textId="77777777">
        <w:trPr>
          <w:cantSplit/>
          <w:trHeight w:val="20"/>
        </w:trPr>
        <w:tc>
          <w:tcPr>
            <w:tcW w:w="6912" w:type="dxa"/>
            <w:vMerge w:val="restart"/>
          </w:tcPr>
          <w:p w14:paraId="496CECCF" w14:textId="02338DB4" w:rsidR="00520F36" w:rsidRPr="006E7724" w:rsidRDefault="005D11DE" w:rsidP="00E54F16">
            <w:pPr>
              <w:spacing w:before="0"/>
              <w:rPr>
                <w:rFonts w:cs="Times"/>
                <w:b/>
                <w:bCs/>
                <w:szCs w:val="24"/>
              </w:rPr>
            </w:pPr>
            <w:bookmarkStart w:id="2" w:name="dnum" w:colFirst="1" w:colLast="1"/>
            <w:bookmarkStart w:id="3" w:name="dmeeting" w:colFirst="0" w:colLast="0"/>
            <w:r w:rsidRPr="006E7724">
              <w:rPr>
                <w:rFonts w:cs="Times"/>
                <w:b/>
                <w:bCs/>
                <w:szCs w:val="24"/>
              </w:rPr>
              <w:t>Point de l</w:t>
            </w:r>
            <w:r w:rsidR="00C24F45">
              <w:rPr>
                <w:rFonts w:cs="Times"/>
                <w:b/>
                <w:bCs/>
                <w:szCs w:val="24"/>
              </w:rPr>
              <w:t>'</w:t>
            </w:r>
            <w:r w:rsidRPr="006E7724">
              <w:rPr>
                <w:rFonts w:cs="Times"/>
                <w:b/>
                <w:bCs/>
                <w:szCs w:val="24"/>
              </w:rPr>
              <w:t xml:space="preserve">ordre du </w:t>
            </w:r>
            <w:proofErr w:type="gramStart"/>
            <w:r w:rsidRPr="006E7724">
              <w:rPr>
                <w:rFonts w:cs="Times"/>
                <w:b/>
                <w:bCs/>
                <w:szCs w:val="24"/>
              </w:rPr>
              <w:t>jour:</w:t>
            </w:r>
            <w:proofErr w:type="gramEnd"/>
            <w:r w:rsidR="00D82083" w:rsidRPr="0010312B">
              <w:rPr>
                <w:rFonts w:cs="Times"/>
                <w:b/>
                <w:bCs/>
                <w:szCs w:val="24"/>
              </w:rPr>
              <w:t xml:space="preserve"> ADM 23</w:t>
            </w:r>
          </w:p>
        </w:tc>
        <w:tc>
          <w:tcPr>
            <w:tcW w:w="3261" w:type="dxa"/>
          </w:tcPr>
          <w:p w14:paraId="72C58B9A" w14:textId="1407A3BD" w:rsidR="00520F36" w:rsidRPr="006E7724" w:rsidRDefault="00520F36" w:rsidP="00E54F16">
            <w:pPr>
              <w:spacing w:before="0"/>
              <w:rPr>
                <w:b/>
                <w:bCs/>
              </w:rPr>
            </w:pPr>
            <w:r w:rsidRPr="006E7724">
              <w:rPr>
                <w:b/>
                <w:bCs/>
              </w:rPr>
              <w:t>Document C</w:t>
            </w:r>
            <w:r w:rsidR="009C353C" w:rsidRPr="006E7724">
              <w:rPr>
                <w:b/>
                <w:bCs/>
              </w:rPr>
              <w:t>2</w:t>
            </w:r>
            <w:r w:rsidR="004D1D50" w:rsidRPr="006E7724">
              <w:rPr>
                <w:b/>
                <w:bCs/>
              </w:rPr>
              <w:t>1</w:t>
            </w:r>
            <w:r w:rsidRPr="006E7724">
              <w:rPr>
                <w:b/>
                <w:bCs/>
              </w:rPr>
              <w:t>/</w:t>
            </w:r>
            <w:r w:rsidR="00D82083">
              <w:rPr>
                <w:b/>
                <w:bCs/>
              </w:rPr>
              <w:t>25</w:t>
            </w:r>
            <w:r w:rsidRPr="006E7724">
              <w:rPr>
                <w:b/>
                <w:bCs/>
              </w:rPr>
              <w:t>-F</w:t>
            </w:r>
          </w:p>
        </w:tc>
      </w:tr>
      <w:tr w:rsidR="00520F36" w:rsidRPr="006E7724" w14:paraId="55DB99FF" w14:textId="77777777">
        <w:trPr>
          <w:cantSplit/>
          <w:trHeight w:val="20"/>
        </w:trPr>
        <w:tc>
          <w:tcPr>
            <w:tcW w:w="6912" w:type="dxa"/>
            <w:vMerge/>
          </w:tcPr>
          <w:p w14:paraId="783E743F" w14:textId="77777777" w:rsidR="00520F36" w:rsidRPr="006E7724" w:rsidRDefault="00520F36" w:rsidP="00E54F16">
            <w:pPr>
              <w:shd w:val="solid" w:color="FFFFFF" w:fill="FFFFFF"/>
              <w:spacing w:before="180"/>
              <w:rPr>
                <w:smallCaps/>
              </w:rPr>
            </w:pPr>
            <w:bookmarkStart w:id="4" w:name="ddate" w:colFirst="1" w:colLast="1"/>
            <w:bookmarkEnd w:id="2"/>
            <w:bookmarkEnd w:id="3"/>
          </w:p>
        </w:tc>
        <w:tc>
          <w:tcPr>
            <w:tcW w:w="3261" w:type="dxa"/>
          </w:tcPr>
          <w:p w14:paraId="0EFE8907" w14:textId="4CE871F7" w:rsidR="00520F36" w:rsidRPr="006E7724" w:rsidRDefault="00D82083" w:rsidP="00E54F16">
            <w:pPr>
              <w:spacing w:before="0"/>
              <w:rPr>
                <w:b/>
                <w:bCs/>
              </w:rPr>
            </w:pPr>
            <w:r>
              <w:rPr>
                <w:b/>
                <w:bCs/>
              </w:rPr>
              <w:t>23 mars</w:t>
            </w:r>
            <w:r w:rsidR="00520F36" w:rsidRPr="006E7724">
              <w:rPr>
                <w:b/>
                <w:bCs/>
              </w:rPr>
              <w:t xml:space="preserve"> 20</w:t>
            </w:r>
            <w:r w:rsidR="009C353C" w:rsidRPr="006E7724">
              <w:rPr>
                <w:b/>
                <w:bCs/>
              </w:rPr>
              <w:t>2</w:t>
            </w:r>
            <w:r w:rsidR="0097363B" w:rsidRPr="006E7724">
              <w:rPr>
                <w:b/>
                <w:bCs/>
              </w:rPr>
              <w:t>1</w:t>
            </w:r>
          </w:p>
        </w:tc>
      </w:tr>
      <w:tr w:rsidR="00520F36" w:rsidRPr="006E7724" w14:paraId="7DF97578" w14:textId="77777777">
        <w:trPr>
          <w:cantSplit/>
          <w:trHeight w:val="20"/>
        </w:trPr>
        <w:tc>
          <w:tcPr>
            <w:tcW w:w="6912" w:type="dxa"/>
            <w:vMerge/>
          </w:tcPr>
          <w:p w14:paraId="64AFBE46" w14:textId="77777777" w:rsidR="00520F36" w:rsidRPr="006E7724" w:rsidRDefault="00520F36" w:rsidP="00E54F16">
            <w:pPr>
              <w:shd w:val="solid" w:color="FFFFFF" w:fill="FFFFFF"/>
              <w:spacing w:before="180"/>
              <w:rPr>
                <w:smallCaps/>
              </w:rPr>
            </w:pPr>
            <w:bookmarkStart w:id="5" w:name="dorlang" w:colFirst="1" w:colLast="1"/>
            <w:bookmarkEnd w:id="4"/>
          </w:p>
        </w:tc>
        <w:tc>
          <w:tcPr>
            <w:tcW w:w="3261" w:type="dxa"/>
          </w:tcPr>
          <w:p w14:paraId="4523802F" w14:textId="77777777" w:rsidR="00520F36" w:rsidRPr="006E7724" w:rsidRDefault="00520F36" w:rsidP="00E54F16">
            <w:pPr>
              <w:spacing w:before="0"/>
              <w:rPr>
                <w:b/>
                <w:bCs/>
              </w:rPr>
            </w:pPr>
            <w:proofErr w:type="gramStart"/>
            <w:r w:rsidRPr="006E7724">
              <w:rPr>
                <w:b/>
                <w:bCs/>
              </w:rPr>
              <w:t>Original:</w:t>
            </w:r>
            <w:proofErr w:type="gramEnd"/>
            <w:r w:rsidRPr="006E7724">
              <w:rPr>
                <w:b/>
                <w:bCs/>
              </w:rPr>
              <w:t xml:space="preserve"> anglais</w:t>
            </w:r>
          </w:p>
        </w:tc>
      </w:tr>
      <w:tr w:rsidR="00520F36" w:rsidRPr="006E7724" w14:paraId="6D84F482" w14:textId="77777777">
        <w:trPr>
          <w:cantSplit/>
        </w:trPr>
        <w:tc>
          <w:tcPr>
            <w:tcW w:w="10173" w:type="dxa"/>
            <w:gridSpan w:val="2"/>
          </w:tcPr>
          <w:p w14:paraId="661C7A19" w14:textId="29C94EAF" w:rsidR="00520F36" w:rsidRPr="006E7724" w:rsidRDefault="00D82083" w:rsidP="00E54F16">
            <w:pPr>
              <w:pStyle w:val="Source"/>
            </w:pPr>
            <w:bookmarkStart w:id="6" w:name="dsource" w:colFirst="0" w:colLast="0"/>
            <w:bookmarkEnd w:id="5"/>
            <w:r w:rsidRPr="0010312B">
              <w:t>Rapport du Secrétaire général</w:t>
            </w:r>
          </w:p>
        </w:tc>
      </w:tr>
      <w:tr w:rsidR="00520F36" w:rsidRPr="006E7724" w14:paraId="79EA2E52" w14:textId="77777777">
        <w:trPr>
          <w:cantSplit/>
        </w:trPr>
        <w:tc>
          <w:tcPr>
            <w:tcW w:w="10173" w:type="dxa"/>
            <w:gridSpan w:val="2"/>
          </w:tcPr>
          <w:p w14:paraId="20A520DB" w14:textId="7C27AA5B" w:rsidR="00520F36" w:rsidRPr="006E7724" w:rsidRDefault="00D82083" w:rsidP="00E54F16">
            <w:pPr>
              <w:pStyle w:val="Title1"/>
            </w:pPr>
            <w:bookmarkStart w:id="7" w:name="dtitle1" w:colFirst="0" w:colLast="0"/>
            <w:bookmarkEnd w:id="6"/>
            <w:r w:rsidRPr="0010312B">
              <w:t xml:space="preserve">renFORCEMENT DE LA </w:t>
            </w:r>
            <w:r>
              <w:t>prÉsence rÉgionale</w:t>
            </w:r>
          </w:p>
        </w:tc>
      </w:tr>
      <w:bookmarkEnd w:id="7"/>
    </w:tbl>
    <w:p w14:paraId="7A39F2E7" w14:textId="54AB0AF1" w:rsidR="009B3C68" w:rsidRDefault="009B3C68" w:rsidP="00E54F16">
      <w:pPr>
        <w:tabs>
          <w:tab w:val="clear" w:pos="567"/>
          <w:tab w:val="clear" w:pos="1134"/>
          <w:tab w:val="clear" w:pos="1701"/>
          <w:tab w:val="clear" w:pos="2268"/>
          <w:tab w:val="clear" w:pos="2835"/>
        </w:tabs>
        <w:overflowPunct/>
        <w:autoSpaceDE/>
        <w:autoSpaceDN/>
        <w:adjustRightInd/>
        <w:spacing w:before="48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596D" w:rsidRPr="0010312B" w14:paraId="0FA1D8C5" w14:textId="77777777" w:rsidTr="00CD499C">
        <w:trPr>
          <w:trHeight w:val="3372"/>
        </w:trPr>
        <w:tc>
          <w:tcPr>
            <w:tcW w:w="8080" w:type="dxa"/>
            <w:tcBorders>
              <w:top w:val="single" w:sz="12" w:space="0" w:color="auto"/>
              <w:left w:val="single" w:sz="12" w:space="0" w:color="auto"/>
              <w:bottom w:val="single" w:sz="12" w:space="0" w:color="auto"/>
              <w:right w:val="single" w:sz="12" w:space="0" w:color="auto"/>
            </w:tcBorders>
          </w:tcPr>
          <w:p w14:paraId="380B0C81" w14:textId="77777777" w:rsidR="00E5596D" w:rsidRPr="0010312B" w:rsidRDefault="00E5596D" w:rsidP="00E54F16">
            <w:pPr>
              <w:pStyle w:val="Headingb"/>
            </w:pPr>
            <w:bookmarkStart w:id="8" w:name="_Hlk69827779"/>
            <w:r w:rsidRPr="0010312B">
              <w:t>Résumé</w:t>
            </w:r>
          </w:p>
          <w:p w14:paraId="1AEB8D1A" w14:textId="50BCF583" w:rsidR="00E5596D" w:rsidRPr="0010312B" w:rsidRDefault="00E5596D" w:rsidP="00E54F16">
            <w:r w:rsidRPr="0010312B">
              <w:t>Le présent document rend compte de la mise en œuvre de la Résolution 25 (Rév. Dubaï, 2018) de la Conférence de plénipotentiaires.</w:t>
            </w:r>
            <w:r w:rsidRPr="0010312B">
              <w:rPr>
                <w:b/>
              </w:rPr>
              <w:t xml:space="preserve"> </w:t>
            </w:r>
            <w:r w:rsidRPr="0010312B">
              <w:t>On trouvera dans</w:t>
            </w:r>
            <w:r w:rsidRPr="0010312B">
              <w:rPr>
                <w:bCs/>
              </w:rPr>
              <w:t xml:space="preserve"> </w:t>
            </w:r>
            <w:r w:rsidRPr="0010312B">
              <w:t>le</w:t>
            </w:r>
            <w:r w:rsidRPr="0010312B">
              <w:rPr>
                <w:bCs/>
              </w:rPr>
              <w:t xml:space="preserve"> </w:t>
            </w:r>
            <w:hyperlink r:id="rId8" w:history="1">
              <w:r w:rsidRPr="0010312B">
                <w:t>Document </w:t>
              </w:r>
              <w:r>
                <w:rPr>
                  <w:rStyle w:val="Hyperlink"/>
                </w:rPr>
                <w:t>C21/INF/6</w:t>
              </w:r>
            </w:hyperlink>
            <w:r w:rsidRPr="0010312B">
              <w:rPr>
                <w:bCs/>
              </w:rPr>
              <w:t xml:space="preserve"> neuf annexes se rapportant au présent document (Annexes 1 à 9).</w:t>
            </w:r>
            <w:r>
              <w:rPr>
                <w:bCs/>
              </w:rPr>
              <w:t xml:space="preserve"> La version de 2020 du présent rapport (Document C20/25) et le document d</w:t>
            </w:r>
            <w:r w:rsidR="00C24F45">
              <w:rPr>
                <w:bCs/>
              </w:rPr>
              <w:t>'</w:t>
            </w:r>
            <w:r>
              <w:rPr>
                <w:bCs/>
              </w:rPr>
              <w:t>information qui l</w:t>
            </w:r>
            <w:r w:rsidR="00C24F45">
              <w:rPr>
                <w:bCs/>
              </w:rPr>
              <w:t>'</w:t>
            </w:r>
            <w:r>
              <w:rPr>
                <w:bCs/>
              </w:rPr>
              <w:t>accompagne (Document C20/INF/10) avaient initialement été élaborés en vue de leur soumission à la session de 2020 du Conseil, mais</w:t>
            </w:r>
            <w:r w:rsidR="005E5087">
              <w:rPr>
                <w:bCs/>
              </w:rPr>
              <w:t xml:space="preserve"> </w:t>
            </w:r>
            <w:r>
              <w:rPr>
                <w:bCs/>
              </w:rPr>
              <w:t>n</w:t>
            </w:r>
            <w:r w:rsidR="00C24F45">
              <w:rPr>
                <w:bCs/>
              </w:rPr>
              <w:t>'</w:t>
            </w:r>
            <w:r>
              <w:rPr>
                <w:bCs/>
              </w:rPr>
              <w:t>ont pas été examinés.</w:t>
            </w:r>
          </w:p>
          <w:p w14:paraId="5990E8EC" w14:textId="77777777" w:rsidR="00E5596D" w:rsidRPr="0010312B" w:rsidRDefault="00E5596D" w:rsidP="00E54F16">
            <w:pPr>
              <w:pStyle w:val="Headingb"/>
            </w:pPr>
            <w:proofErr w:type="gramStart"/>
            <w:r w:rsidRPr="0010312B">
              <w:t>Suite à</w:t>
            </w:r>
            <w:proofErr w:type="gramEnd"/>
            <w:r w:rsidRPr="0010312B">
              <w:t xml:space="preserve"> donner</w:t>
            </w:r>
          </w:p>
          <w:p w14:paraId="274494B4" w14:textId="2848FB55" w:rsidR="00E5596D" w:rsidRPr="0010312B" w:rsidRDefault="00E5596D" w:rsidP="00E54F16">
            <w:r w:rsidRPr="0010312B">
              <w:t xml:space="preserve">Le Conseil est invité à </w:t>
            </w:r>
            <w:r w:rsidRPr="0010312B">
              <w:rPr>
                <w:b/>
                <w:bCs/>
              </w:rPr>
              <w:t>prendre note</w:t>
            </w:r>
            <w:r w:rsidRPr="0010312B">
              <w:t xml:space="preserve"> du présent rapport</w:t>
            </w:r>
            <w:r w:rsidR="00333C82">
              <w:t xml:space="preserve"> ainsi que du Document </w:t>
            </w:r>
            <w:r>
              <w:t>C20/25</w:t>
            </w:r>
            <w:r w:rsidRPr="0010312B">
              <w:t>.</w:t>
            </w:r>
          </w:p>
          <w:p w14:paraId="0D09979C" w14:textId="77777777" w:rsidR="00E5596D" w:rsidRPr="0010312B" w:rsidRDefault="00E5596D" w:rsidP="00E54F16">
            <w:pPr>
              <w:pStyle w:val="Table"/>
              <w:keepNext w:val="0"/>
              <w:spacing w:before="0" w:after="0"/>
              <w:rPr>
                <w:rFonts w:ascii="Calibri" w:hAnsi="Calibri"/>
                <w:caps w:val="0"/>
                <w:sz w:val="22"/>
                <w:lang w:val="fr-FR"/>
              </w:rPr>
            </w:pPr>
            <w:r w:rsidRPr="0010312B">
              <w:rPr>
                <w:rFonts w:ascii="Calibri" w:hAnsi="Calibri"/>
                <w:caps w:val="0"/>
                <w:sz w:val="22"/>
                <w:lang w:val="fr-FR"/>
              </w:rPr>
              <w:t>____________</w:t>
            </w:r>
          </w:p>
          <w:p w14:paraId="4409E375" w14:textId="77777777" w:rsidR="00E5596D" w:rsidRPr="0010312B" w:rsidRDefault="00E5596D" w:rsidP="00E54F16">
            <w:pPr>
              <w:pStyle w:val="Headingb"/>
            </w:pPr>
            <w:r w:rsidRPr="0010312B">
              <w:t>Références</w:t>
            </w:r>
          </w:p>
          <w:p w14:paraId="4A67EAA7" w14:textId="3619E0EE" w:rsidR="00E5596D" w:rsidRPr="0010312B" w:rsidRDefault="00334DAB" w:rsidP="00E54F16">
            <w:pPr>
              <w:spacing w:after="120"/>
              <w:rPr>
                <w:i/>
                <w:iCs/>
              </w:rPr>
            </w:pPr>
            <w:hyperlink r:id="rId9" w:history="1">
              <w:r w:rsidR="00E5596D" w:rsidRPr="0010312B">
                <w:rPr>
                  <w:rStyle w:val="Hyperlink"/>
                  <w:bCs/>
                  <w:i/>
                  <w:iCs/>
                </w:rPr>
                <w:t>Résolution 25 (Rév. Dubaï, 2018)</w:t>
              </w:r>
            </w:hyperlink>
            <w:r w:rsidR="00E5596D" w:rsidRPr="0010312B">
              <w:rPr>
                <w:i/>
                <w:iCs/>
              </w:rPr>
              <w:t xml:space="preserve"> de la Conférence de </w:t>
            </w:r>
            <w:proofErr w:type="gramStart"/>
            <w:r w:rsidR="00E5596D" w:rsidRPr="0010312B">
              <w:rPr>
                <w:i/>
                <w:iCs/>
              </w:rPr>
              <w:t>plénipotentiaires;</w:t>
            </w:r>
            <w:proofErr w:type="gramEnd"/>
            <w:r w:rsidR="00E5596D" w:rsidRPr="0010312B">
              <w:rPr>
                <w:i/>
                <w:iCs/>
              </w:rPr>
              <w:t xml:space="preserve"> Documents </w:t>
            </w:r>
            <w:hyperlink r:id="rId10" w:history="1">
              <w:r w:rsidR="00E5596D" w:rsidRPr="0010312B">
                <w:rPr>
                  <w:rStyle w:val="Hyperlink"/>
                  <w:i/>
                  <w:iCs/>
                </w:rPr>
                <w:t>C17/INF/12</w:t>
              </w:r>
            </w:hyperlink>
            <w:r w:rsidR="00E5596D" w:rsidRPr="0010312B">
              <w:rPr>
                <w:i/>
                <w:iCs/>
              </w:rPr>
              <w:t xml:space="preserve">, </w:t>
            </w:r>
            <w:hyperlink r:id="rId11" w:history="1">
              <w:r w:rsidR="00E5596D" w:rsidRPr="0010312B">
                <w:rPr>
                  <w:rStyle w:val="Hyperlink"/>
                  <w:i/>
                  <w:iCs/>
                </w:rPr>
                <w:t>C19/INF/7</w:t>
              </w:r>
            </w:hyperlink>
            <w:r w:rsidR="00E5596D" w:rsidRPr="0010312B">
              <w:rPr>
                <w:i/>
                <w:iCs/>
              </w:rPr>
              <w:t xml:space="preserve">, </w:t>
            </w:r>
            <w:hyperlink r:id="rId12" w:history="1">
              <w:r w:rsidR="00E5596D" w:rsidRPr="0010312B">
                <w:rPr>
                  <w:rStyle w:val="Hyperlink"/>
                  <w:i/>
                  <w:iCs/>
                </w:rPr>
                <w:t>C20/INF/10</w:t>
              </w:r>
            </w:hyperlink>
            <w:r w:rsidR="00E5596D" w:rsidRPr="0010312B">
              <w:rPr>
                <w:i/>
                <w:iCs/>
              </w:rPr>
              <w:t xml:space="preserve"> </w:t>
            </w:r>
            <w:r w:rsidR="00E5596D">
              <w:rPr>
                <w:i/>
                <w:iCs/>
              </w:rPr>
              <w:t xml:space="preserve">et </w:t>
            </w:r>
            <w:hyperlink r:id="rId13" w:history="1">
              <w:r w:rsidR="00E5596D" w:rsidRPr="00B016FB">
                <w:rPr>
                  <w:rStyle w:val="Hyperlink"/>
                  <w:i/>
                  <w:iCs/>
                </w:rPr>
                <w:t>C2</w:t>
              </w:r>
              <w:r w:rsidR="00B016FB" w:rsidRPr="00B016FB">
                <w:rPr>
                  <w:rStyle w:val="Hyperlink"/>
                  <w:i/>
                  <w:iCs/>
                </w:rPr>
                <w:t>1</w:t>
              </w:r>
              <w:r w:rsidR="00E5596D" w:rsidRPr="00B016FB">
                <w:rPr>
                  <w:rStyle w:val="Hyperlink"/>
                  <w:i/>
                  <w:iCs/>
                </w:rPr>
                <w:t>/INF/6</w:t>
              </w:r>
            </w:hyperlink>
            <w:r w:rsidR="00E5596D">
              <w:rPr>
                <w:i/>
                <w:iCs/>
              </w:rPr>
              <w:t xml:space="preserve"> </w:t>
            </w:r>
            <w:r w:rsidR="00E5596D" w:rsidRPr="0010312B">
              <w:rPr>
                <w:i/>
                <w:iCs/>
              </w:rPr>
              <w:t>du Conseil</w:t>
            </w:r>
          </w:p>
        </w:tc>
      </w:tr>
    </w:tbl>
    <w:bookmarkEnd w:id="8"/>
    <w:p w14:paraId="74346A18" w14:textId="77777777" w:rsidR="00E5596D" w:rsidRPr="00E5596D" w:rsidRDefault="00E5596D" w:rsidP="00E54F16">
      <w:pPr>
        <w:pStyle w:val="Heading1"/>
        <w:rPr>
          <w:rFonts w:eastAsiaTheme="minorEastAsia"/>
        </w:rPr>
      </w:pPr>
      <w:r w:rsidRPr="00E5596D">
        <w:rPr>
          <w:rFonts w:eastAsiaTheme="minorEastAsia"/>
        </w:rPr>
        <w:t>1</w:t>
      </w:r>
      <w:r w:rsidRPr="00E5596D">
        <w:rPr>
          <w:rFonts w:eastAsiaTheme="minorEastAsia"/>
        </w:rPr>
        <w:tab/>
        <w:t>Rappel</w:t>
      </w:r>
    </w:p>
    <w:p w14:paraId="19D706C5" w14:textId="068A1D3A" w:rsidR="00E5596D" w:rsidRPr="00E5596D" w:rsidRDefault="00E5596D" w:rsidP="00E54F16">
      <w:pPr>
        <w:rPr>
          <w:rFonts w:eastAsiaTheme="minorEastAsia"/>
        </w:rPr>
      </w:pPr>
      <w:r w:rsidRPr="00E5596D">
        <w:rPr>
          <w:rFonts w:eastAsiaTheme="minorEastAsia"/>
        </w:rPr>
        <w:t>1.1</w:t>
      </w:r>
      <w:r w:rsidRPr="00E5596D">
        <w:rPr>
          <w:rFonts w:eastAsiaTheme="minorEastAsia"/>
        </w:rPr>
        <w:tab/>
        <w:t>La Résolution 25 relative au renforcement de la présence régionale a été révisée par la Conférence de plénipotentiaires de l</w:t>
      </w:r>
      <w:r w:rsidR="00C24F45">
        <w:rPr>
          <w:rFonts w:eastAsiaTheme="minorEastAsia"/>
        </w:rPr>
        <w:t>'</w:t>
      </w:r>
      <w:r w:rsidRPr="00E5596D">
        <w:rPr>
          <w:rFonts w:eastAsiaTheme="minorEastAsia"/>
        </w:rPr>
        <w:t>UIT (PP-18) tenue en 2018 à Dubaï. Lors de cette Conférence, les membres de l</w:t>
      </w:r>
      <w:r w:rsidR="00C24F45">
        <w:rPr>
          <w:rFonts w:eastAsiaTheme="minorEastAsia"/>
        </w:rPr>
        <w:t>'</w:t>
      </w:r>
      <w:r w:rsidRPr="00E5596D">
        <w:rPr>
          <w:rFonts w:eastAsiaTheme="minorEastAsia"/>
        </w:rPr>
        <w:t>UIT ont décidé "de renforcer les fonctions des bureaux régionaux, afin qu</w:t>
      </w:r>
      <w:r w:rsidR="00C24F45">
        <w:rPr>
          <w:rFonts w:eastAsiaTheme="minorEastAsia"/>
        </w:rPr>
        <w:t>'</w:t>
      </w:r>
      <w:r w:rsidRPr="00E5596D">
        <w:rPr>
          <w:rFonts w:eastAsiaTheme="minorEastAsia"/>
        </w:rPr>
        <w:t>ils puissent participer à la mise en œuvre du plan stratégique, des programmes et des projets de l</w:t>
      </w:r>
      <w:r w:rsidR="00C24F45">
        <w:rPr>
          <w:rFonts w:eastAsiaTheme="minorEastAsia"/>
        </w:rPr>
        <w:t>'</w:t>
      </w:r>
      <w:r w:rsidRPr="00E5596D">
        <w:rPr>
          <w:rFonts w:eastAsiaTheme="minorEastAsia"/>
        </w:rPr>
        <w:t>UIT, ainsi que des initiatives régionales établies dans la Résolution 17 (Rév. Buenos Aires, 2017) de la CMDT".</w:t>
      </w:r>
    </w:p>
    <w:p w14:paraId="692B6458" w14:textId="0D13ADAC" w:rsidR="00E5596D" w:rsidRPr="00E5596D" w:rsidRDefault="00E5596D" w:rsidP="00E54F16">
      <w:pPr>
        <w:rPr>
          <w:rFonts w:eastAsiaTheme="minorEastAsia"/>
          <w:szCs w:val="24"/>
        </w:rPr>
      </w:pPr>
      <w:r w:rsidRPr="00E5596D">
        <w:rPr>
          <w:rFonts w:eastAsiaTheme="minorEastAsia"/>
        </w:rPr>
        <w:t>1.2</w:t>
      </w:r>
      <w:r w:rsidRPr="00E5596D">
        <w:rPr>
          <w:rFonts w:eastAsiaTheme="minorEastAsia"/>
        </w:rPr>
        <w:tab/>
        <w:t>Des efforts ont continué d</w:t>
      </w:r>
      <w:r w:rsidR="00C24F45">
        <w:rPr>
          <w:rFonts w:eastAsiaTheme="minorEastAsia"/>
        </w:rPr>
        <w:t>'</w:t>
      </w:r>
      <w:r w:rsidRPr="00E5596D">
        <w:rPr>
          <w:rFonts w:eastAsiaTheme="minorEastAsia"/>
        </w:rPr>
        <w:t>être déployés en 2020 en vue de renforcer la présence régionale de l</w:t>
      </w:r>
      <w:r w:rsidR="00C24F45">
        <w:rPr>
          <w:rFonts w:eastAsiaTheme="minorEastAsia"/>
        </w:rPr>
        <w:t>'</w:t>
      </w:r>
      <w:r w:rsidRPr="00E5596D">
        <w:rPr>
          <w:rFonts w:eastAsiaTheme="minorEastAsia"/>
        </w:rPr>
        <w:t>UIT par le biais d</w:t>
      </w:r>
      <w:r w:rsidR="00C24F45">
        <w:rPr>
          <w:rFonts w:eastAsiaTheme="minorEastAsia"/>
        </w:rPr>
        <w:t>'</w:t>
      </w:r>
      <w:r w:rsidRPr="00E5596D">
        <w:rPr>
          <w:rFonts w:eastAsiaTheme="minorEastAsia"/>
        </w:rPr>
        <w:t>un ensemble de mesures visant à permettre à l</w:t>
      </w:r>
      <w:r w:rsidR="00C24F45">
        <w:rPr>
          <w:rFonts w:eastAsiaTheme="minorEastAsia"/>
        </w:rPr>
        <w:t>'</w:t>
      </w:r>
      <w:r w:rsidRPr="00E5596D">
        <w:rPr>
          <w:rFonts w:eastAsiaTheme="minorEastAsia"/>
        </w:rPr>
        <w:t xml:space="preserve">Union de mieux répondre aux besoins particuliers des régions et de fournir efficacement et dans les meilleurs délais des résultats et des services de qualité aux niveaux national et régional. </w:t>
      </w:r>
      <w:r w:rsidRPr="00E5596D">
        <w:rPr>
          <w:rFonts w:eastAsiaTheme="minorEastAsia"/>
          <w:szCs w:val="24"/>
        </w:rPr>
        <w:t xml:space="preserve">À sa session de 2019, le Conseil a </w:t>
      </w:r>
      <w:r w:rsidRPr="00E5596D">
        <w:rPr>
          <w:rFonts w:eastAsiaTheme="minorEastAsia"/>
          <w:szCs w:val="24"/>
        </w:rPr>
        <w:lastRenderedPageBreak/>
        <w:t>approuvé la Décision 616 (disponible dans l</w:t>
      </w:r>
      <w:r w:rsidR="00C24F45">
        <w:rPr>
          <w:rFonts w:eastAsiaTheme="minorEastAsia"/>
          <w:szCs w:val="24"/>
        </w:rPr>
        <w:t>'</w:t>
      </w:r>
      <w:hyperlink w:anchor="appendice" w:history="1">
        <w:r w:rsidRPr="00334DAB">
          <w:rPr>
            <w:rStyle w:val="Hyperlink"/>
            <w:rFonts w:eastAsiaTheme="minorEastAsia"/>
            <w:szCs w:val="24"/>
          </w:rPr>
          <w:t>Appendice</w:t>
        </w:r>
      </w:hyperlink>
      <w:r w:rsidRPr="00E5596D">
        <w:rPr>
          <w:rFonts w:eastAsiaTheme="minorEastAsia"/>
          <w:szCs w:val="24"/>
        </w:rPr>
        <w:t>), par laquelle le Secrétaire général est chargé de procéder à un examen de la présence régionale afin d</w:t>
      </w:r>
      <w:r w:rsidR="00C24F45">
        <w:rPr>
          <w:rFonts w:eastAsiaTheme="minorEastAsia"/>
          <w:szCs w:val="24"/>
        </w:rPr>
        <w:t>'</w:t>
      </w:r>
      <w:r w:rsidRPr="00E5596D">
        <w:rPr>
          <w:rFonts w:eastAsiaTheme="minorEastAsia"/>
          <w:szCs w:val="24"/>
        </w:rPr>
        <w:t>en améliorer l</w:t>
      </w:r>
      <w:r w:rsidR="00C24F45">
        <w:rPr>
          <w:rFonts w:eastAsiaTheme="minorEastAsia"/>
          <w:szCs w:val="24"/>
        </w:rPr>
        <w:t>'</w:t>
      </w:r>
      <w:r w:rsidRPr="00E5596D">
        <w:rPr>
          <w:rFonts w:eastAsiaTheme="minorEastAsia"/>
          <w:szCs w:val="24"/>
        </w:rPr>
        <w:t>efficience et l</w:t>
      </w:r>
      <w:r w:rsidR="00C24F45">
        <w:rPr>
          <w:rFonts w:eastAsiaTheme="minorEastAsia"/>
          <w:szCs w:val="24"/>
        </w:rPr>
        <w:t>'</w:t>
      </w:r>
      <w:r w:rsidRPr="00E5596D">
        <w:rPr>
          <w:rFonts w:eastAsiaTheme="minorEastAsia"/>
          <w:szCs w:val="24"/>
        </w:rPr>
        <w:t>efficacité. Le cabinet PwC a été</w:t>
      </w:r>
      <w:r w:rsidR="005E5087">
        <w:rPr>
          <w:rFonts w:eastAsiaTheme="minorEastAsia"/>
          <w:szCs w:val="24"/>
        </w:rPr>
        <w:t xml:space="preserve"> </w:t>
      </w:r>
      <w:r w:rsidRPr="00E5596D">
        <w:rPr>
          <w:rFonts w:eastAsiaTheme="minorEastAsia"/>
          <w:szCs w:val="24"/>
        </w:rPr>
        <w:t>retenu et a commencé ses travaux en novembre 2019. Son rapport, qui contient des recommandations destinées à améliorer la présence régionale de l</w:t>
      </w:r>
      <w:r w:rsidR="00C24F45">
        <w:rPr>
          <w:rFonts w:eastAsiaTheme="minorEastAsia"/>
          <w:szCs w:val="24"/>
        </w:rPr>
        <w:t>'</w:t>
      </w:r>
      <w:r w:rsidRPr="00E5596D">
        <w:rPr>
          <w:rFonts w:eastAsiaTheme="minorEastAsia"/>
          <w:szCs w:val="24"/>
        </w:rPr>
        <w:t>UIT</w:t>
      </w:r>
      <w:r w:rsidR="005E5087">
        <w:rPr>
          <w:rFonts w:eastAsiaTheme="minorEastAsia"/>
          <w:szCs w:val="24"/>
        </w:rPr>
        <w:t xml:space="preserve"> </w:t>
      </w:r>
      <w:r w:rsidRPr="00E5596D">
        <w:rPr>
          <w:rFonts w:eastAsiaTheme="minorEastAsia"/>
          <w:szCs w:val="24"/>
        </w:rPr>
        <w:t>ainsi qu</w:t>
      </w:r>
      <w:r w:rsidR="00C24F45">
        <w:rPr>
          <w:rFonts w:eastAsiaTheme="minorEastAsia"/>
          <w:szCs w:val="24"/>
        </w:rPr>
        <w:t>'</w:t>
      </w:r>
      <w:r w:rsidRPr="00E5596D">
        <w:rPr>
          <w:rFonts w:eastAsiaTheme="minorEastAsia"/>
          <w:szCs w:val="24"/>
        </w:rPr>
        <w:t>un Plan d</w:t>
      </w:r>
      <w:r w:rsidR="00C24F45">
        <w:rPr>
          <w:rFonts w:eastAsiaTheme="minorEastAsia"/>
          <w:szCs w:val="24"/>
        </w:rPr>
        <w:t>'</w:t>
      </w:r>
      <w:r w:rsidRPr="00E5596D">
        <w:rPr>
          <w:rFonts w:eastAsiaTheme="minorEastAsia"/>
          <w:szCs w:val="24"/>
        </w:rPr>
        <w:t>action, a été soumis en juillet 2020. Ce rapport a été présenté à la deuxième consulta</w:t>
      </w:r>
      <w:r w:rsidR="00333C82">
        <w:rPr>
          <w:rFonts w:eastAsiaTheme="minorEastAsia"/>
          <w:szCs w:val="24"/>
        </w:rPr>
        <w:t xml:space="preserve">tion virtuelle des Conseillers </w:t>
      </w:r>
      <w:r w:rsidRPr="00E5596D">
        <w:rPr>
          <w:rFonts w:eastAsiaTheme="minorEastAsia"/>
          <w:szCs w:val="24"/>
        </w:rPr>
        <w:t>tenue en novembre 2020.</w:t>
      </w:r>
    </w:p>
    <w:p w14:paraId="40B56753" w14:textId="6EEA83A4" w:rsidR="00E5596D" w:rsidRPr="00E5596D" w:rsidRDefault="00E5596D" w:rsidP="00E54F16">
      <w:pPr>
        <w:rPr>
          <w:rFonts w:eastAsia="Arial Unicode MS" w:cstheme="minorHAnsi"/>
          <w:szCs w:val="24"/>
        </w:rPr>
      </w:pPr>
      <w:r w:rsidRPr="00E5596D">
        <w:rPr>
          <w:rFonts w:eastAsiaTheme="minorEastAsia"/>
        </w:rPr>
        <w:t>1.3</w:t>
      </w:r>
      <w:r w:rsidRPr="00E5596D">
        <w:rPr>
          <w:rFonts w:eastAsiaTheme="minorEastAsia"/>
        </w:rPr>
        <w:tab/>
        <w:t>Le présent rapport fournit des renseignements sur la mise en œuvre du plan d</w:t>
      </w:r>
      <w:r w:rsidR="00C24F45">
        <w:rPr>
          <w:rFonts w:eastAsiaTheme="minorEastAsia"/>
        </w:rPr>
        <w:t>'</w:t>
      </w:r>
      <w:r w:rsidRPr="00E5596D">
        <w:rPr>
          <w:rFonts w:eastAsiaTheme="minorEastAsia"/>
        </w:rPr>
        <w:t>action et des initiatives régionales. On y trouve aussi des renseignements détaillés sur la mise en œuvre du budget 2020, qu</w:t>
      </w:r>
      <w:r w:rsidR="00C24F45">
        <w:rPr>
          <w:rFonts w:eastAsiaTheme="minorEastAsia"/>
        </w:rPr>
        <w:t>'</w:t>
      </w:r>
      <w:r w:rsidRPr="00E5596D">
        <w:rPr>
          <w:rFonts w:eastAsiaTheme="minorEastAsia"/>
        </w:rPr>
        <w:t>il s</w:t>
      </w:r>
      <w:r w:rsidR="00C24F45">
        <w:rPr>
          <w:rFonts w:eastAsiaTheme="minorEastAsia"/>
        </w:rPr>
        <w:t>'</w:t>
      </w:r>
      <w:r w:rsidRPr="00E5596D">
        <w:rPr>
          <w:rFonts w:eastAsiaTheme="minorEastAsia"/>
        </w:rPr>
        <w:t>agisse du budget ordinaire ou des sources de financement extrabudgétaires, ainsi que des renseignements actualisés sur les effectifs des différents bureaux régionaux et bureaux de zone et d</w:t>
      </w:r>
      <w:r w:rsidR="00C24F45">
        <w:rPr>
          <w:rFonts w:eastAsiaTheme="minorEastAsia"/>
        </w:rPr>
        <w:t>'</w:t>
      </w:r>
      <w:r w:rsidRPr="00E5596D">
        <w:rPr>
          <w:rFonts w:eastAsiaTheme="minorEastAsia"/>
        </w:rPr>
        <w:t>autres renseignements d</w:t>
      </w:r>
      <w:r w:rsidR="00C24F45">
        <w:rPr>
          <w:rFonts w:eastAsiaTheme="minorEastAsia"/>
        </w:rPr>
        <w:t>'</w:t>
      </w:r>
      <w:r w:rsidRPr="00E5596D">
        <w:rPr>
          <w:rFonts w:eastAsiaTheme="minorEastAsia"/>
        </w:rPr>
        <w:t>ordre opérationnel, portant par exemple sur les bourses, les experts et les missions accomplies par des experts internes. Le présent document est</w:t>
      </w:r>
      <w:r w:rsidRPr="00E5596D">
        <w:rPr>
          <w:rFonts w:eastAsia="Arial Unicode MS" w:cstheme="minorHAnsi"/>
          <w:szCs w:val="24"/>
        </w:rPr>
        <w:t xml:space="preserve"> complété par le </w:t>
      </w:r>
      <w:hyperlink r:id="rId14" w:history="1">
        <w:r w:rsidRPr="00E5596D">
          <w:rPr>
            <w:rFonts w:eastAsia="Arial Unicode MS"/>
          </w:rPr>
          <w:t>Document d</w:t>
        </w:r>
        <w:r w:rsidR="00C24F45">
          <w:rPr>
            <w:rFonts w:eastAsia="Arial Unicode MS"/>
          </w:rPr>
          <w:t>'</w:t>
        </w:r>
        <w:r w:rsidRPr="00E5596D">
          <w:rPr>
            <w:rFonts w:eastAsia="Arial Unicode MS"/>
          </w:rPr>
          <w:t xml:space="preserve">information </w:t>
        </w:r>
        <w:hyperlink r:id="rId15" w:history="1">
          <w:r w:rsidRPr="00E5596D">
            <w:rPr>
              <w:rFonts w:eastAsiaTheme="minorEastAsia"/>
              <w:color w:val="0000FF"/>
              <w:u w:val="single"/>
            </w:rPr>
            <w:t>C21/INF/6</w:t>
          </w:r>
        </w:hyperlink>
      </w:hyperlink>
      <w:r w:rsidRPr="00E5596D">
        <w:rPr>
          <w:rFonts w:eastAsia="Arial Unicode MS" w:cstheme="minorHAnsi"/>
          <w:szCs w:val="24"/>
        </w:rPr>
        <w:t xml:space="preserve">, qui contient les annexes </w:t>
      </w:r>
      <w:proofErr w:type="gramStart"/>
      <w:r w:rsidRPr="00E5596D">
        <w:rPr>
          <w:rFonts w:eastAsia="Arial Unicode MS" w:cstheme="minorHAnsi"/>
          <w:szCs w:val="24"/>
        </w:rPr>
        <w:t>suivantes:</w:t>
      </w:r>
      <w:proofErr w:type="gramEnd"/>
    </w:p>
    <w:p w14:paraId="0A49AF73"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1</w:t>
      </w:r>
      <w:r w:rsidRPr="00E5596D">
        <w:rPr>
          <w:rFonts w:eastAsiaTheme="minorEastAsia"/>
        </w:rPr>
        <w:tab/>
        <w:t>Principaux résultats obtenus en 2020, par région</w:t>
      </w:r>
    </w:p>
    <w:p w14:paraId="47DC8F84"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2</w:t>
      </w:r>
      <w:r w:rsidRPr="00E5596D">
        <w:rPr>
          <w:rFonts w:eastAsiaTheme="minorEastAsia"/>
        </w:rPr>
        <w:tab/>
        <w:t>Contribution aux travaux des autres Secteurs et du Secrétariat général</w:t>
      </w:r>
    </w:p>
    <w:p w14:paraId="737A9264" w14:textId="1070AE23"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3</w:t>
      </w:r>
      <w:r w:rsidRPr="00E5596D">
        <w:rPr>
          <w:rFonts w:eastAsiaTheme="minorEastAsia"/>
        </w:rPr>
        <w:tab/>
        <w:t>Activités d</w:t>
      </w:r>
      <w:r w:rsidR="00C24F45">
        <w:rPr>
          <w:rFonts w:eastAsiaTheme="minorEastAsia"/>
        </w:rPr>
        <w:t>'</w:t>
      </w:r>
      <w:r w:rsidRPr="00E5596D">
        <w:rPr>
          <w:rFonts w:eastAsiaTheme="minorEastAsia"/>
        </w:rPr>
        <w:t>appui à l</w:t>
      </w:r>
      <w:r w:rsidR="00C24F45">
        <w:rPr>
          <w:rFonts w:eastAsiaTheme="minorEastAsia"/>
        </w:rPr>
        <w:t>'</w:t>
      </w:r>
      <w:r w:rsidRPr="00E5596D">
        <w:rPr>
          <w:rFonts w:eastAsiaTheme="minorEastAsia"/>
        </w:rPr>
        <w:t>autonomisation des bureaux régionaux et des bureaux de zone</w:t>
      </w:r>
    </w:p>
    <w:p w14:paraId="404F058F"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4</w:t>
      </w:r>
      <w:r w:rsidRPr="00E5596D">
        <w:rPr>
          <w:rFonts w:eastAsiaTheme="minorEastAsia"/>
        </w:rPr>
        <w:tab/>
        <w:t>Résumé des dépenses des bureaux régionaux et des bureaux de zone en 2020</w:t>
      </w:r>
    </w:p>
    <w:p w14:paraId="329502E9"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5</w:t>
      </w:r>
      <w:r w:rsidRPr="00E5596D">
        <w:rPr>
          <w:rFonts w:eastAsiaTheme="minorEastAsia"/>
        </w:rPr>
        <w:tab/>
        <w:t xml:space="preserve">Niveau de mise en œuvre du plan opérationnel ainsi que des projets en 2020, par région </w:t>
      </w:r>
    </w:p>
    <w:p w14:paraId="199D74D2"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6</w:t>
      </w:r>
      <w:r w:rsidRPr="00E5596D">
        <w:rPr>
          <w:rFonts w:eastAsiaTheme="minorEastAsia"/>
        </w:rPr>
        <w:tab/>
        <w:t xml:space="preserve">Ventilation des dépenses des bureaux régionaux et des bureaux de zone en 2020, par catégorie </w:t>
      </w:r>
    </w:p>
    <w:p w14:paraId="48975D67"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7</w:t>
      </w:r>
      <w:r w:rsidRPr="00E5596D">
        <w:rPr>
          <w:rFonts w:eastAsiaTheme="minorEastAsia"/>
        </w:rPr>
        <w:tab/>
        <w:t>Bourses accordées et experts recrutés en 2020</w:t>
      </w:r>
    </w:p>
    <w:p w14:paraId="71E70C56"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8</w:t>
      </w:r>
      <w:r w:rsidRPr="00E5596D">
        <w:rPr>
          <w:rFonts w:eastAsiaTheme="minorEastAsia"/>
        </w:rPr>
        <w:tab/>
        <w:t>Résumé des effectifs par bureau régional et bureau de zone</w:t>
      </w:r>
    </w:p>
    <w:p w14:paraId="47D129DD" w14:textId="77777777" w:rsidR="00E5596D" w:rsidRPr="00E5596D" w:rsidRDefault="00E5596D" w:rsidP="00E54F16">
      <w:pPr>
        <w:pStyle w:val="enumlev1"/>
        <w:rPr>
          <w:rFonts w:eastAsiaTheme="minorEastAsia"/>
        </w:rPr>
      </w:pPr>
      <w:r w:rsidRPr="00E5596D">
        <w:rPr>
          <w:rFonts w:eastAsiaTheme="minorEastAsia"/>
        </w:rPr>
        <w:t>•</w:t>
      </w:r>
      <w:r w:rsidRPr="00E5596D">
        <w:rPr>
          <w:rFonts w:eastAsiaTheme="minorEastAsia"/>
        </w:rPr>
        <w:tab/>
        <w:t>Annexe 9</w:t>
      </w:r>
      <w:r w:rsidRPr="00E5596D">
        <w:rPr>
          <w:rFonts w:eastAsiaTheme="minorEastAsia"/>
        </w:rPr>
        <w:tab/>
        <w:t>Répartition des effectifs par bureau régional et bureau de zone</w:t>
      </w:r>
    </w:p>
    <w:p w14:paraId="3E3FEF68" w14:textId="044B9ECC" w:rsidR="00E5596D" w:rsidRPr="00E5596D" w:rsidRDefault="00E5596D" w:rsidP="00E54F16">
      <w:pPr>
        <w:pStyle w:val="Heading1"/>
        <w:rPr>
          <w:rFonts w:eastAsiaTheme="minorEastAsia"/>
        </w:rPr>
      </w:pPr>
      <w:r w:rsidRPr="00E5596D">
        <w:rPr>
          <w:rFonts w:eastAsiaTheme="minorEastAsia"/>
        </w:rPr>
        <w:t>2</w:t>
      </w:r>
      <w:r w:rsidRPr="00E5596D">
        <w:rPr>
          <w:rFonts w:eastAsiaTheme="minorEastAsia"/>
        </w:rPr>
        <w:tab/>
        <w:t>Enquête de satisfaction et examen global concernant la présence régionale de l</w:t>
      </w:r>
      <w:r w:rsidR="00C24F45">
        <w:rPr>
          <w:rFonts w:eastAsiaTheme="minorEastAsia"/>
        </w:rPr>
        <w:t>'</w:t>
      </w:r>
      <w:r w:rsidRPr="00E5596D">
        <w:rPr>
          <w:rFonts w:eastAsiaTheme="minorEastAsia"/>
        </w:rPr>
        <w:t>UIT</w:t>
      </w:r>
    </w:p>
    <w:p w14:paraId="35D046BE" w14:textId="165F3B02" w:rsidR="00E5596D" w:rsidRPr="00E5596D" w:rsidRDefault="00E5596D" w:rsidP="00E54F16">
      <w:pPr>
        <w:rPr>
          <w:rFonts w:eastAsiaTheme="minorEastAsia"/>
        </w:rPr>
      </w:pPr>
      <w:r w:rsidRPr="00E5596D">
        <w:rPr>
          <w:rFonts w:eastAsiaTheme="minorEastAsia"/>
        </w:rPr>
        <w:t>2.1</w:t>
      </w:r>
      <w:r w:rsidRPr="00E5596D">
        <w:rPr>
          <w:rFonts w:eastAsiaTheme="minorEastAsia"/>
        </w:rPr>
        <w:tab/>
        <w:t>Il est en outre demandé dans la Résolution 25 d</w:t>
      </w:r>
      <w:r w:rsidR="00C24F45">
        <w:rPr>
          <w:rFonts w:eastAsiaTheme="minorEastAsia"/>
        </w:rPr>
        <w:t>'</w:t>
      </w:r>
      <w:r w:rsidRPr="00E5596D">
        <w:rPr>
          <w:rFonts w:eastAsiaTheme="minorEastAsia"/>
        </w:rPr>
        <w:t>organiser une fois tous les quatre ans une enquête "sur le niveau de satisfaction des États Membres, des Membres des Secteurs et des organisations régionales de télécommunication concernant la présence régionale de l</w:t>
      </w:r>
      <w:r w:rsidR="00C24F45">
        <w:rPr>
          <w:rFonts w:eastAsiaTheme="minorEastAsia"/>
        </w:rPr>
        <w:t>'</w:t>
      </w:r>
      <w:r w:rsidRPr="00E5596D">
        <w:rPr>
          <w:rFonts w:eastAsiaTheme="minorEastAsia"/>
        </w:rPr>
        <w:t>UIT".</w:t>
      </w:r>
    </w:p>
    <w:p w14:paraId="1236B853" w14:textId="1A4E3EB9" w:rsidR="00E5596D" w:rsidRPr="00E5596D" w:rsidRDefault="00E5596D" w:rsidP="00E54F16">
      <w:pPr>
        <w:rPr>
          <w:rFonts w:eastAsiaTheme="minorEastAsia"/>
          <w:color w:val="000000"/>
        </w:rPr>
      </w:pPr>
      <w:r w:rsidRPr="00E5596D">
        <w:rPr>
          <w:rFonts w:eastAsiaTheme="minorEastAsia"/>
        </w:rPr>
        <w:t>2.2</w:t>
      </w:r>
      <w:r w:rsidRPr="00E5596D">
        <w:rPr>
          <w:rFonts w:eastAsiaTheme="minorEastAsia"/>
        </w:rPr>
        <w:tab/>
        <w:t>Il est rappelé qu</w:t>
      </w:r>
      <w:r w:rsidR="00C24F45">
        <w:rPr>
          <w:rFonts w:eastAsiaTheme="minorEastAsia"/>
        </w:rPr>
        <w:t>'</w:t>
      </w:r>
      <w:r w:rsidRPr="00E5596D">
        <w:rPr>
          <w:rFonts w:eastAsiaTheme="minorEastAsia"/>
        </w:rPr>
        <w:t xml:space="preserve">une enquête de ce type a été réalisée en </w:t>
      </w:r>
      <w:proofErr w:type="gramStart"/>
      <w:r w:rsidRPr="00E5596D">
        <w:rPr>
          <w:rFonts w:eastAsiaTheme="minorEastAsia"/>
        </w:rPr>
        <w:t>2016;</w:t>
      </w:r>
      <w:proofErr w:type="gramEnd"/>
      <w:r w:rsidRPr="00E5596D">
        <w:rPr>
          <w:rFonts w:eastAsiaTheme="minorEastAsia"/>
        </w:rPr>
        <w:t xml:space="preserve"> ses résultats et un rapport à ce sujet ont été présentés au Conseil à sa session de 2017</w:t>
      </w:r>
      <w:r w:rsidRPr="00E5596D">
        <w:rPr>
          <w:rFonts w:eastAsiaTheme="minorEastAsia"/>
          <w:color w:val="000000"/>
        </w:rPr>
        <w:t xml:space="preserve"> (</w:t>
      </w:r>
      <w:hyperlink r:id="rId16" w:history="1">
        <w:r w:rsidRPr="00E5596D">
          <w:rPr>
            <w:rFonts w:eastAsiaTheme="minorEastAsia"/>
          </w:rPr>
          <w:t xml:space="preserve">Document </w:t>
        </w:r>
        <w:r w:rsidRPr="00E5596D">
          <w:rPr>
            <w:rFonts w:eastAsiaTheme="minorEastAsia"/>
            <w:color w:val="0000FF"/>
            <w:szCs w:val="24"/>
            <w:u w:val="single"/>
          </w:rPr>
          <w:t>C17/INF/12</w:t>
        </w:r>
      </w:hyperlink>
      <w:r w:rsidRPr="00E5596D">
        <w:rPr>
          <w:rFonts w:eastAsiaTheme="minorEastAsia"/>
        </w:rPr>
        <w:t>)</w:t>
      </w:r>
      <w:r w:rsidRPr="00E5596D">
        <w:rPr>
          <w:rFonts w:eastAsiaTheme="minorEastAsia"/>
          <w:szCs w:val="24"/>
        </w:rPr>
        <w:t xml:space="preserve">. À cette même session, le Conseil a pris note du </w:t>
      </w:r>
      <w:hyperlink r:id="rId17" w:history="1">
        <w:r w:rsidRPr="00E5596D">
          <w:rPr>
            <w:rFonts w:eastAsiaTheme="minorEastAsia"/>
          </w:rPr>
          <w:t xml:space="preserve">Document </w:t>
        </w:r>
        <w:r w:rsidRPr="00E5596D">
          <w:rPr>
            <w:rFonts w:eastAsiaTheme="minorEastAsia"/>
            <w:color w:val="0000FF"/>
            <w:szCs w:val="24"/>
            <w:u w:val="single"/>
          </w:rPr>
          <w:t>C17/25</w:t>
        </w:r>
      </w:hyperlink>
      <w:r w:rsidRPr="00E5596D">
        <w:rPr>
          <w:rFonts w:eastAsiaTheme="minorEastAsia"/>
          <w:szCs w:val="24"/>
        </w:rPr>
        <w:t xml:space="preserve"> (Renforcement de la présence régionale)</w:t>
      </w:r>
      <w:r w:rsidRPr="00E5596D">
        <w:rPr>
          <w:rFonts w:eastAsiaTheme="minorEastAsia"/>
          <w:color w:val="000000"/>
        </w:rPr>
        <w:t>. Cette</w:t>
      </w:r>
      <w:r w:rsidR="005E5087">
        <w:rPr>
          <w:rFonts w:eastAsiaTheme="minorEastAsia"/>
          <w:color w:val="000000"/>
        </w:rPr>
        <w:t xml:space="preserve"> </w:t>
      </w:r>
      <w:r w:rsidRPr="00E5596D">
        <w:rPr>
          <w:rFonts w:eastAsiaTheme="minorEastAsia"/>
          <w:color w:val="000000"/>
        </w:rPr>
        <w:t>enquête n</w:t>
      </w:r>
      <w:r w:rsidR="00C24F45">
        <w:rPr>
          <w:rFonts w:eastAsiaTheme="minorEastAsia"/>
          <w:color w:val="000000"/>
        </w:rPr>
        <w:t>'</w:t>
      </w:r>
      <w:r w:rsidRPr="00E5596D">
        <w:rPr>
          <w:rFonts w:eastAsiaTheme="minorEastAsia"/>
          <w:color w:val="000000"/>
        </w:rPr>
        <w:t>a pas été réalisée en 2020,</w:t>
      </w:r>
      <w:r w:rsidR="005E5087">
        <w:rPr>
          <w:rFonts w:eastAsiaTheme="minorEastAsia"/>
          <w:color w:val="000000"/>
        </w:rPr>
        <w:t xml:space="preserve"> </w:t>
      </w:r>
      <w:r w:rsidRPr="00E5596D">
        <w:rPr>
          <w:rFonts w:eastAsiaTheme="minorEastAsia"/>
          <w:color w:val="000000"/>
        </w:rPr>
        <w:t>le C</w:t>
      </w:r>
      <w:r w:rsidR="00B016FB">
        <w:rPr>
          <w:rFonts w:eastAsiaTheme="minorEastAsia"/>
          <w:color w:val="000000"/>
        </w:rPr>
        <w:t>OVID</w:t>
      </w:r>
      <w:r w:rsidRPr="00E5596D">
        <w:rPr>
          <w:rFonts w:eastAsiaTheme="minorEastAsia"/>
          <w:color w:val="000000"/>
        </w:rPr>
        <w:t>-19 ayant perturbé les travaux de l</w:t>
      </w:r>
      <w:r w:rsidR="00C24F45">
        <w:rPr>
          <w:rFonts w:eastAsiaTheme="minorEastAsia"/>
          <w:color w:val="000000"/>
        </w:rPr>
        <w:t>'</w:t>
      </w:r>
      <w:r w:rsidRPr="00E5596D">
        <w:rPr>
          <w:rFonts w:eastAsiaTheme="minorEastAsia"/>
          <w:color w:val="000000"/>
        </w:rPr>
        <w:t>UIT,</w:t>
      </w:r>
      <w:r w:rsidR="005E5087">
        <w:rPr>
          <w:rFonts w:eastAsiaTheme="minorEastAsia"/>
          <w:color w:val="000000"/>
        </w:rPr>
        <w:t xml:space="preserve"> </w:t>
      </w:r>
      <w:r w:rsidRPr="00E5596D">
        <w:rPr>
          <w:rFonts w:eastAsiaTheme="minorEastAsia"/>
          <w:color w:val="000000"/>
        </w:rPr>
        <w:t>mais des travaux ont été</w:t>
      </w:r>
      <w:r w:rsidR="005E5087">
        <w:rPr>
          <w:rFonts w:eastAsiaTheme="minorEastAsia"/>
          <w:color w:val="000000"/>
        </w:rPr>
        <w:t xml:space="preserve"> </w:t>
      </w:r>
      <w:r w:rsidRPr="00E5596D">
        <w:rPr>
          <w:rFonts w:eastAsiaTheme="minorEastAsia"/>
          <w:color w:val="000000"/>
        </w:rPr>
        <w:t>entrepris en vue</w:t>
      </w:r>
      <w:r w:rsidR="005E5087">
        <w:rPr>
          <w:rFonts w:eastAsiaTheme="minorEastAsia"/>
          <w:color w:val="000000"/>
        </w:rPr>
        <w:t xml:space="preserve"> </w:t>
      </w:r>
      <w:r w:rsidRPr="00E5596D">
        <w:rPr>
          <w:rFonts w:eastAsiaTheme="minorEastAsia"/>
          <w:color w:val="000000"/>
        </w:rPr>
        <w:t>de préparer une enquête qui sera menée en 2021.</w:t>
      </w:r>
    </w:p>
    <w:p w14:paraId="5849FEB3" w14:textId="6A20EB3F" w:rsidR="00E5596D" w:rsidRPr="00E5596D" w:rsidRDefault="00E5596D" w:rsidP="00E54F16">
      <w:pPr>
        <w:tabs>
          <w:tab w:val="clear" w:pos="1134"/>
          <w:tab w:val="clear" w:pos="1701"/>
          <w:tab w:val="clear" w:pos="2268"/>
          <w:tab w:val="clear" w:pos="2835"/>
        </w:tabs>
        <w:rPr>
          <w:rFonts w:eastAsiaTheme="minorEastAsia"/>
        </w:rPr>
      </w:pPr>
      <w:r w:rsidRPr="00E5596D">
        <w:rPr>
          <w:rFonts w:eastAsiaTheme="minorEastAsia"/>
        </w:rPr>
        <w:t>2.3</w:t>
      </w:r>
      <w:r w:rsidRPr="00E5596D">
        <w:rPr>
          <w:rFonts w:eastAsiaTheme="minorEastAsia"/>
        </w:rPr>
        <w:tab/>
        <w:t>Aux termes de la Résolution 25 révisée (Rév. Dubaï, 2018), le Secrétaire général est chargé de procéder à un examen global de la présence régionale de l</w:t>
      </w:r>
      <w:r w:rsidR="00C24F45">
        <w:rPr>
          <w:rFonts w:eastAsiaTheme="minorEastAsia"/>
        </w:rPr>
        <w:t>'</w:t>
      </w:r>
      <w:r w:rsidRPr="00E5596D">
        <w:rPr>
          <w:rFonts w:eastAsiaTheme="minorEastAsia"/>
        </w:rPr>
        <w:t>UIT. Les éléments à prendre en compte dans l</w:t>
      </w:r>
      <w:r w:rsidR="00C24F45">
        <w:rPr>
          <w:rFonts w:eastAsiaTheme="minorEastAsia"/>
        </w:rPr>
        <w:t>'</w:t>
      </w:r>
      <w:r w:rsidRPr="00E5596D">
        <w:rPr>
          <w:rFonts w:eastAsiaTheme="minorEastAsia"/>
        </w:rPr>
        <w:t>examen, notamment, figurent dans l</w:t>
      </w:r>
      <w:r w:rsidR="00C24F45">
        <w:rPr>
          <w:rFonts w:eastAsiaTheme="minorEastAsia"/>
        </w:rPr>
        <w:t>'</w:t>
      </w:r>
      <w:r w:rsidRPr="00E5596D">
        <w:rPr>
          <w:rFonts w:eastAsiaTheme="minorEastAsia"/>
        </w:rPr>
        <w:t xml:space="preserve">Annexe de la Résolution 25 (Rév. Dubaï, 2018). </w:t>
      </w:r>
    </w:p>
    <w:p w14:paraId="29BCFBDC" w14:textId="6F942AD9" w:rsidR="00E5596D" w:rsidRPr="00E5596D" w:rsidRDefault="00E5596D" w:rsidP="00E54F16">
      <w:pPr>
        <w:rPr>
          <w:rFonts w:eastAsiaTheme="minorEastAsia"/>
        </w:rPr>
      </w:pPr>
      <w:r w:rsidRPr="00E5596D">
        <w:rPr>
          <w:rFonts w:eastAsiaTheme="minorEastAsia"/>
        </w:rPr>
        <w:t>2.4</w:t>
      </w:r>
      <w:r w:rsidRPr="00E5596D">
        <w:rPr>
          <w:rFonts w:eastAsiaTheme="minorEastAsia"/>
        </w:rPr>
        <w:tab/>
        <w:t xml:space="preserve">À sa session de 2019, le Conseil a examiné le Document </w:t>
      </w:r>
      <w:hyperlink r:id="rId18" w:history="1">
        <w:r w:rsidRPr="00E5596D">
          <w:rPr>
            <w:rFonts w:eastAsiaTheme="minorEastAsia"/>
            <w:color w:val="0000FF"/>
            <w:u w:val="single"/>
          </w:rPr>
          <w:t>C19/25(Rév.2)</w:t>
        </w:r>
      </w:hyperlink>
      <w:r w:rsidRPr="00E5596D">
        <w:rPr>
          <w:rFonts w:eastAsiaTheme="minorEastAsia"/>
        </w:rPr>
        <w:t>, qui rend compte de la mise en œuvre de la Résolution 25 (Rév. Dubaï, 2018), et a adopté la Décision 616, par laquelle il a chargé le Secrétaire général de faire appel aux services d</w:t>
      </w:r>
      <w:r w:rsidR="00C24F45">
        <w:rPr>
          <w:rFonts w:eastAsiaTheme="minorEastAsia"/>
        </w:rPr>
        <w:t>'</w:t>
      </w:r>
      <w:r w:rsidRPr="00E5596D">
        <w:rPr>
          <w:rFonts w:eastAsiaTheme="minorEastAsia"/>
        </w:rPr>
        <w:t xml:space="preserve">un cabinet de conseil en gestion </w:t>
      </w:r>
      <w:r w:rsidRPr="00E5596D">
        <w:rPr>
          <w:rFonts w:eastAsiaTheme="minorEastAsia"/>
        </w:rPr>
        <w:lastRenderedPageBreak/>
        <w:t>externe indépendant, chargé de procéder à une évaluation et à un examen détaillés sur le plan des programmes, des stratégies et des finances de la présence régionale de l</w:t>
      </w:r>
      <w:r w:rsidR="00C24F45">
        <w:rPr>
          <w:rFonts w:eastAsiaTheme="minorEastAsia"/>
        </w:rPr>
        <w:t>'</w:t>
      </w:r>
      <w:r w:rsidRPr="00E5596D">
        <w:rPr>
          <w:rFonts w:eastAsiaTheme="minorEastAsia"/>
        </w:rPr>
        <w:t>UIT, conformément au cahier des charges énoncé dans l</w:t>
      </w:r>
      <w:r w:rsidR="00C24F45">
        <w:rPr>
          <w:rFonts w:eastAsiaTheme="minorEastAsia"/>
        </w:rPr>
        <w:t>'</w:t>
      </w:r>
      <w:r w:rsidRPr="00E5596D">
        <w:rPr>
          <w:rFonts w:eastAsiaTheme="minorEastAsia"/>
        </w:rPr>
        <w:t>Annexe, compte tenu des contributions des membres de l</w:t>
      </w:r>
      <w:r w:rsidR="00C24F45">
        <w:rPr>
          <w:rFonts w:eastAsiaTheme="minorEastAsia"/>
        </w:rPr>
        <w:t>'</w:t>
      </w:r>
      <w:r w:rsidRPr="00E5596D">
        <w:rPr>
          <w:rFonts w:eastAsiaTheme="minorEastAsia"/>
        </w:rPr>
        <w:t>UIT, et de présenter au Conseil, à sa session de 2021, un rapport contenant des recommandations, pour suite à donner. Un appel d</w:t>
      </w:r>
      <w:r w:rsidR="00C24F45">
        <w:rPr>
          <w:rFonts w:eastAsiaTheme="minorEastAsia"/>
        </w:rPr>
        <w:t>'</w:t>
      </w:r>
      <w:r w:rsidRPr="00E5596D">
        <w:rPr>
          <w:rFonts w:eastAsiaTheme="minorEastAsia"/>
        </w:rPr>
        <w:t>offres a eu lieu et Price Waterhouse Coopers a été choisi pour mener l</w:t>
      </w:r>
      <w:r w:rsidR="00C24F45">
        <w:rPr>
          <w:rFonts w:eastAsiaTheme="minorEastAsia"/>
        </w:rPr>
        <w:t>'</w:t>
      </w:r>
      <w:r w:rsidRPr="00E5596D">
        <w:rPr>
          <w:rFonts w:eastAsiaTheme="minorEastAsia"/>
        </w:rPr>
        <w:t xml:space="preserve">examen. </w:t>
      </w:r>
    </w:p>
    <w:p w14:paraId="5216F0CD" w14:textId="086C663A" w:rsidR="00E5596D" w:rsidRPr="00E5596D" w:rsidRDefault="00E5596D" w:rsidP="00E54F16">
      <w:pPr>
        <w:rPr>
          <w:rFonts w:eastAsiaTheme="minorEastAsia"/>
        </w:rPr>
      </w:pPr>
      <w:r w:rsidRPr="00E5596D">
        <w:rPr>
          <w:rFonts w:eastAsiaTheme="minorEastAsia"/>
        </w:rPr>
        <w:t>2.5</w:t>
      </w:r>
      <w:r w:rsidRPr="00E5596D">
        <w:rPr>
          <w:rFonts w:eastAsiaTheme="minorEastAsia"/>
        </w:rPr>
        <w:tab/>
        <w:t>Le cabinet PwC a</w:t>
      </w:r>
      <w:r w:rsidR="005E5087">
        <w:rPr>
          <w:rFonts w:eastAsiaTheme="minorEastAsia"/>
        </w:rPr>
        <w:t xml:space="preserve"> </w:t>
      </w:r>
      <w:r w:rsidRPr="00E5596D">
        <w:rPr>
          <w:rFonts w:eastAsiaTheme="minorEastAsia"/>
        </w:rPr>
        <w:t xml:space="preserve">commencé ses travaux en novembre 2019. </w:t>
      </w:r>
      <w:r w:rsidRPr="00E5596D">
        <w:rPr>
          <w:rFonts w:eastAsiaTheme="minorEastAsia"/>
          <w:szCs w:val="24"/>
        </w:rPr>
        <w:t>Son rapport, qui contient des recommandations destinées à améliorer la présence régionale de l</w:t>
      </w:r>
      <w:r w:rsidR="00C24F45">
        <w:rPr>
          <w:rFonts w:eastAsiaTheme="minorEastAsia"/>
          <w:szCs w:val="24"/>
        </w:rPr>
        <w:t>'</w:t>
      </w:r>
      <w:r w:rsidRPr="00E5596D">
        <w:rPr>
          <w:rFonts w:eastAsiaTheme="minorEastAsia"/>
          <w:szCs w:val="24"/>
        </w:rPr>
        <w:t>UIT</w:t>
      </w:r>
      <w:r w:rsidR="005E5087">
        <w:rPr>
          <w:rFonts w:eastAsiaTheme="minorEastAsia"/>
          <w:szCs w:val="24"/>
        </w:rPr>
        <w:t xml:space="preserve"> </w:t>
      </w:r>
      <w:r w:rsidRPr="00E5596D">
        <w:rPr>
          <w:rFonts w:eastAsiaTheme="minorEastAsia"/>
          <w:szCs w:val="24"/>
        </w:rPr>
        <w:t>ainsi qu</w:t>
      </w:r>
      <w:r w:rsidR="00C24F45">
        <w:rPr>
          <w:rFonts w:eastAsiaTheme="minorEastAsia"/>
          <w:szCs w:val="24"/>
        </w:rPr>
        <w:t>'</w:t>
      </w:r>
      <w:r w:rsidRPr="00E5596D">
        <w:rPr>
          <w:rFonts w:eastAsiaTheme="minorEastAsia"/>
          <w:szCs w:val="24"/>
        </w:rPr>
        <w:t>un Plan d</w:t>
      </w:r>
      <w:r w:rsidR="00C24F45">
        <w:rPr>
          <w:rFonts w:eastAsiaTheme="minorEastAsia"/>
          <w:szCs w:val="24"/>
        </w:rPr>
        <w:t>'</w:t>
      </w:r>
      <w:r w:rsidRPr="00E5596D">
        <w:rPr>
          <w:rFonts w:eastAsiaTheme="minorEastAsia"/>
          <w:szCs w:val="24"/>
        </w:rPr>
        <w:t>action, a été soumis en juillet 2020. En août 2020, le secrétariat a constitué un groupe d</w:t>
      </w:r>
      <w:r w:rsidR="00C24F45">
        <w:rPr>
          <w:rFonts w:eastAsiaTheme="minorEastAsia"/>
          <w:szCs w:val="24"/>
        </w:rPr>
        <w:t>'</w:t>
      </w:r>
      <w:r w:rsidRPr="00E5596D">
        <w:rPr>
          <w:rFonts w:eastAsiaTheme="minorEastAsia"/>
          <w:szCs w:val="24"/>
        </w:rPr>
        <w:t>action, composé de fonctionnaires de tous les départements</w:t>
      </w:r>
      <w:r w:rsidR="005E5087">
        <w:rPr>
          <w:rFonts w:eastAsiaTheme="minorEastAsia"/>
          <w:szCs w:val="24"/>
        </w:rPr>
        <w:t xml:space="preserve"> </w:t>
      </w:r>
      <w:r w:rsidRPr="00E5596D">
        <w:rPr>
          <w:rFonts w:eastAsiaTheme="minorEastAsia"/>
          <w:szCs w:val="24"/>
        </w:rPr>
        <w:t>concernés du Secrétariat général et des Bureaux,</w:t>
      </w:r>
      <w:r w:rsidR="005E5087">
        <w:rPr>
          <w:rFonts w:eastAsiaTheme="minorEastAsia"/>
          <w:szCs w:val="24"/>
        </w:rPr>
        <w:t xml:space="preserve"> </w:t>
      </w:r>
      <w:r w:rsidRPr="00E5596D">
        <w:rPr>
          <w:rFonts w:eastAsiaTheme="minorEastAsia"/>
          <w:szCs w:val="24"/>
        </w:rPr>
        <w:t>pour examiner le rapport du</w:t>
      </w:r>
      <w:r w:rsidRPr="00E5596D">
        <w:rPr>
          <w:rFonts w:eastAsiaTheme="minorEastAsia"/>
        </w:rPr>
        <w:t xml:space="preserve"> cabinet</w:t>
      </w:r>
      <w:r w:rsidRPr="00E5596D">
        <w:rPr>
          <w:rFonts w:eastAsiaTheme="minorEastAsia"/>
          <w:szCs w:val="24"/>
        </w:rPr>
        <w:t xml:space="preserve"> PwC et</w:t>
      </w:r>
      <w:r w:rsidR="005E5087">
        <w:rPr>
          <w:rFonts w:eastAsiaTheme="minorEastAsia"/>
          <w:szCs w:val="24"/>
        </w:rPr>
        <w:t xml:space="preserve"> </w:t>
      </w:r>
      <w:r w:rsidRPr="00E5596D">
        <w:rPr>
          <w:rFonts w:eastAsiaTheme="minorEastAsia"/>
          <w:szCs w:val="24"/>
        </w:rPr>
        <w:t>soumettre un rapport détaillé à</w:t>
      </w:r>
      <w:r w:rsidR="00333C82">
        <w:rPr>
          <w:rFonts w:eastAsiaTheme="minorEastAsia"/>
          <w:szCs w:val="24"/>
        </w:rPr>
        <w:t xml:space="preserve"> cet égard, comprenant des </w:t>
      </w:r>
      <w:r w:rsidRPr="00E5596D">
        <w:rPr>
          <w:rFonts w:eastAsiaTheme="minorEastAsia"/>
          <w:szCs w:val="24"/>
        </w:rPr>
        <w:t>recommandations en vue d</w:t>
      </w:r>
      <w:r w:rsidR="00C24F45">
        <w:rPr>
          <w:rFonts w:eastAsiaTheme="minorEastAsia"/>
          <w:szCs w:val="24"/>
        </w:rPr>
        <w:t>'</w:t>
      </w:r>
      <w:r w:rsidRPr="00E5596D">
        <w:rPr>
          <w:rFonts w:eastAsiaTheme="minorEastAsia"/>
          <w:szCs w:val="24"/>
        </w:rPr>
        <w:t>une future mise en œuvre. Le rapport du</w:t>
      </w:r>
      <w:r w:rsidRPr="00E5596D">
        <w:rPr>
          <w:rFonts w:eastAsiaTheme="minorEastAsia"/>
        </w:rPr>
        <w:t xml:space="preserve"> cabinet</w:t>
      </w:r>
      <w:r w:rsidRPr="00E5596D">
        <w:rPr>
          <w:rFonts w:eastAsiaTheme="minorEastAsia"/>
          <w:szCs w:val="24"/>
        </w:rPr>
        <w:t xml:space="preserve"> PwC (Document</w:t>
      </w:r>
      <w:r w:rsidR="00333C82">
        <w:rPr>
          <w:rFonts w:eastAsiaTheme="minorEastAsia"/>
          <w:szCs w:val="24"/>
        </w:rPr>
        <w:t> </w:t>
      </w:r>
      <w:hyperlink r:id="rId19" w:history="1">
        <w:r w:rsidRPr="00B016FB">
          <w:rPr>
            <w:rStyle w:val="Hyperlink"/>
            <w:rFonts w:eastAsiaTheme="minorEastAsia"/>
            <w:szCs w:val="24"/>
          </w:rPr>
          <w:t>C20/74</w:t>
        </w:r>
      </w:hyperlink>
      <w:r w:rsidRPr="00E5596D">
        <w:rPr>
          <w:rFonts w:eastAsiaTheme="minorEastAsia"/>
          <w:szCs w:val="24"/>
        </w:rPr>
        <w:t>) a été présenté</w:t>
      </w:r>
      <w:r w:rsidR="005E5087">
        <w:rPr>
          <w:rFonts w:eastAsiaTheme="minorEastAsia"/>
          <w:szCs w:val="24"/>
        </w:rPr>
        <w:t xml:space="preserve"> </w:t>
      </w:r>
      <w:r w:rsidRPr="00E5596D">
        <w:rPr>
          <w:rFonts w:eastAsiaTheme="minorEastAsia"/>
          <w:szCs w:val="24"/>
        </w:rPr>
        <w:t>à la</w:t>
      </w:r>
      <w:r w:rsidR="005E5087">
        <w:rPr>
          <w:rFonts w:eastAsiaTheme="minorEastAsia"/>
          <w:szCs w:val="24"/>
        </w:rPr>
        <w:t xml:space="preserve"> </w:t>
      </w:r>
      <w:r w:rsidRPr="00E5596D">
        <w:rPr>
          <w:rFonts w:eastAsiaTheme="minorEastAsia"/>
          <w:szCs w:val="24"/>
        </w:rPr>
        <w:t>seconde consultation virtuelle des Conseillers</w:t>
      </w:r>
      <w:r w:rsidRPr="00E5596D">
        <w:rPr>
          <w:rFonts w:eastAsiaTheme="minorEastAsia"/>
        </w:rPr>
        <w:t xml:space="preserve"> (VCC-2)</w:t>
      </w:r>
      <w:r w:rsidR="005E5087">
        <w:rPr>
          <w:rFonts w:eastAsiaTheme="minorEastAsia"/>
        </w:rPr>
        <w:t xml:space="preserve"> </w:t>
      </w:r>
      <w:r w:rsidRPr="00E5596D">
        <w:rPr>
          <w:rFonts w:eastAsiaTheme="minorEastAsia"/>
          <w:szCs w:val="24"/>
        </w:rPr>
        <w:t>tenue en novembre 2020 et</w:t>
      </w:r>
      <w:r w:rsidR="005E5087">
        <w:rPr>
          <w:rFonts w:eastAsiaTheme="minorEastAsia"/>
          <w:szCs w:val="24"/>
        </w:rPr>
        <w:t xml:space="preserve"> </w:t>
      </w:r>
      <w:r w:rsidRPr="00E5596D">
        <w:rPr>
          <w:rFonts w:eastAsiaTheme="minorEastAsia"/>
          <w:szCs w:val="24"/>
        </w:rPr>
        <w:t>le Conseil a</w:t>
      </w:r>
      <w:r w:rsidR="005E5087">
        <w:rPr>
          <w:rFonts w:eastAsiaTheme="minorEastAsia"/>
          <w:szCs w:val="24"/>
        </w:rPr>
        <w:t xml:space="preserve"> </w:t>
      </w:r>
      <w:r w:rsidRPr="00E5596D">
        <w:rPr>
          <w:rFonts w:eastAsiaTheme="minorEastAsia"/>
          <w:szCs w:val="24"/>
        </w:rPr>
        <w:t>pris note de ce document par correspondance.</w:t>
      </w:r>
      <w:r w:rsidR="005E5087">
        <w:rPr>
          <w:rFonts w:eastAsiaTheme="minorEastAsia"/>
          <w:szCs w:val="24"/>
        </w:rPr>
        <w:t xml:space="preserve"> </w:t>
      </w:r>
      <w:r w:rsidRPr="00E5596D">
        <w:rPr>
          <w:rFonts w:eastAsiaTheme="minorEastAsia"/>
          <w:szCs w:val="24"/>
        </w:rPr>
        <w:t>Une note du Groupe d</w:t>
      </w:r>
      <w:r w:rsidR="00C24F45">
        <w:rPr>
          <w:rFonts w:eastAsiaTheme="minorEastAsia"/>
          <w:szCs w:val="24"/>
        </w:rPr>
        <w:t>'</w:t>
      </w:r>
      <w:r w:rsidRPr="00E5596D">
        <w:rPr>
          <w:rFonts w:eastAsiaTheme="minorEastAsia"/>
          <w:szCs w:val="24"/>
        </w:rPr>
        <w:t>action du secrétariat à l</w:t>
      </w:r>
      <w:r w:rsidR="00C24F45">
        <w:rPr>
          <w:rFonts w:eastAsiaTheme="minorEastAsia"/>
          <w:szCs w:val="24"/>
        </w:rPr>
        <w:t>'</w:t>
      </w:r>
      <w:r w:rsidRPr="00E5596D">
        <w:rPr>
          <w:rFonts w:eastAsiaTheme="minorEastAsia"/>
          <w:szCs w:val="24"/>
        </w:rPr>
        <w:t xml:space="preserve">intention du Conseil (Document </w:t>
      </w:r>
      <w:hyperlink r:id="rId20" w:history="1">
        <w:r w:rsidRPr="00B016FB">
          <w:rPr>
            <w:rStyle w:val="Hyperlink"/>
            <w:rFonts w:eastAsiaTheme="minorEastAsia"/>
            <w:szCs w:val="24"/>
          </w:rPr>
          <w:t>C20/75</w:t>
        </w:r>
      </w:hyperlink>
      <w:r w:rsidRPr="00E5596D">
        <w:rPr>
          <w:rFonts w:eastAsiaTheme="minorEastAsia"/>
          <w:szCs w:val="24"/>
        </w:rPr>
        <w:t>) a également</w:t>
      </w:r>
      <w:r w:rsidR="005E5087">
        <w:rPr>
          <w:rFonts w:eastAsiaTheme="minorEastAsia"/>
          <w:szCs w:val="24"/>
        </w:rPr>
        <w:t xml:space="preserve"> </w:t>
      </w:r>
      <w:r w:rsidRPr="00E5596D">
        <w:rPr>
          <w:rFonts w:eastAsiaTheme="minorEastAsia"/>
          <w:szCs w:val="24"/>
        </w:rPr>
        <w:t>été présentée à</w:t>
      </w:r>
      <w:r w:rsidR="005E5087">
        <w:rPr>
          <w:rFonts w:eastAsiaTheme="minorEastAsia"/>
          <w:szCs w:val="24"/>
        </w:rPr>
        <w:t xml:space="preserve"> </w:t>
      </w:r>
      <w:r w:rsidRPr="00E5596D">
        <w:rPr>
          <w:rFonts w:eastAsiaTheme="minorEastAsia"/>
          <w:szCs w:val="24"/>
        </w:rPr>
        <w:t>la</w:t>
      </w:r>
      <w:r w:rsidR="005E5087">
        <w:rPr>
          <w:rFonts w:eastAsiaTheme="minorEastAsia"/>
          <w:szCs w:val="24"/>
        </w:rPr>
        <w:t xml:space="preserve"> </w:t>
      </w:r>
      <w:r w:rsidRPr="00E5596D">
        <w:rPr>
          <w:rFonts w:eastAsiaTheme="minorEastAsia"/>
          <w:szCs w:val="24"/>
        </w:rPr>
        <w:t>seconde consultation virtuelle des Conseillers. Les recommandations formulées par le cabinet</w:t>
      </w:r>
      <w:r w:rsidR="005E5087">
        <w:rPr>
          <w:rFonts w:eastAsiaTheme="minorEastAsia"/>
          <w:szCs w:val="24"/>
        </w:rPr>
        <w:t xml:space="preserve"> </w:t>
      </w:r>
      <w:r w:rsidRPr="00E5596D">
        <w:rPr>
          <w:rFonts w:eastAsiaTheme="minorEastAsia"/>
          <w:szCs w:val="24"/>
        </w:rPr>
        <w:t>PwC ont été transmises au Groupe de travail du Conseil sur les ressources financières et les ressources humaines (GTC-FHR), afin que celui-ci fournisse des orientations sur la marche à suivre</w:t>
      </w:r>
      <w:r w:rsidR="005E5087">
        <w:rPr>
          <w:rFonts w:eastAsiaTheme="minorEastAsia"/>
          <w:szCs w:val="24"/>
        </w:rPr>
        <w:t xml:space="preserve"> </w:t>
      </w:r>
      <w:r w:rsidRPr="00E5596D">
        <w:rPr>
          <w:rFonts w:eastAsiaTheme="minorEastAsia"/>
          <w:szCs w:val="24"/>
        </w:rPr>
        <w:t>pour la mise en œuvre de ces recommandations. En outre, le</w:t>
      </w:r>
      <w:r w:rsidR="005E5087">
        <w:rPr>
          <w:rFonts w:eastAsiaTheme="minorEastAsia"/>
          <w:szCs w:val="24"/>
        </w:rPr>
        <w:t xml:space="preserve"> </w:t>
      </w:r>
      <w:r w:rsidRPr="00E5596D">
        <w:rPr>
          <w:rFonts w:eastAsiaTheme="minorEastAsia"/>
          <w:szCs w:val="24"/>
        </w:rPr>
        <w:t>GTC-FHR a</w:t>
      </w:r>
      <w:r w:rsidR="005E5087">
        <w:rPr>
          <w:rFonts w:eastAsiaTheme="minorEastAsia"/>
          <w:szCs w:val="24"/>
        </w:rPr>
        <w:t xml:space="preserve"> </w:t>
      </w:r>
      <w:r w:rsidRPr="00E5596D">
        <w:rPr>
          <w:rFonts w:eastAsiaTheme="minorEastAsia"/>
          <w:szCs w:val="24"/>
        </w:rPr>
        <w:t>soumis</w:t>
      </w:r>
      <w:r w:rsidR="005E5087">
        <w:rPr>
          <w:rFonts w:eastAsiaTheme="minorEastAsia"/>
          <w:szCs w:val="24"/>
        </w:rPr>
        <w:t xml:space="preserve"> </w:t>
      </w:r>
      <w:r w:rsidRPr="00E5596D">
        <w:rPr>
          <w:rFonts w:eastAsiaTheme="minorEastAsia"/>
          <w:szCs w:val="24"/>
        </w:rPr>
        <w:t>le rapport</w:t>
      </w:r>
      <w:r w:rsidR="005E5087">
        <w:rPr>
          <w:rFonts w:eastAsiaTheme="minorEastAsia"/>
          <w:szCs w:val="24"/>
        </w:rPr>
        <w:t xml:space="preserve"> </w:t>
      </w:r>
      <w:r w:rsidRPr="00E5596D">
        <w:rPr>
          <w:rFonts w:eastAsiaTheme="minorEastAsia"/>
          <w:szCs w:val="24"/>
        </w:rPr>
        <w:t>du cabinet</w:t>
      </w:r>
      <w:r w:rsidR="005E5087">
        <w:rPr>
          <w:rFonts w:eastAsiaTheme="minorEastAsia"/>
          <w:szCs w:val="24"/>
        </w:rPr>
        <w:t xml:space="preserve"> </w:t>
      </w:r>
      <w:r w:rsidRPr="00E5596D">
        <w:rPr>
          <w:rFonts w:eastAsiaTheme="minorEastAsia"/>
          <w:szCs w:val="24"/>
        </w:rPr>
        <w:t>PwC à un groupe ad hoc</w:t>
      </w:r>
      <w:r w:rsidR="005E5087">
        <w:rPr>
          <w:rFonts w:eastAsiaTheme="minorEastAsia"/>
          <w:szCs w:val="24"/>
        </w:rPr>
        <w:t xml:space="preserve"> </w:t>
      </w:r>
      <w:r w:rsidRPr="00E5596D">
        <w:rPr>
          <w:rFonts w:eastAsiaTheme="minorEastAsia"/>
          <w:szCs w:val="24"/>
        </w:rPr>
        <w:t>pour qu</w:t>
      </w:r>
      <w:r w:rsidR="00C24F45">
        <w:rPr>
          <w:rFonts w:eastAsiaTheme="minorEastAsia"/>
          <w:szCs w:val="24"/>
        </w:rPr>
        <w:t>'</w:t>
      </w:r>
      <w:r w:rsidRPr="00E5596D">
        <w:rPr>
          <w:rFonts w:eastAsiaTheme="minorEastAsia"/>
          <w:szCs w:val="24"/>
        </w:rPr>
        <w:t>il</w:t>
      </w:r>
      <w:r w:rsidR="005E5087">
        <w:rPr>
          <w:rFonts w:eastAsiaTheme="minorEastAsia"/>
          <w:szCs w:val="24"/>
        </w:rPr>
        <w:t xml:space="preserve"> </w:t>
      </w:r>
      <w:r w:rsidRPr="00E5596D">
        <w:rPr>
          <w:rFonts w:eastAsiaTheme="minorEastAsia"/>
          <w:szCs w:val="24"/>
        </w:rPr>
        <w:t>l</w:t>
      </w:r>
      <w:r w:rsidR="00C24F45">
        <w:rPr>
          <w:rFonts w:eastAsiaTheme="minorEastAsia"/>
          <w:szCs w:val="24"/>
        </w:rPr>
        <w:t>'</w:t>
      </w:r>
      <w:r w:rsidRPr="00E5596D">
        <w:rPr>
          <w:rFonts w:eastAsiaTheme="minorEastAsia"/>
          <w:szCs w:val="24"/>
        </w:rPr>
        <w:t>évalue</w:t>
      </w:r>
      <w:r w:rsidR="005E5087">
        <w:rPr>
          <w:rFonts w:eastAsiaTheme="minorEastAsia"/>
          <w:szCs w:val="24"/>
        </w:rPr>
        <w:t xml:space="preserve"> </w:t>
      </w:r>
      <w:r w:rsidRPr="00E5596D">
        <w:rPr>
          <w:rFonts w:eastAsiaTheme="minorEastAsia"/>
          <w:szCs w:val="24"/>
        </w:rPr>
        <w:t>et</w:t>
      </w:r>
      <w:r w:rsidR="005E5087">
        <w:rPr>
          <w:rFonts w:eastAsiaTheme="minorEastAsia"/>
          <w:szCs w:val="24"/>
        </w:rPr>
        <w:t xml:space="preserve"> </w:t>
      </w:r>
      <w:r w:rsidRPr="00E5596D">
        <w:rPr>
          <w:rFonts w:eastAsiaTheme="minorEastAsia"/>
          <w:szCs w:val="24"/>
        </w:rPr>
        <w:t>rende c</w:t>
      </w:r>
      <w:r w:rsidR="00333C82">
        <w:rPr>
          <w:rFonts w:eastAsiaTheme="minorEastAsia"/>
          <w:szCs w:val="24"/>
        </w:rPr>
        <w:t>ompte de ses conclusions au GTC</w:t>
      </w:r>
      <w:r w:rsidR="00333C82">
        <w:rPr>
          <w:rFonts w:eastAsiaTheme="minorEastAsia"/>
          <w:szCs w:val="24"/>
        </w:rPr>
        <w:noBreakHyphen/>
      </w:r>
      <w:r w:rsidRPr="00E5596D">
        <w:rPr>
          <w:rFonts w:eastAsiaTheme="minorEastAsia"/>
          <w:szCs w:val="24"/>
        </w:rPr>
        <w:t>FHR avant la prochaine session du Conseil.</w:t>
      </w:r>
    </w:p>
    <w:p w14:paraId="5520C60F" w14:textId="77777777" w:rsidR="00E5596D" w:rsidRPr="00E5596D" w:rsidRDefault="00E5596D" w:rsidP="00E54F16">
      <w:pPr>
        <w:pStyle w:val="Heading1"/>
        <w:rPr>
          <w:rFonts w:eastAsiaTheme="minorEastAsia"/>
        </w:rPr>
      </w:pPr>
      <w:r w:rsidRPr="00E5596D">
        <w:rPr>
          <w:rFonts w:eastAsiaTheme="minorEastAsia"/>
        </w:rPr>
        <w:t>3</w:t>
      </w:r>
      <w:r w:rsidRPr="00E5596D">
        <w:rPr>
          <w:rFonts w:eastAsiaTheme="minorEastAsia"/>
        </w:rPr>
        <w:tab/>
        <w:t>Dialogue web du GCDT sur la présence régionale, 26 mars 2020</w:t>
      </w:r>
    </w:p>
    <w:p w14:paraId="655B0244" w14:textId="0BF9CE6C" w:rsidR="00E5596D" w:rsidRPr="00E5596D" w:rsidRDefault="00E5596D" w:rsidP="00E54F16">
      <w:pPr>
        <w:rPr>
          <w:rFonts w:eastAsiaTheme="minorEastAsia"/>
        </w:rPr>
      </w:pPr>
      <w:r w:rsidRPr="00E5596D">
        <w:rPr>
          <w:rFonts w:eastAsiaTheme="minorEastAsia"/>
        </w:rPr>
        <w:t>3.1</w:t>
      </w:r>
      <w:r w:rsidRPr="00E5596D">
        <w:rPr>
          <w:rFonts w:eastAsiaTheme="minorEastAsia"/>
        </w:rPr>
        <w:tab/>
        <w:t>Étant donné qu</w:t>
      </w:r>
      <w:r w:rsidR="00C24F45">
        <w:rPr>
          <w:rFonts w:eastAsiaTheme="minorEastAsia"/>
        </w:rPr>
        <w:t>'</w:t>
      </w:r>
      <w:r w:rsidRPr="00E5596D">
        <w:rPr>
          <w:rFonts w:eastAsiaTheme="minorEastAsia"/>
        </w:rPr>
        <w:t>en raison des inquiétudes suscitées par l</w:t>
      </w:r>
      <w:r w:rsidR="00C24F45">
        <w:rPr>
          <w:rFonts w:eastAsiaTheme="minorEastAsia"/>
        </w:rPr>
        <w:t>'</w:t>
      </w:r>
      <w:r w:rsidRPr="00E5596D">
        <w:rPr>
          <w:rFonts w:eastAsiaTheme="minorEastAsia"/>
        </w:rPr>
        <w:t xml:space="preserve">épidémie de COVID-19 dans le monde, la réunion de 2020 du GCDT, qui devait initialement avoir lieu fin mars, a été reportée et se tiendra du 2 au 5 juin 2020, une série de dialogues web du GCDT ont été organisés aux dates de la réunion prévues initialement (24-26 mars). Lors du </w:t>
      </w:r>
      <w:r w:rsidRPr="00E5596D">
        <w:rPr>
          <w:rFonts w:eastAsiaTheme="minorEastAsia"/>
          <w:b/>
          <w:bCs/>
        </w:rPr>
        <w:t>dialogue web sur la présence régionale</w:t>
      </w:r>
      <w:r w:rsidRPr="00E5596D">
        <w:rPr>
          <w:rFonts w:eastAsiaTheme="minorEastAsia"/>
        </w:rPr>
        <w:t>, PwC a présenté les travaux menés jusqu</w:t>
      </w:r>
      <w:r w:rsidR="00C24F45">
        <w:rPr>
          <w:rFonts w:eastAsiaTheme="minorEastAsia"/>
        </w:rPr>
        <w:t>'</w:t>
      </w:r>
      <w:r w:rsidRPr="00E5596D">
        <w:rPr>
          <w:rFonts w:eastAsiaTheme="minorEastAsia"/>
        </w:rPr>
        <w:t>alors sur la base de la Décision 616 du Conseil (disponible dans</w:t>
      </w:r>
      <w:r w:rsidRPr="00CA2B48">
        <w:rPr>
          <w:rFonts w:eastAsiaTheme="minorEastAsia"/>
        </w:rPr>
        <w:t xml:space="preserve"> l</w:t>
      </w:r>
      <w:r w:rsidR="00C24F45" w:rsidRPr="00CA2B48">
        <w:rPr>
          <w:rFonts w:eastAsiaTheme="minorEastAsia"/>
        </w:rPr>
        <w:t>'</w:t>
      </w:r>
      <w:hyperlink w:anchor="appendice" w:history="1">
        <w:r w:rsidRPr="00CA2B48">
          <w:rPr>
            <w:rStyle w:val="Hyperlink"/>
            <w:rFonts w:eastAsiaTheme="minorEastAsia"/>
          </w:rPr>
          <w:t>Appendice</w:t>
        </w:r>
      </w:hyperlink>
      <w:r w:rsidRPr="00E5596D">
        <w:rPr>
          <w:rFonts w:eastAsiaTheme="minorEastAsia"/>
        </w:rPr>
        <w:t xml:space="preserve"> du présent document). PwC a présenté son cadre de travail pour l</w:t>
      </w:r>
      <w:r w:rsidR="00C24F45">
        <w:rPr>
          <w:rFonts w:eastAsiaTheme="minorEastAsia"/>
        </w:rPr>
        <w:t>'</w:t>
      </w:r>
      <w:r w:rsidRPr="00E5596D">
        <w:rPr>
          <w:rFonts w:eastAsiaTheme="minorEastAsia"/>
        </w:rPr>
        <w:t>examen, qui repose largement sur les critères d</w:t>
      </w:r>
      <w:r w:rsidR="00C24F45">
        <w:rPr>
          <w:rFonts w:eastAsiaTheme="minorEastAsia"/>
        </w:rPr>
        <w:t>'</w:t>
      </w:r>
      <w:r w:rsidRPr="00E5596D">
        <w:rPr>
          <w:rFonts w:eastAsiaTheme="minorEastAsia"/>
        </w:rPr>
        <w:t>évaluation du Comité d</w:t>
      </w:r>
      <w:r w:rsidR="00C24F45">
        <w:rPr>
          <w:rFonts w:eastAsiaTheme="minorEastAsia"/>
        </w:rPr>
        <w:t>'</w:t>
      </w:r>
      <w:r w:rsidRPr="00E5596D">
        <w:rPr>
          <w:rFonts w:eastAsiaTheme="minorEastAsia"/>
        </w:rPr>
        <w:t>aide au développement (CAD) de l</w:t>
      </w:r>
      <w:r w:rsidR="00C24F45">
        <w:rPr>
          <w:rFonts w:eastAsiaTheme="minorEastAsia"/>
        </w:rPr>
        <w:t>'</w:t>
      </w:r>
      <w:r w:rsidRPr="00E5596D">
        <w:rPr>
          <w:rFonts w:eastAsiaTheme="minorEastAsia"/>
        </w:rPr>
        <w:t xml:space="preserve">Organisation de coopération et de développement économiques (OCDE) et qui comprend sept critères </w:t>
      </w:r>
      <w:proofErr w:type="gramStart"/>
      <w:r w:rsidRPr="00E5596D">
        <w:rPr>
          <w:rFonts w:eastAsiaTheme="minorEastAsia"/>
        </w:rPr>
        <w:t>d</w:t>
      </w:r>
      <w:r w:rsidR="00C24F45">
        <w:rPr>
          <w:rFonts w:eastAsiaTheme="minorEastAsia"/>
        </w:rPr>
        <w:t>'</w:t>
      </w:r>
      <w:r w:rsidRPr="00E5596D">
        <w:rPr>
          <w:rFonts w:eastAsiaTheme="minorEastAsia"/>
        </w:rPr>
        <w:t>évaluation:</w:t>
      </w:r>
      <w:proofErr w:type="gramEnd"/>
      <w:r w:rsidRPr="00E5596D">
        <w:rPr>
          <w:rFonts w:eastAsiaTheme="minorEastAsia"/>
        </w:rPr>
        <w:t xml:space="preserve"> cohérence, pertinence, contrôle, efficience, efficacité, impact et durabilité. </w:t>
      </w:r>
    </w:p>
    <w:p w14:paraId="6F72DC38" w14:textId="75ABB37C" w:rsidR="00E5596D" w:rsidRPr="00E5596D" w:rsidRDefault="00E5596D" w:rsidP="00E54F16">
      <w:pPr>
        <w:rPr>
          <w:rFonts w:eastAsiaTheme="minorEastAsia"/>
        </w:rPr>
      </w:pPr>
      <w:r w:rsidRPr="00E5596D">
        <w:rPr>
          <w:rFonts w:eastAsiaTheme="minorEastAsia"/>
        </w:rPr>
        <w:t>3.2</w:t>
      </w:r>
      <w:r w:rsidRPr="00E5596D">
        <w:rPr>
          <w:rFonts w:eastAsiaTheme="minorEastAsia"/>
        </w:rPr>
        <w:tab/>
        <w:t>PwC a commencé l</w:t>
      </w:r>
      <w:r w:rsidR="00C24F45">
        <w:rPr>
          <w:rFonts w:eastAsiaTheme="minorEastAsia"/>
        </w:rPr>
        <w:t>'</w:t>
      </w:r>
      <w:r w:rsidRPr="00E5596D">
        <w:rPr>
          <w:rFonts w:eastAsiaTheme="minorEastAsia"/>
        </w:rPr>
        <w:t>examen en novembre 2019, en menant auprès des membres et du personnel de l</w:t>
      </w:r>
      <w:r w:rsidR="00C24F45">
        <w:rPr>
          <w:rFonts w:eastAsiaTheme="minorEastAsia"/>
        </w:rPr>
        <w:t>'</w:t>
      </w:r>
      <w:r w:rsidRPr="00E5596D">
        <w:rPr>
          <w:rFonts w:eastAsiaTheme="minorEastAsia"/>
        </w:rPr>
        <w:t>UIT, sur la base de ces critères, une série d</w:t>
      </w:r>
      <w:r w:rsidR="00C24F45">
        <w:rPr>
          <w:rFonts w:eastAsiaTheme="minorEastAsia"/>
        </w:rPr>
        <w:t>'</w:t>
      </w:r>
      <w:r w:rsidRPr="00E5596D">
        <w:rPr>
          <w:rFonts w:eastAsiaTheme="minorEastAsia"/>
        </w:rPr>
        <w:t>entretiens, une enquête, des études préliminaires et une analyse qualitative. PwC a examiné le niveau d</w:t>
      </w:r>
      <w:r w:rsidR="00C24F45">
        <w:rPr>
          <w:rFonts w:eastAsiaTheme="minorEastAsia"/>
        </w:rPr>
        <w:t>'</w:t>
      </w:r>
      <w:r w:rsidRPr="00E5596D">
        <w:rPr>
          <w:rFonts w:eastAsiaTheme="minorEastAsia"/>
        </w:rPr>
        <w:t>intégration entre les documents d</w:t>
      </w:r>
      <w:r w:rsidR="00C24F45">
        <w:rPr>
          <w:rFonts w:eastAsiaTheme="minorEastAsia"/>
        </w:rPr>
        <w:t>'</w:t>
      </w:r>
      <w:r w:rsidRPr="00E5596D">
        <w:rPr>
          <w:rFonts w:eastAsiaTheme="minorEastAsia"/>
        </w:rPr>
        <w:t>orientation et de planification, et s</w:t>
      </w:r>
      <w:r w:rsidR="00C24F45">
        <w:rPr>
          <w:rFonts w:eastAsiaTheme="minorEastAsia"/>
        </w:rPr>
        <w:t>'</w:t>
      </w:r>
      <w:r w:rsidRPr="00E5596D">
        <w:rPr>
          <w:rFonts w:eastAsiaTheme="minorEastAsia"/>
        </w:rPr>
        <w:t xml:space="preserve">est surtout penché sur deux </w:t>
      </w:r>
      <w:proofErr w:type="gramStart"/>
      <w:r w:rsidRPr="00E5596D">
        <w:rPr>
          <w:rFonts w:eastAsiaTheme="minorEastAsia"/>
        </w:rPr>
        <w:t>questions:</w:t>
      </w:r>
      <w:proofErr w:type="gramEnd"/>
      <w:r w:rsidRPr="00E5596D">
        <w:rPr>
          <w:rFonts w:eastAsiaTheme="minorEastAsia"/>
        </w:rPr>
        <w:t xml:space="preserve"> quelles sont les priorités? et qu</w:t>
      </w:r>
      <w:r w:rsidR="00C24F45">
        <w:rPr>
          <w:rFonts w:eastAsiaTheme="minorEastAsia"/>
        </w:rPr>
        <w:t>'</w:t>
      </w:r>
      <w:r w:rsidRPr="00E5596D">
        <w:rPr>
          <w:rFonts w:eastAsiaTheme="minorEastAsia"/>
        </w:rPr>
        <w:t>attend-on de la présence régionale?</w:t>
      </w:r>
    </w:p>
    <w:p w14:paraId="2477314E" w14:textId="77777777" w:rsidR="00E5596D" w:rsidRPr="00E5596D" w:rsidRDefault="00E5596D" w:rsidP="00E54F16">
      <w:pPr>
        <w:rPr>
          <w:rFonts w:eastAsiaTheme="minorEastAsia"/>
        </w:rPr>
      </w:pPr>
      <w:r w:rsidRPr="00E5596D">
        <w:rPr>
          <w:rFonts w:eastAsiaTheme="minorEastAsia"/>
        </w:rPr>
        <w:t>3.3</w:t>
      </w:r>
      <w:r w:rsidRPr="00E5596D">
        <w:rPr>
          <w:rFonts w:eastAsiaTheme="minorEastAsia"/>
        </w:rPr>
        <w:tab/>
        <w:t>PwC a présenté certaines de ses conclusions aux membres, ainsi que les principes directeurs pour la conception du futur modèle et certaines recommandations de haut niveau.</w:t>
      </w:r>
    </w:p>
    <w:p w14:paraId="0BAB329D" w14:textId="55A1E33D" w:rsidR="00E5596D" w:rsidRPr="00E5596D" w:rsidRDefault="00E5596D" w:rsidP="00E54F16">
      <w:pPr>
        <w:rPr>
          <w:rFonts w:eastAsiaTheme="minorEastAsia"/>
        </w:rPr>
      </w:pPr>
      <w:r w:rsidRPr="00E5596D">
        <w:rPr>
          <w:rFonts w:eastAsiaTheme="minorEastAsia"/>
        </w:rPr>
        <w:t>3.4</w:t>
      </w:r>
      <w:r w:rsidRPr="00E5596D">
        <w:rPr>
          <w:rFonts w:eastAsiaTheme="minorEastAsia"/>
        </w:rPr>
        <w:tab/>
        <w:t>La session s</w:t>
      </w:r>
      <w:r w:rsidR="00C24F45">
        <w:rPr>
          <w:rFonts w:eastAsiaTheme="minorEastAsia"/>
        </w:rPr>
        <w:t>'</w:t>
      </w:r>
      <w:r w:rsidRPr="00E5596D">
        <w:rPr>
          <w:rFonts w:eastAsiaTheme="minorEastAsia"/>
        </w:rPr>
        <w:t xml:space="preserve">est poursuivie par des questions-réponses. Un rapport de synthèse sur le dialogue web est disponible sur le </w:t>
      </w:r>
      <w:hyperlink r:id="rId21" w:history="1">
        <w:r w:rsidRPr="00E5596D">
          <w:rPr>
            <w:rFonts w:eastAsiaTheme="minorEastAsia"/>
            <w:color w:val="0000FF"/>
            <w:u w:val="single"/>
          </w:rPr>
          <w:t>site web</w:t>
        </w:r>
      </w:hyperlink>
      <w:r w:rsidRPr="00E5596D">
        <w:rPr>
          <w:rFonts w:eastAsiaTheme="minorEastAsia"/>
        </w:rPr>
        <w:t xml:space="preserve"> du GCDT-20.</w:t>
      </w:r>
    </w:p>
    <w:p w14:paraId="41C16A21" w14:textId="16E71992" w:rsidR="00E5596D" w:rsidRPr="00E5596D" w:rsidRDefault="00E5596D" w:rsidP="00E54F16">
      <w:pPr>
        <w:pStyle w:val="Heading1"/>
        <w:rPr>
          <w:rFonts w:eastAsiaTheme="minorEastAsia"/>
        </w:rPr>
      </w:pPr>
      <w:r w:rsidRPr="00E5596D">
        <w:rPr>
          <w:rFonts w:eastAsiaTheme="minorEastAsia"/>
        </w:rPr>
        <w:lastRenderedPageBreak/>
        <w:t>4</w:t>
      </w:r>
      <w:r w:rsidRPr="00E5596D">
        <w:rPr>
          <w:rFonts w:eastAsiaTheme="minorEastAsia"/>
        </w:rPr>
        <w:tab/>
        <w:t>Établissement d</w:t>
      </w:r>
      <w:r w:rsidR="00C24F45">
        <w:rPr>
          <w:rFonts w:eastAsiaTheme="minorEastAsia"/>
        </w:rPr>
        <w:t>'</w:t>
      </w:r>
      <w:r w:rsidRPr="00E5596D">
        <w:rPr>
          <w:rFonts w:eastAsiaTheme="minorEastAsia"/>
        </w:rPr>
        <w:t>un bureau de zone de l</w:t>
      </w:r>
      <w:r w:rsidR="00C24F45">
        <w:rPr>
          <w:rFonts w:eastAsiaTheme="minorEastAsia"/>
        </w:rPr>
        <w:t>'</w:t>
      </w:r>
      <w:r w:rsidRPr="00E5596D">
        <w:rPr>
          <w:rFonts w:eastAsiaTheme="minorEastAsia"/>
        </w:rPr>
        <w:t>UIT pour l</w:t>
      </w:r>
      <w:r w:rsidR="00C24F45">
        <w:rPr>
          <w:rFonts w:eastAsiaTheme="minorEastAsia"/>
        </w:rPr>
        <w:t>'</w:t>
      </w:r>
      <w:r w:rsidRPr="00E5596D">
        <w:rPr>
          <w:rFonts w:eastAsiaTheme="minorEastAsia"/>
        </w:rPr>
        <w:t>Asie du Sud</w:t>
      </w:r>
    </w:p>
    <w:p w14:paraId="34115D90" w14:textId="6E2C9CBD" w:rsidR="00E5596D" w:rsidRPr="00E5596D" w:rsidRDefault="00E5596D" w:rsidP="00E54F16">
      <w:pPr>
        <w:tabs>
          <w:tab w:val="clear" w:pos="1134"/>
          <w:tab w:val="clear" w:pos="1701"/>
          <w:tab w:val="clear" w:pos="2268"/>
          <w:tab w:val="clear" w:pos="2835"/>
        </w:tabs>
        <w:rPr>
          <w:rFonts w:eastAsiaTheme="minorEastAsia"/>
        </w:rPr>
      </w:pPr>
      <w:r w:rsidRPr="00E5596D">
        <w:rPr>
          <w:rFonts w:eastAsiaTheme="minorEastAsia"/>
        </w:rPr>
        <w:t>4.1</w:t>
      </w:r>
      <w:r w:rsidRPr="00E5596D">
        <w:rPr>
          <w:rFonts w:eastAsiaTheme="minorEastAsia"/>
        </w:rPr>
        <w:tab/>
        <w:t>Lors de la séance finale de sa session de 2018, le Conseil de l</w:t>
      </w:r>
      <w:r w:rsidR="00C24F45">
        <w:rPr>
          <w:rFonts w:eastAsiaTheme="minorEastAsia"/>
        </w:rPr>
        <w:t>'</w:t>
      </w:r>
      <w:r w:rsidRPr="00E5596D">
        <w:rPr>
          <w:rFonts w:eastAsiaTheme="minorEastAsia"/>
        </w:rPr>
        <w:t>UIT a décidé d</w:t>
      </w:r>
      <w:r w:rsidR="00C24F45">
        <w:rPr>
          <w:rFonts w:eastAsiaTheme="minorEastAsia"/>
        </w:rPr>
        <w:t>'</w:t>
      </w:r>
      <w:r w:rsidRPr="00E5596D">
        <w:rPr>
          <w:rFonts w:eastAsiaTheme="minorEastAsia"/>
        </w:rPr>
        <w:t>établir un bureau de zone de l</w:t>
      </w:r>
      <w:r w:rsidR="00C24F45">
        <w:rPr>
          <w:rFonts w:eastAsiaTheme="minorEastAsia"/>
        </w:rPr>
        <w:t>'</w:t>
      </w:r>
      <w:r w:rsidRPr="00E5596D">
        <w:rPr>
          <w:rFonts w:eastAsiaTheme="minorEastAsia"/>
        </w:rPr>
        <w:t>UIT pour l</w:t>
      </w:r>
      <w:r w:rsidR="00C24F45">
        <w:rPr>
          <w:rFonts w:eastAsiaTheme="minorEastAsia"/>
        </w:rPr>
        <w:t>'</w:t>
      </w:r>
      <w:r w:rsidRPr="00E5596D">
        <w:rPr>
          <w:rFonts w:eastAsiaTheme="minorEastAsia"/>
        </w:rPr>
        <w:t xml:space="preserve">Asie du Sud en Inde. Le Conseil a invité le Secrétaire général à entamer des négociations concernant un accord de pays hôte, portant notamment sur les dispositions financières. </w:t>
      </w:r>
      <w:proofErr w:type="gramStart"/>
      <w:r w:rsidRPr="00E5596D">
        <w:rPr>
          <w:rFonts w:eastAsiaTheme="minorEastAsia"/>
        </w:rPr>
        <w:t>Suite à</w:t>
      </w:r>
      <w:proofErr w:type="gramEnd"/>
      <w:r w:rsidRPr="00E5596D">
        <w:rPr>
          <w:rFonts w:eastAsiaTheme="minorEastAsia"/>
        </w:rPr>
        <w:t xml:space="preserve"> cette décision du Conseil, le secrétariat a élaboré un projet d</w:t>
      </w:r>
      <w:r w:rsidR="00C24F45">
        <w:rPr>
          <w:rFonts w:eastAsiaTheme="minorEastAsia"/>
        </w:rPr>
        <w:t>'</w:t>
      </w:r>
      <w:r w:rsidRPr="00E5596D">
        <w:rPr>
          <w:rFonts w:eastAsiaTheme="minorEastAsia"/>
        </w:rPr>
        <w:t>accord de pays hôte, qu</w:t>
      </w:r>
      <w:r w:rsidR="00C24F45">
        <w:rPr>
          <w:rFonts w:eastAsiaTheme="minorEastAsia"/>
        </w:rPr>
        <w:t>'</w:t>
      </w:r>
      <w:r w:rsidRPr="00E5596D">
        <w:rPr>
          <w:rFonts w:eastAsiaTheme="minorEastAsia"/>
        </w:rPr>
        <w:t>il a transmis au Gouvernement indien pour observations et avis. Les deux parties sont parvenues à un accord de principe sur le texte de l</w:t>
      </w:r>
      <w:r w:rsidR="00C24F45">
        <w:rPr>
          <w:rFonts w:eastAsiaTheme="minorEastAsia"/>
        </w:rPr>
        <w:t>'</w:t>
      </w:r>
      <w:r w:rsidRPr="00E5596D">
        <w:rPr>
          <w:rFonts w:eastAsiaTheme="minorEastAsia"/>
        </w:rPr>
        <w:t>accord de pays hôte, à l</w:t>
      </w:r>
      <w:r w:rsidR="00C24F45">
        <w:rPr>
          <w:rFonts w:eastAsiaTheme="minorEastAsia"/>
        </w:rPr>
        <w:t>'</w:t>
      </w:r>
      <w:r w:rsidRPr="00E5596D">
        <w:rPr>
          <w:rFonts w:eastAsiaTheme="minorEastAsia"/>
        </w:rPr>
        <w:t>exception d</w:t>
      </w:r>
      <w:r w:rsidR="00C24F45">
        <w:rPr>
          <w:rFonts w:eastAsiaTheme="minorEastAsia"/>
        </w:rPr>
        <w:t>'</w:t>
      </w:r>
      <w:r w:rsidRPr="00E5596D">
        <w:rPr>
          <w:rFonts w:eastAsiaTheme="minorEastAsia"/>
        </w:rPr>
        <w:t>une clause qui reste en suspens en raison de consultations internes au sein du Gouvernement indien.</w:t>
      </w:r>
    </w:p>
    <w:p w14:paraId="193F3488" w14:textId="77777777" w:rsidR="00E5596D" w:rsidRPr="00E5596D" w:rsidRDefault="00E5596D" w:rsidP="00E54F16">
      <w:pPr>
        <w:pStyle w:val="Heading1"/>
        <w:rPr>
          <w:rFonts w:eastAsiaTheme="minorEastAsia"/>
        </w:rPr>
      </w:pPr>
      <w:r w:rsidRPr="00E5596D">
        <w:rPr>
          <w:rFonts w:eastAsiaTheme="minorEastAsia"/>
        </w:rPr>
        <w:t>5</w:t>
      </w:r>
      <w:r w:rsidRPr="00E5596D">
        <w:rPr>
          <w:rFonts w:eastAsiaTheme="minorEastAsia"/>
        </w:rPr>
        <w:tab/>
        <w:t>Résultats obtenus au niveau régional en 2020 (plan opérationnel, initiatives régionales et projets)</w:t>
      </w:r>
    </w:p>
    <w:p w14:paraId="28CF095E" w14:textId="6EBE5B8C" w:rsidR="00E5596D" w:rsidRPr="00E5596D" w:rsidRDefault="00E5596D" w:rsidP="00E54F16">
      <w:pPr>
        <w:rPr>
          <w:rFonts w:eastAsiaTheme="minorEastAsia"/>
        </w:rPr>
      </w:pPr>
      <w:r w:rsidRPr="00E5596D">
        <w:rPr>
          <w:rFonts w:eastAsiaTheme="minorEastAsia"/>
        </w:rPr>
        <w:t>5.1</w:t>
      </w:r>
      <w:r w:rsidRPr="00E5596D">
        <w:rPr>
          <w:rFonts w:eastAsiaTheme="minorEastAsia"/>
        </w:rPr>
        <w:tab/>
        <w:t>La mise en œuvre des initiatives régionales et l</w:t>
      </w:r>
      <w:r w:rsidR="00C24F45">
        <w:rPr>
          <w:rFonts w:eastAsiaTheme="minorEastAsia"/>
        </w:rPr>
        <w:t>'</w:t>
      </w:r>
      <w:r w:rsidRPr="00E5596D">
        <w:rPr>
          <w:rFonts w:eastAsiaTheme="minorEastAsia"/>
        </w:rPr>
        <w:t>exécution des programmes, des projets et des activités sont conduites sur le terrain sous la direction des bureaux régionaux et des bureaux de zone. Les principaux résultats obtenus so</w:t>
      </w:r>
      <w:r w:rsidR="00333C82">
        <w:rPr>
          <w:rFonts w:eastAsiaTheme="minorEastAsia"/>
        </w:rPr>
        <w:t>nt communiqués régulièrement au </w:t>
      </w:r>
      <w:r w:rsidRPr="00E5596D">
        <w:rPr>
          <w:rFonts w:eastAsiaTheme="minorEastAsia"/>
        </w:rPr>
        <w:t>GCDT et au Conseil. Les résultats obtenus en 2020 ont été consignés dans un rapport sur les temps forts de l</w:t>
      </w:r>
      <w:r w:rsidR="00C24F45">
        <w:rPr>
          <w:rFonts w:eastAsiaTheme="minorEastAsia"/>
        </w:rPr>
        <w:t>'</w:t>
      </w:r>
      <w:r w:rsidRPr="00E5596D">
        <w:rPr>
          <w:rFonts w:eastAsiaTheme="minorEastAsia"/>
        </w:rPr>
        <w:t>année</w:t>
      </w:r>
      <w:r w:rsidR="00C76FBD">
        <w:rPr>
          <w:rFonts w:eastAsiaTheme="minorEastAsia"/>
        </w:rPr>
        <w:t xml:space="preserve"> </w:t>
      </w:r>
      <w:r w:rsidRPr="00C76FBD">
        <w:rPr>
          <w:rFonts w:eastAsiaTheme="minorEastAsia"/>
        </w:rPr>
        <w:t>(</w:t>
      </w:r>
      <w:r w:rsidRPr="00334DAB">
        <w:rPr>
          <w:rFonts w:eastAsiaTheme="minorEastAsia"/>
          <w:szCs w:val="24"/>
        </w:rPr>
        <w:t>voir la page d</w:t>
      </w:r>
      <w:r w:rsidR="00C24F45" w:rsidRPr="00334DAB">
        <w:rPr>
          <w:rFonts w:eastAsiaTheme="minorEastAsia"/>
          <w:szCs w:val="24"/>
        </w:rPr>
        <w:t>'</w:t>
      </w:r>
      <w:r w:rsidRPr="00334DAB">
        <w:rPr>
          <w:rFonts w:eastAsiaTheme="minorEastAsia"/>
          <w:szCs w:val="24"/>
        </w:rPr>
        <w:t xml:space="preserve">accueil du </w:t>
      </w:r>
      <w:hyperlink r:id="rId22" w:history="1">
        <w:r w:rsidRPr="00334DAB">
          <w:rPr>
            <w:rStyle w:val="Hyperlink"/>
            <w:rFonts w:eastAsiaTheme="minorEastAsia"/>
            <w:szCs w:val="24"/>
          </w:rPr>
          <w:t>rapport sur les temps forts de l</w:t>
        </w:r>
        <w:r w:rsidR="00C24F45" w:rsidRPr="00334DAB">
          <w:rPr>
            <w:rStyle w:val="Hyperlink"/>
            <w:rFonts w:eastAsiaTheme="minorEastAsia"/>
            <w:szCs w:val="24"/>
          </w:rPr>
          <w:t>'</w:t>
        </w:r>
        <w:r w:rsidRPr="00334DAB">
          <w:rPr>
            <w:rStyle w:val="Hyperlink"/>
            <w:rFonts w:eastAsiaTheme="minorEastAsia"/>
            <w:szCs w:val="24"/>
          </w:rPr>
          <w:t>année</w:t>
        </w:r>
        <w:r w:rsidR="005E5087" w:rsidRPr="00334DAB">
          <w:rPr>
            <w:rStyle w:val="Hyperlink"/>
            <w:rFonts w:eastAsiaTheme="minorEastAsia"/>
            <w:szCs w:val="24"/>
          </w:rPr>
          <w:t xml:space="preserve"> </w:t>
        </w:r>
        <w:r w:rsidR="00333C82" w:rsidRPr="00334DAB">
          <w:rPr>
            <w:rStyle w:val="Hyperlink"/>
            <w:rFonts w:eastAsiaTheme="minorEastAsia"/>
            <w:szCs w:val="24"/>
          </w:rPr>
          <w:t>2020 au </w:t>
        </w:r>
        <w:r w:rsidRPr="00334DAB">
          <w:rPr>
            <w:rStyle w:val="Hyperlink"/>
            <w:rFonts w:eastAsiaTheme="minorEastAsia"/>
            <w:szCs w:val="24"/>
          </w:rPr>
          <w:t>BDT, foleon.com</w:t>
        </w:r>
      </w:hyperlink>
      <w:r w:rsidRPr="00E5596D">
        <w:rPr>
          <w:rFonts w:eastAsiaTheme="minorEastAsia"/>
          <w:szCs w:val="24"/>
        </w:rPr>
        <w:t>).</w:t>
      </w:r>
    </w:p>
    <w:p w14:paraId="29A72B53" w14:textId="15030D7D" w:rsidR="00E5596D" w:rsidRPr="00E5596D" w:rsidRDefault="00E5596D" w:rsidP="00E54F16">
      <w:pPr>
        <w:keepLines/>
        <w:rPr>
          <w:rFonts w:eastAsiaTheme="minorEastAsia"/>
        </w:rPr>
      </w:pPr>
      <w:r w:rsidRPr="00E5596D">
        <w:rPr>
          <w:rFonts w:eastAsiaTheme="minorEastAsia"/>
        </w:rPr>
        <w:t>5.2</w:t>
      </w:r>
      <w:r w:rsidRPr="00E5596D">
        <w:rPr>
          <w:rFonts w:eastAsiaTheme="minorEastAsia"/>
        </w:rPr>
        <w:tab/>
        <w:t>En 2020, la mise en œuvre du plan opérationnel du BDT (budget ordinaire) s</w:t>
      </w:r>
      <w:r w:rsidR="00C24F45">
        <w:rPr>
          <w:rFonts w:eastAsiaTheme="minorEastAsia"/>
        </w:rPr>
        <w:t>'</w:t>
      </w:r>
      <w:r w:rsidRPr="00E5596D">
        <w:rPr>
          <w:rFonts w:eastAsiaTheme="minorEastAsia"/>
        </w:rPr>
        <w:t>est traduite par 157 mesures pour un niveau total d</w:t>
      </w:r>
      <w:r w:rsidR="00C24F45">
        <w:rPr>
          <w:rFonts w:eastAsiaTheme="minorEastAsia"/>
        </w:rPr>
        <w:t>'</w:t>
      </w:r>
      <w:r w:rsidRPr="00E5596D">
        <w:rPr>
          <w:rFonts w:eastAsiaTheme="minorEastAsia"/>
        </w:rPr>
        <w:t>exécution de 2,3 millions CHF (Tableau 1). Le niveau de mise en œuvre des projets a représenté 3,5 millions USD pour 71 projets (Tableau 2)</w:t>
      </w:r>
      <w:r w:rsidRPr="00E5596D">
        <w:rPr>
          <w:rFonts w:eastAsiaTheme="minorEastAsia"/>
          <w:position w:val="6"/>
          <w:sz w:val="18"/>
          <w:szCs w:val="18"/>
        </w:rPr>
        <w:footnoteReference w:id="1"/>
      </w:r>
      <w:r w:rsidRPr="00E5596D">
        <w:rPr>
          <w:rFonts w:eastAsiaTheme="minorEastAsia"/>
        </w:rPr>
        <w:t>.</w:t>
      </w:r>
    </w:p>
    <w:p w14:paraId="6483949F" w14:textId="77777777" w:rsidR="00E5596D" w:rsidRPr="00E5596D" w:rsidRDefault="00E5596D" w:rsidP="00E54F16">
      <w:pPr>
        <w:pStyle w:val="Tabletitle"/>
        <w:spacing w:before="240"/>
        <w:rPr>
          <w:rFonts w:eastAsiaTheme="minorEastAsia"/>
          <w:i/>
          <w:iCs/>
        </w:rPr>
      </w:pPr>
      <w:r w:rsidRPr="00E5596D">
        <w:rPr>
          <w:rFonts w:eastAsiaTheme="minorEastAsia"/>
        </w:rPr>
        <w:t>Tableau 1 – Mise en œuvre du plan opérationnel du BDT en 2020</w:t>
      </w:r>
      <w:r w:rsidRPr="00E5596D">
        <w:rPr>
          <w:rFonts w:eastAsiaTheme="minorEastAsia"/>
        </w:rPr>
        <w:br/>
      </w:r>
      <w:r w:rsidRPr="00C24F45">
        <w:rPr>
          <w:rFonts w:eastAsiaTheme="minorEastAsia"/>
          <w:b w:val="0"/>
          <w:i/>
          <w:iCs/>
        </w:rPr>
        <w:t>(montants en milliers de francs suisses (CHF))</w:t>
      </w:r>
    </w:p>
    <w:tbl>
      <w:tblPr>
        <w:tblStyle w:val="TableGrid"/>
        <w:tblW w:w="0" w:type="auto"/>
        <w:jc w:val="center"/>
        <w:tblLook w:val="04A0" w:firstRow="1" w:lastRow="0" w:firstColumn="1" w:lastColumn="0" w:noHBand="0" w:noVBand="1"/>
      </w:tblPr>
      <w:tblGrid>
        <w:gridCol w:w="1051"/>
        <w:gridCol w:w="876"/>
        <w:gridCol w:w="841"/>
        <w:gridCol w:w="875"/>
        <w:gridCol w:w="841"/>
        <w:gridCol w:w="875"/>
        <w:gridCol w:w="840"/>
        <w:gridCol w:w="875"/>
        <w:gridCol w:w="840"/>
        <w:gridCol w:w="875"/>
        <w:gridCol w:w="840"/>
      </w:tblGrid>
      <w:tr w:rsidR="00E5596D" w:rsidRPr="00E5596D" w14:paraId="141662E3" w14:textId="77777777" w:rsidTr="00E54F16">
        <w:trPr>
          <w:jc w:val="center"/>
        </w:trPr>
        <w:tc>
          <w:tcPr>
            <w:tcW w:w="1051" w:type="dxa"/>
            <w:vMerge w:val="restart"/>
            <w:shd w:val="pct10" w:color="auto" w:fill="auto"/>
            <w:vAlign w:val="center"/>
          </w:tcPr>
          <w:p w14:paraId="26E98263" w14:textId="77777777" w:rsidR="00E5596D" w:rsidRPr="00E5596D" w:rsidRDefault="00E5596D" w:rsidP="00E54F16">
            <w:pPr>
              <w:spacing w:before="20" w:after="20"/>
              <w:rPr>
                <w:sz w:val="16"/>
                <w:szCs w:val="16"/>
              </w:rPr>
            </w:pPr>
            <w:r w:rsidRPr="00E5596D">
              <w:rPr>
                <w:sz w:val="16"/>
                <w:szCs w:val="16"/>
              </w:rPr>
              <w:t>Région</w:t>
            </w:r>
          </w:p>
        </w:tc>
        <w:tc>
          <w:tcPr>
            <w:tcW w:w="1717" w:type="dxa"/>
            <w:gridSpan w:val="2"/>
            <w:shd w:val="pct10" w:color="auto" w:fill="auto"/>
          </w:tcPr>
          <w:p w14:paraId="673BD5A5"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Objectif 1*</w:t>
            </w:r>
          </w:p>
        </w:tc>
        <w:tc>
          <w:tcPr>
            <w:tcW w:w="1716" w:type="dxa"/>
            <w:gridSpan w:val="2"/>
            <w:shd w:val="pct10" w:color="auto" w:fill="auto"/>
          </w:tcPr>
          <w:p w14:paraId="7D80184B"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Objectif 2</w:t>
            </w:r>
          </w:p>
        </w:tc>
        <w:tc>
          <w:tcPr>
            <w:tcW w:w="1715" w:type="dxa"/>
            <w:gridSpan w:val="2"/>
            <w:shd w:val="pct10" w:color="auto" w:fill="auto"/>
          </w:tcPr>
          <w:p w14:paraId="3630F107"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Objectif 3</w:t>
            </w:r>
          </w:p>
        </w:tc>
        <w:tc>
          <w:tcPr>
            <w:tcW w:w="1715" w:type="dxa"/>
            <w:gridSpan w:val="2"/>
            <w:shd w:val="pct10" w:color="auto" w:fill="auto"/>
          </w:tcPr>
          <w:p w14:paraId="0E9B7615"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Objectif 4</w:t>
            </w:r>
          </w:p>
        </w:tc>
        <w:tc>
          <w:tcPr>
            <w:tcW w:w="1715" w:type="dxa"/>
            <w:gridSpan w:val="2"/>
            <w:shd w:val="pct10" w:color="auto" w:fill="auto"/>
          </w:tcPr>
          <w:p w14:paraId="7D0DC39D"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TOTAL</w:t>
            </w:r>
          </w:p>
        </w:tc>
      </w:tr>
      <w:tr w:rsidR="00E5596D" w:rsidRPr="00E5596D" w14:paraId="0CE7F777" w14:textId="77777777" w:rsidTr="00E54F16">
        <w:trPr>
          <w:jc w:val="center"/>
        </w:trPr>
        <w:tc>
          <w:tcPr>
            <w:tcW w:w="1051" w:type="dxa"/>
            <w:vMerge/>
            <w:shd w:val="pct10" w:color="auto" w:fill="auto"/>
          </w:tcPr>
          <w:p w14:paraId="39DC53E4" w14:textId="77777777" w:rsidR="00E5596D" w:rsidRPr="00E5596D" w:rsidRDefault="00E5596D" w:rsidP="00E54F16">
            <w:pPr>
              <w:spacing w:before="20" w:after="20"/>
              <w:rPr>
                <w:sz w:val="16"/>
                <w:szCs w:val="16"/>
              </w:rPr>
            </w:pPr>
          </w:p>
        </w:tc>
        <w:tc>
          <w:tcPr>
            <w:tcW w:w="876" w:type="dxa"/>
            <w:shd w:val="pct10" w:color="auto" w:fill="auto"/>
          </w:tcPr>
          <w:p w14:paraId="548B18DC" w14:textId="28A6C96E" w:rsidR="00E5596D" w:rsidRPr="00E5596D" w:rsidRDefault="00E5596D" w:rsidP="00E54F16">
            <w:pPr>
              <w:spacing w:before="20" w:after="20"/>
              <w:jc w:val="center"/>
              <w:rPr>
                <w:sz w:val="16"/>
                <w:szCs w:val="16"/>
              </w:rPr>
            </w:pPr>
            <w:r w:rsidRPr="00E5596D">
              <w:rPr>
                <w:sz w:val="16"/>
                <w:szCs w:val="16"/>
              </w:rPr>
              <w:t>Nombre d</w:t>
            </w:r>
            <w:r w:rsidR="00C24F45">
              <w:rPr>
                <w:sz w:val="16"/>
                <w:szCs w:val="16"/>
              </w:rPr>
              <w:t>'</w:t>
            </w:r>
            <w:r w:rsidRPr="00E5596D">
              <w:rPr>
                <w:sz w:val="16"/>
                <w:szCs w:val="16"/>
              </w:rPr>
              <w:t>activités</w:t>
            </w:r>
          </w:p>
        </w:tc>
        <w:tc>
          <w:tcPr>
            <w:tcW w:w="841" w:type="dxa"/>
            <w:shd w:val="pct10" w:color="auto" w:fill="auto"/>
          </w:tcPr>
          <w:p w14:paraId="77459140"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CHF)</w:t>
            </w:r>
          </w:p>
        </w:tc>
        <w:tc>
          <w:tcPr>
            <w:tcW w:w="875" w:type="dxa"/>
            <w:shd w:val="pct10" w:color="auto" w:fill="auto"/>
          </w:tcPr>
          <w:p w14:paraId="42E24294" w14:textId="4E581ADE" w:rsidR="00E5596D" w:rsidRPr="00E5596D" w:rsidRDefault="00E5596D" w:rsidP="00E54F16">
            <w:pPr>
              <w:spacing w:before="20" w:after="20"/>
              <w:jc w:val="center"/>
              <w:rPr>
                <w:sz w:val="16"/>
                <w:szCs w:val="16"/>
              </w:rPr>
            </w:pPr>
            <w:r w:rsidRPr="00E5596D">
              <w:rPr>
                <w:sz w:val="16"/>
                <w:szCs w:val="16"/>
              </w:rPr>
              <w:t>Nombre d</w:t>
            </w:r>
            <w:r w:rsidR="00C24F45">
              <w:rPr>
                <w:sz w:val="16"/>
                <w:szCs w:val="16"/>
              </w:rPr>
              <w:t>'</w:t>
            </w:r>
            <w:r w:rsidRPr="00E5596D">
              <w:rPr>
                <w:sz w:val="16"/>
                <w:szCs w:val="16"/>
              </w:rPr>
              <w:t>activités</w:t>
            </w:r>
          </w:p>
        </w:tc>
        <w:tc>
          <w:tcPr>
            <w:tcW w:w="841" w:type="dxa"/>
            <w:shd w:val="pct10" w:color="auto" w:fill="auto"/>
          </w:tcPr>
          <w:p w14:paraId="7D210B31"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CHF)</w:t>
            </w:r>
          </w:p>
        </w:tc>
        <w:tc>
          <w:tcPr>
            <w:tcW w:w="875" w:type="dxa"/>
            <w:shd w:val="pct10" w:color="auto" w:fill="auto"/>
          </w:tcPr>
          <w:p w14:paraId="77B7586C" w14:textId="48343743" w:rsidR="00E5596D" w:rsidRPr="00E5596D" w:rsidRDefault="00E5596D" w:rsidP="00E54F16">
            <w:pPr>
              <w:spacing w:before="20" w:after="20"/>
              <w:jc w:val="center"/>
              <w:rPr>
                <w:sz w:val="16"/>
                <w:szCs w:val="16"/>
              </w:rPr>
            </w:pPr>
            <w:r w:rsidRPr="00E5596D">
              <w:rPr>
                <w:sz w:val="16"/>
                <w:szCs w:val="16"/>
              </w:rPr>
              <w:t>Nombre d</w:t>
            </w:r>
            <w:r w:rsidR="00C24F45">
              <w:rPr>
                <w:sz w:val="16"/>
                <w:szCs w:val="16"/>
              </w:rPr>
              <w:t>'</w:t>
            </w:r>
            <w:r w:rsidRPr="00E5596D">
              <w:rPr>
                <w:sz w:val="16"/>
                <w:szCs w:val="16"/>
              </w:rPr>
              <w:t>activités</w:t>
            </w:r>
          </w:p>
        </w:tc>
        <w:tc>
          <w:tcPr>
            <w:tcW w:w="840" w:type="dxa"/>
            <w:shd w:val="pct10" w:color="auto" w:fill="auto"/>
          </w:tcPr>
          <w:p w14:paraId="4FC830BA"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CHF)</w:t>
            </w:r>
          </w:p>
        </w:tc>
        <w:tc>
          <w:tcPr>
            <w:tcW w:w="875" w:type="dxa"/>
            <w:shd w:val="pct10" w:color="auto" w:fill="auto"/>
          </w:tcPr>
          <w:p w14:paraId="4E023566" w14:textId="1FB9CF2B" w:rsidR="00E5596D" w:rsidRPr="00E5596D" w:rsidRDefault="00E5596D" w:rsidP="00E54F16">
            <w:pPr>
              <w:spacing w:before="20" w:after="20"/>
              <w:jc w:val="center"/>
              <w:rPr>
                <w:sz w:val="16"/>
                <w:szCs w:val="16"/>
              </w:rPr>
            </w:pPr>
            <w:r w:rsidRPr="00E5596D">
              <w:rPr>
                <w:sz w:val="16"/>
                <w:szCs w:val="16"/>
              </w:rPr>
              <w:t>Nombre d</w:t>
            </w:r>
            <w:r w:rsidR="00C24F45">
              <w:rPr>
                <w:sz w:val="16"/>
                <w:szCs w:val="16"/>
              </w:rPr>
              <w:t>'</w:t>
            </w:r>
            <w:r w:rsidRPr="00E5596D">
              <w:rPr>
                <w:sz w:val="16"/>
                <w:szCs w:val="16"/>
              </w:rPr>
              <w:t>activités</w:t>
            </w:r>
          </w:p>
        </w:tc>
        <w:tc>
          <w:tcPr>
            <w:tcW w:w="840" w:type="dxa"/>
            <w:shd w:val="pct10" w:color="auto" w:fill="auto"/>
          </w:tcPr>
          <w:p w14:paraId="45C75E20"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CHF)</w:t>
            </w:r>
          </w:p>
        </w:tc>
        <w:tc>
          <w:tcPr>
            <w:tcW w:w="875" w:type="dxa"/>
            <w:shd w:val="pct10" w:color="auto" w:fill="auto"/>
          </w:tcPr>
          <w:p w14:paraId="0C72C3D3" w14:textId="531C4784" w:rsidR="00E5596D" w:rsidRPr="00E5596D" w:rsidRDefault="00E5596D" w:rsidP="00E54F16">
            <w:pPr>
              <w:spacing w:before="20" w:after="20"/>
              <w:jc w:val="center"/>
              <w:rPr>
                <w:sz w:val="16"/>
                <w:szCs w:val="16"/>
              </w:rPr>
            </w:pPr>
            <w:r w:rsidRPr="00E5596D">
              <w:rPr>
                <w:sz w:val="16"/>
                <w:szCs w:val="16"/>
              </w:rPr>
              <w:t>Nombre d</w:t>
            </w:r>
            <w:r w:rsidR="00C24F45">
              <w:rPr>
                <w:sz w:val="16"/>
                <w:szCs w:val="16"/>
              </w:rPr>
              <w:t>'</w:t>
            </w:r>
            <w:r w:rsidRPr="00E5596D">
              <w:rPr>
                <w:sz w:val="16"/>
                <w:szCs w:val="16"/>
              </w:rPr>
              <w:t>activités</w:t>
            </w:r>
          </w:p>
        </w:tc>
        <w:tc>
          <w:tcPr>
            <w:tcW w:w="840" w:type="dxa"/>
            <w:shd w:val="pct10" w:color="auto" w:fill="auto"/>
          </w:tcPr>
          <w:p w14:paraId="29CF3318"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CHF)</w:t>
            </w:r>
          </w:p>
        </w:tc>
      </w:tr>
      <w:tr w:rsidR="00E5596D" w:rsidRPr="00E5596D" w14:paraId="3FEB323F" w14:textId="77777777" w:rsidTr="00E54F16">
        <w:trPr>
          <w:jc w:val="center"/>
        </w:trPr>
        <w:tc>
          <w:tcPr>
            <w:tcW w:w="1051" w:type="dxa"/>
          </w:tcPr>
          <w:p w14:paraId="3A0D383E" w14:textId="77777777" w:rsidR="00E5596D" w:rsidRPr="00E5596D" w:rsidRDefault="00E5596D" w:rsidP="00E54F16">
            <w:pPr>
              <w:spacing w:before="20" w:after="20"/>
              <w:rPr>
                <w:b/>
                <w:bCs/>
                <w:sz w:val="16"/>
                <w:szCs w:val="16"/>
              </w:rPr>
            </w:pPr>
            <w:r w:rsidRPr="00E5596D">
              <w:rPr>
                <w:b/>
                <w:bCs/>
                <w:sz w:val="16"/>
                <w:szCs w:val="16"/>
              </w:rPr>
              <w:t>Afrique</w:t>
            </w:r>
          </w:p>
        </w:tc>
        <w:tc>
          <w:tcPr>
            <w:tcW w:w="876" w:type="dxa"/>
          </w:tcPr>
          <w:p w14:paraId="28337C37" w14:textId="77777777" w:rsidR="00E5596D" w:rsidRPr="00E5596D" w:rsidRDefault="00E5596D" w:rsidP="00E54F16">
            <w:pPr>
              <w:spacing w:before="20" w:after="20"/>
              <w:jc w:val="center"/>
              <w:rPr>
                <w:sz w:val="16"/>
                <w:szCs w:val="16"/>
              </w:rPr>
            </w:pPr>
            <w:r w:rsidRPr="00E5596D">
              <w:rPr>
                <w:sz w:val="16"/>
                <w:szCs w:val="16"/>
              </w:rPr>
              <w:t>3</w:t>
            </w:r>
          </w:p>
        </w:tc>
        <w:tc>
          <w:tcPr>
            <w:tcW w:w="841" w:type="dxa"/>
          </w:tcPr>
          <w:p w14:paraId="5A310DB7" w14:textId="77777777" w:rsidR="00E5596D" w:rsidRPr="00E5596D" w:rsidRDefault="00E5596D" w:rsidP="00E54F16">
            <w:pPr>
              <w:spacing w:before="20" w:after="20"/>
              <w:jc w:val="center"/>
              <w:rPr>
                <w:sz w:val="16"/>
                <w:szCs w:val="16"/>
              </w:rPr>
            </w:pPr>
            <w:r w:rsidRPr="00E5596D">
              <w:rPr>
                <w:sz w:val="16"/>
                <w:szCs w:val="16"/>
              </w:rPr>
              <w:t>52</w:t>
            </w:r>
          </w:p>
        </w:tc>
        <w:tc>
          <w:tcPr>
            <w:tcW w:w="875" w:type="dxa"/>
          </w:tcPr>
          <w:p w14:paraId="26E8071D" w14:textId="77777777" w:rsidR="00E5596D" w:rsidRPr="00E5596D" w:rsidRDefault="00E5596D" w:rsidP="00E54F16">
            <w:pPr>
              <w:spacing w:before="20" w:after="20"/>
              <w:jc w:val="center"/>
              <w:rPr>
                <w:sz w:val="16"/>
                <w:szCs w:val="16"/>
              </w:rPr>
            </w:pPr>
            <w:r w:rsidRPr="00E5596D">
              <w:rPr>
                <w:sz w:val="16"/>
                <w:szCs w:val="16"/>
              </w:rPr>
              <w:t>6</w:t>
            </w:r>
          </w:p>
        </w:tc>
        <w:tc>
          <w:tcPr>
            <w:tcW w:w="841" w:type="dxa"/>
          </w:tcPr>
          <w:p w14:paraId="2E65B103" w14:textId="77777777" w:rsidR="00E5596D" w:rsidRPr="00E5596D" w:rsidRDefault="00E5596D" w:rsidP="00E54F16">
            <w:pPr>
              <w:spacing w:before="20" w:after="20"/>
              <w:jc w:val="center"/>
              <w:rPr>
                <w:sz w:val="16"/>
                <w:szCs w:val="16"/>
              </w:rPr>
            </w:pPr>
            <w:r w:rsidRPr="00E5596D">
              <w:rPr>
                <w:sz w:val="16"/>
                <w:szCs w:val="16"/>
              </w:rPr>
              <w:t>87</w:t>
            </w:r>
          </w:p>
        </w:tc>
        <w:tc>
          <w:tcPr>
            <w:tcW w:w="875" w:type="dxa"/>
          </w:tcPr>
          <w:p w14:paraId="0E4492E4" w14:textId="77777777" w:rsidR="00E5596D" w:rsidRPr="00E5596D" w:rsidRDefault="00E5596D" w:rsidP="00E54F16">
            <w:pPr>
              <w:spacing w:before="20" w:after="20"/>
              <w:jc w:val="center"/>
              <w:rPr>
                <w:sz w:val="16"/>
                <w:szCs w:val="16"/>
              </w:rPr>
            </w:pPr>
            <w:r w:rsidRPr="00E5596D">
              <w:rPr>
                <w:sz w:val="16"/>
                <w:szCs w:val="16"/>
              </w:rPr>
              <w:t>9</w:t>
            </w:r>
          </w:p>
        </w:tc>
        <w:tc>
          <w:tcPr>
            <w:tcW w:w="840" w:type="dxa"/>
          </w:tcPr>
          <w:p w14:paraId="77C3DD49" w14:textId="77777777" w:rsidR="00E5596D" w:rsidRPr="00E5596D" w:rsidRDefault="00E5596D" w:rsidP="00E54F16">
            <w:pPr>
              <w:spacing w:before="20" w:after="20"/>
              <w:jc w:val="center"/>
              <w:rPr>
                <w:sz w:val="16"/>
                <w:szCs w:val="16"/>
              </w:rPr>
            </w:pPr>
            <w:r w:rsidRPr="00E5596D">
              <w:rPr>
                <w:sz w:val="16"/>
                <w:szCs w:val="16"/>
              </w:rPr>
              <w:t>99</w:t>
            </w:r>
          </w:p>
        </w:tc>
        <w:tc>
          <w:tcPr>
            <w:tcW w:w="875" w:type="dxa"/>
          </w:tcPr>
          <w:p w14:paraId="300D3D05" w14:textId="77777777" w:rsidR="00E5596D" w:rsidRPr="00E5596D" w:rsidRDefault="00E5596D" w:rsidP="00E54F16">
            <w:pPr>
              <w:spacing w:before="20" w:after="20"/>
              <w:jc w:val="center"/>
              <w:rPr>
                <w:sz w:val="16"/>
                <w:szCs w:val="16"/>
              </w:rPr>
            </w:pPr>
            <w:r w:rsidRPr="00E5596D">
              <w:rPr>
                <w:sz w:val="16"/>
                <w:szCs w:val="16"/>
              </w:rPr>
              <w:t>8</w:t>
            </w:r>
          </w:p>
        </w:tc>
        <w:tc>
          <w:tcPr>
            <w:tcW w:w="840" w:type="dxa"/>
          </w:tcPr>
          <w:p w14:paraId="06EABA44" w14:textId="77777777" w:rsidR="00E5596D" w:rsidRPr="00E5596D" w:rsidRDefault="00E5596D" w:rsidP="00E54F16">
            <w:pPr>
              <w:spacing w:before="20" w:after="20"/>
              <w:jc w:val="center"/>
              <w:rPr>
                <w:sz w:val="16"/>
                <w:szCs w:val="16"/>
              </w:rPr>
            </w:pPr>
            <w:r w:rsidRPr="00E5596D">
              <w:rPr>
                <w:sz w:val="16"/>
                <w:szCs w:val="16"/>
              </w:rPr>
              <w:t>196</w:t>
            </w:r>
          </w:p>
        </w:tc>
        <w:tc>
          <w:tcPr>
            <w:tcW w:w="875" w:type="dxa"/>
          </w:tcPr>
          <w:p w14:paraId="75F8872F" w14:textId="77777777" w:rsidR="00E5596D" w:rsidRPr="00E5596D" w:rsidRDefault="00E5596D" w:rsidP="00E54F16">
            <w:pPr>
              <w:spacing w:before="20" w:after="20"/>
              <w:jc w:val="center"/>
              <w:rPr>
                <w:b/>
                <w:bCs/>
                <w:sz w:val="16"/>
                <w:szCs w:val="16"/>
              </w:rPr>
            </w:pPr>
            <w:r w:rsidRPr="00E5596D">
              <w:rPr>
                <w:b/>
                <w:bCs/>
                <w:sz w:val="16"/>
                <w:szCs w:val="16"/>
              </w:rPr>
              <w:t>26</w:t>
            </w:r>
          </w:p>
        </w:tc>
        <w:tc>
          <w:tcPr>
            <w:tcW w:w="840" w:type="dxa"/>
          </w:tcPr>
          <w:p w14:paraId="5A671706" w14:textId="77777777" w:rsidR="00E5596D" w:rsidRPr="00E5596D" w:rsidRDefault="00E5596D" w:rsidP="00E54F16">
            <w:pPr>
              <w:spacing w:before="20" w:after="20"/>
              <w:jc w:val="center"/>
              <w:rPr>
                <w:b/>
                <w:bCs/>
                <w:sz w:val="16"/>
                <w:szCs w:val="16"/>
              </w:rPr>
            </w:pPr>
            <w:r w:rsidRPr="00E5596D">
              <w:rPr>
                <w:b/>
                <w:bCs/>
                <w:sz w:val="16"/>
                <w:szCs w:val="16"/>
              </w:rPr>
              <w:t>434</w:t>
            </w:r>
          </w:p>
        </w:tc>
      </w:tr>
      <w:tr w:rsidR="00E5596D" w:rsidRPr="00E5596D" w14:paraId="7F956A13" w14:textId="77777777" w:rsidTr="00E54F16">
        <w:trPr>
          <w:jc w:val="center"/>
        </w:trPr>
        <w:tc>
          <w:tcPr>
            <w:tcW w:w="1051" w:type="dxa"/>
          </w:tcPr>
          <w:p w14:paraId="3CF37866" w14:textId="77777777" w:rsidR="00E5596D" w:rsidRPr="00E5596D" w:rsidRDefault="00E5596D" w:rsidP="00E54F16">
            <w:pPr>
              <w:spacing w:before="20" w:after="20"/>
              <w:rPr>
                <w:b/>
                <w:bCs/>
                <w:sz w:val="16"/>
                <w:szCs w:val="16"/>
              </w:rPr>
            </w:pPr>
            <w:r w:rsidRPr="00E5596D">
              <w:rPr>
                <w:b/>
                <w:bCs/>
                <w:sz w:val="16"/>
                <w:szCs w:val="16"/>
              </w:rPr>
              <w:t>Amériques</w:t>
            </w:r>
          </w:p>
        </w:tc>
        <w:tc>
          <w:tcPr>
            <w:tcW w:w="876" w:type="dxa"/>
          </w:tcPr>
          <w:p w14:paraId="635EAEE7" w14:textId="77777777" w:rsidR="00E5596D" w:rsidRPr="00E5596D" w:rsidRDefault="00E5596D" w:rsidP="00E54F16">
            <w:pPr>
              <w:spacing w:before="20" w:after="20"/>
              <w:jc w:val="center"/>
              <w:rPr>
                <w:sz w:val="16"/>
                <w:szCs w:val="16"/>
              </w:rPr>
            </w:pPr>
          </w:p>
        </w:tc>
        <w:tc>
          <w:tcPr>
            <w:tcW w:w="841" w:type="dxa"/>
          </w:tcPr>
          <w:p w14:paraId="4268C98E" w14:textId="77777777" w:rsidR="00E5596D" w:rsidRPr="00E5596D" w:rsidRDefault="00E5596D" w:rsidP="00E54F16">
            <w:pPr>
              <w:spacing w:before="20" w:after="20"/>
              <w:jc w:val="center"/>
              <w:rPr>
                <w:sz w:val="16"/>
                <w:szCs w:val="16"/>
              </w:rPr>
            </w:pPr>
            <w:r w:rsidRPr="00E5596D">
              <w:rPr>
                <w:sz w:val="16"/>
                <w:szCs w:val="16"/>
              </w:rPr>
              <w:t>0</w:t>
            </w:r>
          </w:p>
        </w:tc>
        <w:tc>
          <w:tcPr>
            <w:tcW w:w="875" w:type="dxa"/>
          </w:tcPr>
          <w:p w14:paraId="49092D2B" w14:textId="77777777" w:rsidR="00E5596D" w:rsidRPr="00E5596D" w:rsidRDefault="00E5596D" w:rsidP="00E54F16">
            <w:pPr>
              <w:spacing w:before="20" w:after="20"/>
              <w:jc w:val="center"/>
              <w:rPr>
                <w:sz w:val="16"/>
                <w:szCs w:val="16"/>
              </w:rPr>
            </w:pPr>
            <w:r w:rsidRPr="00E5596D">
              <w:rPr>
                <w:sz w:val="16"/>
                <w:szCs w:val="16"/>
              </w:rPr>
              <w:t>5</w:t>
            </w:r>
          </w:p>
        </w:tc>
        <w:tc>
          <w:tcPr>
            <w:tcW w:w="841" w:type="dxa"/>
          </w:tcPr>
          <w:p w14:paraId="0016A9A2" w14:textId="77777777" w:rsidR="00E5596D" w:rsidRPr="00E5596D" w:rsidRDefault="00E5596D" w:rsidP="00E54F16">
            <w:pPr>
              <w:spacing w:before="20" w:after="20"/>
              <w:jc w:val="center"/>
              <w:rPr>
                <w:sz w:val="16"/>
                <w:szCs w:val="16"/>
              </w:rPr>
            </w:pPr>
            <w:r w:rsidRPr="00E5596D">
              <w:rPr>
                <w:sz w:val="16"/>
                <w:szCs w:val="16"/>
              </w:rPr>
              <w:t>80</w:t>
            </w:r>
          </w:p>
        </w:tc>
        <w:tc>
          <w:tcPr>
            <w:tcW w:w="875" w:type="dxa"/>
          </w:tcPr>
          <w:p w14:paraId="00766B9F" w14:textId="77777777" w:rsidR="00E5596D" w:rsidRPr="00E5596D" w:rsidRDefault="00E5596D" w:rsidP="00E54F16">
            <w:pPr>
              <w:spacing w:before="20" w:after="20"/>
              <w:jc w:val="center"/>
              <w:rPr>
                <w:sz w:val="16"/>
                <w:szCs w:val="16"/>
              </w:rPr>
            </w:pPr>
            <w:r w:rsidRPr="00E5596D">
              <w:rPr>
                <w:sz w:val="16"/>
                <w:szCs w:val="16"/>
              </w:rPr>
              <w:t>11</w:t>
            </w:r>
          </w:p>
        </w:tc>
        <w:tc>
          <w:tcPr>
            <w:tcW w:w="840" w:type="dxa"/>
          </w:tcPr>
          <w:p w14:paraId="5A0B55FA" w14:textId="77777777" w:rsidR="00E5596D" w:rsidRPr="00E5596D" w:rsidRDefault="00E5596D" w:rsidP="00E54F16">
            <w:pPr>
              <w:spacing w:before="20" w:after="20"/>
              <w:jc w:val="center"/>
              <w:rPr>
                <w:sz w:val="16"/>
                <w:szCs w:val="16"/>
              </w:rPr>
            </w:pPr>
            <w:r w:rsidRPr="00E5596D">
              <w:rPr>
                <w:sz w:val="16"/>
                <w:szCs w:val="16"/>
              </w:rPr>
              <w:t>119</w:t>
            </w:r>
          </w:p>
        </w:tc>
        <w:tc>
          <w:tcPr>
            <w:tcW w:w="875" w:type="dxa"/>
          </w:tcPr>
          <w:p w14:paraId="7FEE4D8C" w14:textId="77777777" w:rsidR="00E5596D" w:rsidRPr="00E5596D" w:rsidRDefault="00E5596D" w:rsidP="00E54F16">
            <w:pPr>
              <w:spacing w:before="20" w:after="20"/>
              <w:jc w:val="center"/>
              <w:rPr>
                <w:sz w:val="16"/>
                <w:szCs w:val="16"/>
              </w:rPr>
            </w:pPr>
            <w:r w:rsidRPr="00E5596D">
              <w:rPr>
                <w:sz w:val="16"/>
                <w:szCs w:val="16"/>
              </w:rPr>
              <w:t>5</w:t>
            </w:r>
          </w:p>
        </w:tc>
        <w:tc>
          <w:tcPr>
            <w:tcW w:w="840" w:type="dxa"/>
          </w:tcPr>
          <w:p w14:paraId="7421F435" w14:textId="77777777" w:rsidR="00E5596D" w:rsidRPr="00E5596D" w:rsidRDefault="00E5596D" w:rsidP="00E54F16">
            <w:pPr>
              <w:spacing w:before="20" w:after="20"/>
              <w:jc w:val="center"/>
              <w:rPr>
                <w:sz w:val="16"/>
                <w:szCs w:val="16"/>
              </w:rPr>
            </w:pPr>
            <w:r w:rsidRPr="00E5596D">
              <w:rPr>
                <w:sz w:val="16"/>
                <w:szCs w:val="16"/>
              </w:rPr>
              <w:t>117</w:t>
            </w:r>
          </w:p>
        </w:tc>
        <w:tc>
          <w:tcPr>
            <w:tcW w:w="875" w:type="dxa"/>
          </w:tcPr>
          <w:p w14:paraId="55A29B4D" w14:textId="77777777" w:rsidR="00E5596D" w:rsidRPr="00E5596D" w:rsidRDefault="00E5596D" w:rsidP="00E54F16">
            <w:pPr>
              <w:spacing w:before="20" w:after="20"/>
              <w:jc w:val="center"/>
              <w:rPr>
                <w:b/>
                <w:bCs/>
                <w:sz w:val="16"/>
                <w:szCs w:val="16"/>
              </w:rPr>
            </w:pPr>
            <w:r w:rsidRPr="00E5596D">
              <w:rPr>
                <w:b/>
                <w:bCs/>
                <w:sz w:val="16"/>
                <w:szCs w:val="16"/>
              </w:rPr>
              <w:t>21</w:t>
            </w:r>
          </w:p>
        </w:tc>
        <w:tc>
          <w:tcPr>
            <w:tcW w:w="840" w:type="dxa"/>
          </w:tcPr>
          <w:p w14:paraId="5A2CB129" w14:textId="77777777" w:rsidR="00E5596D" w:rsidRPr="00E5596D" w:rsidRDefault="00E5596D" w:rsidP="00E54F16">
            <w:pPr>
              <w:spacing w:before="20" w:after="20"/>
              <w:jc w:val="center"/>
              <w:rPr>
                <w:b/>
                <w:bCs/>
                <w:sz w:val="16"/>
                <w:szCs w:val="16"/>
              </w:rPr>
            </w:pPr>
            <w:r w:rsidRPr="00E5596D">
              <w:rPr>
                <w:b/>
                <w:bCs/>
                <w:sz w:val="16"/>
                <w:szCs w:val="16"/>
              </w:rPr>
              <w:t>316</w:t>
            </w:r>
          </w:p>
        </w:tc>
      </w:tr>
      <w:tr w:rsidR="00E5596D" w:rsidRPr="00E5596D" w14:paraId="7F2B8249" w14:textId="77777777" w:rsidTr="00E54F16">
        <w:trPr>
          <w:jc w:val="center"/>
        </w:trPr>
        <w:tc>
          <w:tcPr>
            <w:tcW w:w="1051" w:type="dxa"/>
          </w:tcPr>
          <w:p w14:paraId="22136898" w14:textId="77777777" w:rsidR="00E5596D" w:rsidRPr="00E5596D" w:rsidRDefault="00E5596D" w:rsidP="00E54F16">
            <w:pPr>
              <w:spacing w:before="20" w:after="20"/>
              <w:rPr>
                <w:b/>
                <w:bCs/>
                <w:sz w:val="16"/>
                <w:szCs w:val="16"/>
              </w:rPr>
            </w:pPr>
            <w:r w:rsidRPr="00E5596D">
              <w:rPr>
                <w:b/>
                <w:bCs/>
                <w:sz w:val="16"/>
                <w:szCs w:val="16"/>
              </w:rPr>
              <w:t>États arabes</w:t>
            </w:r>
          </w:p>
        </w:tc>
        <w:tc>
          <w:tcPr>
            <w:tcW w:w="876" w:type="dxa"/>
          </w:tcPr>
          <w:p w14:paraId="5DA05546" w14:textId="77777777" w:rsidR="00E5596D" w:rsidRPr="00E5596D" w:rsidRDefault="00E5596D" w:rsidP="00E54F16">
            <w:pPr>
              <w:spacing w:before="20" w:after="20"/>
              <w:jc w:val="center"/>
              <w:rPr>
                <w:sz w:val="16"/>
                <w:szCs w:val="16"/>
              </w:rPr>
            </w:pPr>
            <w:r w:rsidRPr="00E5596D">
              <w:rPr>
                <w:sz w:val="16"/>
                <w:szCs w:val="16"/>
              </w:rPr>
              <w:t>5</w:t>
            </w:r>
          </w:p>
        </w:tc>
        <w:tc>
          <w:tcPr>
            <w:tcW w:w="841" w:type="dxa"/>
          </w:tcPr>
          <w:p w14:paraId="6AF45843" w14:textId="77777777" w:rsidR="00E5596D" w:rsidRPr="00E5596D" w:rsidRDefault="00E5596D" w:rsidP="00E54F16">
            <w:pPr>
              <w:spacing w:before="20" w:after="20"/>
              <w:jc w:val="center"/>
              <w:rPr>
                <w:sz w:val="16"/>
                <w:szCs w:val="16"/>
              </w:rPr>
            </w:pPr>
            <w:r w:rsidRPr="00E5596D">
              <w:rPr>
                <w:sz w:val="16"/>
                <w:szCs w:val="16"/>
              </w:rPr>
              <w:t>43</w:t>
            </w:r>
          </w:p>
        </w:tc>
        <w:tc>
          <w:tcPr>
            <w:tcW w:w="875" w:type="dxa"/>
          </w:tcPr>
          <w:p w14:paraId="3AEAE984" w14:textId="77777777" w:rsidR="00E5596D" w:rsidRPr="00E5596D" w:rsidRDefault="00E5596D" w:rsidP="00E54F16">
            <w:pPr>
              <w:spacing w:before="20" w:after="20"/>
              <w:jc w:val="center"/>
              <w:rPr>
                <w:sz w:val="16"/>
                <w:szCs w:val="16"/>
              </w:rPr>
            </w:pPr>
            <w:r w:rsidRPr="00E5596D">
              <w:rPr>
                <w:sz w:val="16"/>
                <w:szCs w:val="16"/>
              </w:rPr>
              <w:t>6</w:t>
            </w:r>
          </w:p>
        </w:tc>
        <w:tc>
          <w:tcPr>
            <w:tcW w:w="841" w:type="dxa"/>
          </w:tcPr>
          <w:p w14:paraId="610D4B70" w14:textId="77777777" w:rsidR="00E5596D" w:rsidRPr="00E5596D" w:rsidRDefault="00E5596D" w:rsidP="00E54F16">
            <w:pPr>
              <w:spacing w:before="20" w:after="20"/>
              <w:jc w:val="center"/>
              <w:rPr>
                <w:sz w:val="16"/>
                <w:szCs w:val="16"/>
              </w:rPr>
            </w:pPr>
            <w:r w:rsidRPr="00E5596D">
              <w:rPr>
                <w:sz w:val="16"/>
                <w:szCs w:val="16"/>
              </w:rPr>
              <w:t>41</w:t>
            </w:r>
          </w:p>
        </w:tc>
        <w:tc>
          <w:tcPr>
            <w:tcW w:w="875" w:type="dxa"/>
          </w:tcPr>
          <w:p w14:paraId="5613E366" w14:textId="77777777" w:rsidR="00E5596D" w:rsidRPr="00E5596D" w:rsidRDefault="00E5596D" w:rsidP="00E54F16">
            <w:pPr>
              <w:spacing w:before="20" w:after="20"/>
              <w:jc w:val="center"/>
              <w:rPr>
                <w:sz w:val="16"/>
                <w:szCs w:val="16"/>
              </w:rPr>
            </w:pPr>
            <w:r w:rsidRPr="00E5596D">
              <w:rPr>
                <w:sz w:val="16"/>
                <w:szCs w:val="16"/>
              </w:rPr>
              <w:t>7</w:t>
            </w:r>
          </w:p>
        </w:tc>
        <w:tc>
          <w:tcPr>
            <w:tcW w:w="840" w:type="dxa"/>
          </w:tcPr>
          <w:p w14:paraId="5407A67B" w14:textId="77777777" w:rsidR="00E5596D" w:rsidRPr="00E5596D" w:rsidRDefault="00E5596D" w:rsidP="00E54F16">
            <w:pPr>
              <w:spacing w:before="20" w:after="20"/>
              <w:jc w:val="center"/>
              <w:rPr>
                <w:sz w:val="16"/>
                <w:szCs w:val="16"/>
              </w:rPr>
            </w:pPr>
            <w:r w:rsidRPr="00E5596D">
              <w:rPr>
                <w:sz w:val="16"/>
                <w:szCs w:val="16"/>
              </w:rPr>
              <w:t>103</w:t>
            </w:r>
          </w:p>
        </w:tc>
        <w:tc>
          <w:tcPr>
            <w:tcW w:w="875" w:type="dxa"/>
          </w:tcPr>
          <w:p w14:paraId="448AA223" w14:textId="77777777" w:rsidR="00E5596D" w:rsidRPr="00E5596D" w:rsidRDefault="00E5596D" w:rsidP="00E54F16">
            <w:pPr>
              <w:spacing w:before="20" w:after="20"/>
              <w:jc w:val="center"/>
              <w:rPr>
                <w:sz w:val="16"/>
                <w:szCs w:val="16"/>
              </w:rPr>
            </w:pPr>
            <w:r w:rsidRPr="00E5596D">
              <w:rPr>
                <w:sz w:val="16"/>
                <w:szCs w:val="16"/>
              </w:rPr>
              <w:t>6</w:t>
            </w:r>
          </w:p>
        </w:tc>
        <w:tc>
          <w:tcPr>
            <w:tcW w:w="840" w:type="dxa"/>
          </w:tcPr>
          <w:p w14:paraId="157AF04F" w14:textId="77777777" w:rsidR="00E5596D" w:rsidRPr="00E5596D" w:rsidRDefault="00E5596D" w:rsidP="00E54F16">
            <w:pPr>
              <w:spacing w:before="20" w:after="20"/>
              <w:jc w:val="center"/>
              <w:rPr>
                <w:sz w:val="16"/>
                <w:szCs w:val="16"/>
              </w:rPr>
            </w:pPr>
            <w:r w:rsidRPr="00E5596D">
              <w:rPr>
                <w:sz w:val="16"/>
                <w:szCs w:val="16"/>
              </w:rPr>
              <w:t>58</w:t>
            </w:r>
          </w:p>
        </w:tc>
        <w:tc>
          <w:tcPr>
            <w:tcW w:w="875" w:type="dxa"/>
          </w:tcPr>
          <w:p w14:paraId="2861C724" w14:textId="77777777" w:rsidR="00E5596D" w:rsidRPr="00E5596D" w:rsidRDefault="00E5596D" w:rsidP="00E54F16">
            <w:pPr>
              <w:spacing w:before="20" w:after="20"/>
              <w:jc w:val="center"/>
              <w:rPr>
                <w:b/>
                <w:bCs/>
                <w:sz w:val="16"/>
                <w:szCs w:val="16"/>
              </w:rPr>
            </w:pPr>
            <w:r w:rsidRPr="00E5596D">
              <w:rPr>
                <w:b/>
                <w:bCs/>
                <w:sz w:val="16"/>
                <w:szCs w:val="16"/>
              </w:rPr>
              <w:t>24</w:t>
            </w:r>
          </w:p>
        </w:tc>
        <w:tc>
          <w:tcPr>
            <w:tcW w:w="840" w:type="dxa"/>
          </w:tcPr>
          <w:p w14:paraId="4A216BA5" w14:textId="77777777" w:rsidR="00E5596D" w:rsidRPr="00E5596D" w:rsidRDefault="00E5596D" w:rsidP="00E54F16">
            <w:pPr>
              <w:spacing w:before="20" w:after="20"/>
              <w:jc w:val="center"/>
              <w:rPr>
                <w:b/>
                <w:bCs/>
                <w:sz w:val="16"/>
                <w:szCs w:val="16"/>
              </w:rPr>
            </w:pPr>
            <w:r w:rsidRPr="00E5596D">
              <w:rPr>
                <w:b/>
                <w:bCs/>
                <w:sz w:val="16"/>
                <w:szCs w:val="16"/>
              </w:rPr>
              <w:t>245</w:t>
            </w:r>
          </w:p>
        </w:tc>
      </w:tr>
      <w:tr w:rsidR="00E5596D" w:rsidRPr="00E5596D" w14:paraId="316EE8EA" w14:textId="77777777" w:rsidTr="00E54F16">
        <w:trPr>
          <w:jc w:val="center"/>
        </w:trPr>
        <w:tc>
          <w:tcPr>
            <w:tcW w:w="1051" w:type="dxa"/>
          </w:tcPr>
          <w:p w14:paraId="4332398F" w14:textId="77777777" w:rsidR="00E5596D" w:rsidRPr="00E5596D" w:rsidRDefault="00E5596D" w:rsidP="00E54F16">
            <w:pPr>
              <w:spacing w:before="20" w:after="20"/>
              <w:rPr>
                <w:b/>
                <w:bCs/>
                <w:sz w:val="16"/>
                <w:szCs w:val="16"/>
              </w:rPr>
            </w:pPr>
            <w:r w:rsidRPr="00E5596D">
              <w:rPr>
                <w:b/>
                <w:bCs/>
                <w:sz w:val="16"/>
                <w:szCs w:val="16"/>
              </w:rPr>
              <w:t>Asie-Pacifique</w:t>
            </w:r>
          </w:p>
        </w:tc>
        <w:tc>
          <w:tcPr>
            <w:tcW w:w="876" w:type="dxa"/>
          </w:tcPr>
          <w:p w14:paraId="78D6F358" w14:textId="77777777" w:rsidR="00E5596D" w:rsidRPr="00E5596D" w:rsidRDefault="00E5596D" w:rsidP="00E54F16">
            <w:pPr>
              <w:spacing w:before="20" w:after="20"/>
              <w:jc w:val="center"/>
              <w:rPr>
                <w:sz w:val="16"/>
                <w:szCs w:val="16"/>
              </w:rPr>
            </w:pPr>
            <w:r w:rsidRPr="00E5596D">
              <w:rPr>
                <w:sz w:val="16"/>
                <w:szCs w:val="16"/>
              </w:rPr>
              <w:t>1</w:t>
            </w:r>
          </w:p>
        </w:tc>
        <w:tc>
          <w:tcPr>
            <w:tcW w:w="841" w:type="dxa"/>
          </w:tcPr>
          <w:p w14:paraId="69427359" w14:textId="77777777" w:rsidR="00E5596D" w:rsidRPr="00E5596D" w:rsidRDefault="00E5596D" w:rsidP="00E54F16">
            <w:pPr>
              <w:spacing w:before="20" w:after="20"/>
              <w:jc w:val="center"/>
              <w:rPr>
                <w:sz w:val="16"/>
                <w:szCs w:val="16"/>
              </w:rPr>
            </w:pPr>
            <w:r w:rsidRPr="00E5596D">
              <w:rPr>
                <w:sz w:val="16"/>
                <w:szCs w:val="16"/>
              </w:rPr>
              <w:t>20</w:t>
            </w:r>
          </w:p>
        </w:tc>
        <w:tc>
          <w:tcPr>
            <w:tcW w:w="875" w:type="dxa"/>
          </w:tcPr>
          <w:p w14:paraId="35500B41" w14:textId="77777777" w:rsidR="00E5596D" w:rsidRPr="00E5596D" w:rsidRDefault="00E5596D" w:rsidP="00E54F16">
            <w:pPr>
              <w:spacing w:before="20" w:after="20"/>
              <w:jc w:val="center"/>
              <w:rPr>
                <w:sz w:val="16"/>
                <w:szCs w:val="16"/>
              </w:rPr>
            </w:pPr>
            <w:r w:rsidRPr="00E5596D">
              <w:rPr>
                <w:sz w:val="16"/>
                <w:szCs w:val="16"/>
              </w:rPr>
              <w:t>5</w:t>
            </w:r>
          </w:p>
        </w:tc>
        <w:tc>
          <w:tcPr>
            <w:tcW w:w="841" w:type="dxa"/>
          </w:tcPr>
          <w:p w14:paraId="5ACC81FF" w14:textId="77777777" w:rsidR="00E5596D" w:rsidRPr="00E5596D" w:rsidRDefault="00E5596D" w:rsidP="00E54F16">
            <w:pPr>
              <w:spacing w:before="20" w:after="20"/>
              <w:jc w:val="center"/>
              <w:rPr>
                <w:sz w:val="16"/>
                <w:szCs w:val="16"/>
              </w:rPr>
            </w:pPr>
            <w:r w:rsidRPr="00E5596D">
              <w:rPr>
                <w:sz w:val="16"/>
                <w:szCs w:val="16"/>
              </w:rPr>
              <w:t>139</w:t>
            </w:r>
          </w:p>
        </w:tc>
        <w:tc>
          <w:tcPr>
            <w:tcW w:w="875" w:type="dxa"/>
          </w:tcPr>
          <w:p w14:paraId="72A3F51E" w14:textId="77777777" w:rsidR="00E5596D" w:rsidRPr="00E5596D" w:rsidRDefault="00E5596D" w:rsidP="00E54F16">
            <w:pPr>
              <w:spacing w:before="20" w:after="20"/>
              <w:jc w:val="center"/>
              <w:rPr>
                <w:sz w:val="16"/>
                <w:szCs w:val="16"/>
              </w:rPr>
            </w:pPr>
            <w:r w:rsidRPr="00E5596D">
              <w:rPr>
                <w:sz w:val="16"/>
                <w:szCs w:val="16"/>
              </w:rPr>
              <w:t>8</w:t>
            </w:r>
          </w:p>
        </w:tc>
        <w:tc>
          <w:tcPr>
            <w:tcW w:w="840" w:type="dxa"/>
          </w:tcPr>
          <w:p w14:paraId="16FF65CE" w14:textId="77777777" w:rsidR="00E5596D" w:rsidRPr="00E5596D" w:rsidRDefault="00E5596D" w:rsidP="00E54F16">
            <w:pPr>
              <w:spacing w:before="20" w:after="20"/>
              <w:jc w:val="center"/>
              <w:rPr>
                <w:sz w:val="16"/>
                <w:szCs w:val="16"/>
              </w:rPr>
            </w:pPr>
            <w:r w:rsidRPr="00E5596D">
              <w:rPr>
                <w:sz w:val="16"/>
                <w:szCs w:val="16"/>
              </w:rPr>
              <w:t>105</w:t>
            </w:r>
          </w:p>
        </w:tc>
        <w:tc>
          <w:tcPr>
            <w:tcW w:w="875" w:type="dxa"/>
          </w:tcPr>
          <w:p w14:paraId="5EF14482" w14:textId="77777777" w:rsidR="00E5596D" w:rsidRPr="00E5596D" w:rsidRDefault="00E5596D" w:rsidP="00E54F16">
            <w:pPr>
              <w:spacing w:before="20" w:after="20"/>
              <w:jc w:val="center"/>
              <w:rPr>
                <w:sz w:val="16"/>
                <w:szCs w:val="16"/>
              </w:rPr>
            </w:pPr>
            <w:r w:rsidRPr="00E5596D">
              <w:rPr>
                <w:sz w:val="16"/>
                <w:szCs w:val="16"/>
              </w:rPr>
              <w:t>7</w:t>
            </w:r>
          </w:p>
        </w:tc>
        <w:tc>
          <w:tcPr>
            <w:tcW w:w="840" w:type="dxa"/>
          </w:tcPr>
          <w:p w14:paraId="68DE23AA" w14:textId="77777777" w:rsidR="00E5596D" w:rsidRPr="00E5596D" w:rsidRDefault="00E5596D" w:rsidP="00E54F16">
            <w:pPr>
              <w:spacing w:before="20" w:after="20"/>
              <w:jc w:val="center"/>
              <w:rPr>
                <w:sz w:val="16"/>
                <w:szCs w:val="16"/>
              </w:rPr>
            </w:pPr>
            <w:r w:rsidRPr="00E5596D">
              <w:rPr>
                <w:sz w:val="16"/>
                <w:szCs w:val="16"/>
              </w:rPr>
              <w:t>100</w:t>
            </w:r>
          </w:p>
        </w:tc>
        <w:tc>
          <w:tcPr>
            <w:tcW w:w="875" w:type="dxa"/>
          </w:tcPr>
          <w:p w14:paraId="2D0B14F0" w14:textId="77777777" w:rsidR="00E5596D" w:rsidRPr="00E5596D" w:rsidRDefault="00E5596D" w:rsidP="00E54F16">
            <w:pPr>
              <w:spacing w:before="20" w:after="20"/>
              <w:jc w:val="center"/>
              <w:rPr>
                <w:b/>
                <w:bCs/>
                <w:sz w:val="16"/>
                <w:szCs w:val="16"/>
              </w:rPr>
            </w:pPr>
            <w:r w:rsidRPr="00E5596D">
              <w:rPr>
                <w:b/>
                <w:bCs/>
                <w:sz w:val="16"/>
                <w:szCs w:val="16"/>
              </w:rPr>
              <w:t>21</w:t>
            </w:r>
          </w:p>
        </w:tc>
        <w:tc>
          <w:tcPr>
            <w:tcW w:w="840" w:type="dxa"/>
          </w:tcPr>
          <w:p w14:paraId="1D2F0F69" w14:textId="77777777" w:rsidR="00E5596D" w:rsidRPr="00E5596D" w:rsidRDefault="00E5596D" w:rsidP="00E54F16">
            <w:pPr>
              <w:spacing w:before="20" w:after="20"/>
              <w:jc w:val="center"/>
              <w:rPr>
                <w:b/>
                <w:bCs/>
                <w:sz w:val="16"/>
                <w:szCs w:val="16"/>
              </w:rPr>
            </w:pPr>
            <w:r w:rsidRPr="00E5596D">
              <w:rPr>
                <w:b/>
                <w:bCs/>
                <w:sz w:val="16"/>
                <w:szCs w:val="16"/>
              </w:rPr>
              <w:t>364</w:t>
            </w:r>
          </w:p>
        </w:tc>
      </w:tr>
      <w:tr w:rsidR="00E5596D" w:rsidRPr="00E5596D" w14:paraId="66B6C602" w14:textId="77777777" w:rsidTr="00E54F16">
        <w:trPr>
          <w:jc w:val="center"/>
        </w:trPr>
        <w:tc>
          <w:tcPr>
            <w:tcW w:w="1051" w:type="dxa"/>
          </w:tcPr>
          <w:p w14:paraId="06EA3493" w14:textId="77777777" w:rsidR="00E5596D" w:rsidRPr="00E5596D" w:rsidRDefault="00E5596D" w:rsidP="00E54F16">
            <w:pPr>
              <w:spacing w:before="20" w:after="20"/>
              <w:rPr>
                <w:b/>
                <w:bCs/>
                <w:sz w:val="16"/>
                <w:szCs w:val="16"/>
              </w:rPr>
            </w:pPr>
            <w:r w:rsidRPr="00E5596D">
              <w:rPr>
                <w:b/>
                <w:bCs/>
                <w:sz w:val="16"/>
                <w:szCs w:val="16"/>
              </w:rPr>
              <w:t>CEI</w:t>
            </w:r>
          </w:p>
        </w:tc>
        <w:tc>
          <w:tcPr>
            <w:tcW w:w="876" w:type="dxa"/>
          </w:tcPr>
          <w:p w14:paraId="61EF9D87" w14:textId="77777777" w:rsidR="00E5596D" w:rsidRPr="00E5596D" w:rsidRDefault="00E5596D" w:rsidP="00E54F16">
            <w:pPr>
              <w:spacing w:before="20" w:after="20"/>
              <w:jc w:val="center"/>
              <w:rPr>
                <w:sz w:val="16"/>
                <w:szCs w:val="16"/>
              </w:rPr>
            </w:pPr>
            <w:r w:rsidRPr="00E5596D">
              <w:rPr>
                <w:sz w:val="16"/>
                <w:szCs w:val="16"/>
              </w:rPr>
              <w:t>1</w:t>
            </w:r>
          </w:p>
        </w:tc>
        <w:tc>
          <w:tcPr>
            <w:tcW w:w="841" w:type="dxa"/>
          </w:tcPr>
          <w:p w14:paraId="407B31BD" w14:textId="77777777" w:rsidR="00E5596D" w:rsidRPr="00E5596D" w:rsidRDefault="00E5596D" w:rsidP="00E54F16">
            <w:pPr>
              <w:spacing w:before="20" w:after="20"/>
              <w:jc w:val="center"/>
              <w:rPr>
                <w:sz w:val="16"/>
                <w:szCs w:val="16"/>
              </w:rPr>
            </w:pPr>
            <w:r w:rsidRPr="00E5596D">
              <w:rPr>
                <w:sz w:val="16"/>
                <w:szCs w:val="16"/>
              </w:rPr>
              <w:t>9</w:t>
            </w:r>
          </w:p>
        </w:tc>
        <w:tc>
          <w:tcPr>
            <w:tcW w:w="875" w:type="dxa"/>
          </w:tcPr>
          <w:p w14:paraId="512FF680" w14:textId="77777777" w:rsidR="00E5596D" w:rsidRPr="00E5596D" w:rsidRDefault="00E5596D" w:rsidP="00E54F16">
            <w:pPr>
              <w:spacing w:before="20" w:after="20"/>
              <w:jc w:val="center"/>
              <w:rPr>
                <w:sz w:val="16"/>
                <w:szCs w:val="16"/>
              </w:rPr>
            </w:pPr>
            <w:r w:rsidRPr="00E5596D">
              <w:rPr>
                <w:sz w:val="16"/>
                <w:szCs w:val="16"/>
              </w:rPr>
              <w:t>5</w:t>
            </w:r>
          </w:p>
        </w:tc>
        <w:tc>
          <w:tcPr>
            <w:tcW w:w="841" w:type="dxa"/>
          </w:tcPr>
          <w:p w14:paraId="38107A58" w14:textId="77777777" w:rsidR="00E5596D" w:rsidRPr="00E5596D" w:rsidRDefault="00E5596D" w:rsidP="00E54F16">
            <w:pPr>
              <w:spacing w:before="20" w:after="20"/>
              <w:jc w:val="center"/>
              <w:rPr>
                <w:sz w:val="16"/>
                <w:szCs w:val="16"/>
              </w:rPr>
            </w:pPr>
            <w:r w:rsidRPr="00E5596D">
              <w:rPr>
                <w:sz w:val="16"/>
                <w:szCs w:val="16"/>
              </w:rPr>
              <w:t>86</w:t>
            </w:r>
          </w:p>
        </w:tc>
        <w:tc>
          <w:tcPr>
            <w:tcW w:w="875" w:type="dxa"/>
          </w:tcPr>
          <w:p w14:paraId="6B3266BF" w14:textId="77777777" w:rsidR="00E5596D" w:rsidRPr="00E5596D" w:rsidRDefault="00E5596D" w:rsidP="00E54F16">
            <w:pPr>
              <w:spacing w:before="20" w:after="20"/>
              <w:jc w:val="center"/>
              <w:rPr>
                <w:sz w:val="16"/>
                <w:szCs w:val="16"/>
              </w:rPr>
            </w:pPr>
            <w:r w:rsidRPr="00E5596D">
              <w:rPr>
                <w:sz w:val="16"/>
                <w:szCs w:val="16"/>
              </w:rPr>
              <w:t>3</w:t>
            </w:r>
          </w:p>
        </w:tc>
        <w:tc>
          <w:tcPr>
            <w:tcW w:w="840" w:type="dxa"/>
          </w:tcPr>
          <w:p w14:paraId="079C92FE" w14:textId="77777777" w:rsidR="00E5596D" w:rsidRPr="00E5596D" w:rsidRDefault="00E5596D" w:rsidP="00E54F16">
            <w:pPr>
              <w:spacing w:before="20" w:after="20"/>
              <w:jc w:val="center"/>
              <w:rPr>
                <w:sz w:val="16"/>
                <w:szCs w:val="16"/>
              </w:rPr>
            </w:pPr>
            <w:r w:rsidRPr="00E5596D">
              <w:rPr>
                <w:sz w:val="16"/>
                <w:szCs w:val="16"/>
              </w:rPr>
              <w:t>52</w:t>
            </w:r>
          </w:p>
        </w:tc>
        <w:tc>
          <w:tcPr>
            <w:tcW w:w="875" w:type="dxa"/>
          </w:tcPr>
          <w:p w14:paraId="1CBFD971" w14:textId="77777777" w:rsidR="00E5596D" w:rsidRPr="00E5596D" w:rsidRDefault="00E5596D" w:rsidP="00E54F16">
            <w:pPr>
              <w:spacing w:before="20" w:after="20"/>
              <w:jc w:val="center"/>
              <w:rPr>
                <w:sz w:val="16"/>
                <w:szCs w:val="16"/>
              </w:rPr>
            </w:pPr>
            <w:r w:rsidRPr="00E5596D">
              <w:rPr>
                <w:sz w:val="16"/>
                <w:szCs w:val="16"/>
              </w:rPr>
              <w:t>6</w:t>
            </w:r>
          </w:p>
        </w:tc>
        <w:tc>
          <w:tcPr>
            <w:tcW w:w="840" w:type="dxa"/>
          </w:tcPr>
          <w:p w14:paraId="07057C40" w14:textId="77777777" w:rsidR="00E5596D" w:rsidRPr="00E5596D" w:rsidRDefault="00E5596D" w:rsidP="00E54F16">
            <w:pPr>
              <w:spacing w:before="20" w:after="20"/>
              <w:jc w:val="center"/>
              <w:rPr>
                <w:sz w:val="16"/>
                <w:szCs w:val="16"/>
              </w:rPr>
            </w:pPr>
            <w:r w:rsidRPr="00E5596D">
              <w:rPr>
                <w:sz w:val="16"/>
                <w:szCs w:val="16"/>
              </w:rPr>
              <w:t>103</w:t>
            </w:r>
          </w:p>
        </w:tc>
        <w:tc>
          <w:tcPr>
            <w:tcW w:w="875" w:type="dxa"/>
          </w:tcPr>
          <w:p w14:paraId="787C5F90" w14:textId="77777777" w:rsidR="00E5596D" w:rsidRPr="00E5596D" w:rsidRDefault="00E5596D" w:rsidP="00E54F16">
            <w:pPr>
              <w:spacing w:before="20" w:after="20"/>
              <w:jc w:val="center"/>
              <w:rPr>
                <w:b/>
                <w:bCs/>
                <w:sz w:val="16"/>
                <w:szCs w:val="16"/>
              </w:rPr>
            </w:pPr>
            <w:r w:rsidRPr="00E5596D">
              <w:rPr>
                <w:b/>
                <w:bCs/>
                <w:sz w:val="16"/>
                <w:szCs w:val="16"/>
              </w:rPr>
              <w:t>15</w:t>
            </w:r>
          </w:p>
        </w:tc>
        <w:tc>
          <w:tcPr>
            <w:tcW w:w="840" w:type="dxa"/>
          </w:tcPr>
          <w:p w14:paraId="566B1FFB" w14:textId="77777777" w:rsidR="00E5596D" w:rsidRPr="00E5596D" w:rsidRDefault="00E5596D" w:rsidP="00E54F16">
            <w:pPr>
              <w:spacing w:before="20" w:after="20"/>
              <w:jc w:val="center"/>
              <w:rPr>
                <w:b/>
                <w:bCs/>
                <w:sz w:val="16"/>
                <w:szCs w:val="16"/>
              </w:rPr>
            </w:pPr>
            <w:r w:rsidRPr="00E5596D">
              <w:rPr>
                <w:b/>
                <w:bCs/>
                <w:sz w:val="16"/>
                <w:szCs w:val="16"/>
              </w:rPr>
              <w:t>250</w:t>
            </w:r>
          </w:p>
        </w:tc>
      </w:tr>
      <w:tr w:rsidR="00E5596D" w:rsidRPr="00E5596D" w14:paraId="3547ECA1" w14:textId="77777777" w:rsidTr="00E54F16">
        <w:trPr>
          <w:jc w:val="center"/>
        </w:trPr>
        <w:tc>
          <w:tcPr>
            <w:tcW w:w="1051" w:type="dxa"/>
          </w:tcPr>
          <w:p w14:paraId="0CD7352A" w14:textId="77777777" w:rsidR="00E5596D" w:rsidRPr="00E5596D" w:rsidRDefault="00E5596D" w:rsidP="00E54F16">
            <w:pPr>
              <w:spacing w:before="20" w:after="20"/>
              <w:rPr>
                <w:b/>
                <w:bCs/>
                <w:sz w:val="16"/>
                <w:szCs w:val="16"/>
              </w:rPr>
            </w:pPr>
            <w:r w:rsidRPr="00E5596D">
              <w:rPr>
                <w:b/>
                <w:bCs/>
                <w:sz w:val="16"/>
                <w:szCs w:val="16"/>
              </w:rPr>
              <w:t>Europe</w:t>
            </w:r>
          </w:p>
        </w:tc>
        <w:tc>
          <w:tcPr>
            <w:tcW w:w="876" w:type="dxa"/>
          </w:tcPr>
          <w:p w14:paraId="371F3817" w14:textId="77777777" w:rsidR="00E5596D" w:rsidRPr="00E5596D" w:rsidRDefault="00E5596D" w:rsidP="00E54F16">
            <w:pPr>
              <w:spacing w:before="20" w:after="20"/>
              <w:jc w:val="center"/>
              <w:rPr>
                <w:sz w:val="16"/>
                <w:szCs w:val="16"/>
              </w:rPr>
            </w:pPr>
            <w:r w:rsidRPr="00E5596D">
              <w:rPr>
                <w:sz w:val="16"/>
                <w:szCs w:val="16"/>
              </w:rPr>
              <w:t>1</w:t>
            </w:r>
          </w:p>
        </w:tc>
        <w:tc>
          <w:tcPr>
            <w:tcW w:w="841" w:type="dxa"/>
          </w:tcPr>
          <w:p w14:paraId="43B7AE29" w14:textId="77777777" w:rsidR="00E5596D" w:rsidRPr="00E5596D" w:rsidRDefault="00E5596D" w:rsidP="00E54F16">
            <w:pPr>
              <w:spacing w:before="20" w:after="20"/>
              <w:jc w:val="center"/>
              <w:rPr>
                <w:sz w:val="16"/>
                <w:szCs w:val="16"/>
              </w:rPr>
            </w:pPr>
            <w:r w:rsidRPr="00E5596D">
              <w:rPr>
                <w:sz w:val="16"/>
                <w:szCs w:val="16"/>
              </w:rPr>
              <w:t>1</w:t>
            </w:r>
          </w:p>
        </w:tc>
        <w:tc>
          <w:tcPr>
            <w:tcW w:w="875" w:type="dxa"/>
          </w:tcPr>
          <w:p w14:paraId="78A132A2" w14:textId="77777777" w:rsidR="00E5596D" w:rsidRPr="00E5596D" w:rsidRDefault="00E5596D" w:rsidP="00E54F16">
            <w:pPr>
              <w:spacing w:before="20" w:after="20"/>
              <w:jc w:val="center"/>
              <w:rPr>
                <w:sz w:val="16"/>
                <w:szCs w:val="16"/>
              </w:rPr>
            </w:pPr>
            <w:r w:rsidRPr="00E5596D">
              <w:rPr>
                <w:sz w:val="16"/>
                <w:szCs w:val="16"/>
              </w:rPr>
              <w:t>21</w:t>
            </w:r>
          </w:p>
        </w:tc>
        <w:tc>
          <w:tcPr>
            <w:tcW w:w="841" w:type="dxa"/>
          </w:tcPr>
          <w:p w14:paraId="5B206597" w14:textId="77777777" w:rsidR="00E5596D" w:rsidRPr="00E5596D" w:rsidRDefault="00E5596D" w:rsidP="00E54F16">
            <w:pPr>
              <w:spacing w:before="20" w:after="20"/>
              <w:jc w:val="center"/>
              <w:rPr>
                <w:sz w:val="16"/>
                <w:szCs w:val="16"/>
              </w:rPr>
            </w:pPr>
            <w:r w:rsidRPr="00E5596D">
              <w:rPr>
                <w:sz w:val="16"/>
                <w:szCs w:val="16"/>
              </w:rPr>
              <w:t>127</w:t>
            </w:r>
          </w:p>
        </w:tc>
        <w:tc>
          <w:tcPr>
            <w:tcW w:w="875" w:type="dxa"/>
          </w:tcPr>
          <w:p w14:paraId="04E62BB3" w14:textId="77777777" w:rsidR="00E5596D" w:rsidRPr="00E5596D" w:rsidRDefault="00E5596D" w:rsidP="00E54F16">
            <w:pPr>
              <w:spacing w:before="20" w:after="20"/>
              <w:jc w:val="center"/>
              <w:rPr>
                <w:sz w:val="16"/>
                <w:szCs w:val="16"/>
              </w:rPr>
            </w:pPr>
            <w:r w:rsidRPr="00E5596D">
              <w:rPr>
                <w:sz w:val="16"/>
                <w:szCs w:val="16"/>
              </w:rPr>
              <w:t>7</w:t>
            </w:r>
          </w:p>
        </w:tc>
        <w:tc>
          <w:tcPr>
            <w:tcW w:w="840" w:type="dxa"/>
          </w:tcPr>
          <w:p w14:paraId="0D271D57" w14:textId="77777777" w:rsidR="00E5596D" w:rsidRPr="00E5596D" w:rsidRDefault="00E5596D" w:rsidP="00E54F16">
            <w:pPr>
              <w:spacing w:before="20" w:after="20"/>
              <w:jc w:val="center"/>
              <w:rPr>
                <w:sz w:val="16"/>
                <w:szCs w:val="16"/>
              </w:rPr>
            </w:pPr>
            <w:r w:rsidRPr="00E5596D">
              <w:rPr>
                <w:sz w:val="16"/>
                <w:szCs w:val="16"/>
              </w:rPr>
              <w:t>73</w:t>
            </w:r>
          </w:p>
        </w:tc>
        <w:tc>
          <w:tcPr>
            <w:tcW w:w="875" w:type="dxa"/>
          </w:tcPr>
          <w:p w14:paraId="309D45A2" w14:textId="77777777" w:rsidR="00E5596D" w:rsidRPr="00E5596D" w:rsidRDefault="00E5596D" w:rsidP="00E54F16">
            <w:pPr>
              <w:spacing w:before="20" w:after="20"/>
              <w:jc w:val="center"/>
              <w:rPr>
                <w:sz w:val="16"/>
                <w:szCs w:val="16"/>
              </w:rPr>
            </w:pPr>
            <w:r w:rsidRPr="00E5596D">
              <w:rPr>
                <w:sz w:val="16"/>
                <w:szCs w:val="16"/>
              </w:rPr>
              <w:t>9</w:t>
            </w:r>
          </w:p>
        </w:tc>
        <w:tc>
          <w:tcPr>
            <w:tcW w:w="840" w:type="dxa"/>
          </w:tcPr>
          <w:p w14:paraId="1C852614" w14:textId="77777777" w:rsidR="00E5596D" w:rsidRPr="00E5596D" w:rsidRDefault="00E5596D" w:rsidP="00E54F16">
            <w:pPr>
              <w:spacing w:before="20" w:after="20"/>
              <w:jc w:val="center"/>
              <w:rPr>
                <w:sz w:val="16"/>
                <w:szCs w:val="16"/>
              </w:rPr>
            </w:pPr>
            <w:r w:rsidRPr="00E5596D">
              <w:rPr>
                <w:sz w:val="16"/>
                <w:szCs w:val="16"/>
              </w:rPr>
              <w:t>84</w:t>
            </w:r>
          </w:p>
        </w:tc>
        <w:tc>
          <w:tcPr>
            <w:tcW w:w="875" w:type="dxa"/>
          </w:tcPr>
          <w:p w14:paraId="3B129905" w14:textId="77777777" w:rsidR="00E5596D" w:rsidRPr="00E5596D" w:rsidRDefault="00E5596D" w:rsidP="00E54F16">
            <w:pPr>
              <w:spacing w:before="20" w:after="20"/>
              <w:jc w:val="center"/>
              <w:rPr>
                <w:b/>
                <w:bCs/>
                <w:sz w:val="16"/>
                <w:szCs w:val="16"/>
              </w:rPr>
            </w:pPr>
            <w:r w:rsidRPr="00E5596D">
              <w:rPr>
                <w:b/>
                <w:bCs/>
                <w:sz w:val="16"/>
                <w:szCs w:val="16"/>
              </w:rPr>
              <w:t>38</w:t>
            </w:r>
          </w:p>
        </w:tc>
        <w:tc>
          <w:tcPr>
            <w:tcW w:w="840" w:type="dxa"/>
          </w:tcPr>
          <w:p w14:paraId="538520CB" w14:textId="77777777" w:rsidR="00E5596D" w:rsidRPr="00E5596D" w:rsidRDefault="00E5596D" w:rsidP="00E54F16">
            <w:pPr>
              <w:spacing w:before="20" w:after="20"/>
              <w:jc w:val="center"/>
              <w:rPr>
                <w:b/>
                <w:bCs/>
                <w:sz w:val="16"/>
                <w:szCs w:val="16"/>
              </w:rPr>
            </w:pPr>
            <w:r w:rsidRPr="00E5596D">
              <w:rPr>
                <w:b/>
                <w:bCs/>
                <w:sz w:val="16"/>
                <w:szCs w:val="16"/>
              </w:rPr>
              <w:t>285</w:t>
            </w:r>
          </w:p>
        </w:tc>
      </w:tr>
      <w:tr w:rsidR="00E5596D" w:rsidRPr="00E5596D" w14:paraId="3087A790" w14:textId="77777777" w:rsidTr="00E54F16">
        <w:trPr>
          <w:jc w:val="center"/>
        </w:trPr>
        <w:tc>
          <w:tcPr>
            <w:tcW w:w="1051" w:type="dxa"/>
            <w:shd w:val="clear" w:color="auto" w:fill="auto"/>
          </w:tcPr>
          <w:p w14:paraId="234DB102" w14:textId="77777777" w:rsidR="00E5596D" w:rsidRPr="00E5596D" w:rsidRDefault="00E5596D" w:rsidP="00E54F16">
            <w:pPr>
              <w:spacing w:before="20" w:after="20"/>
              <w:rPr>
                <w:b/>
                <w:bCs/>
                <w:sz w:val="16"/>
                <w:szCs w:val="16"/>
              </w:rPr>
            </w:pPr>
            <w:r w:rsidRPr="00E5596D">
              <w:rPr>
                <w:b/>
                <w:bCs/>
                <w:sz w:val="16"/>
                <w:szCs w:val="16"/>
              </w:rPr>
              <w:t>Plusieurs régions</w:t>
            </w:r>
          </w:p>
        </w:tc>
        <w:tc>
          <w:tcPr>
            <w:tcW w:w="876" w:type="dxa"/>
            <w:shd w:val="clear" w:color="auto" w:fill="auto"/>
          </w:tcPr>
          <w:p w14:paraId="768C6F5E" w14:textId="77777777" w:rsidR="00E5596D" w:rsidRPr="00E5596D" w:rsidRDefault="00E5596D" w:rsidP="00E54F16">
            <w:pPr>
              <w:spacing w:before="20" w:after="20"/>
              <w:jc w:val="center"/>
              <w:rPr>
                <w:sz w:val="16"/>
                <w:szCs w:val="16"/>
              </w:rPr>
            </w:pPr>
            <w:r w:rsidRPr="00E5596D">
              <w:rPr>
                <w:sz w:val="16"/>
                <w:szCs w:val="16"/>
              </w:rPr>
              <w:t>3</w:t>
            </w:r>
          </w:p>
        </w:tc>
        <w:tc>
          <w:tcPr>
            <w:tcW w:w="841" w:type="dxa"/>
            <w:shd w:val="clear" w:color="auto" w:fill="auto"/>
          </w:tcPr>
          <w:p w14:paraId="04995A98" w14:textId="77777777" w:rsidR="00E5596D" w:rsidRPr="00E5596D" w:rsidRDefault="00E5596D" w:rsidP="00E54F16">
            <w:pPr>
              <w:spacing w:before="20" w:after="20"/>
              <w:jc w:val="center"/>
              <w:rPr>
                <w:sz w:val="16"/>
                <w:szCs w:val="16"/>
              </w:rPr>
            </w:pPr>
            <w:r w:rsidRPr="00E5596D">
              <w:rPr>
                <w:sz w:val="16"/>
                <w:szCs w:val="16"/>
              </w:rPr>
              <w:t>20</w:t>
            </w:r>
          </w:p>
        </w:tc>
        <w:tc>
          <w:tcPr>
            <w:tcW w:w="875" w:type="dxa"/>
            <w:shd w:val="clear" w:color="auto" w:fill="auto"/>
          </w:tcPr>
          <w:p w14:paraId="0A352CFF" w14:textId="77777777" w:rsidR="00E5596D" w:rsidRPr="00E5596D" w:rsidRDefault="00E5596D" w:rsidP="00E54F16">
            <w:pPr>
              <w:spacing w:before="20" w:after="20"/>
              <w:jc w:val="center"/>
              <w:rPr>
                <w:sz w:val="16"/>
                <w:szCs w:val="16"/>
              </w:rPr>
            </w:pPr>
            <w:r w:rsidRPr="00E5596D">
              <w:rPr>
                <w:sz w:val="16"/>
                <w:szCs w:val="16"/>
              </w:rPr>
              <w:t>2</w:t>
            </w:r>
          </w:p>
        </w:tc>
        <w:tc>
          <w:tcPr>
            <w:tcW w:w="841" w:type="dxa"/>
            <w:shd w:val="clear" w:color="auto" w:fill="auto"/>
          </w:tcPr>
          <w:p w14:paraId="350BF9D2" w14:textId="77777777" w:rsidR="00E5596D" w:rsidRPr="00E5596D" w:rsidRDefault="00E5596D" w:rsidP="00E54F16">
            <w:pPr>
              <w:spacing w:before="20" w:after="20"/>
              <w:jc w:val="center"/>
              <w:rPr>
                <w:sz w:val="16"/>
                <w:szCs w:val="16"/>
              </w:rPr>
            </w:pPr>
            <w:r w:rsidRPr="00E5596D">
              <w:rPr>
                <w:sz w:val="16"/>
                <w:szCs w:val="16"/>
              </w:rPr>
              <w:t>117</w:t>
            </w:r>
          </w:p>
        </w:tc>
        <w:tc>
          <w:tcPr>
            <w:tcW w:w="875" w:type="dxa"/>
            <w:shd w:val="clear" w:color="auto" w:fill="auto"/>
          </w:tcPr>
          <w:p w14:paraId="277BB632" w14:textId="77777777" w:rsidR="00E5596D" w:rsidRPr="00E5596D" w:rsidRDefault="00E5596D" w:rsidP="00E54F16">
            <w:pPr>
              <w:spacing w:before="20" w:after="20"/>
              <w:jc w:val="center"/>
              <w:rPr>
                <w:sz w:val="16"/>
                <w:szCs w:val="16"/>
              </w:rPr>
            </w:pPr>
            <w:r w:rsidRPr="00E5596D">
              <w:rPr>
                <w:sz w:val="16"/>
                <w:szCs w:val="16"/>
              </w:rPr>
              <w:t>5</w:t>
            </w:r>
          </w:p>
        </w:tc>
        <w:tc>
          <w:tcPr>
            <w:tcW w:w="840" w:type="dxa"/>
            <w:shd w:val="clear" w:color="auto" w:fill="auto"/>
          </w:tcPr>
          <w:p w14:paraId="50096BE3" w14:textId="77777777" w:rsidR="00E5596D" w:rsidRPr="00E5596D" w:rsidRDefault="00E5596D" w:rsidP="00E54F16">
            <w:pPr>
              <w:spacing w:before="20" w:after="20"/>
              <w:jc w:val="center"/>
              <w:rPr>
                <w:sz w:val="16"/>
                <w:szCs w:val="16"/>
              </w:rPr>
            </w:pPr>
            <w:r w:rsidRPr="00E5596D">
              <w:rPr>
                <w:sz w:val="16"/>
                <w:szCs w:val="16"/>
              </w:rPr>
              <w:t>209</w:t>
            </w:r>
          </w:p>
        </w:tc>
        <w:tc>
          <w:tcPr>
            <w:tcW w:w="875" w:type="dxa"/>
            <w:shd w:val="clear" w:color="auto" w:fill="auto"/>
          </w:tcPr>
          <w:p w14:paraId="147CC77F" w14:textId="77777777" w:rsidR="00E5596D" w:rsidRPr="00E5596D" w:rsidRDefault="00E5596D" w:rsidP="00E54F16">
            <w:pPr>
              <w:spacing w:before="20" w:after="20"/>
              <w:jc w:val="center"/>
              <w:rPr>
                <w:sz w:val="16"/>
                <w:szCs w:val="16"/>
              </w:rPr>
            </w:pPr>
            <w:r w:rsidRPr="00E5596D">
              <w:rPr>
                <w:sz w:val="16"/>
                <w:szCs w:val="16"/>
              </w:rPr>
              <w:t>2</w:t>
            </w:r>
          </w:p>
        </w:tc>
        <w:tc>
          <w:tcPr>
            <w:tcW w:w="840" w:type="dxa"/>
            <w:shd w:val="clear" w:color="auto" w:fill="auto"/>
          </w:tcPr>
          <w:p w14:paraId="11FE196C" w14:textId="77777777" w:rsidR="00E5596D" w:rsidRPr="00E5596D" w:rsidRDefault="00E5596D" w:rsidP="00E54F16">
            <w:pPr>
              <w:spacing w:before="20" w:after="20"/>
              <w:jc w:val="center"/>
              <w:rPr>
                <w:sz w:val="16"/>
                <w:szCs w:val="16"/>
              </w:rPr>
            </w:pPr>
            <w:r w:rsidRPr="00E5596D">
              <w:rPr>
                <w:sz w:val="16"/>
                <w:szCs w:val="16"/>
              </w:rPr>
              <w:t>81</w:t>
            </w:r>
          </w:p>
        </w:tc>
        <w:tc>
          <w:tcPr>
            <w:tcW w:w="875" w:type="dxa"/>
            <w:shd w:val="clear" w:color="auto" w:fill="auto"/>
          </w:tcPr>
          <w:p w14:paraId="5C22063F" w14:textId="77777777" w:rsidR="00E5596D" w:rsidRPr="00E5596D" w:rsidRDefault="00E5596D" w:rsidP="00E54F16">
            <w:pPr>
              <w:spacing w:before="20" w:after="20"/>
              <w:jc w:val="center"/>
              <w:rPr>
                <w:b/>
                <w:bCs/>
                <w:sz w:val="16"/>
                <w:szCs w:val="16"/>
              </w:rPr>
            </w:pPr>
            <w:r w:rsidRPr="00E5596D">
              <w:rPr>
                <w:b/>
                <w:bCs/>
                <w:sz w:val="16"/>
                <w:szCs w:val="16"/>
              </w:rPr>
              <w:t>12</w:t>
            </w:r>
          </w:p>
        </w:tc>
        <w:tc>
          <w:tcPr>
            <w:tcW w:w="840" w:type="dxa"/>
            <w:shd w:val="clear" w:color="auto" w:fill="auto"/>
          </w:tcPr>
          <w:p w14:paraId="205679B4" w14:textId="77777777" w:rsidR="00E5596D" w:rsidRPr="00E5596D" w:rsidRDefault="00E5596D" w:rsidP="00E54F16">
            <w:pPr>
              <w:spacing w:before="20" w:after="20"/>
              <w:jc w:val="center"/>
              <w:rPr>
                <w:b/>
                <w:bCs/>
                <w:sz w:val="16"/>
                <w:szCs w:val="16"/>
              </w:rPr>
            </w:pPr>
            <w:r w:rsidRPr="00E5596D">
              <w:rPr>
                <w:b/>
                <w:bCs/>
                <w:sz w:val="16"/>
                <w:szCs w:val="16"/>
              </w:rPr>
              <w:t>427</w:t>
            </w:r>
          </w:p>
        </w:tc>
      </w:tr>
      <w:tr w:rsidR="00E54F16" w:rsidRPr="00E5596D" w14:paraId="17D497F5" w14:textId="77777777" w:rsidTr="00E54F16">
        <w:trPr>
          <w:jc w:val="center"/>
        </w:trPr>
        <w:tc>
          <w:tcPr>
            <w:tcW w:w="1051" w:type="dxa"/>
            <w:tcBorders>
              <w:bottom w:val="single" w:sz="4" w:space="0" w:color="auto"/>
            </w:tcBorders>
            <w:shd w:val="pct10" w:color="auto" w:fill="auto"/>
          </w:tcPr>
          <w:p w14:paraId="5F34097D" w14:textId="77777777" w:rsidR="00E5596D" w:rsidRPr="00E5596D" w:rsidRDefault="00E5596D" w:rsidP="00E54F16">
            <w:pPr>
              <w:spacing w:before="20" w:after="20"/>
              <w:rPr>
                <w:b/>
                <w:bCs/>
                <w:sz w:val="16"/>
                <w:szCs w:val="16"/>
              </w:rPr>
            </w:pPr>
            <w:r w:rsidRPr="00E5596D">
              <w:rPr>
                <w:b/>
                <w:bCs/>
                <w:sz w:val="16"/>
                <w:szCs w:val="16"/>
              </w:rPr>
              <w:t>Total</w:t>
            </w:r>
          </w:p>
        </w:tc>
        <w:tc>
          <w:tcPr>
            <w:tcW w:w="876" w:type="dxa"/>
            <w:tcBorders>
              <w:bottom w:val="single" w:sz="4" w:space="0" w:color="auto"/>
            </w:tcBorders>
            <w:shd w:val="pct10" w:color="auto" w:fill="auto"/>
          </w:tcPr>
          <w:p w14:paraId="6A5CF9DE" w14:textId="77777777" w:rsidR="00E5596D" w:rsidRPr="00E5596D" w:rsidRDefault="00E5596D" w:rsidP="00E54F16">
            <w:pPr>
              <w:spacing w:before="20" w:after="20"/>
              <w:jc w:val="center"/>
              <w:rPr>
                <w:b/>
                <w:bCs/>
                <w:sz w:val="16"/>
                <w:szCs w:val="16"/>
              </w:rPr>
            </w:pPr>
            <w:r w:rsidRPr="00E5596D">
              <w:rPr>
                <w:b/>
                <w:bCs/>
                <w:sz w:val="16"/>
                <w:szCs w:val="16"/>
              </w:rPr>
              <w:t>14</w:t>
            </w:r>
          </w:p>
        </w:tc>
        <w:tc>
          <w:tcPr>
            <w:tcW w:w="841" w:type="dxa"/>
            <w:tcBorders>
              <w:bottom w:val="single" w:sz="4" w:space="0" w:color="auto"/>
            </w:tcBorders>
            <w:shd w:val="pct10" w:color="auto" w:fill="auto"/>
          </w:tcPr>
          <w:p w14:paraId="0BEAA45A" w14:textId="77777777" w:rsidR="00E5596D" w:rsidRPr="00E5596D" w:rsidRDefault="00E5596D" w:rsidP="00E54F16">
            <w:pPr>
              <w:spacing w:before="20" w:after="20"/>
              <w:jc w:val="center"/>
              <w:rPr>
                <w:b/>
                <w:bCs/>
                <w:sz w:val="16"/>
                <w:szCs w:val="16"/>
              </w:rPr>
            </w:pPr>
            <w:r w:rsidRPr="00E5596D">
              <w:rPr>
                <w:b/>
                <w:bCs/>
                <w:sz w:val="16"/>
                <w:szCs w:val="16"/>
              </w:rPr>
              <w:t>145</w:t>
            </w:r>
          </w:p>
        </w:tc>
        <w:tc>
          <w:tcPr>
            <w:tcW w:w="875" w:type="dxa"/>
            <w:tcBorders>
              <w:bottom w:val="single" w:sz="4" w:space="0" w:color="auto"/>
            </w:tcBorders>
            <w:shd w:val="pct10" w:color="auto" w:fill="auto"/>
          </w:tcPr>
          <w:p w14:paraId="43AFB6FC" w14:textId="77777777" w:rsidR="00E5596D" w:rsidRPr="00E5596D" w:rsidRDefault="00E5596D" w:rsidP="00E54F16">
            <w:pPr>
              <w:spacing w:before="20" w:after="20"/>
              <w:jc w:val="center"/>
              <w:rPr>
                <w:b/>
                <w:bCs/>
                <w:sz w:val="16"/>
                <w:szCs w:val="16"/>
              </w:rPr>
            </w:pPr>
            <w:r w:rsidRPr="00E5596D">
              <w:rPr>
                <w:b/>
                <w:bCs/>
                <w:sz w:val="16"/>
                <w:szCs w:val="16"/>
              </w:rPr>
              <w:t>50</w:t>
            </w:r>
          </w:p>
        </w:tc>
        <w:tc>
          <w:tcPr>
            <w:tcW w:w="841" w:type="dxa"/>
            <w:tcBorders>
              <w:bottom w:val="single" w:sz="4" w:space="0" w:color="auto"/>
            </w:tcBorders>
            <w:shd w:val="pct10" w:color="auto" w:fill="auto"/>
          </w:tcPr>
          <w:p w14:paraId="470BB46B" w14:textId="77777777" w:rsidR="00E5596D" w:rsidRPr="00E5596D" w:rsidRDefault="00E5596D" w:rsidP="00E54F16">
            <w:pPr>
              <w:spacing w:before="20" w:after="20"/>
              <w:jc w:val="center"/>
              <w:rPr>
                <w:b/>
                <w:bCs/>
                <w:sz w:val="16"/>
                <w:szCs w:val="16"/>
              </w:rPr>
            </w:pPr>
            <w:r w:rsidRPr="00E5596D">
              <w:rPr>
                <w:b/>
                <w:bCs/>
                <w:sz w:val="16"/>
                <w:szCs w:val="16"/>
              </w:rPr>
              <w:t>677</w:t>
            </w:r>
          </w:p>
        </w:tc>
        <w:tc>
          <w:tcPr>
            <w:tcW w:w="875" w:type="dxa"/>
            <w:tcBorders>
              <w:bottom w:val="single" w:sz="4" w:space="0" w:color="auto"/>
            </w:tcBorders>
            <w:shd w:val="pct10" w:color="auto" w:fill="auto"/>
          </w:tcPr>
          <w:p w14:paraId="271542AA" w14:textId="77777777" w:rsidR="00E5596D" w:rsidRPr="00E5596D" w:rsidRDefault="00E5596D" w:rsidP="00E54F16">
            <w:pPr>
              <w:spacing w:before="20" w:after="20"/>
              <w:jc w:val="center"/>
              <w:rPr>
                <w:b/>
                <w:bCs/>
                <w:sz w:val="16"/>
                <w:szCs w:val="16"/>
              </w:rPr>
            </w:pPr>
            <w:r w:rsidRPr="00E5596D">
              <w:rPr>
                <w:b/>
                <w:bCs/>
                <w:sz w:val="16"/>
                <w:szCs w:val="16"/>
              </w:rPr>
              <w:t>50</w:t>
            </w:r>
          </w:p>
        </w:tc>
        <w:tc>
          <w:tcPr>
            <w:tcW w:w="840" w:type="dxa"/>
            <w:tcBorders>
              <w:bottom w:val="single" w:sz="4" w:space="0" w:color="auto"/>
            </w:tcBorders>
            <w:shd w:val="pct10" w:color="auto" w:fill="auto"/>
          </w:tcPr>
          <w:p w14:paraId="75AB4CC5" w14:textId="77777777" w:rsidR="00E5596D" w:rsidRPr="00E5596D" w:rsidRDefault="00E5596D" w:rsidP="00E54F16">
            <w:pPr>
              <w:spacing w:before="20" w:after="20"/>
              <w:jc w:val="center"/>
              <w:rPr>
                <w:b/>
                <w:bCs/>
                <w:sz w:val="16"/>
                <w:szCs w:val="16"/>
              </w:rPr>
            </w:pPr>
            <w:r w:rsidRPr="00E5596D">
              <w:rPr>
                <w:b/>
                <w:bCs/>
                <w:sz w:val="16"/>
                <w:szCs w:val="16"/>
              </w:rPr>
              <w:t>760</w:t>
            </w:r>
          </w:p>
        </w:tc>
        <w:tc>
          <w:tcPr>
            <w:tcW w:w="875" w:type="dxa"/>
            <w:tcBorders>
              <w:bottom w:val="single" w:sz="4" w:space="0" w:color="auto"/>
            </w:tcBorders>
            <w:shd w:val="pct10" w:color="auto" w:fill="auto"/>
          </w:tcPr>
          <w:p w14:paraId="47AD19AD" w14:textId="77777777" w:rsidR="00E5596D" w:rsidRPr="00E5596D" w:rsidRDefault="00E5596D" w:rsidP="00E54F16">
            <w:pPr>
              <w:spacing w:before="20" w:after="20"/>
              <w:jc w:val="center"/>
              <w:rPr>
                <w:b/>
                <w:bCs/>
                <w:sz w:val="16"/>
                <w:szCs w:val="16"/>
              </w:rPr>
            </w:pPr>
            <w:r w:rsidRPr="00E5596D">
              <w:rPr>
                <w:b/>
                <w:bCs/>
                <w:sz w:val="16"/>
                <w:szCs w:val="16"/>
              </w:rPr>
              <w:t>43</w:t>
            </w:r>
          </w:p>
        </w:tc>
        <w:tc>
          <w:tcPr>
            <w:tcW w:w="840" w:type="dxa"/>
            <w:tcBorders>
              <w:bottom w:val="single" w:sz="4" w:space="0" w:color="auto"/>
            </w:tcBorders>
            <w:shd w:val="pct10" w:color="auto" w:fill="auto"/>
          </w:tcPr>
          <w:p w14:paraId="56BEE248" w14:textId="77777777" w:rsidR="00E5596D" w:rsidRPr="00E5596D" w:rsidRDefault="00E5596D" w:rsidP="00E54F16">
            <w:pPr>
              <w:spacing w:before="20" w:after="20"/>
              <w:jc w:val="center"/>
              <w:rPr>
                <w:b/>
                <w:bCs/>
                <w:sz w:val="16"/>
                <w:szCs w:val="16"/>
              </w:rPr>
            </w:pPr>
            <w:r w:rsidRPr="00E5596D">
              <w:rPr>
                <w:b/>
                <w:bCs/>
                <w:sz w:val="16"/>
                <w:szCs w:val="16"/>
              </w:rPr>
              <w:t>739</w:t>
            </w:r>
          </w:p>
        </w:tc>
        <w:tc>
          <w:tcPr>
            <w:tcW w:w="875" w:type="dxa"/>
            <w:tcBorders>
              <w:bottom w:val="single" w:sz="4" w:space="0" w:color="auto"/>
            </w:tcBorders>
            <w:shd w:val="pct10" w:color="auto" w:fill="auto"/>
          </w:tcPr>
          <w:p w14:paraId="73FBB53A" w14:textId="77777777" w:rsidR="00E5596D" w:rsidRPr="00E5596D" w:rsidRDefault="00E5596D" w:rsidP="00E54F16">
            <w:pPr>
              <w:spacing w:before="20" w:after="20"/>
              <w:jc w:val="center"/>
              <w:rPr>
                <w:b/>
                <w:bCs/>
                <w:sz w:val="16"/>
                <w:szCs w:val="16"/>
              </w:rPr>
            </w:pPr>
            <w:r w:rsidRPr="00E5596D">
              <w:rPr>
                <w:b/>
                <w:bCs/>
                <w:sz w:val="16"/>
                <w:szCs w:val="16"/>
              </w:rPr>
              <w:t>157</w:t>
            </w:r>
          </w:p>
        </w:tc>
        <w:tc>
          <w:tcPr>
            <w:tcW w:w="840" w:type="dxa"/>
            <w:tcBorders>
              <w:bottom w:val="single" w:sz="4" w:space="0" w:color="auto"/>
            </w:tcBorders>
            <w:shd w:val="pct10" w:color="auto" w:fill="auto"/>
          </w:tcPr>
          <w:p w14:paraId="1A646071" w14:textId="2C53BF5D" w:rsidR="00E5596D" w:rsidRPr="00E54F16" w:rsidRDefault="00E54F16" w:rsidP="00E54F16">
            <w:pPr>
              <w:spacing w:before="20" w:after="20"/>
              <w:jc w:val="center"/>
              <w:rPr>
                <w:b/>
                <w:bCs/>
                <w:sz w:val="16"/>
                <w:szCs w:val="16"/>
              </w:rPr>
            </w:pPr>
            <w:r>
              <w:rPr>
                <w:b/>
                <w:bCs/>
                <w:sz w:val="16"/>
                <w:szCs w:val="16"/>
              </w:rPr>
              <w:t xml:space="preserve">2 </w:t>
            </w:r>
            <w:r w:rsidR="00E5596D" w:rsidRPr="00E54F16">
              <w:rPr>
                <w:b/>
                <w:bCs/>
                <w:sz w:val="16"/>
                <w:szCs w:val="16"/>
              </w:rPr>
              <w:t>321</w:t>
            </w:r>
          </w:p>
        </w:tc>
      </w:tr>
      <w:tr w:rsidR="00E54F16" w:rsidRPr="00E5596D" w14:paraId="2DD13991" w14:textId="77777777" w:rsidTr="00E54F16">
        <w:trPr>
          <w:jc w:val="center"/>
        </w:trPr>
        <w:tc>
          <w:tcPr>
            <w:tcW w:w="9629" w:type="dxa"/>
            <w:gridSpan w:val="11"/>
            <w:tcBorders>
              <w:left w:val="nil"/>
              <w:bottom w:val="nil"/>
              <w:right w:val="nil"/>
            </w:tcBorders>
            <w:shd w:val="clear" w:color="auto" w:fill="auto"/>
          </w:tcPr>
          <w:p w14:paraId="02345C9A" w14:textId="3875543B" w:rsidR="00E54F16" w:rsidRDefault="00722FED" w:rsidP="00722FED">
            <w:pPr>
              <w:tabs>
                <w:tab w:val="left" w:pos="254"/>
              </w:tabs>
              <w:spacing w:before="20" w:after="20"/>
              <w:ind w:hanging="109"/>
              <w:rPr>
                <w:b/>
                <w:bCs/>
                <w:sz w:val="16"/>
                <w:szCs w:val="16"/>
              </w:rPr>
            </w:pPr>
            <w:r>
              <w:t>*</w:t>
            </w:r>
            <w:r>
              <w:tab/>
            </w:r>
            <w:r w:rsidR="00E54F16" w:rsidRPr="00E5596D">
              <w:rPr>
                <w:sz w:val="18"/>
                <w:szCs w:val="18"/>
              </w:rPr>
              <w:t>L</w:t>
            </w:r>
            <w:r w:rsidR="00E54F16">
              <w:rPr>
                <w:sz w:val="18"/>
                <w:szCs w:val="18"/>
              </w:rPr>
              <w:t>'</w:t>
            </w:r>
            <w:r w:rsidR="00E54F16" w:rsidRPr="00E5596D">
              <w:rPr>
                <w:sz w:val="18"/>
                <w:szCs w:val="18"/>
              </w:rPr>
              <w:t>objectif 1 ne comprend pas le GCDT et les commissions d</w:t>
            </w:r>
            <w:r w:rsidR="00E54F16">
              <w:rPr>
                <w:sz w:val="18"/>
                <w:szCs w:val="18"/>
              </w:rPr>
              <w:t>'</w:t>
            </w:r>
            <w:r w:rsidR="00E54F16" w:rsidRPr="00E5596D">
              <w:rPr>
                <w:sz w:val="18"/>
                <w:szCs w:val="18"/>
              </w:rPr>
              <w:t>études.</w:t>
            </w:r>
          </w:p>
        </w:tc>
      </w:tr>
    </w:tbl>
    <w:p w14:paraId="6BD3DA3A" w14:textId="77C98112" w:rsidR="00E5596D" w:rsidRPr="00E5596D" w:rsidRDefault="00E5596D" w:rsidP="00722FED">
      <w:pPr>
        <w:pStyle w:val="Tabletitle"/>
        <w:spacing w:after="240"/>
        <w:rPr>
          <w:rFonts w:eastAsiaTheme="minorEastAsia"/>
        </w:rPr>
      </w:pPr>
      <w:r w:rsidRPr="00E5596D">
        <w:rPr>
          <w:rFonts w:eastAsiaTheme="minorEastAsia"/>
        </w:rPr>
        <w:lastRenderedPageBreak/>
        <w:t>Tableau 2 –</w:t>
      </w:r>
      <w:r w:rsidR="005E5087">
        <w:rPr>
          <w:rFonts w:eastAsiaTheme="minorEastAsia"/>
        </w:rPr>
        <w:t xml:space="preserve"> </w:t>
      </w:r>
      <w:r w:rsidRPr="00E5596D">
        <w:rPr>
          <w:rFonts w:eastAsiaTheme="minorEastAsia"/>
        </w:rPr>
        <w:t>Décaissements au titre des projets en 2020</w:t>
      </w:r>
      <w:r w:rsidRPr="00E5596D">
        <w:rPr>
          <w:rFonts w:eastAsiaTheme="minorEastAsia"/>
        </w:rPr>
        <w:br/>
      </w:r>
      <w:r w:rsidRPr="00C24F45">
        <w:rPr>
          <w:rFonts w:eastAsiaTheme="minorEastAsia"/>
          <w:b w:val="0"/>
          <w:bCs/>
          <w:i/>
          <w:iCs/>
        </w:rPr>
        <w:t>(montants en milliers de dollars des États-Unis (USD))</w:t>
      </w:r>
    </w:p>
    <w:tbl>
      <w:tblPr>
        <w:tblStyle w:val="TableGrid"/>
        <w:tblW w:w="0" w:type="auto"/>
        <w:jc w:val="center"/>
        <w:tblLook w:val="04A0" w:firstRow="1" w:lastRow="0" w:firstColumn="1" w:lastColumn="0" w:noHBand="0" w:noVBand="1"/>
      </w:tblPr>
      <w:tblGrid>
        <w:gridCol w:w="1125"/>
        <w:gridCol w:w="751"/>
        <w:gridCol w:w="952"/>
        <w:gridCol w:w="751"/>
        <w:gridCol w:w="950"/>
        <w:gridCol w:w="751"/>
        <w:gridCol w:w="949"/>
        <w:gridCol w:w="751"/>
        <w:gridCol w:w="949"/>
        <w:gridCol w:w="751"/>
        <w:gridCol w:w="949"/>
      </w:tblGrid>
      <w:tr w:rsidR="00E5596D" w:rsidRPr="00E5596D" w14:paraId="6F9EABDE" w14:textId="77777777" w:rsidTr="00CD499C">
        <w:trPr>
          <w:jc w:val="center"/>
        </w:trPr>
        <w:tc>
          <w:tcPr>
            <w:tcW w:w="1130" w:type="dxa"/>
            <w:vMerge w:val="restart"/>
            <w:shd w:val="pct10" w:color="auto" w:fill="auto"/>
            <w:vAlign w:val="center"/>
          </w:tcPr>
          <w:p w14:paraId="3967CB72" w14:textId="77777777" w:rsidR="00E5596D" w:rsidRPr="00E5596D" w:rsidRDefault="00E5596D" w:rsidP="00E54F16">
            <w:pPr>
              <w:spacing w:before="20" w:after="20"/>
              <w:rPr>
                <w:sz w:val="16"/>
                <w:szCs w:val="16"/>
              </w:rPr>
            </w:pPr>
            <w:r w:rsidRPr="00E5596D">
              <w:rPr>
                <w:sz w:val="16"/>
                <w:szCs w:val="16"/>
              </w:rPr>
              <w:t>Région</w:t>
            </w:r>
          </w:p>
        </w:tc>
        <w:tc>
          <w:tcPr>
            <w:tcW w:w="1702" w:type="dxa"/>
            <w:gridSpan w:val="2"/>
            <w:shd w:val="pct10" w:color="auto" w:fill="auto"/>
          </w:tcPr>
          <w:p w14:paraId="5DF4AF4D" w14:textId="180107E6"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Fonds d</w:t>
            </w:r>
            <w:r w:rsidR="00C24F45">
              <w:rPr>
                <w:b/>
                <w:sz w:val="16"/>
                <w:szCs w:val="16"/>
              </w:rPr>
              <w:t>'</w:t>
            </w:r>
            <w:r w:rsidRPr="00E5596D">
              <w:rPr>
                <w:b/>
                <w:sz w:val="16"/>
                <w:szCs w:val="16"/>
              </w:rPr>
              <w:t>affectation spéciale</w:t>
            </w:r>
          </w:p>
        </w:tc>
        <w:tc>
          <w:tcPr>
            <w:tcW w:w="1700" w:type="dxa"/>
            <w:gridSpan w:val="2"/>
            <w:shd w:val="pct10" w:color="auto" w:fill="auto"/>
          </w:tcPr>
          <w:p w14:paraId="0EF6037A"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Fonds pour le développement des TIC</w:t>
            </w:r>
          </w:p>
        </w:tc>
        <w:tc>
          <w:tcPr>
            <w:tcW w:w="1699" w:type="dxa"/>
            <w:gridSpan w:val="2"/>
            <w:shd w:val="pct10" w:color="auto" w:fill="auto"/>
          </w:tcPr>
          <w:p w14:paraId="0EF02562"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Financement interne</w:t>
            </w:r>
          </w:p>
        </w:tc>
        <w:tc>
          <w:tcPr>
            <w:tcW w:w="1699" w:type="dxa"/>
            <w:gridSpan w:val="2"/>
            <w:shd w:val="pct10" w:color="auto" w:fill="auto"/>
          </w:tcPr>
          <w:p w14:paraId="2DD6CDB6"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PNUD</w:t>
            </w:r>
          </w:p>
        </w:tc>
        <w:tc>
          <w:tcPr>
            <w:tcW w:w="1699" w:type="dxa"/>
            <w:gridSpan w:val="2"/>
            <w:shd w:val="pct10" w:color="auto" w:fill="auto"/>
          </w:tcPr>
          <w:p w14:paraId="249E7FEF" w14:textId="77777777" w:rsidR="00E5596D" w:rsidRPr="00E5596D" w:rsidRDefault="00E5596D" w:rsidP="00E54F16">
            <w:pPr>
              <w:tabs>
                <w:tab w:val="clear" w:pos="567"/>
                <w:tab w:val="clear" w:pos="1134"/>
                <w:tab w:val="clear" w:pos="1701"/>
                <w:tab w:val="clear" w:pos="2268"/>
                <w:tab w:val="clear" w:pos="2835"/>
              </w:tabs>
              <w:spacing w:before="20" w:after="20"/>
              <w:jc w:val="center"/>
              <w:rPr>
                <w:b/>
                <w:sz w:val="16"/>
                <w:szCs w:val="16"/>
              </w:rPr>
            </w:pPr>
            <w:r w:rsidRPr="00E5596D">
              <w:rPr>
                <w:b/>
                <w:sz w:val="16"/>
                <w:szCs w:val="16"/>
              </w:rPr>
              <w:t>TOTAL</w:t>
            </w:r>
          </w:p>
        </w:tc>
      </w:tr>
      <w:tr w:rsidR="00E5596D" w:rsidRPr="00E5596D" w14:paraId="13258F4B" w14:textId="77777777" w:rsidTr="00CD499C">
        <w:trPr>
          <w:jc w:val="center"/>
        </w:trPr>
        <w:tc>
          <w:tcPr>
            <w:tcW w:w="1130" w:type="dxa"/>
            <w:vMerge/>
            <w:shd w:val="pct10" w:color="auto" w:fill="auto"/>
          </w:tcPr>
          <w:p w14:paraId="35345EC2" w14:textId="77777777" w:rsidR="00E5596D" w:rsidRPr="00E5596D" w:rsidRDefault="00E5596D" w:rsidP="00E54F16">
            <w:pPr>
              <w:spacing w:before="20" w:after="20"/>
              <w:rPr>
                <w:sz w:val="16"/>
                <w:szCs w:val="16"/>
              </w:rPr>
            </w:pPr>
          </w:p>
        </w:tc>
        <w:tc>
          <w:tcPr>
            <w:tcW w:w="742" w:type="dxa"/>
            <w:shd w:val="pct10" w:color="auto" w:fill="auto"/>
          </w:tcPr>
          <w:p w14:paraId="3523FCBD" w14:textId="77777777" w:rsidR="00E5596D" w:rsidRPr="00E5596D" w:rsidRDefault="00E5596D" w:rsidP="00E54F16">
            <w:pPr>
              <w:spacing w:before="20" w:after="20"/>
              <w:jc w:val="center"/>
              <w:rPr>
                <w:sz w:val="16"/>
                <w:szCs w:val="16"/>
              </w:rPr>
            </w:pPr>
            <w:r w:rsidRPr="00E5596D">
              <w:rPr>
                <w:sz w:val="16"/>
                <w:szCs w:val="16"/>
              </w:rPr>
              <w:t>Nombre de projets</w:t>
            </w:r>
          </w:p>
        </w:tc>
        <w:tc>
          <w:tcPr>
            <w:tcW w:w="960" w:type="dxa"/>
            <w:shd w:val="pct10" w:color="auto" w:fill="auto"/>
          </w:tcPr>
          <w:p w14:paraId="40A3A458"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USD)</w:t>
            </w:r>
          </w:p>
        </w:tc>
        <w:tc>
          <w:tcPr>
            <w:tcW w:w="742" w:type="dxa"/>
            <w:shd w:val="pct10" w:color="auto" w:fill="auto"/>
          </w:tcPr>
          <w:p w14:paraId="60E49AF5" w14:textId="77777777" w:rsidR="00E5596D" w:rsidRPr="00E5596D" w:rsidRDefault="00E5596D" w:rsidP="00E54F16">
            <w:pPr>
              <w:spacing w:before="20" w:after="20"/>
              <w:jc w:val="center"/>
              <w:rPr>
                <w:sz w:val="16"/>
                <w:szCs w:val="16"/>
              </w:rPr>
            </w:pPr>
            <w:r w:rsidRPr="00E5596D">
              <w:rPr>
                <w:sz w:val="16"/>
                <w:szCs w:val="16"/>
              </w:rPr>
              <w:t>Nombre de projets</w:t>
            </w:r>
          </w:p>
        </w:tc>
        <w:tc>
          <w:tcPr>
            <w:tcW w:w="958" w:type="dxa"/>
            <w:shd w:val="pct10" w:color="auto" w:fill="auto"/>
          </w:tcPr>
          <w:p w14:paraId="3D19A4C9"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USD)</w:t>
            </w:r>
          </w:p>
        </w:tc>
        <w:tc>
          <w:tcPr>
            <w:tcW w:w="742" w:type="dxa"/>
            <w:shd w:val="pct10" w:color="auto" w:fill="auto"/>
          </w:tcPr>
          <w:p w14:paraId="1BD38F8F" w14:textId="77777777" w:rsidR="00E5596D" w:rsidRPr="00E5596D" w:rsidRDefault="00E5596D" w:rsidP="00E54F16">
            <w:pPr>
              <w:spacing w:before="20" w:after="20"/>
              <w:jc w:val="center"/>
              <w:rPr>
                <w:sz w:val="16"/>
                <w:szCs w:val="16"/>
              </w:rPr>
            </w:pPr>
            <w:r w:rsidRPr="00E5596D">
              <w:rPr>
                <w:sz w:val="16"/>
                <w:szCs w:val="16"/>
              </w:rPr>
              <w:t>Nombre de projets</w:t>
            </w:r>
          </w:p>
        </w:tc>
        <w:tc>
          <w:tcPr>
            <w:tcW w:w="957" w:type="dxa"/>
            <w:shd w:val="pct10" w:color="auto" w:fill="auto"/>
          </w:tcPr>
          <w:p w14:paraId="1E3720F1"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USD)</w:t>
            </w:r>
          </w:p>
        </w:tc>
        <w:tc>
          <w:tcPr>
            <w:tcW w:w="742" w:type="dxa"/>
            <w:shd w:val="pct10" w:color="auto" w:fill="auto"/>
          </w:tcPr>
          <w:p w14:paraId="43F775AC" w14:textId="77777777" w:rsidR="00E5596D" w:rsidRPr="00E5596D" w:rsidRDefault="00E5596D" w:rsidP="00E54F16">
            <w:pPr>
              <w:spacing w:before="20" w:after="20"/>
              <w:jc w:val="center"/>
              <w:rPr>
                <w:sz w:val="16"/>
                <w:szCs w:val="16"/>
              </w:rPr>
            </w:pPr>
            <w:r w:rsidRPr="00E5596D">
              <w:rPr>
                <w:sz w:val="16"/>
                <w:szCs w:val="16"/>
              </w:rPr>
              <w:t>Nombre de projets</w:t>
            </w:r>
          </w:p>
        </w:tc>
        <w:tc>
          <w:tcPr>
            <w:tcW w:w="957" w:type="dxa"/>
            <w:shd w:val="pct10" w:color="auto" w:fill="auto"/>
          </w:tcPr>
          <w:p w14:paraId="076A2333"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USD)</w:t>
            </w:r>
          </w:p>
        </w:tc>
        <w:tc>
          <w:tcPr>
            <w:tcW w:w="742" w:type="dxa"/>
            <w:shd w:val="pct10" w:color="auto" w:fill="auto"/>
          </w:tcPr>
          <w:p w14:paraId="0DD51B98" w14:textId="77777777" w:rsidR="00E5596D" w:rsidRPr="00E5596D" w:rsidRDefault="00E5596D" w:rsidP="00E54F16">
            <w:pPr>
              <w:spacing w:before="20" w:after="20"/>
              <w:jc w:val="center"/>
              <w:rPr>
                <w:sz w:val="16"/>
                <w:szCs w:val="16"/>
              </w:rPr>
            </w:pPr>
            <w:r w:rsidRPr="00E5596D">
              <w:rPr>
                <w:sz w:val="16"/>
                <w:szCs w:val="16"/>
              </w:rPr>
              <w:t>Nombre de projets</w:t>
            </w:r>
          </w:p>
        </w:tc>
        <w:tc>
          <w:tcPr>
            <w:tcW w:w="957" w:type="dxa"/>
            <w:shd w:val="pct10" w:color="auto" w:fill="auto"/>
          </w:tcPr>
          <w:p w14:paraId="4390554F" w14:textId="77777777" w:rsidR="00E5596D" w:rsidRPr="00E5596D" w:rsidRDefault="00E5596D" w:rsidP="00E54F16">
            <w:pPr>
              <w:spacing w:before="20" w:after="20"/>
              <w:jc w:val="center"/>
              <w:rPr>
                <w:sz w:val="16"/>
                <w:szCs w:val="16"/>
              </w:rPr>
            </w:pPr>
            <w:r w:rsidRPr="00E5596D">
              <w:rPr>
                <w:sz w:val="16"/>
                <w:szCs w:val="16"/>
              </w:rPr>
              <w:t xml:space="preserve">Niveau de mise en œuvre </w:t>
            </w:r>
            <w:r w:rsidRPr="00E5596D">
              <w:rPr>
                <w:sz w:val="16"/>
                <w:szCs w:val="16"/>
              </w:rPr>
              <w:br/>
              <w:t>(en milliers USD</w:t>
            </w:r>
          </w:p>
        </w:tc>
      </w:tr>
      <w:tr w:rsidR="00E5596D" w:rsidRPr="00E5596D" w14:paraId="671567E1" w14:textId="77777777" w:rsidTr="00CD499C">
        <w:trPr>
          <w:jc w:val="center"/>
        </w:trPr>
        <w:tc>
          <w:tcPr>
            <w:tcW w:w="1130" w:type="dxa"/>
          </w:tcPr>
          <w:p w14:paraId="22F6F0B0" w14:textId="77777777" w:rsidR="00E5596D" w:rsidRPr="00E5596D" w:rsidRDefault="00E5596D" w:rsidP="00E54F16">
            <w:pPr>
              <w:spacing w:before="20" w:after="20"/>
              <w:rPr>
                <w:b/>
                <w:bCs/>
                <w:sz w:val="16"/>
                <w:szCs w:val="16"/>
              </w:rPr>
            </w:pPr>
            <w:r w:rsidRPr="00E5596D">
              <w:rPr>
                <w:b/>
                <w:bCs/>
                <w:sz w:val="16"/>
                <w:szCs w:val="16"/>
              </w:rPr>
              <w:t>Afrique</w:t>
            </w:r>
          </w:p>
        </w:tc>
        <w:tc>
          <w:tcPr>
            <w:tcW w:w="742" w:type="dxa"/>
          </w:tcPr>
          <w:p w14:paraId="767C4B81" w14:textId="77777777" w:rsidR="00E5596D" w:rsidRPr="00E5596D" w:rsidRDefault="00E5596D" w:rsidP="00E54F16">
            <w:pPr>
              <w:spacing w:before="20" w:after="20"/>
              <w:jc w:val="center"/>
              <w:rPr>
                <w:sz w:val="16"/>
                <w:szCs w:val="16"/>
              </w:rPr>
            </w:pPr>
            <w:r w:rsidRPr="00E5596D">
              <w:rPr>
                <w:sz w:val="16"/>
                <w:szCs w:val="16"/>
              </w:rPr>
              <w:t>6</w:t>
            </w:r>
          </w:p>
        </w:tc>
        <w:tc>
          <w:tcPr>
            <w:tcW w:w="960" w:type="dxa"/>
          </w:tcPr>
          <w:p w14:paraId="19697D37" w14:textId="77777777" w:rsidR="00E5596D" w:rsidRPr="00E5596D" w:rsidRDefault="00E5596D" w:rsidP="00E54F16">
            <w:pPr>
              <w:spacing w:before="20" w:after="20"/>
              <w:jc w:val="center"/>
              <w:rPr>
                <w:sz w:val="16"/>
                <w:szCs w:val="16"/>
              </w:rPr>
            </w:pPr>
            <w:r w:rsidRPr="00E5596D">
              <w:rPr>
                <w:sz w:val="16"/>
                <w:szCs w:val="16"/>
              </w:rPr>
              <w:t>810</w:t>
            </w:r>
          </w:p>
        </w:tc>
        <w:tc>
          <w:tcPr>
            <w:tcW w:w="742" w:type="dxa"/>
          </w:tcPr>
          <w:p w14:paraId="7EF56970" w14:textId="77777777" w:rsidR="00E5596D" w:rsidRPr="00E5596D" w:rsidRDefault="00E5596D" w:rsidP="00E54F16">
            <w:pPr>
              <w:spacing w:before="20" w:after="20"/>
              <w:jc w:val="center"/>
              <w:rPr>
                <w:sz w:val="16"/>
                <w:szCs w:val="16"/>
              </w:rPr>
            </w:pPr>
            <w:r w:rsidRPr="00E5596D">
              <w:rPr>
                <w:sz w:val="16"/>
                <w:szCs w:val="16"/>
              </w:rPr>
              <w:t>1</w:t>
            </w:r>
          </w:p>
        </w:tc>
        <w:tc>
          <w:tcPr>
            <w:tcW w:w="958" w:type="dxa"/>
          </w:tcPr>
          <w:p w14:paraId="27DAF250" w14:textId="77777777" w:rsidR="00E5596D" w:rsidRPr="00E5596D" w:rsidRDefault="00E5596D" w:rsidP="00E54F16">
            <w:pPr>
              <w:spacing w:before="20" w:after="20"/>
              <w:jc w:val="center"/>
              <w:rPr>
                <w:sz w:val="16"/>
                <w:szCs w:val="16"/>
              </w:rPr>
            </w:pPr>
            <w:r w:rsidRPr="00E5596D">
              <w:rPr>
                <w:sz w:val="16"/>
                <w:szCs w:val="16"/>
              </w:rPr>
              <w:t>64</w:t>
            </w:r>
          </w:p>
        </w:tc>
        <w:tc>
          <w:tcPr>
            <w:tcW w:w="742" w:type="dxa"/>
          </w:tcPr>
          <w:p w14:paraId="158EAE06" w14:textId="77777777" w:rsidR="00E5596D" w:rsidRPr="00E5596D" w:rsidRDefault="00E5596D" w:rsidP="00E54F16">
            <w:pPr>
              <w:spacing w:before="20" w:after="20"/>
              <w:jc w:val="center"/>
              <w:rPr>
                <w:sz w:val="16"/>
                <w:szCs w:val="16"/>
              </w:rPr>
            </w:pPr>
            <w:r w:rsidRPr="00E5596D">
              <w:rPr>
                <w:sz w:val="16"/>
                <w:szCs w:val="16"/>
              </w:rPr>
              <w:t>6</w:t>
            </w:r>
          </w:p>
        </w:tc>
        <w:tc>
          <w:tcPr>
            <w:tcW w:w="957" w:type="dxa"/>
          </w:tcPr>
          <w:p w14:paraId="1DB6D02F" w14:textId="77777777" w:rsidR="00E5596D" w:rsidRPr="00E5596D" w:rsidRDefault="00E5596D" w:rsidP="00E54F16">
            <w:pPr>
              <w:spacing w:before="20" w:after="20"/>
              <w:jc w:val="center"/>
              <w:rPr>
                <w:sz w:val="16"/>
                <w:szCs w:val="16"/>
              </w:rPr>
            </w:pPr>
            <w:r w:rsidRPr="00E5596D">
              <w:rPr>
                <w:sz w:val="16"/>
                <w:szCs w:val="16"/>
              </w:rPr>
              <w:t>35</w:t>
            </w:r>
          </w:p>
        </w:tc>
        <w:tc>
          <w:tcPr>
            <w:tcW w:w="742" w:type="dxa"/>
          </w:tcPr>
          <w:p w14:paraId="095D50CD" w14:textId="77777777" w:rsidR="00E5596D" w:rsidRPr="00E5596D" w:rsidRDefault="00E5596D" w:rsidP="00E54F16">
            <w:pPr>
              <w:spacing w:before="20" w:after="20"/>
              <w:jc w:val="center"/>
              <w:rPr>
                <w:sz w:val="16"/>
                <w:szCs w:val="16"/>
              </w:rPr>
            </w:pPr>
          </w:p>
        </w:tc>
        <w:tc>
          <w:tcPr>
            <w:tcW w:w="957" w:type="dxa"/>
          </w:tcPr>
          <w:p w14:paraId="5BF18503" w14:textId="77777777" w:rsidR="00E5596D" w:rsidRPr="00E5596D" w:rsidRDefault="00E5596D" w:rsidP="00E54F16">
            <w:pPr>
              <w:spacing w:before="20" w:after="20"/>
              <w:jc w:val="center"/>
              <w:rPr>
                <w:sz w:val="16"/>
                <w:szCs w:val="16"/>
              </w:rPr>
            </w:pPr>
          </w:p>
        </w:tc>
        <w:tc>
          <w:tcPr>
            <w:tcW w:w="742" w:type="dxa"/>
          </w:tcPr>
          <w:p w14:paraId="5B88BB4D" w14:textId="77777777" w:rsidR="00E5596D" w:rsidRPr="00E5596D" w:rsidRDefault="00E5596D" w:rsidP="00E54F16">
            <w:pPr>
              <w:spacing w:before="20" w:after="20"/>
              <w:jc w:val="center"/>
              <w:rPr>
                <w:b/>
                <w:bCs/>
                <w:sz w:val="16"/>
                <w:szCs w:val="16"/>
              </w:rPr>
            </w:pPr>
            <w:r w:rsidRPr="00E5596D">
              <w:rPr>
                <w:b/>
                <w:bCs/>
                <w:sz w:val="16"/>
                <w:szCs w:val="16"/>
              </w:rPr>
              <w:t>13</w:t>
            </w:r>
          </w:p>
        </w:tc>
        <w:tc>
          <w:tcPr>
            <w:tcW w:w="957" w:type="dxa"/>
          </w:tcPr>
          <w:p w14:paraId="27865270" w14:textId="77777777" w:rsidR="00E5596D" w:rsidRPr="00E5596D" w:rsidRDefault="00E5596D" w:rsidP="00E54F16">
            <w:pPr>
              <w:spacing w:before="20" w:after="20"/>
              <w:jc w:val="center"/>
              <w:rPr>
                <w:sz w:val="16"/>
                <w:szCs w:val="16"/>
              </w:rPr>
            </w:pPr>
            <w:r w:rsidRPr="00E5596D">
              <w:rPr>
                <w:sz w:val="16"/>
                <w:szCs w:val="16"/>
              </w:rPr>
              <w:t>909</w:t>
            </w:r>
          </w:p>
        </w:tc>
      </w:tr>
      <w:tr w:rsidR="00E5596D" w:rsidRPr="00E5596D" w14:paraId="28FE8EAF" w14:textId="77777777" w:rsidTr="00CD499C">
        <w:trPr>
          <w:jc w:val="center"/>
        </w:trPr>
        <w:tc>
          <w:tcPr>
            <w:tcW w:w="1130" w:type="dxa"/>
          </w:tcPr>
          <w:p w14:paraId="3B3F10BC" w14:textId="77777777" w:rsidR="00E5596D" w:rsidRPr="00E5596D" w:rsidRDefault="00E5596D" w:rsidP="00E54F16">
            <w:pPr>
              <w:spacing w:before="20" w:after="20"/>
              <w:rPr>
                <w:b/>
                <w:bCs/>
                <w:sz w:val="16"/>
                <w:szCs w:val="16"/>
              </w:rPr>
            </w:pPr>
            <w:r w:rsidRPr="00E5596D">
              <w:rPr>
                <w:b/>
                <w:bCs/>
                <w:sz w:val="16"/>
                <w:szCs w:val="16"/>
              </w:rPr>
              <w:t>Amériques</w:t>
            </w:r>
          </w:p>
        </w:tc>
        <w:tc>
          <w:tcPr>
            <w:tcW w:w="742" w:type="dxa"/>
          </w:tcPr>
          <w:p w14:paraId="7D71C8A5" w14:textId="77777777" w:rsidR="00E5596D" w:rsidRPr="00E5596D" w:rsidRDefault="00E5596D" w:rsidP="00E54F16">
            <w:pPr>
              <w:spacing w:before="20" w:after="20"/>
              <w:jc w:val="center"/>
              <w:rPr>
                <w:sz w:val="16"/>
                <w:szCs w:val="16"/>
              </w:rPr>
            </w:pPr>
            <w:r w:rsidRPr="00E5596D">
              <w:rPr>
                <w:sz w:val="16"/>
                <w:szCs w:val="16"/>
              </w:rPr>
              <w:t>8</w:t>
            </w:r>
          </w:p>
        </w:tc>
        <w:tc>
          <w:tcPr>
            <w:tcW w:w="960" w:type="dxa"/>
          </w:tcPr>
          <w:p w14:paraId="112B65AB" w14:textId="77777777" w:rsidR="00E5596D" w:rsidRPr="00E5596D" w:rsidRDefault="00E5596D" w:rsidP="00E54F16">
            <w:pPr>
              <w:spacing w:before="20" w:after="20"/>
              <w:jc w:val="center"/>
              <w:rPr>
                <w:sz w:val="16"/>
                <w:szCs w:val="16"/>
              </w:rPr>
            </w:pPr>
            <w:r w:rsidRPr="00E5596D">
              <w:rPr>
                <w:sz w:val="16"/>
                <w:szCs w:val="16"/>
              </w:rPr>
              <w:t>247</w:t>
            </w:r>
          </w:p>
        </w:tc>
        <w:tc>
          <w:tcPr>
            <w:tcW w:w="742" w:type="dxa"/>
          </w:tcPr>
          <w:p w14:paraId="48E8112F" w14:textId="77777777" w:rsidR="00E5596D" w:rsidRPr="00E5596D" w:rsidRDefault="00E5596D" w:rsidP="00E54F16">
            <w:pPr>
              <w:spacing w:before="20" w:after="20"/>
              <w:jc w:val="center"/>
              <w:rPr>
                <w:sz w:val="16"/>
                <w:szCs w:val="16"/>
              </w:rPr>
            </w:pPr>
            <w:r w:rsidRPr="00E5596D">
              <w:rPr>
                <w:sz w:val="16"/>
                <w:szCs w:val="16"/>
              </w:rPr>
              <w:t>0</w:t>
            </w:r>
          </w:p>
        </w:tc>
        <w:tc>
          <w:tcPr>
            <w:tcW w:w="958" w:type="dxa"/>
          </w:tcPr>
          <w:p w14:paraId="09E81D88"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28C19BA3" w14:textId="77777777" w:rsidR="00E5596D" w:rsidRPr="00E5596D" w:rsidRDefault="00E5596D" w:rsidP="00E54F16">
            <w:pPr>
              <w:spacing w:before="20" w:after="20"/>
              <w:jc w:val="center"/>
              <w:rPr>
                <w:sz w:val="16"/>
                <w:szCs w:val="16"/>
              </w:rPr>
            </w:pPr>
            <w:r w:rsidRPr="00E5596D">
              <w:rPr>
                <w:sz w:val="16"/>
                <w:szCs w:val="16"/>
              </w:rPr>
              <w:t>8</w:t>
            </w:r>
          </w:p>
        </w:tc>
        <w:tc>
          <w:tcPr>
            <w:tcW w:w="957" w:type="dxa"/>
          </w:tcPr>
          <w:p w14:paraId="267C7CA8"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10C6F49A" w14:textId="77777777" w:rsidR="00E5596D" w:rsidRPr="00E5596D" w:rsidRDefault="00E5596D" w:rsidP="00E54F16">
            <w:pPr>
              <w:spacing w:before="20" w:after="20"/>
              <w:jc w:val="center"/>
              <w:rPr>
                <w:sz w:val="16"/>
                <w:szCs w:val="16"/>
              </w:rPr>
            </w:pPr>
          </w:p>
        </w:tc>
        <w:tc>
          <w:tcPr>
            <w:tcW w:w="957" w:type="dxa"/>
          </w:tcPr>
          <w:p w14:paraId="3BA27AEF" w14:textId="77777777" w:rsidR="00E5596D" w:rsidRPr="00E5596D" w:rsidRDefault="00E5596D" w:rsidP="00E54F16">
            <w:pPr>
              <w:spacing w:before="20" w:after="20"/>
              <w:jc w:val="center"/>
              <w:rPr>
                <w:sz w:val="16"/>
                <w:szCs w:val="16"/>
              </w:rPr>
            </w:pPr>
          </w:p>
        </w:tc>
        <w:tc>
          <w:tcPr>
            <w:tcW w:w="742" w:type="dxa"/>
          </w:tcPr>
          <w:p w14:paraId="6352E522" w14:textId="77777777" w:rsidR="00E5596D" w:rsidRPr="00E5596D" w:rsidRDefault="00E5596D" w:rsidP="00E54F16">
            <w:pPr>
              <w:spacing w:before="20" w:after="20"/>
              <w:jc w:val="center"/>
              <w:rPr>
                <w:b/>
                <w:bCs/>
                <w:sz w:val="16"/>
                <w:szCs w:val="16"/>
              </w:rPr>
            </w:pPr>
            <w:r w:rsidRPr="00E5596D">
              <w:rPr>
                <w:b/>
                <w:bCs/>
                <w:sz w:val="16"/>
                <w:szCs w:val="16"/>
              </w:rPr>
              <w:t>16</w:t>
            </w:r>
          </w:p>
        </w:tc>
        <w:tc>
          <w:tcPr>
            <w:tcW w:w="957" w:type="dxa"/>
          </w:tcPr>
          <w:p w14:paraId="7E2D4009" w14:textId="77777777" w:rsidR="00E5596D" w:rsidRPr="00E5596D" w:rsidRDefault="00E5596D" w:rsidP="00E54F16">
            <w:pPr>
              <w:spacing w:before="20" w:after="20"/>
              <w:jc w:val="center"/>
              <w:rPr>
                <w:sz w:val="16"/>
                <w:szCs w:val="16"/>
              </w:rPr>
            </w:pPr>
            <w:r w:rsidRPr="00E5596D">
              <w:rPr>
                <w:sz w:val="16"/>
                <w:szCs w:val="16"/>
              </w:rPr>
              <w:t>247</w:t>
            </w:r>
          </w:p>
        </w:tc>
      </w:tr>
      <w:tr w:rsidR="00E5596D" w:rsidRPr="00E5596D" w14:paraId="749695C3" w14:textId="77777777" w:rsidTr="00CD499C">
        <w:trPr>
          <w:jc w:val="center"/>
        </w:trPr>
        <w:tc>
          <w:tcPr>
            <w:tcW w:w="1130" w:type="dxa"/>
          </w:tcPr>
          <w:p w14:paraId="48B49B54" w14:textId="77777777" w:rsidR="00E5596D" w:rsidRPr="00E5596D" w:rsidRDefault="00E5596D" w:rsidP="00E54F16">
            <w:pPr>
              <w:spacing w:before="20" w:after="20"/>
              <w:rPr>
                <w:b/>
                <w:bCs/>
                <w:sz w:val="16"/>
                <w:szCs w:val="16"/>
              </w:rPr>
            </w:pPr>
            <w:r w:rsidRPr="00E5596D">
              <w:rPr>
                <w:b/>
                <w:bCs/>
                <w:sz w:val="16"/>
                <w:szCs w:val="16"/>
              </w:rPr>
              <w:t>États arabes</w:t>
            </w:r>
          </w:p>
        </w:tc>
        <w:tc>
          <w:tcPr>
            <w:tcW w:w="742" w:type="dxa"/>
          </w:tcPr>
          <w:p w14:paraId="53B7B17E" w14:textId="77777777" w:rsidR="00E5596D" w:rsidRPr="00E5596D" w:rsidRDefault="00E5596D" w:rsidP="00E54F16">
            <w:pPr>
              <w:spacing w:before="20" w:after="20"/>
              <w:jc w:val="center"/>
              <w:rPr>
                <w:sz w:val="16"/>
                <w:szCs w:val="16"/>
              </w:rPr>
            </w:pPr>
            <w:r w:rsidRPr="00E5596D">
              <w:rPr>
                <w:sz w:val="16"/>
                <w:szCs w:val="16"/>
              </w:rPr>
              <w:t>7</w:t>
            </w:r>
          </w:p>
        </w:tc>
        <w:tc>
          <w:tcPr>
            <w:tcW w:w="960" w:type="dxa"/>
          </w:tcPr>
          <w:p w14:paraId="49210FA8" w14:textId="77777777" w:rsidR="00E5596D" w:rsidRPr="00E5596D" w:rsidRDefault="00E5596D" w:rsidP="00E54F16">
            <w:pPr>
              <w:spacing w:before="20" w:after="20"/>
              <w:jc w:val="center"/>
              <w:rPr>
                <w:sz w:val="16"/>
                <w:szCs w:val="16"/>
              </w:rPr>
            </w:pPr>
            <w:r w:rsidRPr="00E5596D">
              <w:rPr>
                <w:sz w:val="16"/>
                <w:szCs w:val="16"/>
              </w:rPr>
              <w:t>101</w:t>
            </w:r>
          </w:p>
        </w:tc>
        <w:tc>
          <w:tcPr>
            <w:tcW w:w="742" w:type="dxa"/>
          </w:tcPr>
          <w:p w14:paraId="1462748E" w14:textId="77777777" w:rsidR="00E5596D" w:rsidRPr="00E5596D" w:rsidRDefault="00E5596D" w:rsidP="00E54F16">
            <w:pPr>
              <w:spacing w:before="20" w:after="20"/>
              <w:jc w:val="center"/>
              <w:rPr>
                <w:sz w:val="16"/>
                <w:szCs w:val="16"/>
              </w:rPr>
            </w:pPr>
            <w:r w:rsidRPr="00E5596D">
              <w:rPr>
                <w:sz w:val="16"/>
                <w:szCs w:val="16"/>
              </w:rPr>
              <w:t>0</w:t>
            </w:r>
          </w:p>
        </w:tc>
        <w:tc>
          <w:tcPr>
            <w:tcW w:w="958" w:type="dxa"/>
          </w:tcPr>
          <w:p w14:paraId="201E1ADE"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3DF981BA" w14:textId="77777777" w:rsidR="00E5596D" w:rsidRPr="00E5596D" w:rsidRDefault="00E5596D" w:rsidP="00E54F16">
            <w:pPr>
              <w:spacing w:before="20" w:after="20"/>
              <w:jc w:val="center"/>
              <w:rPr>
                <w:sz w:val="16"/>
                <w:szCs w:val="16"/>
              </w:rPr>
            </w:pPr>
            <w:r w:rsidRPr="00E5596D">
              <w:rPr>
                <w:sz w:val="16"/>
                <w:szCs w:val="16"/>
              </w:rPr>
              <w:t>7</w:t>
            </w:r>
          </w:p>
        </w:tc>
        <w:tc>
          <w:tcPr>
            <w:tcW w:w="957" w:type="dxa"/>
          </w:tcPr>
          <w:p w14:paraId="27F29690" w14:textId="77777777" w:rsidR="00E5596D" w:rsidRPr="00E5596D" w:rsidRDefault="00E5596D" w:rsidP="00E54F16">
            <w:pPr>
              <w:spacing w:before="20" w:after="20"/>
              <w:jc w:val="center"/>
              <w:rPr>
                <w:sz w:val="16"/>
                <w:szCs w:val="16"/>
              </w:rPr>
            </w:pPr>
            <w:r w:rsidRPr="00E5596D">
              <w:rPr>
                <w:sz w:val="16"/>
                <w:szCs w:val="16"/>
              </w:rPr>
              <w:t>17</w:t>
            </w:r>
          </w:p>
        </w:tc>
        <w:tc>
          <w:tcPr>
            <w:tcW w:w="742" w:type="dxa"/>
          </w:tcPr>
          <w:p w14:paraId="2086CB8F" w14:textId="77777777" w:rsidR="00E5596D" w:rsidRPr="00E5596D" w:rsidRDefault="00E5596D" w:rsidP="00E54F16">
            <w:pPr>
              <w:spacing w:before="20" w:after="20"/>
              <w:jc w:val="center"/>
              <w:rPr>
                <w:sz w:val="16"/>
                <w:szCs w:val="16"/>
              </w:rPr>
            </w:pPr>
          </w:p>
        </w:tc>
        <w:tc>
          <w:tcPr>
            <w:tcW w:w="957" w:type="dxa"/>
          </w:tcPr>
          <w:p w14:paraId="6E3BFE18" w14:textId="77777777" w:rsidR="00E5596D" w:rsidRPr="00E5596D" w:rsidRDefault="00E5596D" w:rsidP="00E54F16">
            <w:pPr>
              <w:spacing w:before="20" w:after="20"/>
              <w:jc w:val="center"/>
              <w:rPr>
                <w:sz w:val="16"/>
                <w:szCs w:val="16"/>
              </w:rPr>
            </w:pPr>
          </w:p>
        </w:tc>
        <w:tc>
          <w:tcPr>
            <w:tcW w:w="742" w:type="dxa"/>
          </w:tcPr>
          <w:p w14:paraId="0E8FD40F" w14:textId="77777777" w:rsidR="00E5596D" w:rsidRPr="00E5596D" w:rsidRDefault="00E5596D" w:rsidP="00E54F16">
            <w:pPr>
              <w:spacing w:before="20" w:after="20"/>
              <w:jc w:val="center"/>
              <w:rPr>
                <w:b/>
                <w:bCs/>
                <w:sz w:val="16"/>
                <w:szCs w:val="16"/>
              </w:rPr>
            </w:pPr>
            <w:r w:rsidRPr="00E5596D">
              <w:rPr>
                <w:b/>
                <w:bCs/>
                <w:sz w:val="16"/>
                <w:szCs w:val="16"/>
              </w:rPr>
              <w:t>14</w:t>
            </w:r>
          </w:p>
        </w:tc>
        <w:tc>
          <w:tcPr>
            <w:tcW w:w="957" w:type="dxa"/>
          </w:tcPr>
          <w:p w14:paraId="3EC7084F" w14:textId="77777777" w:rsidR="00E5596D" w:rsidRPr="00E5596D" w:rsidRDefault="00E5596D" w:rsidP="00E54F16">
            <w:pPr>
              <w:spacing w:before="20" w:after="20"/>
              <w:jc w:val="center"/>
              <w:rPr>
                <w:sz w:val="16"/>
                <w:szCs w:val="16"/>
              </w:rPr>
            </w:pPr>
            <w:r w:rsidRPr="00E5596D">
              <w:rPr>
                <w:sz w:val="16"/>
                <w:szCs w:val="16"/>
              </w:rPr>
              <w:t>117</w:t>
            </w:r>
          </w:p>
        </w:tc>
      </w:tr>
      <w:tr w:rsidR="00E5596D" w:rsidRPr="00E5596D" w14:paraId="49584AA8" w14:textId="77777777" w:rsidTr="00CD499C">
        <w:trPr>
          <w:jc w:val="center"/>
        </w:trPr>
        <w:tc>
          <w:tcPr>
            <w:tcW w:w="1130" w:type="dxa"/>
          </w:tcPr>
          <w:p w14:paraId="4FFC5C97" w14:textId="77777777" w:rsidR="00E5596D" w:rsidRPr="00E5596D" w:rsidRDefault="00E5596D" w:rsidP="00E54F16">
            <w:pPr>
              <w:spacing w:before="20" w:after="20"/>
              <w:rPr>
                <w:b/>
                <w:bCs/>
                <w:sz w:val="16"/>
                <w:szCs w:val="16"/>
              </w:rPr>
            </w:pPr>
            <w:r w:rsidRPr="00E5596D">
              <w:rPr>
                <w:b/>
                <w:bCs/>
                <w:sz w:val="16"/>
                <w:szCs w:val="16"/>
              </w:rPr>
              <w:t>Asie-Pacifique</w:t>
            </w:r>
          </w:p>
        </w:tc>
        <w:tc>
          <w:tcPr>
            <w:tcW w:w="742" w:type="dxa"/>
          </w:tcPr>
          <w:p w14:paraId="1F78E559" w14:textId="77777777" w:rsidR="00E5596D" w:rsidRPr="00E5596D" w:rsidRDefault="00E5596D" w:rsidP="00E54F16">
            <w:pPr>
              <w:spacing w:before="20" w:after="20"/>
              <w:jc w:val="center"/>
              <w:rPr>
                <w:sz w:val="16"/>
                <w:szCs w:val="16"/>
              </w:rPr>
            </w:pPr>
            <w:r w:rsidRPr="00E5596D">
              <w:rPr>
                <w:sz w:val="16"/>
                <w:szCs w:val="16"/>
              </w:rPr>
              <w:t>10</w:t>
            </w:r>
          </w:p>
        </w:tc>
        <w:tc>
          <w:tcPr>
            <w:tcW w:w="960" w:type="dxa"/>
          </w:tcPr>
          <w:p w14:paraId="7C034EA9" w14:textId="77777777" w:rsidR="00E5596D" w:rsidRPr="00E5596D" w:rsidRDefault="00E5596D" w:rsidP="00E54F16">
            <w:pPr>
              <w:spacing w:before="20" w:after="20"/>
              <w:jc w:val="center"/>
              <w:rPr>
                <w:sz w:val="16"/>
                <w:szCs w:val="16"/>
              </w:rPr>
            </w:pPr>
            <w:r w:rsidRPr="00E5596D">
              <w:rPr>
                <w:sz w:val="16"/>
                <w:szCs w:val="16"/>
              </w:rPr>
              <w:t>512</w:t>
            </w:r>
          </w:p>
        </w:tc>
        <w:tc>
          <w:tcPr>
            <w:tcW w:w="742" w:type="dxa"/>
          </w:tcPr>
          <w:p w14:paraId="25EDA69A" w14:textId="77777777" w:rsidR="00E5596D" w:rsidRPr="00E5596D" w:rsidRDefault="00E5596D" w:rsidP="00E54F16">
            <w:pPr>
              <w:spacing w:before="20" w:after="20"/>
              <w:jc w:val="center"/>
              <w:rPr>
                <w:sz w:val="16"/>
                <w:szCs w:val="16"/>
              </w:rPr>
            </w:pPr>
            <w:r w:rsidRPr="00E5596D">
              <w:rPr>
                <w:sz w:val="16"/>
                <w:szCs w:val="16"/>
              </w:rPr>
              <w:t>1</w:t>
            </w:r>
          </w:p>
        </w:tc>
        <w:tc>
          <w:tcPr>
            <w:tcW w:w="958" w:type="dxa"/>
          </w:tcPr>
          <w:p w14:paraId="291D2981" w14:textId="77777777" w:rsidR="00E5596D" w:rsidRPr="00E5596D" w:rsidRDefault="00E5596D" w:rsidP="00E54F16">
            <w:pPr>
              <w:spacing w:before="20" w:after="20"/>
              <w:jc w:val="center"/>
              <w:rPr>
                <w:sz w:val="16"/>
                <w:szCs w:val="16"/>
              </w:rPr>
            </w:pPr>
            <w:r w:rsidRPr="00E5596D">
              <w:rPr>
                <w:sz w:val="16"/>
                <w:szCs w:val="16"/>
              </w:rPr>
              <w:t>37</w:t>
            </w:r>
          </w:p>
        </w:tc>
        <w:tc>
          <w:tcPr>
            <w:tcW w:w="742" w:type="dxa"/>
          </w:tcPr>
          <w:p w14:paraId="5ECDFF3F" w14:textId="77777777" w:rsidR="00E5596D" w:rsidRPr="00E5596D" w:rsidRDefault="00E5596D" w:rsidP="00E54F16">
            <w:pPr>
              <w:spacing w:before="20" w:after="20"/>
              <w:jc w:val="center"/>
              <w:rPr>
                <w:sz w:val="16"/>
                <w:szCs w:val="16"/>
              </w:rPr>
            </w:pPr>
            <w:r w:rsidRPr="00E5596D">
              <w:rPr>
                <w:sz w:val="16"/>
                <w:szCs w:val="16"/>
              </w:rPr>
              <w:t>10</w:t>
            </w:r>
          </w:p>
        </w:tc>
        <w:tc>
          <w:tcPr>
            <w:tcW w:w="957" w:type="dxa"/>
          </w:tcPr>
          <w:p w14:paraId="1FC5F55F"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0862FD0E" w14:textId="77777777" w:rsidR="00E5596D" w:rsidRPr="00E5596D" w:rsidRDefault="00E5596D" w:rsidP="00E54F16">
            <w:pPr>
              <w:spacing w:before="20" w:after="20"/>
              <w:jc w:val="center"/>
              <w:rPr>
                <w:sz w:val="16"/>
                <w:szCs w:val="16"/>
              </w:rPr>
            </w:pPr>
          </w:p>
        </w:tc>
        <w:tc>
          <w:tcPr>
            <w:tcW w:w="957" w:type="dxa"/>
          </w:tcPr>
          <w:p w14:paraId="5892B6C2" w14:textId="77777777" w:rsidR="00E5596D" w:rsidRPr="00E5596D" w:rsidRDefault="00E5596D" w:rsidP="00E54F16">
            <w:pPr>
              <w:spacing w:before="20" w:after="20"/>
              <w:jc w:val="center"/>
              <w:rPr>
                <w:sz w:val="16"/>
                <w:szCs w:val="16"/>
              </w:rPr>
            </w:pPr>
          </w:p>
        </w:tc>
        <w:tc>
          <w:tcPr>
            <w:tcW w:w="742" w:type="dxa"/>
          </w:tcPr>
          <w:p w14:paraId="0F7A24EB" w14:textId="77777777" w:rsidR="00E5596D" w:rsidRPr="00E5596D" w:rsidRDefault="00E5596D" w:rsidP="00E54F16">
            <w:pPr>
              <w:spacing w:before="20" w:after="20"/>
              <w:jc w:val="center"/>
              <w:rPr>
                <w:b/>
                <w:bCs/>
                <w:sz w:val="16"/>
                <w:szCs w:val="16"/>
              </w:rPr>
            </w:pPr>
            <w:r w:rsidRPr="00E5596D">
              <w:rPr>
                <w:b/>
                <w:bCs/>
                <w:sz w:val="16"/>
                <w:szCs w:val="16"/>
              </w:rPr>
              <w:t>21</w:t>
            </w:r>
          </w:p>
        </w:tc>
        <w:tc>
          <w:tcPr>
            <w:tcW w:w="957" w:type="dxa"/>
          </w:tcPr>
          <w:p w14:paraId="5BE70930" w14:textId="77777777" w:rsidR="00E5596D" w:rsidRPr="00E5596D" w:rsidRDefault="00E5596D" w:rsidP="00E54F16">
            <w:pPr>
              <w:spacing w:before="20" w:after="20"/>
              <w:jc w:val="center"/>
              <w:rPr>
                <w:sz w:val="16"/>
                <w:szCs w:val="16"/>
              </w:rPr>
            </w:pPr>
            <w:r w:rsidRPr="00E5596D">
              <w:rPr>
                <w:sz w:val="16"/>
                <w:szCs w:val="16"/>
              </w:rPr>
              <w:t>548</w:t>
            </w:r>
          </w:p>
        </w:tc>
      </w:tr>
      <w:tr w:rsidR="00E5596D" w:rsidRPr="00E5596D" w14:paraId="7E530E61" w14:textId="77777777" w:rsidTr="00CD499C">
        <w:trPr>
          <w:jc w:val="center"/>
        </w:trPr>
        <w:tc>
          <w:tcPr>
            <w:tcW w:w="1130" w:type="dxa"/>
          </w:tcPr>
          <w:p w14:paraId="5B34EF2A" w14:textId="77777777" w:rsidR="00E5596D" w:rsidRPr="00E5596D" w:rsidRDefault="00E5596D" w:rsidP="00E54F16">
            <w:pPr>
              <w:spacing w:before="20" w:after="20"/>
              <w:rPr>
                <w:b/>
                <w:bCs/>
                <w:sz w:val="16"/>
                <w:szCs w:val="16"/>
              </w:rPr>
            </w:pPr>
            <w:r w:rsidRPr="00E5596D">
              <w:rPr>
                <w:b/>
                <w:bCs/>
                <w:sz w:val="16"/>
                <w:szCs w:val="16"/>
              </w:rPr>
              <w:t>CEI</w:t>
            </w:r>
          </w:p>
        </w:tc>
        <w:tc>
          <w:tcPr>
            <w:tcW w:w="742" w:type="dxa"/>
          </w:tcPr>
          <w:p w14:paraId="18C7F9D3" w14:textId="77777777" w:rsidR="00E5596D" w:rsidRPr="00E5596D" w:rsidRDefault="00E5596D" w:rsidP="00E54F16">
            <w:pPr>
              <w:spacing w:before="20" w:after="20"/>
              <w:jc w:val="center"/>
              <w:rPr>
                <w:sz w:val="16"/>
                <w:szCs w:val="16"/>
              </w:rPr>
            </w:pPr>
            <w:r w:rsidRPr="00E5596D">
              <w:rPr>
                <w:sz w:val="16"/>
                <w:szCs w:val="16"/>
              </w:rPr>
              <w:t>0</w:t>
            </w:r>
          </w:p>
        </w:tc>
        <w:tc>
          <w:tcPr>
            <w:tcW w:w="960" w:type="dxa"/>
          </w:tcPr>
          <w:p w14:paraId="4AC7C5C7"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6CFB50FC" w14:textId="77777777" w:rsidR="00E5596D" w:rsidRPr="00E5596D" w:rsidRDefault="00E5596D" w:rsidP="00E54F16">
            <w:pPr>
              <w:spacing w:before="20" w:after="20"/>
              <w:jc w:val="center"/>
              <w:rPr>
                <w:sz w:val="16"/>
                <w:szCs w:val="16"/>
              </w:rPr>
            </w:pPr>
            <w:r w:rsidRPr="00E5596D">
              <w:rPr>
                <w:sz w:val="16"/>
                <w:szCs w:val="16"/>
              </w:rPr>
              <w:t>0</w:t>
            </w:r>
          </w:p>
        </w:tc>
        <w:tc>
          <w:tcPr>
            <w:tcW w:w="958" w:type="dxa"/>
          </w:tcPr>
          <w:p w14:paraId="005ED0C2"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507B43AB" w14:textId="77777777" w:rsidR="00E5596D" w:rsidRPr="00E5596D" w:rsidRDefault="00E5596D" w:rsidP="00E54F16">
            <w:pPr>
              <w:spacing w:before="20" w:after="20"/>
              <w:jc w:val="center"/>
              <w:rPr>
                <w:sz w:val="16"/>
                <w:szCs w:val="16"/>
              </w:rPr>
            </w:pPr>
            <w:r w:rsidRPr="00E5596D">
              <w:rPr>
                <w:sz w:val="16"/>
                <w:szCs w:val="16"/>
              </w:rPr>
              <w:t>0</w:t>
            </w:r>
          </w:p>
        </w:tc>
        <w:tc>
          <w:tcPr>
            <w:tcW w:w="957" w:type="dxa"/>
          </w:tcPr>
          <w:p w14:paraId="23DFE2DF" w14:textId="77777777" w:rsidR="00E5596D" w:rsidRPr="00E5596D" w:rsidRDefault="00E5596D" w:rsidP="00E54F16">
            <w:pPr>
              <w:spacing w:before="20" w:after="20"/>
              <w:jc w:val="center"/>
              <w:rPr>
                <w:sz w:val="16"/>
                <w:szCs w:val="16"/>
              </w:rPr>
            </w:pPr>
            <w:r w:rsidRPr="00E5596D">
              <w:rPr>
                <w:sz w:val="16"/>
                <w:szCs w:val="16"/>
              </w:rPr>
              <w:t>1</w:t>
            </w:r>
          </w:p>
        </w:tc>
        <w:tc>
          <w:tcPr>
            <w:tcW w:w="742" w:type="dxa"/>
          </w:tcPr>
          <w:p w14:paraId="5F0F4E84" w14:textId="77777777" w:rsidR="00E5596D" w:rsidRPr="00E5596D" w:rsidRDefault="00E5596D" w:rsidP="00E54F16">
            <w:pPr>
              <w:spacing w:before="20" w:after="20"/>
              <w:jc w:val="center"/>
              <w:rPr>
                <w:sz w:val="16"/>
                <w:szCs w:val="16"/>
              </w:rPr>
            </w:pPr>
          </w:p>
        </w:tc>
        <w:tc>
          <w:tcPr>
            <w:tcW w:w="957" w:type="dxa"/>
          </w:tcPr>
          <w:p w14:paraId="6943FF0F" w14:textId="77777777" w:rsidR="00E5596D" w:rsidRPr="00E5596D" w:rsidRDefault="00E5596D" w:rsidP="00E54F16">
            <w:pPr>
              <w:spacing w:before="20" w:after="20"/>
              <w:jc w:val="center"/>
              <w:rPr>
                <w:sz w:val="16"/>
                <w:szCs w:val="16"/>
              </w:rPr>
            </w:pPr>
          </w:p>
        </w:tc>
        <w:tc>
          <w:tcPr>
            <w:tcW w:w="742" w:type="dxa"/>
          </w:tcPr>
          <w:p w14:paraId="709CCBDF" w14:textId="77777777" w:rsidR="00E5596D" w:rsidRPr="00E5596D" w:rsidRDefault="00E5596D" w:rsidP="00E54F16">
            <w:pPr>
              <w:spacing w:before="20" w:after="20"/>
              <w:jc w:val="center"/>
              <w:rPr>
                <w:b/>
                <w:bCs/>
                <w:sz w:val="16"/>
                <w:szCs w:val="16"/>
              </w:rPr>
            </w:pPr>
            <w:r w:rsidRPr="00E5596D">
              <w:rPr>
                <w:b/>
                <w:bCs/>
                <w:sz w:val="16"/>
                <w:szCs w:val="16"/>
              </w:rPr>
              <w:t>0</w:t>
            </w:r>
          </w:p>
        </w:tc>
        <w:tc>
          <w:tcPr>
            <w:tcW w:w="957" w:type="dxa"/>
          </w:tcPr>
          <w:p w14:paraId="4A4619A8" w14:textId="77777777" w:rsidR="00E5596D" w:rsidRPr="00E5596D" w:rsidRDefault="00E5596D" w:rsidP="00E54F16">
            <w:pPr>
              <w:spacing w:before="20" w:after="20"/>
              <w:jc w:val="center"/>
              <w:rPr>
                <w:sz w:val="16"/>
                <w:szCs w:val="16"/>
              </w:rPr>
            </w:pPr>
            <w:r w:rsidRPr="00E5596D">
              <w:rPr>
                <w:sz w:val="16"/>
                <w:szCs w:val="16"/>
              </w:rPr>
              <w:t>1</w:t>
            </w:r>
          </w:p>
        </w:tc>
      </w:tr>
      <w:tr w:rsidR="00E5596D" w:rsidRPr="00E5596D" w14:paraId="0CF75D35" w14:textId="77777777" w:rsidTr="00CD499C">
        <w:trPr>
          <w:jc w:val="center"/>
        </w:trPr>
        <w:tc>
          <w:tcPr>
            <w:tcW w:w="1130" w:type="dxa"/>
          </w:tcPr>
          <w:p w14:paraId="535BA2F6" w14:textId="77777777" w:rsidR="00E5596D" w:rsidRPr="00E5596D" w:rsidRDefault="00E5596D" w:rsidP="00E54F16">
            <w:pPr>
              <w:spacing w:before="20" w:after="20"/>
              <w:rPr>
                <w:b/>
                <w:bCs/>
                <w:sz w:val="16"/>
                <w:szCs w:val="16"/>
              </w:rPr>
            </w:pPr>
            <w:r w:rsidRPr="00E5596D">
              <w:rPr>
                <w:b/>
                <w:bCs/>
                <w:sz w:val="16"/>
                <w:szCs w:val="16"/>
              </w:rPr>
              <w:t>Europe</w:t>
            </w:r>
          </w:p>
        </w:tc>
        <w:tc>
          <w:tcPr>
            <w:tcW w:w="742" w:type="dxa"/>
          </w:tcPr>
          <w:p w14:paraId="7D879DCA" w14:textId="77777777" w:rsidR="00E5596D" w:rsidRPr="00E5596D" w:rsidRDefault="00E5596D" w:rsidP="00E54F16">
            <w:pPr>
              <w:spacing w:before="20" w:after="20"/>
              <w:jc w:val="center"/>
              <w:rPr>
                <w:sz w:val="16"/>
                <w:szCs w:val="16"/>
              </w:rPr>
            </w:pPr>
            <w:r w:rsidRPr="00E5596D">
              <w:rPr>
                <w:sz w:val="16"/>
                <w:szCs w:val="16"/>
              </w:rPr>
              <w:t>3</w:t>
            </w:r>
          </w:p>
        </w:tc>
        <w:tc>
          <w:tcPr>
            <w:tcW w:w="960" w:type="dxa"/>
          </w:tcPr>
          <w:p w14:paraId="56BD5A33" w14:textId="77777777" w:rsidR="00E5596D" w:rsidRPr="00E5596D" w:rsidRDefault="00E5596D" w:rsidP="00E54F16">
            <w:pPr>
              <w:spacing w:before="20" w:after="20"/>
              <w:jc w:val="center"/>
              <w:rPr>
                <w:sz w:val="16"/>
                <w:szCs w:val="16"/>
              </w:rPr>
            </w:pPr>
            <w:r w:rsidRPr="00E5596D">
              <w:rPr>
                <w:sz w:val="16"/>
                <w:szCs w:val="16"/>
              </w:rPr>
              <w:t>262</w:t>
            </w:r>
          </w:p>
        </w:tc>
        <w:tc>
          <w:tcPr>
            <w:tcW w:w="742" w:type="dxa"/>
          </w:tcPr>
          <w:p w14:paraId="393A2E45" w14:textId="77777777" w:rsidR="00E5596D" w:rsidRPr="00E5596D" w:rsidRDefault="00E5596D" w:rsidP="00E54F16">
            <w:pPr>
              <w:spacing w:before="20" w:after="20"/>
              <w:jc w:val="center"/>
              <w:rPr>
                <w:sz w:val="16"/>
                <w:szCs w:val="16"/>
              </w:rPr>
            </w:pPr>
            <w:r w:rsidRPr="00E5596D">
              <w:rPr>
                <w:sz w:val="16"/>
                <w:szCs w:val="16"/>
              </w:rPr>
              <w:t>0</w:t>
            </w:r>
          </w:p>
        </w:tc>
        <w:tc>
          <w:tcPr>
            <w:tcW w:w="958" w:type="dxa"/>
          </w:tcPr>
          <w:p w14:paraId="080DDB72" w14:textId="77777777" w:rsidR="00E5596D" w:rsidRPr="00E5596D" w:rsidRDefault="00E5596D" w:rsidP="00E54F16">
            <w:pPr>
              <w:spacing w:before="20" w:after="20"/>
              <w:jc w:val="center"/>
              <w:rPr>
                <w:sz w:val="16"/>
                <w:szCs w:val="16"/>
              </w:rPr>
            </w:pPr>
            <w:r w:rsidRPr="00E5596D">
              <w:rPr>
                <w:sz w:val="16"/>
                <w:szCs w:val="16"/>
              </w:rPr>
              <w:t>0</w:t>
            </w:r>
          </w:p>
        </w:tc>
        <w:tc>
          <w:tcPr>
            <w:tcW w:w="742" w:type="dxa"/>
          </w:tcPr>
          <w:p w14:paraId="16A857BE" w14:textId="77777777" w:rsidR="00E5596D" w:rsidRPr="00E5596D" w:rsidRDefault="00E5596D" w:rsidP="00E54F16">
            <w:pPr>
              <w:spacing w:before="20" w:after="20"/>
              <w:jc w:val="center"/>
              <w:rPr>
                <w:sz w:val="16"/>
                <w:szCs w:val="16"/>
              </w:rPr>
            </w:pPr>
            <w:r w:rsidRPr="00E5596D">
              <w:rPr>
                <w:sz w:val="16"/>
                <w:szCs w:val="16"/>
              </w:rPr>
              <w:t>3</w:t>
            </w:r>
          </w:p>
        </w:tc>
        <w:tc>
          <w:tcPr>
            <w:tcW w:w="957" w:type="dxa"/>
          </w:tcPr>
          <w:p w14:paraId="533AD7C2" w14:textId="77777777" w:rsidR="00E5596D" w:rsidRPr="00E5596D" w:rsidRDefault="00E5596D" w:rsidP="00E54F16">
            <w:pPr>
              <w:spacing w:before="20" w:after="20"/>
              <w:jc w:val="center"/>
              <w:rPr>
                <w:sz w:val="16"/>
                <w:szCs w:val="16"/>
              </w:rPr>
            </w:pPr>
            <w:r w:rsidRPr="00E5596D">
              <w:rPr>
                <w:sz w:val="16"/>
                <w:szCs w:val="16"/>
              </w:rPr>
              <w:t>30</w:t>
            </w:r>
          </w:p>
        </w:tc>
        <w:tc>
          <w:tcPr>
            <w:tcW w:w="742" w:type="dxa"/>
          </w:tcPr>
          <w:p w14:paraId="13740F1C" w14:textId="77777777" w:rsidR="00E5596D" w:rsidRPr="00E5596D" w:rsidRDefault="00E5596D" w:rsidP="00E54F16">
            <w:pPr>
              <w:spacing w:before="20" w:after="20"/>
              <w:jc w:val="center"/>
              <w:rPr>
                <w:sz w:val="16"/>
                <w:szCs w:val="16"/>
              </w:rPr>
            </w:pPr>
          </w:p>
        </w:tc>
        <w:tc>
          <w:tcPr>
            <w:tcW w:w="957" w:type="dxa"/>
          </w:tcPr>
          <w:p w14:paraId="667472A5" w14:textId="77777777" w:rsidR="00E5596D" w:rsidRPr="00E5596D" w:rsidRDefault="00E5596D" w:rsidP="00E54F16">
            <w:pPr>
              <w:spacing w:before="20" w:after="20"/>
              <w:jc w:val="center"/>
              <w:rPr>
                <w:sz w:val="16"/>
                <w:szCs w:val="16"/>
              </w:rPr>
            </w:pPr>
          </w:p>
        </w:tc>
        <w:tc>
          <w:tcPr>
            <w:tcW w:w="742" w:type="dxa"/>
          </w:tcPr>
          <w:p w14:paraId="1C5F1D1A" w14:textId="77777777" w:rsidR="00E5596D" w:rsidRPr="00E5596D" w:rsidRDefault="00E5596D" w:rsidP="00E54F16">
            <w:pPr>
              <w:spacing w:before="20" w:after="20"/>
              <w:jc w:val="center"/>
              <w:rPr>
                <w:b/>
                <w:bCs/>
                <w:sz w:val="16"/>
                <w:szCs w:val="16"/>
              </w:rPr>
            </w:pPr>
            <w:r w:rsidRPr="00E5596D">
              <w:rPr>
                <w:b/>
                <w:bCs/>
                <w:sz w:val="16"/>
                <w:szCs w:val="16"/>
              </w:rPr>
              <w:t>6</w:t>
            </w:r>
          </w:p>
        </w:tc>
        <w:tc>
          <w:tcPr>
            <w:tcW w:w="957" w:type="dxa"/>
          </w:tcPr>
          <w:p w14:paraId="07EC3D46" w14:textId="77777777" w:rsidR="00E5596D" w:rsidRPr="00E5596D" w:rsidRDefault="00E5596D" w:rsidP="00E54F16">
            <w:pPr>
              <w:spacing w:before="20" w:after="20"/>
              <w:jc w:val="center"/>
              <w:rPr>
                <w:sz w:val="16"/>
                <w:szCs w:val="16"/>
              </w:rPr>
            </w:pPr>
            <w:r w:rsidRPr="00E5596D">
              <w:rPr>
                <w:sz w:val="16"/>
                <w:szCs w:val="16"/>
              </w:rPr>
              <w:t>292</w:t>
            </w:r>
          </w:p>
        </w:tc>
      </w:tr>
      <w:tr w:rsidR="00E5596D" w:rsidRPr="00E5596D" w14:paraId="1A13BE41" w14:textId="77777777" w:rsidTr="00CD499C">
        <w:trPr>
          <w:jc w:val="center"/>
        </w:trPr>
        <w:tc>
          <w:tcPr>
            <w:tcW w:w="1130" w:type="dxa"/>
          </w:tcPr>
          <w:p w14:paraId="08BF6544" w14:textId="77777777" w:rsidR="00E5596D" w:rsidRPr="00E5596D" w:rsidRDefault="00E5596D" w:rsidP="00E54F16">
            <w:pPr>
              <w:spacing w:before="20" w:after="20"/>
              <w:rPr>
                <w:b/>
                <w:bCs/>
                <w:sz w:val="16"/>
                <w:szCs w:val="16"/>
              </w:rPr>
            </w:pPr>
            <w:r w:rsidRPr="00E5596D">
              <w:rPr>
                <w:b/>
                <w:bCs/>
                <w:sz w:val="16"/>
                <w:szCs w:val="16"/>
              </w:rPr>
              <w:t>Plusieurs régions</w:t>
            </w:r>
          </w:p>
        </w:tc>
        <w:tc>
          <w:tcPr>
            <w:tcW w:w="742" w:type="dxa"/>
          </w:tcPr>
          <w:p w14:paraId="319C9F38" w14:textId="77777777" w:rsidR="00E5596D" w:rsidRPr="00E5596D" w:rsidRDefault="00E5596D" w:rsidP="00E54F16">
            <w:pPr>
              <w:spacing w:before="20" w:after="20"/>
              <w:jc w:val="center"/>
              <w:rPr>
                <w:sz w:val="16"/>
                <w:szCs w:val="16"/>
              </w:rPr>
            </w:pPr>
            <w:r w:rsidRPr="00E5596D">
              <w:rPr>
                <w:sz w:val="16"/>
                <w:szCs w:val="16"/>
              </w:rPr>
              <w:t>19</w:t>
            </w:r>
          </w:p>
        </w:tc>
        <w:tc>
          <w:tcPr>
            <w:tcW w:w="960" w:type="dxa"/>
          </w:tcPr>
          <w:p w14:paraId="6095060D" w14:textId="77777777" w:rsidR="00E5596D" w:rsidRPr="00E5596D" w:rsidRDefault="00E5596D" w:rsidP="00E54F16">
            <w:pPr>
              <w:spacing w:before="20" w:after="20"/>
              <w:jc w:val="center"/>
              <w:rPr>
                <w:sz w:val="16"/>
                <w:szCs w:val="16"/>
              </w:rPr>
            </w:pPr>
            <w:r w:rsidRPr="00E5596D">
              <w:rPr>
                <w:sz w:val="16"/>
                <w:szCs w:val="16"/>
              </w:rPr>
              <w:t>430</w:t>
            </w:r>
          </w:p>
        </w:tc>
        <w:tc>
          <w:tcPr>
            <w:tcW w:w="742" w:type="dxa"/>
          </w:tcPr>
          <w:p w14:paraId="50161157" w14:textId="77777777" w:rsidR="00E5596D" w:rsidRPr="00E5596D" w:rsidRDefault="00E5596D" w:rsidP="00E54F16">
            <w:pPr>
              <w:spacing w:before="20" w:after="20"/>
              <w:jc w:val="center"/>
              <w:rPr>
                <w:sz w:val="16"/>
                <w:szCs w:val="16"/>
              </w:rPr>
            </w:pPr>
            <w:r w:rsidRPr="00E5596D">
              <w:rPr>
                <w:sz w:val="16"/>
                <w:szCs w:val="16"/>
              </w:rPr>
              <w:t>2</w:t>
            </w:r>
          </w:p>
        </w:tc>
        <w:tc>
          <w:tcPr>
            <w:tcW w:w="958" w:type="dxa"/>
          </w:tcPr>
          <w:p w14:paraId="79A410AB" w14:textId="77777777" w:rsidR="00E5596D" w:rsidRPr="00E5596D" w:rsidRDefault="00E5596D" w:rsidP="00E54F16">
            <w:pPr>
              <w:spacing w:before="20" w:after="20"/>
              <w:jc w:val="center"/>
              <w:rPr>
                <w:sz w:val="16"/>
                <w:szCs w:val="16"/>
              </w:rPr>
            </w:pPr>
            <w:r w:rsidRPr="00E5596D">
              <w:rPr>
                <w:sz w:val="16"/>
                <w:szCs w:val="16"/>
              </w:rPr>
              <w:t>68</w:t>
            </w:r>
          </w:p>
        </w:tc>
        <w:tc>
          <w:tcPr>
            <w:tcW w:w="742" w:type="dxa"/>
          </w:tcPr>
          <w:p w14:paraId="262056B3" w14:textId="77777777" w:rsidR="00E5596D" w:rsidRPr="00E5596D" w:rsidRDefault="00E5596D" w:rsidP="00E54F16">
            <w:pPr>
              <w:spacing w:before="20" w:after="20"/>
              <w:jc w:val="center"/>
              <w:rPr>
                <w:sz w:val="16"/>
                <w:szCs w:val="16"/>
              </w:rPr>
            </w:pPr>
            <w:r w:rsidRPr="00E5596D">
              <w:rPr>
                <w:sz w:val="16"/>
                <w:szCs w:val="16"/>
              </w:rPr>
              <w:t>19</w:t>
            </w:r>
          </w:p>
        </w:tc>
        <w:tc>
          <w:tcPr>
            <w:tcW w:w="957" w:type="dxa"/>
          </w:tcPr>
          <w:p w14:paraId="41AADE21" w14:textId="77777777" w:rsidR="00E5596D" w:rsidRPr="00E5596D" w:rsidRDefault="00E5596D" w:rsidP="00E54F16">
            <w:pPr>
              <w:spacing w:before="20" w:after="20"/>
              <w:jc w:val="center"/>
              <w:rPr>
                <w:sz w:val="16"/>
                <w:szCs w:val="16"/>
              </w:rPr>
            </w:pPr>
            <w:r w:rsidRPr="00E5596D">
              <w:rPr>
                <w:sz w:val="16"/>
                <w:szCs w:val="16"/>
              </w:rPr>
              <w:t>835</w:t>
            </w:r>
          </w:p>
        </w:tc>
        <w:tc>
          <w:tcPr>
            <w:tcW w:w="742" w:type="dxa"/>
          </w:tcPr>
          <w:p w14:paraId="53186E4E" w14:textId="77777777" w:rsidR="00E5596D" w:rsidRPr="00E5596D" w:rsidRDefault="00E5596D" w:rsidP="00E54F16">
            <w:pPr>
              <w:spacing w:before="20" w:after="20"/>
              <w:jc w:val="center"/>
              <w:rPr>
                <w:sz w:val="16"/>
                <w:szCs w:val="16"/>
              </w:rPr>
            </w:pPr>
          </w:p>
        </w:tc>
        <w:tc>
          <w:tcPr>
            <w:tcW w:w="957" w:type="dxa"/>
          </w:tcPr>
          <w:p w14:paraId="6B4C89C3" w14:textId="77777777" w:rsidR="00E5596D" w:rsidRPr="00E5596D" w:rsidRDefault="00E5596D" w:rsidP="00E54F16">
            <w:pPr>
              <w:spacing w:before="20" w:after="20"/>
              <w:jc w:val="center"/>
              <w:rPr>
                <w:sz w:val="16"/>
                <w:szCs w:val="16"/>
              </w:rPr>
            </w:pPr>
          </w:p>
        </w:tc>
        <w:tc>
          <w:tcPr>
            <w:tcW w:w="742" w:type="dxa"/>
          </w:tcPr>
          <w:p w14:paraId="724DFF77" w14:textId="77777777" w:rsidR="00E5596D" w:rsidRPr="00E5596D" w:rsidRDefault="00E5596D" w:rsidP="00E54F16">
            <w:pPr>
              <w:spacing w:before="20" w:after="20"/>
              <w:jc w:val="center"/>
              <w:rPr>
                <w:b/>
                <w:bCs/>
                <w:sz w:val="16"/>
                <w:szCs w:val="16"/>
              </w:rPr>
            </w:pPr>
            <w:r w:rsidRPr="00E5596D">
              <w:rPr>
                <w:b/>
                <w:bCs/>
                <w:sz w:val="16"/>
                <w:szCs w:val="16"/>
              </w:rPr>
              <w:t>40</w:t>
            </w:r>
          </w:p>
        </w:tc>
        <w:tc>
          <w:tcPr>
            <w:tcW w:w="957" w:type="dxa"/>
          </w:tcPr>
          <w:p w14:paraId="354E5B5D" w14:textId="77777777" w:rsidR="00E5596D" w:rsidRPr="00E5596D" w:rsidRDefault="00E5596D" w:rsidP="00E54F16">
            <w:pPr>
              <w:spacing w:before="20" w:after="20"/>
              <w:jc w:val="center"/>
              <w:rPr>
                <w:sz w:val="16"/>
                <w:szCs w:val="16"/>
              </w:rPr>
            </w:pPr>
            <w:r w:rsidRPr="00E5596D">
              <w:rPr>
                <w:sz w:val="16"/>
                <w:szCs w:val="16"/>
              </w:rPr>
              <w:t>1 334</w:t>
            </w:r>
          </w:p>
        </w:tc>
      </w:tr>
      <w:tr w:rsidR="00E5596D" w:rsidRPr="00E5596D" w14:paraId="7EC02D2D" w14:textId="77777777" w:rsidTr="00CD499C">
        <w:trPr>
          <w:jc w:val="center"/>
        </w:trPr>
        <w:tc>
          <w:tcPr>
            <w:tcW w:w="1130" w:type="dxa"/>
            <w:shd w:val="pct10" w:color="auto" w:fill="auto"/>
          </w:tcPr>
          <w:p w14:paraId="02767153" w14:textId="77777777" w:rsidR="00E5596D" w:rsidRPr="00E5596D" w:rsidRDefault="00E5596D" w:rsidP="00E54F16">
            <w:pPr>
              <w:spacing w:before="20" w:after="20"/>
              <w:rPr>
                <w:b/>
                <w:bCs/>
                <w:sz w:val="16"/>
                <w:szCs w:val="16"/>
              </w:rPr>
            </w:pPr>
            <w:r w:rsidRPr="00E5596D">
              <w:rPr>
                <w:b/>
                <w:bCs/>
                <w:sz w:val="16"/>
                <w:szCs w:val="16"/>
              </w:rPr>
              <w:t>Total</w:t>
            </w:r>
          </w:p>
        </w:tc>
        <w:tc>
          <w:tcPr>
            <w:tcW w:w="742" w:type="dxa"/>
            <w:shd w:val="pct10" w:color="auto" w:fill="auto"/>
          </w:tcPr>
          <w:p w14:paraId="14E628FD" w14:textId="77777777" w:rsidR="00E5596D" w:rsidRPr="00E5596D" w:rsidRDefault="00E5596D" w:rsidP="00E54F16">
            <w:pPr>
              <w:spacing w:before="20" w:after="20"/>
              <w:jc w:val="center"/>
              <w:rPr>
                <w:b/>
                <w:bCs/>
                <w:sz w:val="16"/>
                <w:szCs w:val="16"/>
              </w:rPr>
            </w:pPr>
            <w:r w:rsidRPr="00E5596D">
              <w:rPr>
                <w:b/>
                <w:bCs/>
                <w:sz w:val="16"/>
                <w:szCs w:val="16"/>
              </w:rPr>
              <w:t>53</w:t>
            </w:r>
          </w:p>
        </w:tc>
        <w:tc>
          <w:tcPr>
            <w:tcW w:w="960" w:type="dxa"/>
            <w:shd w:val="pct10" w:color="auto" w:fill="auto"/>
          </w:tcPr>
          <w:p w14:paraId="5CBF2F5A" w14:textId="77777777" w:rsidR="00E5596D" w:rsidRPr="00E5596D" w:rsidRDefault="00E5596D" w:rsidP="00E54F16">
            <w:pPr>
              <w:spacing w:before="20" w:after="20"/>
              <w:jc w:val="center"/>
              <w:rPr>
                <w:b/>
                <w:bCs/>
                <w:sz w:val="16"/>
                <w:szCs w:val="16"/>
              </w:rPr>
            </w:pPr>
            <w:r w:rsidRPr="00E5596D">
              <w:rPr>
                <w:b/>
                <w:bCs/>
                <w:sz w:val="16"/>
                <w:szCs w:val="16"/>
              </w:rPr>
              <w:t>2 361</w:t>
            </w:r>
          </w:p>
        </w:tc>
        <w:tc>
          <w:tcPr>
            <w:tcW w:w="742" w:type="dxa"/>
            <w:shd w:val="pct10" w:color="auto" w:fill="auto"/>
          </w:tcPr>
          <w:p w14:paraId="2D887E71" w14:textId="77777777" w:rsidR="00E5596D" w:rsidRPr="00E5596D" w:rsidRDefault="00E5596D" w:rsidP="00E54F16">
            <w:pPr>
              <w:spacing w:before="20" w:after="20"/>
              <w:jc w:val="center"/>
              <w:rPr>
                <w:b/>
                <w:bCs/>
                <w:sz w:val="16"/>
                <w:szCs w:val="16"/>
              </w:rPr>
            </w:pPr>
            <w:r w:rsidRPr="00E5596D">
              <w:rPr>
                <w:b/>
                <w:bCs/>
                <w:sz w:val="16"/>
                <w:szCs w:val="16"/>
              </w:rPr>
              <w:t>4</w:t>
            </w:r>
          </w:p>
        </w:tc>
        <w:tc>
          <w:tcPr>
            <w:tcW w:w="958" w:type="dxa"/>
            <w:shd w:val="pct10" w:color="auto" w:fill="auto"/>
          </w:tcPr>
          <w:p w14:paraId="68677A5B" w14:textId="77777777" w:rsidR="00E5596D" w:rsidRPr="00E5596D" w:rsidRDefault="00E5596D" w:rsidP="00E54F16">
            <w:pPr>
              <w:spacing w:before="20" w:after="20"/>
              <w:jc w:val="center"/>
              <w:rPr>
                <w:b/>
                <w:bCs/>
                <w:sz w:val="16"/>
                <w:szCs w:val="16"/>
              </w:rPr>
            </w:pPr>
            <w:r w:rsidRPr="00E5596D">
              <w:rPr>
                <w:b/>
                <w:bCs/>
                <w:sz w:val="16"/>
                <w:szCs w:val="16"/>
              </w:rPr>
              <w:t>169</w:t>
            </w:r>
          </w:p>
        </w:tc>
        <w:tc>
          <w:tcPr>
            <w:tcW w:w="742" w:type="dxa"/>
            <w:shd w:val="pct10" w:color="auto" w:fill="auto"/>
          </w:tcPr>
          <w:p w14:paraId="64CDF5EF" w14:textId="77777777" w:rsidR="00E5596D" w:rsidRPr="00E5596D" w:rsidRDefault="00E5596D" w:rsidP="00E54F16">
            <w:pPr>
              <w:spacing w:before="20" w:after="20"/>
              <w:jc w:val="center"/>
              <w:rPr>
                <w:b/>
                <w:bCs/>
                <w:sz w:val="16"/>
                <w:szCs w:val="16"/>
              </w:rPr>
            </w:pPr>
            <w:r w:rsidRPr="00E5596D">
              <w:rPr>
                <w:b/>
                <w:bCs/>
                <w:sz w:val="16"/>
                <w:szCs w:val="16"/>
              </w:rPr>
              <w:t>53</w:t>
            </w:r>
          </w:p>
        </w:tc>
        <w:tc>
          <w:tcPr>
            <w:tcW w:w="957" w:type="dxa"/>
            <w:shd w:val="pct10" w:color="auto" w:fill="auto"/>
          </w:tcPr>
          <w:p w14:paraId="4C60BBD9" w14:textId="77777777" w:rsidR="00E5596D" w:rsidRPr="00E5596D" w:rsidRDefault="00E5596D" w:rsidP="00E54F16">
            <w:pPr>
              <w:spacing w:before="20" w:after="20"/>
              <w:jc w:val="center"/>
              <w:rPr>
                <w:b/>
                <w:bCs/>
                <w:sz w:val="16"/>
                <w:szCs w:val="16"/>
              </w:rPr>
            </w:pPr>
            <w:r w:rsidRPr="00E5596D">
              <w:rPr>
                <w:b/>
                <w:bCs/>
                <w:sz w:val="16"/>
                <w:szCs w:val="16"/>
              </w:rPr>
              <w:t>918</w:t>
            </w:r>
          </w:p>
        </w:tc>
        <w:tc>
          <w:tcPr>
            <w:tcW w:w="742" w:type="dxa"/>
            <w:shd w:val="pct10" w:color="auto" w:fill="auto"/>
          </w:tcPr>
          <w:p w14:paraId="36134E7F" w14:textId="77777777" w:rsidR="00E5596D" w:rsidRPr="00E5596D" w:rsidRDefault="00E5596D" w:rsidP="00E54F16">
            <w:pPr>
              <w:spacing w:before="20" w:after="20"/>
              <w:jc w:val="center"/>
              <w:rPr>
                <w:b/>
                <w:bCs/>
                <w:sz w:val="16"/>
                <w:szCs w:val="16"/>
              </w:rPr>
            </w:pPr>
            <w:r w:rsidRPr="00E5596D">
              <w:rPr>
                <w:b/>
                <w:bCs/>
                <w:sz w:val="16"/>
                <w:szCs w:val="16"/>
              </w:rPr>
              <w:t>0</w:t>
            </w:r>
          </w:p>
        </w:tc>
        <w:tc>
          <w:tcPr>
            <w:tcW w:w="957" w:type="dxa"/>
            <w:shd w:val="pct10" w:color="auto" w:fill="auto"/>
          </w:tcPr>
          <w:p w14:paraId="1DB72FBC" w14:textId="77777777" w:rsidR="00E5596D" w:rsidRPr="00E5596D" w:rsidRDefault="00E5596D" w:rsidP="00E54F16">
            <w:pPr>
              <w:spacing w:before="20" w:after="20"/>
              <w:jc w:val="center"/>
              <w:rPr>
                <w:b/>
                <w:bCs/>
                <w:sz w:val="16"/>
                <w:szCs w:val="16"/>
              </w:rPr>
            </w:pPr>
            <w:r w:rsidRPr="00E5596D">
              <w:rPr>
                <w:b/>
                <w:bCs/>
                <w:sz w:val="16"/>
                <w:szCs w:val="16"/>
              </w:rPr>
              <w:t>0</w:t>
            </w:r>
          </w:p>
        </w:tc>
        <w:tc>
          <w:tcPr>
            <w:tcW w:w="742" w:type="dxa"/>
            <w:shd w:val="pct10" w:color="auto" w:fill="auto"/>
          </w:tcPr>
          <w:p w14:paraId="17AF11B9" w14:textId="77777777" w:rsidR="00E5596D" w:rsidRPr="00E5596D" w:rsidRDefault="00E5596D" w:rsidP="00E54F16">
            <w:pPr>
              <w:spacing w:before="20" w:after="20"/>
              <w:jc w:val="center"/>
              <w:rPr>
                <w:b/>
                <w:bCs/>
                <w:sz w:val="16"/>
                <w:szCs w:val="16"/>
              </w:rPr>
            </w:pPr>
            <w:r w:rsidRPr="00E5596D">
              <w:rPr>
                <w:b/>
                <w:bCs/>
                <w:sz w:val="16"/>
                <w:szCs w:val="16"/>
              </w:rPr>
              <w:t>110</w:t>
            </w:r>
          </w:p>
        </w:tc>
        <w:tc>
          <w:tcPr>
            <w:tcW w:w="957" w:type="dxa"/>
            <w:shd w:val="pct10" w:color="auto" w:fill="auto"/>
          </w:tcPr>
          <w:p w14:paraId="32479231" w14:textId="77777777" w:rsidR="00E5596D" w:rsidRPr="00E5596D" w:rsidRDefault="00E5596D" w:rsidP="00E54F16">
            <w:pPr>
              <w:spacing w:before="20" w:after="20"/>
              <w:jc w:val="center"/>
              <w:rPr>
                <w:b/>
                <w:bCs/>
                <w:sz w:val="16"/>
                <w:szCs w:val="16"/>
              </w:rPr>
            </w:pPr>
            <w:r w:rsidRPr="00E5596D">
              <w:rPr>
                <w:b/>
                <w:bCs/>
                <w:sz w:val="16"/>
                <w:szCs w:val="16"/>
              </w:rPr>
              <w:t>3 448</w:t>
            </w:r>
          </w:p>
        </w:tc>
      </w:tr>
    </w:tbl>
    <w:p w14:paraId="2D920D36" w14:textId="524FE013" w:rsidR="00E5596D" w:rsidRPr="00E5596D" w:rsidRDefault="00E5596D" w:rsidP="00E54F16">
      <w:pPr>
        <w:spacing w:before="240"/>
        <w:rPr>
          <w:rFonts w:eastAsiaTheme="minorEastAsia"/>
        </w:rPr>
      </w:pPr>
      <w:r w:rsidRPr="00E5596D">
        <w:rPr>
          <w:rFonts w:eastAsiaTheme="minorEastAsia"/>
        </w:rPr>
        <w:t>5.3</w:t>
      </w:r>
      <w:r w:rsidRPr="00E5596D">
        <w:rPr>
          <w:rFonts w:eastAsiaTheme="minorEastAsia"/>
        </w:rPr>
        <w:tab/>
        <w:t>Il convient de rappeler qu</w:t>
      </w:r>
      <w:r w:rsidR="00C24F45">
        <w:rPr>
          <w:rFonts w:eastAsiaTheme="minorEastAsia"/>
        </w:rPr>
        <w:t>'</w:t>
      </w:r>
      <w:r w:rsidRPr="00E5596D">
        <w:rPr>
          <w:rFonts w:eastAsiaTheme="minorEastAsia"/>
        </w:rPr>
        <w:t>en 2018, le Conseil de l</w:t>
      </w:r>
      <w:r w:rsidR="00C24F45">
        <w:rPr>
          <w:rFonts w:eastAsiaTheme="minorEastAsia"/>
        </w:rPr>
        <w:t>'</w:t>
      </w:r>
      <w:r w:rsidRPr="00E5596D">
        <w:rPr>
          <w:rFonts w:eastAsiaTheme="minorEastAsia"/>
        </w:rPr>
        <w:t>UIT a décidé d</w:t>
      </w:r>
      <w:r w:rsidR="00C24F45">
        <w:rPr>
          <w:rFonts w:eastAsiaTheme="minorEastAsia"/>
        </w:rPr>
        <w:t>'</w:t>
      </w:r>
      <w:r w:rsidRPr="00E5596D">
        <w:rPr>
          <w:rFonts w:eastAsiaTheme="minorEastAsia"/>
        </w:rPr>
        <w:t>affecter des ressources pour le financement de projets visant à mettre en œuvre les initiatives régionales de la CMDT-17. Pour la période 2018-2019, un montant de 2 millions CHF a été approuvé, et pour la période 2020</w:t>
      </w:r>
      <w:r w:rsidRPr="00E5596D">
        <w:rPr>
          <w:rFonts w:eastAsiaTheme="minorEastAsia"/>
        </w:rPr>
        <w:noBreakHyphen/>
        <w:t>2021, un montant additionnel de 3 millions CHF a été inscrit dans le Plan financier pour la période 2020</w:t>
      </w:r>
      <w:r w:rsidRPr="00E5596D">
        <w:rPr>
          <w:rFonts w:eastAsiaTheme="minorEastAsia"/>
        </w:rPr>
        <w:noBreakHyphen/>
        <w:t>2023. Ces fonds ont été alloués comme capital d</w:t>
      </w:r>
      <w:r w:rsidR="00C24F45">
        <w:rPr>
          <w:rFonts w:eastAsiaTheme="minorEastAsia"/>
        </w:rPr>
        <w:t>'</w:t>
      </w:r>
      <w:r w:rsidRPr="00E5596D">
        <w:rPr>
          <w:rFonts w:eastAsiaTheme="minorEastAsia"/>
        </w:rPr>
        <w:t xml:space="preserve">amorçage pour mobiliser des fonds auprès de partenaires. </w:t>
      </w:r>
      <w:bookmarkStart w:id="10" w:name="lt_pId110"/>
      <w:r w:rsidRPr="00E5596D">
        <w:rPr>
          <w:rFonts w:eastAsiaTheme="minorEastAsia"/>
        </w:rPr>
        <w:t>À la fin de</w:t>
      </w:r>
      <w:r w:rsidR="005E5087">
        <w:rPr>
          <w:rFonts w:eastAsiaTheme="minorEastAsia"/>
        </w:rPr>
        <w:t xml:space="preserve"> </w:t>
      </w:r>
      <w:r w:rsidRPr="00E5596D">
        <w:rPr>
          <w:rFonts w:eastAsiaTheme="minorEastAsia"/>
        </w:rPr>
        <w:t>2020, 25 projets au total avaient été signés dans le cadre de la mise en œuvre de ces initiatives, pour un monta</w:t>
      </w:r>
      <w:r w:rsidR="00E54F16">
        <w:rPr>
          <w:rFonts w:eastAsiaTheme="minorEastAsia"/>
        </w:rPr>
        <w:t>nt</w:t>
      </w:r>
      <w:r w:rsidRPr="00E5596D">
        <w:rPr>
          <w:rFonts w:eastAsiaTheme="minorEastAsia"/>
        </w:rPr>
        <w:t xml:space="preserve"> total de 14,6 millions CHF (y compris des contributions en nature). Ces projets</w:t>
      </w:r>
      <w:r w:rsidR="005E5087">
        <w:rPr>
          <w:rFonts w:eastAsiaTheme="minorEastAsia"/>
        </w:rPr>
        <w:t xml:space="preserve"> </w:t>
      </w:r>
      <w:r w:rsidRPr="00E5596D">
        <w:rPr>
          <w:rFonts w:eastAsiaTheme="minorEastAsia"/>
        </w:rPr>
        <w:t>concernent toutes les régions de l</w:t>
      </w:r>
      <w:r w:rsidR="00C24F45">
        <w:rPr>
          <w:rFonts w:eastAsiaTheme="minorEastAsia"/>
        </w:rPr>
        <w:t>'</w:t>
      </w:r>
      <w:r w:rsidRPr="00E5596D">
        <w:rPr>
          <w:rFonts w:eastAsiaTheme="minorEastAsia"/>
        </w:rPr>
        <w:t>UIT et</w:t>
      </w:r>
      <w:r w:rsidR="005E5087">
        <w:rPr>
          <w:rFonts w:eastAsiaTheme="minorEastAsia"/>
        </w:rPr>
        <w:t xml:space="preserve"> </w:t>
      </w:r>
      <w:r w:rsidRPr="00E5596D">
        <w:rPr>
          <w:rFonts w:eastAsiaTheme="minorEastAsia"/>
        </w:rPr>
        <w:t>plusieurs d</w:t>
      </w:r>
      <w:r w:rsidR="00C24F45">
        <w:rPr>
          <w:rFonts w:eastAsiaTheme="minorEastAsia"/>
        </w:rPr>
        <w:t>'</w:t>
      </w:r>
      <w:r w:rsidRPr="00E5596D">
        <w:rPr>
          <w:rFonts w:eastAsiaTheme="minorEastAsia"/>
        </w:rPr>
        <w:t>entre eux concernent plusieurs régions. La contribution de l</w:t>
      </w:r>
      <w:r w:rsidR="00C24F45">
        <w:rPr>
          <w:rFonts w:eastAsiaTheme="minorEastAsia"/>
        </w:rPr>
        <w:t>'</w:t>
      </w:r>
      <w:r w:rsidRPr="00E5596D">
        <w:rPr>
          <w:rFonts w:eastAsiaTheme="minorEastAsia"/>
        </w:rPr>
        <w:t>UIT provenant des ressources allouées par le Conseil</w:t>
      </w:r>
      <w:r w:rsidR="005E5087">
        <w:rPr>
          <w:rFonts w:eastAsiaTheme="minorEastAsia"/>
        </w:rPr>
        <w:t xml:space="preserve"> </w:t>
      </w:r>
      <w:r w:rsidRPr="00E5596D">
        <w:rPr>
          <w:rFonts w:eastAsiaTheme="minorEastAsia"/>
        </w:rPr>
        <w:t>pour le financement de ces projets a représenté 3,5 millions CHF. Les projets sont actuellement à différents stades de mise en œuvre. En outre, neuf nouveaux projets sont actuellement en voie de finalisation avec des partenaires et devraient être signés en 2021. La Directrice du BDT met tout en œuvre pour assurer une bonne coordination entre les initiatives et les programmes, les commissions d</w:t>
      </w:r>
      <w:r w:rsidR="00C24F45">
        <w:rPr>
          <w:rFonts w:eastAsiaTheme="minorEastAsia"/>
        </w:rPr>
        <w:t>'</w:t>
      </w:r>
      <w:r w:rsidRPr="00E5596D">
        <w:rPr>
          <w:rFonts w:eastAsiaTheme="minorEastAsia"/>
        </w:rPr>
        <w:t>études ainsi que les travaux des autres Secteurs, afin d</w:t>
      </w:r>
      <w:r w:rsidR="00C24F45">
        <w:rPr>
          <w:rFonts w:eastAsiaTheme="minorEastAsia"/>
        </w:rPr>
        <w:t>'</w:t>
      </w:r>
      <w:r w:rsidRPr="00E5596D">
        <w:rPr>
          <w:rFonts w:eastAsiaTheme="minorEastAsia"/>
        </w:rPr>
        <w:t>éviter toute fragmentation et d</w:t>
      </w:r>
      <w:r w:rsidR="00C24F45">
        <w:rPr>
          <w:rFonts w:eastAsiaTheme="minorEastAsia"/>
        </w:rPr>
        <w:t>'</w:t>
      </w:r>
      <w:r w:rsidRPr="00E5596D">
        <w:rPr>
          <w:rFonts w:eastAsiaTheme="minorEastAsia"/>
        </w:rPr>
        <w:t>optimiser les effets et les résultats.</w:t>
      </w:r>
      <w:bookmarkEnd w:id="10"/>
    </w:p>
    <w:p w14:paraId="57119FD1" w14:textId="1DA37C80" w:rsidR="00E5596D" w:rsidRPr="00E5596D" w:rsidRDefault="00E5596D" w:rsidP="00E54F16">
      <w:pPr>
        <w:rPr>
          <w:rFonts w:eastAsiaTheme="minorEastAsia"/>
        </w:rPr>
      </w:pPr>
      <w:r w:rsidRPr="00E5596D">
        <w:rPr>
          <w:rFonts w:eastAsiaTheme="minorEastAsia"/>
        </w:rPr>
        <w:t>5.4</w:t>
      </w:r>
      <w:r w:rsidRPr="00E5596D">
        <w:rPr>
          <w:rFonts w:eastAsiaTheme="minorEastAsia"/>
          <w:b/>
          <w:bCs/>
        </w:rPr>
        <w:tab/>
      </w:r>
      <w:bookmarkStart w:id="11" w:name="lt_pId113"/>
      <w:r w:rsidRPr="00E5596D">
        <w:rPr>
          <w:rFonts w:eastAsiaTheme="minorEastAsia"/>
        </w:rPr>
        <w:t>Les bureaux régionaux et les bureaux de zone ont contribué à la mise en œuvre du plan stratégique de l</w:t>
      </w:r>
      <w:r w:rsidR="00C24F45">
        <w:rPr>
          <w:rFonts w:eastAsiaTheme="minorEastAsia"/>
        </w:rPr>
        <w:t>'</w:t>
      </w:r>
      <w:r w:rsidRPr="00E5596D">
        <w:rPr>
          <w:rFonts w:eastAsiaTheme="minorEastAsia"/>
        </w:rPr>
        <w:t>UIT et du plan opérationnel de l</w:t>
      </w:r>
      <w:r w:rsidR="00C24F45">
        <w:rPr>
          <w:rFonts w:eastAsiaTheme="minorEastAsia"/>
        </w:rPr>
        <w:t>'</w:t>
      </w:r>
      <w:r w:rsidRPr="00E5596D">
        <w:rPr>
          <w:rFonts w:eastAsiaTheme="minorEastAsia"/>
        </w:rPr>
        <w:t>UIT-D. Les principaux résultats obtenus par région sont brièvement présentés dans l</w:t>
      </w:r>
      <w:r w:rsidR="00C24F45">
        <w:rPr>
          <w:rFonts w:eastAsiaTheme="minorEastAsia"/>
        </w:rPr>
        <w:t>'</w:t>
      </w:r>
      <w:r w:rsidRPr="00E5596D">
        <w:rPr>
          <w:rFonts w:eastAsiaTheme="minorEastAsia"/>
          <w:b/>
          <w:bCs/>
        </w:rPr>
        <w:t>Annexe 1</w:t>
      </w:r>
      <w:r w:rsidRPr="00E5596D">
        <w:rPr>
          <w:rFonts w:eastAsiaTheme="minorEastAsia"/>
        </w:rPr>
        <w:t>.</w:t>
      </w:r>
      <w:bookmarkEnd w:id="11"/>
    </w:p>
    <w:p w14:paraId="5A2CEE8A" w14:textId="77777777" w:rsidR="00E5596D" w:rsidRPr="00E5596D" w:rsidRDefault="00E5596D" w:rsidP="00E54F16">
      <w:pPr>
        <w:pStyle w:val="Heading1"/>
        <w:rPr>
          <w:rFonts w:eastAsiaTheme="minorEastAsia"/>
        </w:rPr>
      </w:pPr>
      <w:r w:rsidRPr="00E5596D">
        <w:rPr>
          <w:rFonts w:eastAsiaTheme="minorEastAsia"/>
        </w:rPr>
        <w:t>6</w:t>
      </w:r>
      <w:r w:rsidRPr="00E5596D">
        <w:rPr>
          <w:rFonts w:eastAsiaTheme="minorEastAsia"/>
        </w:rPr>
        <w:tab/>
        <w:t>Contributions aux travaux des autres Secteurs et du Secrétariat général</w:t>
      </w:r>
    </w:p>
    <w:p w14:paraId="08C80744" w14:textId="08896D41" w:rsidR="00E5596D" w:rsidRPr="00E5596D" w:rsidRDefault="00E5596D" w:rsidP="00E54F16">
      <w:pPr>
        <w:rPr>
          <w:rFonts w:eastAsiaTheme="minorEastAsia"/>
        </w:rPr>
      </w:pPr>
      <w:r w:rsidRPr="00E5596D">
        <w:rPr>
          <w:rFonts w:eastAsiaTheme="minorEastAsia"/>
        </w:rPr>
        <w:t>6.1</w:t>
      </w:r>
      <w:r w:rsidRPr="00E5596D">
        <w:rPr>
          <w:rFonts w:eastAsiaTheme="minorEastAsia"/>
        </w:rPr>
        <w:tab/>
        <w:t>Les bureaux régionaux et les bureaux de zone ont contribué à la mise en œuvre du plan stratégique de l</w:t>
      </w:r>
      <w:r w:rsidR="00C24F45">
        <w:rPr>
          <w:rFonts w:eastAsiaTheme="minorEastAsia"/>
        </w:rPr>
        <w:t>'</w:t>
      </w:r>
      <w:r w:rsidRPr="00E5596D">
        <w:rPr>
          <w:rFonts w:eastAsiaTheme="minorEastAsia"/>
        </w:rPr>
        <w:t>UIT ainsi que des plans opérationnels de l</w:t>
      </w:r>
      <w:r w:rsidR="00C24F45">
        <w:rPr>
          <w:rFonts w:eastAsiaTheme="minorEastAsia"/>
        </w:rPr>
        <w:t>'</w:t>
      </w:r>
      <w:r w:rsidRPr="00E5596D">
        <w:rPr>
          <w:rFonts w:eastAsiaTheme="minorEastAsia"/>
        </w:rPr>
        <w:t>UIT-R, de l</w:t>
      </w:r>
      <w:r w:rsidR="00C24F45">
        <w:rPr>
          <w:rFonts w:eastAsiaTheme="minorEastAsia"/>
        </w:rPr>
        <w:t>'</w:t>
      </w:r>
      <w:r w:rsidRPr="00E5596D">
        <w:rPr>
          <w:rFonts w:eastAsiaTheme="minorEastAsia"/>
        </w:rPr>
        <w:t>UIT-T et du Secrétariat général, comme indiqué dans l</w:t>
      </w:r>
      <w:r w:rsidR="00C24F45">
        <w:rPr>
          <w:rFonts w:eastAsiaTheme="minorEastAsia"/>
        </w:rPr>
        <w:t>'</w:t>
      </w:r>
      <w:r w:rsidRPr="00E5596D">
        <w:rPr>
          <w:rFonts w:eastAsiaTheme="minorEastAsia"/>
          <w:b/>
        </w:rPr>
        <w:t>Annexe 2</w:t>
      </w:r>
      <w:r w:rsidRPr="00E5596D">
        <w:rPr>
          <w:rFonts w:eastAsiaTheme="minorEastAsia"/>
        </w:rPr>
        <w:t>.</w:t>
      </w:r>
    </w:p>
    <w:p w14:paraId="7CCB7B17" w14:textId="77777777" w:rsidR="00E5596D" w:rsidRPr="00E5596D" w:rsidRDefault="00E5596D" w:rsidP="00530158">
      <w:pPr>
        <w:pStyle w:val="Heading1"/>
        <w:rPr>
          <w:rFonts w:eastAsiaTheme="minorEastAsia"/>
        </w:rPr>
      </w:pPr>
      <w:r w:rsidRPr="00E5596D">
        <w:rPr>
          <w:rFonts w:eastAsiaTheme="minorEastAsia"/>
        </w:rPr>
        <w:lastRenderedPageBreak/>
        <w:t>7</w:t>
      </w:r>
      <w:r w:rsidRPr="00E5596D">
        <w:rPr>
          <w:rFonts w:eastAsiaTheme="minorEastAsia"/>
        </w:rPr>
        <w:tab/>
        <w:t>Structure et effectifs</w:t>
      </w:r>
    </w:p>
    <w:p w14:paraId="253E14D2" w14:textId="12A657E3" w:rsidR="00E5596D" w:rsidRPr="00E5596D" w:rsidRDefault="00E5596D" w:rsidP="00530158">
      <w:pPr>
        <w:keepNext/>
        <w:keepLines/>
        <w:rPr>
          <w:rFonts w:eastAsiaTheme="minorEastAsia"/>
        </w:rPr>
      </w:pPr>
      <w:r w:rsidRPr="00E5596D">
        <w:rPr>
          <w:rFonts w:eastAsiaTheme="minorEastAsia"/>
        </w:rPr>
        <w:t>7.1</w:t>
      </w:r>
      <w:r w:rsidRPr="00E5596D">
        <w:rPr>
          <w:rFonts w:eastAsiaTheme="minorEastAsia"/>
        </w:rPr>
        <w:tab/>
        <w:t xml:space="preserve">Les Annexes 8 et 9 du </w:t>
      </w:r>
      <w:hyperlink r:id="rId23" w:history="1">
        <w:r w:rsidRPr="00E5596D">
          <w:rPr>
            <w:rFonts w:eastAsiaTheme="minorEastAsia"/>
          </w:rPr>
          <w:t xml:space="preserve">Document </w:t>
        </w:r>
        <w:r w:rsidRPr="00E5596D">
          <w:rPr>
            <w:rFonts w:eastAsiaTheme="minorEastAsia"/>
            <w:color w:val="0000FF"/>
            <w:u w:val="single"/>
          </w:rPr>
          <w:t>C21/INF/6</w:t>
        </w:r>
      </w:hyperlink>
      <w:r w:rsidRPr="00E5596D">
        <w:rPr>
          <w:rFonts w:eastAsiaTheme="minorEastAsia"/>
        </w:rPr>
        <w:t xml:space="preserve"> indiquent la </w:t>
      </w:r>
      <w:r w:rsidRPr="00E5596D">
        <w:rPr>
          <w:rFonts w:eastAsiaTheme="minorEastAsia"/>
          <w:color w:val="000000"/>
        </w:rPr>
        <w:t xml:space="preserve">répartition, fin 2020, des effectifs des bureaux régionaux et des bureaux de zone par grade, par région et par bureau. </w:t>
      </w:r>
      <w:r w:rsidRPr="00E5596D">
        <w:rPr>
          <w:rFonts w:eastAsiaTheme="minorEastAsia"/>
        </w:rPr>
        <w:t>La structure des différents bureaux régionaux et bureaux de zone ainsi que leurs effectifs tiennent compte, d</w:t>
      </w:r>
      <w:r w:rsidR="00C24F45">
        <w:rPr>
          <w:rFonts w:eastAsiaTheme="minorEastAsia"/>
        </w:rPr>
        <w:t>'</w:t>
      </w:r>
      <w:r w:rsidRPr="00E5596D">
        <w:rPr>
          <w:rFonts w:eastAsiaTheme="minorEastAsia"/>
        </w:rPr>
        <w:t>une part, des recommandations du Corps commun d</w:t>
      </w:r>
      <w:r w:rsidR="00C24F45">
        <w:rPr>
          <w:rFonts w:eastAsiaTheme="minorEastAsia"/>
        </w:rPr>
        <w:t>'</w:t>
      </w:r>
      <w:r w:rsidRPr="00E5596D">
        <w:rPr>
          <w:rFonts w:eastAsiaTheme="minorEastAsia"/>
        </w:rPr>
        <w:t>inspection des Nations Unies relatives aux moyens d</w:t>
      </w:r>
      <w:r w:rsidR="00C24F45">
        <w:rPr>
          <w:rFonts w:eastAsiaTheme="minorEastAsia"/>
        </w:rPr>
        <w:t>'</w:t>
      </w:r>
      <w:r w:rsidRPr="00E5596D">
        <w:rPr>
          <w:rFonts w:eastAsiaTheme="minorEastAsia"/>
        </w:rPr>
        <w:t>améliorer la présence régionale de l</w:t>
      </w:r>
      <w:r w:rsidR="00C24F45">
        <w:rPr>
          <w:rFonts w:eastAsiaTheme="minorEastAsia"/>
        </w:rPr>
        <w:t>'</w:t>
      </w:r>
      <w:r w:rsidRPr="00E5596D">
        <w:rPr>
          <w:rFonts w:eastAsiaTheme="minorEastAsia"/>
        </w:rPr>
        <w:t>UIT et, d</w:t>
      </w:r>
      <w:r w:rsidR="00C24F45">
        <w:rPr>
          <w:rFonts w:eastAsiaTheme="minorEastAsia"/>
        </w:rPr>
        <w:t>'</w:t>
      </w:r>
      <w:r w:rsidRPr="00E5596D">
        <w:rPr>
          <w:rFonts w:eastAsiaTheme="minorEastAsia"/>
        </w:rPr>
        <w:t xml:space="preserve">autre part, de la nécessité de mieux répondre aux attentes des membres. </w:t>
      </w:r>
      <w:proofErr w:type="gramStart"/>
      <w:r w:rsidRPr="00E5596D">
        <w:rPr>
          <w:rFonts w:eastAsiaTheme="minorEastAsia"/>
        </w:rPr>
        <w:t>Suite à</w:t>
      </w:r>
      <w:proofErr w:type="gramEnd"/>
      <w:r w:rsidRPr="00E5596D">
        <w:rPr>
          <w:rFonts w:eastAsiaTheme="minorEastAsia"/>
        </w:rPr>
        <w:t xml:space="preserve"> la décision prise par le Conseil, à sa session de 2018, de transformer le bureau de zone pour les pays de la CEI en bureau régional de l</w:t>
      </w:r>
      <w:r w:rsidR="00C24F45">
        <w:rPr>
          <w:rFonts w:eastAsiaTheme="minorEastAsia"/>
        </w:rPr>
        <w:t>'</w:t>
      </w:r>
      <w:r w:rsidRPr="00E5596D">
        <w:rPr>
          <w:rFonts w:eastAsiaTheme="minorEastAsia"/>
        </w:rPr>
        <w:t>UIT pour la CEI et de créer un poste de Directeur régional de grade D1, ce poste a été mis au concours dans un avis de vacance. La nouvelle Directrice régionale a pris ses fonctions en février 2020. En outre, le poste de Directeur du Bureau régional pour l</w:t>
      </w:r>
      <w:r w:rsidR="00C24F45">
        <w:rPr>
          <w:rFonts w:eastAsiaTheme="minorEastAsia"/>
        </w:rPr>
        <w:t>'</w:t>
      </w:r>
      <w:r w:rsidRPr="00E5596D">
        <w:rPr>
          <w:rFonts w:eastAsiaTheme="minorEastAsia"/>
        </w:rPr>
        <w:t>Asie-Pacifique est devenu vacant à la fin du mois de septembre 2019. Le poste a été publié. Une nouvelle Directrice a été nommée et a pris ses fonctions en avril 2020. Le recrutement du Directeur du Bureau régional pour les États arabes a</w:t>
      </w:r>
      <w:r w:rsidR="005E5087">
        <w:rPr>
          <w:rFonts w:eastAsiaTheme="minorEastAsia"/>
        </w:rPr>
        <w:t xml:space="preserve"> </w:t>
      </w:r>
      <w:r w:rsidRPr="00E5596D">
        <w:rPr>
          <w:rFonts w:eastAsiaTheme="minorEastAsia"/>
        </w:rPr>
        <w:t>également été mené à bien et le nouveau Directeur a pris ses fonctions en juin 2020.</w:t>
      </w:r>
    </w:p>
    <w:p w14:paraId="59B192AE" w14:textId="63029AA6" w:rsidR="00E5596D" w:rsidRPr="00E5596D" w:rsidRDefault="00E5596D" w:rsidP="00E54F16">
      <w:pPr>
        <w:rPr>
          <w:rFonts w:eastAsiaTheme="minorEastAsia"/>
        </w:rPr>
      </w:pPr>
      <w:r w:rsidRPr="00E5596D">
        <w:rPr>
          <w:rFonts w:eastAsiaTheme="minorEastAsia"/>
        </w:rPr>
        <w:t>7.2</w:t>
      </w:r>
      <w:r w:rsidRPr="00E5596D">
        <w:rPr>
          <w:rFonts w:eastAsiaTheme="minorEastAsia"/>
        </w:rPr>
        <w:tab/>
        <w:t>L</w:t>
      </w:r>
      <w:r w:rsidR="00C24F45">
        <w:rPr>
          <w:rFonts w:eastAsiaTheme="minorEastAsia"/>
        </w:rPr>
        <w:t>'</w:t>
      </w:r>
      <w:r w:rsidRPr="00E5596D">
        <w:rPr>
          <w:rFonts w:eastAsiaTheme="minorEastAsia"/>
        </w:rPr>
        <w:t>UIT s</w:t>
      </w:r>
      <w:r w:rsidR="00C24F45">
        <w:rPr>
          <w:rFonts w:eastAsiaTheme="minorEastAsia"/>
        </w:rPr>
        <w:t>'</w:t>
      </w:r>
      <w:r w:rsidRPr="00E5596D">
        <w:rPr>
          <w:rFonts w:eastAsiaTheme="minorEastAsia"/>
        </w:rPr>
        <w:t>appuie sur des réseaux d</w:t>
      </w:r>
      <w:r w:rsidR="00C24F45">
        <w:rPr>
          <w:rFonts w:eastAsiaTheme="minorEastAsia"/>
        </w:rPr>
        <w:t>'</w:t>
      </w:r>
      <w:r w:rsidRPr="00E5596D">
        <w:rPr>
          <w:rFonts w:eastAsiaTheme="minorEastAsia"/>
        </w:rPr>
        <w:t>experts très spécialisés pour continuer de renforcer les capacités des bureaux régionaux et des bureaux de zone dans certains domaines de spécialisation, en recrutant des experts techniques associés et du personnel d</w:t>
      </w:r>
      <w:r w:rsidR="00C24F45">
        <w:rPr>
          <w:rFonts w:eastAsiaTheme="minorEastAsia"/>
        </w:rPr>
        <w:t>'</w:t>
      </w:r>
      <w:r w:rsidRPr="00E5596D">
        <w:rPr>
          <w:rFonts w:eastAsiaTheme="minorEastAsia"/>
        </w:rPr>
        <w:t>appui au titre des initiatives et des projets régionaux. La possibilité de recruter de jeunes professionnels est actuellement à l</w:t>
      </w:r>
      <w:r w:rsidR="00C24F45">
        <w:rPr>
          <w:rFonts w:eastAsiaTheme="minorEastAsia"/>
        </w:rPr>
        <w:t>'</w:t>
      </w:r>
      <w:r w:rsidRPr="00E5596D">
        <w:rPr>
          <w:rFonts w:eastAsiaTheme="minorEastAsia"/>
        </w:rPr>
        <w:t xml:space="preserve">étude. </w:t>
      </w:r>
    </w:p>
    <w:p w14:paraId="0C55079D" w14:textId="76862CAB" w:rsidR="00E5596D" w:rsidRPr="00C24F45" w:rsidRDefault="00E5596D" w:rsidP="00E54F16">
      <w:pPr>
        <w:pStyle w:val="Heading1"/>
        <w:rPr>
          <w:rFonts w:eastAsiaTheme="minorEastAsia"/>
        </w:rPr>
      </w:pPr>
      <w:r w:rsidRPr="00E5596D">
        <w:rPr>
          <w:rFonts w:eastAsiaTheme="minorEastAsia"/>
        </w:rPr>
        <w:t>8</w:t>
      </w:r>
      <w:r w:rsidRPr="00E5596D">
        <w:rPr>
          <w:rFonts w:eastAsiaTheme="minorEastAsia"/>
        </w:rPr>
        <w:tab/>
        <w:t>Activités d</w:t>
      </w:r>
      <w:r w:rsidR="00C24F45" w:rsidRPr="00C24F45">
        <w:rPr>
          <w:rFonts w:eastAsiaTheme="minorEastAsia"/>
        </w:rPr>
        <w:t>'</w:t>
      </w:r>
      <w:r w:rsidRPr="00E5596D">
        <w:rPr>
          <w:rFonts w:eastAsiaTheme="minorEastAsia"/>
        </w:rPr>
        <w:t>appui à l</w:t>
      </w:r>
      <w:r w:rsidR="00C24F45" w:rsidRPr="00C24F45">
        <w:rPr>
          <w:rFonts w:eastAsiaTheme="minorEastAsia"/>
        </w:rPr>
        <w:t>'</w:t>
      </w:r>
      <w:r w:rsidRPr="00E5596D">
        <w:rPr>
          <w:rFonts w:eastAsiaTheme="minorEastAsia"/>
        </w:rPr>
        <w:t>autonomisation des bureaux régionaux et des bureaux de zone</w:t>
      </w:r>
    </w:p>
    <w:p w14:paraId="3511C2D1" w14:textId="3918423A" w:rsidR="00E5596D" w:rsidRPr="00E5596D" w:rsidRDefault="00E5596D" w:rsidP="00E54F16">
      <w:pPr>
        <w:rPr>
          <w:rFonts w:asciiTheme="minorHAnsi" w:eastAsiaTheme="minorEastAsia" w:hAnsiTheme="minorHAnsi"/>
          <w:szCs w:val="24"/>
        </w:rPr>
      </w:pPr>
      <w:bookmarkStart w:id="12" w:name="lt_pId131"/>
      <w:r w:rsidRPr="00E5596D">
        <w:rPr>
          <w:rFonts w:asciiTheme="minorHAnsi" w:eastAsiaTheme="minorEastAsia" w:hAnsiTheme="minorHAnsi"/>
          <w:szCs w:val="24"/>
        </w:rPr>
        <w:t>8.1</w:t>
      </w:r>
      <w:r w:rsidRPr="00E5596D">
        <w:rPr>
          <w:rFonts w:asciiTheme="minorHAnsi" w:eastAsiaTheme="minorEastAsia" w:hAnsiTheme="minorHAnsi"/>
          <w:szCs w:val="24"/>
        </w:rPr>
        <w:tab/>
        <w:t>Les activités d</w:t>
      </w:r>
      <w:r w:rsidR="00C24F45">
        <w:rPr>
          <w:rFonts w:asciiTheme="minorHAnsi" w:eastAsiaTheme="minorEastAsia" w:hAnsiTheme="minorHAnsi"/>
          <w:szCs w:val="24"/>
        </w:rPr>
        <w:t>'</w:t>
      </w:r>
      <w:r w:rsidRPr="00E5596D">
        <w:rPr>
          <w:rFonts w:asciiTheme="minorHAnsi" w:eastAsiaTheme="minorEastAsia" w:hAnsiTheme="minorHAnsi"/>
          <w:szCs w:val="24"/>
        </w:rPr>
        <w:t>appui menées en 2020 pour autonomiser les bureaux régionaux et les bureaux de zone sont présentées dans l</w:t>
      </w:r>
      <w:r w:rsidR="00C24F45">
        <w:rPr>
          <w:rFonts w:asciiTheme="minorHAnsi" w:eastAsiaTheme="minorEastAsia" w:hAnsiTheme="minorHAnsi"/>
          <w:szCs w:val="24"/>
        </w:rPr>
        <w:t>'</w:t>
      </w:r>
      <w:r w:rsidRPr="00E5596D">
        <w:rPr>
          <w:rFonts w:asciiTheme="minorHAnsi" w:eastAsiaTheme="minorEastAsia" w:hAnsiTheme="minorHAnsi"/>
          <w:b/>
          <w:bCs/>
          <w:szCs w:val="24"/>
        </w:rPr>
        <w:t>Annexe 3</w:t>
      </w:r>
      <w:r w:rsidRPr="00E5596D">
        <w:rPr>
          <w:rFonts w:asciiTheme="minorHAnsi" w:eastAsiaTheme="minorEastAsia" w:hAnsiTheme="minorHAnsi"/>
          <w:szCs w:val="24"/>
        </w:rPr>
        <w:t>.</w:t>
      </w:r>
      <w:bookmarkEnd w:id="12"/>
    </w:p>
    <w:p w14:paraId="056B88EC" w14:textId="77777777" w:rsidR="00E5596D" w:rsidRPr="00E5596D" w:rsidRDefault="00E5596D" w:rsidP="00E54F16">
      <w:pPr>
        <w:rPr>
          <w:rFonts w:asciiTheme="minorHAnsi" w:eastAsiaTheme="minorEastAsia" w:hAnsiTheme="minorHAnsi"/>
          <w:szCs w:val="24"/>
        </w:rPr>
      </w:pPr>
      <w:r w:rsidRPr="00E5596D">
        <w:rPr>
          <w:rFonts w:asciiTheme="minorHAnsi" w:eastAsiaTheme="minorEastAsia" w:hAnsiTheme="minorHAnsi"/>
          <w:szCs w:val="24"/>
        </w:rPr>
        <w:br w:type="page"/>
      </w:r>
    </w:p>
    <w:p w14:paraId="097073AB" w14:textId="77777777" w:rsidR="00E5596D" w:rsidRPr="00E5596D" w:rsidRDefault="00E5596D" w:rsidP="00E54F16">
      <w:pPr>
        <w:pStyle w:val="AppendixNo"/>
        <w:rPr>
          <w:rFonts w:eastAsiaTheme="minorEastAsia"/>
        </w:rPr>
      </w:pPr>
      <w:bookmarkStart w:id="13" w:name="appendice"/>
      <w:r w:rsidRPr="00E5596D">
        <w:rPr>
          <w:rFonts w:eastAsiaTheme="minorEastAsia"/>
        </w:rPr>
        <w:lastRenderedPageBreak/>
        <w:t>APPENDICE</w:t>
      </w:r>
    </w:p>
    <w:bookmarkEnd w:id="13"/>
    <w:p w14:paraId="3A1227DC" w14:textId="77777777" w:rsidR="00E5596D" w:rsidRPr="00E5596D" w:rsidRDefault="00E5596D" w:rsidP="00E54F16">
      <w:pPr>
        <w:pStyle w:val="ResNo"/>
        <w:spacing w:before="480"/>
        <w:rPr>
          <w:rFonts w:eastAsiaTheme="minorEastAsia"/>
        </w:rPr>
      </w:pPr>
      <w:r w:rsidRPr="00E5596D">
        <w:rPr>
          <w:rFonts w:eastAsiaTheme="minorEastAsia"/>
        </w:rPr>
        <w:t>d</w:t>
      </w:r>
      <w:r w:rsidRPr="00E5596D">
        <w:rPr>
          <w:rFonts w:eastAsiaTheme="minorEastAsia" w:cs="Calibri"/>
        </w:rPr>
        <w:t>É</w:t>
      </w:r>
      <w:r w:rsidRPr="00E5596D">
        <w:rPr>
          <w:rFonts w:eastAsiaTheme="minorEastAsia"/>
        </w:rPr>
        <w:t>cision 616</w:t>
      </w:r>
    </w:p>
    <w:p w14:paraId="658FFA5C" w14:textId="77777777" w:rsidR="00E5596D" w:rsidRPr="005E5087" w:rsidRDefault="00E5596D" w:rsidP="00E54F16">
      <w:pPr>
        <w:pStyle w:val="Restitle"/>
        <w:rPr>
          <w:rFonts w:eastAsiaTheme="minorEastAsia"/>
          <w:b w:val="0"/>
          <w:bCs/>
        </w:rPr>
      </w:pPr>
      <w:r w:rsidRPr="005E5087">
        <w:rPr>
          <w:rFonts w:eastAsiaTheme="minorEastAsia"/>
          <w:b w:val="0"/>
          <w:bCs/>
        </w:rPr>
        <w:t>(</w:t>
      </w:r>
      <w:proofErr w:type="gramStart"/>
      <w:r w:rsidRPr="005E5087">
        <w:rPr>
          <w:rFonts w:eastAsiaTheme="minorEastAsia"/>
          <w:b w:val="0"/>
          <w:bCs/>
        </w:rPr>
        <w:t>adoptée</w:t>
      </w:r>
      <w:proofErr w:type="gramEnd"/>
      <w:r w:rsidRPr="005E5087">
        <w:rPr>
          <w:rFonts w:eastAsiaTheme="minorEastAsia"/>
          <w:b w:val="0"/>
          <w:bCs/>
        </w:rPr>
        <w:t xml:space="preserve"> à la neuvième séance plénière)</w:t>
      </w:r>
    </w:p>
    <w:p w14:paraId="5F849AA6" w14:textId="77777777" w:rsidR="00E5596D" w:rsidRPr="00E5596D" w:rsidRDefault="00E5596D" w:rsidP="00E54F16">
      <w:pPr>
        <w:pStyle w:val="Restitle"/>
        <w:rPr>
          <w:rFonts w:eastAsiaTheme="minorEastAsia"/>
        </w:rPr>
      </w:pPr>
      <w:r w:rsidRPr="00E5596D">
        <w:rPr>
          <w:rFonts w:eastAsiaTheme="minorEastAsia"/>
        </w:rPr>
        <w:t>Présence régionale</w:t>
      </w:r>
    </w:p>
    <w:p w14:paraId="7D2DBC7A" w14:textId="77777777" w:rsidR="00E5596D" w:rsidRPr="00E5596D" w:rsidRDefault="00E5596D" w:rsidP="00E54F16">
      <w:pPr>
        <w:spacing w:before="360"/>
        <w:rPr>
          <w:rFonts w:asciiTheme="minorHAnsi" w:eastAsiaTheme="minorEastAsia" w:hAnsiTheme="minorHAnsi"/>
          <w:b/>
          <w:szCs w:val="24"/>
          <w:lang w:eastAsia="zh-CN"/>
        </w:rPr>
      </w:pPr>
      <w:bookmarkStart w:id="14" w:name="_Toc423505526"/>
      <w:bookmarkStart w:id="15" w:name="_Toc423505796"/>
      <w:bookmarkStart w:id="16" w:name="_Toc423506087"/>
      <w:bookmarkStart w:id="17" w:name="_Toc423507880"/>
      <w:bookmarkStart w:id="18" w:name="_Toc458425259"/>
      <w:bookmarkStart w:id="19" w:name="_Toc489534489"/>
      <w:r w:rsidRPr="00E5596D">
        <w:rPr>
          <w:rFonts w:eastAsiaTheme="minorEastAsia"/>
          <w:szCs w:val="24"/>
        </w:rPr>
        <w:t>Le Conseil,</w:t>
      </w:r>
    </w:p>
    <w:bookmarkEnd w:id="14"/>
    <w:bookmarkEnd w:id="15"/>
    <w:bookmarkEnd w:id="16"/>
    <w:bookmarkEnd w:id="17"/>
    <w:bookmarkEnd w:id="18"/>
    <w:bookmarkEnd w:id="19"/>
    <w:p w14:paraId="06BCBB44" w14:textId="77777777" w:rsidR="005E5087" w:rsidRPr="0010312B" w:rsidRDefault="005E5087" w:rsidP="00E54F16">
      <w:pPr>
        <w:pStyle w:val="Call"/>
      </w:pPr>
      <w:proofErr w:type="gramStart"/>
      <w:r w:rsidRPr="0010312B">
        <w:t>considérant</w:t>
      </w:r>
      <w:proofErr w:type="gramEnd"/>
    </w:p>
    <w:p w14:paraId="1168C326" w14:textId="77777777" w:rsidR="005E5087" w:rsidRPr="0010312B" w:rsidRDefault="005E5087" w:rsidP="004A457D">
      <w:pPr>
        <w:rPr>
          <w:szCs w:val="24"/>
        </w:rPr>
      </w:pPr>
      <w:r w:rsidRPr="0010312B">
        <w:rPr>
          <w:i/>
          <w:iCs/>
          <w:szCs w:val="24"/>
        </w:rPr>
        <w:t>a)</w:t>
      </w:r>
      <w:r w:rsidRPr="0010312B">
        <w:rPr>
          <w:szCs w:val="24"/>
        </w:rPr>
        <w:tab/>
        <w:t xml:space="preserve">la Résolution 25 (Rév. Dubaï, 2018) de la Conférence de </w:t>
      </w:r>
      <w:proofErr w:type="gramStart"/>
      <w:r w:rsidRPr="0010312B">
        <w:rPr>
          <w:szCs w:val="24"/>
        </w:rPr>
        <w:t>plénipotentiaires;</w:t>
      </w:r>
      <w:proofErr w:type="gramEnd"/>
    </w:p>
    <w:p w14:paraId="7B13390E" w14:textId="77777777" w:rsidR="005E5087" w:rsidRPr="0010312B" w:rsidRDefault="005E5087" w:rsidP="00722FED">
      <w:pPr>
        <w:rPr>
          <w:szCs w:val="24"/>
        </w:rPr>
      </w:pPr>
      <w:r w:rsidRPr="0010312B">
        <w:rPr>
          <w:i/>
          <w:iCs/>
          <w:szCs w:val="24"/>
        </w:rPr>
        <w:t>b)</w:t>
      </w:r>
      <w:r w:rsidRPr="0010312B">
        <w:rPr>
          <w:szCs w:val="24"/>
        </w:rPr>
        <w:tab/>
        <w:t xml:space="preserve">les rapports du Vérificateur extérieur des comptes, de l'Auditeur interne et du Comité consultatif indépendant pour les questions de gestion sur le cas de fraude dans le Bureau régional, soumis à la session de </w:t>
      </w:r>
      <w:proofErr w:type="gramStart"/>
      <w:r w:rsidRPr="0010312B">
        <w:rPr>
          <w:szCs w:val="24"/>
        </w:rPr>
        <w:t>2019;</w:t>
      </w:r>
      <w:proofErr w:type="gramEnd"/>
    </w:p>
    <w:p w14:paraId="2B80CD64" w14:textId="1148D6AE" w:rsidR="005E5087" w:rsidRPr="0010312B" w:rsidRDefault="005E5087" w:rsidP="00E54F16">
      <w:r w:rsidRPr="0010312B">
        <w:rPr>
          <w:i/>
          <w:iCs/>
          <w:szCs w:val="24"/>
        </w:rPr>
        <w:t>c)</w:t>
      </w:r>
      <w:r w:rsidRPr="0010312B">
        <w:rPr>
          <w:szCs w:val="24"/>
        </w:rPr>
        <w:tab/>
        <w:t xml:space="preserve">le </w:t>
      </w:r>
      <w:hyperlink r:id="rId24" w:history="1">
        <w:r w:rsidRPr="0010312B">
          <w:rPr>
            <w:rStyle w:val="Hyperlink"/>
            <w:szCs w:val="24"/>
          </w:rPr>
          <w:t>Document C19/25(Rév.2)</w:t>
        </w:r>
      </w:hyperlink>
      <w:r w:rsidRPr="0010312B">
        <w:rPr>
          <w:szCs w:val="24"/>
        </w:rPr>
        <w:t>, qui rend compte de la mise en œuvre de la Résolution</w:t>
      </w:r>
      <w:r>
        <w:rPr>
          <w:szCs w:val="24"/>
        </w:rPr>
        <w:t xml:space="preserve"> </w:t>
      </w:r>
      <w:r w:rsidRPr="0010312B">
        <w:rPr>
          <w:szCs w:val="24"/>
        </w:rPr>
        <w:t>25 (Rév. Dubaï, 2018) sur le renforcement de la présence régionale,</w:t>
      </w:r>
    </w:p>
    <w:p w14:paraId="0754402F" w14:textId="77777777" w:rsidR="005E5087" w:rsidRPr="0010312B" w:rsidRDefault="005E5087" w:rsidP="00E54F16">
      <w:pPr>
        <w:pStyle w:val="Call"/>
      </w:pPr>
      <w:proofErr w:type="gramStart"/>
      <w:r w:rsidRPr="0010312B">
        <w:t>réaffirmant</w:t>
      </w:r>
      <w:proofErr w:type="gramEnd"/>
    </w:p>
    <w:p w14:paraId="462F1028" w14:textId="77777777" w:rsidR="005E5087" w:rsidRPr="0010312B" w:rsidRDefault="005E5087" w:rsidP="00E54F16">
      <w:r w:rsidRPr="0010312B">
        <w:rPr>
          <w:i/>
          <w:iCs/>
        </w:rPr>
        <w:t>a)</w:t>
      </w:r>
      <w:r w:rsidRPr="0010312B">
        <w:tab/>
        <w:t>l'importance de la présence régionale dans l'accomplissement de la mission de développement de </w:t>
      </w:r>
      <w:proofErr w:type="gramStart"/>
      <w:r w:rsidRPr="0010312B">
        <w:t>l'UIT;</w:t>
      </w:r>
      <w:proofErr w:type="gramEnd"/>
    </w:p>
    <w:p w14:paraId="168BBA81" w14:textId="77777777" w:rsidR="005E5087" w:rsidRPr="0010312B" w:rsidRDefault="005E5087" w:rsidP="00E54F16">
      <w:r w:rsidRPr="0010312B">
        <w:rPr>
          <w:i/>
          <w:iCs/>
        </w:rPr>
        <w:t>b)</w:t>
      </w:r>
      <w:r w:rsidRPr="0010312B">
        <w:tab/>
        <w:t>la nécessité de renforcer la présence régionale en accroissant l'utilité et l'efficacité des bureaux régionaux pour englober toutes les activités de l'UIT,</w:t>
      </w:r>
    </w:p>
    <w:p w14:paraId="097EB6E4" w14:textId="77777777" w:rsidR="005E5087" w:rsidRPr="0010312B" w:rsidRDefault="005E5087" w:rsidP="00E54F16">
      <w:pPr>
        <w:pStyle w:val="Call"/>
      </w:pPr>
      <w:proofErr w:type="gramStart"/>
      <w:r w:rsidRPr="0010312B">
        <w:t>décide</w:t>
      </w:r>
      <w:proofErr w:type="gramEnd"/>
      <w:r w:rsidRPr="0010312B">
        <w:t xml:space="preserve"> de charger le Secrétaire général</w:t>
      </w:r>
    </w:p>
    <w:p w14:paraId="5D3AFC01" w14:textId="77777777" w:rsidR="005E5087" w:rsidRPr="0010312B" w:rsidRDefault="005E5087" w:rsidP="00E54F16">
      <w:pPr>
        <w:rPr>
          <w:szCs w:val="24"/>
        </w:rPr>
      </w:pPr>
      <w:proofErr w:type="gramStart"/>
      <w:r w:rsidRPr="0010312B">
        <w:rPr>
          <w:szCs w:val="24"/>
        </w:rPr>
        <w:t>de</w:t>
      </w:r>
      <w:proofErr w:type="gramEnd"/>
      <w:r w:rsidRPr="0010312B">
        <w:rPr>
          <w:szCs w:val="24"/>
        </w:rPr>
        <w:t xml:space="preserve"> faire appel aux services d'un cabinet de conseil en gestion externe indépendant, chargé de procéder à une évaluation et à un examen détaillés sur le plan des programmes, des stratégies et des finances de la présence régionale de l'UIT, conformément au cahier des charges énoncé dans l'Annexe, compte tenu des contributions des membres de l'UIT, et de présenter au Conseil, à sa session de 2021, un rapport contenant des recommandations, pour suite à donner,</w:t>
      </w:r>
    </w:p>
    <w:p w14:paraId="3AE28E87" w14:textId="77777777" w:rsidR="005E5087" w:rsidRPr="0010312B" w:rsidRDefault="005E5087" w:rsidP="00E54F16">
      <w:pPr>
        <w:pStyle w:val="Call"/>
      </w:pPr>
      <w:proofErr w:type="gramStart"/>
      <w:r w:rsidRPr="0010312B">
        <w:t>décide</w:t>
      </w:r>
      <w:proofErr w:type="gramEnd"/>
      <w:r w:rsidRPr="0010312B">
        <w:t xml:space="preserve"> en outre</w:t>
      </w:r>
    </w:p>
    <w:p w14:paraId="2082948E" w14:textId="77777777" w:rsidR="005E5087" w:rsidRPr="0010312B" w:rsidRDefault="005E5087" w:rsidP="00E54F16">
      <w:pPr>
        <w:rPr>
          <w:szCs w:val="24"/>
        </w:rPr>
      </w:pPr>
      <w:proofErr w:type="gramStart"/>
      <w:r w:rsidRPr="0010312B">
        <w:rPr>
          <w:szCs w:val="24"/>
        </w:rPr>
        <w:t>que</w:t>
      </w:r>
      <w:proofErr w:type="gramEnd"/>
      <w:r w:rsidRPr="0010312B">
        <w:rPr>
          <w:szCs w:val="24"/>
        </w:rPr>
        <w:t xml:space="preserve"> la provision pour la rémunération du cabinet de conseil en gestion externe indépendant ne dépassera pas </w:t>
      </w:r>
      <w:r w:rsidRPr="0010312B">
        <w:rPr>
          <w:rFonts w:cs="Calibri"/>
          <w:szCs w:val="24"/>
        </w:rPr>
        <w:t xml:space="preserve">500 000 CHF </w:t>
      </w:r>
      <w:r w:rsidRPr="0010312B">
        <w:rPr>
          <w:rFonts w:cs="Calibri"/>
          <w:color w:val="000000"/>
          <w:szCs w:val="24"/>
        </w:rPr>
        <w:t xml:space="preserve">et que les honoraires dudit cabinet seront financés à l'aide des excédents liés à l'exécution du budget </w:t>
      </w:r>
      <w:r w:rsidRPr="0010312B">
        <w:rPr>
          <w:szCs w:val="24"/>
        </w:rPr>
        <w:t>2019.</w:t>
      </w:r>
    </w:p>
    <w:p w14:paraId="7F8C0DC6" w14:textId="77777777" w:rsidR="00E5596D" w:rsidRPr="00E5596D" w:rsidRDefault="00E5596D" w:rsidP="00E54F16">
      <w:pPr>
        <w:spacing w:before="1800"/>
        <w:rPr>
          <w:rFonts w:eastAsiaTheme="minorEastAsia"/>
          <w:szCs w:val="24"/>
        </w:rPr>
      </w:pPr>
      <w:proofErr w:type="gramStart"/>
      <w:r w:rsidRPr="00E5596D">
        <w:rPr>
          <w:rFonts w:eastAsiaTheme="minorEastAsia"/>
          <w:b/>
          <w:bCs/>
          <w:szCs w:val="24"/>
        </w:rPr>
        <w:t>Annexe</w:t>
      </w:r>
      <w:r w:rsidRPr="00E5596D">
        <w:rPr>
          <w:rFonts w:eastAsiaTheme="minorEastAsia"/>
          <w:szCs w:val="24"/>
        </w:rPr>
        <w:t>:</w:t>
      </w:r>
      <w:proofErr w:type="gramEnd"/>
      <w:r w:rsidRPr="00E5596D">
        <w:rPr>
          <w:rFonts w:eastAsiaTheme="minorEastAsia"/>
          <w:szCs w:val="24"/>
        </w:rPr>
        <w:t xml:space="preserve"> 1</w:t>
      </w:r>
    </w:p>
    <w:p w14:paraId="3AF96ECC" w14:textId="77777777" w:rsidR="00E5596D" w:rsidRPr="00E5596D" w:rsidRDefault="00E5596D" w:rsidP="00E54F16">
      <w:pPr>
        <w:spacing w:before="720"/>
        <w:jc w:val="center"/>
        <w:rPr>
          <w:rFonts w:eastAsiaTheme="minorEastAsia"/>
          <w:caps/>
          <w:sz w:val="28"/>
        </w:rPr>
      </w:pPr>
      <w:r w:rsidRPr="00E5596D">
        <w:rPr>
          <w:rFonts w:eastAsiaTheme="minorEastAsia"/>
          <w:caps/>
          <w:sz w:val="28"/>
        </w:rPr>
        <w:br w:type="page"/>
      </w:r>
    </w:p>
    <w:p w14:paraId="0E1C6A58" w14:textId="77777777" w:rsidR="00E5596D" w:rsidRPr="00E5596D" w:rsidRDefault="00E5596D" w:rsidP="00E54F16">
      <w:pPr>
        <w:pStyle w:val="AnnexNo"/>
        <w:rPr>
          <w:rFonts w:eastAsiaTheme="minorEastAsia"/>
        </w:rPr>
      </w:pPr>
      <w:r w:rsidRPr="00E5596D">
        <w:rPr>
          <w:rFonts w:eastAsiaTheme="minorEastAsia"/>
        </w:rPr>
        <w:lastRenderedPageBreak/>
        <w:t>annexe</w:t>
      </w:r>
    </w:p>
    <w:p w14:paraId="73286A76" w14:textId="63B9496C" w:rsidR="00E5596D" w:rsidRPr="00E5596D" w:rsidRDefault="00E5596D" w:rsidP="00E54F16">
      <w:pPr>
        <w:pStyle w:val="Annextitle"/>
        <w:rPr>
          <w:rFonts w:eastAsiaTheme="minorEastAsia"/>
        </w:rPr>
      </w:pPr>
      <w:r w:rsidRPr="00E5596D">
        <w:rPr>
          <w:rFonts w:eastAsiaTheme="minorEastAsia"/>
        </w:rPr>
        <w:t xml:space="preserve">Cahier des charges pour un consultant externe chargé </w:t>
      </w:r>
      <w:r w:rsidRPr="00E5596D">
        <w:rPr>
          <w:rFonts w:eastAsiaTheme="minorEastAsia"/>
        </w:rPr>
        <w:br/>
        <w:t>d</w:t>
      </w:r>
      <w:r w:rsidR="00C24F45">
        <w:rPr>
          <w:rFonts w:eastAsiaTheme="minorEastAsia"/>
        </w:rPr>
        <w:t>'</w:t>
      </w:r>
      <w:r w:rsidRPr="00E5596D">
        <w:rPr>
          <w:rFonts w:eastAsiaTheme="minorEastAsia"/>
        </w:rPr>
        <w:t>examiner la présence régionale de l</w:t>
      </w:r>
      <w:r w:rsidR="00C24F45">
        <w:rPr>
          <w:rFonts w:eastAsiaTheme="minorEastAsia"/>
        </w:rPr>
        <w:t>'</w:t>
      </w:r>
      <w:r w:rsidRPr="00E5596D">
        <w:rPr>
          <w:rFonts w:eastAsiaTheme="minorEastAsia"/>
        </w:rPr>
        <w:t>UIT</w:t>
      </w:r>
    </w:p>
    <w:p w14:paraId="70892F6B" w14:textId="77777777" w:rsidR="00E5596D" w:rsidRPr="00E5596D" w:rsidRDefault="00E5596D" w:rsidP="00E54F16">
      <w:pPr>
        <w:pStyle w:val="Heading1"/>
        <w:rPr>
          <w:rFonts w:eastAsiaTheme="minorEastAsia"/>
        </w:rPr>
      </w:pPr>
      <w:bookmarkStart w:id="20" w:name="lt_pId134"/>
      <w:r w:rsidRPr="00E5596D">
        <w:rPr>
          <w:rFonts w:eastAsiaTheme="minorEastAsia"/>
        </w:rPr>
        <w:t>1</w:t>
      </w:r>
      <w:r w:rsidRPr="00E5596D">
        <w:rPr>
          <w:rFonts w:eastAsiaTheme="minorEastAsia"/>
        </w:rPr>
        <w:tab/>
      </w:r>
      <w:bookmarkEnd w:id="20"/>
      <w:r w:rsidRPr="00E5596D">
        <w:rPr>
          <w:rFonts w:eastAsiaTheme="minorEastAsia"/>
        </w:rPr>
        <w:t>Objectif</w:t>
      </w:r>
    </w:p>
    <w:p w14:paraId="59ED1421" w14:textId="527F3E81" w:rsidR="00E5596D" w:rsidRPr="00E5596D" w:rsidRDefault="00E5596D" w:rsidP="00E54F16">
      <w:pPr>
        <w:rPr>
          <w:rFonts w:eastAsiaTheme="minorEastAsia"/>
        </w:rPr>
      </w:pPr>
      <w:bookmarkStart w:id="21" w:name="lt_pId135"/>
      <w:r w:rsidRPr="00E5596D">
        <w:rPr>
          <w:rFonts w:eastAsiaTheme="minorEastAsia"/>
        </w:rPr>
        <w:t>L</w:t>
      </w:r>
      <w:r w:rsidR="00C24F45">
        <w:rPr>
          <w:rFonts w:eastAsiaTheme="minorEastAsia"/>
        </w:rPr>
        <w:t>'</w:t>
      </w:r>
      <w:r w:rsidRPr="00E5596D">
        <w:rPr>
          <w:rFonts w:eastAsiaTheme="minorEastAsia"/>
        </w:rPr>
        <w:t>UIT se propose de procéder à un examen de la présence régionale, conformément aux prescriptions et aux dispositions de la Résolution 25 (Rév. Dubaï, 2018).</w:t>
      </w:r>
      <w:bookmarkEnd w:id="21"/>
    </w:p>
    <w:p w14:paraId="772A245B" w14:textId="382FFFF4" w:rsidR="00E5596D" w:rsidRPr="00E5596D" w:rsidRDefault="00E5596D" w:rsidP="00E54F16">
      <w:pPr>
        <w:rPr>
          <w:rFonts w:eastAsiaTheme="minorEastAsia"/>
        </w:rPr>
      </w:pPr>
      <w:r w:rsidRPr="00E5596D">
        <w:rPr>
          <w:rFonts w:eastAsiaTheme="minorEastAsia"/>
        </w:rPr>
        <w:t>Dans cette optique, il est vital d</w:t>
      </w:r>
      <w:r w:rsidR="00C24F45">
        <w:rPr>
          <w:rFonts w:eastAsiaTheme="minorEastAsia"/>
        </w:rPr>
        <w:t>'</w:t>
      </w:r>
      <w:r w:rsidRPr="00E5596D">
        <w:rPr>
          <w:rFonts w:eastAsiaTheme="minorEastAsia"/>
        </w:rPr>
        <w:t>évaluer si l</w:t>
      </w:r>
      <w:r w:rsidR="00C24F45">
        <w:rPr>
          <w:rFonts w:eastAsiaTheme="minorEastAsia"/>
        </w:rPr>
        <w:t>'</w:t>
      </w:r>
      <w:r w:rsidRPr="00E5596D">
        <w:rPr>
          <w:rFonts w:eastAsiaTheme="minorEastAsia"/>
        </w:rPr>
        <w:t>organisation et le fonctionnement des bureaux hors siège contribuent réellement à faire en sorte que l</w:t>
      </w:r>
      <w:r w:rsidR="00C24F45">
        <w:rPr>
          <w:rFonts w:eastAsiaTheme="minorEastAsia"/>
        </w:rPr>
        <w:t>'</w:t>
      </w:r>
      <w:r w:rsidRPr="00E5596D">
        <w:rPr>
          <w:rFonts w:eastAsiaTheme="minorEastAsia"/>
        </w:rPr>
        <w:t>UIT, grâce à ses activités institutionnelles, soit plus proche de ses membres.</w:t>
      </w:r>
    </w:p>
    <w:p w14:paraId="26C1A641" w14:textId="7E9C9B4C" w:rsidR="00E5596D" w:rsidRPr="00E5596D" w:rsidRDefault="00E5596D" w:rsidP="00E54F16">
      <w:pPr>
        <w:rPr>
          <w:rFonts w:eastAsiaTheme="minorEastAsia"/>
        </w:rPr>
      </w:pPr>
      <w:bookmarkStart w:id="22" w:name="lt_pId137"/>
      <w:r w:rsidRPr="00E5596D">
        <w:rPr>
          <w:rFonts w:eastAsiaTheme="minorEastAsia"/>
        </w:rPr>
        <w:t>L</w:t>
      </w:r>
      <w:r w:rsidR="00C24F45">
        <w:rPr>
          <w:rFonts w:eastAsiaTheme="minorEastAsia"/>
        </w:rPr>
        <w:t>'</w:t>
      </w:r>
      <w:r w:rsidRPr="00E5596D">
        <w:rPr>
          <w:rFonts w:eastAsiaTheme="minorEastAsia"/>
        </w:rPr>
        <w:t>objectif de cet examen est d</w:t>
      </w:r>
      <w:r w:rsidR="00C24F45">
        <w:rPr>
          <w:rFonts w:eastAsiaTheme="minorEastAsia"/>
        </w:rPr>
        <w:t>'</w:t>
      </w:r>
      <w:r w:rsidRPr="00E5596D">
        <w:rPr>
          <w:rFonts w:eastAsiaTheme="minorEastAsia"/>
        </w:rPr>
        <w:t>élaborer et de mettre en œuvre un plan d</w:t>
      </w:r>
      <w:r w:rsidR="00C24F45">
        <w:rPr>
          <w:rFonts w:eastAsiaTheme="minorEastAsia"/>
        </w:rPr>
        <w:t>'</w:t>
      </w:r>
      <w:r w:rsidRPr="00E5596D">
        <w:rPr>
          <w:rFonts w:eastAsiaTheme="minorEastAsia"/>
        </w:rPr>
        <w:t xml:space="preserve">action qui </w:t>
      </w:r>
      <w:proofErr w:type="gramStart"/>
      <w:r w:rsidRPr="00E5596D">
        <w:rPr>
          <w:rFonts w:eastAsiaTheme="minorEastAsia"/>
        </w:rPr>
        <w:t>permettra:</w:t>
      </w:r>
      <w:bookmarkEnd w:id="22"/>
      <w:proofErr w:type="gramEnd"/>
    </w:p>
    <w:p w14:paraId="6E13D45E" w14:textId="3570EFA3" w:rsidR="00E5596D" w:rsidRPr="00E5596D" w:rsidRDefault="00E5596D" w:rsidP="00E54F16">
      <w:pPr>
        <w:pStyle w:val="enumlev1"/>
        <w:rPr>
          <w:rFonts w:eastAsiaTheme="minorEastAsia"/>
        </w:rPr>
      </w:pPr>
      <w:r w:rsidRPr="00E5596D">
        <w:rPr>
          <w:rFonts w:eastAsiaTheme="minorEastAsia"/>
        </w:rPr>
        <w:t>a)</w:t>
      </w:r>
      <w:r w:rsidRPr="00E5596D">
        <w:rPr>
          <w:rFonts w:eastAsiaTheme="minorEastAsia"/>
        </w:rPr>
        <w:tab/>
        <w:t>d</w:t>
      </w:r>
      <w:r w:rsidR="00C24F45">
        <w:rPr>
          <w:rFonts w:eastAsiaTheme="minorEastAsia"/>
        </w:rPr>
        <w:t>'</w:t>
      </w:r>
      <w:r w:rsidRPr="00E5596D">
        <w:rPr>
          <w:rFonts w:eastAsiaTheme="minorEastAsia"/>
        </w:rPr>
        <w:t xml:space="preserve">être à même de mesurer les résultats obtenus par un bureau régional (RO) grâce au nouvel ensemble de </w:t>
      </w:r>
      <w:proofErr w:type="gramStart"/>
      <w:r w:rsidRPr="00E5596D">
        <w:rPr>
          <w:rFonts w:eastAsiaTheme="minorEastAsia"/>
        </w:rPr>
        <w:t>règles;</w:t>
      </w:r>
      <w:proofErr w:type="gramEnd"/>
    </w:p>
    <w:p w14:paraId="09C7024D" w14:textId="10600B16" w:rsidR="00E5596D" w:rsidRPr="00E5596D" w:rsidRDefault="00E5596D" w:rsidP="00E54F16">
      <w:pPr>
        <w:pStyle w:val="enumlev1"/>
        <w:rPr>
          <w:rFonts w:eastAsiaTheme="minorEastAsia"/>
        </w:rPr>
      </w:pPr>
      <w:r w:rsidRPr="00E5596D">
        <w:rPr>
          <w:rFonts w:eastAsiaTheme="minorEastAsia"/>
        </w:rPr>
        <w:t>b)</w:t>
      </w:r>
      <w:r w:rsidRPr="00E5596D">
        <w:rPr>
          <w:rFonts w:eastAsiaTheme="minorEastAsia"/>
        </w:rPr>
        <w:tab/>
        <w:t>d</w:t>
      </w:r>
      <w:r w:rsidR="00C24F45">
        <w:rPr>
          <w:rFonts w:eastAsiaTheme="minorEastAsia"/>
        </w:rPr>
        <w:t>'</w:t>
      </w:r>
      <w:r w:rsidRPr="00E5596D">
        <w:rPr>
          <w:rFonts w:eastAsiaTheme="minorEastAsia"/>
        </w:rPr>
        <w:t>élaborer une procédure de gestion des risques d</w:t>
      </w:r>
      <w:r w:rsidR="00C24F45">
        <w:rPr>
          <w:rFonts w:eastAsiaTheme="minorEastAsia"/>
        </w:rPr>
        <w:t>'</w:t>
      </w:r>
      <w:r w:rsidRPr="00E5596D">
        <w:rPr>
          <w:rFonts w:eastAsiaTheme="minorEastAsia"/>
        </w:rPr>
        <w:t>entreprise (ERM) efficace, comprenant l</w:t>
      </w:r>
      <w:r w:rsidR="00C24F45">
        <w:rPr>
          <w:rFonts w:eastAsiaTheme="minorEastAsia"/>
        </w:rPr>
        <w:t>'</w:t>
      </w:r>
      <w:r w:rsidRPr="00E5596D">
        <w:rPr>
          <w:rFonts w:eastAsiaTheme="minorEastAsia"/>
        </w:rPr>
        <w:t xml:space="preserve">évaluation des risques (RA) liés aux activités menées au niveau des bureaux </w:t>
      </w:r>
      <w:proofErr w:type="gramStart"/>
      <w:r w:rsidRPr="00E5596D">
        <w:rPr>
          <w:rFonts w:eastAsiaTheme="minorEastAsia"/>
        </w:rPr>
        <w:t>régionaux;</w:t>
      </w:r>
      <w:proofErr w:type="gramEnd"/>
    </w:p>
    <w:p w14:paraId="32B00A08" w14:textId="77777777" w:rsidR="00E5596D" w:rsidRPr="00E5596D" w:rsidRDefault="00E5596D" w:rsidP="00E54F16">
      <w:pPr>
        <w:pStyle w:val="enumlev1"/>
        <w:rPr>
          <w:rFonts w:eastAsiaTheme="minorEastAsia"/>
        </w:rPr>
      </w:pPr>
      <w:r w:rsidRPr="00E5596D">
        <w:rPr>
          <w:rFonts w:eastAsiaTheme="minorEastAsia"/>
        </w:rPr>
        <w:t>c)</w:t>
      </w:r>
      <w:r w:rsidRPr="00E5596D">
        <w:rPr>
          <w:rFonts w:eastAsiaTheme="minorEastAsia"/>
        </w:rPr>
        <w:tab/>
        <w:t xml:space="preserve">de mettre au point des instruments propres à favoriser une coordination efficace entre le siège et les bureaux </w:t>
      </w:r>
      <w:proofErr w:type="gramStart"/>
      <w:r w:rsidRPr="00E5596D">
        <w:rPr>
          <w:rFonts w:eastAsiaTheme="minorEastAsia"/>
        </w:rPr>
        <w:t>régionaux;</w:t>
      </w:r>
      <w:proofErr w:type="gramEnd"/>
    </w:p>
    <w:p w14:paraId="267DA861" w14:textId="77777777" w:rsidR="00E5596D" w:rsidRPr="00E5596D" w:rsidRDefault="00E5596D" w:rsidP="00E54F16">
      <w:pPr>
        <w:pStyle w:val="enumlev1"/>
        <w:rPr>
          <w:rFonts w:eastAsiaTheme="minorEastAsia"/>
        </w:rPr>
      </w:pPr>
      <w:r w:rsidRPr="00E5596D">
        <w:rPr>
          <w:rFonts w:eastAsiaTheme="minorEastAsia"/>
        </w:rPr>
        <w:t>d)</w:t>
      </w:r>
      <w:r w:rsidRPr="00E5596D">
        <w:rPr>
          <w:rFonts w:eastAsiaTheme="minorEastAsia"/>
        </w:rPr>
        <w:tab/>
        <w:t xml:space="preserve">de faire en sorte que les bureaux régionaux respectent les règles et les procédures publiées par le siège concernant la gestion financière, les projets et la passation des </w:t>
      </w:r>
      <w:proofErr w:type="gramStart"/>
      <w:r w:rsidRPr="00E5596D">
        <w:rPr>
          <w:rFonts w:eastAsiaTheme="minorEastAsia"/>
        </w:rPr>
        <w:t>marchés;</w:t>
      </w:r>
      <w:proofErr w:type="gramEnd"/>
    </w:p>
    <w:p w14:paraId="3DB1520D" w14:textId="22FF160C" w:rsidR="00E5596D" w:rsidRPr="00E5596D" w:rsidRDefault="00E5596D" w:rsidP="00E54F16">
      <w:pPr>
        <w:pStyle w:val="enumlev1"/>
        <w:rPr>
          <w:rFonts w:eastAsiaTheme="minorEastAsia"/>
        </w:rPr>
      </w:pPr>
      <w:r w:rsidRPr="00E5596D">
        <w:rPr>
          <w:rFonts w:eastAsiaTheme="minorEastAsia"/>
        </w:rPr>
        <w:t>e)</w:t>
      </w:r>
      <w:r w:rsidRPr="00E5596D">
        <w:rPr>
          <w:rFonts w:eastAsiaTheme="minorEastAsia"/>
        </w:rPr>
        <w:tab/>
        <w:t>de veiller à ce que soient dûment mises en œuvre toutes les recommandations de l</w:t>
      </w:r>
      <w:r w:rsidR="00C24F45">
        <w:rPr>
          <w:rFonts w:eastAsiaTheme="minorEastAsia"/>
        </w:rPr>
        <w:t>'</w:t>
      </w:r>
      <w:r w:rsidRPr="00E5596D">
        <w:rPr>
          <w:rFonts w:eastAsiaTheme="minorEastAsia"/>
        </w:rPr>
        <w:t>auditeur interne, du vérificateur extérieur des comptes et du Comité consultatif indépendant pour les questions de gestion de l</w:t>
      </w:r>
      <w:r w:rsidR="00C24F45">
        <w:rPr>
          <w:rFonts w:eastAsiaTheme="minorEastAsia"/>
        </w:rPr>
        <w:t>'</w:t>
      </w:r>
      <w:r w:rsidRPr="00E5596D">
        <w:rPr>
          <w:rFonts w:eastAsiaTheme="minorEastAsia"/>
        </w:rPr>
        <w:t>UIT (CCIG), en particulier celles qui ont trait au manque de contrôles internes constaté dans le récent cas de fraude.</w:t>
      </w:r>
    </w:p>
    <w:p w14:paraId="56A59B22" w14:textId="51E1DD99" w:rsidR="00E5596D" w:rsidRPr="00E5596D" w:rsidRDefault="00E5596D" w:rsidP="00E54F16">
      <w:pPr>
        <w:rPr>
          <w:rFonts w:eastAsiaTheme="minorEastAsia"/>
        </w:rPr>
      </w:pPr>
      <w:r w:rsidRPr="00E5596D">
        <w:rPr>
          <w:rFonts w:eastAsiaTheme="minorEastAsia"/>
        </w:rPr>
        <w:t>L</w:t>
      </w:r>
      <w:r w:rsidR="00C24F45">
        <w:rPr>
          <w:rFonts w:eastAsiaTheme="minorEastAsia"/>
        </w:rPr>
        <w:t>'</w:t>
      </w:r>
      <w:r w:rsidRPr="00E5596D">
        <w:rPr>
          <w:rFonts w:eastAsiaTheme="minorEastAsia"/>
        </w:rPr>
        <w:t xml:space="preserve">examen devrait tenir compte des éléments </w:t>
      </w:r>
      <w:proofErr w:type="gramStart"/>
      <w:r w:rsidRPr="00E5596D">
        <w:rPr>
          <w:rFonts w:eastAsiaTheme="minorEastAsia"/>
        </w:rPr>
        <w:t>suivants:</w:t>
      </w:r>
      <w:proofErr w:type="gramEnd"/>
    </w:p>
    <w:p w14:paraId="2A3D3C19" w14:textId="77777777" w:rsidR="00E5596D" w:rsidRPr="00E5596D" w:rsidRDefault="00E5596D" w:rsidP="00E54F16">
      <w:pPr>
        <w:pStyle w:val="enumlev1"/>
        <w:rPr>
          <w:rFonts w:eastAsiaTheme="minorEastAsia"/>
        </w:rPr>
      </w:pPr>
      <w:r w:rsidRPr="00E5596D">
        <w:rPr>
          <w:rFonts w:eastAsiaTheme="minorEastAsia"/>
        </w:rPr>
        <w:t>a)</w:t>
      </w:r>
      <w:r w:rsidRPr="00E5596D">
        <w:rPr>
          <w:rFonts w:eastAsiaTheme="minorEastAsia"/>
        </w:rPr>
        <w:tab/>
        <w:t>La mesure dans laquelle les dispositions de la Résolution 25 (Rév. Dubaï, 2018) sont appliquées par le Bureau de développement des télécommunications, le Secrétariat général et les deux autres Bureaux, selon le cas.</w:t>
      </w:r>
    </w:p>
    <w:p w14:paraId="0A374F45" w14:textId="461CFA44" w:rsidR="00E5596D" w:rsidRPr="00E5596D" w:rsidRDefault="00E5596D" w:rsidP="00E54F16">
      <w:pPr>
        <w:pStyle w:val="enumlev1"/>
        <w:rPr>
          <w:rFonts w:eastAsiaTheme="minorEastAsia"/>
        </w:rPr>
      </w:pPr>
      <w:r w:rsidRPr="00E5596D">
        <w:rPr>
          <w:rFonts w:eastAsiaTheme="minorEastAsia"/>
        </w:rPr>
        <w:t>b)</w:t>
      </w:r>
      <w:r w:rsidRPr="00E5596D">
        <w:rPr>
          <w:rFonts w:eastAsiaTheme="minorEastAsia"/>
        </w:rPr>
        <w:tab/>
        <w:t>Toutes les recommandations du vérificateur extérieur des comptes, de l</w:t>
      </w:r>
      <w:r w:rsidR="00C24F45">
        <w:rPr>
          <w:rFonts w:eastAsiaTheme="minorEastAsia"/>
        </w:rPr>
        <w:t>'</w:t>
      </w:r>
      <w:r w:rsidRPr="00E5596D">
        <w:rPr>
          <w:rFonts w:eastAsiaTheme="minorEastAsia"/>
        </w:rPr>
        <w:t>auditeur interne et du CCIG, qui fournissent des avis concernant la nécessité d</w:t>
      </w:r>
      <w:r w:rsidR="00C24F45">
        <w:rPr>
          <w:rFonts w:eastAsiaTheme="minorEastAsia"/>
        </w:rPr>
        <w:t>'</w:t>
      </w:r>
      <w:r w:rsidRPr="00E5596D">
        <w:rPr>
          <w:rFonts w:eastAsiaTheme="minorEastAsia"/>
        </w:rPr>
        <w:t>améliorer considérablement la supervision par les responsables et les contrôles internes, compte tenu des insuffisances qui ont été décelées dans le cadre du cas de fraude récemment identifié dans un bureau régional, et, tout particulièrement, la nécessité d</w:t>
      </w:r>
      <w:r w:rsidR="00C24F45">
        <w:rPr>
          <w:rFonts w:eastAsiaTheme="minorEastAsia"/>
        </w:rPr>
        <w:t>'</w:t>
      </w:r>
      <w:r w:rsidRPr="00E5596D">
        <w:rPr>
          <w:rFonts w:eastAsiaTheme="minorEastAsia"/>
        </w:rPr>
        <w:t>instaurer une culture fondée sur la transparence et la collaboration, propre à renforcer la responsabilité individuelle de l</w:t>
      </w:r>
      <w:r w:rsidR="00C24F45">
        <w:rPr>
          <w:rFonts w:eastAsiaTheme="minorEastAsia"/>
        </w:rPr>
        <w:t>'</w:t>
      </w:r>
      <w:r w:rsidRPr="00E5596D">
        <w:rPr>
          <w:rFonts w:eastAsiaTheme="minorEastAsia"/>
        </w:rPr>
        <w:t>encadrement et à améliorer la responsabilisation.</w:t>
      </w:r>
    </w:p>
    <w:p w14:paraId="06E8C8C9" w14:textId="56B30221" w:rsidR="00E5596D" w:rsidRPr="00E5596D" w:rsidRDefault="00E5596D" w:rsidP="00E54F16">
      <w:pPr>
        <w:pStyle w:val="enumlev1"/>
        <w:rPr>
          <w:rFonts w:eastAsiaTheme="minorEastAsia"/>
        </w:rPr>
      </w:pPr>
      <w:r w:rsidRPr="00E5596D">
        <w:rPr>
          <w:rFonts w:eastAsiaTheme="minorEastAsia"/>
        </w:rPr>
        <w:t>c)</w:t>
      </w:r>
      <w:r w:rsidRPr="00E5596D">
        <w:rPr>
          <w:rFonts w:eastAsiaTheme="minorEastAsia"/>
        </w:rPr>
        <w:tab/>
        <w:t>En quoi une décentralisation encore plus poussée pourrait garantir des gains d</w:t>
      </w:r>
      <w:r w:rsidR="00C24F45">
        <w:rPr>
          <w:rFonts w:eastAsiaTheme="minorEastAsia"/>
        </w:rPr>
        <w:t>'</w:t>
      </w:r>
      <w:r w:rsidRPr="00E5596D">
        <w:rPr>
          <w:rFonts w:eastAsiaTheme="minorEastAsia"/>
        </w:rPr>
        <w:t>efficacité à moindre coût, compte tenu des principes de responsabilisation et de transparence.</w:t>
      </w:r>
    </w:p>
    <w:p w14:paraId="2B6B7BC5" w14:textId="51A2FB75" w:rsidR="00E5596D" w:rsidRPr="00E5596D" w:rsidRDefault="00E5596D" w:rsidP="00E54F16">
      <w:pPr>
        <w:pStyle w:val="enumlev1"/>
        <w:rPr>
          <w:rFonts w:eastAsiaTheme="minorEastAsia"/>
        </w:rPr>
      </w:pPr>
      <w:r w:rsidRPr="00E5596D">
        <w:rPr>
          <w:rFonts w:eastAsiaTheme="minorEastAsia"/>
        </w:rPr>
        <w:t>d)</w:t>
      </w:r>
      <w:r w:rsidRPr="00E5596D">
        <w:rPr>
          <w:rFonts w:eastAsiaTheme="minorEastAsia"/>
        </w:rPr>
        <w:tab/>
        <w:t>Les résultats des enquêtes précédentes concernant le degré de satisfaction des États Membres, des Membres des Secteurs et des organisations régionales de télécommunication/TIC en ce qui concerne la présence régionale de l</w:t>
      </w:r>
      <w:r w:rsidR="00C24F45">
        <w:rPr>
          <w:rFonts w:eastAsiaTheme="minorEastAsia"/>
        </w:rPr>
        <w:t>'</w:t>
      </w:r>
      <w:r w:rsidRPr="00E5596D">
        <w:rPr>
          <w:rFonts w:eastAsiaTheme="minorEastAsia"/>
        </w:rPr>
        <w:t>UIT.</w:t>
      </w:r>
    </w:p>
    <w:p w14:paraId="5578099C" w14:textId="085BAC05" w:rsidR="00E5596D" w:rsidRPr="00E5596D" w:rsidRDefault="00E5596D" w:rsidP="00E54F16">
      <w:pPr>
        <w:pStyle w:val="enumlev1"/>
        <w:rPr>
          <w:rFonts w:eastAsiaTheme="minorEastAsia"/>
        </w:rPr>
      </w:pPr>
      <w:r w:rsidRPr="00E5596D">
        <w:rPr>
          <w:rFonts w:eastAsiaTheme="minorEastAsia"/>
        </w:rPr>
        <w:t>e)</w:t>
      </w:r>
      <w:r w:rsidRPr="00E5596D">
        <w:rPr>
          <w:rFonts w:eastAsiaTheme="minorEastAsia"/>
        </w:rPr>
        <w:tab/>
        <w:t>L</w:t>
      </w:r>
      <w:r w:rsidR="00C24F45">
        <w:rPr>
          <w:rFonts w:eastAsiaTheme="minorEastAsia"/>
        </w:rPr>
        <w:t>'</w:t>
      </w:r>
      <w:r w:rsidRPr="00E5596D">
        <w:rPr>
          <w:rFonts w:eastAsiaTheme="minorEastAsia"/>
        </w:rPr>
        <w:t>assistance apportée aux pays en développement pour leur permettre de participer aux activités de l</w:t>
      </w:r>
      <w:r w:rsidR="00C24F45">
        <w:rPr>
          <w:rFonts w:eastAsiaTheme="minorEastAsia"/>
        </w:rPr>
        <w:t>'</w:t>
      </w:r>
      <w:r w:rsidRPr="00E5596D">
        <w:rPr>
          <w:rFonts w:eastAsiaTheme="minorEastAsia"/>
        </w:rPr>
        <w:t>UIT.</w:t>
      </w:r>
    </w:p>
    <w:p w14:paraId="791585BA" w14:textId="6EB23DAB" w:rsidR="00E5596D" w:rsidRPr="00E5596D" w:rsidRDefault="00E5596D" w:rsidP="00E54F16">
      <w:pPr>
        <w:pStyle w:val="enumlev1"/>
        <w:rPr>
          <w:rFonts w:eastAsiaTheme="minorEastAsia"/>
        </w:rPr>
      </w:pPr>
      <w:r w:rsidRPr="00E5596D">
        <w:rPr>
          <w:rFonts w:eastAsiaTheme="minorEastAsia"/>
        </w:rPr>
        <w:lastRenderedPageBreak/>
        <w:t>f)</w:t>
      </w:r>
      <w:r w:rsidRPr="00E5596D">
        <w:rPr>
          <w:rFonts w:eastAsiaTheme="minorEastAsia"/>
        </w:rPr>
        <w:tab/>
        <w:t>L</w:t>
      </w:r>
      <w:r w:rsidR="00C24F45">
        <w:rPr>
          <w:rFonts w:eastAsiaTheme="minorEastAsia"/>
        </w:rPr>
        <w:t>'</w:t>
      </w:r>
      <w:r w:rsidRPr="00E5596D">
        <w:rPr>
          <w:rFonts w:eastAsiaTheme="minorEastAsia"/>
        </w:rPr>
        <w:t>étendue des éventuels doubles emplois entre les fonctions du siège de l</w:t>
      </w:r>
      <w:r w:rsidR="00C24F45">
        <w:rPr>
          <w:rFonts w:eastAsiaTheme="minorEastAsia"/>
        </w:rPr>
        <w:t>'</w:t>
      </w:r>
      <w:r w:rsidRPr="00E5596D">
        <w:rPr>
          <w:rFonts w:eastAsiaTheme="minorEastAsia"/>
        </w:rPr>
        <w:t>UIT et celles des bureaux régionaux.</w:t>
      </w:r>
    </w:p>
    <w:p w14:paraId="49B82B87" w14:textId="77777777" w:rsidR="00E5596D" w:rsidRPr="00E5596D" w:rsidRDefault="00E5596D" w:rsidP="00E54F16">
      <w:pPr>
        <w:pStyle w:val="enumlev1"/>
        <w:rPr>
          <w:rFonts w:eastAsiaTheme="minorEastAsia"/>
        </w:rPr>
      </w:pPr>
      <w:r w:rsidRPr="00E5596D">
        <w:rPr>
          <w:rFonts w:eastAsiaTheme="minorEastAsia"/>
        </w:rPr>
        <w:t>g)</w:t>
      </w:r>
      <w:r w:rsidRPr="00E5596D">
        <w:rPr>
          <w:rFonts w:eastAsiaTheme="minorEastAsia"/>
        </w:rPr>
        <w:tab/>
        <w:t>La mesure dans laquelle les dispositions de la Résolution 17 (Rév. Buenos Aires, 2017) de la Conférence mondiale de développement des télécommunications sont appliquées.</w:t>
      </w:r>
    </w:p>
    <w:p w14:paraId="396AB6BB" w14:textId="34868D63" w:rsidR="00E5596D" w:rsidRPr="00E5596D" w:rsidRDefault="00E5596D" w:rsidP="00E54F16">
      <w:pPr>
        <w:pStyle w:val="enumlev1"/>
        <w:rPr>
          <w:rFonts w:eastAsiaTheme="minorEastAsia"/>
        </w:rPr>
      </w:pPr>
      <w:r w:rsidRPr="00E5596D">
        <w:rPr>
          <w:rFonts w:eastAsiaTheme="minorEastAsia"/>
        </w:rPr>
        <w:t>h)</w:t>
      </w:r>
      <w:r w:rsidRPr="00E5596D">
        <w:rPr>
          <w:rFonts w:eastAsiaTheme="minorEastAsia"/>
        </w:rPr>
        <w:tab/>
        <w:t>Le degré d</w:t>
      </w:r>
      <w:r w:rsidR="00C24F45">
        <w:rPr>
          <w:rFonts w:eastAsiaTheme="minorEastAsia"/>
        </w:rPr>
        <w:t>'</w:t>
      </w:r>
      <w:r w:rsidRPr="00E5596D">
        <w:rPr>
          <w:rFonts w:eastAsiaTheme="minorEastAsia"/>
        </w:rPr>
        <w:t>autonomie de prise de décisions actuellement accordé aux bureaux régionaux et la question de savoir si une plus grande autonomie pourrait améliorer leur efficience et leur efficacité.</w:t>
      </w:r>
    </w:p>
    <w:p w14:paraId="4DF0F1DC" w14:textId="650A8C8B" w:rsidR="00E5596D" w:rsidRPr="00E5596D" w:rsidRDefault="00E5596D" w:rsidP="00E54F16">
      <w:pPr>
        <w:pStyle w:val="enumlev1"/>
        <w:rPr>
          <w:rFonts w:eastAsiaTheme="minorEastAsia"/>
        </w:rPr>
      </w:pPr>
      <w:r w:rsidRPr="00E5596D">
        <w:rPr>
          <w:rFonts w:eastAsiaTheme="minorEastAsia"/>
        </w:rPr>
        <w:t>i)</w:t>
      </w:r>
      <w:r w:rsidRPr="00E5596D">
        <w:rPr>
          <w:rFonts w:eastAsiaTheme="minorEastAsia"/>
        </w:rPr>
        <w:tab/>
        <w:t>L</w:t>
      </w:r>
      <w:r w:rsidR="00C24F45">
        <w:rPr>
          <w:rFonts w:eastAsiaTheme="minorEastAsia"/>
        </w:rPr>
        <w:t>'</w:t>
      </w:r>
      <w:r w:rsidRPr="00E5596D">
        <w:rPr>
          <w:rFonts w:eastAsiaTheme="minorEastAsia"/>
        </w:rPr>
        <w:t>efficacité de la collaboration et de la coordination entre les bureaux régionaux de l</w:t>
      </w:r>
      <w:r w:rsidR="00C24F45">
        <w:rPr>
          <w:rFonts w:eastAsiaTheme="minorEastAsia"/>
        </w:rPr>
        <w:t>'</w:t>
      </w:r>
      <w:r w:rsidRPr="00E5596D">
        <w:rPr>
          <w:rFonts w:eastAsiaTheme="minorEastAsia"/>
        </w:rPr>
        <w:t>UIT, les organisations régionales de télécommunication/TIC et d</w:t>
      </w:r>
      <w:r w:rsidR="00C24F45">
        <w:rPr>
          <w:rFonts w:eastAsiaTheme="minorEastAsia"/>
        </w:rPr>
        <w:t>'</w:t>
      </w:r>
      <w:r w:rsidRPr="00E5596D">
        <w:rPr>
          <w:rFonts w:eastAsiaTheme="minorEastAsia"/>
        </w:rPr>
        <w:t>autres organisations régionales ou internationales s</w:t>
      </w:r>
      <w:r w:rsidR="00C24F45">
        <w:rPr>
          <w:rFonts w:eastAsiaTheme="minorEastAsia"/>
        </w:rPr>
        <w:t>'</w:t>
      </w:r>
      <w:r w:rsidRPr="00E5596D">
        <w:rPr>
          <w:rFonts w:eastAsiaTheme="minorEastAsia"/>
        </w:rPr>
        <w:t>occupant de développement ou de questions financières.</w:t>
      </w:r>
    </w:p>
    <w:p w14:paraId="2F7B5B2A" w14:textId="46C93363" w:rsidR="00E5596D" w:rsidRPr="00E5596D" w:rsidRDefault="00E5596D" w:rsidP="00E54F16">
      <w:pPr>
        <w:pStyle w:val="enumlev1"/>
        <w:rPr>
          <w:rFonts w:eastAsiaTheme="minorEastAsia"/>
        </w:rPr>
      </w:pPr>
      <w:r w:rsidRPr="00E5596D">
        <w:rPr>
          <w:rFonts w:eastAsiaTheme="minorEastAsia"/>
        </w:rPr>
        <w:t>j)</w:t>
      </w:r>
      <w:r w:rsidRPr="00E5596D">
        <w:rPr>
          <w:rFonts w:eastAsiaTheme="minorEastAsia"/>
        </w:rPr>
        <w:tab/>
        <w:t>En quoi la présence régionale et l</w:t>
      </w:r>
      <w:r w:rsidR="00C24F45">
        <w:rPr>
          <w:rFonts w:eastAsiaTheme="minorEastAsia"/>
        </w:rPr>
        <w:t>'</w:t>
      </w:r>
      <w:r w:rsidRPr="00E5596D">
        <w:rPr>
          <w:rFonts w:eastAsiaTheme="minorEastAsia"/>
        </w:rPr>
        <w:t>organisation d</w:t>
      </w:r>
      <w:r w:rsidR="00C24F45">
        <w:rPr>
          <w:rFonts w:eastAsiaTheme="minorEastAsia"/>
        </w:rPr>
        <w:t>'</w:t>
      </w:r>
      <w:r w:rsidRPr="00E5596D">
        <w:rPr>
          <w:rFonts w:eastAsiaTheme="minorEastAsia"/>
        </w:rPr>
        <w:t>activités dans les régions peuvent améliorer la participation effective de tous les pays aux travaux de l</w:t>
      </w:r>
      <w:r w:rsidR="00C24F45">
        <w:rPr>
          <w:rFonts w:eastAsiaTheme="minorEastAsia"/>
        </w:rPr>
        <w:t>'</w:t>
      </w:r>
      <w:r w:rsidRPr="00E5596D">
        <w:rPr>
          <w:rFonts w:eastAsiaTheme="minorEastAsia"/>
        </w:rPr>
        <w:t>UIT.</w:t>
      </w:r>
    </w:p>
    <w:p w14:paraId="2A6536B9" w14:textId="77777777" w:rsidR="00E5596D" w:rsidRPr="00E5596D" w:rsidRDefault="00E5596D" w:rsidP="00E54F16">
      <w:pPr>
        <w:pStyle w:val="enumlev1"/>
        <w:rPr>
          <w:rFonts w:eastAsiaTheme="minorEastAsia"/>
        </w:rPr>
      </w:pPr>
      <w:r w:rsidRPr="00E5596D">
        <w:rPr>
          <w:rFonts w:eastAsiaTheme="minorEastAsia"/>
        </w:rPr>
        <w:t>k)</w:t>
      </w:r>
      <w:r w:rsidRPr="00E5596D">
        <w:rPr>
          <w:rFonts w:eastAsiaTheme="minorEastAsia"/>
        </w:rPr>
        <w:tab/>
        <w:t>Les ressources actuellement mises à la disposition des bureaux régionaux pour réduire la fracture numérique.</w:t>
      </w:r>
    </w:p>
    <w:p w14:paraId="07F1103B" w14:textId="39A0E7DB" w:rsidR="00E5596D" w:rsidRPr="00E5596D" w:rsidRDefault="00E5596D" w:rsidP="00E54F16">
      <w:pPr>
        <w:pStyle w:val="enumlev1"/>
        <w:rPr>
          <w:rFonts w:eastAsiaTheme="minorEastAsia"/>
        </w:rPr>
      </w:pPr>
      <w:r w:rsidRPr="00E5596D">
        <w:rPr>
          <w:rFonts w:eastAsiaTheme="minorEastAsia"/>
        </w:rPr>
        <w:t>l)</w:t>
      </w:r>
      <w:r w:rsidRPr="00E5596D">
        <w:rPr>
          <w:rFonts w:eastAsiaTheme="minorEastAsia"/>
        </w:rPr>
        <w:tab/>
        <w:t>La structure globale optimale de la présence régionale de l</w:t>
      </w:r>
      <w:r w:rsidR="00C24F45">
        <w:rPr>
          <w:rFonts w:eastAsiaTheme="minorEastAsia"/>
        </w:rPr>
        <w:t>'</w:t>
      </w:r>
      <w:r w:rsidRPr="00E5596D">
        <w:rPr>
          <w:rFonts w:eastAsiaTheme="minorEastAsia"/>
        </w:rPr>
        <w:t>UIT, y compris le lieu et le nombre des bureaux régionaux et des bureaux de zone.</w:t>
      </w:r>
    </w:p>
    <w:p w14:paraId="460863AD" w14:textId="77777777" w:rsidR="00E5596D" w:rsidRPr="00E5596D" w:rsidRDefault="00E5596D" w:rsidP="00E54F16">
      <w:pPr>
        <w:pStyle w:val="Heading1"/>
        <w:rPr>
          <w:rFonts w:eastAsiaTheme="minorEastAsia"/>
        </w:rPr>
      </w:pPr>
      <w:bookmarkStart w:id="23" w:name="lt_pId154"/>
      <w:r w:rsidRPr="00E5596D">
        <w:rPr>
          <w:rFonts w:eastAsiaTheme="minorEastAsia"/>
        </w:rPr>
        <w:t>2</w:t>
      </w:r>
      <w:r w:rsidRPr="00E5596D">
        <w:rPr>
          <w:rFonts w:eastAsiaTheme="minorEastAsia"/>
        </w:rPr>
        <w:tab/>
      </w:r>
      <w:bookmarkEnd w:id="23"/>
      <w:r w:rsidRPr="00E5596D">
        <w:rPr>
          <w:rFonts w:eastAsiaTheme="minorEastAsia"/>
        </w:rPr>
        <w:t>Fonctions requises</w:t>
      </w:r>
    </w:p>
    <w:p w14:paraId="4AE4BF2F" w14:textId="7FA43A3A" w:rsidR="00E5596D" w:rsidRPr="00E5596D" w:rsidRDefault="00E5596D" w:rsidP="00E54F16">
      <w:pPr>
        <w:pStyle w:val="enumlev1"/>
        <w:rPr>
          <w:rFonts w:eastAsiaTheme="minorEastAsia"/>
        </w:rPr>
      </w:pPr>
      <w:bookmarkStart w:id="24" w:name="lt_pId155"/>
      <w:r w:rsidRPr="00E5596D">
        <w:rPr>
          <w:rFonts w:eastAsiaTheme="minorEastAsia"/>
        </w:rPr>
        <w:t>1)</w:t>
      </w:r>
      <w:r w:rsidRPr="00E5596D">
        <w:rPr>
          <w:rFonts w:eastAsiaTheme="minorEastAsia"/>
        </w:rPr>
        <w:tab/>
      </w:r>
      <w:bookmarkEnd w:id="24"/>
      <w:r w:rsidRPr="00E5596D">
        <w:rPr>
          <w:rFonts w:eastAsiaTheme="minorEastAsia"/>
        </w:rPr>
        <w:t>Analyser l</w:t>
      </w:r>
      <w:r w:rsidR="00C24F45">
        <w:rPr>
          <w:rFonts w:eastAsiaTheme="minorEastAsia"/>
        </w:rPr>
        <w:t>'</w:t>
      </w:r>
      <w:r w:rsidRPr="00E5596D">
        <w:rPr>
          <w:rFonts w:eastAsiaTheme="minorEastAsia"/>
        </w:rPr>
        <w:t>objectif de la présence régionale de l</w:t>
      </w:r>
      <w:r w:rsidR="00C24F45">
        <w:rPr>
          <w:rFonts w:eastAsiaTheme="minorEastAsia"/>
        </w:rPr>
        <w:t>'</w:t>
      </w:r>
      <w:r w:rsidRPr="00E5596D">
        <w:rPr>
          <w:rFonts w:eastAsiaTheme="minorEastAsia"/>
        </w:rPr>
        <w:t>UIT et le rôle qu</w:t>
      </w:r>
      <w:r w:rsidR="00C24F45">
        <w:rPr>
          <w:rFonts w:eastAsiaTheme="minorEastAsia"/>
        </w:rPr>
        <w:t>'</w:t>
      </w:r>
      <w:r w:rsidRPr="00E5596D">
        <w:rPr>
          <w:rFonts w:eastAsiaTheme="minorEastAsia"/>
        </w:rPr>
        <w:t>elle joue en contribuant à la mise en œuvre du Plan stratégique de l</w:t>
      </w:r>
      <w:r w:rsidR="00C24F45">
        <w:rPr>
          <w:rFonts w:eastAsiaTheme="minorEastAsia"/>
        </w:rPr>
        <w:t>'</w:t>
      </w:r>
      <w:r w:rsidRPr="00E5596D">
        <w:rPr>
          <w:rFonts w:eastAsiaTheme="minorEastAsia"/>
        </w:rPr>
        <w:t>UIT pour la période 2020-2023.</w:t>
      </w:r>
    </w:p>
    <w:p w14:paraId="44875806" w14:textId="485C0E6F" w:rsidR="00E5596D" w:rsidRPr="00E5596D" w:rsidRDefault="00E5596D" w:rsidP="00E54F16">
      <w:pPr>
        <w:pStyle w:val="enumlev1"/>
        <w:rPr>
          <w:rFonts w:eastAsiaTheme="minorEastAsia"/>
        </w:rPr>
      </w:pPr>
      <w:bookmarkStart w:id="25" w:name="lt_pId156"/>
      <w:r w:rsidRPr="00E5596D">
        <w:rPr>
          <w:rFonts w:eastAsiaTheme="minorEastAsia"/>
        </w:rPr>
        <w:t>2)</w:t>
      </w:r>
      <w:r w:rsidRPr="00E5596D">
        <w:rPr>
          <w:rFonts w:eastAsiaTheme="minorEastAsia"/>
        </w:rPr>
        <w:tab/>
      </w:r>
      <w:bookmarkEnd w:id="25"/>
      <w:r w:rsidRPr="00E5596D">
        <w:rPr>
          <w:rFonts w:eastAsiaTheme="minorEastAsia"/>
        </w:rPr>
        <w:t>Analyser dans quelle mesure la présence régionale de l</w:t>
      </w:r>
      <w:r w:rsidR="00C24F45">
        <w:rPr>
          <w:rFonts w:eastAsiaTheme="minorEastAsia"/>
        </w:rPr>
        <w:t>'</w:t>
      </w:r>
      <w:r w:rsidRPr="00E5596D">
        <w:rPr>
          <w:rFonts w:eastAsiaTheme="minorEastAsia"/>
        </w:rPr>
        <w:t>UIT est adaptée à l</w:t>
      </w:r>
      <w:r w:rsidR="00C24F45">
        <w:rPr>
          <w:rFonts w:eastAsiaTheme="minorEastAsia"/>
        </w:rPr>
        <w:t>'</w:t>
      </w:r>
      <w:r w:rsidRPr="00E5596D">
        <w:rPr>
          <w:rFonts w:eastAsiaTheme="minorEastAsia"/>
        </w:rPr>
        <w:t>objectif visant à mettre en œuvre les Plans d</w:t>
      </w:r>
      <w:r w:rsidR="00C24F45">
        <w:rPr>
          <w:rFonts w:eastAsiaTheme="minorEastAsia"/>
        </w:rPr>
        <w:t>'</w:t>
      </w:r>
      <w:r w:rsidRPr="00E5596D">
        <w:rPr>
          <w:rFonts w:eastAsiaTheme="minorEastAsia"/>
        </w:rPr>
        <w:t>action de la CMDT.</w:t>
      </w:r>
    </w:p>
    <w:p w14:paraId="1748B1E1" w14:textId="0D3B8D87" w:rsidR="00E5596D" w:rsidRPr="00E5596D" w:rsidRDefault="00E5596D" w:rsidP="00E54F16">
      <w:pPr>
        <w:pStyle w:val="enumlev1"/>
        <w:rPr>
          <w:rFonts w:eastAsiaTheme="minorEastAsia"/>
        </w:rPr>
      </w:pPr>
      <w:bookmarkStart w:id="26" w:name="lt_pId157"/>
      <w:r w:rsidRPr="00E5596D">
        <w:rPr>
          <w:rFonts w:eastAsiaTheme="minorEastAsia"/>
        </w:rPr>
        <w:t>3)</w:t>
      </w:r>
      <w:r w:rsidRPr="00E5596D">
        <w:rPr>
          <w:rFonts w:eastAsiaTheme="minorEastAsia"/>
        </w:rPr>
        <w:tab/>
        <w:t>Analyser, conformément à la Résolution 25 (Rév. Dubaï, 2018), la façon dont la présence régionale mettra en œuvre les activités régionales de l</w:t>
      </w:r>
      <w:r w:rsidR="00C24F45">
        <w:rPr>
          <w:rFonts w:eastAsiaTheme="minorEastAsia"/>
        </w:rPr>
        <w:t>'</w:t>
      </w:r>
      <w:r w:rsidRPr="00E5596D">
        <w:rPr>
          <w:rFonts w:eastAsiaTheme="minorEastAsia"/>
        </w:rPr>
        <w:t>UIT dans son ensemble, y compris du BR, du TSB et du Secrétariat général.</w:t>
      </w:r>
    </w:p>
    <w:p w14:paraId="5ADCB417" w14:textId="6360C9A8" w:rsidR="00E5596D" w:rsidRPr="00E5596D" w:rsidRDefault="00E5596D" w:rsidP="00E54F16">
      <w:pPr>
        <w:pStyle w:val="enumlev1"/>
        <w:rPr>
          <w:rFonts w:eastAsiaTheme="minorEastAsia"/>
        </w:rPr>
      </w:pPr>
      <w:bookmarkStart w:id="27" w:name="lt_pId158"/>
      <w:bookmarkEnd w:id="26"/>
      <w:r w:rsidRPr="00E5596D">
        <w:rPr>
          <w:rFonts w:eastAsiaTheme="minorEastAsia"/>
        </w:rPr>
        <w:t>4)</w:t>
      </w:r>
      <w:r w:rsidRPr="00E5596D">
        <w:rPr>
          <w:rFonts w:eastAsiaTheme="minorEastAsia"/>
        </w:rPr>
        <w:tab/>
        <w:t>Analyser le rôle des bureaux régionaux et de la présence régionale de l</w:t>
      </w:r>
      <w:r w:rsidR="00C24F45">
        <w:rPr>
          <w:rFonts w:eastAsiaTheme="minorEastAsia"/>
        </w:rPr>
        <w:t>'</w:t>
      </w:r>
      <w:r w:rsidRPr="00E5596D">
        <w:rPr>
          <w:rFonts w:eastAsiaTheme="minorEastAsia"/>
        </w:rPr>
        <w:t>UIT au sein du système des Nations Unies pour le développement et de l</w:t>
      </w:r>
      <w:r w:rsidR="00C24F45">
        <w:rPr>
          <w:rFonts w:eastAsiaTheme="minorEastAsia"/>
        </w:rPr>
        <w:t>'</w:t>
      </w:r>
      <w:r w:rsidRPr="00E5596D">
        <w:rPr>
          <w:rFonts w:eastAsiaTheme="minorEastAsia"/>
        </w:rPr>
        <w:t>écosystème du secteur, aux niveaux national et régional.</w:t>
      </w:r>
    </w:p>
    <w:p w14:paraId="5FF5CEC3" w14:textId="694DA252" w:rsidR="00E5596D" w:rsidRPr="00E5596D" w:rsidRDefault="00E5596D" w:rsidP="00E54F16">
      <w:pPr>
        <w:pStyle w:val="enumlev1"/>
        <w:rPr>
          <w:rFonts w:eastAsiaTheme="minorEastAsia"/>
        </w:rPr>
      </w:pPr>
      <w:bookmarkStart w:id="28" w:name="lt_pId159"/>
      <w:bookmarkEnd w:id="27"/>
      <w:r w:rsidRPr="00E5596D">
        <w:rPr>
          <w:rFonts w:eastAsiaTheme="minorEastAsia"/>
        </w:rPr>
        <w:t>5)</w:t>
      </w:r>
      <w:r w:rsidRPr="00E5596D">
        <w:rPr>
          <w:rFonts w:eastAsiaTheme="minorEastAsia"/>
        </w:rPr>
        <w:tab/>
      </w:r>
      <w:bookmarkEnd w:id="28"/>
      <w:r w:rsidRPr="00E5596D">
        <w:rPr>
          <w:rFonts w:eastAsiaTheme="minorEastAsia"/>
        </w:rPr>
        <w:t>Aider l</w:t>
      </w:r>
      <w:r w:rsidR="00C24F45">
        <w:rPr>
          <w:rFonts w:eastAsiaTheme="minorEastAsia"/>
        </w:rPr>
        <w:t>'</w:t>
      </w:r>
      <w:r w:rsidRPr="00E5596D">
        <w:rPr>
          <w:rFonts w:eastAsiaTheme="minorEastAsia"/>
        </w:rPr>
        <w:t>équipe de direction de l</w:t>
      </w:r>
      <w:r w:rsidR="00C24F45">
        <w:rPr>
          <w:rFonts w:eastAsiaTheme="minorEastAsia"/>
        </w:rPr>
        <w:t>'</w:t>
      </w:r>
      <w:r w:rsidRPr="00E5596D">
        <w:rPr>
          <w:rFonts w:eastAsiaTheme="minorEastAsia"/>
        </w:rPr>
        <w:t>UIT à (re)définir le rôle, la structure et les objectifs de la présence régionale de l</w:t>
      </w:r>
      <w:r w:rsidR="00C24F45">
        <w:rPr>
          <w:rFonts w:eastAsiaTheme="minorEastAsia"/>
        </w:rPr>
        <w:t>'</w:t>
      </w:r>
      <w:r w:rsidRPr="00E5596D">
        <w:rPr>
          <w:rFonts w:eastAsiaTheme="minorEastAsia"/>
        </w:rPr>
        <w:t>UIT.</w:t>
      </w:r>
    </w:p>
    <w:p w14:paraId="740A0B11" w14:textId="77777777" w:rsidR="00E5596D" w:rsidRPr="00E5596D" w:rsidRDefault="00E5596D" w:rsidP="00E54F16">
      <w:pPr>
        <w:pStyle w:val="enumlev1"/>
        <w:rPr>
          <w:rFonts w:eastAsiaTheme="minorEastAsia"/>
        </w:rPr>
      </w:pPr>
      <w:bookmarkStart w:id="29" w:name="lt_pId160"/>
      <w:r w:rsidRPr="00E5596D">
        <w:rPr>
          <w:rFonts w:eastAsiaTheme="minorEastAsia"/>
        </w:rPr>
        <w:t>6)</w:t>
      </w:r>
      <w:r w:rsidRPr="00E5596D">
        <w:rPr>
          <w:rFonts w:eastAsiaTheme="minorEastAsia"/>
        </w:rPr>
        <w:tab/>
      </w:r>
      <w:bookmarkEnd w:id="29"/>
      <w:r w:rsidRPr="00E5596D">
        <w:rPr>
          <w:rFonts w:eastAsiaTheme="minorEastAsia"/>
        </w:rPr>
        <w:t xml:space="preserve">Contribuer à améliorer la mesure de la performance des bureaux régionaux (conformément à la recommandation correspondante du vérificateur extérieur des comptes), </w:t>
      </w:r>
      <w:proofErr w:type="gramStart"/>
      <w:r w:rsidRPr="00E5596D">
        <w:rPr>
          <w:rFonts w:eastAsiaTheme="minorEastAsia"/>
        </w:rPr>
        <w:t>en:</w:t>
      </w:r>
      <w:proofErr w:type="gramEnd"/>
    </w:p>
    <w:p w14:paraId="40579186" w14:textId="77777777" w:rsidR="00E5596D" w:rsidRPr="00E5596D" w:rsidRDefault="00E5596D" w:rsidP="00E54F16">
      <w:pPr>
        <w:pStyle w:val="enumlev2"/>
        <w:rPr>
          <w:rFonts w:eastAsiaTheme="minorEastAsia"/>
        </w:rPr>
      </w:pPr>
      <w:r w:rsidRPr="00E5596D">
        <w:rPr>
          <w:rFonts w:eastAsiaTheme="minorEastAsia"/>
        </w:rPr>
        <w:t>a)</w:t>
      </w:r>
      <w:r w:rsidRPr="00E5596D">
        <w:rPr>
          <w:rFonts w:eastAsiaTheme="minorEastAsia"/>
        </w:rPr>
        <w:tab/>
        <w:t xml:space="preserve">définissant des objectifs spécifiques et mesurables pour le BDT applicables au siège et aux bureaux </w:t>
      </w:r>
      <w:proofErr w:type="gramStart"/>
      <w:r w:rsidRPr="00E5596D">
        <w:rPr>
          <w:rFonts w:eastAsiaTheme="minorEastAsia"/>
        </w:rPr>
        <w:t>régionaux;</w:t>
      </w:r>
      <w:proofErr w:type="gramEnd"/>
    </w:p>
    <w:p w14:paraId="7A768F61" w14:textId="100041DF" w:rsidR="00E5596D" w:rsidRPr="00E5596D" w:rsidRDefault="00E5596D" w:rsidP="00E54F16">
      <w:pPr>
        <w:pStyle w:val="enumlev2"/>
        <w:rPr>
          <w:rFonts w:eastAsiaTheme="minorEastAsia"/>
        </w:rPr>
      </w:pPr>
      <w:r w:rsidRPr="00E5596D">
        <w:rPr>
          <w:rFonts w:eastAsiaTheme="minorEastAsia"/>
        </w:rPr>
        <w:t>b)</w:t>
      </w:r>
      <w:r w:rsidRPr="00E5596D">
        <w:rPr>
          <w:rFonts w:eastAsiaTheme="minorEastAsia"/>
        </w:rPr>
        <w:tab/>
        <w:t>mettant en place des contrôles efficaces clés, et en établissant des indicateurs fondamentaux de performance fiables applicables à toutes les activités menées au niveau local, allant de l</w:t>
      </w:r>
      <w:r w:rsidR="00C24F45">
        <w:rPr>
          <w:rFonts w:eastAsiaTheme="minorEastAsia"/>
        </w:rPr>
        <w:t>'</w:t>
      </w:r>
      <w:r w:rsidRPr="00E5596D">
        <w:rPr>
          <w:rFonts w:eastAsiaTheme="minorEastAsia"/>
        </w:rPr>
        <w:t>assistance technique à la gestion des ressources financières, aux voyages officiels et au recrutement de non-fonctionnaires.</w:t>
      </w:r>
    </w:p>
    <w:p w14:paraId="6E45C307" w14:textId="77777777" w:rsidR="00722FED" w:rsidRDefault="00722FED" w:rsidP="00E54F16">
      <w:pPr>
        <w:pStyle w:val="enumlev1"/>
        <w:rPr>
          <w:rFonts w:eastAsiaTheme="minorEastAsia"/>
        </w:rPr>
      </w:pPr>
      <w:r>
        <w:rPr>
          <w:rFonts w:eastAsiaTheme="minorEastAsia"/>
        </w:rPr>
        <w:br w:type="page"/>
      </w:r>
    </w:p>
    <w:p w14:paraId="316763F1" w14:textId="45411EC2" w:rsidR="00E5596D" w:rsidRPr="00E5596D" w:rsidRDefault="00E5596D" w:rsidP="00E54F16">
      <w:pPr>
        <w:pStyle w:val="enumlev1"/>
        <w:rPr>
          <w:rFonts w:eastAsiaTheme="minorEastAsia"/>
        </w:rPr>
      </w:pPr>
      <w:r w:rsidRPr="00E5596D">
        <w:rPr>
          <w:rFonts w:eastAsiaTheme="minorEastAsia"/>
        </w:rPr>
        <w:lastRenderedPageBreak/>
        <w:t>7)</w:t>
      </w:r>
      <w:r w:rsidRPr="00E5596D">
        <w:rPr>
          <w:rFonts w:eastAsiaTheme="minorEastAsia"/>
        </w:rPr>
        <w:tab/>
        <w:t>Identifier des mesures pour améliorer le niveau de contrôles internes effectués au sein des bureaux régionaux et des bureaux de zone, afin de prévenir d</w:t>
      </w:r>
      <w:r w:rsidR="00C24F45">
        <w:rPr>
          <w:rFonts w:eastAsiaTheme="minorEastAsia"/>
        </w:rPr>
        <w:t>'</w:t>
      </w:r>
      <w:r w:rsidRPr="00E5596D">
        <w:rPr>
          <w:rFonts w:eastAsiaTheme="minorEastAsia"/>
        </w:rPr>
        <w:t>autres cas de fraude similaires à celui qui a été détecté, et assurer la mise en œuvre, à bref délai, des recommandations formulées par l</w:t>
      </w:r>
      <w:r w:rsidR="00C24F45">
        <w:rPr>
          <w:rFonts w:eastAsiaTheme="minorEastAsia"/>
        </w:rPr>
        <w:t>'</w:t>
      </w:r>
      <w:r w:rsidRPr="00E5596D">
        <w:rPr>
          <w:rFonts w:eastAsiaTheme="minorEastAsia"/>
        </w:rPr>
        <w:t>auditeur interne, le vérificateur extérieur des comptes et le CCIG, qui sont restées en suspens.</w:t>
      </w:r>
    </w:p>
    <w:p w14:paraId="6671D703" w14:textId="77777777" w:rsidR="00E5596D" w:rsidRPr="00E5596D" w:rsidRDefault="00E5596D" w:rsidP="00E54F16">
      <w:pPr>
        <w:pStyle w:val="enumlev1"/>
        <w:rPr>
          <w:rFonts w:eastAsiaTheme="minorEastAsia"/>
        </w:rPr>
      </w:pPr>
      <w:r w:rsidRPr="00E5596D">
        <w:rPr>
          <w:rFonts w:eastAsiaTheme="minorEastAsia"/>
        </w:rPr>
        <w:t>8)</w:t>
      </w:r>
      <w:r w:rsidRPr="00E5596D">
        <w:rPr>
          <w:rFonts w:eastAsiaTheme="minorEastAsia"/>
        </w:rPr>
        <w:tab/>
        <w:t>Contribuer à redéfinir le rôle des directeurs régionaux comme superviseurs de la mise en œuvre des projets et des initiatives et comme responsables des ressources financières au niveau local.</w:t>
      </w:r>
    </w:p>
    <w:p w14:paraId="38526C5A" w14:textId="5795DDCD" w:rsidR="00E5596D" w:rsidRPr="00E5596D" w:rsidRDefault="00E5596D" w:rsidP="00E54F16">
      <w:pPr>
        <w:pStyle w:val="enumlev1"/>
        <w:rPr>
          <w:rFonts w:eastAsiaTheme="minorEastAsia"/>
        </w:rPr>
      </w:pPr>
      <w:r w:rsidRPr="00E5596D">
        <w:rPr>
          <w:rFonts w:eastAsiaTheme="minorEastAsia"/>
        </w:rPr>
        <w:t>9)</w:t>
      </w:r>
      <w:r w:rsidRPr="00E5596D">
        <w:rPr>
          <w:rFonts w:eastAsiaTheme="minorEastAsia"/>
        </w:rPr>
        <w:tab/>
        <w:t>Évaluer la collaboration entre la présence régionale de l</w:t>
      </w:r>
      <w:r w:rsidR="00C24F45">
        <w:rPr>
          <w:rFonts w:eastAsiaTheme="minorEastAsia"/>
        </w:rPr>
        <w:t>'</w:t>
      </w:r>
      <w:r w:rsidRPr="00E5596D">
        <w:rPr>
          <w:rFonts w:eastAsiaTheme="minorEastAsia"/>
        </w:rPr>
        <w:t>UIT et les différents partenaires de l</w:t>
      </w:r>
      <w:r w:rsidR="00C24F45">
        <w:rPr>
          <w:rFonts w:eastAsiaTheme="minorEastAsia"/>
        </w:rPr>
        <w:t>'</w:t>
      </w:r>
      <w:r w:rsidRPr="00E5596D">
        <w:rPr>
          <w:rFonts w:eastAsiaTheme="minorEastAsia"/>
        </w:rPr>
        <w:t>écosystème des TIC, en vue de faciliter les discussions sur les questions régionales.</w:t>
      </w:r>
    </w:p>
    <w:p w14:paraId="4D137F81" w14:textId="41FF0121" w:rsidR="00E5596D" w:rsidRPr="00E5596D" w:rsidRDefault="00E5596D" w:rsidP="00E54F16">
      <w:pPr>
        <w:pStyle w:val="enumlev1"/>
        <w:rPr>
          <w:rFonts w:eastAsiaTheme="minorEastAsia"/>
        </w:rPr>
      </w:pPr>
      <w:bookmarkStart w:id="30" w:name="lt_pId161"/>
      <w:r w:rsidRPr="00E5596D">
        <w:rPr>
          <w:rFonts w:eastAsiaTheme="minorEastAsia"/>
        </w:rPr>
        <w:t>10)</w:t>
      </w:r>
      <w:r w:rsidRPr="00E5596D">
        <w:rPr>
          <w:rFonts w:eastAsiaTheme="minorEastAsia"/>
        </w:rPr>
        <w:tab/>
      </w:r>
      <w:bookmarkEnd w:id="30"/>
      <w:r w:rsidRPr="00E5596D">
        <w:rPr>
          <w:rFonts w:eastAsiaTheme="minorEastAsia"/>
        </w:rPr>
        <w:t>Évaluer le rôle de la présence régionale dans le renforcement de la mission de l</w:t>
      </w:r>
      <w:r w:rsidR="00C24F45">
        <w:rPr>
          <w:rFonts w:eastAsiaTheme="minorEastAsia"/>
        </w:rPr>
        <w:t>'</w:t>
      </w:r>
      <w:r w:rsidRPr="00E5596D">
        <w:rPr>
          <w:rFonts w:eastAsiaTheme="minorEastAsia"/>
        </w:rPr>
        <w:t>UIT en tant qu</w:t>
      </w:r>
      <w:r w:rsidR="00C24F45">
        <w:rPr>
          <w:rFonts w:eastAsiaTheme="minorEastAsia"/>
        </w:rPr>
        <w:t>'</w:t>
      </w:r>
      <w:r w:rsidRPr="00E5596D">
        <w:rPr>
          <w:rFonts w:eastAsiaTheme="minorEastAsia"/>
        </w:rPr>
        <w:t>agent d</w:t>
      </w:r>
      <w:r w:rsidR="00C24F45">
        <w:rPr>
          <w:rFonts w:eastAsiaTheme="minorEastAsia"/>
        </w:rPr>
        <w:t>'</w:t>
      </w:r>
      <w:r w:rsidRPr="00E5596D">
        <w:rPr>
          <w:rFonts w:eastAsiaTheme="minorEastAsia"/>
        </w:rPr>
        <w:t>exécution pour la mise en œuvre de projets (conformément à la Résolution 135 de la Conférence de plénipotentiaires relative à la fourniture d</w:t>
      </w:r>
      <w:r w:rsidR="00C24F45">
        <w:rPr>
          <w:rFonts w:eastAsiaTheme="minorEastAsia"/>
        </w:rPr>
        <w:t>'</w:t>
      </w:r>
      <w:r w:rsidRPr="00E5596D">
        <w:rPr>
          <w:rFonts w:eastAsiaTheme="minorEastAsia"/>
        </w:rPr>
        <w:t>une assistance technique et à la mise en œuvre de projets).</w:t>
      </w:r>
    </w:p>
    <w:p w14:paraId="000F444B" w14:textId="4006FD87" w:rsidR="00E5596D" w:rsidRPr="00E5596D" w:rsidRDefault="00E5596D" w:rsidP="00E54F16">
      <w:pPr>
        <w:pStyle w:val="enumlev1"/>
        <w:rPr>
          <w:rFonts w:eastAsiaTheme="minorEastAsia"/>
        </w:rPr>
      </w:pPr>
      <w:bookmarkStart w:id="31" w:name="lt_pId162"/>
      <w:r w:rsidRPr="00E5596D">
        <w:rPr>
          <w:rFonts w:eastAsiaTheme="minorEastAsia"/>
        </w:rPr>
        <w:t>11)</w:t>
      </w:r>
      <w:r w:rsidRPr="00E5596D">
        <w:rPr>
          <w:rFonts w:eastAsiaTheme="minorEastAsia"/>
        </w:rPr>
        <w:tab/>
      </w:r>
      <w:bookmarkEnd w:id="31"/>
      <w:r w:rsidRPr="00E5596D">
        <w:rPr>
          <w:rFonts w:eastAsiaTheme="minorEastAsia"/>
        </w:rPr>
        <w:t>Examiner l</w:t>
      </w:r>
      <w:r w:rsidR="00C24F45">
        <w:rPr>
          <w:rFonts w:eastAsiaTheme="minorEastAsia"/>
        </w:rPr>
        <w:t>'</w:t>
      </w:r>
      <w:r w:rsidRPr="00E5596D">
        <w:rPr>
          <w:rFonts w:eastAsiaTheme="minorEastAsia"/>
        </w:rPr>
        <w:t>appui apporté par les bureaux régionaux dans le cadre des travaux préparatoires effectués au niveau régional en vue des grandes conférences de l</w:t>
      </w:r>
      <w:r w:rsidR="00C24F45">
        <w:rPr>
          <w:rFonts w:eastAsiaTheme="minorEastAsia"/>
        </w:rPr>
        <w:t>'</w:t>
      </w:r>
      <w:r w:rsidRPr="00E5596D">
        <w:rPr>
          <w:rFonts w:eastAsiaTheme="minorEastAsia"/>
        </w:rPr>
        <w:t>UIT, notamment la PP, l</w:t>
      </w:r>
      <w:r w:rsidR="00C24F45">
        <w:rPr>
          <w:rFonts w:eastAsiaTheme="minorEastAsia"/>
        </w:rPr>
        <w:t>'</w:t>
      </w:r>
      <w:r w:rsidRPr="00E5596D">
        <w:rPr>
          <w:rFonts w:eastAsiaTheme="minorEastAsia"/>
        </w:rPr>
        <w:t>AMNT, la CMDT et la CMR et pour les grandes manifestations mondiales de l</w:t>
      </w:r>
      <w:r w:rsidR="00C24F45">
        <w:rPr>
          <w:rFonts w:eastAsiaTheme="minorEastAsia"/>
        </w:rPr>
        <w:t>'</w:t>
      </w:r>
      <w:r w:rsidRPr="00E5596D">
        <w:rPr>
          <w:rFonts w:eastAsiaTheme="minorEastAsia"/>
        </w:rPr>
        <w:t>UIT organisées dans les différentes régions.</w:t>
      </w:r>
    </w:p>
    <w:p w14:paraId="64BBAF36" w14:textId="4EF3120C" w:rsidR="00E5596D" w:rsidRPr="00E5596D" w:rsidRDefault="00E5596D" w:rsidP="00E54F16">
      <w:pPr>
        <w:pStyle w:val="enumlev1"/>
        <w:rPr>
          <w:rFonts w:eastAsiaTheme="minorEastAsia"/>
        </w:rPr>
      </w:pPr>
      <w:bookmarkStart w:id="32" w:name="lt_pId163"/>
      <w:r w:rsidRPr="00E5596D">
        <w:rPr>
          <w:rFonts w:eastAsiaTheme="minorEastAsia"/>
        </w:rPr>
        <w:t>12)</w:t>
      </w:r>
      <w:r w:rsidRPr="00E5596D">
        <w:rPr>
          <w:rFonts w:eastAsiaTheme="minorEastAsia"/>
        </w:rPr>
        <w:tab/>
      </w:r>
      <w:bookmarkEnd w:id="32"/>
      <w:r w:rsidRPr="00E5596D">
        <w:rPr>
          <w:rFonts w:eastAsiaTheme="minorEastAsia"/>
        </w:rPr>
        <w:t>Examiner le rôle que jouent les bureaux régionaux en apportant un appui aux groupes régionaux des commissions d</w:t>
      </w:r>
      <w:r w:rsidR="00C24F45">
        <w:rPr>
          <w:rFonts w:eastAsiaTheme="minorEastAsia"/>
        </w:rPr>
        <w:t>'</w:t>
      </w:r>
      <w:r w:rsidRPr="00E5596D">
        <w:rPr>
          <w:rFonts w:eastAsiaTheme="minorEastAsia"/>
        </w:rPr>
        <w:t>études (conformément aux résolutions connexes de l</w:t>
      </w:r>
      <w:r w:rsidR="00C24F45">
        <w:rPr>
          <w:rFonts w:eastAsiaTheme="minorEastAsia"/>
        </w:rPr>
        <w:t>'</w:t>
      </w:r>
      <w:r w:rsidRPr="00E5596D">
        <w:rPr>
          <w:rFonts w:eastAsiaTheme="minorEastAsia"/>
        </w:rPr>
        <w:t>AMNT et de la CMDT).</w:t>
      </w:r>
    </w:p>
    <w:p w14:paraId="0F3D8CC7" w14:textId="2B76013D" w:rsidR="00E5596D" w:rsidRPr="00E5596D" w:rsidRDefault="00E5596D" w:rsidP="00E54F16">
      <w:pPr>
        <w:pStyle w:val="enumlev1"/>
        <w:rPr>
          <w:rFonts w:eastAsiaTheme="minorEastAsia"/>
        </w:rPr>
      </w:pPr>
      <w:bookmarkStart w:id="33" w:name="lt_pId164"/>
      <w:r w:rsidRPr="00E5596D">
        <w:rPr>
          <w:rFonts w:eastAsiaTheme="minorEastAsia"/>
        </w:rPr>
        <w:t>13)</w:t>
      </w:r>
      <w:r w:rsidRPr="00E5596D">
        <w:rPr>
          <w:rFonts w:eastAsiaTheme="minorEastAsia"/>
        </w:rPr>
        <w:tab/>
        <w:t>Revoir les procédures administratives internes liées aux travaux des bureaux régionaux, afin de les simplifier, d</w:t>
      </w:r>
      <w:r w:rsidR="00C24F45">
        <w:rPr>
          <w:rFonts w:eastAsiaTheme="minorEastAsia"/>
        </w:rPr>
        <w:t>'</w:t>
      </w:r>
      <w:r w:rsidRPr="00E5596D">
        <w:rPr>
          <w:rFonts w:eastAsiaTheme="minorEastAsia"/>
        </w:rPr>
        <w:t>en assurer la transparence et d</w:t>
      </w:r>
      <w:r w:rsidR="00C24F45">
        <w:rPr>
          <w:rFonts w:eastAsiaTheme="minorEastAsia"/>
        </w:rPr>
        <w:t>'</w:t>
      </w:r>
      <w:r w:rsidRPr="00E5596D">
        <w:rPr>
          <w:rFonts w:eastAsiaTheme="minorEastAsia"/>
        </w:rPr>
        <w:t>améliorer l</w:t>
      </w:r>
      <w:r w:rsidR="00C24F45">
        <w:rPr>
          <w:rFonts w:eastAsiaTheme="minorEastAsia"/>
        </w:rPr>
        <w:t>'</w:t>
      </w:r>
      <w:r w:rsidRPr="00E5596D">
        <w:rPr>
          <w:rFonts w:eastAsiaTheme="minorEastAsia"/>
        </w:rPr>
        <w:t>efficacité des travaux (l</w:t>
      </w:r>
      <w:r w:rsidR="00C24F45">
        <w:rPr>
          <w:rFonts w:eastAsiaTheme="minorEastAsia"/>
        </w:rPr>
        <w:t>'</w:t>
      </w:r>
      <w:r w:rsidRPr="00E5596D">
        <w:rPr>
          <w:rFonts w:eastAsiaTheme="minorEastAsia"/>
        </w:rPr>
        <w:t xml:space="preserve">accent étant mis sur la procédure à suivre en matière de réglementation ex ante et ex post), </w:t>
      </w:r>
      <w:proofErr w:type="gramStart"/>
      <w:r w:rsidRPr="00E5596D">
        <w:rPr>
          <w:rFonts w:eastAsiaTheme="minorEastAsia"/>
        </w:rPr>
        <w:t>notamment:</w:t>
      </w:r>
      <w:bookmarkEnd w:id="33"/>
      <w:proofErr w:type="gramEnd"/>
    </w:p>
    <w:p w14:paraId="474E6D75" w14:textId="77777777" w:rsidR="00E5596D" w:rsidRPr="00E5596D" w:rsidRDefault="00E5596D" w:rsidP="00E54F16">
      <w:pPr>
        <w:pStyle w:val="enumlev2"/>
        <w:rPr>
          <w:rFonts w:eastAsiaTheme="minorEastAsia"/>
        </w:rPr>
      </w:pPr>
      <w:bookmarkStart w:id="34" w:name="lt_pId165"/>
      <w:r w:rsidRPr="00E5596D">
        <w:rPr>
          <w:rFonts w:eastAsiaTheme="minorEastAsia"/>
        </w:rPr>
        <w:t>a)</w:t>
      </w:r>
      <w:r w:rsidRPr="00E5596D">
        <w:rPr>
          <w:rFonts w:eastAsiaTheme="minorEastAsia"/>
        </w:rPr>
        <w:tab/>
      </w:r>
      <w:bookmarkEnd w:id="34"/>
      <w:r w:rsidRPr="00E5596D">
        <w:rPr>
          <w:rFonts w:eastAsiaTheme="minorEastAsia"/>
        </w:rPr>
        <w:t xml:space="preserve">en analysant la communication interne entre les bureaux régionaux/la présence régionale et le siège et, en particulier, le BDT, le TSB, le BR et le Secrétariat </w:t>
      </w:r>
      <w:proofErr w:type="gramStart"/>
      <w:r w:rsidRPr="00E5596D">
        <w:rPr>
          <w:rFonts w:eastAsiaTheme="minorEastAsia"/>
        </w:rPr>
        <w:t>général;</w:t>
      </w:r>
      <w:proofErr w:type="gramEnd"/>
    </w:p>
    <w:p w14:paraId="26CA0011" w14:textId="5BABCFEB" w:rsidR="00E5596D" w:rsidRPr="00E5596D" w:rsidRDefault="00E5596D" w:rsidP="00E54F16">
      <w:pPr>
        <w:pStyle w:val="enumlev2"/>
        <w:rPr>
          <w:rFonts w:eastAsiaTheme="minorEastAsia"/>
        </w:rPr>
      </w:pPr>
      <w:bookmarkStart w:id="35" w:name="lt_pId166"/>
      <w:r w:rsidRPr="00E5596D">
        <w:rPr>
          <w:rFonts w:eastAsiaTheme="minorEastAsia"/>
        </w:rPr>
        <w:t>b)</w:t>
      </w:r>
      <w:r w:rsidRPr="00E5596D">
        <w:rPr>
          <w:rFonts w:eastAsiaTheme="minorEastAsia"/>
        </w:rPr>
        <w:tab/>
      </w:r>
      <w:bookmarkEnd w:id="35"/>
      <w:r w:rsidRPr="00E5596D">
        <w:rPr>
          <w:rFonts w:eastAsiaTheme="minorEastAsia"/>
        </w:rPr>
        <w:t>en analysant les mécanismes visant à renforcer les compétences spécialisées des bureaux régionaux, en déterminant notamment s</w:t>
      </w:r>
      <w:r w:rsidR="00C24F45">
        <w:rPr>
          <w:rFonts w:eastAsiaTheme="minorEastAsia"/>
        </w:rPr>
        <w:t>'</w:t>
      </w:r>
      <w:r w:rsidRPr="00E5596D">
        <w:rPr>
          <w:rFonts w:eastAsiaTheme="minorEastAsia"/>
        </w:rPr>
        <w:t>il est possible d</w:t>
      </w:r>
      <w:r w:rsidR="00C24F45">
        <w:rPr>
          <w:rFonts w:eastAsiaTheme="minorEastAsia"/>
        </w:rPr>
        <w:t>'</w:t>
      </w:r>
      <w:r w:rsidRPr="00E5596D">
        <w:rPr>
          <w:rFonts w:eastAsiaTheme="minorEastAsia"/>
        </w:rPr>
        <w:t xml:space="preserve">appliquer la politique de mobilité à </w:t>
      </w:r>
      <w:proofErr w:type="gramStart"/>
      <w:r w:rsidRPr="00E5596D">
        <w:rPr>
          <w:rFonts w:eastAsiaTheme="minorEastAsia"/>
        </w:rPr>
        <w:t>l</w:t>
      </w:r>
      <w:r w:rsidR="00C24F45">
        <w:rPr>
          <w:rFonts w:eastAsiaTheme="minorEastAsia"/>
        </w:rPr>
        <w:t>'</w:t>
      </w:r>
      <w:r w:rsidRPr="00E5596D">
        <w:rPr>
          <w:rFonts w:eastAsiaTheme="minorEastAsia"/>
        </w:rPr>
        <w:t>UIT;</w:t>
      </w:r>
      <w:proofErr w:type="gramEnd"/>
    </w:p>
    <w:p w14:paraId="2E71487F" w14:textId="77777777" w:rsidR="00E5596D" w:rsidRPr="00E5596D" w:rsidRDefault="00E5596D" w:rsidP="00E54F16">
      <w:pPr>
        <w:pStyle w:val="enumlev2"/>
        <w:rPr>
          <w:rFonts w:eastAsiaTheme="minorEastAsia"/>
        </w:rPr>
      </w:pPr>
      <w:bookmarkStart w:id="36" w:name="lt_pId167"/>
      <w:r w:rsidRPr="00E5596D">
        <w:rPr>
          <w:rFonts w:eastAsiaTheme="minorEastAsia"/>
        </w:rPr>
        <w:t>c)</w:t>
      </w:r>
      <w:r w:rsidRPr="00E5596D">
        <w:rPr>
          <w:rFonts w:eastAsiaTheme="minorEastAsia"/>
        </w:rPr>
        <w:tab/>
      </w:r>
      <w:bookmarkEnd w:id="36"/>
      <w:r w:rsidRPr="00E5596D">
        <w:rPr>
          <w:rFonts w:eastAsiaTheme="minorEastAsia"/>
        </w:rPr>
        <w:t>en examinant la gestion financière et les activités relatives aux achats menées dans les bureaux régionaux et les bureaux de zone.</w:t>
      </w:r>
    </w:p>
    <w:p w14:paraId="4AF6EC14" w14:textId="62D4C5C0" w:rsidR="00E5596D" w:rsidRPr="00E5596D" w:rsidRDefault="00E5596D" w:rsidP="00E54F16">
      <w:pPr>
        <w:pStyle w:val="enumlev1"/>
        <w:rPr>
          <w:rFonts w:eastAsiaTheme="minorEastAsia"/>
        </w:rPr>
      </w:pPr>
      <w:bookmarkStart w:id="37" w:name="lt_pId168"/>
      <w:r w:rsidRPr="00E5596D">
        <w:rPr>
          <w:rFonts w:eastAsiaTheme="minorEastAsia"/>
        </w:rPr>
        <w:t>14)</w:t>
      </w:r>
      <w:r w:rsidRPr="00E5596D">
        <w:rPr>
          <w:rFonts w:eastAsiaTheme="minorEastAsia"/>
        </w:rPr>
        <w:tab/>
      </w:r>
      <w:bookmarkEnd w:id="37"/>
      <w:r w:rsidRPr="00E5596D">
        <w:rPr>
          <w:rFonts w:eastAsiaTheme="minorEastAsia"/>
        </w:rPr>
        <w:t>Mener à bien toutes les activités nécessaires pour procéder à l</w:t>
      </w:r>
      <w:r w:rsidR="00C24F45">
        <w:rPr>
          <w:rFonts w:eastAsiaTheme="minorEastAsia"/>
        </w:rPr>
        <w:t>'</w:t>
      </w:r>
      <w:r w:rsidRPr="00E5596D">
        <w:rPr>
          <w:rFonts w:eastAsiaTheme="minorEastAsia"/>
        </w:rPr>
        <w:t xml:space="preserve">examen et consulter toutes les parties prenantes, </w:t>
      </w:r>
      <w:proofErr w:type="gramStart"/>
      <w:r w:rsidRPr="00E5596D">
        <w:rPr>
          <w:rFonts w:eastAsiaTheme="minorEastAsia"/>
        </w:rPr>
        <w:t>notamment:</w:t>
      </w:r>
      <w:proofErr w:type="gramEnd"/>
    </w:p>
    <w:p w14:paraId="7DCBA117" w14:textId="77777777" w:rsidR="00E5596D" w:rsidRPr="00E5596D" w:rsidRDefault="00E5596D" w:rsidP="00E54F16">
      <w:pPr>
        <w:pStyle w:val="enumlev2"/>
        <w:rPr>
          <w:rFonts w:eastAsiaTheme="minorEastAsia"/>
        </w:rPr>
      </w:pPr>
      <w:bookmarkStart w:id="38" w:name="lt_pId169"/>
      <w:r w:rsidRPr="00E5596D">
        <w:rPr>
          <w:rFonts w:eastAsiaTheme="minorEastAsia"/>
        </w:rPr>
        <w:t>a)</w:t>
      </w:r>
      <w:r w:rsidRPr="00E5596D">
        <w:rPr>
          <w:rFonts w:eastAsiaTheme="minorEastAsia"/>
        </w:rPr>
        <w:tab/>
      </w:r>
      <w:bookmarkEnd w:id="38"/>
      <w:r w:rsidRPr="00E5596D">
        <w:rPr>
          <w:rFonts w:eastAsiaTheme="minorEastAsia"/>
        </w:rPr>
        <w:t xml:space="preserve">en élaborant des questionnaires types et des lignes directrices relatives aux </w:t>
      </w:r>
      <w:proofErr w:type="gramStart"/>
      <w:r w:rsidRPr="00E5596D">
        <w:rPr>
          <w:rFonts w:eastAsiaTheme="minorEastAsia"/>
        </w:rPr>
        <w:t>entretiens;</w:t>
      </w:r>
      <w:proofErr w:type="gramEnd"/>
    </w:p>
    <w:p w14:paraId="07EFE9CB" w14:textId="4DDE53F8" w:rsidR="00E5596D" w:rsidRPr="00E5596D" w:rsidRDefault="00E5596D" w:rsidP="00E54F16">
      <w:pPr>
        <w:pStyle w:val="enumlev2"/>
        <w:rPr>
          <w:rFonts w:eastAsiaTheme="minorEastAsia"/>
        </w:rPr>
      </w:pPr>
      <w:bookmarkStart w:id="39" w:name="lt_pId170"/>
      <w:r w:rsidRPr="00E5596D">
        <w:rPr>
          <w:rFonts w:eastAsiaTheme="minorEastAsia"/>
        </w:rPr>
        <w:t>b)</w:t>
      </w:r>
      <w:r w:rsidRPr="00E5596D">
        <w:rPr>
          <w:rFonts w:eastAsiaTheme="minorEastAsia"/>
        </w:rPr>
        <w:tab/>
        <w:t>en élaborant le plan de communication et l</w:t>
      </w:r>
      <w:r w:rsidR="00C24F45">
        <w:rPr>
          <w:rFonts w:eastAsiaTheme="minorEastAsia"/>
        </w:rPr>
        <w:t>'</w:t>
      </w:r>
      <w:r w:rsidRPr="00E5596D">
        <w:rPr>
          <w:rFonts w:eastAsiaTheme="minorEastAsia"/>
        </w:rPr>
        <w:t>initiative de communication au sein de l</w:t>
      </w:r>
      <w:r w:rsidR="00C24F45">
        <w:rPr>
          <w:rFonts w:eastAsiaTheme="minorEastAsia"/>
        </w:rPr>
        <w:t>'</w:t>
      </w:r>
      <w:r w:rsidRPr="00E5596D">
        <w:rPr>
          <w:rFonts w:eastAsiaTheme="minorEastAsia"/>
        </w:rPr>
        <w:t>organisation elle-</w:t>
      </w:r>
      <w:proofErr w:type="gramStart"/>
      <w:r w:rsidRPr="00E5596D">
        <w:rPr>
          <w:rFonts w:eastAsiaTheme="minorEastAsia"/>
        </w:rPr>
        <w:t>même;</w:t>
      </w:r>
      <w:bookmarkEnd w:id="39"/>
      <w:proofErr w:type="gramEnd"/>
    </w:p>
    <w:p w14:paraId="19E8BCBB" w14:textId="1C23814A" w:rsidR="00E5596D" w:rsidRPr="00E5596D" w:rsidRDefault="00E5596D" w:rsidP="00E54F16">
      <w:pPr>
        <w:pStyle w:val="enumlev2"/>
        <w:rPr>
          <w:rFonts w:eastAsiaTheme="minorEastAsia"/>
        </w:rPr>
      </w:pPr>
      <w:bookmarkStart w:id="40" w:name="lt_pId171"/>
      <w:r w:rsidRPr="00E5596D">
        <w:rPr>
          <w:rFonts w:eastAsiaTheme="minorEastAsia"/>
        </w:rPr>
        <w:t>c)</w:t>
      </w:r>
      <w:r w:rsidRPr="00E5596D">
        <w:rPr>
          <w:rFonts w:eastAsiaTheme="minorEastAsia"/>
        </w:rPr>
        <w:tab/>
      </w:r>
      <w:bookmarkEnd w:id="40"/>
      <w:r w:rsidRPr="00E5596D">
        <w:rPr>
          <w:rFonts w:eastAsiaTheme="minorEastAsia"/>
        </w:rPr>
        <w:t>en procédant à la collecte de données, en organisant des entretiens et en menant des consultations auprès des représentants de toutes les parties prenantes de l</w:t>
      </w:r>
      <w:r w:rsidR="00C24F45">
        <w:rPr>
          <w:rFonts w:eastAsiaTheme="minorEastAsia"/>
        </w:rPr>
        <w:t>'</w:t>
      </w:r>
      <w:r w:rsidRPr="00E5596D">
        <w:rPr>
          <w:rFonts w:eastAsiaTheme="minorEastAsia"/>
        </w:rPr>
        <w:t xml:space="preserve">UIT, y compris les représentants des États Membres, les Membres de Secteur et le personnel de </w:t>
      </w:r>
      <w:proofErr w:type="gramStart"/>
      <w:r w:rsidRPr="00E5596D">
        <w:rPr>
          <w:rFonts w:eastAsiaTheme="minorEastAsia"/>
        </w:rPr>
        <w:t>l</w:t>
      </w:r>
      <w:r w:rsidR="00C24F45">
        <w:rPr>
          <w:rFonts w:eastAsiaTheme="minorEastAsia"/>
        </w:rPr>
        <w:t>'</w:t>
      </w:r>
      <w:r w:rsidRPr="00E5596D">
        <w:rPr>
          <w:rFonts w:eastAsiaTheme="minorEastAsia"/>
        </w:rPr>
        <w:t>UIT;</w:t>
      </w:r>
      <w:proofErr w:type="gramEnd"/>
    </w:p>
    <w:p w14:paraId="109D1D51" w14:textId="0BEE9706" w:rsidR="00E5596D" w:rsidRPr="00E5596D" w:rsidRDefault="00E5596D" w:rsidP="00E54F16">
      <w:pPr>
        <w:pStyle w:val="enumlev2"/>
        <w:rPr>
          <w:rFonts w:eastAsiaTheme="minorEastAsia"/>
        </w:rPr>
      </w:pPr>
      <w:bookmarkStart w:id="41" w:name="lt_pId172"/>
      <w:r w:rsidRPr="00E5596D">
        <w:rPr>
          <w:rFonts w:eastAsiaTheme="minorEastAsia"/>
        </w:rPr>
        <w:t>d)</w:t>
      </w:r>
      <w:r w:rsidRPr="00E5596D">
        <w:rPr>
          <w:rFonts w:eastAsiaTheme="minorEastAsia"/>
        </w:rPr>
        <w:tab/>
      </w:r>
      <w:bookmarkEnd w:id="41"/>
      <w:r w:rsidRPr="00E5596D">
        <w:rPr>
          <w:rFonts w:eastAsiaTheme="minorEastAsia"/>
        </w:rPr>
        <w:t>en procédant au traitement et à l</w:t>
      </w:r>
      <w:r w:rsidR="00C24F45">
        <w:rPr>
          <w:rFonts w:eastAsiaTheme="minorEastAsia"/>
        </w:rPr>
        <w:t>'</w:t>
      </w:r>
      <w:r w:rsidRPr="00E5596D">
        <w:rPr>
          <w:rFonts w:eastAsiaTheme="minorEastAsia"/>
        </w:rPr>
        <w:t xml:space="preserve">analyse des données et en élaborant des </w:t>
      </w:r>
      <w:proofErr w:type="gramStart"/>
      <w:r w:rsidRPr="00E5596D">
        <w:rPr>
          <w:rFonts w:eastAsiaTheme="minorEastAsia"/>
        </w:rPr>
        <w:t>rapports;</w:t>
      </w:r>
      <w:proofErr w:type="gramEnd"/>
    </w:p>
    <w:p w14:paraId="767A558F" w14:textId="6034971F" w:rsidR="00E5596D" w:rsidRPr="00E5596D" w:rsidRDefault="00E5596D" w:rsidP="00E54F16">
      <w:pPr>
        <w:pStyle w:val="enumlev2"/>
        <w:rPr>
          <w:rFonts w:eastAsiaTheme="minorEastAsia"/>
        </w:rPr>
      </w:pPr>
      <w:bookmarkStart w:id="42" w:name="lt_pId173"/>
      <w:r w:rsidRPr="00E5596D">
        <w:rPr>
          <w:rFonts w:eastAsiaTheme="minorEastAsia"/>
        </w:rPr>
        <w:lastRenderedPageBreak/>
        <w:t>e)</w:t>
      </w:r>
      <w:r w:rsidRPr="00E5596D">
        <w:rPr>
          <w:rFonts w:eastAsiaTheme="minorEastAsia"/>
        </w:rPr>
        <w:tab/>
      </w:r>
      <w:bookmarkEnd w:id="42"/>
      <w:r w:rsidRPr="00E5596D">
        <w:rPr>
          <w:rFonts w:eastAsiaTheme="minorEastAsia"/>
        </w:rPr>
        <w:t>en exposant les conclusions de l</w:t>
      </w:r>
      <w:r w:rsidR="00C24F45">
        <w:rPr>
          <w:rFonts w:eastAsiaTheme="minorEastAsia"/>
        </w:rPr>
        <w:t>'</w:t>
      </w:r>
      <w:r w:rsidRPr="00E5596D">
        <w:rPr>
          <w:rFonts w:eastAsiaTheme="minorEastAsia"/>
        </w:rPr>
        <w:t>étude et en proposant des mesures adaptées pour veiller à ce que la présence régionale de l</w:t>
      </w:r>
      <w:r w:rsidR="00C24F45">
        <w:rPr>
          <w:rFonts w:eastAsiaTheme="minorEastAsia"/>
        </w:rPr>
        <w:t>'</w:t>
      </w:r>
      <w:r w:rsidRPr="00E5596D">
        <w:rPr>
          <w:rFonts w:eastAsiaTheme="minorEastAsia"/>
        </w:rPr>
        <w:t>UIT demeure efficace et efficiente.</w:t>
      </w:r>
    </w:p>
    <w:p w14:paraId="4E314470" w14:textId="0ECC2BF7" w:rsidR="00E5596D" w:rsidRPr="00E5596D" w:rsidRDefault="00E5596D" w:rsidP="00E54F16">
      <w:pPr>
        <w:pStyle w:val="enumlev1"/>
        <w:rPr>
          <w:rFonts w:eastAsiaTheme="minorEastAsia"/>
        </w:rPr>
      </w:pPr>
      <w:bookmarkStart w:id="43" w:name="lt_pId174"/>
      <w:r w:rsidRPr="00E5596D">
        <w:rPr>
          <w:rFonts w:eastAsiaTheme="minorEastAsia"/>
        </w:rPr>
        <w:t>15)</w:t>
      </w:r>
      <w:r w:rsidRPr="00E5596D">
        <w:rPr>
          <w:rFonts w:eastAsiaTheme="minorEastAsia"/>
        </w:rPr>
        <w:tab/>
      </w:r>
      <w:bookmarkEnd w:id="43"/>
      <w:r w:rsidRPr="00E5596D">
        <w:rPr>
          <w:rFonts w:eastAsiaTheme="minorEastAsia"/>
        </w:rPr>
        <w:t>Élaborer un plan d</w:t>
      </w:r>
      <w:r w:rsidR="00C24F45">
        <w:rPr>
          <w:rFonts w:eastAsiaTheme="minorEastAsia"/>
        </w:rPr>
        <w:t>'</w:t>
      </w:r>
      <w:r w:rsidRPr="00E5596D">
        <w:rPr>
          <w:rFonts w:eastAsiaTheme="minorEastAsia"/>
        </w:rPr>
        <w:t>action pour la mise en œuvre des mesures proposées.</w:t>
      </w:r>
    </w:p>
    <w:p w14:paraId="531B4F55" w14:textId="77777777" w:rsidR="00E5596D" w:rsidRPr="00E5596D" w:rsidRDefault="00E5596D" w:rsidP="00E54F16">
      <w:pPr>
        <w:pStyle w:val="Heading1"/>
        <w:rPr>
          <w:rFonts w:eastAsiaTheme="minorEastAsia"/>
        </w:rPr>
      </w:pPr>
      <w:bookmarkStart w:id="44" w:name="lt_pId175"/>
      <w:r w:rsidRPr="00E5596D">
        <w:rPr>
          <w:rFonts w:eastAsiaTheme="minorEastAsia"/>
        </w:rPr>
        <w:t>3</w:t>
      </w:r>
      <w:r w:rsidRPr="00E5596D">
        <w:rPr>
          <w:rFonts w:eastAsiaTheme="minorEastAsia"/>
        </w:rPr>
        <w:tab/>
      </w:r>
      <w:bookmarkEnd w:id="44"/>
      <w:r w:rsidRPr="00E5596D">
        <w:rPr>
          <w:rFonts w:eastAsiaTheme="minorEastAsia"/>
        </w:rPr>
        <w:t>Produits attendus</w:t>
      </w:r>
    </w:p>
    <w:p w14:paraId="59BF5721" w14:textId="4E6069A6" w:rsidR="00E5596D" w:rsidRPr="00E5596D" w:rsidRDefault="00E5596D" w:rsidP="00E54F16">
      <w:pPr>
        <w:keepNext/>
        <w:rPr>
          <w:rFonts w:eastAsiaTheme="minorEastAsia"/>
        </w:rPr>
      </w:pPr>
      <w:r w:rsidRPr="00E5596D">
        <w:rPr>
          <w:rFonts w:eastAsiaTheme="minorEastAsia"/>
        </w:rPr>
        <w:t>Le projet devrait permettre d</w:t>
      </w:r>
      <w:r w:rsidR="00C24F45">
        <w:rPr>
          <w:rFonts w:eastAsiaTheme="minorEastAsia"/>
        </w:rPr>
        <w:t>'</w:t>
      </w:r>
      <w:r w:rsidRPr="00E5596D">
        <w:rPr>
          <w:rFonts w:eastAsiaTheme="minorEastAsia"/>
        </w:rPr>
        <w:t xml:space="preserve">obtenir les résultats </w:t>
      </w:r>
      <w:proofErr w:type="gramStart"/>
      <w:r w:rsidRPr="00E5596D">
        <w:rPr>
          <w:rFonts w:eastAsiaTheme="minorEastAsia"/>
        </w:rPr>
        <w:t>suivants:</w:t>
      </w:r>
      <w:proofErr w:type="gramEnd"/>
    </w:p>
    <w:p w14:paraId="1C7E725E" w14:textId="77777777" w:rsidR="00E5596D" w:rsidRPr="00E5596D" w:rsidRDefault="00E5596D" w:rsidP="00E54F16">
      <w:pPr>
        <w:pStyle w:val="enumlev1"/>
        <w:rPr>
          <w:rFonts w:eastAsiaTheme="minorEastAsia"/>
        </w:rPr>
      </w:pPr>
      <w:bookmarkStart w:id="45" w:name="lt_pId177"/>
      <w:r w:rsidRPr="00E5596D">
        <w:rPr>
          <w:rFonts w:eastAsiaTheme="minorEastAsia"/>
        </w:rPr>
        <w:t>1)</w:t>
      </w:r>
      <w:r w:rsidRPr="00E5596D">
        <w:rPr>
          <w:rFonts w:eastAsiaTheme="minorEastAsia"/>
        </w:rPr>
        <w:tab/>
      </w:r>
      <w:bookmarkEnd w:id="45"/>
      <w:r w:rsidRPr="00E5596D">
        <w:rPr>
          <w:rFonts w:eastAsiaTheme="minorEastAsia"/>
        </w:rPr>
        <w:t>Définition de la structure actuelle des bureaux régionaux/de la présence régionale, y compris les procédures à suivre et les indicateurs de performance à élaborer pour effectuer une analyse des lacunes (qui tiendra compte des ressources, des compétences et des outils).</w:t>
      </w:r>
    </w:p>
    <w:p w14:paraId="39F650C6" w14:textId="1BBABB3C" w:rsidR="00E5596D" w:rsidRPr="00E5596D" w:rsidRDefault="00E5596D" w:rsidP="00E54F16">
      <w:pPr>
        <w:pStyle w:val="enumlev1"/>
        <w:rPr>
          <w:rFonts w:eastAsiaTheme="minorEastAsia"/>
        </w:rPr>
      </w:pPr>
      <w:bookmarkStart w:id="46" w:name="lt_pId178"/>
      <w:r w:rsidRPr="00E5596D">
        <w:rPr>
          <w:rFonts w:eastAsiaTheme="minorEastAsia"/>
        </w:rPr>
        <w:t>2)</w:t>
      </w:r>
      <w:r w:rsidRPr="00E5596D">
        <w:rPr>
          <w:rFonts w:eastAsiaTheme="minorEastAsia"/>
        </w:rPr>
        <w:tab/>
      </w:r>
      <w:bookmarkEnd w:id="46"/>
      <w:r w:rsidRPr="00E5596D">
        <w:rPr>
          <w:rFonts w:eastAsiaTheme="minorEastAsia"/>
        </w:rPr>
        <w:t>Niveau existant d</w:t>
      </w:r>
      <w:r w:rsidR="00C24F45">
        <w:rPr>
          <w:rFonts w:eastAsiaTheme="minorEastAsia"/>
        </w:rPr>
        <w:t>'</w:t>
      </w:r>
      <w:r w:rsidRPr="00E5596D">
        <w:rPr>
          <w:rFonts w:eastAsiaTheme="minorEastAsia"/>
        </w:rPr>
        <w:t>efficacité de l</w:t>
      </w:r>
      <w:r w:rsidR="00C24F45">
        <w:rPr>
          <w:rFonts w:eastAsiaTheme="minorEastAsia"/>
        </w:rPr>
        <w:t>'</w:t>
      </w:r>
      <w:r w:rsidRPr="00E5596D">
        <w:rPr>
          <w:rFonts w:eastAsiaTheme="minorEastAsia"/>
        </w:rPr>
        <w:t>organisation/paramètres de performance.</w:t>
      </w:r>
    </w:p>
    <w:p w14:paraId="3985807D" w14:textId="2B4DAA21" w:rsidR="00E5596D" w:rsidRPr="00E5596D" w:rsidRDefault="00E5596D" w:rsidP="00E54F16">
      <w:pPr>
        <w:pStyle w:val="enumlev1"/>
        <w:rPr>
          <w:rFonts w:eastAsiaTheme="minorEastAsia"/>
        </w:rPr>
      </w:pPr>
      <w:bookmarkStart w:id="47" w:name="lt_pId179"/>
      <w:r w:rsidRPr="00E5596D">
        <w:rPr>
          <w:rFonts w:eastAsiaTheme="minorEastAsia"/>
        </w:rPr>
        <w:t>3)</w:t>
      </w:r>
      <w:r w:rsidRPr="00E5596D">
        <w:rPr>
          <w:rFonts w:eastAsiaTheme="minorEastAsia"/>
        </w:rPr>
        <w:tab/>
      </w:r>
      <w:bookmarkEnd w:id="47"/>
      <w:r w:rsidRPr="00E5596D">
        <w:rPr>
          <w:rFonts w:eastAsiaTheme="minorEastAsia"/>
        </w:rPr>
        <w:t>Définition de la structure voulue des bureaux régionaux/de la présence régionale, y compris le nombre et l</w:t>
      </w:r>
      <w:r w:rsidR="00C24F45">
        <w:rPr>
          <w:rFonts w:eastAsiaTheme="minorEastAsia"/>
        </w:rPr>
        <w:t>'</w:t>
      </w:r>
      <w:r w:rsidRPr="00E5596D">
        <w:rPr>
          <w:rFonts w:eastAsiaTheme="minorEastAsia"/>
        </w:rPr>
        <w:t>emplacement optimaux des bureaux régionaux, les objectifs en matière de gestion allant dans le sens des orientations stratégiques de l</w:t>
      </w:r>
      <w:r w:rsidR="00C24F45">
        <w:rPr>
          <w:rFonts w:eastAsiaTheme="minorEastAsia"/>
        </w:rPr>
        <w:t>'</w:t>
      </w:r>
      <w:r w:rsidRPr="00E5596D">
        <w:rPr>
          <w:rFonts w:eastAsiaTheme="minorEastAsia"/>
        </w:rPr>
        <w:t>organisation et les compétences requises du personnel pour mettre en œuvre ces objectifs.</w:t>
      </w:r>
    </w:p>
    <w:p w14:paraId="519F1CF7" w14:textId="40C9151F" w:rsidR="00E5596D" w:rsidRPr="00E5596D" w:rsidRDefault="00E5596D" w:rsidP="00E54F16">
      <w:pPr>
        <w:pStyle w:val="enumlev1"/>
        <w:rPr>
          <w:rFonts w:eastAsiaTheme="minorEastAsia"/>
        </w:rPr>
      </w:pPr>
      <w:bookmarkStart w:id="48" w:name="lt_pId180"/>
      <w:r w:rsidRPr="00E5596D">
        <w:rPr>
          <w:rFonts w:eastAsiaTheme="minorEastAsia"/>
        </w:rPr>
        <w:t>4)</w:t>
      </w:r>
      <w:r w:rsidRPr="00E5596D">
        <w:rPr>
          <w:rFonts w:eastAsiaTheme="minorEastAsia"/>
        </w:rPr>
        <w:tab/>
      </w:r>
      <w:bookmarkEnd w:id="48"/>
      <w:r w:rsidRPr="00E5596D">
        <w:rPr>
          <w:rFonts w:eastAsiaTheme="minorEastAsia"/>
        </w:rPr>
        <w:t>Objectifs en matière de gestion destinés à améliorer les résultats de l</w:t>
      </w:r>
      <w:r w:rsidR="00C24F45">
        <w:rPr>
          <w:rFonts w:eastAsiaTheme="minorEastAsia"/>
        </w:rPr>
        <w:t>'</w:t>
      </w:r>
      <w:r w:rsidRPr="00E5596D">
        <w:rPr>
          <w:rFonts w:eastAsiaTheme="minorEastAsia"/>
        </w:rPr>
        <w:t>organisation (notamment les personnes/compétences, les processus, les technologies et les outils).</w:t>
      </w:r>
    </w:p>
    <w:p w14:paraId="60271C9A" w14:textId="77777777" w:rsidR="00E5596D" w:rsidRPr="00E5596D" w:rsidRDefault="00E5596D" w:rsidP="00E54F16">
      <w:pPr>
        <w:pStyle w:val="enumlev1"/>
        <w:rPr>
          <w:rFonts w:eastAsiaTheme="minorEastAsia"/>
        </w:rPr>
      </w:pPr>
      <w:bookmarkStart w:id="49" w:name="lt_pId181"/>
      <w:r w:rsidRPr="00E5596D">
        <w:rPr>
          <w:rFonts w:eastAsiaTheme="minorEastAsia"/>
        </w:rPr>
        <w:t>5)</w:t>
      </w:r>
      <w:r w:rsidRPr="00E5596D">
        <w:rPr>
          <w:rFonts w:eastAsiaTheme="minorEastAsia"/>
        </w:rPr>
        <w:tab/>
      </w:r>
      <w:bookmarkEnd w:id="49"/>
      <w:r w:rsidRPr="00E5596D">
        <w:rPr>
          <w:rFonts w:eastAsiaTheme="minorEastAsia"/>
        </w:rPr>
        <w:t>Développement/extension du modèle de la gestion axée sur les résultats (GAR) pour la présence régionale/les bureaux régionaux.</w:t>
      </w:r>
    </w:p>
    <w:p w14:paraId="40CF9C9D" w14:textId="7630E34C" w:rsidR="00D82083" w:rsidRDefault="00E5596D" w:rsidP="00E54F16">
      <w:pPr>
        <w:pStyle w:val="enumlev1"/>
        <w:rPr>
          <w:rFonts w:eastAsiaTheme="minorEastAsia"/>
        </w:rPr>
      </w:pPr>
      <w:bookmarkStart w:id="50" w:name="lt_pId182"/>
      <w:r w:rsidRPr="00E5596D">
        <w:rPr>
          <w:rFonts w:eastAsiaTheme="minorEastAsia"/>
          <w:szCs w:val="24"/>
        </w:rPr>
        <w:t>6</w:t>
      </w:r>
      <w:r w:rsidRPr="00E5596D">
        <w:rPr>
          <w:rFonts w:eastAsiaTheme="minorEastAsia"/>
        </w:rPr>
        <w:t>)</w:t>
      </w:r>
      <w:r w:rsidRPr="00E5596D">
        <w:rPr>
          <w:rFonts w:eastAsiaTheme="minorEastAsia"/>
          <w:szCs w:val="24"/>
        </w:rPr>
        <w:tab/>
        <w:t>L</w:t>
      </w:r>
      <w:r w:rsidR="00C24F45">
        <w:rPr>
          <w:rFonts w:eastAsiaTheme="minorEastAsia"/>
          <w:szCs w:val="24"/>
        </w:rPr>
        <w:t>'</w:t>
      </w:r>
      <w:r w:rsidRPr="00E5596D">
        <w:rPr>
          <w:rFonts w:eastAsiaTheme="minorEastAsia"/>
          <w:szCs w:val="24"/>
        </w:rPr>
        <w:t>élaboration d</w:t>
      </w:r>
      <w:r w:rsidR="00C24F45">
        <w:rPr>
          <w:rFonts w:eastAsiaTheme="minorEastAsia"/>
          <w:szCs w:val="24"/>
        </w:rPr>
        <w:t>'</w:t>
      </w:r>
      <w:r w:rsidRPr="00E5596D">
        <w:rPr>
          <w:rFonts w:eastAsiaTheme="minorEastAsia"/>
          <w:szCs w:val="24"/>
        </w:rPr>
        <w:t>un plan d</w:t>
      </w:r>
      <w:r w:rsidR="00C24F45">
        <w:rPr>
          <w:rFonts w:eastAsiaTheme="minorEastAsia"/>
          <w:szCs w:val="24"/>
        </w:rPr>
        <w:t>'</w:t>
      </w:r>
      <w:r w:rsidRPr="00E5596D">
        <w:rPr>
          <w:rFonts w:eastAsiaTheme="minorEastAsia"/>
          <w:szCs w:val="24"/>
        </w:rPr>
        <w:t>action en faveur du changement, sur la base de toutes les recommandations correspondantes du vérificateur extérieur des comptes, de l</w:t>
      </w:r>
      <w:r w:rsidR="00C24F45">
        <w:rPr>
          <w:rFonts w:eastAsiaTheme="minorEastAsia"/>
          <w:szCs w:val="24"/>
        </w:rPr>
        <w:t>'</w:t>
      </w:r>
      <w:r w:rsidRPr="00E5596D">
        <w:rPr>
          <w:rFonts w:eastAsiaTheme="minorEastAsia"/>
          <w:szCs w:val="24"/>
        </w:rPr>
        <w:t>auditeur interne et du CCIG</w:t>
      </w:r>
      <w:r w:rsidRPr="00E5596D">
        <w:rPr>
          <w:rFonts w:eastAsiaTheme="minorEastAsia"/>
        </w:rPr>
        <w:t>.</w:t>
      </w:r>
      <w:bookmarkEnd w:id="50"/>
    </w:p>
    <w:p w14:paraId="52BEAECB" w14:textId="77777777" w:rsidR="005E5087" w:rsidRDefault="005E5087" w:rsidP="00E54F16">
      <w:pPr>
        <w:pStyle w:val="Reasons"/>
      </w:pPr>
    </w:p>
    <w:p w14:paraId="4C8CDB1C" w14:textId="66ABEC7B" w:rsidR="005E5087" w:rsidRPr="006E7724" w:rsidRDefault="005E5087" w:rsidP="00722FED">
      <w:pPr>
        <w:jc w:val="center"/>
      </w:pPr>
      <w:r>
        <w:t>______________</w:t>
      </w:r>
    </w:p>
    <w:sectPr w:rsidR="005E5087" w:rsidRPr="006E7724"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10C5" w14:textId="77777777" w:rsidR="00FC4422" w:rsidRDefault="00FC4422">
      <w:r>
        <w:separator/>
      </w:r>
    </w:p>
  </w:endnote>
  <w:endnote w:type="continuationSeparator" w:id="0">
    <w:p w14:paraId="17DF4296" w14:textId="77777777" w:rsidR="00FC4422" w:rsidRDefault="00FC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319C" w14:textId="578D4C7D" w:rsidR="00732045" w:rsidRDefault="00334DAB">
    <w:pPr>
      <w:pStyle w:val="Footer"/>
    </w:pPr>
    <w:r>
      <w:fldChar w:fldCharType="begin"/>
    </w:r>
    <w:r>
      <w:instrText xml:space="preserve"> FILENAME \p \* MERGEFORMAT </w:instrText>
    </w:r>
    <w:r>
      <w:fldChar w:fldCharType="separate"/>
    </w:r>
    <w:r w:rsidR="00552FEB">
      <w:t>P:\FRA\SG\CONSEIL\C21\000\076F.docx</w:t>
    </w:r>
    <w:r>
      <w:fldChar w:fldCharType="end"/>
    </w:r>
    <w:r w:rsidR="00732045">
      <w:tab/>
    </w:r>
    <w:r w:rsidR="002F1B76">
      <w:fldChar w:fldCharType="begin"/>
    </w:r>
    <w:r w:rsidR="00732045">
      <w:instrText xml:space="preserve"> savedate \@ dd.MM.yy </w:instrText>
    </w:r>
    <w:r w:rsidR="002F1B76">
      <w:fldChar w:fldCharType="separate"/>
    </w:r>
    <w:r>
      <w:t>21.04.21</w:t>
    </w:r>
    <w:r w:rsidR="002F1B76">
      <w:fldChar w:fldCharType="end"/>
    </w:r>
    <w:r w:rsidR="00732045">
      <w:tab/>
    </w:r>
    <w:r w:rsidR="002F1B76">
      <w:fldChar w:fldCharType="begin"/>
    </w:r>
    <w:r w:rsidR="00732045">
      <w:instrText xml:space="preserve"> printdate \@ dd.MM.yy </w:instrText>
    </w:r>
    <w:r w:rsidR="002F1B76">
      <w:fldChar w:fldCharType="separate"/>
    </w:r>
    <w:r w:rsidR="00552FE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97A" w14:textId="18B9BA41" w:rsidR="00732045" w:rsidRPr="00334DAB" w:rsidRDefault="004A457D" w:rsidP="005E5087">
    <w:pPr>
      <w:pStyle w:val="Footer"/>
      <w:rPr>
        <w:color w:val="D9D9D9" w:themeColor="background1" w:themeShade="D9"/>
      </w:rPr>
    </w:pPr>
    <w:r w:rsidRPr="00334DAB">
      <w:rPr>
        <w:color w:val="D9D9D9" w:themeColor="background1" w:themeShade="D9"/>
      </w:rPr>
      <w:fldChar w:fldCharType="begin"/>
    </w:r>
    <w:r w:rsidRPr="00334DAB">
      <w:rPr>
        <w:color w:val="D9D9D9" w:themeColor="background1" w:themeShade="D9"/>
      </w:rPr>
      <w:instrText xml:space="preserve"> FILENAME \p  \* MERGEFORMAT </w:instrText>
    </w:r>
    <w:r w:rsidRPr="00334DAB">
      <w:rPr>
        <w:color w:val="D9D9D9" w:themeColor="background1" w:themeShade="D9"/>
      </w:rPr>
      <w:fldChar w:fldCharType="separate"/>
    </w:r>
    <w:r w:rsidR="005E5087" w:rsidRPr="00334DAB">
      <w:rPr>
        <w:color w:val="D9D9D9" w:themeColor="background1" w:themeShade="D9"/>
      </w:rPr>
      <w:t>P:\FRA\SG\CONSEIL\C21\000\025F.docx</w:t>
    </w:r>
    <w:r w:rsidRPr="00334DAB">
      <w:rPr>
        <w:color w:val="D9D9D9" w:themeColor="background1" w:themeShade="D9"/>
      </w:rPr>
      <w:fldChar w:fldCharType="end"/>
    </w:r>
    <w:r w:rsidR="005E5087" w:rsidRPr="00334DAB">
      <w:rPr>
        <w:color w:val="D9D9D9" w:themeColor="background1" w:themeShade="D9"/>
      </w:rPr>
      <w:t xml:space="preserve"> (483218)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0A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56CA" w14:textId="77777777" w:rsidR="00FC4422" w:rsidRDefault="00FC4422">
      <w:r>
        <w:t>____________________</w:t>
      </w:r>
    </w:p>
  </w:footnote>
  <w:footnote w:type="continuationSeparator" w:id="0">
    <w:p w14:paraId="4CDDD159" w14:textId="77777777" w:rsidR="00FC4422" w:rsidRDefault="00FC4422">
      <w:r>
        <w:continuationSeparator/>
      </w:r>
    </w:p>
  </w:footnote>
  <w:footnote w:id="1">
    <w:p w14:paraId="0E56EABD" w14:textId="6C6DA97E" w:rsidR="00E5596D" w:rsidRPr="000D1097" w:rsidRDefault="00E5596D" w:rsidP="00722FED">
      <w:pPr>
        <w:pStyle w:val="FootnoteText"/>
        <w:rPr>
          <w:rStyle w:val="FootnoteTextChar"/>
        </w:rPr>
      </w:pPr>
      <w:r w:rsidRPr="00EB2B63">
        <w:rPr>
          <w:vertAlign w:val="superscript"/>
        </w:rPr>
        <w:footnoteRef/>
      </w:r>
      <w:bookmarkStart w:id="9" w:name="lt_pId183"/>
      <w:r w:rsidRPr="008860E0">
        <w:rPr>
          <w:lang w:val="fr-CH"/>
        </w:rPr>
        <w:tab/>
      </w:r>
      <w:r w:rsidRPr="000D1097">
        <w:rPr>
          <w:rStyle w:val="FootnoteTextChar"/>
        </w:rPr>
        <w:t xml:space="preserve">Niveau de mise en œuvre = chiffres des dépenses réelles </w:t>
      </w:r>
      <w:bookmarkEnd w:id="9"/>
      <w:r w:rsidRPr="000D1097">
        <w:rPr>
          <w:rStyle w:val="FootnoteTextChar"/>
        </w:rPr>
        <w:t xml:space="preserve">après la clôture des comptes de </w:t>
      </w:r>
      <w:r w:rsidRPr="00722FED">
        <w:rPr>
          <w:rStyle w:val="FootnoteTextChar"/>
        </w:rPr>
        <w:t>l</w:t>
      </w:r>
      <w:r w:rsidR="00C24F45" w:rsidRPr="00722FED">
        <w:rPr>
          <w:rStyle w:val="FootnoteTextChar"/>
        </w:rPr>
        <w:t>'</w:t>
      </w:r>
      <w:r w:rsidRPr="00722FED">
        <w:rPr>
          <w:rStyle w:val="FootnoteTextChar"/>
        </w:rPr>
        <w:t xml:space="preserve">exercice </w:t>
      </w:r>
      <w:r>
        <w:rPr>
          <w:rStyle w:val="FootnoteTextChar"/>
        </w:rPr>
        <w:t>2020</w:t>
      </w:r>
      <w:r w:rsidR="00722FED">
        <w:rPr>
          <w:rStyle w:val="FootnoteText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05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485DB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E121" w14:textId="136DC2A4" w:rsidR="00732045" w:rsidRDefault="00C27A7C" w:rsidP="00475FB3">
    <w:pPr>
      <w:pStyle w:val="Header"/>
    </w:pPr>
    <w:r>
      <w:fldChar w:fldCharType="begin"/>
    </w:r>
    <w:r>
      <w:instrText>PAGE</w:instrText>
    </w:r>
    <w:r>
      <w:fldChar w:fldCharType="separate"/>
    </w:r>
    <w:r w:rsidR="004A457D">
      <w:rPr>
        <w:noProof/>
      </w:rPr>
      <w:t>8</w:t>
    </w:r>
    <w:r>
      <w:rPr>
        <w:noProof/>
      </w:rPr>
      <w:fldChar w:fldCharType="end"/>
    </w:r>
  </w:p>
  <w:p w14:paraId="6DE6549A" w14:textId="0D919FB1" w:rsidR="00732045" w:rsidRDefault="00732045" w:rsidP="009639E3">
    <w:pPr>
      <w:pStyle w:val="Header"/>
      <w:spacing w:after="240"/>
    </w:pPr>
    <w:r>
      <w:t>C</w:t>
    </w:r>
    <w:r w:rsidR="009C353C">
      <w:t>2</w:t>
    </w:r>
    <w:r w:rsidR="004D1D50">
      <w:t>1</w:t>
    </w:r>
    <w:r>
      <w:t>/</w:t>
    </w:r>
    <w:r w:rsidR="00E5596D">
      <w:t>25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084A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E7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F0D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C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BC92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AB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704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3E3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0E7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4CC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D2D24"/>
    <w:multiLevelType w:val="hybridMultilevel"/>
    <w:tmpl w:val="A5984938"/>
    <w:lvl w:ilvl="0" w:tplc="F22AF72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062B4C-0B50-4D40-BDB1-8CC9AD4DD3DD}"/>
    <w:docVar w:name="dgnword-eventsink" w:val="2376070329792"/>
  </w:docVars>
  <w:rsids>
    <w:rsidRoot w:val="005D11DE"/>
    <w:rsid w:val="000B537A"/>
    <w:rsid w:val="000D0D0A"/>
    <w:rsid w:val="00103163"/>
    <w:rsid w:val="00106B19"/>
    <w:rsid w:val="00115D93"/>
    <w:rsid w:val="001247A8"/>
    <w:rsid w:val="001378C0"/>
    <w:rsid w:val="0018694A"/>
    <w:rsid w:val="001A3287"/>
    <w:rsid w:val="001A6508"/>
    <w:rsid w:val="001D4C31"/>
    <w:rsid w:val="001E4D21"/>
    <w:rsid w:val="00207CD1"/>
    <w:rsid w:val="00240DBE"/>
    <w:rsid w:val="002477A2"/>
    <w:rsid w:val="00263A51"/>
    <w:rsid w:val="00267E02"/>
    <w:rsid w:val="002A5D44"/>
    <w:rsid w:val="002D6D04"/>
    <w:rsid w:val="002E0BC4"/>
    <w:rsid w:val="002F1B76"/>
    <w:rsid w:val="00333C82"/>
    <w:rsid w:val="00334DAB"/>
    <w:rsid w:val="0033568E"/>
    <w:rsid w:val="00355FF5"/>
    <w:rsid w:val="00361350"/>
    <w:rsid w:val="003950D8"/>
    <w:rsid w:val="003A7D71"/>
    <w:rsid w:val="003C3FAE"/>
    <w:rsid w:val="004038CB"/>
    <w:rsid w:val="0040546F"/>
    <w:rsid w:val="0042404A"/>
    <w:rsid w:val="0044618F"/>
    <w:rsid w:val="00455610"/>
    <w:rsid w:val="0046769A"/>
    <w:rsid w:val="00475FB3"/>
    <w:rsid w:val="004A457D"/>
    <w:rsid w:val="004C37A9"/>
    <w:rsid w:val="004D1D50"/>
    <w:rsid w:val="004F259E"/>
    <w:rsid w:val="00511F1D"/>
    <w:rsid w:val="00520F36"/>
    <w:rsid w:val="00530158"/>
    <w:rsid w:val="00540615"/>
    <w:rsid w:val="00540A6D"/>
    <w:rsid w:val="00552FEB"/>
    <w:rsid w:val="00562C17"/>
    <w:rsid w:val="00571EEA"/>
    <w:rsid w:val="00575417"/>
    <w:rsid w:val="005768E1"/>
    <w:rsid w:val="00590DE9"/>
    <w:rsid w:val="005B1938"/>
    <w:rsid w:val="005C3890"/>
    <w:rsid w:val="005D11DE"/>
    <w:rsid w:val="005E5087"/>
    <w:rsid w:val="005F7BFE"/>
    <w:rsid w:val="00600017"/>
    <w:rsid w:val="006235CA"/>
    <w:rsid w:val="006643AB"/>
    <w:rsid w:val="00670949"/>
    <w:rsid w:val="006E34B5"/>
    <w:rsid w:val="006E7724"/>
    <w:rsid w:val="007141C1"/>
    <w:rsid w:val="007210CD"/>
    <w:rsid w:val="00722FED"/>
    <w:rsid w:val="00732045"/>
    <w:rsid w:val="007369DB"/>
    <w:rsid w:val="007956C2"/>
    <w:rsid w:val="007A187E"/>
    <w:rsid w:val="007C72C2"/>
    <w:rsid w:val="007D25C1"/>
    <w:rsid w:val="007D4436"/>
    <w:rsid w:val="007F257A"/>
    <w:rsid w:val="007F3665"/>
    <w:rsid w:val="00800037"/>
    <w:rsid w:val="00861D73"/>
    <w:rsid w:val="00897340"/>
    <w:rsid w:val="00897553"/>
    <w:rsid w:val="008A4E87"/>
    <w:rsid w:val="008D76E6"/>
    <w:rsid w:val="0092392D"/>
    <w:rsid w:val="0093234A"/>
    <w:rsid w:val="00936FC8"/>
    <w:rsid w:val="009639E3"/>
    <w:rsid w:val="0097363B"/>
    <w:rsid w:val="009B3C68"/>
    <w:rsid w:val="009C307F"/>
    <w:rsid w:val="009C353C"/>
    <w:rsid w:val="009E4E3C"/>
    <w:rsid w:val="00A2113E"/>
    <w:rsid w:val="00A23A51"/>
    <w:rsid w:val="00A24607"/>
    <w:rsid w:val="00A25CD3"/>
    <w:rsid w:val="00A709FE"/>
    <w:rsid w:val="00A82767"/>
    <w:rsid w:val="00AA332F"/>
    <w:rsid w:val="00AA7BBB"/>
    <w:rsid w:val="00AB64A8"/>
    <w:rsid w:val="00AC0266"/>
    <w:rsid w:val="00AD24EC"/>
    <w:rsid w:val="00AF0194"/>
    <w:rsid w:val="00B016FB"/>
    <w:rsid w:val="00B309F9"/>
    <w:rsid w:val="00B32B60"/>
    <w:rsid w:val="00B61619"/>
    <w:rsid w:val="00BB4545"/>
    <w:rsid w:val="00BD5873"/>
    <w:rsid w:val="00C04BE3"/>
    <w:rsid w:val="00C24F45"/>
    <w:rsid w:val="00C25D29"/>
    <w:rsid w:val="00C27A7C"/>
    <w:rsid w:val="00C76FBD"/>
    <w:rsid w:val="00CA08ED"/>
    <w:rsid w:val="00CA2B48"/>
    <w:rsid w:val="00CE26DB"/>
    <w:rsid w:val="00CF183B"/>
    <w:rsid w:val="00CF4864"/>
    <w:rsid w:val="00D11945"/>
    <w:rsid w:val="00D252FC"/>
    <w:rsid w:val="00D375CD"/>
    <w:rsid w:val="00D553A2"/>
    <w:rsid w:val="00D774D3"/>
    <w:rsid w:val="00D82083"/>
    <w:rsid w:val="00D904E8"/>
    <w:rsid w:val="00DA08C3"/>
    <w:rsid w:val="00DB5A3E"/>
    <w:rsid w:val="00DC1F23"/>
    <w:rsid w:val="00DC22AA"/>
    <w:rsid w:val="00DF74DD"/>
    <w:rsid w:val="00E25AD0"/>
    <w:rsid w:val="00E3103F"/>
    <w:rsid w:val="00E54F16"/>
    <w:rsid w:val="00E5596D"/>
    <w:rsid w:val="00EB6350"/>
    <w:rsid w:val="00EF6F33"/>
    <w:rsid w:val="00F15B57"/>
    <w:rsid w:val="00F427DB"/>
    <w:rsid w:val="00F82433"/>
    <w:rsid w:val="00FA5EB1"/>
    <w:rsid w:val="00FA7439"/>
    <w:rsid w:val="00FC4422"/>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823674"/>
  <w15:docId w15:val="{E96747DC-C15F-4BEF-9C2B-FEFC723A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E5596D"/>
    <w:rPr>
      <w:rFonts w:ascii="Calibri" w:hAnsi="Calibri"/>
      <w:sz w:val="24"/>
      <w:lang w:val="fr-FR" w:eastAsia="en-US"/>
    </w:rPr>
  </w:style>
  <w:style w:type="table" w:styleId="TableGrid">
    <w:name w:val="Table Grid"/>
    <w:basedOn w:val="TableNormal"/>
    <w:rsid w:val="00E5596D"/>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A7D71"/>
    <w:rPr>
      <w:sz w:val="16"/>
      <w:szCs w:val="16"/>
    </w:rPr>
  </w:style>
  <w:style w:type="paragraph" w:styleId="CommentText">
    <w:name w:val="annotation text"/>
    <w:basedOn w:val="Normal"/>
    <w:link w:val="CommentTextChar"/>
    <w:semiHidden/>
    <w:unhideWhenUsed/>
    <w:rsid w:val="003A7D71"/>
    <w:rPr>
      <w:sz w:val="20"/>
    </w:rPr>
  </w:style>
  <w:style w:type="character" w:customStyle="1" w:styleId="CommentTextChar">
    <w:name w:val="Comment Text Char"/>
    <w:basedOn w:val="DefaultParagraphFont"/>
    <w:link w:val="CommentText"/>
    <w:semiHidden/>
    <w:rsid w:val="003A7D71"/>
    <w:rPr>
      <w:rFonts w:ascii="Calibri" w:hAnsi="Calibri"/>
      <w:lang w:val="fr-FR" w:eastAsia="en-US"/>
    </w:rPr>
  </w:style>
  <w:style w:type="paragraph" w:styleId="CommentSubject">
    <w:name w:val="annotation subject"/>
    <w:basedOn w:val="CommentText"/>
    <w:next w:val="CommentText"/>
    <w:link w:val="CommentSubjectChar"/>
    <w:semiHidden/>
    <w:unhideWhenUsed/>
    <w:rsid w:val="003A7D71"/>
    <w:rPr>
      <w:b/>
      <w:bCs/>
    </w:rPr>
  </w:style>
  <w:style w:type="character" w:customStyle="1" w:styleId="CommentSubjectChar">
    <w:name w:val="Comment Subject Char"/>
    <w:basedOn w:val="CommentTextChar"/>
    <w:link w:val="CommentSubject"/>
    <w:semiHidden/>
    <w:rsid w:val="003A7D71"/>
    <w:rPr>
      <w:rFonts w:ascii="Calibri" w:hAnsi="Calibri"/>
      <w:b/>
      <w:bCs/>
      <w:lang w:val="fr-FR" w:eastAsia="en-US"/>
    </w:rPr>
  </w:style>
  <w:style w:type="character" w:customStyle="1" w:styleId="CallChar">
    <w:name w:val="Call Char"/>
    <w:basedOn w:val="DefaultParagraphFont"/>
    <w:link w:val="Call"/>
    <w:rsid w:val="005E5087"/>
    <w:rPr>
      <w:rFonts w:ascii="Calibri" w:hAnsi="Calibri"/>
      <w:i/>
      <w:sz w:val="24"/>
      <w:lang w:val="fr-FR" w:eastAsia="en-US"/>
    </w:rPr>
  </w:style>
  <w:style w:type="character" w:customStyle="1" w:styleId="UnresolvedMention1">
    <w:name w:val="Unresolved Mention1"/>
    <w:basedOn w:val="DefaultParagraphFont"/>
    <w:uiPriority w:val="99"/>
    <w:semiHidden/>
    <w:unhideWhenUsed/>
    <w:rsid w:val="00B016FB"/>
    <w:rPr>
      <w:color w:val="605E5C"/>
      <w:shd w:val="clear" w:color="auto" w:fill="E1DFDD"/>
    </w:rPr>
  </w:style>
  <w:style w:type="character" w:styleId="UnresolvedMention">
    <w:name w:val="Unresolved Mention"/>
    <w:basedOn w:val="DefaultParagraphFont"/>
    <w:uiPriority w:val="99"/>
    <w:semiHidden/>
    <w:unhideWhenUsed/>
    <w:rsid w:val="0033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INF-0006/en" TargetMode="External"/><Relationship Id="rId13" Type="http://schemas.openxmlformats.org/officeDocument/2006/relationships/hyperlink" Target="https://www.itu.int/md/S21-CL-INF-0006/en" TargetMode="External"/><Relationship Id="rId18" Type="http://schemas.openxmlformats.org/officeDocument/2006/relationships/hyperlink" Target="https://www.itu.int/md/S19-CL-C-0025/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en/ITU-D/Conferences/TDAG/Documents/2020%20TDAG/DRAFTSUMMARY-RECORD-WEB-DIALOGUE-REGIONAL-PRESENCE_rev9April_final-DIR-clean.docx" TargetMode="External"/><Relationship Id="rId7" Type="http://schemas.openxmlformats.org/officeDocument/2006/relationships/image" Target="media/image1.jpeg"/><Relationship Id="rId12" Type="http://schemas.openxmlformats.org/officeDocument/2006/relationships/hyperlink" Target="http://www.itu.int/md/S20-CL-INF-0010/en" TargetMode="External"/><Relationship Id="rId17" Type="http://schemas.openxmlformats.org/officeDocument/2006/relationships/hyperlink" Target="https://www.itu.int/md/S17-CL-C-0025/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17-CL-INF-0012/fr" TargetMode="External"/><Relationship Id="rId20" Type="http://schemas.openxmlformats.org/officeDocument/2006/relationships/hyperlink" Target="https://www.itu.int/md/S20-CL-C-0075/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9-CL-INF-0007/en" TargetMode="External"/><Relationship Id="rId24" Type="http://schemas.openxmlformats.org/officeDocument/2006/relationships/hyperlink" Target="https://www.itu.int/md/S19-CL-C-0025/fr" TargetMode="External"/><Relationship Id="rId5" Type="http://schemas.openxmlformats.org/officeDocument/2006/relationships/footnotes" Target="footnotes.xml"/><Relationship Id="rId15" Type="http://schemas.openxmlformats.org/officeDocument/2006/relationships/hyperlink" Target="https://www.itu.int/md/S21-CL-INF-0006/en" TargetMode="External"/><Relationship Id="rId23" Type="http://schemas.openxmlformats.org/officeDocument/2006/relationships/hyperlink" Target="https://www.itu.int/md/S21-CL-INF-0006/en" TargetMode="External"/><Relationship Id="rId28" Type="http://schemas.openxmlformats.org/officeDocument/2006/relationships/footer" Target="footer2.xml"/><Relationship Id="rId10" Type="http://schemas.openxmlformats.org/officeDocument/2006/relationships/hyperlink" Target="http://www.itu.int/md/S17-CL-INF-0012/en" TargetMode="External"/><Relationship Id="rId19" Type="http://schemas.openxmlformats.org/officeDocument/2006/relationships/hyperlink" Target="https://www.itu.int/dms_ties/itu-s/md/20/cl/c/S20-CL-C-0074!!PDF-F.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RES-025-F.pdf" TargetMode="External"/><Relationship Id="rId14" Type="http://schemas.openxmlformats.org/officeDocument/2006/relationships/hyperlink" Target="http://www.itu.int/md/S20-CL-INF-0010/en" TargetMode="External"/><Relationship Id="rId22" Type="http://schemas.openxmlformats.org/officeDocument/2006/relationships/hyperlink" Target="https://itu.foleon.com/itu/bdt-year-in-review-2020/hom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11</Pages>
  <Words>4431</Words>
  <Characters>24291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28665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 la présence régionale</dc:title>
  <dc:subject>Council 2021, Virtual consultation of councillors</dc:subject>
  <dc:creator>French</dc:creator>
  <cp:keywords>C2021, C21, VCC, C21-VCC-1</cp:keywords>
  <dc:description/>
  <cp:lastModifiedBy>Brouard, Ricarda</cp:lastModifiedBy>
  <cp:revision>2</cp:revision>
  <cp:lastPrinted>2000-07-18T08:55:00Z</cp:lastPrinted>
  <dcterms:created xsi:type="dcterms:W3CDTF">2021-04-27T08:58:00Z</dcterms:created>
  <dcterms:modified xsi:type="dcterms:W3CDTF">2021-04-27T08:58:00Z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