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96245D3" w14:textId="77777777" w:rsidTr="006C7CC0">
        <w:trPr>
          <w:cantSplit/>
          <w:trHeight w:val="20"/>
        </w:trPr>
        <w:tc>
          <w:tcPr>
            <w:tcW w:w="6620" w:type="dxa"/>
          </w:tcPr>
          <w:p w14:paraId="0A63619F" w14:textId="7AC334C8" w:rsidR="00290728" w:rsidRPr="00290728" w:rsidRDefault="005F0ADE"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1A4C690"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DCD1D99" wp14:editId="70F558A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E6723F1" w14:textId="77777777" w:rsidTr="00CC485D">
        <w:trPr>
          <w:cantSplit/>
          <w:trHeight w:val="20"/>
        </w:trPr>
        <w:tc>
          <w:tcPr>
            <w:tcW w:w="6620" w:type="dxa"/>
            <w:tcBorders>
              <w:bottom w:val="single" w:sz="12" w:space="0" w:color="auto"/>
            </w:tcBorders>
          </w:tcPr>
          <w:p w14:paraId="5A1D7C6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8396F14" w14:textId="77777777" w:rsidR="00290728" w:rsidRPr="006A793B" w:rsidRDefault="00290728" w:rsidP="006A793B">
            <w:pPr>
              <w:spacing w:before="0" w:line="120" w:lineRule="auto"/>
              <w:rPr>
                <w:lang w:bidi="ar-EG"/>
              </w:rPr>
            </w:pPr>
          </w:p>
        </w:tc>
      </w:tr>
      <w:tr w:rsidR="00290728" w:rsidRPr="00290728" w14:paraId="6F690A06" w14:textId="77777777" w:rsidTr="00CC485D">
        <w:trPr>
          <w:cantSplit/>
          <w:trHeight w:val="20"/>
        </w:trPr>
        <w:tc>
          <w:tcPr>
            <w:tcW w:w="6620" w:type="dxa"/>
            <w:tcBorders>
              <w:top w:val="single" w:sz="12" w:space="0" w:color="auto"/>
            </w:tcBorders>
          </w:tcPr>
          <w:p w14:paraId="25DA8794"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B9006FE" w14:textId="77777777" w:rsidR="00290728" w:rsidRPr="00290728" w:rsidRDefault="00290728" w:rsidP="00290728">
            <w:pPr>
              <w:spacing w:before="60" w:after="60" w:line="260" w:lineRule="exact"/>
              <w:rPr>
                <w:b/>
                <w:bCs/>
                <w:lang w:bidi="ar-SY"/>
              </w:rPr>
            </w:pPr>
          </w:p>
        </w:tc>
      </w:tr>
      <w:tr w:rsidR="0015650C" w:rsidRPr="00290728" w14:paraId="266353EF" w14:textId="77777777" w:rsidTr="00CC485D">
        <w:trPr>
          <w:cantSplit/>
        </w:trPr>
        <w:tc>
          <w:tcPr>
            <w:tcW w:w="6620" w:type="dxa"/>
            <w:vMerge w:val="restart"/>
          </w:tcPr>
          <w:p w14:paraId="79132158" w14:textId="1E21CC12" w:rsidR="005805EA" w:rsidRPr="00CC485D" w:rsidRDefault="0015650C" w:rsidP="00CC485D">
            <w:pPr>
              <w:spacing w:before="20" w:after="20" w:line="300" w:lineRule="exact"/>
              <w:rPr>
                <w:b/>
                <w:bCs/>
                <w:rtl/>
                <w:lang w:bidi="ar-EG"/>
              </w:rPr>
            </w:pPr>
            <w:r w:rsidRPr="00CC485D">
              <w:rPr>
                <w:rFonts w:hint="cs"/>
                <w:b/>
                <w:bCs/>
                <w:rtl/>
                <w:lang w:bidi="ar-EG"/>
              </w:rPr>
              <w:t xml:space="preserve">بند جدول الأعمال: </w:t>
            </w:r>
            <w:r w:rsidRPr="00CC485D">
              <w:rPr>
                <w:b/>
                <w:bCs/>
                <w:lang w:bidi="ar-EG"/>
              </w:rPr>
              <w:t>ADM </w:t>
            </w:r>
            <w:r w:rsidR="00CC485D" w:rsidRPr="00CC485D">
              <w:rPr>
                <w:b/>
                <w:bCs/>
                <w:lang w:bidi="ar-EG"/>
              </w:rPr>
              <w:t>23</w:t>
            </w:r>
          </w:p>
        </w:tc>
        <w:tc>
          <w:tcPr>
            <w:tcW w:w="3052" w:type="dxa"/>
            <w:vAlign w:val="center"/>
          </w:tcPr>
          <w:p w14:paraId="6DF335C9" w14:textId="202CD718"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CC485D">
              <w:rPr>
                <w:b/>
                <w:bCs/>
                <w:lang w:bidi="ar-SY"/>
              </w:rPr>
              <w:t>25</w:t>
            </w:r>
            <w:r w:rsidRPr="002F71D8">
              <w:rPr>
                <w:b/>
                <w:bCs/>
                <w:lang w:bidi="ar-SY"/>
              </w:rPr>
              <w:t>-A</w:t>
            </w:r>
          </w:p>
        </w:tc>
      </w:tr>
      <w:tr w:rsidR="0015650C" w:rsidRPr="00290728" w14:paraId="05A8AD5B" w14:textId="77777777" w:rsidTr="00CC485D">
        <w:trPr>
          <w:cantSplit/>
        </w:trPr>
        <w:tc>
          <w:tcPr>
            <w:tcW w:w="6620" w:type="dxa"/>
            <w:vMerge/>
          </w:tcPr>
          <w:p w14:paraId="4B97D1AA" w14:textId="77777777" w:rsidR="0015650C" w:rsidRPr="002F71D8" w:rsidRDefault="0015650C" w:rsidP="003C6B4F">
            <w:pPr>
              <w:spacing w:before="20" w:after="20" w:line="300" w:lineRule="exact"/>
              <w:rPr>
                <w:b/>
                <w:bCs/>
                <w:lang w:bidi="ar-SY"/>
              </w:rPr>
            </w:pPr>
          </w:p>
        </w:tc>
        <w:tc>
          <w:tcPr>
            <w:tcW w:w="3052" w:type="dxa"/>
            <w:vAlign w:val="center"/>
          </w:tcPr>
          <w:p w14:paraId="1A53386F" w14:textId="04E47F09" w:rsidR="0015650C" w:rsidRPr="002F71D8" w:rsidRDefault="00CC485D" w:rsidP="003C6B4F">
            <w:pPr>
              <w:spacing w:before="20" w:after="20" w:line="30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 xml:space="preserve">مارس </w:t>
            </w:r>
            <w:r w:rsidR="0015650C" w:rsidRPr="002F71D8">
              <w:rPr>
                <w:b/>
                <w:bCs/>
                <w:lang w:bidi="ar-SY"/>
              </w:rPr>
              <w:t>202</w:t>
            </w:r>
            <w:r w:rsidR="0015650C">
              <w:rPr>
                <w:b/>
                <w:bCs/>
                <w:lang w:bidi="ar-SY"/>
              </w:rPr>
              <w:t>1</w:t>
            </w:r>
          </w:p>
        </w:tc>
      </w:tr>
      <w:tr w:rsidR="0015650C" w:rsidRPr="00290728" w14:paraId="026DE764" w14:textId="77777777" w:rsidTr="00CC485D">
        <w:trPr>
          <w:cantSplit/>
        </w:trPr>
        <w:tc>
          <w:tcPr>
            <w:tcW w:w="6620" w:type="dxa"/>
            <w:vMerge/>
          </w:tcPr>
          <w:p w14:paraId="330F23EC" w14:textId="77777777" w:rsidR="0015650C" w:rsidRPr="002F71D8" w:rsidRDefault="0015650C" w:rsidP="003C6B4F">
            <w:pPr>
              <w:spacing w:before="20" w:after="20" w:line="300" w:lineRule="exact"/>
              <w:rPr>
                <w:b/>
                <w:bCs/>
                <w:lang w:bidi="ar-EG"/>
              </w:rPr>
            </w:pPr>
          </w:p>
        </w:tc>
        <w:tc>
          <w:tcPr>
            <w:tcW w:w="3052" w:type="dxa"/>
            <w:vAlign w:val="center"/>
          </w:tcPr>
          <w:p w14:paraId="66E1E07C"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CC485D">
              <w:rPr>
                <w:rFonts w:hint="cs"/>
                <w:b/>
                <w:bCs/>
                <w:rtl/>
                <w:lang w:bidi="ar-EG"/>
              </w:rPr>
              <w:t>بالإنكليزية</w:t>
            </w:r>
          </w:p>
        </w:tc>
      </w:tr>
      <w:tr w:rsidR="00290728" w:rsidRPr="00290728" w14:paraId="7617D65A" w14:textId="77777777" w:rsidTr="00CC485D">
        <w:trPr>
          <w:cantSplit/>
        </w:trPr>
        <w:tc>
          <w:tcPr>
            <w:tcW w:w="9672" w:type="dxa"/>
            <w:gridSpan w:val="2"/>
          </w:tcPr>
          <w:p w14:paraId="4D52A1D9" w14:textId="35822B0E" w:rsidR="00290728" w:rsidRPr="00290728" w:rsidRDefault="00CC485D" w:rsidP="00290728">
            <w:pPr>
              <w:pStyle w:val="Source"/>
              <w:rPr>
                <w:rtl/>
                <w:lang w:bidi="ar-EG"/>
              </w:rPr>
            </w:pPr>
            <w:r>
              <w:rPr>
                <w:rFonts w:hint="cs"/>
                <w:rtl/>
                <w:lang w:bidi="ar-SY"/>
              </w:rPr>
              <w:t>تقرير من الأمين العام</w:t>
            </w:r>
          </w:p>
        </w:tc>
      </w:tr>
      <w:tr w:rsidR="00290728" w:rsidRPr="00290728" w14:paraId="5AFD1D21" w14:textId="77777777" w:rsidTr="00CC485D">
        <w:trPr>
          <w:cantSplit/>
        </w:trPr>
        <w:tc>
          <w:tcPr>
            <w:tcW w:w="9672" w:type="dxa"/>
            <w:gridSpan w:val="2"/>
          </w:tcPr>
          <w:p w14:paraId="0B872758" w14:textId="69B91A98" w:rsidR="00290728" w:rsidRPr="00383829" w:rsidRDefault="00CC485D" w:rsidP="00CC485D">
            <w:pPr>
              <w:pStyle w:val="Title1"/>
              <w:rPr>
                <w:rtl/>
              </w:rPr>
            </w:pPr>
            <w:r w:rsidRPr="00CC485D">
              <w:rPr>
                <w:rFonts w:hint="cs"/>
                <w:rtl/>
              </w:rPr>
              <w:t>تقوية الحضور الإقليم</w:t>
            </w:r>
            <w:r w:rsidRPr="00CC485D">
              <w:rPr>
                <w:rFonts w:hint="cs"/>
                <w:rtl/>
                <w:lang w:bidi="ar-EG"/>
              </w:rPr>
              <w:t>ي</w:t>
            </w:r>
          </w:p>
        </w:tc>
      </w:tr>
      <w:tr w:rsidR="00DC5FB0" w:rsidRPr="00290728" w14:paraId="092620F5" w14:textId="77777777" w:rsidTr="00CC485D">
        <w:trPr>
          <w:cantSplit/>
        </w:trPr>
        <w:tc>
          <w:tcPr>
            <w:tcW w:w="9672" w:type="dxa"/>
            <w:gridSpan w:val="2"/>
          </w:tcPr>
          <w:p w14:paraId="3B5363BD" w14:textId="77777777" w:rsidR="00DC5FB0" w:rsidRPr="00383829" w:rsidRDefault="00DC5FB0" w:rsidP="006A793B">
            <w:pPr>
              <w:rPr>
                <w:rtl/>
              </w:rPr>
            </w:pPr>
          </w:p>
        </w:tc>
      </w:tr>
    </w:tbl>
    <w:p w14:paraId="16CAFB9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E208203" w14:textId="77777777" w:rsidTr="00952F86">
        <w:trPr>
          <w:jc w:val="center"/>
        </w:trPr>
        <w:tc>
          <w:tcPr>
            <w:tcW w:w="8080" w:type="dxa"/>
          </w:tcPr>
          <w:p w14:paraId="0421DC18" w14:textId="77777777" w:rsidR="00290728" w:rsidRPr="00290728" w:rsidRDefault="00290728" w:rsidP="00706D7A">
            <w:pPr>
              <w:rPr>
                <w:b/>
                <w:bCs/>
                <w:rtl/>
                <w:lang w:bidi="ar-SY"/>
              </w:rPr>
            </w:pPr>
            <w:r w:rsidRPr="00290728">
              <w:rPr>
                <w:rFonts w:hint="cs"/>
                <w:b/>
                <w:bCs/>
                <w:rtl/>
                <w:lang w:bidi="ar-SY"/>
              </w:rPr>
              <w:t>ملخص</w:t>
            </w:r>
          </w:p>
          <w:p w14:paraId="22054635" w14:textId="18BA8A93" w:rsidR="00290728" w:rsidRDefault="00CC485D" w:rsidP="00CC485D">
            <w:pPr>
              <w:rPr>
                <w:rtl/>
                <w:lang w:bidi="ar-SY"/>
              </w:rPr>
            </w:pPr>
            <w:r w:rsidRPr="005F0ADE">
              <w:rPr>
                <w:rFonts w:hint="cs"/>
                <w:rtl/>
              </w:rPr>
              <w:t xml:space="preserve">الغرض من هذه الوثيقة تقديم تقرير بشأن تنفيذ القرار </w:t>
            </w:r>
            <w:r w:rsidRPr="005F0ADE">
              <w:rPr>
                <w:lang w:bidi="ar-SY"/>
              </w:rPr>
              <w:t>25</w:t>
            </w:r>
            <w:r w:rsidRPr="005F0ADE">
              <w:rPr>
                <w:rFonts w:hint="cs"/>
                <w:rtl/>
              </w:rPr>
              <w:t xml:space="preserve"> (المراجَع في دبي،</w:t>
            </w:r>
            <w:r w:rsidRPr="005F0ADE">
              <w:rPr>
                <w:rFonts w:hint="eastAsia"/>
                <w:rtl/>
              </w:rPr>
              <w:t> </w:t>
            </w:r>
            <w:r w:rsidRPr="005F0ADE">
              <w:rPr>
                <w:lang w:bidi="ar-SY"/>
              </w:rPr>
              <w:t>2018</w:t>
            </w:r>
            <w:r w:rsidRPr="005F0ADE">
              <w:rPr>
                <w:rFonts w:hint="cs"/>
                <w:rtl/>
              </w:rPr>
              <w:t>) لمؤتمر المندوبين المفوضين.</w:t>
            </w:r>
            <w:r w:rsidRPr="005F0ADE">
              <w:rPr>
                <w:rFonts w:hint="cs"/>
                <w:rtl/>
                <w:lang w:bidi="ar-EG"/>
              </w:rPr>
              <w:t xml:space="preserve"> وتتضمن </w:t>
            </w:r>
            <w:r w:rsidRPr="005F0ADE">
              <w:rPr>
                <w:rFonts w:hint="cs"/>
                <w:rtl/>
              </w:rPr>
              <w:t>الوثيقة </w:t>
            </w:r>
            <w:hyperlink r:id="rId9" w:history="1">
              <w:r w:rsidR="005F0ADE" w:rsidRPr="005F0ADE">
                <w:rPr>
                  <w:rStyle w:val="Hyperlink"/>
                  <w:szCs w:val="24"/>
                </w:rPr>
                <w:t>C21/INF/</w:t>
              </w:r>
            </w:hyperlink>
            <w:r w:rsidR="005F0ADE" w:rsidRPr="005F0ADE">
              <w:rPr>
                <w:rStyle w:val="Hyperlink"/>
                <w:szCs w:val="24"/>
              </w:rPr>
              <w:t>6</w:t>
            </w:r>
            <w:r w:rsidRPr="005F0ADE">
              <w:rPr>
                <w:rFonts w:hint="cs"/>
                <w:rtl/>
                <w:lang w:bidi="ar-EG"/>
              </w:rPr>
              <w:t xml:space="preserve"> </w:t>
            </w:r>
            <w:proofErr w:type="gramStart"/>
            <w:r w:rsidRPr="005F0ADE">
              <w:rPr>
                <w:rFonts w:hint="cs"/>
                <w:rtl/>
                <w:lang w:bidi="ar-EG"/>
              </w:rPr>
              <w:t>تسعة</w:t>
            </w:r>
            <w:proofErr w:type="gramEnd"/>
            <w:r w:rsidRPr="005F0ADE">
              <w:rPr>
                <w:rFonts w:hint="cs"/>
                <w:rtl/>
                <w:lang w:bidi="ar-EG"/>
              </w:rPr>
              <w:t xml:space="preserve"> ملحقات تت</w:t>
            </w:r>
            <w:r w:rsidR="009F610A" w:rsidRPr="005F0ADE">
              <w:rPr>
                <w:rFonts w:hint="cs"/>
                <w:rtl/>
                <w:lang w:bidi="ar-EG"/>
              </w:rPr>
              <w:t>علق</w:t>
            </w:r>
            <w:r w:rsidRPr="005F0ADE">
              <w:rPr>
                <w:rFonts w:hint="cs"/>
                <w:rtl/>
                <w:lang w:bidi="ar-EG"/>
              </w:rPr>
              <w:t xml:space="preserve"> بهذه الوثيقة (الملحقات من </w:t>
            </w:r>
            <w:r w:rsidRPr="005F0ADE">
              <w:rPr>
                <w:lang w:bidi="ar-SY"/>
              </w:rPr>
              <w:t>1</w:t>
            </w:r>
            <w:r w:rsidRPr="005F0ADE">
              <w:rPr>
                <w:rFonts w:hint="cs"/>
                <w:rtl/>
                <w:lang w:bidi="ar-EG"/>
              </w:rPr>
              <w:t xml:space="preserve"> إلى </w:t>
            </w:r>
            <w:r w:rsidRPr="005F0ADE">
              <w:rPr>
                <w:lang w:bidi="ar-SY"/>
              </w:rPr>
              <w:t>9</w:t>
            </w:r>
            <w:r w:rsidRPr="005F0ADE">
              <w:rPr>
                <w:rFonts w:hint="cs"/>
                <w:rtl/>
                <w:lang w:bidi="ar-EG"/>
              </w:rPr>
              <w:t xml:space="preserve">). </w:t>
            </w:r>
            <w:r w:rsidR="009F610A" w:rsidRPr="005F0ADE">
              <w:rPr>
                <w:rFonts w:hint="cs"/>
                <w:rtl/>
                <w:lang w:bidi="ar-EG"/>
              </w:rPr>
              <w:t xml:space="preserve">وقد </w:t>
            </w:r>
            <w:r w:rsidRPr="005F0ADE">
              <w:rPr>
                <w:rtl/>
                <w:lang w:bidi="ar-EG"/>
              </w:rPr>
              <w:t>أُعدت</w:t>
            </w:r>
            <w:r w:rsidR="009F610A" w:rsidRPr="005F0ADE">
              <w:rPr>
                <w:rFonts w:hint="cs"/>
                <w:rtl/>
                <w:lang w:bidi="ar-EG"/>
              </w:rPr>
              <w:t xml:space="preserve"> في الأصل</w:t>
            </w:r>
            <w:r w:rsidRPr="005F0ADE">
              <w:rPr>
                <w:rtl/>
                <w:lang w:bidi="ar-EG"/>
              </w:rPr>
              <w:t xml:space="preserve"> </w:t>
            </w:r>
            <w:r w:rsidR="009F610A" w:rsidRPr="005F0ADE">
              <w:rPr>
                <w:rFonts w:hint="cs"/>
                <w:rtl/>
                <w:lang w:bidi="ar-EG"/>
              </w:rPr>
              <w:t xml:space="preserve">نسخة عام </w:t>
            </w:r>
            <w:r w:rsidR="009F610A" w:rsidRPr="005F0ADE">
              <w:rPr>
                <w:lang w:bidi="ar-EG"/>
              </w:rPr>
              <w:t>2020</w:t>
            </w:r>
            <w:r w:rsidR="009F610A" w:rsidRPr="005F0ADE">
              <w:rPr>
                <w:rFonts w:hint="cs"/>
                <w:rtl/>
                <w:lang w:bidi="ar-EG"/>
              </w:rPr>
              <w:t xml:space="preserve"> </w:t>
            </w:r>
            <w:r w:rsidR="009F610A" w:rsidRPr="005F0ADE">
              <w:rPr>
                <w:lang w:bidi="ar-EG"/>
              </w:rPr>
              <w:t>(</w:t>
            </w:r>
            <w:hyperlink r:id="rId10" w:history="1">
              <w:r w:rsidR="005F0ADE" w:rsidRPr="005F0ADE">
                <w:rPr>
                  <w:rStyle w:val="Hyperlink"/>
                </w:rPr>
                <w:t>C20/25</w:t>
              </w:r>
            </w:hyperlink>
            <w:r w:rsidR="009F610A" w:rsidRPr="005F0ADE">
              <w:rPr>
                <w:lang w:bidi="ar-EG"/>
              </w:rPr>
              <w:t>)</w:t>
            </w:r>
            <w:r w:rsidR="009F610A" w:rsidRPr="005F0ADE">
              <w:rPr>
                <w:rFonts w:hint="cs"/>
                <w:rtl/>
                <w:lang w:bidi="ar-EG"/>
              </w:rPr>
              <w:t xml:space="preserve"> من هذا التقرير</w:t>
            </w:r>
            <w:r w:rsidRPr="005F0ADE">
              <w:rPr>
                <w:rtl/>
                <w:lang w:bidi="ar-EG"/>
              </w:rPr>
              <w:t xml:space="preserve"> </w:t>
            </w:r>
            <w:r w:rsidR="009F610A" w:rsidRPr="005F0ADE">
              <w:rPr>
                <w:rFonts w:hint="cs"/>
                <w:rtl/>
                <w:lang w:bidi="ar-EG"/>
              </w:rPr>
              <w:t xml:space="preserve">ووثيقة </w:t>
            </w:r>
            <w:r w:rsidR="0027293C" w:rsidRPr="005F0ADE">
              <w:rPr>
                <w:rtl/>
                <w:lang w:bidi="ar-EG"/>
              </w:rPr>
              <w:t>المعلومات</w:t>
            </w:r>
            <w:r w:rsidR="0027293C" w:rsidRPr="005F0ADE">
              <w:rPr>
                <w:rFonts w:hint="cs"/>
                <w:rtl/>
                <w:lang w:bidi="ar-EG"/>
              </w:rPr>
              <w:t xml:space="preserve"> </w:t>
            </w:r>
            <w:r w:rsidR="009F610A" w:rsidRPr="005F0ADE">
              <w:rPr>
                <w:rFonts w:hint="cs"/>
                <w:rtl/>
                <w:lang w:bidi="ar-EG"/>
              </w:rPr>
              <w:t xml:space="preserve">المتصلة به </w:t>
            </w:r>
            <w:r w:rsidR="009F610A" w:rsidRPr="005F0ADE">
              <w:rPr>
                <w:lang w:bidi="ar-EG"/>
              </w:rPr>
              <w:t>(</w:t>
            </w:r>
            <w:r w:rsidR="009F610A" w:rsidRPr="005F0ADE">
              <w:rPr>
                <w:lang w:val="en-GB" w:bidi="ar-SY"/>
              </w:rPr>
              <w:t>C20/INF/</w:t>
            </w:r>
            <w:r w:rsidR="009F610A" w:rsidRPr="005F0ADE">
              <w:rPr>
                <w:lang w:bidi="ar-SY"/>
              </w:rPr>
              <w:t>10)</w:t>
            </w:r>
            <w:r w:rsidR="009F610A" w:rsidRPr="005F0ADE">
              <w:rPr>
                <w:rFonts w:hint="cs"/>
                <w:rtl/>
                <w:lang w:bidi="ar-EG"/>
              </w:rPr>
              <w:t xml:space="preserve"> </w:t>
            </w:r>
            <w:r w:rsidR="00EA06B7" w:rsidRPr="005F0ADE">
              <w:rPr>
                <w:rFonts w:hint="cs"/>
                <w:rtl/>
                <w:lang w:bidi="ar-EG"/>
              </w:rPr>
              <w:t xml:space="preserve">لتقديمهما إلى دورة المجلس لعام </w:t>
            </w:r>
            <w:r w:rsidR="00EA06B7" w:rsidRPr="005F0ADE">
              <w:rPr>
                <w:lang w:bidi="ar-EG"/>
              </w:rPr>
              <w:t>2020</w:t>
            </w:r>
            <w:r w:rsidR="00EA06B7" w:rsidRPr="005F0ADE">
              <w:rPr>
                <w:rFonts w:hint="cs"/>
                <w:rtl/>
                <w:lang w:bidi="ar-EG"/>
              </w:rPr>
              <w:t xml:space="preserve">، ولكنهما لم </w:t>
            </w:r>
            <w:r w:rsidR="0027293C" w:rsidRPr="005F0ADE">
              <w:rPr>
                <w:rFonts w:hint="cs"/>
                <w:rtl/>
                <w:lang w:bidi="ar-EG"/>
              </w:rPr>
              <w:t>يجرِ استعراضهما</w:t>
            </w:r>
            <w:r w:rsidR="00EA06B7" w:rsidRPr="005F0ADE">
              <w:rPr>
                <w:rFonts w:hint="cs"/>
                <w:rtl/>
                <w:lang w:bidi="ar-EG"/>
              </w:rPr>
              <w:t>.</w:t>
            </w:r>
          </w:p>
          <w:p w14:paraId="3F632FA7" w14:textId="77777777" w:rsidR="00290728" w:rsidRPr="00290728" w:rsidRDefault="00290728" w:rsidP="00706D7A">
            <w:pPr>
              <w:rPr>
                <w:b/>
                <w:bCs/>
                <w:rtl/>
                <w:lang w:bidi="ar-SY"/>
              </w:rPr>
            </w:pPr>
            <w:r w:rsidRPr="00290728">
              <w:rPr>
                <w:rFonts w:hint="cs"/>
                <w:b/>
                <w:bCs/>
                <w:rtl/>
                <w:lang w:bidi="ar-SY"/>
              </w:rPr>
              <w:t>الإجراء المطلوب</w:t>
            </w:r>
          </w:p>
          <w:p w14:paraId="5B27EFAF" w14:textId="301F1D12" w:rsidR="00290728" w:rsidRDefault="009F610A" w:rsidP="00CC485D">
            <w:pPr>
              <w:rPr>
                <w:rtl/>
                <w:lang w:bidi="ar-EG"/>
              </w:rPr>
            </w:pPr>
            <w:r>
              <w:rPr>
                <w:rFonts w:hint="cs"/>
                <w:rtl/>
                <w:lang w:bidi="ar-SY"/>
              </w:rPr>
              <w:t>يُدعى</w:t>
            </w:r>
            <w:r w:rsidR="00CC485D" w:rsidRPr="00CC485D">
              <w:rPr>
                <w:rFonts w:hint="cs"/>
                <w:rtl/>
                <w:lang w:bidi="ar-SY"/>
              </w:rPr>
              <w:t xml:space="preserve"> المجلس</w:t>
            </w:r>
            <w:r>
              <w:rPr>
                <w:rFonts w:hint="cs"/>
                <w:rtl/>
                <w:lang w:bidi="ar-SY"/>
              </w:rPr>
              <w:t xml:space="preserve"> إلى</w:t>
            </w:r>
            <w:r w:rsidR="00CC485D" w:rsidRPr="00CC485D">
              <w:rPr>
                <w:rFonts w:hint="cs"/>
                <w:rtl/>
                <w:lang w:bidi="ar-SY"/>
              </w:rPr>
              <w:t xml:space="preserve"> </w:t>
            </w:r>
            <w:r w:rsidR="00CC485D" w:rsidRPr="00CC485D">
              <w:rPr>
                <w:rFonts w:hint="cs"/>
                <w:b/>
                <w:bCs/>
                <w:rtl/>
                <w:lang w:bidi="ar-SY"/>
              </w:rPr>
              <w:t>الإحاطة علماً</w:t>
            </w:r>
            <w:r w:rsidR="00CC485D" w:rsidRPr="00CC485D">
              <w:rPr>
                <w:rFonts w:hint="cs"/>
                <w:rtl/>
                <w:lang w:bidi="ar-SY"/>
              </w:rPr>
              <w:t xml:space="preserve"> بهذا التقرير</w:t>
            </w:r>
            <w:r w:rsidR="00CC485D">
              <w:rPr>
                <w:rFonts w:hint="cs"/>
                <w:rtl/>
                <w:lang w:bidi="ar-SY"/>
              </w:rPr>
              <w:t xml:space="preserve">، </w:t>
            </w:r>
            <w:r>
              <w:rPr>
                <w:rFonts w:hint="cs"/>
                <w:rtl/>
                <w:lang w:bidi="ar-SY"/>
              </w:rPr>
              <w:t xml:space="preserve">وكذلك بالوثيقة </w:t>
            </w:r>
            <w:r>
              <w:rPr>
                <w:lang w:bidi="ar-SY"/>
              </w:rPr>
              <w:t>C20/5</w:t>
            </w:r>
            <w:r>
              <w:rPr>
                <w:rFonts w:hint="cs"/>
                <w:rtl/>
                <w:lang w:bidi="ar-EG"/>
              </w:rPr>
              <w:t>.</w:t>
            </w:r>
          </w:p>
          <w:p w14:paraId="2622FA7F"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6F09F86" w14:textId="77777777" w:rsidR="00290728" w:rsidRPr="00290728" w:rsidRDefault="00290728" w:rsidP="00290728">
            <w:pPr>
              <w:rPr>
                <w:b/>
                <w:bCs/>
                <w:rtl/>
                <w:lang w:bidi="ar-SY"/>
              </w:rPr>
            </w:pPr>
            <w:r w:rsidRPr="00290728">
              <w:rPr>
                <w:rFonts w:hint="cs"/>
                <w:b/>
                <w:bCs/>
                <w:rtl/>
                <w:lang w:bidi="ar-SY"/>
              </w:rPr>
              <w:t>المراجع</w:t>
            </w:r>
          </w:p>
          <w:p w14:paraId="782492CC" w14:textId="631E3E22" w:rsidR="00290728" w:rsidRPr="00612C44" w:rsidRDefault="00350D9C" w:rsidP="00612C44">
            <w:pPr>
              <w:spacing w:after="120"/>
              <w:rPr>
                <w:i/>
                <w:iCs/>
                <w:spacing w:val="-2"/>
                <w:rtl/>
                <w:lang w:bidi="ar-SY"/>
              </w:rPr>
            </w:pPr>
            <w:hyperlink r:id="rId11" w:history="1">
              <w:r w:rsidR="00CC485D" w:rsidRPr="00612C44">
                <w:rPr>
                  <w:rStyle w:val="Hyperlink"/>
                  <w:rFonts w:hint="cs"/>
                  <w:i/>
                  <w:iCs/>
                  <w:spacing w:val="-2"/>
                  <w:rtl/>
                </w:rPr>
                <w:t xml:space="preserve">القرار </w:t>
              </w:r>
              <w:r w:rsidR="00CC485D" w:rsidRPr="00612C44">
                <w:rPr>
                  <w:rStyle w:val="Hyperlink"/>
                  <w:i/>
                  <w:iCs/>
                  <w:spacing w:val="-2"/>
                  <w:lang w:bidi="ar-SY"/>
                </w:rPr>
                <w:t>25</w:t>
              </w:r>
              <w:r w:rsidR="00CC485D" w:rsidRPr="00612C44">
                <w:rPr>
                  <w:rStyle w:val="Hyperlink"/>
                  <w:rFonts w:hint="cs"/>
                  <w:i/>
                  <w:iCs/>
                  <w:spacing w:val="-2"/>
                  <w:rtl/>
                </w:rPr>
                <w:t xml:space="preserve"> (المراجَع في دبي، </w:t>
              </w:r>
              <w:r w:rsidR="00CC485D" w:rsidRPr="00612C44">
                <w:rPr>
                  <w:rStyle w:val="Hyperlink"/>
                  <w:i/>
                  <w:iCs/>
                  <w:spacing w:val="-2"/>
                  <w:lang w:bidi="ar-SY"/>
                </w:rPr>
                <w:t>2018</w:t>
              </w:r>
              <w:r w:rsidR="00CC485D" w:rsidRPr="00612C44">
                <w:rPr>
                  <w:rStyle w:val="Hyperlink"/>
                  <w:rFonts w:hint="cs"/>
                  <w:i/>
                  <w:iCs/>
                  <w:spacing w:val="-2"/>
                  <w:rtl/>
                </w:rPr>
                <w:t>)</w:t>
              </w:r>
            </w:hyperlink>
            <w:r w:rsidR="00CC485D" w:rsidRPr="00612C44">
              <w:rPr>
                <w:rFonts w:hint="cs"/>
                <w:i/>
                <w:iCs/>
                <w:spacing w:val="-2"/>
                <w:rtl/>
                <w:lang w:bidi="ar-SY"/>
              </w:rPr>
              <w:t xml:space="preserve">؛ الوثائق </w:t>
            </w:r>
            <w:hyperlink r:id="rId12" w:history="1">
              <w:r w:rsidR="00CC485D" w:rsidRPr="00612C44">
                <w:rPr>
                  <w:rStyle w:val="Hyperlink"/>
                  <w:i/>
                  <w:iCs/>
                  <w:spacing w:val="-2"/>
                  <w:lang w:bidi="ar-SY"/>
                </w:rPr>
                <w:t>C17/INF/12</w:t>
              </w:r>
            </w:hyperlink>
            <w:r w:rsidR="00CC485D" w:rsidRPr="00612C44">
              <w:rPr>
                <w:rFonts w:hint="cs"/>
                <w:i/>
                <w:iCs/>
                <w:spacing w:val="-2"/>
                <w:rtl/>
                <w:lang w:bidi="ar-SY"/>
              </w:rPr>
              <w:t xml:space="preserve"> </w:t>
            </w:r>
            <w:r w:rsidR="00CC485D" w:rsidRPr="00612C44">
              <w:rPr>
                <w:rFonts w:hint="cs"/>
                <w:i/>
                <w:iCs/>
                <w:spacing w:val="-2"/>
                <w:rtl/>
                <w:lang w:bidi="ar-EG"/>
              </w:rPr>
              <w:t>و</w:t>
            </w:r>
            <w:hyperlink r:id="rId13" w:history="1">
              <w:r w:rsidR="00CC485D" w:rsidRPr="00612C44">
                <w:rPr>
                  <w:rStyle w:val="Hyperlink"/>
                  <w:i/>
                  <w:iCs/>
                  <w:spacing w:val="-2"/>
                  <w:lang w:bidi="ar-SY"/>
                </w:rPr>
                <w:t>C19/INF/7</w:t>
              </w:r>
            </w:hyperlink>
            <w:r w:rsidR="00CC485D" w:rsidRPr="00612C44">
              <w:rPr>
                <w:rFonts w:hint="cs"/>
                <w:i/>
                <w:iCs/>
                <w:spacing w:val="-2"/>
                <w:rtl/>
              </w:rPr>
              <w:t xml:space="preserve"> و</w:t>
            </w:r>
            <w:hyperlink r:id="rId14" w:history="1">
              <w:r w:rsidR="00CC485D" w:rsidRPr="00612C44">
                <w:rPr>
                  <w:rStyle w:val="Hyperlink"/>
                  <w:i/>
                  <w:iCs/>
                  <w:spacing w:val="-2"/>
                  <w:lang w:bidi="ar-SY"/>
                </w:rPr>
                <w:t>C20/INF/10</w:t>
              </w:r>
            </w:hyperlink>
            <w:r w:rsidR="00CC485D" w:rsidRPr="00612C44">
              <w:rPr>
                <w:rFonts w:hint="cs"/>
                <w:i/>
                <w:iCs/>
                <w:spacing w:val="-2"/>
                <w:rtl/>
                <w:lang w:bidi="ar-SY"/>
              </w:rPr>
              <w:t xml:space="preserve"> و</w:t>
            </w:r>
            <w:hyperlink r:id="rId15" w:history="1">
              <w:r w:rsidR="00CC485D" w:rsidRPr="00612C44">
                <w:rPr>
                  <w:rStyle w:val="Hyperlink"/>
                  <w:i/>
                  <w:iCs/>
                  <w:spacing w:val="-2"/>
                  <w:lang w:bidi="ar-SY"/>
                </w:rPr>
                <w:t>C21/INF/6</w:t>
              </w:r>
            </w:hyperlink>
            <w:r w:rsidR="00CC485D" w:rsidRPr="00612C44">
              <w:rPr>
                <w:rFonts w:hint="cs"/>
                <w:i/>
                <w:iCs/>
                <w:spacing w:val="-2"/>
                <w:rtl/>
                <w:lang w:bidi="ar-SY"/>
              </w:rPr>
              <w:t xml:space="preserve"> الصادرة عن</w:t>
            </w:r>
            <w:r w:rsidR="00CC485D" w:rsidRPr="00612C44">
              <w:rPr>
                <w:rFonts w:hint="eastAsia"/>
                <w:i/>
                <w:iCs/>
                <w:spacing w:val="-2"/>
                <w:rtl/>
                <w:lang w:bidi="ar-SY"/>
              </w:rPr>
              <w:t> </w:t>
            </w:r>
            <w:r w:rsidR="00CC485D" w:rsidRPr="00612C44">
              <w:rPr>
                <w:rFonts w:hint="cs"/>
                <w:i/>
                <w:iCs/>
                <w:spacing w:val="-2"/>
                <w:rtl/>
                <w:lang w:bidi="ar-SY"/>
              </w:rPr>
              <w:t>المجلس</w:t>
            </w:r>
          </w:p>
        </w:tc>
      </w:tr>
    </w:tbl>
    <w:p w14:paraId="30288821" w14:textId="77777777" w:rsidR="004E11DC" w:rsidRPr="00F974C5" w:rsidRDefault="004E11DC" w:rsidP="0026373E">
      <w:pPr>
        <w:rPr>
          <w:rtl/>
        </w:rPr>
      </w:pPr>
    </w:p>
    <w:p w14:paraId="1DFB2811" w14:textId="77777777" w:rsidR="00290728" w:rsidRDefault="00290728" w:rsidP="00290728">
      <w:pPr>
        <w:rPr>
          <w:rtl/>
          <w:lang w:bidi="ar-EG"/>
        </w:rPr>
      </w:pPr>
      <w:r>
        <w:rPr>
          <w:rtl/>
          <w:lang w:bidi="ar-SY"/>
        </w:rPr>
        <w:br w:type="page"/>
      </w:r>
    </w:p>
    <w:p w14:paraId="038A64F4" w14:textId="77777777" w:rsidR="00CC485D" w:rsidRPr="00CC485D" w:rsidRDefault="00CC485D" w:rsidP="00886486">
      <w:pPr>
        <w:pStyle w:val="Heading1"/>
        <w:rPr>
          <w:rtl/>
        </w:rPr>
      </w:pPr>
      <w:r w:rsidRPr="00CC485D">
        <w:rPr>
          <w:lang w:bidi="ar-SY"/>
        </w:rPr>
        <w:lastRenderedPageBreak/>
        <w:t>1</w:t>
      </w:r>
      <w:r w:rsidRPr="00CC485D">
        <w:rPr>
          <w:lang w:bidi="ar-SY"/>
        </w:rPr>
        <w:tab/>
      </w:r>
      <w:r w:rsidRPr="00CC485D">
        <w:rPr>
          <w:rFonts w:hint="cs"/>
          <w:rtl/>
        </w:rPr>
        <w:t>خلفية</w:t>
      </w:r>
    </w:p>
    <w:p w14:paraId="6F4F9CC2" w14:textId="77777777" w:rsidR="00CC485D" w:rsidRPr="005A42CA" w:rsidRDefault="00CC485D" w:rsidP="00CC485D">
      <w:pPr>
        <w:rPr>
          <w:spacing w:val="-3"/>
          <w:rtl/>
        </w:rPr>
      </w:pPr>
      <w:r w:rsidRPr="00C462E9">
        <w:rPr>
          <w:lang w:bidi="ar-SY"/>
        </w:rPr>
        <w:t>1.1</w:t>
      </w:r>
      <w:r w:rsidRPr="00C462E9">
        <w:rPr>
          <w:lang w:bidi="ar-SY"/>
        </w:rPr>
        <w:tab/>
      </w:r>
      <w:r w:rsidRPr="005A42CA">
        <w:rPr>
          <w:rFonts w:hint="cs"/>
          <w:spacing w:val="-3"/>
          <w:rtl/>
          <w:lang w:bidi="ar-SY"/>
        </w:rPr>
        <w:t xml:space="preserve">راجع </w:t>
      </w:r>
      <w:r w:rsidRPr="005A42CA">
        <w:rPr>
          <w:rFonts w:hint="cs"/>
          <w:spacing w:val="-3"/>
          <w:rtl/>
        </w:rPr>
        <w:t>مؤتمر المندوبين المفوضين للاتحاد لعام</w:t>
      </w:r>
      <w:r w:rsidRPr="005A42CA">
        <w:rPr>
          <w:rFonts w:hint="eastAsia"/>
          <w:spacing w:val="-3"/>
          <w:rtl/>
        </w:rPr>
        <w:t> </w:t>
      </w:r>
      <w:r w:rsidRPr="005A42CA">
        <w:rPr>
          <w:spacing w:val="-3"/>
        </w:rPr>
        <w:t>2018</w:t>
      </w:r>
      <w:r w:rsidRPr="005A42CA">
        <w:rPr>
          <w:rFonts w:hint="cs"/>
          <w:spacing w:val="-3"/>
          <w:rtl/>
          <w:lang w:bidi="ar-LB"/>
        </w:rPr>
        <w:t xml:space="preserve"> </w:t>
      </w:r>
      <w:r w:rsidRPr="005A42CA">
        <w:rPr>
          <w:spacing w:val="-3"/>
          <w:lang w:bidi="ar-LB"/>
        </w:rPr>
        <w:t>(PP-18)</w:t>
      </w:r>
      <w:r w:rsidRPr="005A42CA">
        <w:rPr>
          <w:rFonts w:hint="cs"/>
          <w:spacing w:val="-3"/>
          <w:rtl/>
          <w:lang w:bidi="ar-LB"/>
        </w:rPr>
        <w:t xml:space="preserve"> </w:t>
      </w:r>
      <w:r w:rsidRPr="005A42CA">
        <w:rPr>
          <w:rFonts w:hint="cs"/>
          <w:spacing w:val="-3"/>
          <w:rtl/>
          <w:lang w:bidi="ar-EG"/>
        </w:rPr>
        <w:t xml:space="preserve">الذي عُقد في دبي </w:t>
      </w:r>
      <w:r w:rsidRPr="005A42CA">
        <w:rPr>
          <w:rFonts w:hint="cs"/>
          <w:spacing w:val="-3"/>
          <w:rtl/>
          <w:lang w:bidi="ar-LB"/>
        </w:rPr>
        <w:t xml:space="preserve">القرار </w:t>
      </w:r>
      <w:r w:rsidRPr="005A42CA">
        <w:rPr>
          <w:spacing w:val="-3"/>
          <w:lang w:bidi="ar-LB"/>
        </w:rPr>
        <w:t>25</w:t>
      </w:r>
      <w:r w:rsidRPr="005A42CA">
        <w:rPr>
          <w:rFonts w:hint="cs"/>
          <w:spacing w:val="-3"/>
          <w:rtl/>
          <w:lang w:bidi="ar-SY"/>
        </w:rPr>
        <w:t xml:space="preserve"> (</w:t>
      </w:r>
      <w:r w:rsidRPr="005A42CA">
        <w:rPr>
          <w:rFonts w:hint="cs"/>
          <w:spacing w:val="-3"/>
          <w:rtl/>
        </w:rPr>
        <w:t>تقوية الحضور الإقليمي). وفي</w:t>
      </w:r>
      <w:r w:rsidRPr="005A42CA">
        <w:rPr>
          <w:rFonts w:hint="eastAsia"/>
          <w:spacing w:val="-3"/>
          <w:rtl/>
        </w:rPr>
        <w:t> </w:t>
      </w:r>
      <w:r w:rsidRPr="005A42CA">
        <w:rPr>
          <w:rFonts w:hint="cs"/>
          <w:spacing w:val="-3"/>
          <w:rtl/>
        </w:rPr>
        <w:t>هذا المؤتمر، قرر أعضاء الاتحاد "</w:t>
      </w:r>
      <w:r w:rsidRPr="005A42CA">
        <w:rPr>
          <w:spacing w:val="-3"/>
          <w:rtl/>
        </w:rPr>
        <w:t xml:space="preserve">تقوية وظائف المكاتب الإقليمية بحيث يمكن أن تؤدي دوراً في تنفيذ </w:t>
      </w:r>
      <w:r w:rsidRPr="005A42CA">
        <w:rPr>
          <w:rFonts w:hint="cs"/>
          <w:spacing w:val="-3"/>
          <w:rtl/>
        </w:rPr>
        <w:t xml:space="preserve">خطة الاتحاد الاستراتيجية </w:t>
      </w:r>
      <w:r w:rsidRPr="005A42CA">
        <w:rPr>
          <w:spacing w:val="-3"/>
          <w:rtl/>
        </w:rPr>
        <w:t xml:space="preserve">وبرامجه ومشاريعه والمبادرات الإقليمية المذكورة في القرار </w:t>
      </w:r>
      <w:r w:rsidRPr="005A42CA">
        <w:rPr>
          <w:spacing w:val="-3"/>
        </w:rPr>
        <w:t>17</w:t>
      </w:r>
      <w:r w:rsidRPr="005A42CA">
        <w:rPr>
          <w:spacing w:val="-3"/>
          <w:rtl/>
        </w:rPr>
        <w:t xml:space="preserve"> (المراجَع في بوينس آيرس، </w:t>
      </w:r>
      <w:r w:rsidRPr="005A42CA">
        <w:rPr>
          <w:spacing w:val="-3"/>
        </w:rPr>
        <w:t>2017</w:t>
      </w:r>
      <w:r w:rsidRPr="005A42CA">
        <w:rPr>
          <w:spacing w:val="-3"/>
          <w:rtl/>
        </w:rPr>
        <w:t>) للمؤتمر</w:t>
      </w:r>
      <w:r w:rsidRPr="005A42CA">
        <w:rPr>
          <w:rFonts w:hint="cs"/>
          <w:spacing w:val="-3"/>
          <w:rtl/>
          <w:lang w:bidi="ar-EG"/>
        </w:rPr>
        <w:t xml:space="preserve"> </w:t>
      </w:r>
      <w:r w:rsidRPr="005A42CA">
        <w:rPr>
          <w:spacing w:val="-3"/>
          <w:rtl/>
        </w:rPr>
        <w:t>العالمي لتنمية الاتصالات</w:t>
      </w:r>
      <w:r w:rsidRPr="005A42CA">
        <w:rPr>
          <w:rFonts w:hint="cs"/>
          <w:spacing w:val="-3"/>
          <w:rtl/>
        </w:rPr>
        <w:t>".</w:t>
      </w:r>
    </w:p>
    <w:p w14:paraId="5C3DC08D" w14:textId="393D4293" w:rsidR="00CC485D" w:rsidRPr="00CC485D" w:rsidRDefault="00CC485D" w:rsidP="00CC485D">
      <w:pPr>
        <w:rPr>
          <w:color w:val="000000"/>
          <w:rtl/>
          <w:lang w:val="en-GB" w:bidi="ar-EG"/>
        </w:rPr>
      </w:pPr>
      <w:r w:rsidRPr="00CC485D">
        <w:rPr>
          <w:lang w:bidi="ar-SY"/>
        </w:rPr>
        <w:t>2.1</w:t>
      </w:r>
      <w:r w:rsidRPr="00CC485D">
        <w:rPr>
          <w:rtl/>
        </w:rPr>
        <w:tab/>
      </w:r>
      <w:r w:rsidRPr="00CC485D">
        <w:rPr>
          <w:color w:val="000000"/>
          <w:rtl/>
        </w:rPr>
        <w:t>و</w:t>
      </w:r>
      <w:r w:rsidRPr="00CC485D">
        <w:rPr>
          <w:rFonts w:hint="cs"/>
          <w:color w:val="000000"/>
          <w:rtl/>
        </w:rPr>
        <w:t>في عام</w:t>
      </w:r>
      <w:r w:rsidRPr="00CC485D">
        <w:rPr>
          <w:rFonts w:hint="cs"/>
          <w:color w:val="000000"/>
          <w:rtl/>
          <w:lang w:bidi="ar-EG"/>
        </w:rPr>
        <w:t xml:space="preserve"> </w:t>
      </w:r>
      <w:r w:rsidR="003B1001">
        <w:rPr>
          <w:color w:val="000000"/>
          <w:lang w:val="es-ES" w:bidi="ar-EG"/>
        </w:rPr>
        <w:t>2020</w:t>
      </w:r>
      <w:r w:rsidRPr="00CC485D">
        <w:rPr>
          <w:rFonts w:hint="cs"/>
          <w:color w:val="000000"/>
          <w:rtl/>
          <w:lang w:bidi="ar-EG"/>
        </w:rPr>
        <w:t xml:space="preserve">، تواصلت الجهود الرامية إلى </w:t>
      </w:r>
      <w:r w:rsidRPr="00CC485D">
        <w:rPr>
          <w:rFonts w:hint="cs"/>
          <w:color w:val="000000"/>
          <w:rtl/>
          <w:lang w:bidi="ar-LB"/>
        </w:rPr>
        <w:t>تعزيز الحضور الإقليمي للاتحاد عن طريق مجموعة من التدابير التي تمكّنه من</w:t>
      </w:r>
      <w:r w:rsidRPr="00CC485D">
        <w:rPr>
          <w:rFonts w:hint="eastAsia"/>
          <w:color w:val="000000"/>
          <w:rtl/>
          <w:lang w:bidi="ar-LB"/>
        </w:rPr>
        <w:t> </w:t>
      </w:r>
      <w:r w:rsidRPr="00CC485D">
        <w:rPr>
          <w:rFonts w:hint="cs"/>
          <w:color w:val="000000"/>
          <w:rtl/>
          <w:lang w:bidi="ar-LB"/>
        </w:rPr>
        <w:t xml:space="preserve">زيادة </w:t>
      </w:r>
      <w:r w:rsidR="004C0324">
        <w:rPr>
          <w:rFonts w:hint="cs"/>
          <w:color w:val="000000"/>
          <w:rtl/>
          <w:lang w:bidi="ar-LB"/>
        </w:rPr>
        <w:t>تلبية الا</w:t>
      </w:r>
      <w:r w:rsidRPr="00CC485D">
        <w:rPr>
          <w:rFonts w:hint="cs"/>
          <w:color w:val="000000"/>
          <w:rtl/>
          <w:lang w:bidi="ar-LB"/>
        </w:rPr>
        <w:t xml:space="preserve">حتياجات المحددة للمناطق </w:t>
      </w:r>
      <w:r w:rsidRPr="00CC485D">
        <w:rPr>
          <w:rFonts w:hint="cs"/>
          <w:color w:val="000000"/>
          <w:rtl/>
        </w:rPr>
        <w:t>وتقديم</w:t>
      </w:r>
      <w:r w:rsidRPr="00CC485D">
        <w:rPr>
          <w:color w:val="000000"/>
          <w:rtl/>
        </w:rPr>
        <w:t xml:space="preserve"> </w:t>
      </w:r>
      <w:r w:rsidRPr="00CC485D">
        <w:rPr>
          <w:rFonts w:hint="cs"/>
          <w:color w:val="000000"/>
          <w:rtl/>
        </w:rPr>
        <w:t xml:space="preserve">منتجات وخدمات </w:t>
      </w:r>
      <w:r w:rsidRPr="00CC485D">
        <w:rPr>
          <w:color w:val="000000"/>
          <w:rtl/>
        </w:rPr>
        <w:t>عالية الجودة وفي الوقت المناسب على الصعيدين القُطري</w:t>
      </w:r>
      <w:r w:rsidRPr="00CC485D">
        <w:rPr>
          <w:rFonts w:hint="cs"/>
          <w:color w:val="000000"/>
          <w:rtl/>
        </w:rPr>
        <w:t> </w:t>
      </w:r>
      <w:r w:rsidRPr="00CC485D">
        <w:rPr>
          <w:color w:val="000000"/>
          <w:rtl/>
        </w:rPr>
        <w:t>والإقليمي</w:t>
      </w:r>
      <w:r w:rsidRPr="00CC485D">
        <w:rPr>
          <w:rFonts w:hint="cs"/>
          <w:color w:val="000000"/>
          <w:rtl/>
        </w:rPr>
        <w:t>.</w:t>
      </w:r>
      <w:r w:rsidR="006A19C5">
        <w:rPr>
          <w:rFonts w:hint="cs"/>
          <w:color w:val="000000"/>
          <w:rtl/>
          <w:lang w:bidi="ar-EG"/>
        </w:rPr>
        <w:t xml:space="preserve"> </w:t>
      </w:r>
      <w:r w:rsidR="003B1001">
        <w:rPr>
          <w:rFonts w:hint="cs"/>
          <w:color w:val="000000"/>
          <w:rtl/>
          <w:lang w:bidi="ar-EG"/>
        </w:rPr>
        <w:t>و</w:t>
      </w:r>
      <w:r w:rsidRPr="00CC485D">
        <w:rPr>
          <w:rFonts w:hint="cs"/>
          <w:color w:val="000000"/>
          <w:rtl/>
          <w:lang w:bidi="ar"/>
        </w:rPr>
        <w:t>وافق المجلس خلال دورته لعام 2019</w:t>
      </w:r>
      <w:r w:rsidR="003B1001">
        <w:rPr>
          <w:rFonts w:hint="cs"/>
          <w:color w:val="000000"/>
          <w:rtl/>
          <w:lang w:bidi="ar"/>
        </w:rPr>
        <w:t xml:space="preserve"> </w:t>
      </w:r>
      <w:r w:rsidRPr="00CC485D">
        <w:rPr>
          <w:rFonts w:hint="cs"/>
          <w:color w:val="000000"/>
          <w:rtl/>
          <w:lang w:bidi="ar"/>
        </w:rPr>
        <w:t xml:space="preserve">على المقرر 616 (المتاح في </w:t>
      </w:r>
      <w:hyperlink w:anchor="_التذييل" w:history="1">
        <w:r w:rsidRPr="005C2F8F">
          <w:rPr>
            <w:rStyle w:val="Hyperlink"/>
            <w:rFonts w:hint="cs"/>
            <w:rtl/>
            <w:lang w:bidi="ar"/>
          </w:rPr>
          <w:t>التذييل</w:t>
        </w:r>
      </w:hyperlink>
      <w:r w:rsidRPr="00CC485D">
        <w:rPr>
          <w:rFonts w:hint="cs"/>
          <w:color w:val="000000"/>
          <w:rtl/>
          <w:lang w:bidi="ar"/>
        </w:rPr>
        <w:t>)</w:t>
      </w:r>
      <w:r w:rsidR="003B1001">
        <w:rPr>
          <w:rFonts w:hint="cs"/>
          <w:color w:val="000000"/>
          <w:rtl/>
          <w:lang w:bidi="ar"/>
        </w:rPr>
        <w:t xml:space="preserve">، </w:t>
      </w:r>
      <w:r w:rsidRPr="00CC485D">
        <w:rPr>
          <w:rFonts w:hint="cs"/>
          <w:color w:val="000000"/>
          <w:rtl/>
          <w:lang w:bidi="ar"/>
        </w:rPr>
        <w:t xml:space="preserve">الذي </w:t>
      </w:r>
      <w:r w:rsidRPr="00CC485D">
        <w:rPr>
          <w:rFonts w:hint="cs"/>
          <w:color w:val="000000"/>
          <w:rtl/>
          <w:lang w:bidi="ar-EG"/>
        </w:rPr>
        <w:t>يكلف</w:t>
      </w:r>
      <w:r w:rsidRPr="00CC485D">
        <w:rPr>
          <w:rFonts w:hint="cs"/>
          <w:color w:val="000000"/>
          <w:rtl/>
          <w:lang w:bidi="ar"/>
        </w:rPr>
        <w:t xml:space="preserve"> الأمين العام بإجراء استعراض للحضور الإقليمي في محاولة لتحسين كفاءته وفعاليته.</w:t>
      </w:r>
      <w:r>
        <w:rPr>
          <w:rFonts w:hint="cs"/>
          <w:color w:val="000000"/>
          <w:rtl/>
          <w:lang w:bidi="ar"/>
        </w:rPr>
        <w:t xml:space="preserve"> </w:t>
      </w:r>
      <w:r w:rsidR="00396270">
        <w:rPr>
          <w:rFonts w:hint="cs"/>
          <w:color w:val="000000"/>
          <w:rtl/>
          <w:lang w:bidi="ar-EG"/>
        </w:rPr>
        <w:t>و</w:t>
      </w:r>
      <w:r>
        <w:rPr>
          <w:rFonts w:hint="cs"/>
          <w:color w:val="000000"/>
          <w:rtl/>
          <w:lang w:bidi="ar"/>
        </w:rPr>
        <w:t xml:space="preserve">اختيرت </w:t>
      </w:r>
      <w:r w:rsidR="009B338C">
        <w:rPr>
          <w:rFonts w:hint="cs"/>
          <w:color w:val="000000"/>
          <w:rtl/>
          <w:lang w:bidi="ar"/>
        </w:rPr>
        <w:t>مؤسس</w:t>
      </w:r>
      <w:r w:rsidR="00A14AD9">
        <w:rPr>
          <w:rFonts w:hint="cs"/>
          <w:color w:val="000000"/>
          <w:rtl/>
          <w:lang w:bidi="ar"/>
        </w:rPr>
        <w:t>ة</w:t>
      </w:r>
      <w:r>
        <w:rPr>
          <w:rFonts w:hint="cs"/>
          <w:color w:val="000000"/>
          <w:rtl/>
          <w:lang w:bidi="ar"/>
        </w:rPr>
        <w:t xml:space="preserve"> </w:t>
      </w:r>
      <w:r>
        <w:rPr>
          <w:color w:val="000000"/>
          <w:lang w:bidi="ar"/>
        </w:rPr>
        <w:t>PwC</w:t>
      </w:r>
      <w:r>
        <w:rPr>
          <w:rFonts w:hint="cs"/>
          <w:color w:val="000000"/>
          <w:rtl/>
          <w:lang w:bidi="ar-EG"/>
        </w:rPr>
        <w:t xml:space="preserve"> وبدأت مباشرة عملها في</w:t>
      </w:r>
      <w:r w:rsidR="00F8236D">
        <w:rPr>
          <w:rFonts w:hint="eastAsia"/>
          <w:color w:val="000000"/>
          <w:rtl/>
          <w:lang w:bidi="ar-EG"/>
        </w:rPr>
        <w:t> </w:t>
      </w:r>
      <w:r>
        <w:rPr>
          <w:rFonts w:hint="cs"/>
          <w:color w:val="000000"/>
          <w:rtl/>
          <w:lang w:bidi="ar-EG"/>
        </w:rPr>
        <w:t>نوفمبر</w:t>
      </w:r>
      <w:r w:rsidR="0086522A">
        <w:rPr>
          <w:rFonts w:hint="eastAsia"/>
          <w:color w:val="000000"/>
          <w:rtl/>
          <w:lang w:bidi="ar-EG"/>
        </w:rPr>
        <w:t> </w:t>
      </w:r>
      <w:r>
        <w:rPr>
          <w:rFonts w:hint="cs"/>
          <w:color w:val="000000"/>
          <w:rtl/>
          <w:lang w:bidi="ar-EG"/>
        </w:rPr>
        <w:t xml:space="preserve">2019. </w:t>
      </w:r>
      <w:r w:rsidRPr="00CC485D">
        <w:rPr>
          <w:color w:val="000000"/>
          <w:rtl/>
          <w:lang w:bidi="ar-EG"/>
        </w:rPr>
        <w:t xml:space="preserve">وقدمت </w:t>
      </w:r>
      <w:r w:rsidR="00557915">
        <w:rPr>
          <w:rFonts w:hint="cs"/>
          <w:color w:val="000000"/>
          <w:rtl/>
          <w:lang w:bidi="ar-EG"/>
        </w:rPr>
        <w:t>ال</w:t>
      </w:r>
      <w:r w:rsidR="009B338C">
        <w:rPr>
          <w:rFonts w:hint="cs"/>
          <w:color w:val="000000"/>
          <w:rtl/>
          <w:lang w:bidi="ar-EG"/>
        </w:rPr>
        <w:t>مؤسسة</w:t>
      </w:r>
      <w:r w:rsidRPr="00CC485D">
        <w:rPr>
          <w:color w:val="000000"/>
          <w:rtl/>
          <w:lang w:bidi="ar-EG"/>
        </w:rPr>
        <w:t xml:space="preserve"> تقريرها في يوليو 2020</w:t>
      </w:r>
      <w:r w:rsidR="007C436F">
        <w:rPr>
          <w:rFonts w:hint="cs"/>
          <w:color w:val="000000"/>
          <w:rtl/>
          <w:lang w:bidi="ar-EG"/>
        </w:rPr>
        <w:t xml:space="preserve">، </w:t>
      </w:r>
      <w:r w:rsidR="00557915">
        <w:rPr>
          <w:rFonts w:hint="cs"/>
          <w:color w:val="000000"/>
          <w:rtl/>
          <w:lang w:bidi="ar-EG"/>
        </w:rPr>
        <w:t>و</w:t>
      </w:r>
      <w:r w:rsidR="00396270">
        <w:rPr>
          <w:rFonts w:hint="cs"/>
          <w:color w:val="000000"/>
          <w:rtl/>
          <w:lang w:bidi="ar-EG"/>
        </w:rPr>
        <w:t>يحدد</w:t>
      </w:r>
      <w:r w:rsidR="00557915">
        <w:rPr>
          <w:rFonts w:hint="cs"/>
          <w:color w:val="000000"/>
          <w:rtl/>
          <w:lang w:bidi="ar-EG"/>
        </w:rPr>
        <w:t xml:space="preserve"> التقرير</w:t>
      </w:r>
      <w:r w:rsidR="00396270">
        <w:rPr>
          <w:rFonts w:hint="cs"/>
          <w:color w:val="000000"/>
          <w:rtl/>
          <w:lang w:bidi="ar-EG"/>
        </w:rPr>
        <w:t xml:space="preserve"> </w:t>
      </w:r>
      <w:r w:rsidRPr="00CC485D">
        <w:rPr>
          <w:color w:val="000000"/>
          <w:rtl/>
          <w:lang w:bidi="ar-EG"/>
        </w:rPr>
        <w:t>توصيات لتحسين مستوى الحضور الإقليمي للاتحاد وخطة عمل لتنفيذها.</w:t>
      </w:r>
      <w:r w:rsidR="00396270">
        <w:rPr>
          <w:rFonts w:hint="cs"/>
          <w:color w:val="000000"/>
          <w:rtl/>
          <w:lang w:bidi="ar-EG"/>
        </w:rPr>
        <w:t xml:space="preserve"> وقُدم ذلك التقرير إلى المشاورة الافتراضية الثانية لأعضاء المجلس في نوفمبر </w:t>
      </w:r>
      <w:r w:rsidR="00396270">
        <w:rPr>
          <w:color w:val="000000"/>
          <w:lang w:bidi="ar-EG"/>
        </w:rPr>
        <w:t>2020</w:t>
      </w:r>
      <w:r w:rsidR="00396270">
        <w:rPr>
          <w:rFonts w:hint="cs"/>
          <w:color w:val="000000"/>
          <w:rtl/>
          <w:lang w:bidi="ar-EG"/>
        </w:rPr>
        <w:t>.</w:t>
      </w:r>
    </w:p>
    <w:p w14:paraId="4810C7A6" w14:textId="5A4C6EC1" w:rsidR="00CC485D" w:rsidRPr="00CC485D" w:rsidRDefault="00CC485D" w:rsidP="00CC485D">
      <w:pPr>
        <w:rPr>
          <w:spacing w:val="-2"/>
          <w:lang w:bidi="ar-EG"/>
        </w:rPr>
      </w:pPr>
      <w:r w:rsidRPr="00F8236D">
        <w:rPr>
          <w:lang w:bidi="ar-EG"/>
        </w:rPr>
        <w:t>3.1</w:t>
      </w:r>
      <w:r w:rsidRPr="00F8236D">
        <w:rPr>
          <w:rtl/>
          <w:lang w:bidi="ar-EG"/>
        </w:rPr>
        <w:tab/>
      </w:r>
      <w:r w:rsidRPr="00F8236D">
        <w:rPr>
          <w:rFonts w:hint="cs"/>
          <w:spacing w:val="-2"/>
          <w:rtl/>
        </w:rPr>
        <w:t>ويقدم هذا التقرير معلومات بشأن تنفيذ خطة العمل والمبادرات الإقليمية. كما يقدم معلومات تفصيلية عن تنفيذ ميزانية</w:t>
      </w:r>
      <w:r w:rsidRPr="00F8236D">
        <w:rPr>
          <w:rFonts w:hint="eastAsia"/>
          <w:spacing w:val="-2"/>
          <w:rtl/>
        </w:rPr>
        <w:t> </w:t>
      </w:r>
      <w:r w:rsidRPr="00F8236D">
        <w:rPr>
          <w:spacing w:val="-2"/>
        </w:rPr>
        <w:t>20</w:t>
      </w:r>
      <w:r w:rsidR="003B1001" w:rsidRPr="00F8236D">
        <w:rPr>
          <w:spacing w:val="-2"/>
        </w:rPr>
        <w:t>20</w:t>
      </w:r>
      <w:r w:rsidRPr="00F8236D">
        <w:rPr>
          <w:rFonts w:hint="cs"/>
          <w:spacing w:val="-2"/>
          <w:rtl/>
        </w:rPr>
        <w:t xml:space="preserve"> بالنسبة لمصادر التمويل العادية من الميزانية، ومن خارج الميزانية على السواء. ويقدم كذلك معلومات محدّثة بشأن مستوى التوظيف في</w:t>
      </w:r>
      <w:r w:rsidRPr="00F8236D">
        <w:rPr>
          <w:rFonts w:hint="eastAsia"/>
          <w:spacing w:val="-2"/>
          <w:rtl/>
        </w:rPr>
        <w:t> </w:t>
      </w:r>
      <w:r w:rsidRPr="00F8236D">
        <w:rPr>
          <w:rFonts w:hint="cs"/>
          <w:spacing w:val="-2"/>
          <w:rtl/>
        </w:rPr>
        <w:t>مختلف المكاتب الإقليمية ومكاتب</w:t>
      </w:r>
      <w:r w:rsidRPr="00F8236D">
        <w:rPr>
          <w:rFonts w:hint="eastAsia"/>
          <w:spacing w:val="-2"/>
          <w:rtl/>
        </w:rPr>
        <w:t> </w:t>
      </w:r>
      <w:r w:rsidRPr="00F8236D">
        <w:rPr>
          <w:rFonts w:hint="cs"/>
          <w:spacing w:val="-2"/>
          <w:rtl/>
        </w:rPr>
        <w:t xml:space="preserve">المناطق، إضافةً إلى معلومات تشغيلية أخرى كالمعلومات المتعلقة بالمِنح والخبراء وبعثات الخبراء الداخليين. </w:t>
      </w:r>
      <w:r w:rsidRPr="00F8236D">
        <w:rPr>
          <w:rFonts w:hint="cs"/>
          <w:spacing w:val="-2"/>
          <w:rtl/>
          <w:lang w:bidi="ar-EG"/>
        </w:rPr>
        <w:t xml:space="preserve">وتُستكمل الوثيقة الحالية </w:t>
      </w:r>
      <w:hyperlink r:id="rId16" w:history="1">
        <w:r w:rsidRPr="00F8236D">
          <w:rPr>
            <w:rFonts w:hint="cs"/>
            <w:spacing w:val="-2"/>
            <w:rtl/>
          </w:rPr>
          <w:t xml:space="preserve">بوثيقة </w:t>
        </w:r>
        <w:r w:rsidRPr="00F8236D">
          <w:rPr>
            <w:spacing w:val="-2"/>
            <w:rtl/>
          </w:rPr>
          <w:t>المعلومات</w:t>
        </w:r>
        <w:r w:rsidRPr="00F8236D">
          <w:rPr>
            <w:rFonts w:hint="cs"/>
            <w:spacing w:val="-2"/>
            <w:rtl/>
          </w:rPr>
          <w:t xml:space="preserve"> </w:t>
        </w:r>
        <w:r w:rsidRPr="00F8236D">
          <w:rPr>
            <w:color w:val="0000FF"/>
            <w:spacing w:val="-2"/>
            <w:u w:val="single"/>
            <w:lang w:bidi="ar-SY"/>
          </w:rPr>
          <w:t>C2</w:t>
        </w:r>
        <w:r w:rsidR="000E197A" w:rsidRPr="00F8236D">
          <w:rPr>
            <w:color w:val="0000FF"/>
            <w:spacing w:val="-2"/>
            <w:u w:val="single"/>
            <w:lang w:bidi="ar-SY"/>
          </w:rPr>
          <w:t>1</w:t>
        </w:r>
        <w:r w:rsidRPr="00F8236D">
          <w:rPr>
            <w:color w:val="0000FF"/>
            <w:spacing w:val="-2"/>
            <w:u w:val="single"/>
            <w:lang w:bidi="ar-SY"/>
          </w:rPr>
          <w:t>/INF/</w:t>
        </w:r>
        <w:r w:rsidR="000E197A" w:rsidRPr="00F8236D">
          <w:rPr>
            <w:color w:val="0000FF"/>
            <w:spacing w:val="-2"/>
            <w:u w:val="single"/>
            <w:lang w:bidi="ar-SY"/>
          </w:rPr>
          <w:t>6</w:t>
        </w:r>
      </w:hyperlink>
      <w:r w:rsidRPr="00F8236D">
        <w:rPr>
          <w:rFonts w:hint="cs"/>
          <w:spacing w:val="-2"/>
          <w:rtl/>
          <w:lang w:bidi="ar-EG"/>
        </w:rPr>
        <w:t xml:space="preserve"> التي تضم الملحقات التالية:</w:t>
      </w:r>
    </w:p>
    <w:p w14:paraId="46C810C2" w14:textId="66AA5766"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1</w:t>
      </w:r>
      <w:r w:rsidRPr="00CC485D">
        <w:rPr>
          <w:rFonts w:hint="cs"/>
          <w:rtl/>
        </w:rPr>
        <w:tab/>
        <w:t xml:space="preserve">الإنجازات الرئيسية في عام </w:t>
      </w:r>
      <w:r w:rsidRPr="00CC485D">
        <w:rPr>
          <w:lang w:val="es-ES"/>
        </w:rPr>
        <w:t>20</w:t>
      </w:r>
      <w:r w:rsidR="000E197A">
        <w:rPr>
          <w:lang w:val="es-ES"/>
        </w:rPr>
        <w:t>20</w:t>
      </w:r>
      <w:r w:rsidRPr="00CC485D">
        <w:rPr>
          <w:rFonts w:hint="cs"/>
          <w:rtl/>
        </w:rPr>
        <w:t xml:space="preserve"> بحسب المناطق</w:t>
      </w:r>
    </w:p>
    <w:p w14:paraId="0437BA12" w14:textId="77777777"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2</w:t>
      </w:r>
      <w:r w:rsidRPr="00CC485D">
        <w:rPr>
          <w:rFonts w:hint="cs"/>
          <w:rtl/>
        </w:rPr>
        <w:tab/>
      </w:r>
      <w:r w:rsidRPr="00CC485D">
        <w:rPr>
          <w:rtl/>
        </w:rPr>
        <w:t>المساهمة في أعمال القطاعين الآخرين والأمانة العامة</w:t>
      </w:r>
    </w:p>
    <w:p w14:paraId="68EA04FA" w14:textId="77777777"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3</w:t>
      </w:r>
      <w:r w:rsidRPr="00CC485D">
        <w:rPr>
          <w:rFonts w:hint="cs"/>
          <w:rtl/>
        </w:rPr>
        <w:tab/>
      </w:r>
      <w:r w:rsidRPr="00CC485D">
        <w:rPr>
          <w:rtl/>
        </w:rPr>
        <w:t xml:space="preserve">أنشطة الدعم </w:t>
      </w:r>
      <w:r w:rsidRPr="00CC485D">
        <w:rPr>
          <w:rFonts w:hint="cs"/>
          <w:rtl/>
        </w:rPr>
        <w:t>الرامية إلى</w:t>
      </w:r>
      <w:r w:rsidRPr="00CC485D">
        <w:rPr>
          <w:rtl/>
        </w:rPr>
        <w:t xml:space="preserve"> تمكين المكاتب الإقليمية ومكاتب المناطق</w:t>
      </w:r>
    </w:p>
    <w:p w14:paraId="74CDCCC0" w14:textId="78B6F2AB"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4</w:t>
      </w:r>
      <w:r w:rsidRPr="00CC485D">
        <w:rPr>
          <w:rFonts w:hint="cs"/>
          <w:rtl/>
        </w:rPr>
        <w:tab/>
        <w:t>ملخص نفقات المكاتب الإقليمية ومكاتب المناطق في</w:t>
      </w:r>
      <w:r w:rsidR="000E197A">
        <w:rPr>
          <w:rFonts w:hint="cs"/>
          <w:rtl/>
          <w:lang w:bidi="ar-EG"/>
        </w:rPr>
        <w:t xml:space="preserve"> عام</w:t>
      </w:r>
      <w:r w:rsidRPr="00CC485D">
        <w:rPr>
          <w:rFonts w:hint="eastAsia"/>
          <w:rtl/>
        </w:rPr>
        <w:t> </w:t>
      </w:r>
      <w:r w:rsidRPr="00CC485D">
        <w:rPr>
          <w:lang w:val="es-ES"/>
        </w:rPr>
        <w:t>20</w:t>
      </w:r>
      <w:r w:rsidR="000E197A">
        <w:rPr>
          <w:lang w:val="es-ES"/>
        </w:rPr>
        <w:t>20</w:t>
      </w:r>
    </w:p>
    <w:p w14:paraId="1634CB1A" w14:textId="25FAEE57"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5</w:t>
      </w:r>
      <w:r w:rsidRPr="00CC485D">
        <w:rPr>
          <w:rFonts w:hint="cs"/>
          <w:rtl/>
        </w:rPr>
        <w:tab/>
        <w:t>مستوى تنفيذ الخطة التشغيلية</w:t>
      </w:r>
      <w:r w:rsidR="000E197A">
        <w:rPr>
          <w:rFonts w:hint="cs"/>
          <w:rtl/>
        </w:rPr>
        <w:t xml:space="preserve"> والمش</w:t>
      </w:r>
      <w:r w:rsidR="000E197A">
        <w:rPr>
          <w:rFonts w:hint="cs"/>
          <w:rtl/>
          <w:lang w:bidi="ar-EG"/>
        </w:rPr>
        <w:t>اري</w:t>
      </w:r>
      <w:r w:rsidR="000E197A">
        <w:rPr>
          <w:rFonts w:hint="cs"/>
          <w:rtl/>
        </w:rPr>
        <w:t>ع</w:t>
      </w:r>
      <w:r w:rsidRPr="00CC485D">
        <w:rPr>
          <w:rFonts w:hint="cs"/>
          <w:rtl/>
        </w:rPr>
        <w:t xml:space="preserve"> في</w:t>
      </w:r>
      <w:r w:rsidR="000E197A">
        <w:rPr>
          <w:rFonts w:hint="cs"/>
          <w:rtl/>
        </w:rPr>
        <w:t xml:space="preserve"> عام</w:t>
      </w:r>
      <w:r w:rsidRPr="00CC485D">
        <w:rPr>
          <w:rFonts w:hint="cs"/>
          <w:rtl/>
        </w:rPr>
        <w:t xml:space="preserve"> </w:t>
      </w:r>
      <w:r w:rsidRPr="00CC485D">
        <w:rPr>
          <w:lang w:val="es-ES"/>
        </w:rPr>
        <w:t>20</w:t>
      </w:r>
      <w:r w:rsidR="000E197A">
        <w:rPr>
          <w:lang w:val="es-ES"/>
        </w:rPr>
        <w:t>20</w:t>
      </w:r>
      <w:r w:rsidRPr="00CC485D">
        <w:rPr>
          <w:rFonts w:hint="cs"/>
          <w:rtl/>
        </w:rPr>
        <w:t xml:space="preserve"> </w:t>
      </w:r>
      <w:r w:rsidRPr="00CC485D">
        <w:rPr>
          <w:rFonts w:hint="cs"/>
          <w:rtl/>
          <w:lang w:bidi="ar-EG"/>
        </w:rPr>
        <w:t>ب</w:t>
      </w:r>
      <w:r w:rsidRPr="00CC485D">
        <w:rPr>
          <w:rFonts w:hint="cs"/>
          <w:rtl/>
        </w:rPr>
        <w:t xml:space="preserve">حسب المناطق </w:t>
      </w:r>
    </w:p>
    <w:p w14:paraId="026066E9" w14:textId="49A8B175" w:rsidR="00CC485D" w:rsidRPr="00CC485D" w:rsidRDefault="00CC485D" w:rsidP="00886486">
      <w:pPr>
        <w:pStyle w:val="enumlev1"/>
        <w:rPr>
          <w:rtl/>
          <w:lang w:bidi="ar-EG"/>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6</w:t>
      </w:r>
      <w:r w:rsidRPr="00CC485D">
        <w:rPr>
          <w:rFonts w:hint="cs"/>
          <w:rtl/>
        </w:rPr>
        <w:tab/>
        <w:t>تفصيل نفقات المكاتب الإقليمية ومكاتب المناطق في</w:t>
      </w:r>
      <w:r w:rsidR="000E197A">
        <w:rPr>
          <w:rFonts w:hint="cs"/>
          <w:rtl/>
          <w:lang w:bidi="ar-EG"/>
        </w:rPr>
        <w:t xml:space="preserve"> عام</w:t>
      </w:r>
      <w:r w:rsidRPr="00CC485D">
        <w:rPr>
          <w:rFonts w:hint="cs"/>
          <w:rtl/>
        </w:rPr>
        <w:t xml:space="preserve"> </w:t>
      </w:r>
      <w:r w:rsidRPr="00CC485D">
        <w:rPr>
          <w:lang w:val="es-ES"/>
        </w:rPr>
        <w:t>20</w:t>
      </w:r>
      <w:r w:rsidR="000E197A">
        <w:rPr>
          <w:lang w:val="es-ES"/>
        </w:rPr>
        <w:t>20</w:t>
      </w:r>
      <w:r w:rsidRPr="00CC485D">
        <w:rPr>
          <w:rFonts w:hint="cs"/>
          <w:rtl/>
        </w:rPr>
        <w:t xml:space="preserve"> بحسب </w:t>
      </w:r>
      <w:r w:rsidR="0027293C">
        <w:rPr>
          <w:rFonts w:hint="cs"/>
          <w:rtl/>
        </w:rPr>
        <w:t>ال</w:t>
      </w:r>
      <w:r w:rsidRPr="00CC485D">
        <w:rPr>
          <w:rFonts w:hint="cs"/>
          <w:rtl/>
        </w:rPr>
        <w:t xml:space="preserve">فئة </w:t>
      </w:r>
    </w:p>
    <w:p w14:paraId="4758B08A" w14:textId="00C260EC"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7</w:t>
      </w:r>
      <w:r w:rsidRPr="00CC485D">
        <w:rPr>
          <w:rFonts w:hint="cs"/>
          <w:rtl/>
        </w:rPr>
        <w:tab/>
        <w:t>المِنح المقدمة في</w:t>
      </w:r>
      <w:r w:rsidR="000E197A">
        <w:rPr>
          <w:rFonts w:hint="cs"/>
          <w:rtl/>
          <w:lang w:bidi="ar-EG"/>
        </w:rPr>
        <w:t xml:space="preserve"> عام </w:t>
      </w:r>
      <w:r w:rsidR="000E197A">
        <w:rPr>
          <w:lang w:bidi="ar-EG"/>
        </w:rPr>
        <w:t>2020</w:t>
      </w:r>
      <w:r w:rsidRPr="00CC485D">
        <w:rPr>
          <w:rFonts w:hint="cs"/>
          <w:rtl/>
        </w:rPr>
        <w:t xml:space="preserve"> والخبراء المعيّنون</w:t>
      </w:r>
    </w:p>
    <w:p w14:paraId="30798B4F" w14:textId="77777777"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8</w:t>
      </w:r>
      <w:r w:rsidRPr="00CC485D">
        <w:rPr>
          <w:rFonts w:hint="cs"/>
          <w:rtl/>
        </w:rPr>
        <w:tab/>
        <w:t>ملخص مستوى التوظيف بحسب المكاتب الإقليمية ومكاتب المناطق</w:t>
      </w:r>
    </w:p>
    <w:p w14:paraId="41E212C4" w14:textId="77777777" w:rsidR="00CC485D" w:rsidRPr="00CC485D" w:rsidRDefault="00CC485D" w:rsidP="00886486">
      <w:pPr>
        <w:pStyle w:val="enumlev1"/>
        <w:rPr>
          <w:rtl/>
        </w:rPr>
      </w:pPr>
      <w:r w:rsidRPr="00CC485D">
        <w:rPr>
          <w:rFonts w:ascii="Traditional Arabic" w:hAnsi="Traditional Arabic"/>
          <w:b/>
          <w:bCs/>
          <w:sz w:val="30"/>
          <w:lang w:bidi="ar-EG"/>
        </w:rPr>
        <w:t>•</w:t>
      </w:r>
      <w:r w:rsidRPr="00CC485D">
        <w:rPr>
          <w:b/>
          <w:bCs/>
          <w:rtl/>
          <w:lang w:bidi="ar-EG"/>
        </w:rPr>
        <w:tab/>
      </w:r>
      <w:r w:rsidRPr="00CC485D">
        <w:rPr>
          <w:rFonts w:hint="cs"/>
          <w:rtl/>
        </w:rPr>
        <w:t xml:space="preserve">الملحق </w:t>
      </w:r>
      <w:r w:rsidRPr="00CC485D">
        <w:t>9</w:t>
      </w:r>
      <w:r w:rsidRPr="00CC485D">
        <w:rPr>
          <w:rFonts w:hint="cs"/>
          <w:rtl/>
        </w:rPr>
        <w:tab/>
      </w:r>
      <w:r w:rsidRPr="00CC485D">
        <w:rPr>
          <w:rFonts w:hint="cs"/>
          <w:rtl/>
          <w:lang w:bidi="ar-EG"/>
        </w:rPr>
        <w:t>تحليل</w:t>
      </w:r>
      <w:r w:rsidRPr="00CC485D">
        <w:rPr>
          <w:rFonts w:hint="cs"/>
          <w:rtl/>
        </w:rPr>
        <w:t xml:space="preserve"> مستوى التوظيف بحسب المكاتب الإقليمية ومكاتب المناطق</w:t>
      </w:r>
    </w:p>
    <w:p w14:paraId="18F6C478" w14:textId="77777777" w:rsidR="00CC485D" w:rsidRPr="001B6656" w:rsidRDefault="00CC485D" w:rsidP="00886486">
      <w:pPr>
        <w:pStyle w:val="Heading1"/>
        <w:rPr>
          <w:spacing w:val="-2"/>
        </w:rPr>
      </w:pPr>
      <w:r w:rsidRPr="001B6656">
        <w:rPr>
          <w:spacing w:val="-2"/>
          <w:lang w:bidi="ar-SY"/>
        </w:rPr>
        <w:t>2</w:t>
      </w:r>
      <w:r w:rsidRPr="001B6656">
        <w:rPr>
          <w:spacing w:val="-2"/>
          <w:lang w:bidi="ar-SY"/>
        </w:rPr>
        <w:tab/>
      </w:r>
      <w:r w:rsidRPr="001B6656">
        <w:rPr>
          <w:rFonts w:hint="cs"/>
          <w:spacing w:val="-2"/>
          <w:rtl/>
        </w:rPr>
        <w:t>استقصاء قياس مستوى الرضاء عن الحضور الإقليمي للاتحاد والاستعراض الشامل لهذا الحضور</w:t>
      </w:r>
    </w:p>
    <w:p w14:paraId="4DDBEC36" w14:textId="77777777" w:rsidR="00CC485D" w:rsidRPr="00CC485D" w:rsidRDefault="00CC485D" w:rsidP="00CC485D">
      <w:pPr>
        <w:rPr>
          <w:rtl/>
        </w:rPr>
      </w:pPr>
      <w:r w:rsidRPr="00CC485D">
        <w:rPr>
          <w:lang w:bidi="ar-SY"/>
        </w:rPr>
        <w:t>1.2</w:t>
      </w:r>
      <w:r w:rsidRPr="00CC485D">
        <w:rPr>
          <w:lang w:bidi="ar-SY"/>
        </w:rPr>
        <w:tab/>
      </w:r>
      <w:r w:rsidRPr="00CC485D">
        <w:rPr>
          <w:rFonts w:hint="cs"/>
          <w:rtl/>
          <w:lang w:bidi="ar-EG"/>
        </w:rPr>
        <w:t xml:space="preserve">بالإضافة إلى ذلك، طلب القرار </w:t>
      </w:r>
      <w:r w:rsidRPr="00CC485D">
        <w:rPr>
          <w:lang w:bidi="ar-EG"/>
        </w:rPr>
        <w:t>25</w:t>
      </w:r>
      <w:r w:rsidRPr="00CC485D">
        <w:rPr>
          <w:rFonts w:hint="cs"/>
          <w:rtl/>
          <w:lang w:bidi="ar-LB"/>
        </w:rPr>
        <w:t xml:space="preserve"> </w:t>
      </w:r>
      <w:r w:rsidRPr="00CC485D">
        <w:rPr>
          <w:rFonts w:hint="cs"/>
          <w:rtl/>
        </w:rPr>
        <w:t>إجراء</w:t>
      </w:r>
      <w:r w:rsidRPr="00CC485D">
        <w:rPr>
          <w:rtl/>
        </w:rPr>
        <w:t xml:space="preserve"> استقصاء مرة كل أربع</w:t>
      </w:r>
      <w:r w:rsidRPr="00CC485D">
        <w:rPr>
          <w:rFonts w:hint="cs"/>
          <w:rtl/>
        </w:rPr>
        <w:t> </w:t>
      </w:r>
      <w:r w:rsidRPr="00CC485D">
        <w:rPr>
          <w:rtl/>
        </w:rPr>
        <w:t xml:space="preserve">سنوات </w:t>
      </w:r>
      <w:r w:rsidRPr="00CC485D">
        <w:rPr>
          <w:rFonts w:hint="cs"/>
          <w:rtl/>
        </w:rPr>
        <w:t>"</w:t>
      </w:r>
      <w:r w:rsidRPr="00CC485D">
        <w:rPr>
          <w:rtl/>
        </w:rPr>
        <w:t xml:space="preserve">لقياس مستوى رضاء الدول الأعضاء وأعضاء القطاعات والمنظمات الإقليمية للاتصالات عن </w:t>
      </w:r>
      <w:r w:rsidRPr="00CC485D">
        <w:rPr>
          <w:rFonts w:hint="cs"/>
          <w:rtl/>
        </w:rPr>
        <w:t>الحضور</w:t>
      </w:r>
      <w:r w:rsidRPr="00CC485D">
        <w:rPr>
          <w:rtl/>
        </w:rPr>
        <w:t xml:space="preserve"> الإقليمي </w:t>
      </w:r>
      <w:r w:rsidRPr="00CC485D">
        <w:rPr>
          <w:rFonts w:hint="cs"/>
          <w:rtl/>
        </w:rPr>
        <w:t>للاتحاد".</w:t>
      </w:r>
    </w:p>
    <w:p w14:paraId="43C96E1F" w14:textId="7186972B" w:rsidR="00CC485D" w:rsidRPr="00382934" w:rsidRDefault="00CC485D" w:rsidP="00396270">
      <w:pPr>
        <w:rPr>
          <w:rtl/>
          <w:lang w:bidi="ar-EG"/>
        </w:rPr>
      </w:pPr>
      <w:r w:rsidRPr="00382934">
        <w:rPr>
          <w:lang w:bidi="ar-SY"/>
        </w:rPr>
        <w:t>2.2</w:t>
      </w:r>
      <w:r w:rsidRPr="00382934">
        <w:rPr>
          <w:rFonts w:hint="cs"/>
          <w:rtl/>
        </w:rPr>
        <w:tab/>
      </w:r>
      <w:r w:rsidRPr="00382934">
        <w:rPr>
          <w:rFonts w:hint="cs"/>
          <w:rtl/>
          <w:lang w:bidi="ar-EG"/>
        </w:rPr>
        <w:t xml:space="preserve">وجدير بالإشارة أن هذا الاستقصاء قد أجري في عام </w:t>
      </w:r>
      <w:r w:rsidRPr="00382934">
        <w:rPr>
          <w:lang w:bidi="ar-EG"/>
        </w:rPr>
        <w:t>2016</w:t>
      </w:r>
      <w:r w:rsidRPr="00382934">
        <w:rPr>
          <w:rFonts w:hint="cs"/>
          <w:rtl/>
          <w:lang w:bidi="ar-LB"/>
        </w:rPr>
        <w:t xml:space="preserve"> وقدمت نتائجه وتقرير عنه إلى المجلس في</w:t>
      </w:r>
      <w:r w:rsidRPr="00382934">
        <w:rPr>
          <w:rFonts w:hint="eastAsia"/>
          <w:rtl/>
          <w:lang w:bidi="ar-LB"/>
        </w:rPr>
        <w:t> </w:t>
      </w:r>
      <w:r w:rsidRPr="00382934">
        <w:rPr>
          <w:rFonts w:hint="cs"/>
          <w:rtl/>
          <w:lang w:bidi="ar-LB"/>
        </w:rPr>
        <w:t>دورته لعام</w:t>
      </w:r>
      <w:r w:rsidRPr="00382934">
        <w:rPr>
          <w:rFonts w:hint="eastAsia"/>
          <w:rtl/>
          <w:lang w:bidi="ar-LB"/>
        </w:rPr>
        <w:t> </w:t>
      </w:r>
      <w:r w:rsidRPr="00382934">
        <w:rPr>
          <w:lang w:bidi="ar-LB"/>
        </w:rPr>
        <w:t>2017</w:t>
      </w:r>
      <w:r w:rsidRPr="00382934">
        <w:rPr>
          <w:rFonts w:hint="cs"/>
          <w:rtl/>
          <w:lang w:bidi="ar-EG"/>
        </w:rPr>
        <w:t xml:space="preserve"> (الوثيقة</w:t>
      </w:r>
      <w:r w:rsidRPr="00382934">
        <w:rPr>
          <w:rFonts w:hint="eastAsia"/>
          <w:rtl/>
          <w:lang w:bidi="ar-EG"/>
        </w:rPr>
        <w:t> </w:t>
      </w:r>
      <w:hyperlink r:id="rId17" w:history="1">
        <w:r w:rsidRPr="00382934">
          <w:rPr>
            <w:color w:val="0000FF"/>
            <w:szCs w:val="24"/>
            <w:u w:val="single"/>
          </w:rPr>
          <w:t>C17/INF/12</w:t>
        </w:r>
      </w:hyperlink>
      <w:r w:rsidRPr="00382934">
        <w:rPr>
          <w:rFonts w:hint="cs"/>
          <w:rtl/>
          <w:lang w:bidi="ar-EG"/>
        </w:rPr>
        <w:t xml:space="preserve">). وأحاط المجلس في دورته لعام </w:t>
      </w:r>
      <w:r w:rsidRPr="00382934">
        <w:rPr>
          <w:lang w:bidi="ar-EG"/>
        </w:rPr>
        <w:t>2017</w:t>
      </w:r>
      <w:r w:rsidRPr="00382934">
        <w:rPr>
          <w:rFonts w:hint="cs"/>
          <w:rtl/>
          <w:lang w:bidi="ar-LB"/>
        </w:rPr>
        <w:t xml:space="preserve"> </w:t>
      </w:r>
      <w:r w:rsidRPr="00382934">
        <w:rPr>
          <w:rFonts w:hint="cs"/>
          <w:rtl/>
          <w:lang w:bidi="ar-EG"/>
        </w:rPr>
        <w:t>علماً بالوثيقة </w:t>
      </w:r>
      <w:hyperlink r:id="rId18" w:history="1">
        <w:r w:rsidRPr="00382934">
          <w:rPr>
            <w:color w:val="0000FF"/>
            <w:u w:val="single"/>
            <w:lang w:bidi="ar-EG"/>
          </w:rPr>
          <w:t>C17/25</w:t>
        </w:r>
      </w:hyperlink>
      <w:r w:rsidRPr="00382934">
        <w:rPr>
          <w:rFonts w:hint="cs"/>
          <w:rtl/>
          <w:lang w:bidi="ar-EG"/>
        </w:rPr>
        <w:t xml:space="preserve"> (</w:t>
      </w:r>
      <w:r w:rsidRPr="00382934">
        <w:rPr>
          <w:rFonts w:hint="cs"/>
          <w:rtl/>
        </w:rPr>
        <w:t>تقوية الحضور الإقليمي</w:t>
      </w:r>
      <w:r w:rsidRPr="00382934">
        <w:rPr>
          <w:rFonts w:hint="cs"/>
          <w:rtl/>
          <w:lang w:bidi="ar-EG"/>
        </w:rPr>
        <w:t xml:space="preserve">). </w:t>
      </w:r>
      <w:r w:rsidR="00396270" w:rsidRPr="00382934">
        <w:rPr>
          <w:rFonts w:hint="cs"/>
          <w:rtl/>
          <w:lang w:bidi="ar-EG"/>
        </w:rPr>
        <w:t xml:space="preserve">ثم توقف إجراء هذا الاستقصاء في عام </w:t>
      </w:r>
      <w:r w:rsidR="00396270" w:rsidRPr="00382934">
        <w:rPr>
          <w:lang w:bidi="ar-EG"/>
        </w:rPr>
        <w:t>2020</w:t>
      </w:r>
      <w:r w:rsidR="00396270" w:rsidRPr="00382934">
        <w:rPr>
          <w:rFonts w:hint="cs"/>
          <w:rtl/>
          <w:lang w:bidi="ar-EG"/>
        </w:rPr>
        <w:t xml:space="preserve"> </w:t>
      </w:r>
      <w:r w:rsidR="00071A48" w:rsidRPr="00382934">
        <w:rPr>
          <w:rFonts w:hint="cs"/>
          <w:rtl/>
          <w:lang w:bidi="ar-EG"/>
        </w:rPr>
        <w:t xml:space="preserve">إثر </w:t>
      </w:r>
      <w:r w:rsidR="000C0330" w:rsidRPr="00382934">
        <w:rPr>
          <w:rFonts w:hint="cs"/>
          <w:rtl/>
          <w:lang w:bidi="ar-EG"/>
        </w:rPr>
        <w:t>تعرّض</w:t>
      </w:r>
      <w:r w:rsidR="005F7595" w:rsidRPr="00382934">
        <w:rPr>
          <w:rFonts w:hint="cs"/>
          <w:rtl/>
          <w:lang w:bidi="ar-EG"/>
        </w:rPr>
        <w:t xml:space="preserve"> </w:t>
      </w:r>
      <w:r w:rsidR="004A2C00" w:rsidRPr="00382934">
        <w:rPr>
          <w:rFonts w:hint="cs"/>
          <w:rtl/>
          <w:lang w:bidi="ar-EG"/>
        </w:rPr>
        <w:t xml:space="preserve">سير بعض </w:t>
      </w:r>
      <w:r w:rsidR="005F7595" w:rsidRPr="00382934">
        <w:rPr>
          <w:rFonts w:hint="cs"/>
          <w:rtl/>
          <w:lang w:bidi="ar-EG"/>
        </w:rPr>
        <w:t>أعمال الاتحاد</w:t>
      </w:r>
      <w:r w:rsidR="000C0330" w:rsidRPr="00382934">
        <w:rPr>
          <w:rFonts w:hint="cs"/>
          <w:rtl/>
          <w:lang w:bidi="ar-EG"/>
        </w:rPr>
        <w:t xml:space="preserve"> لاضطرابات </w:t>
      </w:r>
      <w:r w:rsidR="004A2C00" w:rsidRPr="00382934">
        <w:rPr>
          <w:rFonts w:hint="cs"/>
          <w:rtl/>
          <w:lang w:bidi="ar-EG"/>
        </w:rPr>
        <w:t xml:space="preserve">جراء </w:t>
      </w:r>
      <w:r w:rsidR="000C0330" w:rsidRPr="00382934">
        <w:rPr>
          <w:rFonts w:hint="cs"/>
          <w:rtl/>
          <w:lang w:bidi="ar-EG"/>
        </w:rPr>
        <w:t xml:space="preserve">تفشي </w:t>
      </w:r>
      <w:r w:rsidR="005F7595" w:rsidRPr="00382934">
        <w:rPr>
          <w:rFonts w:hint="cs"/>
          <w:rtl/>
          <w:lang w:bidi="ar-EG"/>
        </w:rPr>
        <w:t>جائحة فيروس كورونا</w:t>
      </w:r>
      <w:r w:rsidR="00382934">
        <w:rPr>
          <w:rFonts w:hint="eastAsia"/>
          <w:rtl/>
          <w:lang w:bidi="ar-EG"/>
        </w:rPr>
        <w:t> </w:t>
      </w:r>
      <w:r w:rsidR="005F7595" w:rsidRPr="00382934">
        <w:rPr>
          <w:rFonts w:hint="cs"/>
          <w:rtl/>
          <w:lang w:bidi="ar-EG"/>
        </w:rPr>
        <w:t>(</w:t>
      </w:r>
      <w:proofErr w:type="spellStart"/>
      <w:r w:rsidR="005F7595" w:rsidRPr="00382934">
        <w:rPr>
          <w:rFonts w:hint="cs"/>
          <w:rtl/>
          <w:lang w:bidi="ar-EG"/>
        </w:rPr>
        <w:t>كوفيد</w:t>
      </w:r>
      <w:proofErr w:type="spellEnd"/>
      <w:r w:rsidR="000B6E2E" w:rsidRPr="00382934">
        <w:rPr>
          <w:rtl/>
          <w:lang w:bidi="ar-EG"/>
        </w:rPr>
        <w:noBreakHyphen/>
      </w:r>
      <w:r w:rsidR="005F7595" w:rsidRPr="00382934">
        <w:rPr>
          <w:lang w:bidi="ar-EG"/>
        </w:rPr>
        <w:t>19</w:t>
      </w:r>
      <w:r w:rsidR="005F7595" w:rsidRPr="00382934">
        <w:rPr>
          <w:rFonts w:hint="cs"/>
          <w:rtl/>
          <w:lang w:bidi="ar-EG"/>
        </w:rPr>
        <w:t>)</w:t>
      </w:r>
      <w:r w:rsidR="00071A48" w:rsidRPr="00382934">
        <w:rPr>
          <w:rFonts w:hint="cs"/>
          <w:rtl/>
          <w:lang w:bidi="ar-EG"/>
        </w:rPr>
        <w:t xml:space="preserve">، </w:t>
      </w:r>
      <w:r w:rsidR="000C0330" w:rsidRPr="00382934">
        <w:rPr>
          <w:rFonts w:hint="cs"/>
          <w:rtl/>
          <w:lang w:bidi="ar-EG"/>
        </w:rPr>
        <w:t>و</w:t>
      </w:r>
      <w:r w:rsidR="00071A48" w:rsidRPr="00382934">
        <w:rPr>
          <w:rFonts w:hint="cs"/>
          <w:rtl/>
          <w:lang w:bidi="ar-EG"/>
        </w:rPr>
        <w:t>لكن</w:t>
      </w:r>
      <w:r w:rsidR="000B6E2E" w:rsidRPr="00382934">
        <w:rPr>
          <w:rFonts w:hint="eastAsia"/>
          <w:rtl/>
          <w:lang w:bidi="ar-EG"/>
        </w:rPr>
        <w:t> </w:t>
      </w:r>
      <w:r w:rsidR="00071A48" w:rsidRPr="00382934">
        <w:rPr>
          <w:rFonts w:hint="cs"/>
          <w:rtl/>
          <w:lang w:bidi="ar-EG"/>
        </w:rPr>
        <w:t xml:space="preserve">استُؤنف العمل من أجل إعداد استقصاء لتنفيذه في عام </w:t>
      </w:r>
      <w:r w:rsidR="00071A48" w:rsidRPr="00382934">
        <w:rPr>
          <w:lang w:bidi="ar-EG"/>
        </w:rPr>
        <w:t>2021</w:t>
      </w:r>
      <w:r w:rsidR="00071A48" w:rsidRPr="00382934">
        <w:rPr>
          <w:rFonts w:hint="cs"/>
          <w:rtl/>
          <w:lang w:bidi="ar-EG"/>
        </w:rPr>
        <w:t>.</w:t>
      </w:r>
    </w:p>
    <w:p w14:paraId="201A96AB" w14:textId="77777777" w:rsidR="00CC485D" w:rsidRPr="00CC485D" w:rsidRDefault="00CC485D" w:rsidP="00CC485D">
      <w:pPr>
        <w:rPr>
          <w:rtl/>
        </w:rPr>
      </w:pPr>
      <w:r w:rsidRPr="00CC485D">
        <w:rPr>
          <w:lang w:bidi="ar-EG"/>
        </w:rPr>
        <w:t>3.2</w:t>
      </w:r>
      <w:r w:rsidRPr="00CC485D">
        <w:rPr>
          <w:rtl/>
          <w:lang w:bidi="ar-EG"/>
        </w:rPr>
        <w:tab/>
      </w:r>
      <w:r w:rsidRPr="00CC485D">
        <w:rPr>
          <w:rFonts w:hint="cs"/>
          <w:rtl/>
          <w:lang w:bidi="ar-EG"/>
        </w:rPr>
        <w:t xml:space="preserve">وقد كلّف </w:t>
      </w:r>
      <w:r w:rsidRPr="00CC485D">
        <w:rPr>
          <w:rFonts w:hint="cs"/>
          <w:rtl/>
        </w:rPr>
        <w:t xml:space="preserve">القرار </w:t>
      </w:r>
      <w:r w:rsidRPr="00CC485D">
        <w:rPr>
          <w:lang w:bidi="ar-SY"/>
        </w:rPr>
        <w:t>25</w:t>
      </w:r>
      <w:r w:rsidRPr="00CC485D">
        <w:rPr>
          <w:rFonts w:hint="cs"/>
          <w:rtl/>
        </w:rPr>
        <w:t xml:space="preserve"> (المراجَع في دبي،</w:t>
      </w:r>
      <w:r w:rsidRPr="00CC485D">
        <w:rPr>
          <w:rFonts w:hint="eastAsia"/>
          <w:rtl/>
        </w:rPr>
        <w:t> </w:t>
      </w:r>
      <w:r w:rsidRPr="00CC485D">
        <w:rPr>
          <w:lang w:bidi="ar-SY"/>
        </w:rPr>
        <w:t>2018</w:t>
      </w:r>
      <w:r w:rsidRPr="00CC485D">
        <w:rPr>
          <w:rFonts w:hint="cs"/>
          <w:rtl/>
        </w:rPr>
        <w:t xml:space="preserve">) الأمين العام </w:t>
      </w:r>
      <w:r w:rsidRPr="00CC485D">
        <w:rPr>
          <w:rtl/>
        </w:rPr>
        <w:t>بإجراء استعراض شامل للحضور الإقليمي للاتحاد</w:t>
      </w:r>
      <w:r w:rsidRPr="00CC485D">
        <w:rPr>
          <w:rFonts w:hint="cs"/>
          <w:rtl/>
          <w:lang w:bidi="ar-EG"/>
        </w:rPr>
        <w:t xml:space="preserve">. ويتضمن ملحق القرار </w:t>
      </w:r>
      <w:r w:rsidRPr="00CC485D">
        <w:rPr>
          <w:lang w:val="es-ES" w:bidi="ar-EG"/>
        </w:rPr>
        <w:t>25</w:t>
      </w:r>
      <w:r w:rsidRPr="00CC485D">
        <w:rPr>
          <w:rFonts w:hint="cs"/>
          <w:rtl/>
          <w:lang w:val="es-ES" w:bidi="ar-EG"/>
        </w:rPr>
        <w:t xml:space="preserve"> </w:t>
      </w:r>
      <w:r w:rsidRPr="00CC485D">
        <w:rPr>
          <w:rFonts w:hint="cs"/>
          <w:rtl/>
        </w:rPr>
        <w:t>(المراجَع في دبي،</w:t>
      </w:r>
      <w:r w:rsidRPr="00CC485D">
        <w:rPr>
          <w:rFonts w:hint="eastAsia"/>
          <w:rtl/>
        </w:rPr>
        <w:t> </w:t>
      </w:r>
      <w:r w:rsidRPr="00CC485D">
        <w:rPr>
          <w:lang w:bidi="ar-SY"/>
        </w:rPr>
        <w:t>2018</w:t>
      </w:r>
      <w:r w:rsidRPr="00CC485D">
        <w:rPr>
          <w:rFonts w:hint="cs"/>
          <w:rtl/>
        </w:rPr>
        <w:t>)</w:t>
      </w:r>
      <w:r w:rsidRPr="00CC485D">
        <w:rPr>
          <w:rFonts w:hint="cs"/>
          <w:rtl/>
          <w:lang w:bidi="ar-EG"/>
        </w:rPr>
        <w:t xml:space="preserve"> العناصر التي ينبغي أن يشملها الاستعراض، ضمن عدة مسائل. </w:t>
      </w:r>
    </w:p>
    <w:p w14:paraId="3712F3B1" w14:textId="499C3260" w:rsidR="00CC485D" w:rsidRPr="00C462E9" w:rsidRDefault="00CC485D" w:rsidP="00E564F6">
      <w:pPr>
        <w:rPr>
          <w:spacing w:val="-2"/>
          <w:rtl/>
          <w:lang w:bidi="ar"/>
        </w:rPr>
      </w:pPr>
      <w:r w:rsidRPr="00C462E9">
        <w:rPr>
          <w:spacing w:val="-2"/>
          <w:lang w:bidi="ar-EG"/>
        </w:rPr>
        <w:t>4.2</w:t>
      </w:r>
      <w:r w:rsidRPr="00C462E9">
        <w:rPr>
          <w:spacing w:val="-2"/>
          <w:rtl/>
          <w:lang w:bidi="ar-EG"/>
        </w:rPr>
        <w:tab/>
      </w:r>
      <w:r w:rsidRPr="00C462E9">
        <w:rPr>
          <w:rFonts w:hint="cs"/>
          <w:spacing w:val="-2"/>
          <w:rtl/>
          <w:lang w:bidi="ar-EG"/>
        </w:rPr>
        <w:t>و</w:t>
      </w:r>
      <w:r w:rsidRPr="00C462E9">
        <w:rPr>
          <w:rFonts w:hint="cs"/>
          <w:spacing w:val="-2"/>
          <w:rtl/>
          <w:lang w:bidi="ar"/>
        </w:rPr>
        <w:t xml:space="preserve">استعرضت دورة المجلس لعام 2019 تقرير الوثيقة </w:t>
      </w:r>
      <w:hyperlink r:id="rId19" w:history="1">
        <w:r w:rsidRPr="00C462E9">
          <w:rPr>
            <w:rFonts w:hint="cs"/>
            <w:color w:val="0000FF"/>
            <w:spacing w:val="-2"/>
            <w:u w:val="single"/>
            <w:lang w:val="fr-FR" w:bidi="ar-EG"/>
          </w:rPr>
          <w:t>C19/25 (Rev.2)</w:t>
        </w:r>
      </w:hyperlink>
      <w:r w:rsidRPr="00C462E9">
        <w:rPr>
          <w:rFonts w:hint="cs"/>
          <w:spacing w:val="-2"/>
          <w:rtl/>
          <w:lang w:bidi="ar"/>
        </w:rPr>
        <w:t xml:space="preserve"> بشأن تنفيذ القرار 25 (المراجَع في</w:t>
      </w:r>
      <w:r w:rsidR="00F27F58" w:rsidRPr="00C462E9">
        <w:rPr>
          <w:rFonts w:hint="eastAsia"/>
          <w:spacing w:val="-2"/>
          <w:rtl/>
          <w:lang w:bidi="ar"/>
        </w:rPr>
        <w:t> </w:t>
      </w:r>
      <w:r w:rsidRPr="00C462E9">
        <w:rPr>
          <w:rFonts w:hint="cs"/>
          <w:spacing w:val="-2"/>
          <w:rtl/>
          <w:lang w:bidi="ar"/>
        </w:rPr>
        <w:t>دبي،</w:t>
      </w:r>
      <w:r w:rsidR="00F27F58" w:rsidRPr="00C462E9">
        <w:rPr>
          <w:rFonts w:hint="eastAsia"/>
          <w:spacing w:val="-2"/>
          <w:rtl/>
          <w:lang w:bidi="ar"/>
        </w:rPr>
        <w:t> </w:t>
      </w:r>
      <w:r w:rsidRPr="00C462E9">
        <w:rPr>
          <w:rFonts w:hint="cs"/>
          <w:spacing w:val="-2"/>
          <w:rtl/>
          <w:lang w:bidi="ar"/>
        </w:rPr>
        <w:t>2018)، واعتمدت المقرر 616</w:t>
      </w:r>
      <w:r w:rsidRPr="00C462E9">
        <w:rPr>
          <w:rFonts w:hint="cs"/>
          <w:spacing w:val="-2"/>
          <w:rtl/>
          <w:lang w:val="fr-FR" w:bidi="ar-EG"/>
        </w:rPr>
        <w:t xml:space="preserve"> </w:t>
      </w:r>
      <w:r w:rsidRPr="00C462E9">
        <w:rPr>
          <w:rFonts w:hint="cs"/>
          <w:spacing w:val="-2"/>
          <w:rtl/>
        </w:rPr>
        <w:t>الذي</w:t>
      </w:r>
      <w:r w:rsidRPr="00C462E9">
        <w:rPr>
          <w:spacing w:val="-2"/>
          <w:rtl/>
        </w:rPr>
        <w:t xml:space="preserve"> يكلف الأمين العام</w:t>
      </w:r>
      <w:r w:rsidRPr="00C462E9">
        <w:rPr>
          <w:rFonts w:hint="cs"/>
          <w:spacing w:val="-2"/>
          <w:rtl/>
        </w:rPr>
        <w:t xml:space="preserve"> </w:t>
      </w:r>
      <w:r w:rsidRPr="00C462E9">
        <w:rPr>
          <w:rFonts w:hint="cs"/>
          <w:spacing w:val="-2"/>
          <w:rtl/>
          <w:lang w:bidi="ar-EG"/>
        </w:rPr>
        <w:t xml:space="preserve">بتعيين مكتب استشاري خارجي مستقل للإدارة وتكليفه بإجراء تقييم واستعراض </w:t>
      </w:r>
      <w:proofErr w:type="spellStart"/>
      <w:r w:rsidRPr="00C462E9">
        <w:rPr>
          <w:rFonts w:hint="cs"/>
          <w:spacing w:val="-2"/>
          <w:rtl/>
          <w:lang w:bidi="ar-EG"/>
        </w:rPr>
        <w:t>برنامجيين</w:t>
      </w:r>
      <w:proofErr w:type="spellEnd"/>
      <w:r w:rsidRPr="00C462E9">
        <w:rPr>
          <w:rFonts w:hint="cs"/>
          <w:spacing w:val="-2"/>
          <w:rtl/>
          <w:lang w:bidi="ar-EG"/>
        </w:rPr>
        <w:t xml:space="preserve"> واستراتيجيين وماليين شاملين لبرنامج الحضور الإقليمي للاتحاد، وفقاً للاختصاصات المنصوص عليها في الملحق، مع</w:t>
      </w:r>
      <w:r w:rsidRPr="00C462E9">
        <w:rPr>
          <w:rFonts w:hint="eastAsia"/>
          <w:spacing w:val="-2"/>
          <w:rtl/>
          <w:lang w:bidi="ar-EG"/>
        </w:rPr>
        <w:t> </w:t>
      </w:r>
      <w:r w:rsidRPr="00C462E9">
        <w:rPr>
          <w:rFonts w:hint="cs"/>
          <w:spacing w:val="-2"/>
          <w:rtl/>
          <w:lang w:bidi="ar-EG"/>
        </w:rPr>
        <w:t>مراعاة المساهمات المقدمة من أعضاء الاتحاد، وبتقديم تقرير مشفوع بتوصيات إلى المجلس في دورته لعام</w:t>
      </w:r>
      <w:r w:rsidRPr="00C462E9">
        <w:rPr>
          <w:rFonts w:hint="eastAsia"/>
          <w:spacing w:val="-2"/>
          <w:rtl/>
          <w:lang w:bidi="ar-EG"/>
        </w:rPr>
        <w:t> </w:t>
      </w:r>
      <w:r w:rsidRPr="00C462E9">
        <w:rPr>
          <w:spacing w:val="-2"/>
          <w:lang w:val="en-GB"/>
        </w:rPr>
        <w:t>2021</w:t>
      </w:r>
      <w:r w:rsidRPr="00C462E9">
        <w:rPr>
          <w:rFonts w:hint="cs"/>
          <w:spacing w:val="-2"/>
          <w:rtl/>
          <w:lang w:bidi="ar-EG"/>
        </w:rPr>
        <w:t xml:space="preserve"> لاتخاذ الإجراء</w:t>
      </w:r>
      <w:r w:rsidRPr="00C462E9">
        <w:rPr>
          <w:rFonts w:hint="eastAsia"/>
          <w:spacing w:val="-2"/>
          <w:rtl/>
          <w:lang w:bidi="ar-EG"/>
        </w:rPr>
        <w:t> </w:t>
      </w:r>
      <w:r w:rsidRPr="00C462E9">
        <w:rPr>
          <w:rFonts w:hint="cs"/>
          <w:spacing w:val="-2"/>
          <w:rtl/>
          <w:lang w:bidi="ar-EG"/>
        </w:rPr>
        <w:t xml:space="preserve">المناسب. </w:t>
      </w:r>
      <w:r w:rsidRPr="00C462E9">
        <w:rPr>
          <w:rFonts w:hint="cs"/>
          <w:spacing w:val="-2"/>
          <w:rtl/>
          <w:lang w:bidi="ar"/>
        </w:rPr>
        <w:t>و</w:t>
      </w:r>
      <w:r w:rsidR="00A14AD9" w:rsidRPr="00C462E9">
        <w:rPr>
          <w:rFonts w:hint="cs"/>
          <w:spacing w:val="-2"/>
          <w:rtl/>
          <w:lang w:bidi="ar"/>
        </w:rPr>
        <w:t xml:space="preserve">صدرت </w:t>
      </w:r>
      <w:r w:rsidRPr="00C462E9">
        <w:rPr>
          <w:rFonts w:hint="cs"/>
          <w:spacing w:val="-2"/>
          <w:rtl/>
          <w:lang w:bidi="ar"/>
        </w:rPr>
        <w:t xml:space="preserve">دعوة </w:t>
      </w:r>
      <w:r w:rsidR="00A14AD9" w:rsidRPr="00C462E9">
        <w:rPr>
          <w:rFonts w:hint="cs"/>
          <w:spacing w:val="-2"/>
          <w:rtl/>
          <w:lang w:bidi="ar"/>
        </w:rPr>
        <w:t xml:space="preserve">إلى </w:t>
      </w:r>
      <w:r w:rsidRPr="00C462E9">
        <w:rPr>
          <w:rFonts w:hint="cs"/>
          <w:spacing w:val="-2"/>
          <w:rtl/>
          <w:lang w:bidi="ar"/>
        </w:rPr>
        <w:t>تقديم عطاءات واختير مكتب</w:t>
      </w:r>
      <w:r w:rsidR="00A14AD9" w:rsidRPr="00C462E9">
        <w:rPr>
          <w:rFonts w:hint="cs"/>
          <w:spacing w:val="-2"/>
          <w:rtl/>
          <w:lang w:bidi="ar"/>
        </w:rPr>
        <w:t xml:space="preserve"> برايس </w:t>
      </w:r>
      <w:proofErr w:type="spellStart"/>
      <w:r w:rsidR="00A14AD9" w:rsidRPr="00C462E9">
        <w:rPr>
          <w:rFonts w:hint="cs"/>
          <w:spacing w:val="-2"/>
          <w:rtl/>
          <w:lang w:bidi="ar"/>
        </w:rPr>
        <w:t>ووترهاوس</w:t>
      </w:r>
      <w:proofErr w:type="spellEnd"/>
      <w:r w:rsidR="00A14AD9" w:rsidRPr="00C462E9">
        <w:rPr>
          <w:rFonts w:hint="cs"/>
          <w:spacing w:val="-2"/>
          <w:rtl/>
          <w:lang w:bidi="ar"/>
        </w:rPr>
        <w:t xml:space="preserve"> كوبرز</w:t>
      </w:r>
      <w:r w:rsidRPr="00C462E9">
        <w:rPr>
          <w:rFonts w:hint="cs"/>
          <w:spacing w:val="-2"/>
          <w:rtl/>
          <w:lang w:bidi="ar"/>
        </w:rPr>
        <w:t xml:space="preserve"> </w:t>
      </w:r>
      <w:r w:rsidR="00A14AD9" w:rsidRPr="00C462E9">
        <w:rPr>
          <w:spacing w:val="-2"/>
          <w:lang w:bidi="ar"/>
        </w:rPr>
        <w:t>(</w:t>
      </w:r>
      <w:r w:rsidRPr="00C462E9">
        <w:rPr>
          <w:rFonts w:eastAsia="Times New Roman"/>
          <w:spacing w:val="-2"/>
          <w:lang w:val="en-GB" w:eastAsia="en-US"/>
        </w:rPr>
        <w:t>Price</w:t>
      </w:r>
      <w:r w:rsidRPr="00C462E9">
        <w:rPr>
          <w:rFonts w:hint="eastAsia"/>
          <w:spacing w:val="-2"/>
        </w:rPr>
        <w:t> </w:t>
      </w:r>
      <w:r w:rsidRPr="00C462E9">
        <w:rPr>
          <w:rFonts w:eastAsia="Times New Roman"/>
          <w:spacing w:val="-2"/>
          <w:lang w:val="en-GB" w:eastAsia="en-US"/>
        </w:rPr>
        <w:t>Waterhouse Coopers</w:t>
      </w:r>
      <w:r w:rsidR="00A14AD9" w:rsidRPr="00C462E9">
        <w:rPr>
          <w:rFonts w:eastAsia="Times New Roman"/>
          <w:spacing w:val="-2"/>
          <w:lang w:val="en-GB" w:eastAsia="en-US"/>
        </w:rPr>
        <w:t>)</w:t>
      </w:r>
      <w:r w:rsidRPr="00C462E9">
        <w:rPr>
          <w:rFonts w:hint="cs"/>
          <w:spacing w:val="-2"/>
          <w:rtl/>
          <w:lang w:bidi="ar"/>
        </w:rPr>
        <w:t xml:space="preserve"> لإجراء</w:t>
      </w:r>
      <w:r w:rsidR="00C462E9">
        <w:rPr>
          <w:rFonts w:hint="eastAsia"/>
          <w:spacing w:val="-2"/>
          <w:rtl/>
          <w:lang w:bidi="ar"/>
        </w:rPr>
        <w:t> </w:t>
      </w:r>
      <w:r w:rsidRPr="00C462E9">
        <w:rPr>
          <w:rFonts w:hint="cs"/>
          <w:spacing w:val="-2"/>
          <w:rtl/>
          <w:lang w:bidi="ar"/>
        </w:rPr>
        <w:t>الاستعراض.</w:t>
      </w:r>
    </w:p>
    <w:p w14:paraId="0B0DAA57" w14:textId="30A69361" w:rsidR="00CC485D" w:rsidRPr="00DB18D2" w:rsidRDefault="00CC485D" w:rsidP="00557915">
      <w:pPr>
        <w:rPr>
          <w:spacing w:val="-4"/>
          <w:rtl/>
          <w:lang w:bidi="ar-EG"/>
        </w:rPr>
      </w:pPr>
      <w:r w:rsidRPr="00DB18D2">
        <w:rPr>
          <w:spacing w:val="-4"/>
          <w:lang w:bidi="ar"/>
        </w:rPr>
        <w:lastRenderedPageBreak/>
        <w:t>5.2</w:t>
      </w:r>
      <w:r w:rsidRPr="00DB18D2">
        <w:rPr>
          <w:spacing w:val="-4"/>
          <w:rtl/>
          <w:lang w:bidi="ar-EG"/>
        </w:rPr>
        <w:tab/>
      </w:r>
      <w:r w:rsidR="00A14AD9" w:rsidRPr="00DB18D2">
        <w:rPr>
          <w:rFonts w:hint="cs"/>
          <w:spacing w:val="-4"/>
          <w:rtl/>
          <w:lang w:bidi="ar-EG"/>
        </w:rPr>
        <w:t xml:space="preserve">وبدأت </w:t>
      </w:r>
      <w:r w:rsidR="00557915" w:rsidRPr="00DB18D2">
        <w:rPr>
          <w:rFonts w:hint="cs"/>
          <w:spacing w:val="-4"/>
          <w:rtl/>
          <w:lang w:bidi="ar-EG"/>
        </w:rPr>
        <w:t xml:space="preserve">مؤسسة </w:t>
      </w:r>
      <w:r w:rsidR="00557915" w:rsidRPr="00DB18D2">
        <w:rPr>
          <w:spacing w:val="-4"/>
          <w:lang w:bidi="ar-EG"/>
        </w:rPr>
        <w:t>PwC</w:t>
      </w:r>
      <w:r w:rsidR="00557915" w:rsidRPr="00DB18D2">
        <w:rPr>
          <w:rFonts w:hint="cs"/>
          <w:spacing w:val="-4"/>
          <w:rtl/>
          <w:lang w:bidi="ar-EG"/>
        </w:rPr>
        <w:t xml:space="preserve"> مباشرة عملها في نوفمبر </w:t>
      </w:r>
      <w:r w:rsidR="00557915" w:rsidRPr="00DB18D2">
        <w:rPr>
          <w:spacing w:val="-4"/>
          <w:lang w:bidi="ar-EG"/>
        </w:rPr>
        <w:t>2019</w:t>
      </w:r>
      <w:r w:rsidR="00557915" w:rsidRPr="00DB18D2">
        <w:rPr>
          <w:rFonts w:hint="cs"/>
          <w:spacing w:val="-4"/>
          <w:rtl/>
          <w:lang w:bidi="ar-EG"/>
        </w:rPr>
        <w:t xml:space="preserve">. </w:t>
      </w:r>
      <w:r w:rsidR="00557915" w:rsidRPr="00DB18D2">
        <w:rPr>
          <w:color w:val="000000"/>
          <w:spacing w:val="-4"/>
          <w:rtl/>
          <w:lang w:bidi="ar-EG"/>
        </w:rPr>
        <w:t xml:space="preserve">وقدمت </w:t>
      </w:r>
      <w:r w:rsidR="00557915" w:rsidRPr="00DB18D2">
        <w:rPr>
          <w:rFonts w:hint="cs"/>
          <w:color w:val="000000"/>
          <w:spacing w:val="-4"/>
          <w:rtl/>
          <w:lang w:bidi="ar-EG"/>
        </w:rPr>
        <w:t>المؤسسة</w:t>
      </w:r>
      <w:r w:rsidR="00557915" w:rsidRPr="00DB18D2">
        <w:rPr>
          <w:color w:val="000000"/>
          <w:spacing w:val="-4"/>
          <w:rtl/>
          <w:lang w:bidi="ar-EG"/>
        </w:rPr>
        <w:t xml:space="preserve"> تقريرها في يوليو 2020</w:t>
      </w:r>
      <w:r w:rsidR="007C436F" w:rsidRPr="00DB18D2">
        <w:rPr>
          <w:rFonts w:hint="cs"/>
          <w:color w:val="000000"/>
          <w:spacing w:val="-4"/>
          <w:rtl/>
          <w:lang w:bidi="ar-EG"/>
        </w:rPr>
        <w:t xml:space="preserve">، </w:t>
      </w:r>
      <w:r w:rsidR="00557915" w:rsidRPr="00DB18D2">
        <w:rPr>
          <w:rFonts w:hint="cs"/>
          <w:color w:val="000000"/>
          <w:spacing w:val="-4"/>
          <w:rtl/>
          <w:lang w:bidi="ar-EG"/>
        </w:rPr>
        <w:t xml:space="preserve">ويحدد التقرير </w:t>
      </w:r>
      <w:r w:rsidR="00557915" w:rsidRPr="00DB18D2">
        <w:rPr>
          <w:color w:val="000000"/>
          <w:spacing w:val="-4"/>
          <w:rtl/>
          <w:lang w:bidi="ar-EG"/>
        </w:rPr>
        <w:t>توصيات لتحسين مستوى الحضور الإقليمي للاتحاد وخطة عمل لتنفيذها</w:t>
      </w:r>
      <w:r w:rsidR="00557915" w:rsidRPr="00DB18D2">
        <w:rPr>
          <w:rFonts w:hint="cs"/>
          <w:color w:val="000000"/>
          <w:spacing w:val="-4"/>
          <w:rtl/>
          <w:lang w:bidi="ar-EG"/>
        </w:rPr>
        <w:t xml:space="preserve">. وفي أغسطس </w:t>
      </w:r>
      <w:r w:rsidR="00557915" w:rsidRPr="00DB18D2">
        <w:rPr>
          <w:color w:val="000000"/>
          <w:spacing w:val="-4"/>
          <w:lang w:bidi="ar-EG"/>
        </w:rPr>
        <w:t>2020</w:t>
      </w:r>
      <w:r w:rsidR="00557915" w:rsidRPr="00DB18D2">
        <w:rPr>
          <w:rFonts w:hint="cs"/>
          <w:color w:val="000000"/>
          <w:spacing w:val="-4"/>
          <w:rtl/>
          <w:lang w:bidi="ar-EG"/>
        </w:rPr>
        <w:t xml:space="preserve">، </w:t>
      </w:r>
      <w:r w:rsidR="00847666" w:rsidRPr="00DB18D2">
        <w:rPr>
          <w:rFonts w:hint="cs"/>
          <w:spacing w:val="-4"/>
          <w:rtl/>
          <w:lang w:val="fr-FR" w:bidi="ar-EG"/>
        </w:rPr>
        <w:t>دعت</w:t>
      </w:r>
      <w:r w:rsidR="006D3D95" w:rsidRPr="00DB18D2">
        <w:rPr>
          <w:spacing w:val="-4"/>
          <w:rtl/>
          <w:lang w:val="fr-FR" w:bidi="ar-EG"/>
        </w:rPr>
        <w:t xml:space="preserve"> الأمانة </w:t>
      </w:r>
      <w:r w:rsidR="00847666" w:rsidRPr="00DB18D2">
        <w:rPr>
          <w:rFonts w:hint="cs"/>
          <w:spacing w:val="-4"/>
          <w:rtl/>
          <w:lang w:val="fr-FR" w:bidi="ar-EG"/>
        </w:rPr>
        <w:t xml:space="preserve">إل تشكيل </w:t>
      </w:r>
      <w:r w:rsidR="006D3D95" w:rsidRPr="00DB18D2">
        <w:rPr>
          <w:spacing w:val="-4"/>
          <w:rtl/>
          <w:lang w:val="fr-FR" w:bidi="ar-EG"/>
        </w:rPr>
        <w:t xml:space="preserve">فريق مهام يتألف من موظفين من جميع الدوائر المعنية </w:t>
      </w:r>
      <w:r w:rsidR="007F3577" w:rsidRPr="00DB18D2">
        <w:rPr>
          <w:rFonts w:hint="cs"/>
          <w:spacing w:val="-4"/>
          <w:rtl/>
          <w:lang w:val="fr-FR" w:bidi="ar-EG"/>
        </w:rPr>
        <w:t xml:space="preserve">في </w:t>
      </w:r>
      <w:r w:rsidR="006D3D95" w:rsidRPr="00DB18D2">
        <w:rPr>
          <w:spacing w:val="-4"/>
          <w:rtl/>
          <w:lang w:val="fr-FR" w:bidi="ar-EG"/>
        </w:rPr>
        <w:t>الأمانة العامة و</w:t>
      </w:r>
      <w:r w:rsidR="00557915" w:rsidRPr="00DB18D2">
        <w:rPr>
          <w:rFonts w:hint="cs"/>
          <w:spacing w:val="-4"/>
          <w:rtl/>
          <w:lang w:val="fr-FR" w:bidi="ar-EG"/>
        </w:rPr>
        <w:t xml:space="preserve">من جميع </w:t>
      </w:r>
      <w:r w:rsidR="006D3D95" w:rsidRPr="00DB18D2">
        <w:rPr>
          <w:spacing w:val="-4"/>
          <w:rtl/>
          <w:lang w:val="fr-FR" w:bidi="ar-EG"/>
        </w:rPr>
        <w:t xml:space="preserve">المكاتب ليُعني باستعراض تقرير </w:t>
      </w:r>
      <w:r w:rsidR="009B338C" w:rsidRPr="00DB18D2">
        <w:rPr>
          <w:rFonts w:hint="cs"/>
          <w:spacing w:val="-4"/>
          <w:rtl/>
          <w:lang w:val="fr-FR" w:bidi="ar-EG"/>
        </w:rPr>
        <w:t>مؤسسة</w:t>
      </w:r>
      <w:r w:rsidR="00F27F58" w:rsidRPr="00DB18D2">
        <w:rPr>
          <w:rFonts w:hint="cs"/>
          <w:spacing w:val="-4"/>
          <w:rtl/>
          <w:lang w:val="fr-FR" w:bidi="ar-EG"/>
        </w:rPr>
        <w:t> </w:t>
      </w:r>
      <w:r w:rsidR="006D3D95" w:rsidRPr="00DB18D2">
        <w:rPr>
          <w:spacing w:val="-4"/>
          <w:lang w:val="fr-FR" w:bidi="ar-EG"/>
        </w:rPr>
        <w:t>PwC</w:t>
      </w:r>
      <w:r w:rsidR="009B338C" w:rsidRPr="00DB18D2">
        <w:rPr>
          <w:rFonts w:hint="cs"/>
          <w:spacing w:val="-4"/>
          <w:rtl/>
          <w:lang w:val="fr-FR" w:bidi="ar-EG"/>
        </w:rPr>
        <w:t xml:space="preserve"> </w:t>
      </w:r>
      <w:r w:rsidR="006D3D95" w:rsidRPr="00DB18D2">
        <w:rPr>
          <w:spacing w:val="-4"/>
          <w:rtl/>
          <w:lang w:val="fr-FR" w:bidi="ar-EG"/>
        </w:rPr>
        <w:t>وتقديم تقرير مفصّل عنه، بما في ذلك توصيات لتنفيذها مستقبلاً.</w:t>
      </w:r>
      <w:r w:rsidR="006D3D95" w:rsidRPr="00DB18D2">
        <w:rPr>
          <w:rFonts w:hint="cs"/>
          <w:spacing w:val="-4"/>
          <w:rtl/>
          <w:lang w:val="fr-FR" w:bidi="ar-EG"/>
        </w:rPr>
        <w:t xml:space="preserve"> </w:t>
      </w:r>
      <w:r w:rsidR="007F3577" w:rsidRPr="00DB18D2">
        <w:rPr>
          <w:rFonts w:hint="cs"/>
          <w:spacing w:val="-4"/>
          <w:rtl/>
          <w:lang w:val="fr-FR" w:bidi="ar-EG"/>
        </w:rPr>
        <w:t xml:space="preserve">وقُدم تقرير مؤسسة </w:t>
      </w:r>
      <w:r w:rsidR="007F3577" w:rsidRPr="00DB18D2">
        <w:rPr>
          <w:spacing w:val="-4"/>
          <w:lang w:bidi="ar-EG"/>
        </w:rPr>
        <w:t>PwC</w:t>
      </w:r>
      <w:r w:rsidR="00E10E49" w:rsidRPr="00DB18D2">
        <w:rPr>
          <w:rFonts w:hint="cs"/>
          <w:spacing w:val="-4"/>
          <w:rtl/>
          <w:lang w:bidi="ar-EG"/>
        </w:rPr>
        <w:t xml:space="preserve">، في الوثيقة </w:t>
      </w:r>
      <w:hyperlink r:id="rId20" w:history="1">
        <w:r w:rsidR="00E10E49" w:rsidRPr="00DB18D2">
          <w:rPr>
            <w:rStyle w:val="Hyperlink"/>
            <w:spacing w:val="-4"/>
            <w:lang w:bidi="ar-EG"/>
          </w:rPr>
          <w:t>C20/74</w:t>
        </w:r>
      </w:hyperlink>
      <w:r w:rsidR="00E10E49" w:rsidRPr="00DB18D2">
        <w:rPr>
          <w:rFonts w:hint="cs"/>
          <w:spacing w:val="-4"/>
          <w:rtl/>
          <w:lang w:bidi="ar-EG"/>
        </w:rPr>
        <w:t xml:space="preserve">، </w:t>
      </w:r>
      <w:r w:rsidR="007F3577" w:rsidRPr="00DB18D2">
        <w:rPr>
          <w:rFonts w:hint="cs"/>
          <w:spacing w:val="-4"/>
          <w:rtl/>
          <w:lang w:bidi="ar-EG"/>
        </w:rPr>
        <w:t xml:space="preserve">إلى المشاورة الافتراضية الثانية لأعضاء المجلس </w:t>
      </w:r>
      <w:r w:rsidR="007F3577" w:rsidRPr="00DB18D2">
        <w:rPr>
          <w:spacing w:val="-4"/>
          <w:lang w:bidi="ar-EG"/>
        </w:rPr>
        <w:t>(VCC-2)</w:t>
      </w:r>
      <w:r w:rsidR="007F3577" w:rsidRPr="00DB18D2">
        <w:rPr>
          <w:rFonts w:hint="cs"/>
          <w:spacing w:val="-4"/>
          <w:rtl/>
          <w:lang w:bidi="ar-EG"/>
        </w:rPr>
        <w:t xml:space="preserve"> في نوفمبر </w:t>
      </w:r>
      <w:r w:rsidR="007F3577" w:rsidRPr="00DB18D2">
        <w:rPr>
          <w:spacing w:val="-4"/>
          <w:lang w:bidi="ar-EG"/>
        </w:rPr>
        <w:t>2020</w:t>
      </w:r>
      <w:r w:rsidR="007F3577" w:rsidRPr="00DB18D2">
        <w:rPr>
          <w:rFonts w:hint="cs"/>
          <w:spacing w:val="-4"/>
          <w:rtl/>
          <w:lang w:bidi="ar-EG"/>
        </w:rPr>
        <w:t>، وأحاط المجلس به علماً بالمراسلة.</w:t>
      </w:r>
      <w:r w:rsidR="008D5FEF" w:rsidRPr="00DB18D2">
        <w:rPr>
          <w:rFonts w:hint="cs"/>
          <w:spacing w:val="-4"/>
          <w:rtl/>
          <w:lang w:bidi="ar-EG"/>
        </w:rPr>
        <w:t xml:space="preserve"> </w:t>
      </w:r>
      <w:r w:rsidR="00D6260D" w:rsidRPr="00DB18D2">
        <w:rPr>
          <w:rFonts w:hint="cs"/>
          <w:spacing w:val="-4"/>
          <w:rtl/>
          <w:lang w:bidi="ar-EG"/>
        </w:rPr>
        <w:t xml:space="preserve">كما قُدمت إلى المشاورة الافتراضية الثانية مذكرة من </w:t>
      </w:r>
      <w:r w:rsidR="008D5FEF" w:rsidRPr="00DB18D2">
        <w:rPr>
          <w:rFonts w:hint="cs"/>
          <w:spacing w:val="-4"/>
          <w:rtl/>
          <w:lang w:bidi="ar-EG"/>
        </w:rPr>
        <w:t>فريق المهام التابع للأمانة إلى المجلس</w:t>
      </w:r>
      <w:r w:rsidR="00D6260D" w:rsidRPr="00DB18D2">
        <w:rPr>
          <w:rFonts w:hint="cs"/>
          <w:spacing w:val="-4"/>
          <w:rtl/>
          <w:lang w:bidi="ar-EG"/>
        </w:rPr>
        <w:t xml:space="preserve"> في الوثيقة </w:t>
      </w:r>
      <w:hyperlink r:id="rId21" w:history="1">
        <w:r w:rsidR="00D6260D" w:rsidRPr="00DB18D2">
          <w:rPr>
            <w:rStyle w:val="Hyperlink"/>
            <w:spacing w:val="-4"/>
            <w:lang w:bidi="ar-EG"/>
          </w:rPr>
          <w:t>C20/75</w:t>
        </w:r>
      </w:hyperlink>
      <w:r w:rsidR="008D5FEF" w:rsidRPr="00DB18D2">
        <w:rPr>
          <w:rFonts w:hint="cs"/>
          <w:spacing w:val="-4"/>
          <w:rtl/>
          <w:lang w:bidi="ar-EG"/>
        </w:rPr>
        <w:t xml:space="preserve">. </w:t>
      </w:r>
      <w:r w:rsidR="00F87130" w:rsidRPr="00DB18D2">
        <w:rPr>
          <w:rFonts w:hint="cs"/>
          <w:spacing w:val="-4"/>
          <w:rtl/>
          <w:lang w:bidi="ar-EG"/>
        </w:rPr>
        <w:t xml:space="preserve">وأُحيلت توصيات مؤسسة </w:t>
      </w:r>
      <w:r w:rsidR="00F87130" w:rsidRPr="00DB18D2">
        <w:rPr>
          <w:spacing w:val="-4"/>
          <w:lang w:bidi="ar-EG"/>
        </w:rPr>
        <w:t>PwC</w:t>
      </w:r>
      <w:r w:rsidR="00F87130" w:rsidRPr="00DB18D2">
        <w:rPr>
          <w:rFonts w:hint="cs"/>
          <w:spacing w:val="-4"/>
          <w:rtl/>
          <w:lang w:bidi="ar-EG"/>
        </w:rPr>
        <w:t xml:space="preserve"> إلى فريق العمل التابع للمجلس والمعني بالموارد المالية والبشرية </w:t>
      </w:r>
      <w:r w:rsidR="00F87130" w:rsidRPr="00DB18D2">
        <w:rPr>
          <w:spacing w:val="-4"/>
          <w:lang w:bidi="ar-EG"/>
        </w:rPr>
        <w:t>(CWG-FHR)</w:t>
      </w:r>
      <w:r w:rsidR="00F87130" w:rsidRPr="00DB18D2">
        <w:rPr>
          <w:rFonts w:hint="cs"/>
          <w:spacing w:val="-4"/>
          <w:rtl/>
          <w:lang w:bidi="ar-EG"/>
        </w:rPr>
        <w:t xml:space="preserve"> ليقدم التوجيه بشأن كيفية المضيّ بتنفيذها.</w:t>
      </w:r>
      <w:r w:rsidR="00D6260D" w:rsidRPr="00DB18D2">
        <w:rPr>
          <w:rFonts w:hint="cs"/>
          <w:spacing w:val="-4"/>
          <w:rtl/>
          <w:lang w:bidi="ar-EG"/>
        </w:rPr>
        <w:t xml:space="preserve"> </w:t>
      </w:r>
      <w:r w:rsidR="00E10E49" w:rsidRPr="00DB18D2">
        <w:rPr>
          <w:rFonts w:hint="cs"/>
          <w:spacing w:val="-4"/>
          <w:rtl/>
          <w:lang w:bidi="ar-EG"/>
        </w:rPr>
        <w:t>ف</w:t>
      </w:r>
      <w:r w:rsidR="00D6260D" w:rsidRPr="00DB18D2">
        <w:rPr>
          <w:rFonts w:hint="cs"/>
          <w:spacing w:val="-4"/>
          <w:rtl/>
          <w:lang w:bidi="ar-EG"/>
        </w:rPr>
        <w:t xml:space="preserve">أحال فريق العمل </w:t>
      </w:r>
      <w:r w:rsidR="00D6260D" w:rsidRPr="00DB18D2">
        <w:rPr>
          <w:spacing w:val="-4"/>
          <w:lang w:bidi="ar-EG"/>
        </w:rPr>
        <w:t>CWG-FHR</w:t>
      </w:r>
      <w:r w:rsidR="00D6260D" w:rsidRPr="00DB18D2">
        <w:rPr>
          <w:rFonts w:hint="cs"/>
          <w:spacing w:val="-4"/>
          <w:rtl/>
          <w:lang w:bidi="ar-EG"/>
        </w:rPr>
        <w:t xml:space="preserve"> بدوره تقرير مؤسسة </w:t>
      </w:r>
      <w:r w:rsidR="00D6260D" w:rsidRPr="00DB18D2">
        <w:rPr>
          <w:spacing w:val="-4"/>
          <w:lang w:bidi="ar-EG"/>
        </w:rPr>
        <w:t>PwC</w:t>
      </w:r>
      <w:r w:rsidR="00D6260D" w:rsidRPr="00DB18D2">
        <w:rPr>
          <w:rFonts w:hint="cs"/>
          <w:spacing w:val="-4"/>
          <w:rtl/>
          <w:lang w:bidi="ar-EG"/>
        </w:rPr>
        <w:t xml:space="preserve"> إلى فريق مخص</w:t>
      </w:r>
      <w:r w:rsidR="007C436F" w:rsidRPr="00DB18D2">
        <w:rPr>
          <w:rFonts w:hint="cs"/>
          <w:spacing w:val="-4"/>
          <w:rtl/>
          <w:lang w:bidi="ar-EG"/>
        </w:rPr>
        <w:t>َّ</w:t>
      </w:r>
      <w:r w:rsidR="00D6260D" w:rsidRPr="00DB18D2">
        <w:rPr>
          <w:rFonts w:hint="cs"/>
          <w:spacing w:val="-4"/>
          <w:rtl/>
          <w:lang w:bidi="ar-EG"/>
        </w:rPr>
        <w:t xml:space="preserve">ص ليتولى تقييمه وإبلاغ فريق العمل بنتائج التقييم قبل </w:t>
      </w:r>
      <w:r w:rsidR="00CC1E66" w:rsidRPr="00DB18D2">
        <w:rPr>
          <w:rFonts w:hint="cs"/>
          <w:spacing w:val="-4"/>
          <w:rtl/>
          <w:lang w:bidi="ar-EG"/>
        </w:rPr>
        <w:t>انعقاد</w:t>
      </w:r>
      <w:r w:rsidR="00D6260D" w:rsidRPr="00DB18D2">
        <w:rPr>
          <w:rFonts w:hint="cs"/>
          <w:spacing w:val="-4"/>
          <w:rtl/>
          <w:lang w:bidi="ar-EG"/>
        </w:rPr>
        <w:t xml:space="preserve"> دورة المجلس ال</w:t>
      </w:r>
      <w:r w:rsidR="00CC1E66" w:rsidRPr="00DB18D2">
        <w:rPr>
          <w:rFonts w:hint="cs"/>
          <w:spacing w:val="-4"/>
          <w:rtl/>
          <w:lang w:bidi="ar-EG"/>
        </w:rPr>
        <w:t>م</w:t>
      </w:r>
      <w:r w:rsidR="00D6260D" w:rsidRPr="00DB18D2">
        <w:rPr>
          <w:rFonts w:hint="cs"/>
          <w:spacing w:val="-4"/>
          <w:rtl/>
          <w:lang w:bidi="ar-EG"/>
        </w:rPr>
        <w:t>قبلة.</w:t>
      </w:r>
    </w:p>
    <w:p w14:paraId="6D1B9168" w14:textId="56044B3F" w:rsidR="00CC485D" w:rsidRPr="00CC485D" w:rsidRDefault="00CC485D" w:rsidP="00335781">
      <w:pPr>
        <w:pStyle w:val="Heading1"/>
        <w:rPr>
          <w:lang w:val="fr-FR" w:bidi="ar-EG"/>
        </w:rPr>
      </w:pPr>
      <w:r w:rsidRPr="00CC485D">
        <w:rPr>
          <w:lang w:bidi="ar-SY"/>
        </w:rPr>
        <w:t>3</w:t>
      </w:r>
      <w:r w:rsidRPr="00CC485D">
        <w:rPr>
          <w:lang w:bidi="ar-SY"/>
        </w:rPr>
        <w:tab/>
      </w:r>
      <w:r w:rsidR="00A14AD9">
        <w:rPr>
          <w:rFonts w:hint="cs"/>
          <w:rtl/>
          <w:lang w:bidi="ar-SY"/>
        </w:rPr>
        <w:t>ال</w:t>
      </w:r>
      <w:r w:rsidRPr="00CC485D">
        <w:rPr>
          <w:rtl/>
        </w:rPr>
        <w:t xml:space="preserve">حوار </w:t>
      </w:r>
      <w:r w:rsidR="00A14AD9">
        <w:rPr>
          <w:rFonts w:hint="cs"/>
          <w:rtl/>
        </w:rPr>
        <w:t>ال</w:t>
      </w:r>
      <w:r w:rsidRPr="00CC485D">
        <w:rPr>
          <w:rFonts w:hint="cs"/>
          <w:rtl/>
        </w:rPr>
        <w:t>إلكتروني</w:t>
      </w:r>
      <w:r w:rsidRPr="00CC485D">
        <w:rPr>
          <w:rtl/>
        </w:rPr>
        <w:t xml:space="preserve"> للفريق الاستشاري لتنمية الاتصالات بشأن</w:t>
      </w:r>
      <w:r w:rsidRPr="00CC485D">
        <w:rPr>
          <w:rFonts w:hint="cs"/>
          <w:rtl/>
          <w:lang w:bidi="ar"/>
        </w:rPr>
        <w:t xml:space="preserve"> الحضور الإقليمي، 26 مارس 2020</w:t>
      </w:r>
    </w:p>
    <w:p w14:paraId="55A64741" w14:textId="7A6C69B7" w:rsidR="00CC485D" w:rsidRPr="00CC485D" w:rsidRDefault="00CC485D" w:rsidP="00CC485D">
      <w:pPr>
        <w:rPr>
          <w:lang w:val="fr-FR" w:bidi="ar-EG"/>
        </w:rPr>
      </w:pPr>
      <w:r w:rsidRPr="00350D9C">
        <w:rPr>
          <w:lang w:val="fr-FR" w:bidi="ar-EG"/>
        </w:rPr>
        <w:t>1.3</w:t>
      </w:r>
      <w:r w:rsidRPr="00350D9C">
        <w:rPr>
          <w:lang w:val="fr-FR" w:bidi="ar-EG"/>
        </w:rPr>
        <w:tab/>
      </w:r>
      <w:r w:rsidRPr="00CC485D">
        <w:rPr>
          <w:rFonts w:hint="cs"/>
          <w:rtl/>
          <w:lang w:bidi="ar"/>
        </w:rPr>
        <w:t xml:space="preserve">نظراً لتأجيل اجتماع </w:t>
      </w:r>
      <w:r w:rsidRPr="00CC485D">
        <w:rPr>
          <w:rFonts w:hint="cs"/>
          <w:rtl/>
          <w:lang w:val="fr-FR"/>
        </w:rPr>
        <w:t>ال</w:t>
      </w:r>
      <w:r w:rsidRPr="00CC485D">
        <w:rPr>
          <w:rtl/>
          <w:lang w:val="fr-FR"/>
        </w:rPr>
        <w:t xml:space="preserve">فريق الاستشاري لتنمية الاتصالات </w:t>
      </w:r>
      <w:r w:rsidRPr="00CC485D">
        <w:rPr>
          <w:rFonts w:hint="cs"/>
          <w:rtl/>
          <w:lang w:bidi="ar"/>
        </w:rPr>
        <w:t>لعام 2020 من تواريخه الأصلية في نهاية مارس إلى 2</w:t>
      </w:r>
      <w:r w:rsidRPr="00350D9C">
        <w:rPr>
          <w:lang w:val="fr-FR" w:bidi="ar"/>
        </w:rPr>
        <w:noBreakHyphen/>
      </w:r>
      <w:r w:rsidRPr="00CC485D">
        <w:rPr>
          <w:rFonts w:hint="cs"/>
          <w:rtl/>
          <w:lang w:bidi="ar"/>
        </w:rPr>
        <w:t>5</w:t>
      </w:r>
      <w:r w:rsidRPr="00CC485D">
        <w:rPr>
          <w:rFonts w:hint="eastAsia"/>
          <w:rtl/>
          <w:lang w:bidi="ar"/>
        </w:rPr>
        <w:t> </w:t>
      </w:r>
      <w:r w:rsidRPr="00CC485D">
        <w:rPr>
          <w:rFonts w:hint="cs"/>
          <w:rtl/>
          <w:lang w:bidi="ar"/>
        </w:rPr>
        <w:t>يونيو</w:t>
      </w:r>
      <w:r w:rsidRPr="00CC485D">
        <w:rPr>
          <w:rFonts w:hint="eastAsia"/>
          <w:rtl/>
          <w:lang w:bidi="ar"/>
        </w:rPr>
        <w:t> </w:t>
      </w:r>
      <w:r w:rsidRPr="00CC485D">
        <w:rPr>
          <w:rFonts w:hint="cs"/>
          <w:rtl/>
          <w:lang w:bidi="ar"/>
        </w:rPr>
        <w:t xml:space="preserve">2020 بسبب المخاوف من تفشي فيروس كورونا المستجد </w:t>
      </w:r>
      <w:r w:rsidRPr="00350D9C">
        <w:rPr>
          <w:lang w:val="fr-FR" w:bidi="ar"/>
        </w:rPr>
        <w:t>(</w:t>
      </w:r>
      <w:r w:rsidRPr="00350D9C">
        <w:rPr>
          <w:rFonts w:hint="cs"/>
          <w:lang w:val="fr-FR" w:bidi="ar"/>
        </w:rPr>
        <w:t>COVID-19</w:t>
      </w:r>
      <w:r w:rsidRPr="00350D9C">
        <w:rPr>
          <w:lang w:val="fr-FR" w:bidi="ar"/>
        </w:rPr>
        <w:t>)</w:t>
      </w:r>
      <w:r w:rsidRPr="00CC485D">
        <w:rPr>
          <w:rFonts w:hint="cs"/>
          <w:rtl/>
          <w:lang w:bidi="ar"/>
        </w:rPr>
        <w:t xml:space="preserve"> على الصعيد العالمي، عُقدت سلسلة من </w:t>
      </w:r>
      <w:r w:rsidRPr="00CC485D">
        <w:rPr>
          <w:rFonts w:hint="cs"/>
          <w:rtl/>
        </w:rPr>
        <w:t>ال</w:t>
      </w:r>
      <w:r w:rsidRPr="00CC485D">
        <w:rPr>
          <w:rFonts w:hint="cs"/>
          <w:rtl/>
          <w:lang w:bidi="ar"/>
        </w:rPr>
        <w:t>حوارات الإلكترونية ل</w:t>
      </w:r>
      <w:r w:rsidRPr="00CC485D">
        <w:rPr>
          <w:rFonts w:hint="cs"/>
          <w:rtl/>
          <w:lang w:bidi="ar-EG"/>
        </w:rPr>
        <w:t>ل</w:t>
      </w:r>
      <w:r w:rsidRPr="00CC485D">
        <w:rPr>
          <w:rtl/>
          <w:lang w:val="fr-FR"/>
        </w:rPr>
        <w:t xml:space="preserve">فريق الاستشاري لتنمية الاتصالات </w:t>
      </w:r>
      <w:r w:rsidRPr="00CC485D">
        <w:rPr>
          <w:rFonts w:hint="cs"/>
          <w:rtl/>
          <w:lang w:bidi="ar"/>
        </w:rPr>
        <w:t xml:space="preserve">خلال التواريخ الأصلية (24 -26 مارس). وخلال </w:t>
      </w:r>
      <w:r w:rsidRPr="00CC485D">
        <w:rPr>
          <w:b/>
          <w:bCs/>
          <w:rtl/>
          <w:lang w:bidi="ar"/>
        </w:rPr>
        <w:t>الحوار</w:t>
      </w:r>
      <w:r w:rsidRPr="00CC485D">
        <w:rPr>
          <w:rFonts w:hint="cs"/>
          <w:b/>
          <w:bCs/>
          <w:rtl/>
          <w:lang w:bidi="ar"/>
        </w:rPr>
        <w:t xml:space="preserve"> الإلكتروني بشأن الحضور الإقليمي</w:t>
      </w:r>
      <w:r w:rsidRPr="00CC485D">
        <w:rPr>
          <w:rFonts w:hint="cs"/>
          <w:rtl/>
          <w:lang w:bidi="ar"/>
        </w:rPr>
        <w:t xml:space="preserve">، قدم مكتب برايس </w:t>
      </w:r>
      <w:proofErr w:type="spellStart"/>
      <w:r w:rsidRPr="00CC485D">
        <w:rPr>
          <w:rFonts w:hint="cs"/>
          <w:rtl/>
          <w:lang w:bidi="ar"/>
        </w:rPr>
        <w:t>ووترهاوس</w:t>
      </w:r>
      <w:proofErr w:type="spellEnd"/>
      <w:r w:rsidRPr="00CC485D">
        <w:rPr>
          <w:rFonts w:hint="cs"/>
          <w:rtl/>
          <w:lang w:bidi="ar"/>
        </w:rPr>
        <w:t xml:space="preserve"> كوبرز عرضاً للعمل الذي أُجري حتى الآن استناداً إلى المقرر</w:t>
      </w:r>
      <w:r w:rsidRPr="00CC485D">
        <w:rPr>
          <w:rFonts w:hint="eastAsia"/>
          <w:rtl/>
          <w:lang w:bidi="ar"/>
        </w:rPr>
        <w:t> </w:t>
      </w:r>
      <w:r w:rsidRPr="00CC485D">
        <w:rPr>
          <w:rFonts w:hint="cs"/>
          <w:rtl/>
          <w:lang w:bidi="ar"/>
        </w:rPr>
        <w:t>616 للمجلس (المتاح في</w:t>
      </w:r>
      <w:r w:rsidRPr="00CC485D">
        <w:rPr>
          <w:rFonts w:hint="eastAsia"/>
          <w:rtl/>
          <w:lang w:bidi="ar"/>
        </w:rPr>
        <w:t> </w:t>
      </w:r>
      <w:r w:rsidR="00350D9C">
        <w:fldChar w:fldCharType="begin"/>
      </w:r>
      <w:r w:rsidR="00350D9C" w:rsidRPr="00350D9C">
        <w:rPr>
          <w:lang w:val="fr-FR"/>
        </w:rPr>
        <w:instrText xml:space="preserve"> HYPERLINK \l "_</w:instrText>
      </w:r>
      <w:r w:rsidR="00350D9C">
        <w:instrText>التذييل</w:instrText>
      </w:r>
      <w:r w:rsidR="00350D9C" w:rsidRPr="00350D9C">
        <w:rPr>
          <w:lang w:val="fr-FR"/>
        </w:rPr>
        <w:instrText xml:space="preserve">" </w:instrText>
      </w:r>
      <w:r w:rsidR="00350D9C">
        <w:fldChar w:fldCharType="separate"/>
      </w:r>
      <w:r w:rsidRPr="008958B1">
        <w:rPr>
          <w:rStyle w:val="Hyperlink"/>
          <w:rFonts w:hint="cs"/>
          <w:b/>
          <w:bCs/>
          <w:rtl/>
          <w:lang w:bidi="ar"/>
        </w:rPr>
        <w:t>التذييل</w:t>
      </w:r>
      <w:r w:rsidR="00350D9C">
        <w:rPr>
          <w:rStyle w:val="Hyperlink"/>
          <w:b/>
          <w:bCs/>
          <w:lang w:bidi="ar"/>
        </w:rPr>
        <w:fldChar w:fldCharType="end"/>
      </w:r>
      <w:r w:rsidRPr="00CC485D">
        <w:rPr>
          <w:rFonts w:hint="cs"/>
          <w:rtl/>
          <w:lang w:bidi="ar"/>
        </w:rPr>
        <w:t xml:space="preserve"> </w:t>
      </w:r>
      <w:r w:rsidR="00A14AD9">
        <w:rPr>
          <w:rFonts w:hint="cs"/>
          <w:rtl/>
          <w:lang w:bidi="ar"/>
        </w:rPr>
        <w:t>المرفق ب</w:t>
      </w:r>
      <w:r w:rsidRPr="00CC485D">
        <w:rPr>
          <w:rFonts w:hint="cs"/>
          <w:rtl/>
          <w:lang w:bidi="ar"/>
        </w:rPr>
        <w:t xml:space="preserve">هذه الوثيقة): وقدم مكتب برايس </w:t>
      </w:r>
      <w:proofErr w:type="spellStart"/>
      <w:r w:rsidRPr="00CC485D">
        <w:rPr>
          <w:rFonts w:hint="cs"/>
          <w:rtl/>
          <w:lang w:bidi="ar"/>
        </w:rPr>
        <w:t>ووترهاوس</w:t>
      </w:r>
      <w:proofErr w:type="spellEnd"/>
      <w:r w:rsidRPr="00CC485D">
        <w:rPr>
          <w:rFonts w:hint="cs"/>
          <w:rtl/>
          <w:lang w:bidi="ar"/>
        </w:rPr>
        <w:t xml:space="preserve"> كوبرز إطاره الخاص بالاستعرا</w:t>
      </w:r>
      <w:r w:rsidRPr="00CC485D">
        <w:rPr>
          <w:rtl/>
          <w:lang w:bidi="ar"/>
        </w:rPr>
        <w:t>ض</w:t>
      </w:r>
      <w:r w:rsidRPr="00CC485D">
        <w:rPr>
          <w:rFonts w:hint="cs"/>
          <w:rtl/>
          <w:lang w:bidi="ar"/>
        </w:rPr>
        <w:t>، والذي يستند بشكل كبير إلى معايير التقييم الخاصة بلجنة المساعدة الإنمائية (</w:t>
      </w:r>
      <w:r w:rsidRPr="00CC485D">
        <w:rPr>
          <w:rFonts w:hint="cs"/>
          <w:lang w:val="fr-FR" w:bidi="ar-EG"/>
        </w:rPr>
        <w:t>DAC</w:t>
      </w:r>
      <w:r w:rsidRPr="00CC485D">
        <w:rPr>
          <w:rFonts w:hint="cs"/>
          <w:rtl/>
          <w:lang w:bidi="ar"/>
        </w:rPr>
        <w:t>) التابعة لمنظمة التعاون والتنمية</w:t>
      </w:r>
      <w:r w:rsidRPr="00350D9C">
        <w:rPr>
          <w:lang w:val="fr-FR" w:bidi="ar"/>
        </w:rPr>
        <w:t xml:space="preserve"> </w:t>
      </w:r>
      <w:r w:rsidRPr="00CC485D">
        <w:rPr>
          <w:rFonts w:hint="cs"/>
          <w:rtl/>
          <w:lang w:bidi="ar-EG"/>
        </w:rPr>
        <w:t>في</w:t>
      </w:r>
      <w:r w:rsidRPr="00CC485D">
        <w:rPr>
          <w:rFonts w:hint="eastAsia"/>
          <w:rtl/>
          <w:lang w:bidi="ar-EG"/>
        </w:rPr>
        <w:t> </w:t>
      </w:r>
      <w:r w:rsidRPr="00CC485D">
        <w:rPr>
          <w:rFonts w:hint="cs"/>
          <w:rtl/>
          <w:lang w:bidi="ar-EG"/>
        </w:rPr>
        <w:t>الميدان الاقتصادي</w:t>
      </w:r>
      <w:r w:rsidRPr="00CC485D">
        <w:rPr>
          <w:rFonts w:hint="eastAsia"/>
          <w:rtl/>
          <w:lang w:bidi="ar"/>
        </w:rPr>
        <w:t> </w:t>
      </w:r>
      <w:r w:rsidRPr="00CC485D">
        <w:rPr>
          <w:rFonts w:hint="cs"/>
          <w:rtl/>
          <w:lang w:bidi="ar"/>
        </w:rPr>
        <w:t>(</w:t>
      </w:r>
      <w:r w:rsidRPr="00CC485D">
        <w:rPr>
          <w:rFonts w:hint="cs"/>
          <w:lang w:val="fr-FR" w:bidi="ar-EG"/>
        </w:rPr>
        <w:t>O</w:t>
      </w:r>
      <w:r w:rsidRPr="00CC485D">
        <w:rPr>
          <w:lang w:val="fr-FR" w:bidi="ar-EG"/>
        </w:rPr>
        <w:t>E</w:t>
      </w:r>
      <w:r w:rsidRPr="00CC485D">
        <w:rPr>
          <w:rFonts w:hint="cs"/>
          <w:lang w:val="fr-FR" w:bidi="ar-EG"/>
        </w:rPr>
        <w:t>CD</w:t>
      </w:r>
      <w:r w:rsidRPr="00CC485D">
        <w:rPr>
          <w:rFonts w:hint="cs"/>
          <w:rtl/>
          <w:lang w:bidi="ar"/>
        </w:rPr>
        <w:t>)، والذي يتضمن سبعة معايير تقييمية: التماسك والأهمية والرقابة والكفاءة والفعالية والتأثير والاستدامة.</w:t>
      </w:r>
    </w:p>
    <w:p w14:paraId="670867D8" w14:textId="77777777" w:rsidR="00CC485D" w:rsidRPr="00DB18D2" w:rsidRDefault="00CC485D" w:rsidP="00CC485D">
      <w:pPr>
        <w:rPr>
          <w:spacing w:val="-6"/>
          <w:lang w:val="fr-FR" w:bidi="ar-EG"/>
        </w:rPr>
      </w:pPr>
      <w:r w:rsidRPr="00350D9C">
        <w:rPr>
          <w:lang w:val="fr-FR" w:bidi="ar-EG"/>
        </w:rPr>
        <w:t>2.3</w:t>
      </w:r>
      <w:r w:rsidRPr="00350D9C">
        <w:rPr>
          <w:lang w:val="fr-FR" w:bidi="ar-EG"/>
        </w:rPr>
        <w:tab/>
      </w:r>
      <w:r w:rsidRPr="00DB18D2">
        <w:rPr>
          <w:rFonts w:hint="cs"/>
          <w:spacing w:val="-6"/>
          <w:rtl/>
          <w:lang w:bidi="ar"/>
        </w:rPr>
        <w:t xml:space="preserve">بدأ مكتب برايس </w:t>
      </w:r>
      <w:proofErr w:type="spellStart"/>
      <w:r w:rsidRPr="00DB18D2">
        <w:rPr>
          <w:rFonts w:hint="cs"/>
          <w:spacing w:val="-6"/>
          <w:rtl/>
          <w:lang w:bidi="ar"/>
        </w:rPr>
        <w:t>ووترهاوس</w:t>
      </w:r>
      <w:proofErr w:type="spellEnd"/>
      <w:r w:rsidRPr="00DB18D2">
        <w:rPr>
          <w:rFonts w:hint="cs"/>
          <w:spacing w:val="-6"/>
          <w:rtl/>
          <w:lang w:bidi="ar"/>
        </w:rPr>
        <w:t xml:space="preserve"> كوبرز عملية الاستعراض في نوفمبر 2019 بالتواصل مع الأعضاء وموظفي الاتحاد، بناءً على هذه المعايير، من خلال إجراء سلسلة من المقابلات والقيام باستقصاء واستعراضات مكتبية وتحاليل نوعية. وتمت دراسة مستوى التكامل بين وثائق السياسات ووثائق التخطيط، والنظر بشكل أساسي في سؤالين: ما هي الأولويات؟؛ وما هو المتوقع من الحضور الإقليمي؟</w:t>
      </w:r>
    </w:p>
    <w:p w14:paraId="4884C480" w14:textId="4CA1AADE" w:rsidR="00CC485D" w:rsidRPr="00CC485D" w:rsidRDefault="00CC485D" w:rsidP="00CC485D">
      <w:pPr>
        <w:rPr>
          <w:lang w:val="fr-FR" w:bidi="ar-EG"/>
        </w:rPr>
      </w:pPr>
      <w:r w:rsidRPr="00350D9C">
        <w:rPr>
          <w:lang w:val="fr-FR" w:bidi="ar-EG"/>
        </w:rPr>
        <w:t>3.3</w:t>
      </w:r>
      <w:r w:rsidRPr="00350D9C">
        <w:rPr>
          <w:lang w:val="fr-FR" w:bidi="ar-EG"/>
        </w:rPr>
        <w:tab/>
      </w:r>
      <w:r w:rsidRPr="00CC485D">
        <w:rPr>
          <w:rFonts w:hint="cs"/>
          <w:rtl/>
          <w:lang w:bidi="ar"/>
        </w:rPr>
        <w:t>وقدم المكتب بع</w:t>
      </w:r>
      <w:r w:rsidRPr="00CC485D">
        <w:rPr>
          <w:rtl/>
          <w:lang w:bidi="ar"/>
        </w:rPr>
        <w:t>ض</w:t>
      </w:r>
      <w:r w:rsidRPr="00CC485D">
        <w:rPr>
          <w:rFonts w:hint="cs"/>
          <w:rtl/>
          <w:lang w:bidi="ar"/>
        </w:rPr>
        <w:t xml:space="preserve"> النتائج التي توصل إليها إلى الأعضاء، فضلاً عن المبادئ التوجيهية لتصميم النموذج المستقبلي بالإضافة إلى بعض التوصيات </w:t>
      </w:r>
      <w:r w:rsidR="008066C8">
        <w:rPr>
          <w:rFonts w:hint="cs"/>
          <w:rtl/>
          <w:lang w:bidi="ar"/>
        </w:rPr>
        <w:t>ال</w:t>
      </w:r>
      <w:r w:rsidRPr="00CC485D">
        <w:rPr>
          <w:rFonts w:hint="cs"/>
          <w:rtl/>
          <w:lang w:bidi="ar"/>
        </w:rPr>
        <w:t>رفيعة المستوى.</w:t>
      </w:r>
    </w:p>
    <w:p w14:paraId="28734615" w14:textId="77777777" w:rsidR="00CC485D" w:rsidRPr="00CC485D" w:rsidRDefault="00CC485D" w:rsidP="00CC485D">
      <w:pPr>
        <w:rPr>
          <w:rtl/>
          <w:lang w:bidi="ar-EG"/>
        </w:rPr>
      </w:pPr>
      <w:r w:rsidRPr="00350D9C">
        <w:rPr>
          <w:lang w:val="fr-FR" w:bidi="ar-EG"/>
        </w:rPr>
        <w:t>4.3</w:t>
      </w:r>
      <w:r w:rsidRPr="00350D9C">
        <w:rPr>
          <w:lang w:val="fr-FR" w:bidi="ar-EG"/>
        </w:rPr>
        <w:tab/>
      </w:r>
      <w:r w:rsidRPr="00CC485D">
        <w:rPr>
          <w:rFonts w:hint="cs"/>
          <w:rtl/>
          <w:lang w:bidi="ar-EG"/>
        </w:rPr>
        <w:t>و</w:t>
      </w:r>
      <w:r w:rsidRPr="00CC485D">
        <w:rPr>
          <w:rFonts w:hint="cs"/>
          <w:rtl/>
          <w:lang w:bidi="ar"/>
        </w:rPr>
        <w:t xml:space="preserve">استمرت الجلسة بطرح الأسئلة والإجابة عنها. ويتاح تقرير موجز عن الحوار الإلكتروني في </w:t>
      </w:r>
      <w:r w:rsidR="00350D9C">
        <w:fldChar w:fldCharType="begin"/>
      </w:r>
      <w:r w:rsidR="00350D9C" w:rsidRPr="00350D9C">
        <w:rPr>
          <w:lang w:val="fr-FR"/>
        </w:rPr>
        <w:instrText xml:space="preserve"> HYPERLINK "https://www.itu.int/en/ITU-D/Conferences/TDAG/Documents/2020%20TDAG/DRAFTSUMMARY-RECORD-WEB-DIALOGUE-REGIONAL-PRESENCE_rev9April_final-DIR-clean.docx" </w:instrText>
      </w:r>
      <w:r w:rsidR="00350D9C">
        <w:fldChar w:fldCharType="separate"/>
      </w:r>
      <w:r w:rsidRPr="00CC485D">
        <w:rPr>
          <w:rFonts w:hint="cs"/>
          <w:color w:val="0000FF"/>
          <w:u w:val="single"/>
          <w:rtl/>
          <w:lang w:bidi="ar"/>
        </w:rPr>
        <w:t>الموقع الإلكتروني</w:t>
      </w:r>
      <w:r w:rsidR="00350D9C">
        <w:rPr>
          <w:color w:val="0000FF"/>
          <w:u w:val="single"/>
          <w:lang w:bidi="ar"/>
        </w:rPr>
        <w:fldChar w:fldCharType="end"/>
      </w:r>
      <w:r w:rsidRPr="00CC485D">
        <w:rPr>
          <w:rFonts w:hint="cs"/>
          <w:rtl/>
          <w:lang w:bidi="ar"/>
        </w:rPr>
        <w:t xml:space="preserve"> ل</w:t>
      </w:r>
      <w:r w:rsidRPr="00CC485D">
        <w:rPr>
          <w:rtl/>
          <w:lang w:val="fr-FR"/>
        </w:rPr>
        <w:t>اجتماع الفريق الاستشاري لتنمية الاتصالات لعام</w:t>
      </w:r>
      <w:r w:rsidRPr="00CC485D">
        <w:rPr>
          <w:rFonts w:hint="cs"/>
          <w:rtl/>
          <w:lang w:bidi="ar-EG"/>
        </w:rPr>
        <w:t xml:space="preserve"> </w:t>
      </w:r>
      <w:r w:rsidRPr="00CC485D">
        <w:rPr>
          <w:lang w:val="fr-FR"/>
        </w:rPr>
        <w:t>2020</w:t>
      </w:r>
      <w:r w:rsidRPr="00CC485D">
        <w:rPr>
          <w:rtl/>
          <w:lang w:val="fr-FR"/>
        </w:rPr>
        <w:t xml:space="preserve"> </w:t>
      </w:r>
      <w:r w:rsidRPr="00350D9C">
        <w:rPr>
          <w:lang w:val="fr-FR" w:bidi="ar-EG"/>
        </w:rPr>
        <w:t>(TDAG-20)</w:t>
      </w:r>
      <w:r w:rsidRPr="00CC485D">
        <w:rPr>
          <w:rFonts w:hint="cs"/>
          <w:rtl/>
          <w:lang w:bidi="ar-EG"/>
        </w:rPr>
        <w:t>.</w:t>
      </w:r>
    </w:p>
    <w:p w14:paraId="69545676" w14:textId="77777777" w:rsidR="00CC485D" w:rsidRPr="00CC485D" w:rsidRDefault="00CC485D" w:rsidP="00335781">
      <w:pPr>
        <w:pStyle w:val="Heading1"/>
        <w:rPr>
          <w:lang w:bidi="ar-SY"/>
        </w:rPr>
      </w:pPr>
      <w:r w:rsidRPr="00CC485D">
        <w:rPr>
          <w:lang w:bidi="ar-SY"/>
        </w:rPr>
        <w:t>4</w:t>
      </w:r>
      <w:r w:rsidRPr="00CC485D">
        <w:rPr>
          <w:lang w:bidi="ar-SY"/>
        </w:rPr>
        <w:tab/>
      </w:r>
      <w:r w:rsidRPr="00CC485D">
        <w:rPr>
          <w:rFonts w:hint="cs"/>
          <w:rtl/>
          <w:lang w:bidi="ar-SY"/>
        </w:rPr>
        <w:t>إنشاء مكتب لمنطقة جنوب آسيا تابع للاتحاد</w:t>
      </w:r>
    </w:p>
    <w:p w14:paraId="6385EDF7" w14:textId="7F029750" w:rsidR="00CC485D" w:rsidRPr="00CC485D" w:rsidRDefault="00CC485D" w:rsidP="00CC485D">
      <w:pPr>
        <w:rPr>
          <w:rtl/>
          <w:lang w:bidi="ar-EG"/>
        </w:rPr>
      </w:pPr>
      <w:r w:rsidRPr="00CC485D">
        <w:rPr>
          <w:lang w:bidi="ar-EG"/>
        </w:rPr>
        <w:t>1.4</w:t>
      </w:r>
      <w:r w:rsidRPr="00CC485D">
        <w:rPr>
          <w:rtl/>
          <w:lang w:bidi="ar-EG"/>
        </w:rPr>
        <w:tab/>
      </w:r>
      <w:r w:rsidRPr="00CC485D">
        <w:rPr>
          <w:rFonts w:hint="cs"/>
          <w:rtl/>
          <w:lang w:bidi="ar-EG"/>
        </w:rPr>
        <w:t xml:space="preserve">وافق مجلس الاتحاد في جلسته الختامية لدورة عام </w:t>
      </w:r>
      <w:r w:rsidRPr="00CC485D">
        <w:rPr>
          <w:lang w:val="es-ES" w:bidi="ar-EG"/>
        </w:rPr>
        <w:t>2018</w:t>
      </w:r>
      <w:r w:rsidRPr="00CC485D">
        <w:rPr>
          <w:rFonts w:hint="cs"/>
          <w:rtl/>
          <w:lang w:bidi="ar-EG"/>
        </w:rPr>
        <w:t xml:space="preserve"> على إنشاء مكتب لمنطقة جنوب آسيا في الهند تابع للاتحاد. ودعا المجلس الأمين العام إلى بدء التفاوض على إبرام اتفاق مع البلد المضيف، بما في ذلك الترتيبات المالية اللازمة. وبالإضافة إلى قرار المجلس هذا، أعدت الأمانة مشروع اتفاق مع البلد المضيف </w:t>
      </w:r>
      <w:r w:rsidRPr="00CC485D">
        <w:rPr>
          <w:lang w:bidi="ar-EG"/>
        </w:rPr>
        <w:t>(HCA)</w:t>
      </w:r>
      <w:r w:rsidRPr="00CC485D">
        <w:rPr>
          <w:rFonts w:hint="cs"/>
          <w:rtl/>
          <w:lang w:bidi="ar-EG"/>
        </w:rPr>
        <w:t xml:space="preserve"> وأَطلعت حكومة الهند عليه لتقدم تعليقاتها وتعقيباتها عليه. </w:t>
      </w:r>
      <w:r w:rsidRPr="00CC485D">
        <w:rPr>
          <w:rtl/>
        </w:rPr>
        <w:t xml:space="preserve">وقد أعطى الطرفان موافقتهما المبدئية على </w:t>
      </w:r>
      <w:r w:rsidRPr="00CC485D">
        <w:rPr>
          <w:rFonts w:hint="cs"/>
          <w:rtl/>
        </w:rPr>
        <w:t>نص</w:t>
      </w:r>
      <w:r w:rsidRPr="00CC485D">
        <w:rPr>
          <w:rtl/>
        </w:rPr>
        <w:t xml:space="preserve"> الاتفاق مع البلد المضيف باستثناء </w:t>
      </w:r>
      <w:r w:rsidRPr="00CC485D">
        <w:rPr>
          <w:rFonts w:hint="cs"/>
          <w:rtl/>
        </w:rPr>
        <w:t>بند</w:t>
      </w:r>
      <w:r w:rsidRPr="00CC485D">
        <w:rPr>
          <w:rtl/>
        </w:rPr>
        <w:t xml:space="preserve"> واحد لا </w:t>
      </w:r>
      <w:r w:rsidRPr="00CC485D">
        <w:rPr>
          <w:rFonts w:hint="cs"/>
          <w:rtl/>
        </w:rPr>
        <w:t>ي</w:t>
      </w:r>
      <w:r w:rsidRPr="00CC485D">
        <w:rPr>
          <w:rtl/>
        </w:rPr>
        <w:t>زال معلق</w:t>
      </w:r>
      <w:r w:rsidRPr="00CC485D">
        <w:rPr>
          <w:rFonts w:hint="cs"/>
          <w:rtl/>
        </w:rPr>
        <w:t>اً</w:t>
      </w:r>
      <w:r w:rsidRPr="00CC485D">
        <w:rPr>
          <w:rtl/>
        </w:rPr>
        <w:t xml:space="preserve"> بسبب </w:t>
      </w:r>
      <w:r w:rsidR="00E2715D">
        <w:rPr>
          <w:rFonts w:hint="cs"/>
          <w:rtl/>
          <w:lang w:bidi="ar-EG"/>
        </w:rPr>
        <w:t>ال</w:t>
      </w:r>
      <w:r w:rsidRPr="00CC485D">
        <w:rPr>
          <w:rtl/>
        </w:rPr>
        <w:t xml:space="preserve">مشاورات </w:t>
      </w:r>
      <w:r w:rsidR="00E2715D">
        <w:rPr>
          <w:rFonts w:hint="cs"/>
          <w:rtl/>
        </w:rPr>
        <w:t>ال</w:t>
      </w:r>
      <w:r w:rsidRPr="00CC485D">
        <w:rPr>
          <w:rtl/>
        </w:rPr>
        <w:t xml:space="preserve">داخلية </w:t>
      </w:r>
      <w:r w:rsidR="00E2715D">
        <w:rPr>
          <w:rFonts w:hint="cs"/>
          <w:rtl/>
        </w:rPr>
        <w:t xml:space="preserve">الجارية في </w:t>
      </w:r>
      <w:r w:rsidRPr="00CC485D">
        <w:rPr>
          <w:rtl/>
        </w:rPr>
        <w:t xml:space="preserve">حكومة </w:t>
      </w:r>
      <w:r w:rsidRPr="00CC485D">
        <w:rPr>
          <w:rFonts w:hint="cs"/>
          <w:rtl/>
        </w:rPr>
        <w:t>الهند</w:t>
      </w:r>
      <w:r w:rsidRPr="00CC485D">
        <w:rPr>
          <w:lang w:bidi="ar-EG"/>
        </w:rPr>
        <w:t>.</w:t>
      </w:r>
    </w:p>
    <w:p w14:paraId="24071BA9" w14:textId="41286D96" w:rsidR="00CC485D" w:rsidRPr="003377EB" w:rsidRDefault="00CC485D" w:rsidP="003377EB">
      <w:pPr>
        <w:pStyle w:val="Heading1"/>
        <w:rPr>
          <w:lang w:val="es-ES"/>
        </w:rPr>
      </w:pPr>
      <w:r w:rsidRPr="003377EB">
        <w:rPr>
          <w:lang w:bidi="ar-SY"/>
        </w:rPr>
        <w:t>5</w:t>
      </w:r>
      <w:r w:rsidRPr="003377EB">
        <w:rPr>
          <w:rtl/>
          <w:lang w:bidi="ar-SY"/>
        </w:rPr>
        <w:tab/>
      </w:r>
      <w:r w:rsidRPr="003377EB">
        <w:rPr>
          <w:rFonts w:hint="cs"/>
          <w:rtl/>
          <w:lang w:bidi="ar-SY"/>
        </w:rPr>
        <w:t xml:space="preserve">الإنجازات المحقَّقة على الصعيد الإقليمي في عام </w:t>
      </w:r>
      <w:r w:rsidR="006E0F63" w:rsidRPr="003377EB">
        <w:rPr>
          <w:lang w:val="es-ES" w:bidi="ar-SY"/>
        </w:rPr>
        <w:t>2020</w:t>
      </w:r>
      <w:r w:rsidRPr="003377EB">
        <w:rPr>
          <w:rFonts w:hint="cs"/>
          <w:rtl/>
          <w:lang w:val="es-ES" w:bidi="ar-SY"/>
        </w:rPr>
        <w:t xml:space="preserve"> (الخطة التشغيلية والمبادرات الإقليمية</w:t>
      </w:r>
      <w:r w:rsidR="003377EB">
        <w:rPr>
          <w:rFonts w:hint="eastAsia"/>
          <w:rtl/>
          <w:lang w:val="es-ES" w:bidi="ar-SY"/>
        </w:rPr>
        <w:t> </w:t>
      </w:r>
      <w:r w:rsidRPr="003377EB">
        <w:rPr>
          <w:rFonts w:hint="cs"/>
          <w:rtl/>
          <w:lang w:val="es-ES" w:bidi="ar-SY"/>
        </w:rPr>
        <w:t>والمشاريع)</w:t>
      </w:r>
    </w:p>
    <w:p w14:paraId="3FBCF0B2" w14:textId="47B71F7B" w:rsidR="00CC485D" w:rsidRPr="00CC485D" w:rsidRDefault="00CC485D" w:rsidP="00277365">
      <w:pPr>
        <w:rPr>
          <w:rtl/>
          <w:lang w:bidi="ar-EG"/>
        </w:rPr>
      </w:pPr>
      <w:r w:rsidRPr="00350D9C">
        <w:rPr>
          <w:lang w:val="es-ES" w:bidi="ar-SY"/>
        </w:rPr>
        <w:t>1.5</w:t>
      </w:r>
      <w:r w:rsidRPr="00350D9C">
        <w:rPr>
          <w:lang w:val="es-ES" w:bidi="ar-SY"/>
        </w:rPr>
        <w:tab/>
      </w:r>
      <w:r w:rsidRPr="00CC485D">
        <w:rPr>
          <w:rFonts w:hint="cs"/>
          <w:spacing w:val="2"/>
          <w:rtl/>
          <w:lang w:bidi="ar-EG"/>
        </w:rPr>
        <w:t>تُنفَّذ</w:t>
      </w:r>
      <w:r w:rsidRPr="00CC485D">
        <w:rPr>
          <w:spacing w:val="2"/>
          <w:rtl/>
        </w:rPr>
        <w:t xml:space="preserve"> المبادرات الإقليمية </w:t>
      </w:r>
      <w:r w:rsidRPr="00CC485D">
        <w:rPr>
          <w:rFonts w:hint="cs"/>
          <w:spacing w:val="2"/>
          <w:rtl/>
        </w:rPr>
        <w:t>و</w:t>
      </w:r>
      <w:r w:rsidRPr="00CC485D">
        <w:rPr>
          <w:spacing w:val="2"/>
          <w:rtl/>
        </w:rPr>
        <w:t>البرامج والمشاريع</w:t>
      </w:r>
      <w:r w:rsidRPr="00CC485D">
        <w:rPr>
          <w:rFonts w:hint="cs"/>
          <w:spacing w:val="2"/>
          <w:rtl/>
        </w:rPr>
        <w:t xml:space="preserve"> والأنشطة في الميدان</w:t>
      </w:r>
      <w:r w:rsidRPr="00CC485D">
        <w:rPr>
          <w:spacing w:val="2"/>
          <w:rtl/>
        </w:rPr>
        <w:t xml:space="preserve"> تحت قيادة المكاتب الإقليمية ومكاتب المناطق.</w:t>
      </w:r>
      <w:r w:rsidRPr="00CC485D">
        <w:rPr>
          <w:rFonts w:hint="cs"/>
          <w:spacing w:val="2"/>
          <w:rtl/>
        </w:rPr>
        <w:t xml:space="preserve"> </w:t>
      </w:r>
      <w:r w:rsidR="00361734">
        <w:rPr>
          <w:rFonts w:hint="cs"/>
          <w:spacing w:val="2"/>
          <w:rtl/>
        </w:rPr>
        <w:t>وتُقدَّم بانتظام تقارير عن</w:t>
      </w:r>
      <w:r w:rsidRPr="00CC485D">
        <w:rPr>
          <w:rFonts w:hint="cs"/>
          <w:spacing w:val="2"/>
          <w:rtl/>
        </w:rPr>
        <w:t xml:space="preserve"> </w:t>
      </w:r>
      <w:r w:rsidR="00B86967">
        <w:rPr>
          <w:rFonts w:hint="cs"/>
          <w:spacing w:val="2"/>
          <w:rtl/>
        </w:rPr>
        <w:t>النتائج الرئيسية المحقَّقة</w:t>
      </w:r>
      <w:r w:rsidRPr="00CC485D">
        <w:rPr>
          <w:rFonts w:hint="cs"/>
          <w:spacing w:val="2"/>
          <w:rtl/>
        </w:rPr>
        <w:t xml:space="preserve"> إلى الفريق الاستشاري لتنمية الاتصالات وإلى المجلس. و</w:t>
      </w:r>
      <w:r w:rsidR="00361734">
        <w:rPr>
          <w:rFonts w:hint="cs"/>
          <w:spacing w:val="2"/>
          <w:rtl/>
        </w:rPr>
        <w:t xml:space="preserve">قد </w:t>
      </w:r>
      <w:r w:rsidRPr="00CC485D">
        <w:rPr>
          <w:rFonts w:hint="cs"/>
          <w:spacing w:val="2"/>
          <w:rtl/>
        </w:rPr>
        <w:t xml:space="preserve">سُجلت الإنجازات المحققة في عام </w:t>
      </w:r>
      <w:r w:rsidR="00B86967" w:rsidRPr="00350D9C">
        <w:rPr>
          <w:spacing w:val="2"/>
          <w:lang w:val="es-ES"/>
        </w:rPr>
        <w:t>2020</w:t>
      </w:r>
      <w:r w:rsidRPr="00CC485D">
        <w:rPr>
          <w:rFonts w:hint="cs"/>
          <w:spacing w:val="2"/>
          <w:rtl/>
          <w:lang w:val="fr-FR"/>
        </w:rPr>
        <w:t xml:space="preserve"> في </w:t>
      </w:r>
      <w:r w:rsidR="00361734" w:rsidRPr="00361734">
        <w:rPr>
          <w:rFonts w:hint="cs"/>
          <w:spacing w:val="2"/>
          <w:rtl/>
          <w:lang w:bidi="ar-EG"/>
        </w:rPr>
        <w:t xml:space="preserve">تقرير </w:t>
      </w:r>
      <w:r w:rsidR="00361734">
        <w:rPr>
          <w:rFonts w:hint="cs"/>
          <w:spacing w:val="2"/>
          <w:rtl/>
          <w:lang w:bidi="ar-EG"/>
        </w:rPr>
        <w:t xml:space="preserve">بشأن </w:t>
      </w:r>
      <w:r w:rsidR="00361734" w:rsidRPr="004B3FDF">
        <w:rPr>
          <w:rFonts w:hint="cs"/>
          <w:spacing w:val="2"/>
          <w:rtl/>
          <w:lang w:bidi="ar-EG"/>
        </w:rPr>
        <w:t xml:space="preserve">الاستعراض السنوي </w:t>
      </w:r>
      <w:r w:rsidR="00361734">
        <w:rPr>
          <w:rFonts w:hint="cs"/>
          <w:spacing w:val="2"/>
          <w:rtl/>
        </w:rPr>
        <w:t>يُتاح الاطلاع عليه عبر الرابط التالي</w:t>
      </w:r>
      <w:r w:rsidRPr="00CC485D">
        <w:rPr>
          <w:rFonts w:hint="cs"/>
          <w:spacing w:val="2"/>
          <w:rtl/>
        </w:rPr>
        <w:t>:</w:t>
      </w:r>
      <w:r w:rsidRPr="00CC485D">
        <w:rPr>
          <w:spacing w:val="2"/>
          <w:rtl/>
        </w:rPr>
        <w:tab/>
      </w:r>
      <w:r w:rsidRPr="00CC485D">
        <w:rPr>
          <w:spacing w:val="2"/>
          <w:rtl/>
        </w:rPr>
        <w:br/>
      </w:r>
      <w:r w:rsidR="00350D9C">
        <w:fldChar w:fldCharType="begin"/>
      </w:r>
      <w:r w:rsidR="00350D9C" w:rsidRPr="00350D9C">
        <w:rPr>
          <w:lang w:val="es-ES"/>
        </w:rPr>
        <w:instrText xml:space="preserve"> HYPERLINK "https://itu.foleon.com/itu/bdt-year-in-review-2020/home/" </w:instrText>
      </w:r>
      <w:r w:rsidR="00350D9C">
        <w:fldChar w:fldCharType="separate"/>
      </w:r>
      <w:r w:rsidR="00B86967" w:rsidRPr="004B3FDF">
        <w:rPr>
          <w:rStyle w:val="Hyperlink"/>
          <w:rFonts w:hint="cs"/>
          <w:rtl/>
        </w:rPr>
        <w:t xml:space="preserve">الصفحة الرئيسية – </w:t>
      </w:r>
      <w:r w:rsidR="00361734" w:rsidRPr="004B3FDF">
        <w:rPr>
          <w:rStyle w:val="Hyperlink"/>
          <w:rFonts w:hint="cs"/>
          <w:rtl/>
        </w:rPr>
        <w:t>الاستعراض</w:t>
      </w:r>
      <w:r w:rsidR="004B3FDF" w:rsidRPr="004B3FDF">
        <w:rPr>
          <w:rStyle w:val="Hyperlink"/>
          <w:rFonts w:hint="cs"/>
          <w:rtl/>
        </w:rPr>
        <w:t xml:space="preserve"> السنوي لأعمال</w:t>
      </w:r>
      <w:r w:rsidR="00361734" w:rsidRPr="004B3FDF">
        <w:rPr>
          <w:rStyle w:val="Hyperlink"/>
          <w:rFonts w:hint="cs"/>
          <w:rtl/>
        </w:rPr>
        <w:t xml:space="preserve"> </w:t>
      </w:r>
      <w:r w:rsidR="00B86967" w:rsidRPr="004B3FDF">
        <w:rPr>
          <w:rStyle w:val="Hyperlink"/>
          <w:rFonts w:hint="cs"/>
          <w:rtl/>
        </w:rPr>
        <w:t xml:space="preserve">مكتب تنمية الاتصالات </w:t>
      </w:r>
      <w:r w:rsidR="004B3FDF">
        <w:rPr>
          <w:rStyle w:val="Hyperlink"/>
          <w:rFonts w:hint="cs"/>
          <w:rtl/>
        </w:rPr>
        <w:t xml:space="preserve">في </w:t>
      </w:r>
      <w:r w:rsidR="00B86967" w:rsidRPr="004B3FDF">
        <w:rPr>
          <w:rStyle w:val="Hyperlink"/>
          <w:rFonts w:hint="cs"/>
          <w:rtl/>
        </w:rPr>
        <w:t xml:space="preserve">عام </w:t>
      </w:r>
      <w:r w:rsidR="00B86967" w:rsidRPr="00350D9C">
        <w:rPr>
          <w:rStyle w:val="Hyperlink"/>
          <w:lang w:val="es-ES"/>
        </w:rPr>
        <w:t>2020</w:t>
      </w:r>
      <w:r w:rsidR="004B3FDF" w:rsidRPr="004B3FDF">
        <w:rPr>
          <w:rStyle w:val="Hyperlink"/>
          <w:rFonts w:hint="cs"/>
          <w:rtl/>
          <w:lang w:bidi="ar-EG"/>
        </w:rPr>
        <w:t xml:space="preserve"> </w:t>
      </w:r>
      <w:r w:rsidR="004B3FDF" w:rsidRPr="00350D9C">
        <w:rPr>
          <w:rStyle w:val="Hyperlink"/>
          <w:lang w:val="es-ES" w:bidi="ar-EG"/>
        </w:rPr>
        <w:t>(foleon.com)</w:t>
      </w:r>
      <w:r w:rsidR="00350D9C">
        <w:rPr>
          <w:rStyle w:val="Hyperlink"/>
          <w:lang w:bidi="ar-EG"/>
        </w:rPr>
        <w:fldChar w:fldCharType="end"/>
      </w:r>
    </w:p>
    <w:p w14:paraId="4E6AAF62" w14:textId="45211B30" w:rsidR="00CC485D" w:rsidRPr="00DB18D2" w:rsidRDefault="00CC485D" w:rsidP="00CC485D">
      <w:pPr>
        <w:rPr>
          <w:spacing w:val="-6"/>
          <w:lang w:bidi="ar-EG"/>
        </w:rPr>
      </w:pPr>
      <w:r w:rsidRPr="00CC485D">
        <w:rPr>
          <w:spacing w:val="2"/>
          <w:lang w:bidi="ar-SY"/>
        </w:rPr>
        <w:t>2.5</w:t>
      </w:r>
      <w:r w:rsidRPr="00CC485D">
        <w:rPr>
          <w:rFonts w:hint="cs"/>
          <w:spacing w:val="2"/>
          <w:rtl/>
        </w:rPr>
        <w:tab/>
      </w:r>
      <w:r w:rsidRPr="00DB18D2">
        <w:rPr>
          <w:rFonts w:hint="cs"/>
          <w:spacing w:val="-6"/>
          <w:rtl/>
        </w:rPr>
        <w:t>وفي</w:t>
      </w:r>
      <w:r w:rsidRPr="00DB18D2">
        <w:rPr>
          <w:rFonts w:hint="cs"/>
          <w:spacing w:val="-6"/>
          <w:rtl/>
          <w:lang w:bidi="ar-EG"/>
        </w:rPr>
        <w:t xml:space="preserve"> عام</w:t>
      </w:r>
      <w:r w:rsidRPr="00DB18D2">
        <w:rPr>
          <w:rFonts w:hint="cs"/>
          <w:spacing w:val="-6"/>
          <w:rtl/>
        </w:rPr>
        <w:t xml:space="preserve"> </w:t>
      </w:r>
      <w:r w:rsidR="00934C3E" w:rsidRPr="00DB18D2">
        <w:rPr>
          <w:spacing w:val="-6"/>
          <w:lang w:bidi="ar-SY"/>
        </w:rPr>
        <w:t>2020</w:t>
      </w:r>
      <w:r w:rsidRPr="00DB18D2">
        <w:rPr>
          <w:rFonts w:hint="cs"/>
          <w:spacing w:val="-6"/>
          <w:rtl/>
        </w:rPr>
        <w:t>، تضمّن تنفيذ الخطة التشغيلية لمكتب تنمية الاتصالات (</w:t>
      </w:r>
      <w:r w:rsidRPr="00DB18D2">
        <w:rPr>
          <w:rFonts w:hint="cs"/>
          <w:spacing w:val="-6"/>
          <w:rtl/>
          <w:lang w:bidi="ar-EG"/>
        </w:rPr>
        <w:t>ال</w:t>
      </w:r>
      <w:r w:rsidRPr="00DB18D2">
        <w:rPr>
          <w:rFonts w:hint="cs"/>
          <w:spacing w:val="-6"/>
          <w:rtl/>
        </w:rPr>
        <w:t xml:space="preserve">ميزانية العادية) </w:t>
      </w:r>
      <w:r w:rsidRPr="00DB18D2">
        <w:rPr>
          <w:spacing w:val="-6"/>
          <w:lang w:bidi="ar-SY"/>
        </w:rPr>
        <w:t>1</w:t>
      </w:r>
      <w:r w:rsidR="00934C3E" w:rsidRPr="00DB18D2">
        <w:rPr>
          <w:spacing w:val="-6"/>
          <w:lang w:bidi="ar-SY"/>
        </w:rPr>
        <w:t>57</w:t>
      </w:r>
      <w:r w:rsidRPr="00DB18D2">
        <w:rPr>
          <w:rFonts w:hint="cs"/>
          <w:spacing w:val="-6"/>
          <w:rtl/>
          <w:lang w:bidi="ar-EG"/>
        </w:rPr>
        <w:t xml:space="preserve"> عملاً، بمستوى إجمالي للتنفيذ بلغ </w:t>
      </w:r>
      <w:r w:rsidRPr="00DB18D2">
        <w:rPr>
          <w:spacing w:val="-6"/>
          <w:lang w:bidi="ar-SY"/>
        </w:rPr>
        <w:t>2,</w:t>
      </w:r>
      <w:r w:rsidR="00934C3E" w:rsidRPr="00DB18D2">
        <w:rPr>
          <w:spacing w:val="-6"/>
          <w:lang w:bidi="ar-SY"/>
        </w:rPr>
        <w:t>3</w:t>
      </w:r>
      <w:r w:rsidRPr="00DB18D2">
        <w:rPr>
          <w:rFonts w:hint="eastAsia"/>
          <w:spacing w:val="-6"/>
          <w:rtl/>
          <w:lang w:bidi="ar-EG"/>
        </w:rPr>
        <w:t> </w:t>
      </w:r>
      <w:r w:rsidRPr="00DB18D2">
        <w:rPr>
          <w:rFonts w:hint="cs"/>
          <w:spacing w:val="-6"/>
          <w:rtl/>
          <w:lang w:bidi="ar-EG"/>
        </w:rPr>
        <w:t>مليون فرنك سويسري (الجدول </w:t>
      </w:r>
      <w:r w:rsidRPr="00DB18D2">
        <w:rPr>
          <w:spacing w:val="-6"/>
          <w:lang w:bidi="ar-EG"/>
        </w:rPr>
        <w:t>1</w:t>
      </w:r>
      <w:r w:rsidRPr="00DB18D2">
        <w:rPr>
          <w:rFonts w:hint="cs"/>
          <w:spacing w:val="-6"/>
          <w:rtl/>
          <w:lang w:bidi="ar-EG"/>
        </w:rPr>
        <w:t>)</w:t>
      </w:r>
      <w:r w:rsidRPr="00DB18D2">
        <w:rPr>
          <w:rFonts w:hint="cs"/>
          <w:spacing w:val="-6"/>
          <w:rtl/>
        </w:rPr>
        <w:t xml:space="preserve">. وبلغ مستوى تنفيذ </w:t>
      </w:r>
      <w:r w:rsidR="00934C3E" w:rsidRPr="00DB18D2">
        <w:rPr>
          <w:rFonts w:hint="cs"/>
          <w:spacing w:val="-6"/>
          <w:rtl/>
          <w:lang w:bidi="ar-EG"/>
        </w:rPr>
        <w:t>ال</w:t>
      </w:r>
      <w:r w:rsidRPr="00DB18D2">
        <w:rPr>
          <w:rFonts w:hint="cs"/>
          <w:spacing w:val="-6"/>
          <w:rtl/>
        </w:rPr>
        <w:t xml:space="preserve">مشاريع </w:t>
      </w:r>
      <w:r w:rsidR="00934C3E" w:rsidRPr="00DB18D2">
        <w:rPr>
          <w:spacing w:val="-6"/>
          <w:lang w:bidi="ar-SY"/>
        </w:rPr>
        <w:t>3</w:t>
      </w:r>
      <w:r w:rsidRPr="00DB18D2">
        <w:rPr>
          <w:spacing w:val="-6"/>
          <w:lang w:bidi="ar-SY"/>
        </w:rPr>
        <w:t>,</w:t>
      </w:r>
      <w:r w:rsidR="00934C3E" w:rsidRPr="00DB18D2">
        <w:rPr>
          <w:spacing w:val="-6"/>
          <w:lang w:bidi="ar-SY"/>
        </w:rPr>
        <w:t>5</w:t>
      </w:r>
      <w:r w:rsidRPr="00DB18D2">
        <w:rPr>
          <w:rFonts w:hint="cs"/>
          <w:spacing w:val="-6"/>
          <w:rtl/>
          <w:lang w:bidi="ar-EG"/>
        </w:rPr>
        <w:t xml:space="preserve"> ملايين</w:t>
      </w:r>
      <w:r w:rsidRPr="00DB18D2">
        <w:rPr>
          <w:rFonts w:hint="cs"/>
          <w:spacing w:val="-6"/>
          <w:rtl/>
        </w:rPr>
        <w:t xml:space="preserve"> دولار أمريكي</w:t>
      </w:r>
      <w:r w:rsidR="00934C3E" w:rsidRPr="00DB18D2">
        <w:rPr>
          <w:rFonts w:hint="cs"/>
          <w:spacing w:val="-6"/>
          <w:rtl/>
          <w:lang w:bidi="ar-EG"/>
        </w:rPr>
        <w:t xml:space="preserve"> في </w:t>
      </w:r>
      <w:r w:rsidR="006D273C" w:rsidRPr="00DB18D2">
        <w:rPr>
          <w:spacing w:val="-6"/>
          <w:lang w:bidi="ar-SY"/>
        </w:rPr>
        <w:t>71</w:t>
      </w:r>
      <w:r w:rsidRPr="00DB18D2">
        <w:rPr>
          <w:rFonts w:hint="eastAsia"/>
          <w:spacing w:val="-6"/>
          <w:rtl/>
          <w:lang w:bidi="ar-SY"/>
        </w:rPr>
        <w:t> </w:t>
      </w:r>
      <w:r w:rsidRPr="00DB18D2">
        <w:rPr>
          <w:rFonts w:hint="cs"/>
          <w:spacing w:val="-6"/>
          <w:rtl/>
          <w:lang w:bidi="ar-EG"/>
        </w:rPr>
        <w:t>مشروعاً (الجدول </w:t>
      </w:r>
      <w:r w:rsidRPr="00DB18D2">
        <w:rPr>
          <w:spacing w:val="-6"/>
          <w:lang w:bidi="ar-EG"/>
        </w:rPr>
        <w:t>2</w:t>
      </w:r>
      <w:r w:rsidRPr="00DB18D2">
        <w:rPr>
          <w:rFonts w:hint="cs"/>
          <w:spacing w:val="-6"/>
          <w:rtl/>
          <w:lang w:bidi="ar-EG"/>
        </w:rPr>
        <w:t>).</w:t>
      </w:r>
      <w:r w:rsidRPr="00DB18D2">
        <w:rPr>
          <w:spacing w:val="-6"/>
          <w:position w:val="6"/>
          <w:sz w:val="18"/>
          <w:szCs w:val="18"/>
          <w:rtl/>
          <w:lang w:bidi="ar-EG"/>
        </w:rPr>
        <w:footnoteReference w:id="1"/>
      </w:r>
    </w:p>
    <w:p w14:paraId="6DD730D2" w14:textId="51380A51" w:rsidR="00CC485D" w:rsidRPr="00CC485D" w:rsidRDefault="00CC485D" w:rsidP="00CC485D">
      <w:pPr>
        <w:keepNext/>
        <w:spacing w:after="120"/>
        <w:jc w:val="center"/>
        <w:rPr>
          <w:b/>
          <w:bCs/>
          <w:rtl/>
          <w:lang w:bidi="ar-SY"/>
        </w:rPr>
      </w:pPr>
      <w:r w:rsidRPr="00CC485D">
        <w:rPr>
          <w:rFonts w:hint="cs"/>
          <w:b/>
          <w:bCs/>
          <w:rtl/>
          <w:lang w:bidi="ar-SY"/>
        </w:rPr>
        <w:lastRenderedPageBreak/>
        <w:t>الجدول </w:t>
      </w:r>
      <w:r w:rsidRPr="00CC485D">
        <w:rPr>
          <w:b/>
          <w:bCs/>
          <w:lang w:bidi="ar-SY"/>
        </w:rPr>
        <w:t>1</w:t>
      </w:r>
      <w:r w:rsidRPr="00CC485D">
        <w:rPr>
          <w:rFonts w:hint="cs"/>
          <w:b/>
          <w:bCs/>
          <w:rtl/>
          <w:lang w:bidi="ar-SY"/>
        </w:rPr>
        <w:t xml:space="preserve"> - تنفيذ الخطة التشغيلية لمكتب تنمية الاتصالات في</w:t>
      </w:r>
      <w:r w:rsidR="00BD7632">
        <w:rPr>
          <w:rFonts w:hint="cs"/>
          <w:b/>
          <w:bCs/>
          <w:rtl/>
          <w:lang w:bidi="ar-EG"/>
        </w:rPr>
        <w:t xml:space="preserve"> عام</w:t>
      </w:r>
      <w:r w:rsidRPr="00CC485D">
        <w:rPr>
          <w:rFonts w:hint="cs"/>
          <w:b/>
          <w:bCs/>
          <w:rtl/>
          <w:lang w:bidi="ar-SY"/>
        </w:rPr>
        <w:t xml:space="preserve"> </w:t>
      </w:r>
      <w:r w:rsidR="006D3D95">
        <w:rPr>
          <w:b/>
          <w:bCs/>
          <w:lang w:bidi="ar-SY"/>
        </w:rPr>
        <w:t>2020</w:t>
      </w:r>
      <w:r w:rsidRPr="00CC485D">
        <w:rPr>
          <w:b/>
          <w:bCs/>
          <w:rtl/>
          <w:lang w:bidi="ar-SY"/>
        </w:rPr>
        <w:br/>
      </w:r>
      <w:r w:rsidRPr="00CC485D">
        <w:rPr>
          <w:rFonts w:hint="cs"/>
          <w:i/>
          <w:iCs/>
          <w:rtl/>
          <w:lang w:bidi="ar-SY"/>
        </w:rPr>
        <w:t>(</w:t>
      </w:r>
      <w:r w:rsidRPr="00CC485D">
        <w:rPr>
          <w:i/>
          <w:iCs/>
          <w:rtl/>
          <w:lang w:bidi="ar-SY"/>
        </w:rPr>
        <w:t>المبالغ بآلاف الفرنكات السويسرية</w:t>
      </w:r>
      <w:r w:rsidRPr="00CC485D">
        <w:rPr>
          <w:rFonts w:hint="cs"/>
          <w:i/>
          <w:iCs/>
          <w:rtl/>
          <w:lang w:bidi="ar-SY"/>
        </w:rPr>
        <w:t>)</w:t>
      </w:r>
    </w:p>
    <w:tbl>
      <w:tblPr>
        <w:tblStyle w:val="TableGrid1"/>
        <w:bidiVisual/>
        <w:tblW w:w="5000" w:type="pct"/>
        <w:jc w:val="center"/>
        <w:tblLook w:val="04A0" w:firstRow="1" w:lastRow="0" w:firstColumn="1" w:lastColumn="0" w:noHBand="0" w:noVBand="1"/>
      </w:tblPr>
      <w:tblGrid>
        <w:gridCol w:w="1259"/>
        <w:gridCol w:w="609"/>
        <w:gridCol w:w="1092"/>
        <w:gridCol w:w="562"/>
        <w:gridCol w:w="1140"/>
        <w:gridCol w:w="624"/>
        <w:gridCol w:w="1075"/>
        <w:gridCol w:w="591"/>
        <w:gridCol w:w="1107"/>
        <w:gridCol w:w="557"/>
        <w:gridCol w:w="1013"/>
      </w:tblGrid>
      <w:tr w:rsidR="00CC485D" w:rsidRPr="00CC485D" w14:paraId="6B3DCA37" w14:textId="77777777" w:rsidTr="00AB19AA">
        <w:trPr>
          <w:jc w:val="center"/>
        </w:trPr>
        <w:tc>
          <w:tcPr>
            <w:tcW w:w="654" w:type="pct"/>
            <w:vMerge w:val="restart"/>
            <w:tcBorders>
              <w:top w:val="single" w:sz="4" w:space="0" w:color="auto"/>
              <w:left w:val="single" w:sz="4" w:space="0" w:color="auto"/>
              <w:bottom w:val="nil"/>
              <w:right w:val="single" w:sz="4" w:space="0" w:color="auto"/>
            </w:tcBorders>
            <w:shd w:val="clear" w:color="auto" w:fill="BDD7EE"/>
            <w:vAlign w:val="center"/>
          </w:tcPr>
          <w:p w14:paraId="7378C98B"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z w:val="20"/>
                <w:szCs w:val="20"/>
                <w:rtl/>
                <w:lang w:val="en-GB" w:eastAsia="en-US"/>
              </w:rPr>
            </w:pPr>
            <w:r w:rsidRPr="00CC485D">
              <w:rPr>
                <w:rFonts w:eastAsia="Times New Roman" w:hint="cs"/>
                <w:sz w:val="20"/>
                <w:szCs w:val="20"/>
                <w:rtl/>
                <w:lang w:val="en-GB" w:eastAsia="en-US"/>
              </w:rPr>
              <w:t>المنطقة</w:t>
            </w:r>
          </w:p>
        </w:tc>
        <w:tc>
          <w:tcPr>
            <w:tcW w:w="883" w:type="pct"/>
            <w:gridSpan w:val="2"/>
            <w:tcBorders>
              <w:top w:val="single" w:sz="4" w:space="0" w:color="auto"/>
              <w:left w:val="single" w:sz="4" w:space="0" w:color="auto"/>
              <w:bottom w:val="single" w:sz="4" w:space="0" w:color="auto"/>
              <w:right w:val="single" w:sz="4" w:space="0" w:color="auto"/>
            </w:tcBorders>
            <w:shd w:val="clear" w:color="auto" w:fill="BDD7EE"/>
          </w:tcPr>
          <w:p w14:paraId="7BD8D101"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 xml:space="preserve">الهدف </w:t>
            </w:r>
            <w:r w:rsidRPr="00CC485D">
              <w:rPr>
                <w:rFonts w:eastAsia="Times New Roman"/>
                <w:b/>
                <w:bCs/>
                <w:sz w:val="20"/>
                <w:szCs w:val="20"/>
                <w:lang w:val="en-GB" w:eastAsia="en-US"/>
              </w:rPr>
              <w:t>1</w:t>
            </w:r>
          </w:p>
        </w:tc>
        <w:tc>
          <w:tcPr>
            <w:tcW w:w="884" w:type="pct"/>
            <w:gridSpan w:val="2"/>
            <w:tcBorders>
              <w:top w:val="single" w:sz="4" w:space="0" w:color="auto"/>
              <w:left w:val="single" w:sz="4" w:space="0" w:color="auto"/>
              <w:bottom w:val="single" w:sz="4" w:space="0" w:color="auto"/>
              <w:right w:val="single" w:sz="4" w:space="0" w:color="auto"/>
            </w:tcBorders>
            <w:shd w:val="clear" w:color="auto" w:fill="BDD7EE"/>
          </w:tcPr>
          <w:p w14:paraId="47D708C7"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 xml:space="preserve">الهدف </w:t>
            </w:r>
            <w:r w:rsidRPr="00CC485D">
              <w:rPr>
                <w:rFonts w:eastAsia="Times New Roman"/>
                <w:b/>
                <w:bCs/>
                <w:sz w:val="20"/>
                <w:szCs w:val="20"/>
                <w:lang w:val="en-GB" w:eastAsia="en-US"/>
              </w:rPr>
              <w:t>2</w:t>
            </w:r>
          </w:p>
        </w:tc>
        <w:tc>
          <w:tcPr>
            <w:tcW w:w="882" w:type="pct"/>
            <w:gridSpan w:val="2"/>
            <w:tcBorders>
              <w:top w:val="single" w:sz="4" w:space="0" w:color="auto"/>
              <w:left w:val="single" w:sz="4" w:space="0" w:color="auto"/>
              <w:bottom w:val="single" w:sz="4" w:space="0" w:color="auto"/>
              <w:right w:val="single" w:sz="4" w:space="0" w:color="auto"/>
            </w:tcBorders>
            <w:shd w:val="clear" w:color="auto" w:fill="BDD7EE"/>
          </w:tcPr>
          <w:p w14:paraId="1F78860C"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 xml:space="preserve">الهدف </w:t>
            </w:r>
            <w:r w:rsidRPr="00CC485D">
              <w:rPr>
                <w:rFonts w:eastAsia="Times New Roman"/>
                <w:b/>
                <w:bCs/>
                <w:sz w:val="20"/>
                <w:szCs w:val="20"/>
                <w:lang w:val="en-GB" w:eastAsia="en-US"/>
              </w:rPr>
              <w:t>3</w:t>
            </w:r>
          </w:p>
        </w:tc>
        <w:tc>
          <w:tcPr>
            <w:tcW w:w="882" w:type="pct"/>
            <w:gridSpan w:val="2"/>
            <w:tcBorders>
              <w:top w:val="single" w:sz="4" w:space="0" w:color="auto"/>
              <w:left w:val="single" w:sz="4" w:space="0" w:color="auto"/>
              <w:bottom w:val="single" w:sz="4" w:space="0" w:color="auto"/>
              <w:right w:val="single" w:sz="4" w:space="0" w:color="auto"/>
            </w:tcBorders>
            <w:shd w:val="clear" w:color="auto" w:fill="BDD7EE"/>
          </w:tcPr>
          <w:p w14:paraId="6DBB4656"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 xml:space="preserve">الهدف </w:t>
            </w:r>
            <w:r w:rsidRPr="00CC485D">
              <w:rPr>
                <w:rFonts w:eastAsia="Times New Roman"/>
                <w:b/>
                <w:bCs/>
                <w:sz w:val="20"/>
                <w:szCs w:val="20"/>
                <w:lang w:val="en-GB" w:eastAsia="en-US"/>
              </w:rPr>
              <w:t>4</w:t>
            </w:r>
          </w:p>
        </w:tc>
        <w:tc>
          <w:tcPr>
            <w:tcW w:w="815" w:type="pct"/>
            <w:gridSpan w:val="2"/>
            <w:tcBorders>
              <w:top w:val="single" w:sz="4" w:space="0" w:color="auto"/>
              <w:left w:val="single" w:sz="4" w:space="0" w:color="auto"/>
              <w:bottom w:val="single" w:sz="4" w:space="0" w:color="auto"/>
              <w:right w:val="single" w:sz="4" w:space="0" w:color="auto"/>
            </w:tcBorders>
            <w:shd w:val="clear" w:color="auto" w:fill="BDD7EE"/>
          </w:tcPr>
          <w:p w14:paraId="44863220"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المجموع</w:t>
            </w:r>
          </w:p>
        </w:tc>
      </w:tr>
      <w:tr w:rsidR="00CC485D" w:rsidRPr="00CC485D" w14:paraId="1F146B32" w14:textId="77777777" w:rsidTr="00AB19AA">
        <w:trPr>
          <w:jc w:val="center"/>
        </w:trPr>
        <w:tc>
          <w:tcPr>
            <w:tcW w:w="654" w:type="pct"/>
            <w:vMerge/>
            <w:tcBorders>
              <w:top w:val="nil"/>
              <w:left w:val="single" w:sz="4" w:space="0" w:color="auto"/>
              <w:bottom w:val="single" w:sz="4" w:space="0" w:color="auto"/>
              <w:right w:val="single" w:sz="4" w:space="0" w:color="auto"/>
            </w:tcBorders>
            <w:shd w:val="clear" w:color="auto" w:fill="BDD7EE"/>
          </w:tcPr>
          <w:p w14:paraId="3C83A2F5"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p>
        </w:tc>
        <w:tc>
          <w:tcPr>
            <w:tcW w:w="31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210F57F7"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lang w:val="en-GB" w:eastAsia="en-US"/>
              </w:rPr>
            </w:pPr>
            <w:r w:rsidRPr="00CC485D">
              <w:rPr>
                <w:rFonts w:eastAsia="Times New Roman" w:hint="cs"/>
                <w:spacing w:val="-6"/>
                <w:sz w:val="20"/>
                <w:szCs w:val="20"/>
                <w:rtl/>
                <w:lang w:val="en-GB" w:eastAsia="en-US"/>
              </w:rPr>
              <w:t>عدد</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الأعمال</w:t>
            </w:r>
          </w:p>
        </w:tc>
        <w:tc>
          <w:tcPr>
            <w:tcW w:w="56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64AE52BB"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مستوى التنفيذ</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(بآلاف الفرنكات السويسرية)</w:t>
            </w:r>
          </w:p>
        </w:tc>
        <w:tc>
          <w:tcPr>
            <w:tcW w:w="292"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0EA8AC06"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عدد</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الأعمال</w:t>
            </w:r>
          </w:p>
        </w:tc>
        <w:tc>
          <w:tcPr>
            <w:tcW w:w="592"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7DC1EB8"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مستوى التنفيذ</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(بآلاف الفرنكات السويسرية)</w:t>
            </w:r>
          </w:p>
        </w:tc>
        <w:tc>
          <w:tcPr>
            <w:tcW w:w="32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5293700E"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عدد</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الأعمال</w:t>
            </w:r>
          </w:p>
        </w:tc>
        <w:tc>
          <w:tcPr>
            <w:tcW w:w="558"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D3EA29F"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مستوى التنفيذ</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(بآلاف الفرنكات السويسرية)</w:t>
            </w:r>
          </w:p>
        </w:tc>
        <w:tc>
          <w:tcPr>
            <w:tcW w:w="30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66F1B049"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عدد</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الأعمال</w:t>
            </w:r>
          </w:p>
        </w:tc>
        <w:tc>
          <w:tcPr>
            <w:tcW w:w="57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6104CA8B"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مستوى التنفيذ</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(بآلاف الفرنكات السويسرية)</w:t>
            </w:r>
          </w:p>
        </w:tc>
        <w:tc>
          <w:tcPr>
            <w:tcW w:w="289"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0FDB112A"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عدد</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الأعمال</w:t>
            </w:r>
          </w:p>
        </w:tc>
        <w:tc>
          <w:tcPr>
            <w:tcW w:w="52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622E237D"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6"/>
                <w:sz w:val="20"/>
                <w:szCs w:val="20"/>
                <w:rtl/>
                <w:lang w:val="en-GB" w:eastAsia="en-US"/>
              </w:rPr>
            </w:pPr>
            <w:r w:rsidRPr="00CC485D">
              <w:rPr>
                <w:rFonts w:eastAsia="Times New Roman" w:hint="cs"/>
                <w:spacing w:val="-6"/>
                <w:sz w:val="20"/>
                <w:szCs w:val="20"/>
                <w:rtl/>
                <w:lang w:val="en-GB" w:eastAsia="en-US"/>
              </w:rPr>
              <w:t>مستوى التنفيذ</w:t>
            </w:r>
            <w:r w:rsidRPr="00CC485D">
              <w:rPr>
                <w:rFonts w:eastAsia="Times New Roman"/>
                <w:spacing w:val="-6"/>
                <w:sz w:val="20"/>
                <w:szCs w:val="20"/>
                <w:rtl/>
                <w:lang w:val="en-GB" w:eastAsia="en-US"/>
              </w:rPr>
              <w:br/>
            </w:r>
            <w:r w:rsidRPr="00CC485D">
              <w:rPr>
                <w:rFonts w:eastAsia="Times New Roman" w:hint="cs"/>
                <w:spacing w:val="-6"/>
                <w:sz w:val="20"/>
                <w:szCs w:val="20"/>
                <w:rtl/>
                <w:lang w:val="en-GB" w:eastAsia="en-US"/>
              </w:rPr>
              <w:t>(بآلاف الفرنكات السويسرية)</w:t>
            </w:r>
          </w:p>
        </w:tc>
      </w:tr>
      <w:tr w:rsidR="00CC485D" w:rsidRPr="00CC485D" w14:paraId="2E2EB84F" w14:textId="77777777" w:rsidTr="00AB19AA">
        <w:trPr>
          <w:jc w:val="center"/>
        </w:trPr>
        <w:tc>
          <w:tcPr>
            <w:tcW w:w="654" w:type="pct"/>
            <w:tcBorders>
              <w:top w:val="single" w:sz="4" w:space="0" w:color="auto"/>
              <w:left w:val="single" w:sz="4" w:space="0" w:color="auto"/>
              <w:bottom w:val="nil"/>
              <w:right w:val="single" w:sz="4" w:space="0" w:color="auto"/>
            </w:tcBorders>
          </w:tcPr>
          <w:p w14:paraId="6D612F82" w14:textId="77777777" w:rsidR="00CC485D" w:rsidRPr="00CC485D" w:rsidRDefault="00CC485D"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إفريقيا</w:t>
            </w:r>
          </w:p>
        </w:tc>
        <w:tc>
          <w:tcPr>
            <w:tcW w:w="316" w:type="pct"/>
            <w:tcBorders>
              <w:top w:val="single" w:sz="4" w:space="0" w:color="auto"/>
              <w:left w:val="single" w:sz="4" w:space="0" w:color="auto"/>
              <w:bottom w:val="nil"/>
              <w:right w:val="single" w:sz="4" w:space="0" w:color="auto"/>
            </w:tcBorders>
            <w:vAlign w:val="bottom"/>
          </w:tcPr>
          <w:p w14:paraId="44687FF8" w14:textId="5030612F" w:rsidR="00CC485D" w:rsidRPr="00CC485D" w:rsidRDefault="004F6ADC" w:rsidP="00894E1C">
            <w:pPr>
              <w:tabs>
                <w:tab w:val="clear" w:pos="794"/>
                <w:tab w:val="left" w:pos="1134"/>
              </w:tabs>
              <w:spacing w:before="60" w:after="60" w:line="260" w:lineRule="exact"/>
              <w:jc w:val="center"/>
              <w:rPr>
                <w:rFonts w:eastAsia="Times New Roman"/>
                <w:sz w:val="20"/>
                <w:szCs w:val="20"/>
                <w:lang w:val="fr-FR" w:eastAsia="en-US" w:bidi="ar-EG"/>
              </w:rPr>
            </w:pPr>
            <w:r>
              <w:rPr>
                <w:rFonts w:eastAsia="Times New Roman"/>
                <w:sz w:val="20"/>
                <w:szCs w:val="20"/>
                <w:lang w:val="fr-FR" w:eastAsia="en-US" w:bidi="ar-EG"/>
              </w:rPr>
              <w:t>3</w:t>
            </w:r>
          </w:p>
        </w:tc>
        <w:tc>
          <w:tcPr>
            <w:tcW w:w="567" w:type="pct"/>
            <w:tcBorders>
              <w:top w:val="single" w:sz="4" w:space="0" w:color="auto"/>
              <w:left w:val="single" w:sz="4" w:space="0" w:color="auto"/>
              <w:bottom w:val="nil"/>
              <w:right w:val="single" w:sz="4" w:space="0" w:color="auto"/>
            </w:tcBorders>
            <w:vAlign w:val="bottom"/>
          </w:tcPr>
          <w:p w14:paraId="78021CBD" w14:textId="61B339C0" w:rsidR="00CC485D" w:rsidRPr="000C6DB6" w:rsidRDefault="004F6ADC" w:rsidP="00894E1C">
            <w:pPr>
              <w:tabs>
                <w:tab w:val="clear" w:pos="794"/>
                <w:tab w:val="left" w:pos="1134"/>
              </w:tabs>
              <w:spacing w:before="60" w:after="60" w:line="260" w:lineRule="exact"/>
              <w:jc w:val="center"/>
              <w:rPr>
                <w:rFonts w:eastAsia="Times New Roman"/>
                <w:sz w:val="20"/>
                <w:szCs w:val="20"/>
                <w:lang w:val="en-GB" w:eastAsia="en-US" w:bidi="ar-EG"/>
              </w:rPr>
            </w:pPr>
            <w:r>
              <w:rPr>
                <w:rFonts w:eastAsia="Times New Roman"/>
                <w:sz w:val="20"/>
                <w:szCs w:val="20"/>
                <w:lang w:val="en-GB" w:eastAsia="en-US" w:bidi="ar-EG"/>
              </w:rPr>
              <w:t>52</w:t>
            </w:r>
          </w:p>
        </w:tc>
        <w:tc>
          <w:tcPr>
            <w:tcW w:w="292" w:type="pct"/>
            <w:tcBorders>
              <w:top w:val="single" w:sz="4" w:space="0" w:color="auto"/>
              <w:left w:val="single" w:sz="4" w:space="0" w:color="auto"/>
              <w:bottom w:val="nil"/>
              <w:right w:val="single" w:sz="4" w:space="0" w:color="auto"/>
            </w:tcBorders>
            <w:vAlign w:val="bottom"/>
          </w:tcPr>
          <w:p w14:paraId="04158217" w14:textId="32171EE4"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6</w:t>
            </w:r>
          </w:p>
        </w:tc>
        <w:tc>
          <w:tcPr>
            <w:tcW w:w="592" w:type="pct"/>
            <w:tcBorders>
              <w:top w:val="single" w:sz="4" w:space="0" w:color="auto"/>
              <w:left w:val="single" w:sz="4" w:space="0" w:color="auto"/>
              <w:bottom w:val="nil"/>
              <w:right w:val="single" w:sz="4" w:space="0" w:color="auto"/>
            </w:tcBorders>
            <w:vAlign w:val="bottom"/>
          </w:tcPr>
          <w:p w14:paraId="482C508C" w14:textId="2E31763C"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87</w:t>
            </w:r>
          </w:p>
        </w:tc>
        <w:tc>
          <w:tcPr>
            <w:tcW w:w="324" w:type="pct"/>
            <w:tcBorders>
              <w:top w:val="single" w:sz="4" w:space="0" w:color="auto"/>
              <w:left w:val="single" w:sz="4" w:space="0" w:color="auto"/>
              <w:bottom w:val="nil"/>
              <w:right w:val="single" w:sz="4" w:space="0" w:color="auto"/>
            </w:tcBorders>
            <w:vAlign w:val="bottom"/>
          </w:tcPr>
          <w:p w14:paraId="671ADA6E" w14:textId="19D335EE"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9</w:t>
            </w:r>
          </w:p>
        </w:tc>
        <w:tc>
          <w:tcPr>
            <w:tcW w:w="558" w:type="pct"/>
            <w:tcBorders>
              <w:top w:val="single" w:sz="4" w:space="0" w:color="auto"/>
              <w:left w:val="single" w:sz="4" w:space="0" w:color="auto"/>
              <w:bottom w:val="nil"/>
              <w:right w:val="single" w:sz="4" w:space="0" w:color="auto"/>
            </w:tcBorders>
            <w:vAlign w:val="bottom"/>
          </w:tcPr>
          <w:p w14:paraId="0C3AAA6C" w14:textId="1D71992F"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99</w:t>
            </w:r>
          </w:p>
        </w:tc>
        <w:tc>
          <w:tcPr>
            <w:tcW w:w="307" w:type="pct"/>
            <w:tcBorders>
              <w:top w:val="single" w:sz="4" w:space="0" w:color="auto"/>
              <w:left w:val="single" w:sz="4" w:space="0" w:color="auto"/>
              <w:bottom w:val="nil"/>
              <w:right w:val="single" w:sz="4" w:space="0" w:color="auto"/>
            </w:tcBorders>
            <w:vAlign w:val="bottom"/>
          </w:tcPr>
          <w:p w14:paraId="41A89965" w14:textId="5D61B4AD"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w:t>
            </w:r>
          </w:p>
        </w:tc>
        <w:tc>
          <w:tcPr>
            <w:tcW w:w="575" w:type="pct"/>
            <w:tcBorders>
              <w:top w:val="single" w:sz="4" w:space="0" w:color="auto"/>
              <w:left w:val="single" w:sz="4" w:space="0" w:color="auto"/>
              <w:bottom w:val="nil"/>
              <w:right w:val="single" w:sz="4" w:space="0" w:color="auto"/>
            </w:tcBorders>
            <w:vAlign w:val="bottom"/>
          </w:tcPr>
          <w:p w14:paraId="7C119F50" w14:textId="6B21184F"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196</w:t>
            </w:r>
          </w:p>
        </w:tc>
        <w:tc>
          <w:tcPr>
            <w:tcW w:w="289" w:type="pct"/>
            <w:tcBorders>
              <w:top w:val="single" w:sz="4" w:space="0" w:color="auto"/>
              <w:left w:val="single" w:sz="4" w:space="0" w:color="auto"/>
              <w:bottom w:val="nil"/>
              <w:right w:val="single" w:sz="4" w:space="0" w:color="auto"/>
            </w:tcBorders>
            <w:vAlign w:val="bottom"/>
          </w:tcPr>
          <w:p w14:paraId="4B19C848" w14:textId="1577A6BB"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26</w:t>
            </w:r>
          </w:p>
        </w:tc>
        <w:tc>
          <w:tcPr>
            <w:tcW w:w="526" w:type="pct"/>
            <w:tcBorders>
              <w:top w:val="single" w:sz="4" w:space="0" w:color="auto"/>
              <w:left w:val="single" w:sz="4" w:space="0" w:color="auto"/>
              <w:bottom w:val="nil"/>
              <w:right w:val="single" w:sz="4" w:space="0" w:color="auto"/>
            </w:tcBorders>
            <w:vAlign w:val="bottom"/>
          </w:tcPr>
          <w:p w14:paraId="372554B0" w14:textId="38D10D5B"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434</w:t>
            </w:r>
          </w:p>
        </w:tc>
      </w:tr>
      <w:tr w:rsidR="00CC485D" w:rsidRPr="00CC485D" w14:paraId="10466F00" w14:textId="77777777" w:rsidTr="00AB19AA">
        <w:trPr>
          <w:jc w:val="center"/>
        </w:trPr>
        <w:tc>
          <w:tcPr>
            <w:tcW w:w="654" w:type="pct"/>
            <w:tcBorders>
              <w:top w:val="nil"/>
              <w:left w:val="single" w:sz="4" w:space="0" w:color="auto"/>
              <w:bottom w:val="nil"/>
              <w:right w:val="single" w:sz="4" w:space="0" w:color="auto"/>
            </w:tcBorders>
          </w:tcPr>
          <w:p w14:paraId="51617668" w14:textId="77777777" w:rsidR="00CC485D" w:rsidRPr="00CC485D" w:rsidRDefault="00CC485D" w:rsidP="00894E1C">
            <w:pPr>
              <w:tabs>
                <w:tab w:val="clear" w:pos="794"/>
                <w:tab w:val="left" w:pos="1134"/>
              </w:tabs>
              <w:spacing w:before="60" w:after="60" w:line="260" w:lineRule="exact"/>
              <w:ind w:left="-57"/>
              <w:jc w:val="left"/>
              <w:rPr>
                <w:rFonts w:eastAsia="Times New Roman"/>
                <w:sz w:val="20"/>
                <w:szCs w:val="20"/>
                <w:rtl/>
                <w:lang w:val="fr-FR" w:eastAsia="en-US" w:bidi="ar-EG"/>
              </w:rPr>
            </w:pPr>
            <w:proofErr w:type="spellStart"/>
            <w:r w:rsidRPr="00CC485D">
              <w:rPr>
                <w:rFonts w:eastAsia="Times New Roman" w:hint="cs"/>
                <w:sz w:val="20"/>
                <w:szCs w:val="20"/>
                <w:rtl/>
                <w:lang w:val="fr-FR" w:eastAsia="en-US" w:bidi="ar-EG"/>
              </w:rPr>
              <w:t>الأمريكتان</w:t>
            </w:r>
            <w:proofErr w:type="spellEnd"/>
          </w:p>
        </w:tc>
        <w:tc>
          <w:tcPr>
            <w:tcW w:w="316" w:type="pct"/>
            <w:tcBorders>
              <w:top w:val="nil"/>
              <w:left w:val="single" w:sz="4" w:space="0" w:color="auto"/>
              <w:bottom w:val="nil"/>
              <w:right w:val="single" w:sz="4" w:space="0" w:color="auto"/>
            </w:tcBorders>
            <w:vAlign w:val="bottom"/>
          </w:tcPr>
          <w:p w14:paraId="2308471B" w14:textId="31C1F0D2" w:rsidR="00CC485D" w:rsidRPr="00CC485D" w:rsidRDefault="00CC485D"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67" w:type="pct"/>
            <w:tcBorders>
              <w:top w:val="nil"/>
              <w:left w:val="single" w:sz="4" w:space="0" w:color="auto"/>
              <w:bottom w:val="nil"/>
              <w:right w:val="single" w:sz="4" w:space="0" w:color="auto"/>
            </w:tcBorders>
            <w:vAlign w:val="bottom"/>
          </w:tcPr>
          <w:p w14:paraId="0F9C89B0" w14:textId="33BB6E84"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0</w:t>
            </w:r>
          </w:p>
        </w:tc>
        <w:tc>
          <w:tcPr>
            <w:tcW w:w="292" w:type="pct"/>
            <w:tcBorders>
              <w:top w:val="nil"/>
              <w:left w:val="single" w:sz="4" w:space="0" w:color="auto"/>
              <w:bottom w:val="nil"/>
              <w:right w:val="single" w:sz="4" w:space="0" w:color="auto"/>
            </w:tcBorders>
            <w:vAlign w:val="bottom"/>
          </w:tcPr>
          <w:p w14:paraId="035AE53B" w14:textId="3C08E2F3"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92" w:type="pct"/>
            <w:tcBorders>
              <w:top w:val="nil"/>
              <w:left w:val="single" w:sz="4" w:space="0" w:color="auto"/>
              <w:bottom w:val="nil"/>
              <w:right w:val="single" w:sz="4" w:space="0" w:color="auto"/>
            </w:tcBorders>
            <w:vAlign w:val="bottom"/>
          </w:tcPr>
          <w:p w14:paraId="5118B610" w14:textId="7E7153BE"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80</w:t>
            </w:r>
          </w:p>
        </w:tc>
        <w:tc>
          <w:tcPr>
            <w:tcW w:w="324" w:type="pct"/>
            <w:tcBorders>
              <w:top w:val="nil"/>
              <w:left w:val="single" w:sz="4" w:space="0" w:color="auto"/>
              <w:bottom w:val="nil"/>
              <w:right w:val="single" w:sz="4" w:space="0" w:color="auto"/>
            </w:tcBorders>
            <w:vAlign w:val="bottom"/>
          </w:tcPr>
          <w:p w14:paraId="3C0D7568" w14:textId="6B521A2A"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11</w:t>
            </w:r>
          </w:p>
        </w:tc>
        <w:tc>
          <w:tcPr>
            <w:tcW w:w="558" w:type="pct"/>
            <w:tcBorders>
              <w:top w:val="nil"/>
              <w:left w:val="single" w:sz="4" w:space="0" w:color="auto"/>
              <w:bottom w:val="nil"/>
              <w:right w:val="single" w:sz="4" w:space="0" w:color="auto"/>
            </w:tcBorders>
            <w:vAlign w:val="bottom"/>
          </w:tcPr>
          <w:p w14:paraId="6B5DD857" w14:textId="0DD00A0E"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119</w:t>
            </w:r>
          </w:p>
        </w:tc>
        <w:tc>
          <w:tcPr>
            <w:tcW w:w="307" w:type="pct"/>
            <w:tcBorders>
              <w:top w:val="nil"/>
              <w:left w:val="single" w:sz="4" w:space="0" w:color="auto"/>
              <w:bottom w:val="nil"/>
              <w:right w:val="single" w:sz="4" w:space="0" w:color="auto"/>
            </w:tcBorders>
            <w:vAlign w:val="bottom"/>
          </w:tcPr>
          <w:p w14:paraId="0A417F57" w14:textId="085D3BC6"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75" w:type="pct"/>
            <w:tcBorders>
              <w:top w:val="nil"/>
              <w:left w:val="single" w:sz="4" w:space="0" w:color="auto"/>
              <w:bottom w:val="nil"/>
              <w:right w:val="single" w:sz="4" w:space="0" w:color="auto"/>
            </w:tcBorders>
            <w:vAlign w:val="bottom"/>
          </w:tcPr>
          <w:p w14:paraId="0DBED84B" w14:textId="5FBC710E"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117</w:t>
            </w:r>
          </w:p>
        </w:tc>
        <w:tc>
          <w:tcPr>
            <w:tcW w:w="289" w:type="pct"/>
            <w:tcBorders>
              <w:top w:val="nil"/>
              <w:left w:val="single" w:sz="4" w:space="0" w:color="auto"/>
              <w:bottom w:val="nil"/>
              <w:right w:val="single" w:sz="4" w:space="0" w:color="auto"/>
            </w:tcBorders>
            <w:vAlign w:val="bottom"/>
          </w:tcPr>
          <w:p w14:paraId="6D7C64C0" w14:textId="0DCEE4FA"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21</w:t>
            </w:r>
          </w:p>
        </w:tc>
        <w:tc>
          <w:tcPr>
            <w:tcW w:w="526" w:type="pct"/>
            <w:tcBorders>
              <w:top w:val="nil"/>
              <w:left w:val="single" w:sz="4" w:space="0" w:color="auto"/>
              <w:bottom w:val="nil"/>
              <w:right w:val="single" w:sz="4" w:space="0" w:color="auto"/>
            </w:tcBorders>
            <w:vAlign w:val="bottom"/>
          </w:tcPr>
          <w:p w14:paraId="5831F9BB" w14:textId="7A828D02"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316</w:t>
            </w:r>
          </w:p>
        </w:tc>
      </w:tr>
      <w:tr w:rsidR="00CC485D" w:rsidRPr="00CC485D" w14:paraId="4CEDC6D2" w14:textId="77777777" w:rsidTr="00AB19AA">
        <w:trPr>
          <w:jc w:val="center"/>
        </w:trPr>
        <w:tc>
          <w:tcPr>
            <w:tcW w:w="654" w:type="pct"/>
            <w:tcBorders>
              <w:top w:val="nil"/>
              <w:left w:val="single" w:sz="4" w:space="0" w:color="auto"/>
              <w:bottom w:val="nil"/>
              <w:right w:val="single" w:sz="4" w:space="0" w:color="auto"/>
            </w:tcBorders>
          </w:tcPr>
          <w:p w14:paraId="791D1456" w14:textId="77777777" w:rsidR="00CC485D" w:rsidRPr="00CC485D" w:rsidRDefault="00CC485D"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الدول العربية</w:t>
            </w:r>
          </w:p>
        </w:tc>
        <w:tc>
          <w:tcPr>
            <w:tcW w:w="316" w:type="pct"/>
            <w:tcBorders>
              <w:top w:val="nil"/>
              <w:left w:val="single" w:sz="4" w:space="0" w:color="auto"/>
              <w:bottom w:val="nil"/>
              <w:right w:val="single" w:sz="4" w:space="0" w:color="auto"/>
            </w:tcBorders>
            <w:vAlign w:val="bottom"/>
          </w:tcPr>
          <w:p w14:paraId="6BA21011" w14:textId="6B0D3864"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67" w:type="pct"/>
            <w:tcBorders>
              <w:top w:val="nil"/>
              <w:left w:val="single" w:sz="4" w:space="0" w:color="auto"/>
              <w:bottom w:val="nil"/>
              <w:right w:val="single" w:sz="4" w:space="0" w:color="auto"/>
            </w:tcBorders>
            <w:vAlign w:val="bottom"/>
          </w:tcPr>
          <w:p w14:paraId="434F3A83" w14:textId="5C31909A"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43</w:t>
            </w:r>
          </w:p>
        </w:tc>
        <w:tc>
          <w:tcPr>
            <w:tcW w:w="292" w:type="pct"/>
            <w:tcBorders>
              <w:top w:val="nil"/>
              <w:left w:val="single" w:sz="4" w:space="0" w:color="auto"/>
              <w:bottom w:val="nil"/>
              <w:right w:val="single" w:sz="4" w:space="0" w:color="auto"/>
            </w:tcBorders>
            <w:vAlign w:val="bottom"/>
          </w:tcPr>
          <w:p w14:paraId="51848171" w14:textId="3BF7611D"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6</w:t>
            </w:r>
          </w:p>
        </w:tc>
        <w:tc>
          <w:tcPr>
            <w:tcW w:w="592" w:type="pct"/>
            <w:tcBorders>
              <w:top w:val="nil"/>
              <w:left w:val="single" w:sz="4" w:space="0" w:color="auto"/>
              <w:bottom w:val="nil"/>
              <w:right w:val="single" w:sz="4" w:space="0" w:color="auto"/>
            </w:tcBorders>
            <w:vAlign w:val="bottom"/>
          </w:tcPr>
          <w:p w14:paraId="63669B53" w14:textId="7FBC7E79"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41</w:t>
            </w:r>
          </w:p>
        </w:tc>
        <w:tc>
          <w:tcPr>
            <w:tcW w:w="324" w:type="pct"/>
            <w:tcBorders>
              <w:top w:val="nil"/>
              <w:left w:val="single" w:sz="4" w:space="0" w:color="auto"/>
              <w:bottom w:val="nil"/>
              <w:right w:val="single" w:sz="4" w:space="0" w:color="auto"/>
            </w:tcBorders>
            <w:vAlign w:val="bottom"/>
          </w:tcPr>
          <w:p w14:paraId="72619FBB" w14:textId="47C2B5D1"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7</w:t>
            </w:r>
          </w:p>
        </w:tc>
        <w:tc>
          <w:tcPr>
            <w:tcW w:w="558" w:type="pct"/>
            <w:tcBorders>
              <w:top w:val="nil"/>
              <w:left w:val="single" w:sz="4" w:space="0" w:color="auto"/>
              <w:bottom w:val="nil"/>
              <w:right w:val="single" w:sz="4" w:space="0" w:color="auto"/>
            </w:tcBorders>
            <w:vAlign w:val="bottom"/>
          </w:tcPr>
          <w:p w14:paraId="2639CE4F" w14:textId="61DAFB87"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103</w:t>
            </w:r>
          </w:p>
        </w:tc>
        <w:tc>
          <w:tcPr>
            <w:tcW w:w="307" w:type="pct"/>
            <w:tcBorders>
              <w:top w:val="nil"/>
              <w:left w:val="single" w:sz="4" w:space="0" w:color="auto"/>
              <w:bottom w:val="nil"/>
              <w:right w:val="single" w:sz="4" w:space="0" w:color="auto"/>
            </w:tcBorders>
            <w:vAlign w:val="bottom"/>
          </w:tcPr>
          <w:p w14:paraId="12AC6C77" w14:textId="7BCAD61F"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6</w:t>
            </w:r>
          </w:p>
        </w:tc>
        <w:tc>
          <w:tcPr>
            <w:tcW w:w="575" w:type="pct"/>
            <w:tcBorders>
              <w:top w:val="nil"/>
              <w:left w:val="single" w:sz="4" w:space="0" w:color="auto"/>
              <w:bottom w:val="nil"/>
              <w:right w:val="single" w:sz="4" w:space="0" w:color="auto"/>
            </w:tcBorders>
            <w:vAlign w:val="bottom"/>
          </w:tcPr>
          <w:p w14:paraId="7BC9DACF" w14:textId="45A06295"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58</w:t>
            </w:r>
          </w:p>
        </w:tc>
        <w:tc>
          <w:tcPr>
            <w:tcW w:w="289" w:type="pct"/>
            <w:tcBorders>
              <w:top w:val="nil"/>
              <w:left w:val="single" w:sz="4" w:space="0" w:color="auto"/>
              <w:bottom w:val="nil"/>
              <w:right w:val="single" w:sz="4" w:space="0" w:color="auto"/>
            </w:tcBorders>
            <w:vAlign w:val="bottom"/>
          </w:tcPr>
          <w:p w14:paraId="09DC1F47" w14:textId="20D0F598"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24</w:t>
            </w:r>
          </w:p>
        </w:tc>
        <w:tc>
          <w:tcPr>
            <w:tcW w:w="526" w:type="pct"/>
            <w:tcBorders>
              <w:top w:val="nil"/>
              <w:left w:val="single" w:sz="4" w:space="0" w:color="auto"/>
              <w:bottom w:val="nil"/>
              <w:right w:val="single" w:sz="4" w:space="0" w:color="auto"/>
            </w:tcBorders>
            <w:vAlign w:val="bottom"/>
          </w:tcPr>
          <w:p w14:paraId="5CA8A5CE" w14:textId="240DC860"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245</w:t>
            </w:r>
          </w:p>
        </w:tc>
      </w:tr>
      <w:tr w:rsidR="00CC485D" w:rsidRPr="00CC485D" w14:paraId="2060E789" w14:textId="77777777" w:rsidTr="00AB19AA">
        <w:trPr>
          <w:jc w:val="center"/>
        </w:trPr>
        <w:tc>
          <w:tcPr>
            <w:tcW w:w="654" w:type="pct"/>
            <w:tcBorders>
              <w:top w:val="nil"/>
              <w:left w:val="single" w:sz="4" w:space="0" w:color="auto"/>
              <w:bottom w:val="nil"/>
              <w:right w:val="single" w:sz="4" w:space="0" w:color="auto"/>
            </w:tcBorders>
          </w:tcPr>
          <w:p w14:paraId="58F15136" w14:textId="77777777" w:rsidR="00CC485D" w:rsidRPr="00CC485D" w:rsidRDefault="00CC485D" w:rsidP="00894E1C">
            <w:pPr>
              <w:tabs>
                <w:tab w:val="clear" w:pos="794"/>
                <w:tab w:val="left" w:pos="1134"/>
              </w:tabs>
              <w:spacing w:before="60" w:after="60" w:line="260" w:lineRule="exact"/>
              <w:ind w:left="-57"/>
              <w:jc w:val="left"/>
              <w:rPr>
                <w:rFonts w:eastAsia="Times New Roman"/>
                <w:spacing w:val="-2"/>
                <w:sz w:val="20"/>
                <w:szCs w:val="20"/>
                <w:rtl/>
                <w:lang w:val="fr-FR" w:eastAsia="en-US" w:bidi="ar-EG"/>
              </w:rPr>
            </w:pPr>
            <w:r w:rsidRPr="00CC485D">
              <w:rPr>
                <w:rFonts w:eastAsia="Times New Roman" w:hint="cs"/>
                <w:spacing w:val="-2"/>
                <w:sz w:val="20"/>
                <w:szCs w:val="20"/>
                <w:rtl/>
                <w:lang w:val="fr-FR" w:eastAsia="en-US" w:bidi="ar-EG"/>
              </w:rPr>
              <w:t>آسيا والمحيط الهادئ</w:t>
            </w:r>
          </w:p>
        </w:tc>
        <w:tc>
          <w:tcPr>
            <w:tcW w:w="316" w:type="pct"/>
            <w:tcBorders>
              <w:top w:val="nil"/>
              <w:left w:val="single" w:sz="4" w:space="0" w:color="auto"/>
              <w:bottom w:val="nil"/>
              <w:right w:val="single" w:sz="4" w:space="0" w:color="auto"/>
            </w:tcBorders>
            <w:vAlign w:val="center"/>
          </w:tcPr>
          <w:p w14:paraId="3CC5662D" w14:textId="753938E1"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w:t>
            </w:r>
          </w:p>
        </w:tc>
        <w:tc>
          <w:tcPr>
            <w:tcW w:w="567" w:type="pct"/>
            <w:tcBorders>
              <w:top w:val="nil"/>
              <w:left w:val="single" w:sz="4" w:space="0" w:color="auto"/>
              <w:bottom w:val="nil"/>
              <w:right w:val="single" w:sz="4" w:space="0" w:color="auto"/>
            </w:tcBorders>
            <w:vAlign w:val="center"/>
          </w:tcPr>
          <w:p w14:paraId="7BED92DA" w14:textId="371034A6" w:rsidR="00CC485D" w:rsidRPr="00894E1C" w:rsidRDefault="004F6ADC" w:rsidP="00894E1C">
            <w:pPr>
              <w:tabs>
                <w:tab w:val="clear" w:pos="794"/>
                <w:tab w:val="left" w:pos="1134"/>
              </w:tabs>
              <w:spacing w:before="60" w:after="60" w:line="260" w:lineRule="exact"/>
              <w:jc w:val="center"/>
              <w:rPr>
                <w:rFonts w:eastAsia="Times New Roman"/>
                <w:sz w:val="20"/>
                <w:szCs w:val="20"/>
                <w:rtl/>
                <w:lang w:eastAsia="en-US" w:bidi="ar-EG"/>
              </w:rPr>
            </w:pPr>
            <w:r>
              <w:rPr>
                <w:rFonts w:eastAsia="Times New Roman"/>
                <w:sz w:val="20"/>
                <w:szCs w:val="20"/>
                <w:lang w:val="fr-FR" w:eastAsia="en-US" w:bidi="ar-EG"/>
              </w:rPr>
              <w:t>20</w:t>
            </w:r>
          </w:p>
        </w:tc>
        <w:tc>
          <w:tcPr>
            <w:tcW w:w="292" w:type="pct"/>
            <w:tcBorders>
              <w:top w:val="nil"/>
              <w:left w:val="single" w:sz="4" w:space="0" w:color="auto"/>
              <w:bottom w:val="nil"/>
              <w:right w:val="single" w:sz="4" w:space="0" w:color="auto"/>
            </w:tcBorders>
            <w:vAlign w:val="center"/>
          </w:tcPr>
          <w:p w14:paraId="6427B279" w14:textId="1C557166"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92" w:type="pct"/>
            <w:tcBorders>
              <w:top w:val="nil"/>
              <w:left w:val="single" w:sz="4" w:space="0" w:color="auto"/>
              <w:bottom w:val="nil"/>
              <w:right w:val="single" w:sz="4" w:space="0" w:color="auto"/>
            </w:tcBorders>
            <w:vAlign w:val="center"/>
          </w:tcPr>
          <w:p w14:paraId="61F6C0C5" w14:textId="3DD5F70B"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139</w:t>
            </w:r>
          </w:p>
        </w:tc>
        <w:tc>
          <w:tcPr>
            <w:tcW w:w="324" w:type="pct"/>
            <w:tcBorders>
              <w:top w:val="nil"/>
              <w:left w:val="single" w:sz="4" w:space="0" w:color="auto"/>
              <w:bottom w:val="nil"/>
              <w:right w:val="single" w:sz="4" w:space="0" w:color="auto"/>
            </w:tcBorders>
            <w:vAlign w:val="center"/>
          </w:tcPr>
          <w:p w14:paraId="524E2639" w14:textId="13C5F6CF"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w:t>
            </w:r>
          </w:p>
        </w:tc>
        <w:tc>
          <w:tcPr>
            <w:tcW w:w="558" w:type="pct"/>
            <w:tcBorders>
              <w:top w:val="nil"/>
              <w:left w:val="single" w:sz="4" w:space="0" w:color="auto"/>
              <w:bottom w:val="nil"/>
              <w:right w:val="single" w:sz="4" w:space="0" w:color="auto"/>
            </w:tcBorders>
            <w:vAlign w:val="center"/>
          </w:tcPr>
          <w:p w14:paraId="1B1D3EB0" w14:textId="76DD1D1B"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105</w:t>
            </w:r>
          </w:p>
        </w:tc>
        <w:tc>
          <w:tcPr>
            <w:tcW w:w="307" w:type="pct"/>
            <w:tcBorders>
              <w:top w:val="nil"/>
              <w:left w:val="single" w:sz="4" w:space="0" w:color="auto"/>
              <w:bottom w:val="nil"/>
              <w:right w:val="single" w:sz="4" w:space="0" w:color="auto"/>
            </w:tcBorders>
            <w:vAlign w:val="center"/>
          </w:tcPr>
          <w:p w14:paraId="4BFAA194" w14:textId="2F855022"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7</w:t>
            </w:r>
          </w:p>
        </w:tc>
        <w:tc>
          <w:tcPr>
            <w:tcW w:w="575" w:type="pct"/>
            <w:tcBorders>
              <w:top w:val="nil"/>
              <w:left w:val="single" w:sz="4" w:space="0" w:color="auto"/>
              <w:bottom w:val="nil"/>
              <w:right w:val="single" w:sz="4" w:space="0" w:color="auto"/>
            </w:tcBorders>
            <w:vAlign w:val="center"/>
          </w:tcPr>
          <w:p w14:paraId="69159B15" w14:textId="731719CB"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100</w:t>
            </w:r>
          </w:p>
        </w:tc>
        <w:tc>
          <w:tcPr>
            <w:tcW w:w="289" w:type="pct"/>
            <w:tcBorders>
              <w:top w:val="nil"/>
              <w:left w:val="single" w:sz="4" w:space="0" w:color="auto"/>
              <w:bottom w:val="nil"/>
              <w:right w:val="single" w:sz="4" w:space="0" w:color="auto"/>
            </w:tcBorders>
            <w:vAlign w:val="center"/>
          </w:tcPr>
          <w:p w14:paraId="7CEB592E" w14:textId="10995C02"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21</w:t>
            </w:r>
          </w:p>
        </w:tc>
        <w:tc>
          <w:tcPr>
            <w:tcW w:w="526" w:type="pct"/>
            <w:tcBorders>
              <w:top w:val="nil"/>
              <w:left w:val="single" w:sz="4" w:space="0" w:color="auto"/>
              <w:bottom w:val="nil"/>
              <w:right w:val="single" w:sz="4" w:space="0" w:color="auto"/>
            </w:tcBorders>
            <w:vAlign w:val="center"/>
          </w:tcPr>
          <w:p w14:paraId="6BC930C5" w14:textId="04664AC8"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364</w:t>
            </w:r>
          </w:p>
        </w:tc>
      </w:tr>
      <w:tr w:rsidR="00CC485D" w:rsidRPr="00CC485D" w14:paraId="78098A23" w14:textId="77777777" w:rsidTr="00AB19AA">
        <w:trPr>
          <w:jc w:val="center"/>
        </w:trPr>
        <w:tc>
          <w:tcPr>
            <w:tcW w:w="654" w:type="pct"/>
            <w:tcBorders>
              <w:top w:val="nil"/>
              <w:left w:val="single" w:sz="4" w:space="0" w:color="auto"/>
              <w:bottom w:val="nil"/>
              <w:right w:val="single" w:sz="4" w:space="0" w:color="auto"/>
            </w:tcBorders>
          </w:tcPr>
          <w:p w14:paraId="409F30E3" w14:textId="77777777" w:rsidR="00CC485D" w:rsidRPr="00CC485D" w:rsidRDefault="00CC485D" w:rsidP="00894E1C">
            <w:pPr>
              <w:tabs>
                <w:tab w:val="clear" w:pos="794"/>
                <w:tab w:val="left" w:pos="1134"/>
              </w:tabs>
              <w:spacing w:before="60" w:after="60" w:line="260" w:lineRule="exact"/>
              <w:ind w:left="-57"/>
              <w:jc w:val="left"/>
              <w:rPr>
                <w:rFonts w:eastAsia="Times New Roman"/>
                <w:spacing w:val="-8"/>
                <w:sz w:val="20"/>
                <w:szCs w:val="20"/>
                <w:rtl/>
                <w:lang w:val="fr-FR" w:eastAsia="en-US" w:bidi="ar-EG"/>
              </w:rPr>
            </w:pPr>
            <w:r w:rsidRPr="00CC485D">
              <w:rPr>
                <w:rFonts w:eastAsia="Times New Roman" w:hint="cs"/>
                <w:sz w:val="20"/>
                <w:szCs w:val="20"/>
                <w:rtl/>
                <w:lang w:val="fr-FR" w:eastAsia="en-US" w:bidi="ar-EG"/>
              </w:rPr>
              <w:t>كومنولث</w:t>
            </w:r>
            <w:r w:rsidRPr="00CC485D">
              <w:rPr>
                <w:rFonts w:eastAsia="Times New Roman" w:hint="cs"/>
                <w:spacing w:val="-8"/>
                <w:sz w:val="20"/>
                <w:szCs w:val="20"/>
                <w:rtl/>
                <w:lang w:val="fr-FR" w:eastAsia="en-US" w:bidi="ar-EG"/>
              </w:rPr>
              <w:t xml:space="preserve"> </w:t>
            </w:r>
            <w:r w:rsidRPr="00CC485D">
              <w:rPr>
                <w:rFonts w:eastAsia="Times New Roman"/>
                <w:spacing w:val="-8"/>
                <w:sz w:val="20"/>
                <w:szCs w:val="20"/>
                <w:rtl/>
                <w:lang w:val="fr-FR" w:eastAsia="en-US" w:bidi="ar-EG"/>
              </w:rPr>
              <w:br/>
            </w:r>
            <w:r w:rsidRPr="00CC485D">
              <w:rPr>
                <w:rFonts w:eastAsia="Times New Roman" w:hint="cs"/>
                <w:spacing w:val="-8"/>
                <w:sz w:val="20"/>
                <w:szCs w:val="20"/>
                <w:rtl/>
                <w:lang w:val="fr-FR" w:eastAsia="en-US" w:bidi="ar-EG"/>
              </w:rPr>
              <w:t>الدول المستقلة</w:t>
            </w:r>
          </w:p>
        </w:tc>
        <w:tc>
          <w:tcPr>
            <w:tcW w:w="316" w:type="pct"/>
            <w:tcBorders>
              <w:top w:val="nil"/>
              <w:left w:val="single" w:sz="4" w:space="0" w:color="auto"/>
              <w:bottom w:val="nil"/>
              <w:right w:val="single" w:sz="4" w:space="0" w:color="auto"/>
            </w:tcBorders>
            <w:vAlign w:val="center"/>
          </w:tcPr>
          <w:p w14:paraId="36233E32" w14:textId="2F4806F3"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w:t>
            </w:r>
          </w:p>
        </w:tc>
        <w:tc>
          <w:tcPr>
            <w:tcW w:w="567" w:type="pct"/>
            <w:tcBorders>
              <w:top w:val="nil"/>
              <w:left w:val="single" w:sz="4" w:space="0" w:color="auto"/>
              <w:bottom w:val="nil"/>
              <w:right w:val="single" w:sz="4" w:space="0" w:color="auto"/>
            </w:tcBorders>
            <w:vAlign w:val="center"/>
          </w:tcPr>
          <w:p w14:paraId="0115D3D1" w14:textId="03C09681"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9</w:t>
            </w:r>
          </w:p>
        </w:tc>
        <w:tc>
          <w:tcPr>
            <w:tcW w:w="292" w:type="pct"/>
            <w:tcBorders>
              <w:top w:val="nil"/>
              <w:left w:val="single" w:sz="4" w:space="0" w:color="auto"/>
              <w:bottom w:val="nil"/>
              <w:right w:val="single" w:sz="4" w:space="0" w:color="auto"/>
            </w:tcBorders>
            <w:vAlign w:val="center"/>
          </w:tcPr>
          <w:p w14:paraId="3D6BAFA0" w14:textId="14EC240F"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92" w:type="pct"/>
            <w:tcBorders>
              <w:top w:val="nil"/>
              <w:left w:val="single" w:sz="4" w:space="0" w:color="auto"/>
              <w:bottom w:val="nil"/>
              <w:right w:val="single" w:sz="4" w:space="0" w:color="auto"/>
            </w:tcBorders>
            <w:vAlign w:val="center"/>
          </w:tcPr>
          <w:p w14:paraId="673D5787" w14:textId="62F59D4D"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86</w:t>
            </w:r>
          </w:p>
        </w:tc>
        <w:tc>
          <w:tcPr>
            <w:tcW w:w="324" w:type="pct"/>
            <w:tcBorders>
              <w:top w:val="nil"/>
              <w:left w:val="single" w:sz="4" w:space="0" w:color="auto"/>
              <w:bottom w:val="nil"/>
              <w:right w:val="single" w:sz="4" w:space="0" w:color="auto"/>
            </w:tcBorders>
            <w:vAlign w:val="center"/>
          </w:tcPr>
          <w:p w14:paraId="3753C982" w14:textId="2C9A1B8C"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3</w:t>
            </w:r>
          </w:p>
        </w:tc>
        <w:tc>
          <w:tcPr>
            <w:tcW w:w="558" w:type="pct"/>
            <w:tcBorders>
              <w:top w:val="nil"/>
              <w:left w:val="single" w:sz="4" w:space="0" w:color="auto"/>
              <w:bottom w:val="nil"/>
              <w:right w:val="single" w:sz="4" w:space="0" w:color="auto"/>
            </w:tcBorders>
            <w:vAlign w:val="center"/>
          </w:tcPr>
          <w:p w14:paraId="2466568C" w14:textId="2D4AA2FE"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52</w:t>
            </w:r>
          </w:p>
        </w:tc>
        <w:tc>
          <w:tcPr>
            <w:tcW w:w="307" w:type="pct"/>
            <w:tcBorders>
              <w:top w:val="nil"/>
              <w:left w:val="single" w:sz="4" w:space="0" w:color="auto"/>
              <w:bottom w:val="nil"/>
              <w:right w:val="single" w:sz="4" w:space="0" w:color="auto"/>
            </w:tcBorders>
            <w:vAlign w:val="center"/>
          </w:tcPr>
          <w:p w14:paraId="0512F5EE" w14:textId="285FFF58"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6</w:t>
            </w:r>
          </w:p>
        </w:tc>
        <w:tc>
          <w:tcPr>
            <w:tcW w:w="575" w:type="pct"/>
            <w:tcBorders>
              <w:top w:val="nil"/>
              <w:left w:val="single" w:sz="4" w:space="0" w:color="auto"/>
              <w:bottom w:val="nil"/>
              <w:right w:val="single" w:sz="4" w:space="0" w:color="auto"/>
            </w:tcBorders>
            <w:vAlign w:val="center"/>
          </w:tcPr>
          <w:p w14:paraId="4371605C" w14:textId="7327357F"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103</w:t>
            </w:r>
          </w:p>
        </w:tc>
        <w:tc>
          <w:tcPr>
            <w:tcW w:w="289" w:type="pct"/>
            <w:tcBorders>
              <w:top w:val="nil"/>
              <w:left w:val="single" w:sz="4" w:space="0" w:color="auto"/>
              <w:bottom w:val="nil"/>
              <w:right w:val="single" w:sz="4" w:space="0" w:color="auto"/>
            </w:tcBorders>
            <w:vAlign w:val="center"/>
          </w:tcPr>
          <w:p w14:paraId="6F8A8C66" w14:textId="458CB13F"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15</w:t>
            </w:r>
          </w:p>
        </w:tc>
        <w:tc>
          <w:tcPr>
            <w:tcW w:w="526" w:type="pct"/>
            <w:tcBorders>
              <w:top w:val="nil"/>
              <w:left w:val="single" w:sz="4" w:space="0" w:color="auto"/>
              <w:bottom w:val="nil"/>
              <w:right w:val="single" w:sz="4" w:space="0" w:color="auto"/>
            </w:tcBorders>
            <w:vAlign w:val="center"/>
          </w:tcPr>
          <w:p w14:paraId="3139233C" w14:textId="32CB8EB2"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250</w:t>
            </w:r>
          </w:p>
        </w:tc>
      </w:tr>
      <w:tr w:rsidR="00CC485D" w:rsidRPr="00CC485D" w14:paraId="7BDBED3D" w14:textId="77777777" w:rsidTr="00AB19AA">
        <w:trPr>
          <w:jc w:val="center"/>
        </w:trPr>
        <w:tc>
          <w:tcPr>
            <w:tcW w:w="654" w:type="pct"/>
            <w:tcBorders>
              <w:top w:val="nil"/>
              <w:left w:val="single" w:sz="4" w:space="0" w:color="auto"/>
              <w:bottom w:val="single" w:sz="4" w:space="0" w:color="auto"/>
              <w:right w:val="single" w:sz="4" w:space="0" w:color="auto"/>
            </w:tcBorders>
          </w:tcPr>
          <w:p w14:paraId="21055CA6" w14:textId="77777777" w:rsidR="00CC485D" w:rsidRPr="00CC485D" w:rsidRDefault="00CC485D"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أوروبا</w:t>
            </w:r>
          </w:p>
        </w:tc>
        <w:tc>
          <w:tcPr>
            <w:tcW w:w="316" w:type="pct"/>
            <w:tcBorders>
              <w:top w:val="nil"/>
              <w:left w:val="single" w:sz="4" w:space="0" w:color="auto"/>
              <w:bottom w:val="single" w:sz="4" w:space="0" w:color="auto"/>
              <w:right w:val="single" w:sz="4" w:space="0" w:color="auto"/>
            </w:tcBorders>
            <w:vAlign w:val="bottom"/>
          </w:tcPr>
          <w:p w14:paraId="65C01090" w14:textId="793F71D0"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w:t>
            </w:r>
          </w:p>
        </w:tc>
        <w:tc>
          <w:tcPr>
            <w:tcW w:w="567" w:type="pct"/>
            <w:tcBorders>
              <w:top w:val="nil"/>
              <w:left w:val="single" w:sz="4" w:space="0" w:color="auto"/>
              <w:bottom w:val="single" w:sz="4" w:space="0" w:color="auto"/>
              <w:right w:val="single" w:sz="4" w:space="0" w:color="auto"/>
            </w:tcBorders>
            <w:vAlign w:val="bottom"/>
          </w:tcPr>
          <w:p w14:paraId="1448505D" w14:textId="0E5A904F" w:rsidR="00CC485D"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w:t>
            </w:r>
          </w:p>
        </w:tc>
        <w:tc>
          <w:tcPr>
            <w:tcW w:w="292" w:type="pct"/>
            <w:tcBorders>
              <w:top w:val="nil"/>
              <w:left w:val="single" w:sz="4" w:space="0" w:color="auto"/>
              <w:bottom w:val="single" w:sz="4" w:space="0" w:color="auto"/>
              <w:right w:val="single" w:sz="4" w:space="0" w:color="auto"/>
            </w:tcBorders>
            <w:vAlign w:val="bottom"/>
          </w:tcPr>
          <w:p w14:paraId="353FB06A" w14:textId="4807DDF3"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21</w:t>
            </w:r>
          </w:p>
        </w:tc>
        <w:tc>
          <w:tcPr>
            <w:tcW w:w="592" w:type="pct"/>
            <w:tcBorders>
              <w:top w:val="nil"/>
              <w:left w:val="single" w:sz="4" w:space="0" w:color="auto"/>
              <w:bottom w:val="single" w:sz="4" w:space="0" w:color="auto"/>
              <w:right w:val="single" w:sz="4" w:space="0" w:color="auto"/>
            </w:tcBorders>
            <w:vAlign w:val="bottom"/>
          </w:tcPr>
          <w:p w14:paraId="675FA7ED" w14:textId="30801FE7"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127</w:t>
            </w:r>
          </w:p>
        </w:tc>
        <w:tc>
          <w:tcPr>
            <w:tcW w:w="324" w:type="pct"/>
            <w:tcBorders>
              <w:top w:val="nil"/>
              <w:left w:val="single" w:sz="4" w:space="0" w:color="auto"/>
              <w:bottom w:val="single" w:sz="4" w:space="0" w:color="auto"/>
              <w:right w:val="single" w:sz="4" w:space="0" w:color="auto"/>
            </w:tcBorders>
            <w:vAlign w:val="bottom"/>
          </w:tcPr>
          <w:p w14:paraId="5BBA0BA2" w14:textId="2F1F941D"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7</w:t>
            </w:r>
          </w:p>
        </w:tc>
        <w:tc>
          <w:tcPr>
            <w:tcW w:w="558" w:type="pct"/>
            <w:tcBorders>
              <w:top w:val="nil"/>
              <w:left w:val="single" w:sz="4" w:space="0" w:color="auto"/>
              <w:bottom w:val="single" w:sz="4" w:space="0" w:color="auto"/>
              <w:right w:val="single" w:sz="4" w:space="0" w:color="auto"/>
            </w:tcBorders>
            <w:vAlign w:val="bottom"/>
          </w:tcPr>
          <w:p w14:paraId="0B5D2C35" w14:textId="1162CB03"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73</w:t>
            </w:r>
          </w:p>
        </w:tc>
        <w:tc>
          <w:tcPr>
            <w:tcW w:w="307" w:type="pct"/>
            <w:tcBorders>
              <w:top w:val="nil"/>
              <w:left w:val="single" w:sz="4" w:space="0" w:color="auto"/>
              <w:bottom w:val="single" w:sz="4" w:space="0" w:color="auto"/>
              <w:right w:val="single" w:sz="4" w:space="0" w:color="auto"/>
            </w:tcBorders>
            <w:vAlign w:val="bottom"/>
          </w:tcPr>
          <w:p w14:paraId="1075A561" w14:textId="05D3A864" w:rsidR="00CC485D"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9</w:t>
            </w:r>
          </w:p>
        </w:tc>
        <w:tc>
          <w:tcPr>
            <w:tcW w:w="575" w:type="pct"/>
            <w:tcBorders>
              <w:top w:val="nil"/>
              <w:left w:val="single" w:sz="4" w:space="0" w:color="auto"/>
              <w:bottom w:val="single" w:sz="4" w:space="0" w:color="auto"/>
              <w:right w:val="single" w:sz="4" w:space="0" w:color="auto"/>
            </w:tcBorders>
            <w:vAlign w:val="bottom"/>
          </w:tcPr>
          <w:p w14:paraId="0C562F97" w14:textId="1B2FFEE0" w:rsidR="00CC485D"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84</w:t>
            </w:r>
          </w:p>
        </w:tc>
        <w:tc>
          <w:tcPr>
            <w:tcW w:w="289" w:type="pct"/>
            <w:tcBorders>
              <w:top w:val="nil"/>
              <w:left w:val="single" w:sz="4" w:space="0" w:color="auto"/>
              <w:bottom w:val="single" w:sz="4" w:space="0" w:color="auto"/>
              <w:right w:val="single" w:sz="4" w:space="0" w:color="auto"/>
            </w:tcBorders>
            <w:vAlign w:val="bottom"/>
          </w:tcPr>
          <w:p w14:paraId="616C73EB" w14:textId="4C4A3642"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38</w:t>
            </w:r>
          </w:p>
        </w:tc>
        <w:tc>
          <w:tcPr>
            <w:tcW w:w="526" w:type="pct"/>
            <w:tcBorders>
              <w:top w:val="nil"/>
              <w:left w:val="single" w:sz="4" w:space="0" w:color="auto"/>
              <w:bottom w:val="single" w:sz="4" w:space="0" w:color="auto"/>
              <w:right w:val="single" w:sz="4" w:space="0" w:color="auto"/>
            </w:tcBorders>
            <w:vAlign w:val="bottom"/>
          </w:tcPr>
          <w:p w14:paraId="18A7E3D4" w14:textId="28F803A0"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285</w:t>
            </w:r>
          </w:p>
        </w:tc>
      </w:tr>
      <w:tr w:rsidR="004F6ADC" w:rsidRPr="00CC485D" w14:paraId="315213CE" w14:textId="77777777" w:rsidTr="00AB19AA">
        <w:trPr>
          <w:jc w:val="center"/>
        </w:trPr>
        <w:tc>
          <w:tcPr>
            <w:tcW w:w="654" w:type="pct"/>
            <w:tcBorders>
              <w:top w:val="nil"/>
              <w:left w:val="single" w:sz="4" w:space="0" w:color="auto"/>
              <w:bottom w:val="single" w:sz="4" w:space="0" w:color="auto"/>
              <w:right w:val="single" w:sz="4" w:space="0" w:color="auto"/>
            </w:tcBorders>
          </w:tcPr>
          <w:p w14:paraId="31669E87" w14:textId="459C0226" w:rsidR="004F6ADC"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مناطق متعددة</w:t>
            </w:r>
          </w:p>
        </w:tc>
        <w:tc>
          <w:tcPr>
            <w:tcW w:w="316" w:type="pct"/>
            <w:tcBorders>
              <w:top w:val="nil"/>
              <w:left w:val="single" w:sz="4" w:space="0" w:color="auto"/>
              <w:bottom w:val="single" w:sz="4" w:space="0" w:color="auto"/>
              <w:right w:val="single" w:sz="4" w:space="0" w:color="auto"/>
            </w:tcBorders>
            <w:vAlign w:val="bottom"/>
          </w:tcPr>
          <w:p w14:paraId="48DC71AA" w14:textId="34CE80CE" w:rsidR="004F6ADC" w:rsidRDefault="004F6ADC" w:rsidP="00894E1C">
            <w:pPr>
              <w:tabs>
                <w:tab w:val="clear" w:pos="794"/>
                <w:tab w:val="left" w:pos="1134"/>
              </w:tabs>
              <w:spacing w:before="60" w:after="60" w:line="260" w:lineRule="exact"/>
              <w:jc w:val="center"/>
              <w:rPr>
                <w:rFonts w:eastAsia="Times New Roman"/>
                <w:sz w:val="20"/>
                <w:szCs w:val="20"/>
                <w:lang w:val="fr-FR" w:eastAsia="en-US" w:bidi="ar-EG"/>
              </w:rPr>
            </w:pPr>
            <w:r>
              <w:rPr>
                <w:rFonts w:eastAsia="Times New Roman"/>
                <w:sz w:val="20"/>
                <w:szCs w:val="20"/>
                <w:lang w:val="fr-FR" w:eastAsia="en-US" w:bidi="ar-EG"/>
              </w:rPr>
              <w:t>3</w:t>
            </w:r>
          </w:p>
        </w:tc>
        <w:tc>
          <w:tcPr>
            <w:tcW w:w="567" w:type="pct"/>
            <w:tcBorders>
              <w:top w:val="nil"/>
              <w:left w:val="single" w:sz="4" w:space="0" w:color="auto"/>
              <w:bottom w:val="single" w:sz="4" w:space="0" w:color="auto"/>
              <w:right w:val="single" w:sz="4" w:space="0" w:color="auto"/>
            </w:tcBorders>
            <w:vAlign w:val="bottom"/>
          </w:tcPr>
          <w:p w14:paraId="4C0171AE" w14:textId="289445A4" w:rsidR="004F6ADC" w:rsidRPr="00CC485D" w:rsidRDefault="004F6ADC"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20</w:t>
            </w:r>
          </w:p>
        </w:tc>
        <w:tc>
          <w:tcPr>
            <w:tcW w:w="292" w:type="pct"/>
            <w:tcBorders>
              <w:top w:val="nil"/>
              <w:left w:val="single" w:sz="4" w:space="0" w:color="auto"/>
              <w:bottom w:val="single" w:sz="4" w:space="0" w:color="auto"/>
              <w:right w:val="single" w:sz="4" w:space="0" w:color="auto"/>
            </w:tcBorders>
            <w:vAlign w:val="bottom"/>
          </w:tcPr>
          <w:p w14:paraId="6E7301C4" w14:textId="70DA9308" w:rsidR="004F6ADC"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2</w:t>
            </w:r>
          </w:p>
        </w:tc>
        <w:tc>
          <w:tcPr>
            <w:tcW w:w="592" w:type="pct"/>
            <w:tcBorders>
              <w:top w:val="nil"/>
              <w:left w:val="single" w:sz="4" w:space="0" w:color="auto"/>
              <w:bottom w:val="single" w:sz="4" w:space="0" w:color="auto"/>
              <w:right w:val="single" w:sz="4" w:space="0" w:color="auto"/>
            </w:tcBorders>
            <w:vAlign w:val="bottom"/>
          </w:tcPr>
          <w:p w14:paraId="4D17A913" w14:textId="24CFD6A7" w:rsidR="004F6ADC"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117</w:t>
            </w:r>
          </w:p>
        </w:tc>
        <w:tc>
          <w:tcPr>
            <w:tcW w:w="324" w:type="pct"/>
            <w:tcBorders>
              <w:top w:val="nil"/>
              <w:left w:val="single" w:sz="4" w:space="0" w:color="auto"/>
              <w:bottom w:val="single" w:sz="4" w:space="0" w:color="auto"/>
              <w:right w:val="single" w:sz="4" w:space="0" w:color="auto"/>
            </w:tcBorders>
            <w:vAlign w:val="bottom"/>
          </w:tcPr>
          <w:p w14:paraId="1FBE14E5" w14:textId="6981F699" w:rsidR="004F6ADC"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5</w:t>
            </w:r>
          </w:p>
        </w:tc>
        <w:tc>
          <w:tcPr>
            <w:tcW w:w="558" w:type="pct"/>
            <w:tcBorders>
              <w:top w:val="nil"/>
              <w:left w:val="single" w:sz="4" w:space="0" w:color="auto"/>
              <w:bottom w:val="single" w:sz="4" w:space="0" w:color="auto"/>
              <w:right w:val="single" w:sz="4" w:space="0" w:color="auto"/>
            </w:tcBorders>
            <w:vAlign w:val="bottom"/>
          </w:tcPr>
          <w:p w14:paraId="5A346A9C" w14:textId="2413CBD8" w:rsidR="004F6ADC"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209</w:t>
            </w:r>
          </w:p>
        </w:tc>
        <w:tc>
          <w:tcPr>
            <w:tcW w:w="307" w:type="pct"/>
            <w:tcBorders>
              <w:top w:val="nil"/>
              <w:left w:val="single" w:sz="4" w:space="0" w:color="auto"/>
              <w:bottom w:val="single" w:sz="4" w:space="0" w:color="auto"/>
              <w:right w:val="single" w:sz="4" w:space="0" w:color="auto"/>
            </w:tcBorders>
            <w:vAlign w:val="bottom"/>
          </w:tcPr>
          <w:p w14:paraId="27EABF36" w14:textId="23EFBA81" w:rsidR="004F6ADC" w:rsidRPr="00CC485D" w:rsidRDefault="00B224D8"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2</w:t>
            </w:r>
          </w:p>
        </w:tc>
        <w:tc>
          <w:tcPr>
            <w:tcW w:w="575" w:type="pct"/>
            <w:tcBorders>
              <w:top w:val="nil"/>
              <w:left w:val="single" w:sz="4" w:space="0" w:color="auto"/>
              <w:bottom w:val="single" w:sz="4" w:space="0" w:color="auto"/>
              <w:right w:val="single" w:sz="4" w:space="0" w:color="auto"/>
            </w:tcBorders>
            <w:vAlign w:val="bottom"/>
          </w:tcPr>
          <w:p w14:paraId="73B63A9A" w14:textId="25481C57" w:rsidR="004F6ADC" w:rsidRPr="00CC485D" w:rsidRDefault="00790B73" w:rsidP="00894E1C">
            <w:pPr>
              <w:tabs>
                <w:tab w:val="clear" w:pos="794"/>
                <w:tab w:val="left" w:pos="1134"/>
              </w:tabs>
              <w:spacing w:before="60" w:after="60" w:line="260" w:lineRule="exact"/>
              <w:jc w:val="center"/>
              <w:rPr>
                <w:rFonts w:eastAsia="Times New Roman"/>
                <w:sz w:val="20"/>
                <w:szCs w:val="20"/>
                <w:rtl/>
                <w:lang w:val="fr-FR" w:eastAsia="en-US" w:bidi="ar-EG"/>
              </w:rPr>
            </w:pPr>
            <w:r>
              <w:rPr>
                <w:rFonts w:eastAsia="Times New Roman"/>
                <w:sz w:val="20"/>
                <w:szCs w:val="20"/>
                <w:lang w:val="fr-FR" w:eastAsia="en-US" w:bidi="ar-EG"/>
              </w:rPr>
              <w:t>81</w:t>
            </w:r>
          </w:p>
        </w:tc>
        <w:tc>
          <w:tcPr>
            <w:tcW w:w="289" w:type="pct"/>
            <w:tcBorders>
              <w:top w:val="nil"/>
              <w:left w:val="single" w:sz="4" w:space="0" w:color="auto"/>
              <w:bottom w:val="single" w:sz="4" w:space="0" w:color="auto"/>
              <w:right w:val="single" w:sz="4" w:space="0" w:color="auto"/>
            </w:tcBorders>
            <w:vAlign w:val="bottom"/>
          </w:tcPr>
          <w:p w14:paraId="30F32ACB" w14:textId="4B0CC4B4" w:rsidR="004F6ADC"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12</w:t>
            </w:r>
          </w:p>
        </w:tc>
        <w:tc>
          <w:tcPr>
            <w:tcW w:w="526" w:type="pct"/>
            <w:tcBorders>
              <w:top w:val="nil"/>
              <w:left w:val="single" w:sz="4" w:space="0" w:color="auto"/>
              <w:bottom w:val="single" w:sz="4" w:space="0" w:color="auto"/>
              <w:right w:val="single" w:sz="4" w:space="0" w:color="auto"/>
            </w:tcBorders>
            <w:vAlign w:val="bottom"/>
          </w:tcPr>
          <w:p w14:paraId="7BBD8988" w14:textId="0465B2FE" w:rsidR="004F6ADC"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427</w:t>
            </w:r>
          </w:p>
        </w:tc>
      </w:tr>
      <w:tr w:rsidR="00CC485D" w:rsidRPr="00CC485D" w14:paraId="61B7F625" w14:textId="77777777" w:rsidTr="00AB19AA">
        <w:trPr>
          <w:jc w:val="center"/>
        </w:trPr>
        <w:tc>
          <w:tcPr>
            <w:tcW w:w="654" w:type="pct"/>
            <w:tcBorders>
              <w:top w:val="single" w:sz="4" w:space="0" w:color="auto"/>
              <w:right w:val="single" w:sz="4" w:space="0" w:color="auto"/>
            </w:tcBorders>
            <w:shd w:val="clear" w:color="auto" w:fill="BDD7EE"/>
          </w:tcPr>
          <w:p w14:paraId="3F294A53" w14:textId="77777777" w:rsidR="00CC485D" w:rsidRPr="00CC485D" w:rsidRDefault="00CC485D" w:rsidP="00894E1C">
            <w:pPr>
              <w:tabs>
                <w:tab w:val="clear" w:pos="794"/>
                <w:tab w:val="left" w:pos="1134"/>
              </w:tabs>
              <w:spacing w:before="60" w:after="60" w:line="260" w:lineRule="exact"/>
              <w:ind w:left="-57"/>
              <w:jc w:val="left"/>
              <w:rPr>
                <w:rFonts w:eastAsia="Times New Roman"/>
                <w:b/>
                <w:bCs/>
                <w:sz w:val="20"/>
                <w:szCs w:val="20"/>
                <w:rtl/>
                <w:lang w:val="fr-FR" w:eastAsia="en-US" w:bidi="ar-EG"/>
              </w:rPr>
            </w:pPr>
            <w:r w:rsidRPr="00CC485D">
              <w:rPr>
                <w:rFonts w:eastAsia="Times New Roman" w:hint="cs"/>
                <w:b/>
                <w:bCs/>
                <w:sz w:val="20"/>
                <w:szCs w:val="20"/>
                <w:rtl/>
                <w:lang w:val="fr-FR" w:eastAsia="en-US" w:bidi="ar-EG"/>
              </w:rPr>
              <w:t>المجموع</w:t>
            </w:r>
          </w:p>
        </w:tc>
        <w:tc>
          <w:tcPr>
            <w:tcW w:w="316" w:type="pct"/>
            <w:tcBorders>
              <w:top w:val="single" w:sz="4" w:space="0" w:color="auto"/>
              <w:left w:val="single" w:sz="4" w:space="0" w:color="auto"/>
              <w:right w:val="single" w:sz="4" w:space="0" w:color="auto"/>
            </w:tcBorders>
            <w:shd w:val="clear" w:color="auto" w:fill="BDD7EE"/>
            <w:vAlign w:val="bottom"/>
          </w:tcPr>
          <w:p w14:paraId="2E153416" w14:textId="1076E252" w:rsidR="00CC485D" w:rsidRPr="00CC485D" w:rsidRDefault="004F6ADC"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14</w:t>
            </w:r>
          </w:p>
        </w:tc>
        <w:tc>
          <w:tcPr>
            <w:tcW w:w="567" w:type="pct"/>
            <w:tcBorders>
              <w:top w:val="single" w:sz="4" w:space="0" w:color="auto"/>
              <w:left w:val="single" w:sz="4" w:space="0" w:color="auto"/>
              <w:right w:val="single" w:sz="4" w:space="0" w:color="auto"/>
            </w:tcBorders>
            <w:shd w:val="clear" w:color="auto" w:fill="BDD7EE"/>
            <w:vAlign w:val="bottom"/>
          </w:tcPr>
          <w:p w14:paraId="7E7BF2F9" w14:textId="2514FA1B" w:rsidR="00CC485D" w:rsidRPr="00CC485D" w:rsidRDefault="004F6ADC"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145</w:t>
            </w:r>
          </w:p>
        </w:tc>
        <w:tc>
          <w:tcPr>
            <w:tcW w:w="292" w:type="pct"/>
            <w:tcBorders>
              <w:top w:val="single" w:sz="4" w:space="0" w:color="auto"/>
              <w:left w:val="single" w:sz="4" w:space="0" w:color="auto"/>
              <w:right w:val="single" w:sz="4" w:space="0" w:color="auto"/>
            </w:tcBorders>
            <w:shd w:val="clear" w:color="auto" w:fill="BDD7EE"/>
            <w:vAlign w:val="bottom"/>
          </w:tcPr>
          <w:p w14:paraId="7425497E" w14:textId="32B92CDE" w:rsidR="00CC485D" w:rsidRPr="00CC485D" w:rsidRDefault="00B224D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50</w:t>
            </w:r>
          </w:p>
        </w:tc>
        <w:tc>
          <w:tcPr>
            <w:tcW w:w="592" w:type="pct"/>
            <w:tcBorders>
              <w:top w:val="single" w:sz="4" w:space="0" w:color="auto"/>
              <w:left w:val="single" w:sz="4" w:space="0" w:color="auto"/>
              <w:right w:val="single" w:sz="4" w:space="0" w:color="auto"/>
            </w:tcBorders>
            <w:shd w:val="clear" w:color="auto" w:fill="BDD7EE"/>
            <w:vAlign w:val="bottom"/>
          </w:tcPr>
          <w:p w14:paraId="55815D89" w14:textId="7293593C" w:rsidR="00CC485D" w:rsidRPr="00CC485D" w:rsidRDefault="00B224D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644</w:t>
            </w:r>
          </w:p>
        </w:tc>
        <w:tc>
          <w:tcPr>
            <w:tcW w:w="324" w:type="pct"/>
            <w:tcBorders>
              <w:top w:val="single" w:sz="4" w:space="0" w:color="auto"/>
              <w:left w:val="single" w:sz="4" w:space="0" w:color="auto"/>
              <w:right w:val="single" w:sz="4" w:space="0" w:color="auto"/>
            </w:tcBorders>
            <w:shd w:val="clear" w:color="auto" w:fill="BDD7EE"/>
            <w:vAlign w:val="bottom"/>
          </w:tcPr>
          <w:p w14:paraId="5EEE26DC" w14:textId="1C371BEC" w:rsidR="00CC485D" w:rsidRPr="00CC485D" w:rsidRDefault="00B224D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50</w:t>
            </w:r>
          </w:p>
        </w:tc>
        <w:tc>
          <w:tcPr>
            <w:tcW w:w="558" w:type="pct"/>
            <w:tcBorders>
              <w:top w:val="single" w:sz="4" w:space="0" w:color="auto"/>
              <w:left w:val="single" w:sz="4" w:space="0" w:color="auto"/>
              <w:right w:val="single" w:sz="4" w:space="0" w:color="auto"/>
            </w:tcBorders>
            <w:shd w:val="clear" w:color="auto" w:fill="BDD7EE"/>
            <w:vAlign w:val="bottom"/>
          </w:tcPr>
          <w:p w14:paraId="7155BACF" w14:textId="3E6C5766" w:rsidR="00CC485D" w:rsidRPr="00CC485D" w:rsidRDefault="00B224D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760</w:t>
            </w:r>
          </w:p>
        </w:tc>
        <w:tc>
          <w:tcPr>
            <w:tcW w:w="307" w:type="pct"/>
            <w:tcBorders>
              <w:top w:val="single" w:sz="4" w:space="0" w:color="auto"/>
              <w:left w:val="single" w:sz="4" w:space="0" w:color="auto"/>
              <w:right w:val="single" w:sz="4" w:space="0" w:color="auto"/>
            </w:tcBorders>
            <w:shd w:val="clear" w:color="auto" w:fill="BDD7EE"/>
            <w:vAlign w:val="bottom"/>
          </w:tcPr>
          <w:p w14:paraId="00EC7ED4" w14:textId="3257D7AE" w:rsidR="00CC485D" w:rsidRPr="00CC485D" w:rsidRDefault="00B224D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43</w:t>
            </w:r>
          </w:p>
        </w:tc>
        <w:tc>
          <w:tcPr>
            <w:tcW w:w="575" w:type="pct"/>
            <w:tcBorders>
              <w:top w:val="single" w:sz="4" w:space="0" w:color="auto"/>
              <w:left w:val="single" w:sz="4" w:space="0" w:color="auto"/>
              <w:right w:val="single" w:sz="4" w:space="0" w:color="auto"/>
            </w:tcBorders>
            <w:shd w:val="clear" w:color="auto" w:fill="BDD7EE"/>
            <w:vAlign w:val="bottom"/>
          </w:tcPr>
          <w:p w14:paraId="0BCA4696" w14:textId="5EC50032"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739</w:t>
            </w:r>
          </w:p>
        </w:tc>
        <w:tc>
          <w:tcPr>
            <w:tcW w:w="289" w:type="pct"/>
            <w:tcBorders>
              <w:top w:val="single" w:sz="4" w:space="0" w:color="auto"/>
              <w:left w:val="single" w:sz="4" w:space="0" w:color="auto"/>
              <w:right w:val="single" w:sz="4" w:space="0" w:color="auto"/>
            </w:tcBorders>
            <w:shd w:val="clear" w:color="auto" w:fill="BDD7EE"/>
            <w:vAlign w:val="bottom"/>
          </w:tcPr>
          <w:p w14:paraId="6A02AB7A" w14:textId="534A93AB" w:rsidR="00CC485D" w:rsidRPr="00CC485D" w:rsidRDefault="00790B73"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157</w:t>
            </w:r>
          </w:p>
        </w:tc>
        <w:tc>
          <w:tcPr>
            <w:tcW w:w="526" w:type="pct"/>
            <w:tcBorders>
              <w:top w:val="single" w:sz="4" w:space="0" w:color="auto"/>
              <w:left w:val="single" w:sz="4" w:space="0" w:color="auto"/>
            </w:tcBorders>
            <w:shd w:val="clear" w:color="auto" w:fill="BDD7EE"/>
            <w:vAlign w:val="bottom"/>
          </w:tcPr>
          <w:p w14:paraId="03795B80" w14:textId="1D2B4522" w:rsidR="00CC485D" w:rsidRPr="00CC485D" w:rsidRDefault="00450128" w:rsidP="00894E1C">
            <w:pPr>
              <w:tabs>
                <w:tab w:val="clear" w:pos="794"/>
                <w:tab w:val="left" w:pos="1134"/>
              </w:tabs>
              <w:spacing w:before="60" w:after="60" w:line="260" w:lineRule="exact"/>
              <w:jc w:val="center"/>
              <w:rPr>
                <w:rFonts w:eastAsia="Times New Roman"/>
                <w:b/>
                <w:bCs/>
                <w:sz w:val="20"/>
                <w:szCs w:val="20"/>
                <w:rtl/>
                <w:lang w:val="fr-FR" w:eastAsia="en-US" w:bidi="ar-EG"/>
              </w:rPr>
            </w:pPr>
            <w:r>
              <w:rPr>
                <w:rFonts w:eastAsia="Times New Roman"/>
                <w:b/>
                <w:bCs/>
                <w:sz w:val="20"/>
                <w:szCs w:val="20"/>
                <w:lang w:val="fr-FR" w:eastAsia="en-US" w:bidi="ar-EG"/>
              </w:rPr>
              <w:t>2 321</w:t>
            </w:r>
          </w:p>
        </w:tc>
      </w:tr>
    </w:tbl>
    <w:p w14:paraId="50214061" w14:textId="01EAD657" w:rsidR="00AB19AA" w:rsidRPr="00AB19AA" w:rsidRDefault="00AB19AA" w:rsidP="00CC485D">
      <w:pPr>
        <w:rPr>
          <w:sz w:val="20"/>
          <w:szCs w:val="20"/>
          <w:rtl/>
          <w:lang w:bidi="ar-EG"/>
        </w:rPr>
      </w:pPr>
      <w:r w:rsidRPr="00AB19AA">
        <w:rPr>
          <w:rFonts w:hint="cs"/>
          <w:sz w:val="20"/>
          <w:szCs w:val="20"/>
          <w:rtl/>
        </w:rPr>
        <w:t xml:space="preserve">* </w:t>
      </w:r>
      <w:r w:rsidR="00032056">
        <w:rPr>
          <w:rFonts w:hint="cs"/>
          <w:sz w:val="20"/>
          <w:szCs w:val="20"/>
          <w:rtl/>
        </w:rPr>
        <w:t xml:space="preserve">لا يتضمن الهدف </w:t>
      </w:r>
      <w:r w:rsidR="00032056">
        <w:rPr>
          <w:sz w:val="20"/>
          <w:szCs w:val="20"/>
        </w:rPr>
        <w:t>1</w:t>
      </w:r>
      <w:r w:rsidR="00032056">
        <w:rPr>
          <w:rFonts w:hint="cs"/>
          <w:sz w:val="20"/>
          <w:szCs w:val="20"/>
          <w:rtl/>
          <w:lang w:bidi="ar-EG"/>
        </w:rPr>
        <w:t xml:space="preserve"> الفريق الاستشاري لتنمية الاتصالات ولجان الدراسات.</w:t>
      </w:r>
    </w:p>
    <w:p w14:paraId="41A9DD9E" w14:textId="09E6CF0B" w:rsidR="00CC485D" w:rsidRPr="00CC485D" w:rsidRDefault="00CC485D" w:rsidP="00894E1C">
      <w:pPr>
        <w:keepNext/>
        <w:spacing w:after="120"/>
        <w:jc w:val="center"/>
        <w:rPr>
          <w:b/>
          <w:bCs/>
          <w:rtl/>
          <w:lang w:bidi="ar-EG"/>
        </w:rPr>
      </w:pPr>
      <w:r w:rsidRPr="00CC485D">
        <w:rPr>
          <w:rFonts w:hint="cs"/>
          <w:b/>
          <w:bCs/>
          <w:rtl/>
          <w:lang w:bidi="ar-SY"/>
        </w:rPr>
        <w:t>الجدول </w:t>
      </w:r>
      <w:r w:rsidRPr="00CC485D">
        <w:rPr>
          <w:b/>
          <w:bCs/>
          <w:lang w:bidi="ar-SY"/>
        </w:rPr>
        <w:t>2</w:t>
      </w:r>
      <w:r w:rsidRPr="00CC485D">
        <w:rPr>
          <w:rFonts w:hint="cs"/>
          <w:b/>
          <w:bCs/>
          <w:rtl/>
          <w:lang w:bidi="ar-EG"/>
        </w:rPr>
        <w:t xml:space="preserve"> </w:t>
      </w:r>
      <w:r w:rsidR="00BD7632">
        <w:rPr>
          <w:b/>
          <w:bCs/>
          <w:rtl/>
          <w:lang w:bidi="ar-EG"/>
        </w:rPr>
        <w:t>–</w:t>
      </w:r>
      <w:r w:rsidRPr="00CC485D">
        <w:rPr>
          <w:rFonts w:hint="cs"/>
          <w:b/>
          <w:bCs/>
          <w:rtl/>
          <w:lang w:bidi="ar-EG"/>
        </w:rPr>
        <w:t xml:space="preserve"> </w:t>
      </w:r>
      <w:r w:rsidR="00BD7632">
        <w:rPr>
          <w:rFonts w:hint="cs"/>
          <w:b/>
          <w:bCs/>
          <w:rtl/>
          <w:lang w:bidi="ar-EG"/>
        </w:rPr>
        <w:t xml:space="preserve">المبالغ </w:t>
      </w:r>
      <w:r w:rsidR="0027293C">
        <w:rPr>
          <w:rFonts w:hint="cs"/>
          <w:b/>
          <w:bCs/>
          <w:rtl/>
          <w:lang w:bidi="ar-EG"/>
        </w:rPr>
        <w:t xml:space="preserve">المنفقة </w:t>
      </w:r>
      <w:r w:rsidR="002D365C">
        <w:rPr>
          <w:rFonts w:hint="cs"/>
          <w:b/>
          <w:bCs/>
          <w:rtl/>
          <w:lang w:bidi="ar-EG"/>
        </w:rPr>
        <w:t>في تنفيذ</w:t>
      </w:r>
      <w:r w:rsidRPr="00CC485D">
        <w:rPr>
          <w:rFonts w:hint="cs"/>
          <w:b/>
          <w:bCs/>
          <w:rtl/>
          <w:lang w:bidi="ar-EG"/>
        </w:rPr>
        <w:t xml:space="preserve"> المشاريع في</w:t>
      </w:r>
      <w:r w:rsidR="00BD7632">
        <w:rPr>
          <w:rFonts w:hint="cs"/>
          <w:b/>
          <w:bCs/>
          <w:rtl/>
          <w:lang w:bidi="ar-EG"/>
        </w:rPr>
        <w:t xml:space="preserve"> عام</w:t>
      </w:r>
      <w:r w:rsidRPr="00CC485D">
        <w:rPr>
          <w:rFonts w:hint="cs"/>
          <w:b/>
          <w:bCs/>
          <w:rtl/>
          <w:lang w:bidi="ar-EG"/>
        </w:rPr>
        <w:t xml:space="preserve"> </w:t>
      </w:r>
      <w:r w:rsidR="006D3D95">
        <w:rPr>
          <w:rFonts w:hint="cs"/>
          <w:b/>
          <w:bCs/>
          <w:rtl/>
          <w:lang w:bidi="ar-EG"/>
        </w:rPr>
        <w:t>2020</w:t>
      </w:r>
      <w:r w:rsidRPr="00CC485D">
        <w:rPr>
          <w:b/>
          <w:bCs/>
          <w:rtl/>
          <w:lang w:bidi="ar-EG"/>
        </w:rPr>
        <w:br/>
      </w:r>
      <w:r w:rsidRPr="00CC485D">
        <w:rPr>
          <w:rFonts w:hint="cs"/>
          <w:i/>
          <w:iCs/>
          <w:rtl/>
          <w:lang w:bidi="ar-EG"/>
        </w:rPr>
        <w:t>(</w:t>
      </w:r>
      <w:r w:rsidRPr="00CC485D">
        <w:rPr>
          <w:i/>
          <w:iCs/>
          <w:rtl/>
          <w:lang w:bidi="ar-SY"/>
        </w:rPr>
        <w:t xml:space="preserve">المبالغ بآلاف </w:t>
      </w:r>
      <w:r w:rsidRPr="00CC485D">
        <w:rPr>
          <w:rFonts w:hint="cs"/>
          <w:i/>
          <w:iCs/>
          <w:rtl/>
          <w:lang w:bidi="ar-SY"/>
        </w:rPr>
        <w:t>الدولارات الأمريكية</w:t>
      </w:r>
      <w:r w:rsidRPr="00CC485D">
        <w:rPr>
          <w:rFonts w:hint="cs"/>
          <w:i/>
          <w:iCs/>
          <w:rtl/>
          <w:lang w:bidi="ar-EG"/>
        </w:rPr>
        <w:t>)</w:t>
      </w:r>
    </w:p>
    <w:tbl>
      <w:tblPr>
        <w:tblStyle w:val="TableGrid1"/>
        <w:bidiVisual/>
        <w:tblW w:w="5000" w:type="pct"/>
        <w:jc w:val="center"/>
        <w:tblLook w:val="04A0" w:firstRow="1" w:lastRow="0" w:firstColumn="1" w:lastColumn="0" w:noHBand="0" w:noVBand="1"/>
      </w:tblPr>
      <w:tblGrid>
        <w:gridCol w:w="1172"/>
        <w:gridCol w:w="681"/>
        <w:gridCol w:w="972"/>
        <w:gridCol w:w="681"/>
        <w:gridCol w:w="990"/>
        <w:gridCol w:w="681"/>
        <w:gridCol w:w="1011"/>
        <w:gridCol w:w="681"/>
        <w:gridCol w:w="1010"/>
        <w:gridCol w:w="681"/>
        <w:gridCol w:w="1069"/>
      </w:tblGrid>
      <w:tr w:rsidR="00CC485D" w:rsidRPr="00CC485D" w14:paraId="067F8B8E" w14:textId="77777777" w:rsidTr="005D4EB2">
        <w:trPr>
          <w:jc w:val="center"/>
        </w:trPr>
        <w:tc>
          <w:tcPr>
            <w:tcW w:w="630" w:type="pct"/>
            <w:vMerge w:val="restart"/>
            <w:tcBorders>
              <w:top w:val="single" w:sz="4" w:space="0" w:color="auto"/>
              <w:left w:val="single" w:sz="4" w:space="0" w:color="auto"/>
              <w:bottom w:val="nil"/>
              <w:right w:val="single" w:sz="4" w:space="0" w:color="auto"/>
            </w:tcBorders>
            <w:shd w:val="clear" w:color="auto" w:fill="BDD7EE"/>
            <w:vAlign w:val="center"/>
          </w:tcPr>
          <w:p w14:paraId="2CA7DE7A"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z w:val="20"/>
                <w:szCs w:val="20"/>
                <w:rtl/>
                <w:lang w:val="en-GB" w:eastAsia="en-US"/>
              </w:rPr>
            </w:pPr>
            <w:r w:rsidRPr="00CC485D">
              <w:rPr>
                <w:rFonts w:eastAsia="Times New Roman" w:hint="cs"/>
                <w:sz w:val="20"/>
                <w:szCs w:val="20"/>
                <w:rtl/>
                <w:lang w:val="en-GB" w:eastAsia="en-US"/>
              </w:rPr>
              <w:t>المنطقة</w:t>
            </w:r>
          </w:p>
        </w:tc>
        <w:tc>
          <w:tcPr>
            <w:tcW w:w="870"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3F0EAD43"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b/>
                <w:bCs/>
                <w:sz w:val="20"/>
                <w:szCs w:val="20"/>
                <w:rtl/>
                <w:lang w:val="en-GB" w:eastAsia="en-US"/>
              </w:rPr>
              <w:t>الصناديق الاستئمانية</w:t>
            </w:r>
          </w:p>
        </w:tc>
        <w:tc>
          <w:tcPr>
            <w:tcW w:w="857"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3119ACFF"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b/>
                <w:bCs/>
                <w:sz w:val="20"/>
                <w:szCs w:val="20"/>
                <w:rtl/>
                <w:lang w:val="en-GB" w:eastAsia="en-US"/>
              </w:rPr>
              <w:t>صندوق تنمية تكنولوجيا المعلومات والاتصالات</w:t>
            </w:r>
          </w:p>
        </w:tc>
        <w:tc>
          <w:tcPr>
            <w:tcW w:w="863"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410E7B51"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الخطة التشغيلية</w:t>
            </w:r>
          </w:p>
        </w:tc>
        <w:tc>
          <w:tcPr>
            <w:tcW w:w="866"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639DB39B"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b/>
                <w:bCs/>
                <w:sz w:val="20"/>
                <w:szCs w:val="20"/>
                <w:rtl/>
                <w:lang w:val="en-GB" w:eastAsia="en-US"/>
              </w:rPr>
              <w:t xml:space="preserve">برنامج الأمم </w:t>
            </w:r>
            <w:r w:rsidRPr="00CC485D">
              <w:rPr>
                <w:rFonts w:eastAsia="Times New Roman"/>
                <w:b/>
                <w:bCs/>
                <w:sz w:val="20"/>
                <w:szCs w:val="20"/>
                <w:rtl/>
                <w:lang w:val="en-GB" w:eastAsia="en-US"/>
              </w:rPr>
              <w:br/>
              <w:t>المتحدة الإنمائي</w:t>
            </w:r>
          </w:p>
        </w:tc>
        <w:tc>
          <w:tcPr>
            <w:tcW w:w="914" w:type="pct"/>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340031B4"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r w:rsidRPr="00CC485D">
              <w:rPr>
                <w:rFonts w:eastAsia="Times New Roman" w:hint="cs"/>
                <w:b/>
                <w:bCs/>
                <w:sz w:val="20"/>
                <w:szCs w:val="20"/>
                <w:rtl/>
                <w:lang w:val="en-GB" w:eastAsia="en-US"/>
              </w:rPr>
              <w:t>المجموع</w:t>
            </w:r>
          </w:p>
        </w:tc>
      </w:tr>
      <w:tr w:rsidR="00CC485D" w:rsidRPr="00CC485D" w14:paraId="7362613D" w14:textId="77777777" w:rsidTr="005D4EB2">
        <w:trPr>
          <w:jc w:val="center"/>
        </w:trPr>
        <w:tc>
          <w:tcPr>
            <w:tcW w:w="630" w:type="pct"/>
            <w:vMerge/>
            <w:tcBorders>
              <w:top w:val="nil"/>
              <w:left w:val="single" w:sz="4" w:space="0" w:color="auto"/>
              <w:bottom w:val="single" w:sz="4" w:space="0" w:color="auto"/>
              <w:right w:val="single" w:sz="4" w:space="0" w:color="auto"/>
            </w:tcBorders>
            <w:shd w:val="clear" w:color="auto" w:fill="BDD7EE"/>
          </w:tcPr>
          <w:p w14:paraId="66196CCC"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b/>
                <w:bCs/>
                <w:sz w:val="20"/>
                <w:szCs w:val="20"/>
                <w:rtl/>
                <w:lang w:val="en-GB" w:eastAsia="en-US"/>
              </w:rPr>
            </w:pPr>
          </w:p>
        </w:tc>
        <w:tc>
          <w:tcPr>
            <w:tcW w:w="344"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86FC05F"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عدد</w:t>
            </w:r>
            <w:r w:rsidRPr="00CC485D">
              <w:rPr>
                <w:rFonts w:eastAsia="Times New Roman"/>
                <w:spacing w:val="-4"/>
                <w:sz w:val="20"/>
                <w:szCs w:val="20"/>
                <w:lang w:val="en-GB" w:eastAsia="en-US"/>
              </w:rPr>
              <w:br/>
            </w:r>
            <w:r w:rsidRPr="00CC485D">
              <w:rPr>
                <w:rFonts w:eastAsia="Times New Roman" w:hint="cs"/>
                <w:spacing w:val="-4"/>
                <w:sz w:val="20"/>
                <w:szCs w:val="20"/>
                <w:rtl/>
                <w:lang w:val="en-GB" w:eastAsia="en-US"/>
              </w:rPr>
              <w:t>المشاريع</w:t>
            </w:r>
          </w:p>
        </w:tc>
        <w:tc>
          <w:tcPr>
            <w:tcW w:w="52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233FCC9"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مستوى التنفيذ</w:t>
            </w:r>
            <w:r w:rsidRPr="00CC485D">
              <w:rPr>
                <w:rFonts w:eastAsia="Times New Roman"/>
                <w:spacing w:val="-4"/>
                <w:sz w:val="20"/>
                <w:szCs w:val="20"/>
                <w:rtl/>
                <w:lang w:val="en-GB" w:eastAsia="en-US"/>
              </w:rPr>
              <w:br/>
            </w:r>
            <w:r w:rsidRPr="00CC485D">
              <w:rPr>
                <w:rFonts w:eastAsia="Times New Roman" w:hint="cs"/>
                <w:spacing w:val="-4"/>
                <w:sz w:val="20"/>
                <w:szCs w:val="20"/>
                <w:rtl/>
                <w:lang w:val="en-GB" w:eastAsia="en-US"/>
              </w:rPr>
              <w:t>(بآلاف الدولارات الأمريكية)</w:t>
            </w:r>
          </w:p>
        </w:tc>
        <w:tc>
          <w:tcPr>
            <w:tcW w:w="322"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4F75AA06"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عدد</w:t>
            </w:r>
            <w:r w:rsidRPr="00CC485D">
              <w:rPr>
                <w:rFonts w:eastAsia="Times New Roman"/>
                <w:spacing w:val="-4"/>
                <w:sz w:val="20"/>
                <w:szCs w:val="20"/>
                <w:lang w:val="en-GB" w:eastAsia="en-US"/>
              </w:rPr>
              <w:br/>
            </w:r>
            <w:r w:rsidRPr="00CC485D">
              <w:rPr>
                <w:rFonts w:eastAsia="Times New Roman" w:hint="cs"/>
                <w:spacing w:val="-4"/>
                <w:sz w:val="20"/>
                <w:szCs w:val="20"/>
                <w:rtl/>
                <w:lang w:val="en-GB" w:eastAsia="en-US"/>
              </w:rPr>
              <w:t>المشاريع</w:t>
            </w:r>
          </w:p>
        </w:tc>
        <w:tc>
          <w:tcPr>
            <w:tcW w:w="53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70087D85"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مستوى التنفيذ</w:t>
            </w:r>
            <w:r w:rsidRPr="00CC485D">
              <w:rPr>
                <w:rFonts w:eastAsia="Times New Roman"/>
                <w:spacing w:val="-4"/>
                <w:sz w:val="20"/>
                <w:szCs w:val="20"/>
                <w:rtl/>
                <w:lang w:val="en-GB" w:eastAsia="en-US"/>
              </w:rPr>
              <w:br/>
            </w:r>
            <w:r w:rsidRPr="00CC485D">
              <w:rPr>
                <w:rFonts w:eastAsia="Times New Roman" w:hint="cs"/>
                <w:spacing w:val="-4"/>
                <w:sz w:val="20"/>
                <w:szCs w:val="20"/>
                <w:rtl/>
                <w:lang w:val="en-GB" w:eastAsia="en-US"/>
              </w:rPr>
              <w:t>(بآلاف الدولارات الأمريكية)</w:t>
            </w:r>
          </w:p>
        </w:tc>
        <w:tc>
          <w:tcPr>
            <w:tcW w:w="317"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10C45340"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عدد</w:t>
            </w:r>
            <w:r w:rsidRPr="00CC485D">
              <w:rPr>
                <w:rFonts w:eastAsia="Times New Roman"/>
                <w:spacing w:val="-4"/>
                <w:sz w:val="20"/>
                <w:szCs w:val="20"/>
                <w:lang w:val="en-GB" w:eastAsia="en-US"/>
              </w:rPr>
              <w:br/>
            </w:r>
            <w:r w:rsidRPr="00CC485D">
              <w:rPr>
                <w:rFonts w:eastAsia="Times New Roman" w:hint="cs"/>
                <w:spacing w:val="-4"/>
                <w:sz w:val="20"/>
                <w:szCs w:val="20"/>
                <w:rtl/>
                <w:lang w:val="en-GB" w:eastAsia="en-US"/>
              </w:rPr>
              <w:t>المشاريع</w:t>
            </w:r>
          </w:p>
        </w:tc>
        <w:tc>
          <w:tcPr>
            <w:tcW w:w="54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56BA8282"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مستوى التنفيذ</w:t>
            </w:r>
            <w:r w:rsidRPr="00CC485D">
              <w:rPr>
                <w:rFonts w:eastAsia="Times New Roman"/>
                <w:spacing w:val="-4"/>
                <w:sz w:val="20"/>
                <w:szCs w:val="20"/>
                <w:rtl/>
                <w:lang w:val="en-GB" w:eastAsia="en-US"/>
              </w:rPr>
              <w:br/>
            </w:r>
            <w:r w:rsidRPr="00CC485D">
              <w:rPr>
                <w:rFonts w:eastAsia="Times New Roman" w:hint="cs"/>
                <w:spacing w:val="-4"/>
                <w:sz w:val="20"/>
                <w:szCs w:val="20"/>
                <w:rtl/>
                <w:lang w:val="en-GB" w:eastAsia="en-US"/>
              </w:rPr>
              <w:t>(بآلاف الدولارات الأمريكية)</w:t>
            </w:r>
          </w:p>
        </w:tc>
        <w:tc>
          <w:tcPr>
            <w:tcW w:w="321"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4C2DA146"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عدد</w:t>
            </w:r>
            <w:r w:rsidRPr="00CC485D">
              <w:rPr>
                <w:rFonts w:eastAsia="Times New Roman"/>
                <w:spacing w:val="-4"/>
                <w:sz w:val="20"/>
                <w:szCs w:val="20"/>
                <w:lang w:val="en-GB" w:eastAsia="en-US"/>
              </w:rPr>
              <w:br/>
            </w:r>
            <w:r w:rsidRPr="00CC485D">
              <w:rPr>
                <w:rFonts w:eastAsia="Times New Roman" w:hint="cs"/>
                <w:spacing w:val="-4"/>
                <w:sz w:val="20"/>
                <w:szCs w:val="20"/>
                <w:rtl/>
                <w:lang w:val="en-GB" w:eastAsia="en-US"/>
              </w:rPr>
              <w:t>المشاريع</w:t>
            </w:r>
          </w:p>
        </w:tc>
        <w:tc>
          <w:tcPr>
            <w:tcW w:w="545"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0D90D16D"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مستوى التنفيذ</w:t>
            </w:r>
            <w:r w:rsidRPr="00CC485D">
              <w:rPr>
                <w:rFonts w:eastAsia="Times New Roman"/>
                <w:spacing w:val="-4"/>
                <w:sz w:val="20"/>
                <w:szCs w:val="20"/>
                <w:rtl/>
                <w:lang w:val="en-GB" w:eastAsia="en-US"/>
              </w:rPr>
              <w:br/>
            </w:r>
            <w:r w:rsidRPr="00CC485D">
              <w:rPr>
                <w:rFonts w:eastAsia="Times New Roman" w:hint="cs"/>
                <w:spacing w:val="-4"/>
                <w:sz w:val="20"/>
                <w:szCs w:val="20"/>
                <w:rtl/>
                <w:lang w:val="en-GB" w:eastAsia="en-US"/>
              </w:rPr>
              <w:t>(بآلاف الدولارات الأمريكية)</w:t>
            </w:r>
          </w:p>
        </w:tc>
        <w:tc>
          <w:tcPr>
            <w:tcW w:w="338"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07BEF1A8"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عدد</w:t>
            </w:r>
            <w:r w:rsidRPr="00CC485D">
              <w:rPr>
                <w:rFonts w:eastAsia="Times New Roman"/>
                <w:spacing w:val="-4"/>
                <w:sz w:val="20"/>
                <w:szCs w:val="20"/>
                <w:lang w:val="en-GB" w:eastAsia="en-US"/>
              </w:rPr>
              <w:br/>
            </w:r>
            <w:r w:rsidRPr="00CC485D">
              <w:rPr>
                <w:rFonts w:eastAsia="Times New Roman" w:hint="cs"/>
                <w:spacing w:val="-4"/>
                <w:sz w:val="20"/>
                <w:szCs w:val="20"/>
                <w:rtl/>
                <w:lang w:val="en-GB" w:eastAsia="en-US"/>
              </w:rPr>
              <w:t>المشاريع</w:t>
            </w:r>
          </w:p>
        </w:tc>
        <w:tc>
          <w:tcPr>
            <w:tcW w:w="576" w:type="pct"/>
            <w:tcBorders>
              <w:top w:val="single" w:sz="4" w:space="0" w:color="auto"/>
              <w:left w:val="single" w:sz="4" w:space="0" w:color="auto"/>
              <w:bottom w:val="single" w:sz="4" w:space="0" w:color="auto"/>
              <w:right w:val="single" w:sz="4" w:space="0" w:color="auto"/>
            </w:tcBorders>
            <w:shd w:val="clear" w:color="auto" w:fill="BDD7EE"/>
            <w:tcMar>
              <w:left w:w="28" w:type="dxa"/>
              <w:right w:w="28" w:type="dxa"/>
            </w:tcMar>
            <w:vAlign w:val="center"/>
          </w:tcPr>
          <w:p w14:paraId="43497034" w14:textId="77777777" w:rsidR="00CC485D" w:rsidRPr="00CC485D" w:rsidRDefault="00CC485D" w:rsidP="00894E1C">
            <w:pPr>
              <w:tabs>
                <w:tab w:val="clear" w:pos="794"/>
              </w:tabs>
              <w:overflowPunct w:val="0"/>
              <w:autoSpaceDE w:val="0"/>
              <w:autoSpaceDN w:val="0"/>
              <w:adjustRightInd w:val="0"/>
              <w:spacing w:before="60" w:after="60" w:line="260" w:lineRule="exact"/>
              <w:jc w:val="center"/>
              <w:textAlignment w:val="baseline"/>
              <w:rPr>
                <w:rFonts w:eastAsia="Times New Roman"/>
                <w:spacing w:val="-4"/>
                <w:sz w:val="20"/>
                <w:szCs w:val="20"/>
                <w:rtl/>
                <w:lang w:val="en-GB" w:eastAsia="en-US"/>
              </w:rPr>
            </w:pPr>
            <w:r w:rsidRPr="00CC485D">
              <w:rPr>
                <w:rFonts w:eastAsia="Times New Roman" w:hint="cs"/>
                <w:spacing w:val="-4"/>
                <w:sz w:val="20"/>
                <w:szCs w:val="20"/>
                <w:rtl/>
                <w:lang w:val="en-GB" w:eastAsia="en-US"/>
              </w:rPr>
              <w:t>مستوى التنفيذ</w:t>
            </w:r>
            <w:r w:rsidRPr="00CC485D">
              <w:rPr>
                <w:rFonts w:eastAsia="Times New Roman"/>
                <w:spacing w:val="-4"/>
                <w:sz w:val="20"/>
                <w:szCs w:val="20"/>
                <w:rtl/>
                <w:lang w:val="en-GB" w:eastAsia="en-US"/>
              </w:rPr>
              <w:br/>
            </w:r>
            <w:r w:rsidRPr="00CC485D">
              <w:rPr>
                <w:rFonts w:eastAsia="Times New Roman" w:hint="cs"/>
                <w:spacing w:val="-4"/>
                <w:sz w:val="20"/>
                <w:szCs w:val="20"/>
                <w:rtl/>
                <w:lang w:val="en-GB" w:eastAsia="en-US"/>
              </w:rPr>
              <w:t>(بآلاف الدولارات الأمريكية)</w:t>
            </w:r>
          </w:p>
        </w:tc>
      </w:tr>
      <w:tr w:rsidR="0045041E" w:rsidRPr="00CC485D" w14:paraId="15FD5B41" w14:textId="77777777" w:rsidTr="005D4EB2">
        <w:trPr>
          <w:jc w:val="center"/>
        </w:trPr>
        <w:tc>
          <w:tcPr>
            <w:tcW w:w="630" w:type="pct"/>
            <w:tcBorders>
              <w:top w:val="single" w:sz="4" w:space="0" w:color="auto"/>
              <w:left w:val="single" w:sz="4" w:space="0" w:color="auto"/>
              <w:bottom w:val="nil"/>
              <w:right w:val="single" w:sz="4" w:space="0" w:color="auto"/>
            </w:tcBorders>
          </w:tcPr>
          <w:p w14:paraId="20396603" w14:textId="77777777" w:rsidR="0045041E"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إفريقيا</w:t>
            </w:r>
          </w:p>
        </w:tc>
        <w:tc>
          <w:tcPr>
            <w:tcW w:w="344" w:type="pct"/>
            <w:tcBorders>
              <w:top w:val="single" w:sz="4" w:space="0" w:color="auto"/>
              <w:left w:val="single" w:sz="4" w:space="0" w:color="auto"/>
              <w:bottom w:val="nil"/>
              <w:right w:val="single" w:sz="4" w:space="0" w:color="auto"/>
            </w:tcBorders>
          </w:tcPr>
          <w:p w14:paraId="550B3683" w14:textId="19F5158A" w:rsidR="0045041E" w:rsidRPr="0045041E" w:rsidRDefault="0045041E" w:rsidP="00894E1C">
            <w:pPr>
              <w:tabs>
                <w:tab w:val="clear" w:pos="794"/>
                <w:tab w:val="left" w:pos="1134"/>
              </w:tabs>
              <w:spacing w:before="60" w:after="60" w:line="260" w:lineRule="exact"/>
              <w:jc w:val="center"/>
              <w:rPr>
                <w:rFonts w:eastAsia="Times New Roman"/>
                <w:sz w:val="20"/>
                <w:szCs w:val="20"/>
                <w:lang w:val="fr-FR" w:eastAsia="en-US" w:bidi="ar-EG"/>
              </w:rPr>
            </w:pPr>
            <w:r w:rsidRPr="0045041E">
              <w:rPr>
                <w:sz w:val="20"/>
                <w:szCs w:val="20"/>
              </w:rPr>
              <w:t>6</w:t>
            </w:r>
          </w:p>
        </w:tc>
        <w:tc>
          <w:tcPr>
            <w:tcW w:w="526" w:type="pct"/>
            <w:tcBorders>
              <w:top w:val="single" w:sz="4" w:space="0" w:color="auto"/>
              <w:left w:val="single" w:sz="4" w:space="0" w:color="auto"/>
              <w:bottom w:val="nil"/>
              <w:right w:val="single" w:sz="4" w:space="0" w:color="auto"/>
            </w:tcBorders>
          </w:tcPr>
          <w:p w14:paraId="2A372CFD" w14:textId="677F0D81"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810</w:t>
            </w:r>
          </w:p>
        </w:tc>
        <w:tc>
          <w:tcPr>
            <w:tcW w:w="322" w:type="pct"/>
            <w:tcBorders>
              <w:top w:val="single" w:sz="4" w:space="0" w:color="auto"/>
              <w:left w:val="single" w:sz="4" w:space="0" w:color="auto"/>
              <w:bottom w:val="nil"/>
              <w:right w:val="single" w:sz="4" w:space="0" w:color="auto"/>
            </w:tcBorders>
          </w:tcPr>
          <w:p w14:paraId="21C5A0E2" w14:textId="048456D3"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w:t>
            </w:r>
          </w:p>
        </w:tc>
        <w:tc>
          <w:tcPr>
            <w:tcW w:w="535" w:type="pct"/>
            <w:tcBorders>
              <w:top w:val="single" w:sz="4" w:space="0" w:color="auto"/>
              <w:left w:val="single" w:sz="4" w:space="0" w:color="auto"/>
              <w:bottom w:val="nil"/>
              <w:right w:val="single" w:sz="4" w:space="0" w:color="auto"/>
            </w:tcBorders>
          </w:tcPr>
          <w:p w14:paraId="35B9AFB4" w14:textId="7A609544"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64</w:t>
            </w:r>
          </w:p>
        </w:tc>
        <w:tc>
          <w:tcPr>
            <w:tcW w:w="317" w:type="pct"/>
            <w:tcBorders>
              <w:top w:val="single" w:sz="4" w:space="0" w:color="auto"/>
              <w:left w:val="single" w:sz="4" w:space="0" w:color="auto"/>
              <w:bottom w:val="nil"/>
              <w:right w:val="single" w:sz="4" w:space="0" w:color="auto"/>
            </w:tcBorders>
          </w:tcPr>
          <w:p w14:paraId="2F966FAC" w14:textId="711973E4"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6</w:t>
            </w:r>
          </w:p>
        </w:tc>
        <w:tc>
          <w:tcPr>
            <w:tcW w:w="546" w:type="pct"/>
            <w:tcBorders>
              <w:top w:val="single" w:sz="4" w:space="0" w:color="auto"/>
              <w:left w:val="single" w:sz="4" w:space="0" w:color="auto"/>
              <w:bottom w:val="nil"/>
              <w:right w:val="single" w:sz="4" w:space="0" w:color="auto"/>
            </w:tcBorders>
          </w:tcPr>
          <w:p w14:paraId="3946E6D0" w14:textId="5FCE0AB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35</w:t>
            </w:r>
          </w:p>
        </w:tc>
        <w:tc>
          <w:tcPr>
            <w:tcW w:w="321" w:type="pct"/>
            <w:tcBorders>
              <w:top w:val="single" w:sz="4" w:space="0" w:color="auto"/>
              <w:left w:val="single" w:sz="4" w:space="0" w:color="auto"/>
              <w:bottom w:val="nil"/>
              <w:right w:val="single" w:sz="4" w:space="0" w:color="auto"/>
            </w:tcBorders>
          </w:tcPr>
          <w:p w14:paraId="70117E6B"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single" w:sz="4" w:space="0" w:color="auto"/>
              <w:left w:val="single" w:sz="4" w:space="0" w:color="auto"/>
              <w:bottom w:val="nil"/>
              <w:right w:val="single" w:sz="4" w:space="0" w:color="auto"/>
            </w:tcBorders>
          </w:tcPr>
          <w:p w14:paraId="6A2BCC4C"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single" w:sz="4" w:space="0" w:color="auto"/>
              <w:left w:val="single" w:sz="4" w:space="0" w:color="auto"/>
              <w:bottom w:val="nil"/>
              <w:right w:val="single" w:sz="4" w:space="0" w:color="auto"/>
            </w:tcBorders>
          </w:tcPr>
          <w:p w14:paraId="2D498283" w14:textId="45289FB2"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13</w:t>
            </w:r>
          </w:p>
        </w:tc>
        <w:tc>
          <w:tcPr>
            <w:tcW w:w="576" w:type="pct"/>
            <w:tcBorders>
              <w:top w:val="single" w:sz="4" w:space="0" w:color="auto"/>
              <w:left w:val="single" w:sz="4" w:space="0" w:color="auto"/>
              <w:bottom w:val="nil"/>
              <w:right w:val="single" w:sz="4" w:space="0" w:color="auto"/>
            </w:tcBorders>
          </w:tcPr>
          <w:p w14:paraId="78209B93" w14:textId="3FF2BF31"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909</w:t>
            </w:r>
          </w:p>
        </w:tc>
      </w:tr>
      <w:tr w:rsidR="0045041E" w:rsidRPr="00CC485D" w14:paraId="1E5343B9" w14:textId="77777777" w:rsidTr="005D4EB2">
        <w:trPr>
          <w:jc w:val="center"/>
        </w:trPr>
        <w:tc>
          <w:tcPr>
            <w:tcW w:w="630" w:type="pct"/>
            <w:tcBorders>
              <w:top w:val="nil"/>
              <w:left w:val="single" w:sz="4" w:space="0" w:color="auto"/>
              <w:bottom w:val="nil"/>
              <w:right w:val="single" w:sz="4" w:space="0" w:color="auto"/>
            </w:tcBorders>
          </w:tcPr>
          <w:p w14:paraId="33A2820A" w14:textId="77777777" w:rsidR="0045041E"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proofErr w:type="spellStart"/>
            <w:r w:rsidRPr="00CC485D">
              <w:rPr>
                <w:rFonts w:eastAsia="Times New Roman" w:hint="cs"/>
                <w:sz w:val="20"/>
                <w:szCs w:val="20"/>
                <w:rtl/>
                <w:lang w:val="fr-FR" w:eastAsia="en-US" w:bidi="ar-EG"/>
              </w:rPr>
              <w:t>الأمريكتان</w:t>
            </w:r>
            <w:proofErr w:type="spellEnd"/>
          </w:p>
        </w:tc>
        <w:tc>
          <w:tcPr>
            <w:tcW w:w="344" w:type="pct"/>
            <w:tcBorders>
              <w:top w:val="nil"/>
              <w:left w:val="single" w:sz="4" w:space="0" w:color="auto"/>
              <w:bottom w:val="nil"/>
              <w:right w:val="single" w:sz="4" w:space="0" w:color="auto"/>
            </w:tcBorders>
          </w:tcPr>
          <w:p w14:paraId="7C6380A9" w14:textId="602DD44C"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8</w:t>
            </w:r>
          </w:p>
        </w:tc>
        <w:tc>
          <w:tcPr>
            <w:tcW w:w="526" w:type="pct"/>
            <w:tcBorders>
              <w:top w:val="nil"/>
              <w:left w:val="single" w:sz="4" w:space="0" w:color="auto"/>
              <w:bottom w:val="nil"/>
              <w:right w:val="single" w:sz="4" w:space="0" w:color="auto"/>
            </w:tcBorders>
          </w:tcPr>
          <w:p w14:paraId="104BDB18" w14:textId="14D803A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247</w:t>
            </w:r>
          </w:p>
        </w:tc>
        <w:tc>
          <w:tcPr>
            <w:tcW w:w="322" w:type="pct"/>
            <w:tcBorders>
              <w:top w:val="nil"/>
              <w:left w:val="single" w:sz="4" w:space="0" w:color="auto"/>
              <w:bottom w:val="nil"/>
              <w:right w:val="single" w:sz="4" w:space="0" w:color="auto"/>
            </w:tcBorders>
          </w:tcPr>
          <w:p w14:paraId="4920D965" w14:textId="2A9557AE"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35" w:type="pct"/>
            <w:tcBorders>
              <w:top w:val="nil"/>
              <w:left w:val="single" w:sz="4" w:space="0" w:color="auto"/>
              <w:bottom w:val="nil"/>
              <w:right w:val="single" w:sz="4" w:space="0" w:color="auto"/>
            </w:tcBorders>
          </w:tcPr>
          <w:p w14:paraId="0C40E1F1" w14:textId="53A7686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17" w:type="pct"/>
            <w:tcBorders>
              <w:top w:val="nil"/>
              <w:left w:val="single" w:sz="4" w:space="0" w:color="auto"/>
              <w:bottom w:val="nil"/>
              <w:right w:val="single" w:sz="4" w:space="0" w:color="auto"/>
            </w:tcBorders>
          </w:tcPr>
          <w:p w14:paraId="3028A3C2" w14:textId="0474ADC6"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8</w:t>
            </w:r>
          </w:p>
        </w:tc>
        <w:tc>
          <w:tcPr>
            <w:tcW w:w="546" w:type="pct"/>
            <w:tcBorders>
              <w:top w:val="nil"/>
              <w:left w:val="single" w:sz="4" w:space="0" w:color="auto"/>
              <w:bottom w:val="nil"/>
              <w:right w:val="single" w:sz="4" w:space="0" w:color="auto"/>
            </w:tcBorders>
          </w:tcPr>
          <w:p w14:paraId="221F0EB6" w14:textId="7B3D3073"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21" w:type="pct"/>
            <w:tcBorders>
              <w:top w:val="nil"/>
              <w:left w:val="single" w:sz="4" w:space="0" w:color="auto"/>
              <w:bottom w:val="nil"/>
              <w:right w:val="single" w:sz="4" w:space="0" w:color="auto"/>
            </w:tcBorders>
          </w:tcPr>
          <w:p w14:paraId="1C842FAA"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nil"/>
              <w:right w:val="single" w:sz="4" w:space="0" w:color="auto"/>
            </w:tcBorders>
          </w:tcPr>
          <w:p w14:paraId="1625548B"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nil"/>
              <w:right w:val="single" w:sz="4" w:space="0" w:color="auto"/>
            </w:tcBorders>
          </w:tcPr>
          <w:p w14:paraId="31290C6C" w14:textId="2EB2ED3B"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16</w:t>
            </w:r>
          </w:p>
        </w:tc>
        <w:tc>
          <w:tcPr>
            <w:tcW w:w="576" w:type="pct"/>
            <w:tcBorders>
              <w:top w:val="nil"/>
              <w:left w:val="single" w:sz="4" w:space="0" w:color="auto"/>
              <w:bottom w:val="nil"/>
              <w:right w:val="single" w:sz="4" w:space="0" w:color="auto"/>
            </w:tcBorders>
          </w:tcPr>
          <w:p w14:paraId="0ECE605B" w14:textId="3BEB2832"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247</w:t>
            </w:r>
          </w:p>
        </w:tc>
      </w:tr>
      <w:tr w:rsidR="0045041E" w:rsidRPr="00CC485D" w14:paraId="313BA2E7" w14:textId="77777777" w:rsidTr="005D4EB2">
        <w:trPr>
          <w:jc w:val="center"/>
        </w:trPr>
        <w:tc>
          <w:tcPr>
            <w:tcW w:w="630" w:type="pct"/>
            <w:tcBorders>
              <w:top w:val="nil"/>
              <w:left w:val="single" w:sz="4" w:space="0" w:color="auto"/>
              <w:bottom w:val="nil"/>
              <w:right w:val="single" w:sz="4" w:space="0" w:color="auto"/>
            </w:tcBorders>
          </w:tcPr>
          <w:p w14:paraId="7B59E0AD" w14:textId="77777777" w:rsidR="0045041E"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الدول العربية</w:t>
            </w:r>
          </w:p>
        </w:tc>
        <w:tc>
          <w:tcPr>
            <w:tcW w:w="344" w:type="pct"/>
            <w:tcBorders>
              <w:top w:val="nil"/>
              <w:left w:val="single" w:sz="4" w:space="0" w:color="auto"/>
              <w:bottom w:val="nil"/>
              <w:right w:val="single" w:sz="4" w:space="0" w:color="auto"/>
            </w:tcBorders>
          </w:tcPr>
          <w:p w14:paraId="420D5032" w14:textId="753B6896"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7</w:t>
            </w:r>
          </w:p>
        </w:tc>
        <w:tc>
          <w:tcPr>
            <w:tcW w:w="526" w:type="pct"/>
            <w:tcBorders>
              <w:top w:val="nil"/>
              <w:left w:val="single" w:sz="4" w:space="0" w:color="auto"/>
              <w:bottom w:val="nil"/>
              <w:right w:val="single" w:sz="4" w:space="0" w:color="auto"/>
            </w:tcBorders>
          </w:tcPr>
          <w:p w14:paraId="13CA780A" w14:textId="391249BE"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101</w:t>
            </w:r>
          </w:p>
        </w:tc>
        <w:tc>
          <w:tcPr>
            <w:tcW w:w="322" w:type="pct"/>
            <w:tcBorders>
              <w:top w:val="nil"/>
              <w:left w:val="single" w:sz="4" w:space="0" w:color="auto"/>
              <w:bottom w:val="nil"/>
              <w:right w:val="single" w:sz="4" w:space="0" w:color="auto"/>
            </w:tcBorders>
          </w:tcPr>
          <w:p w14:paraId="596BE45C" w14:textId="5F1C1ECC"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35" w:type="pct"/>
            <w:tcBorders>
              <w:top w:val="nil"/>
              <w:left w:val="single" w:sz="4" w:space="0" w:color="auto"/>
              <w:bottom w:val="nil"/>
              <w:right w:val="single" w:sz="4" w:space="0" w:color="auto"/>
            </w:tcBorders>
          </w:tcPr>
          <w:p w14:paraId="1B247743" w14:textId="41233A22"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17" w:type="pct"/>
            <w:tcBorders>
              <w:top w:val="nil"/>
              <w:left w:val="single" w:sz="4" w:space="0" w:color="auto"/>
              <w:bottom w:val="nil"/>
              <w:right w:val="single" w:sz="4" w:space="0" w:color="auto"/>
            </w:tcBorders>
          </w:tcPr>
          <w:p w14:paraId="61001703" w14:textId="079516C0"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7</w:t>
            </w:r>
          </w:p>
        </w:tc>
        <w:tc>
          <w:tcPr>
            <w:tcW w:w="546" w:type="pct"/>
            <w:tcBorders>
              <w:top w:val="nil"/>
              <w:left w:val="single" w:sz="4" w:space="0" w:color="auto"/>
              <w:bottom w:val="nil"/>
              <w:right w:val="single" w:sz="4" w:space="0" w:color="auto"/>
            </w:tcBorders>
          </w:tcPr>
          <w:p w14:paraId="5B7FA77A" w14:textId="12BEA2D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17</w:t>
            </w:r>
          </w:p>
        </w:tc>
        <w:tc>
          <w:tcPr>
            <w:tcW w:w="321" w:type="pct"/>
            <w:tcBorders>
              <w:top w:val="nil"/>
              <w:left w:val="single" w:sz="4" w:space="0" w:color="auto"/>
              <w:bottom w:val="nil"/>
              <w:right w:val="single" w:sz="4" w:space="0" w:color="auto"/>
            </w:tcBorders>
          </w:tcPr>
          <w:p w14:paraId="4B48E7E9"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nil"/>
              <w:right w:val="single" w:sz="4" w:space="0" w:color="auto"/>
            </w:tcBorders>
          </w:tcPr>
          <w:p w14:paraId="46F5A166"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nil"/>
              <w:right w:val="single" w:sz="4" w:space="0" w:color="auto"/>
            </w:tcBorders>
          </w:tcPr>
          <w:p w14:paraId="583D9208" w14:textId="0217C9A7"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14</w:t>
            </w:r>
          </w:p>
        </w:tc>
        <w:tc>
          <w:tcPr>
            <w:tcW w:w="576" w:type="pct"/>
            <w:tcBorders>
              <w:top w:val="nil"/>
              <w:left w:val="single" w:sz="4" w:space="0" w:color="auto"/>
              <w:bottom w:val="nil"/>
              <w:right w:val="single" w:sz="4" w:space="0" w:color="auto"/>
            </w:tcBorders>
          </w:tcPr>
          <w:p w14:paraId="4D181DCA" w14:textId="3E51EAA6"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117</w:t>
            </w:r>
          </w:p>
        </w:tc>
      </w:tr>
      <w:tr w:rsidR="0045041E" w:rsidRPr="00CC485D" w14:paraId="7B7C23C1" w14:textId="77777777" w:rsidTr="005D4EB2">
        <w:trPr>
          <w:jc w:val="center"/>
        </w:trPr>
        <w:tc>
          <w:tcPr>
            <w:tcW w:w="630" w:type="pct"/>
            <w:tcBorders>
              <w:top w:val="nil"/>
              <w:left w:val="single" w:sz="4" w:space="0" w:color="auto"/>
              <w:bottom w:val="nil"/>
              <w:right w:val="single" w:sz="4" w:space="0" w:color="auto"/>
            </w:tcBorders>
          </w:tcPr>
          <w:p w14:paraId="57E54D8F" w14:textId="77777777" w:rsidR="0045041E" w:rsidRPr="00CC485D" w:rsidRDefault="0045041E" w:rsidP="00894E1C">
            <w:pPr>
              <w:tabs>
                <w:tab w:val="clear" w:pos="794"/>
                <w:tab w:val="left" w:pos="1134"/>
              </w:tabs>
              <w:spacing w:before="60" w:after="60" w:line="260" w:lineRule="exact"/>
              <w:ind w:left="-57"/>
              <w:jc w:val="left"/>
              <w:rPr>
                <w:rFonts w:eastAsia="Times New Roman"/>
                <w:spacing w:val="-2"/>
                <w:sz w:val="20"/>
                <w:szCs w:val="20"/>
                <w:rtl/>
                <w:lang w:val="fr-FR" w:eastAsia="en-US" w:bidi="ar-EG"/>
              </w:rPr>
            </w:pPr>
            <w:r w:rsidRPr="00CC485D">
              <w:rPr>
                <w:rFonts w:eastAsia="Times New Roman" w:hint="cs"/>
                <w:spacing w:val="-2"/>
                <w:sz w:val="20"/>
                <w:szCs w:val="20"/>
                <w:rtl/>
                <w:lang w:val="fr-FR" w:eastAsia="en-US" w:bidi="ar-EG"/>
              </w:rPr>
              <w:t>آسيا والمحيط الهادئ</w:t>
            </w:r>
          </w:p>
        </w:tc>
        <w:tc>
          <w:tcPr>
            <w:tcW w:w="344" w:type="pct"/>
            <w:tcBorders>
              <w:top w:val="nil"/>
              <w:left w:val="single" w:sz="4" w:space="0" w:color="auto"/>
              <w:bottom w:val="nil"/>
              <w:right w:val="single" w:sz="4" w:space="0" w:color="auto"/>
            </w:tcBorders>
          </w:tcPr>
          <w:p w14:paraId="12DD5865" w14:textId="0E0E594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10</w:t>
            </w:r>
          </w:p>
        </w:tc>
        <w:tc>
          <w:tcPr>
            <w:tcW w:w="526" w:type="pct"/>
            <w:tcBorders>
              <w:top w:val="nil"/>
              <w:left w:val="single" w:sz="4" w:space="0" w:color="auto"/>
              <w:bottom w:val="nil"/>
              <w:right w:val="single" w:sz="4" w:space="0" w:color="auto"/>
            </w:tcBorders>
          </w:tcPr>
          <w:p w14:paraId="5094CE51" w14:textId="7998A6F9"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512</w:t>
            </w:r>
          </w:p>
        </w:tc>
        <w:tc>
          <w:tcPr>
            <w:tcW w:w="322" w:type="pct"/>
            <w:tcBorders>
              <w:top w:val="nil"/>
              <w:left w:val="single" w:sz="4" w:space="0" w:color="auto"/>
              <w:bottom w:val="nil"/>
              <w:right w:val="single" w:sz="4" w:space="0" w:color="auto"/>
            </w:tcBorders>
          </w:tcPr>
          <w:p w14:paraId="77BBD908" w14:textId="7A53A41A"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w:t>
            </w:r>
          </w:p>
        </w:tc>
        <w:tc>
          <w:tcPr>
            <w:tcW w:w="535" w:type="pct"/>
            <w:tcBorders>
              <w:top w:val="nil"/>
              <w:left w:val="single" w:sz="4" w:space="0" w:color="auto"/>
              <w:bottom w:val="nil"/>
              <w:right w:val="single" w:sz="4" w:space="0" w:color="auto"/>
            </w:tcBorders>
          </w:tcPr>
          <w:p w14:paraId="7C81FF6A" w14:textId="16D64BC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37</w:t>
            </w:r>
          </w:p>
        </w:tc>
        <w:tc>
          <w:tcPr>
            <w:tcW w:w="317" w:type="pct"/>
            <w:tcBorders>
              <w:top w:val="nil"/>
              <w:left w:val="single" w:sz="4" w:space="0" w:color="auto"/>
              <w:bottom w:val="nil"/>
              <w:right w:val="single" w:sz="4" w:space="0" w:color="auto"/>
            </w:tcBorders>
          </w:tcPr>
          <w:p w14:paraId="22307AEC" w14:textId="36260535"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10</w:t>
            </w:r>
          </w:p>
        </w:tc>
        <w:tc>
          <w:tcPr>
            <w:tcW w:w="546" w:type="pct"/>
            <w:tcBorders>
              <w:top w:val="nil"/>
              <w:left w:val="single" w:sz="4" w:space="0" w:color="auto"/>
              <w:bottom w:val="nil"/>
              <w:right w:val="single" w:sz="4" w:space="0" w:color="auto"/>
            </w:tcBorders>
          </w:tcPr>
          <w:p w14:paraId="38E87B7D" w14:textId="6BA29C04"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21" w:type="pct"/>
            <w:tcBorders>
              <w:top w:val="nil"/>
              <w:left w:val="single" w:sz="4" w:space="0" w:color="auto"/>
              <w:bottom w:val="nil"/>
              <w:right w:val="single" w:sz="4" w:space="0" w:color="auto"/>
            </w:tcBorders>
          </w:tcPr>
          <w:p w14:paraId="49D63663"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nil"/>
              <w:right w:val="single" w:sz="4" w:space="0" w:color="auto"/>
            </w:tcBorders>
          </w:tcPr>
          <w:p w14:paraId="39F154D9"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nil"/>
              <w:right w:val="single" w:sz="4" w:space="0" w:color="auto"/>
            </w:tcBorders>
          </w:tcPr>
          <w:p w14:paraId="7A50DD59" w14:textId="656069E6"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21</w:t>
            </w:r>
          </w:p>
        </w:tc>
        <w:tc>
          <w:tcPr>
            <w:tcW w:w="576" w:type="pct"/>
            <w:tcBorders>
              <w:top w:val="nil"/>
              <w:left w:val="single" w:sz="4" w:space="0" w:color="auto"/>
              <w:bottom w:val="nil"/>
              <w:right w:val="single" w:sz="4" w:space="0" w:color="auto"/>
            </w:tcBorders>
          </w:tcPr>
          <w:p w14:paraId="0B489B58" w14:textId="2388F8D1"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548</w:t>
            </w:r>
          </w:p>
        </w:tc>
      </w:tr>
      <w:tr w:rsidR="0045041E" w:rsidRPr="00CC485D" w14:paraId="6FB62E75" w14:textId="77777777" w:rsidTr="005D4EB2">
        <w:trPr>
          <w:jc w:val="center"/>
        </w:trPr>
        <w:tc>
          <w:tcPr>
            <w:tcW w:w="630" w:type="pct"/>
            <w:tcBorders>
              <w:top w:val="nil"/>
              <w:left w:val="single" w:sz="4" w:space="0" w:color="auto"/>
              <w:bottom w:val="nil"/>
              <w:right w:val="single" w:sz="4" w:space="0" w:color="auto"/>
            </w:tcBorders>
          </w:tcPr>
          <w:p w14:paraId="6474AA6F" w14:textId="77777777" w:rsidR="0045041E" w:rsidRPr="00CC485D" w:rsidRDefault="0045041E" w:rsidP="00894E1C">
            <w:pPr>
              <w:tabs>
                <w:tab w:val="clear" w:pos="794"/>
                <w:tab w:val="left" w:pos="1134"/>
              </w:tabs>
              <w:spacing w:before="60" w:after="60" w:line="260" w:lineRule="exact"/>
              <w:ind w:left="-57"/>
              <w:jc w:val="left"/>
              <w:rPr>
                <w:rFonts w:eastAsia="Times New Roman"/>
                <w:spacing w:val="-8"/>
                <w:sz w:val="20"/>
                <w:szCs w:val="20"/>
                <w:rtl/>
                <w:lang w:val="fr-FR" w:eastAsia="en-US" w:bidi="ar-EG"/>
              </w:rPr>
            </w:pPr>
            <w:r w:rsidRPr="00CC485D">
              <w:rPr>
                <w:rFonts w:eastAsia="Times New Roman" w:hint="cs"/>
                <w:sz w:val="20"/>
                <w:szCs w:val="20"/>
                <w:rtl/>
                <w:lang w:val="fr-FR" w:eastAsia="en-US" w:bidi="ar-EG"/>
              </w:rPr>
              <w:t>كومنولث</w:t>
            </w:r>
            <w:r w:rsidRPr="00CC485D">
              <w:rPr>
                <w:rFonts w:eastAsia="Times New Roman" w:hint="cs"/>
                <w:spacing w:val="-8"/>
                <w:sz w:val="20"/>
                <w:szCs w:val="20"/>
                <w:rtl/>
                <w:lang w:val="fr-FR" w:eastAsia="en-US" w:bidi="ar-EG"/>
              </w:rPr>
              <w:t xml:space="preserve"> </w:t>
            </w:r>
            <w:r w:rsidRPr="00CC485D">
              <w:rPr>
                <w:rFonts w:eastAsia="Times New Roman"/>
                <w:spacing w:val="-8"/>
                <w:sz w:val="20"/>
                <w:szCs w:val="20"/>
                <w:rtl/>
                <w:lang w:val="fr-FR" w:eastAsia="en-US" w:bidi="ar-EG"/>
              </w:rPr>
              <w:br/>
            </w:r>
            <w:r w:rsidRPr="00CC485D">
              <w:rPr>
                <w:rFonts w:eastAsia="Times New Roman" w:hint="cs"/>
                <w:spacing w:val="-8"/>
                <w:sz w:val="20"/>
                <w:szCs w:val="20"/>
                <w:rtl/>
                <w:lang w:val="fr-FR" w:eastAsia="en-US" w:bidi="ar-EG"/>
              </w:rPr>
              <w:t>الدول المستقلة</w:t>
            </w:r>
          </w:p>
        </w:tc>
        <w:tc>
          <w:tcPr>
            <w:tcW w:w="344" w:type="pct"/>
            <w:tcBorders>
              <w:top w:val="nil"/>
              <w:left w:val="single" w:sz="4" w:space="0" w:color="auto"/>
              <w:bottom w:val="nil"/>
              <w:right w:val="single" w:sz="4" w:space="0" w:color="auto"/>
            </w:tcBorders>
          </w:tcPr>
          <w:p w14:paraId="6ABB3FF6" w14:textId="118BDDCF"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26" w:type="pct"/>
            <w:tcBorders>
              <w:top w:val="nil"/>
              <w:left w:val="single" w:sz="4" w:space="0" w:color="auto"/>
              <w:bottom w:val="nil"/>
              <w:right w:val="single" w:sz="4" w:space="0" w:color="auto"/>
            </w:tcBorders>
          </w:tcPr>
          <w:p w14:paraId="2C919FD4" w14:textId="621309DF"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22" w:type="pct"/>
            <w:tcBorders>
              <w:top w:val="nil"/>
              <w:left w:val="single" w:sz="4" w:space="0" w:color="auto"/>
              <w:bottom w:val="nil"/>
              <w:right w:val="single" w:sz="4" w:space="0" w:color="auto"/>
            </w:tcBorders>
          </w:tcPr>
          <w:p w14:paraId="69AD4B39" w14:textId="0F6EACD8"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35" w:type="pct"/>
            <w:tcBorders>
              <w:top w:val="nil"/>
              <w:left w:val="single" w:sz="4" w:space="0" w:color="auto"/>
              <w:bottom w:val="nil"/>
              <w:right w:val="single" w:sz="4" w:space="0" w:color="auto"/>
            </w:tcBorders>
          </w:tcPr>
          <w:p w14:paraId="382BC74A" w14:textId="23E9A579"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17" w:type="pct"/>
            <w:tcBorders>
              <w:top w:val="nil"/>
              <w:left w:val="single" w:sz="4" w:space="0" w:color="auto"/>
              <w:bottom w:val="nil"/>
              <w:right w:val="single" w:sz="4" w:space="0" w:color="auto"/>
            </w:tcBorders>
          </w:tcPr>
          <w:p w14:paraId="028925D9" w14:textId="557DE5FA"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46" w:type="pct"/>
            <w:tcBorders>
              <w:top w:val="nil"/>
              <w:left w:val="single" w:sz="4" w:space="0" w:color="auto"/>
              <w:bottom w:val="nil"/>
              <w:right w:val="single" w:sz="4" w:space="0" w:color="auto"/>
            </w:tcBorders>
          </w:tcPr>
          <w:p w14:paraId="627D9FA4" w14:textId="59EC8B8C"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w:t>
            </w:r>
          </w:p>
        </w:tc>
        <w:tc>
          <w:tcPr>
            <w:tcW w:w="321" w:type="pct"/>
            <w:tcBorders>
              <w:top w:val="nil"/>
              <w:left w:val="single" w:sz="4" w:space="0" w:color="auto"/>
              <w:bottom w:val="nil"/>
              <w:right w:val="single" w:sz="4" w:space="0" w:color="auto"/>
            </w:tcBorders>
          </w:tcPr>
          <w:p w14:paraId="08623E0F"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nil"/>
              <w:right w:val="single" w:sz="4" w:space="0" w:color="auto"/>
            </w:tcBorders>
          </w:tcPr>
          <w:p w14:paraId="3BF38A02"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nil"/>
              <w:right w:val="single" w:sz="4" w:space="0" w:color="auto"/>
            </w:tcBorders>
          </w:tcPr>
          <w:p w14:paraId="09025049" w14:textId="72A5B921"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0</w:t>
            </w:r>
          </w:p>
        </w:tc>
        <w:tc>
          <w:tcPr>
            <w:tcW w:w="576" w:type="pct"/>
            <w:tcBorders>
              <w:top w:val="nil"/>
              <w:left w:val="single" w:sz="4" w:space="0" w:color="auto"/>
              <w:bottom w:val="nil"/>
              <w:right w:val="single" w:sz="4" w:space="0" w:color="auto"/>
            </w:tcBorders>
          </w:tcPr>
          <w:p w14:paraId="38CEC707" w14:textId="7F243560"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1</w:t>
            </w:r>
          </w:p>
        </w:tc>
      </w:tr>
      <w:tr w:rsidR="0045041E" w:rsidRPr="00CC485D" w14:paraId="2DD0637F" w14:textId="77777777" w:rsidTr="005D4EB2">
        <w:trPr>
          <w:jc w:val="center"/>
        </w:trPr>
        <w:tc>
          <w:tcPr>
            <w:tcW w:w="630" w:type="pct"/>
            <w:tcBorders>
              <w:top w:val="nil"/>
              <w:left w:val="single" w:sz="4" w:space="0" w:color="auto"/>
              <w:bottom w:val="single" w:sz="4" w:space="0" w:color="auto"/>
              <w:right w:val="single" w:sz="4" w:space="0" w:color="auto"/>
            </w:tcBorders>
          </w:tcPr>
          <w:p w14:paraId="3B213351" w14:textId="77777777" w:rsidR="0045041E"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أوروبا</w:t>
            </w:r>
          </w:p>
        </w:tc>
        <w:tc>
          <w:tcPr>
            <w:tcW w:w="344" w:type="pct"/>
            <w:tcBorders>
              <w:top w:val="nil"/>
              <w:left w:val="single" w:sz="4" w:space="0" w:color="auto"/>
              <w:bottom w:val="single" w:sz="4" w:space="0" w:color="auto"/>
              <w:right w:val="single" w:sz="4" w:space="0" w:color="auto"/>
            </w:tcBorders>
          </w:tcPr>
          <w:p w14:paraId="03BA8B2A" w14:textId="1CC5164A"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3</w:t>
            </w:r>
          </w:p>
        </w:tc>
        <w:tc>
          <w:tcPr>
            <w:tcW w:w="526" w:type="pct"/>
            <w:tcBorders>
              <w:top w:val="nil"/>
              <w:left w:val="single" w:sz="4" w:space="0" w:color="auto"/>
              <w:bottom w:val="single" w:sz="4" w:space="0" w:color="auto"/>
              <w:right w:val="single" w:sz="4" w:space="0" w:color="auto"/>
            </w:tcBorders>
          </w:tcPr>
          <w:p w14:paraId="26796A7B" w14:textId="006338CF"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262</w:t>
            </w:r>
          </w:p>
        </w:tc>
        <w:tc>
          <w:tcPr>
            <w:tcW w:w="322" w:type="pct"/>
            <w:tcBorders>
              <w:top w:val="nil"/>
              <w:left w:val="single" w:sz="4" w:space="0" w:color="auto"/>
              <w:bottom w:val="single" w:sz="4" w:space="0" w:color="auto"/>
              <w:right w:val="single" w:sz="4" w:space="0" w:color="auto"/>
            </w:tcBorders>
          </w:tcPr>
          <w:p w14:paraId="1AF6A835" w14:textId="79870B5A"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535" w:type="pct"/>
            <w:tcBorders>
              <w:top w:val="nil"/>
              <w:left w:val="single" w:sz="4" w:space="0" w:color="auto"/>
              <w:bottom w:val="single" w:sz="4" w:space="0" w:color="auto"/>
              <w:right w:val="single" w:sz="4" w:space="0" w:color="auto"/>
            </w:tcBorders>
          </w:tcPr>
          <w:p w14:paraId="039FC396" w14:textId="4CCB77B4"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0</w:t>
            </w:r>
          </w:p>
        </w:tc>
        <w:tc>
          <w:tcPr>
            <w:tcW w:w="317" w:type="pct"/>
            <w:tcBorders>
              <w:top w:val="nil"/>
              <w:left w:val="single" w:sz="4" w:space="0" w:color="auto"/>
              <w:bottom w:val="single" w:sz="4" w:space="0" w:color="auto"/>
              <w:right w:val="single" w:sz="4" w:space="0" w:color="auto"/>
            </w:tcBorders>
          </w:tcPr>
          <w:p w14:paraId="231F0C2A" w14:textId="34BC0DEE"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3</w:t>
            </w:r>
          </w:p>
        </w:tc>
        <w:tc>
          <w:tcPr>
            <w:tcW w:w="546" w:type="pct"/>
            <w:tcBorders>
              <w:top w:val="nil"/>
              <w:left w:val="single" w:sz="4" w:space="0" w:color="auto"/>
              <w:bottom w:val="single" w:sz="4" w:space="0" w:color="auto"/>
              <w:right w:val="single" w:sz="4" w:space="0" w:color="auto"/>
            </w:tcBorders>
          </w:tcPr>
          <w:p w14:paraId="79226359" w14:textId="2D6F3FA0"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30</w:t>
            </w:r>
          </w:p>
        </w:tc>
        <w:tc>
          <w:tcPr>
            <w:tcW w:w="321" w:type="pct"/>
            <w:tcBorders>
              <w:top w:val="nil"/>
              <w:left w:val="single" w:sz="4" w:space="0" w:color="auto"/>
              <w:bottom w:val="single" w:sz="4" w:space="0" w:color="auto"/>
              <w:right w:val="single" w:sz="4" w:space="0" w:color="auto"/>
            </w:tcBorders>
          </w:tcPr>
          <w:p w14:paraId="374A4119"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single" w:sz="4" w:space="0" w:color="auto"/>
              <w:right w:val="single" w:sz="4" w:space="0" w:color="auto"/>
            </w:tcBorders>
          </w:tcPr>
          <w:p w14:paraId="36B027FC"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single" w:sz="4" w:space="0" w:color="auto"/>
              <w:right w:val="single" w:sz="4" w:space="0" w:color="auto"/>
            </w:tcBorders>
          </w:tcPr>
          <w:p w14:paraId="1EFAC877" w14:textId="3A6759F1"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6</w:t>
            </w:r>
          </w:p>
        </w:tc>
        <w:tc>
          <w:tcPr>
            <w:tcW w:w="576" w:type="pct"/>
            <w:tcBorders>
              <w:top w:val="nil"/>
              <w:left w:val="single" w:sz="4" w:space="0" w:color="auto"/>
              <w:bottom w:val="single" w:sz="4" w:space="0" w:color="auto"/>
              <w:right w:val="single" w:sz="4" w:space="0" w:color="auto"/>
            </w:tcBorders>
          </w:tcPr>
          <w:p w14:paraId="15E92F83" w14:textId="4F696A00"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sz w:val="20"/>
                <w:szCs w:val="20"/>
              </w:rPr>
              <w:t>292</w:t>
            </w:r>
          </w:p>
        </w:tc>
      </w:tr>
      <w:tr w:rsidR="0045041E" w:rsidRPr="00CC485D" w14:paraId="32008BD5" w14:textId="77777777" w:rsidTr="005D4EB2">
        <w:trPr>
          <w:jc w:val="center"/>
        </w:trPr>
        <w:tc>
          <w:tcPr>
            <w:tcW w:w="630" w:type="pct"/>
            <w:tcBorders>
              <w:top w:val="nil"/>
              <w:left w:val="single" w:sz="4" w:space="0" w:color="auto"/>
              <w:bottom w:val="single" w:sz="4" w:space="0" w:color="auto"/>
              <w:right w:val="single" w:sz="4" w:space="0" w:color="auto"/>
            </w:tcBorders>
          </w:tcPr>
          <w:p w14:paraId="2E85CDBD" w14:textId="77777777" w:rsidR="0045041E" w:rsidRPr="00CC485D" w:rsidRDefault="0045041E" w:rsidP="00894E1C">
            <w:pPr>
              <w:tabs>
                <w:tab w:val="clear" w:pos="794"/>
                <w:tab w:val="left" w:pos="1134"/>
              </w:tabs>
              <w:spacing w:before="60" w:after="60" w:line="260" w:lineRule="exact"/>
              <w:ind w:left="-57"/>
              <w:jc w:val="left"/>
              <w:rPr>
                <w:rFonts w:eastAsia="Times New Roman"/>
                <w:sz w:val="20"/>
                <w:szCs w:val="20"/>
                <w:rtl/>
                <w:lang w:val="fr-FR" w:eastAsia="en-US" w:bidi="ar-EG"/>
              </w:rPr>
            </w:pPr>
            <w:r w:rsidRPr="00CC485D">
              <w:rPr>
                <w:rFonts w:eastAsia="Times New Roman" w:hint="cs"/>
                <w:sz w:val="20"/>
                <w:szCs w:val="20"/>
                <w:rtl/>
                <w:lang w:val="fr-FR" w:eastAsia="en-US" w:bidi="ar-EG"/>
              </w:rPr>
              <w:t>مناطق متعددة</w:t>
            </w:r>
          </w:p>
        </w:tc>
        <w:tc>
          <w:tcPr>
            <w:tcW w:w="344" w:type="pct"/>
            <w:tcBorders>
              <w:top w:val="nil"/>
              <w:left w:val="single" w:sz="4" w:space="0" w:color="auto"/>
              <w:bottom w:val="single" w:sz="4" w:space="0" w:color="auto"/>
              <w:right w:val="single" w:sz="4" w:space="0" w:color="auto"/>
            </w:tcBorders>
          </w:tcPr>
          <w:p w14:paraId="5E3293E4" w14:textId="1A02D98E" w:rsidR="0045041E" w:rsidRPr="0045041E" w:rsidRDefault="0045041E" w:rsidP="00894E1C">
            <w:pPr>
              <w:tabs>
                <w:tab w:val="clear" w:pos="794"/>
                <w:tab w:val="left" w:pos="1134"/>
              </w:tabs>
              <w:spacing w:before="60" w:after="60" w:line="260" w:lineRule="exact"/>
              <w:jc w:val="center"/>
              <w:rPr>
                <w:rFonts w:eastAsia="Times New Roman"/>
                <w:sz w:val="20"/>
                <w:szCs w:val="20"/>
                <w:lang w:eastAsia="en-US" w:bidi="ar-EG"/>
              </w:rPr>
            </w:pPr>
            <w:r w:rsidRPr="0045041E">
              <w:rPr>
                <w:sz w:val="20"/>
                <w:szCs w:val="20"/>
              </w:rPr>
              <w:t>19</w:t>
            </w:r>
          </w:p>
        </w:tc>
        <w:tc>
          <w:tcPr>
            <w:tcW w:w="526" w:type="pct"/>
            <w:tcBorders>
              <w:top w:val="nil"/>
              <w:left w:val="single" w:sz="4" w:space="0" w:color="auto"/>
              <w:bottom w:val="single" w:sz="4" w:space="0" w:color="auto"/>
              <w:right w:val="single" w:sz="4" w:space="0" w:color="auto"/>
            </w:tcBorders>
          </w:tcPr>
          <w:p w14:paraId="55606F90" w14:textId="72BE1D94" w:rsidR="0045041E" w:rsidRPr="0045041E" w:rsidRDefault="0045041E" w:rsidP="00894E1C">
            <w:pPr>
              <w:tabs>
                <w:tab w:val="clear" w:pos="794"/>
                <w:tab w:val="left" w:pos="1134"/>
              </w:tabs>
              <w:spacing w:before="60" w:after="60" w:line="260" w:lineRule="exact"/>
              <w:jc w:val="center"/>
              <w:rPr>
                <w:rFonts w:eastAsia="Times New Roman"/>
                <w:sz w:val="20"/>
                <w:szCs w:val="20"/>
                <w:lang w:val="fr-FR" w:eastAsia="en-US" w:bidi="ar-EG"/>
              </w:rPr>
            </w:pPr>
            <w:r w:rsidRPr="0045041E">
              <w:rPr>
                <w:sz w:val="20"/>
                <w:szCs w:val="20"/>
              </w:rPr>
              <w:t>430</w:t>
            </w:r>
          </w:p>
        </w:tc>
        <w:tc>
          <w:tcPr>
            <w:tcW w:w="322" w:type="pct"/>
            <w:tcBorders>
              <w:top w:val="nil"/>
              <w:left w:val="single" w:sz="4" w:space="0" w:color="auto"/>
              <w:bottom w:val="single" w:sz="4" w:space="0" w:color="auto"/>
              <w:right w:val="single" w:sz="4" w:space="0" w:color="auto"/>
            </w:tcBorders>
          </w:tcPr>
          <w:p w14:paraId="6FA4CA11" w14:textId="46690D6D"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2</w:t>
            </w:r>
          </w:p>
        </w:tc>
        <w:tc>
          <w:tcPr>
            <w:tcW w:w="535" w:type="pct"/>
            <w:tcBorders>
              <w:top w:val="nil"/>
              <w:left w:val="single" w:sz="4" w:space="0" w:color="auto"/>
              <w:bottom w:val="single" w:sz="4" w:space="0" w:color="auto"/>
              <w:right w:val="single" w:sz="4" w:space="0" w:color="auto"/>
            </w:tcBorders>
          </w:tcPr>
          <w:p w14:paraId="1FE8D774" w14:textId="52F422CD"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68</w:t>
            </w:r>
          </w:p>
        </w:tc>
        <w:tc>
          <w:tcPr>
            <w:tcW w:w="317" w:type="pct"/>
            <w:tcBorders>
              <w:top w:val="nil"/>
              <w:left w:val="single" w:sz="4" w:space="0" w:color="auto"/>
              <w:bottom w:val="single" w:sz="4" w:space="0" w:color="auto"/>
              <w:right w:val="single" w:sz="4" w:space="0" w:color="auto"/>
            </w:tcBorders>
          </w:tcPr>
          <w:p w14:paraId="429E388F" w14:textId="31CB636C"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19</w:t>
            </w:r>
          </w:p>
        </w:tc>
        <w:tc>
          <w:tcPr>
            <w:tcW w:w="546" w:type="pct"/>
            <w:tcBorders>
              <w:top w:val="nil"/>
              <w:left w:val="single" w:sz="4" w:space="0" w:color="auto"/>
              <w:bottom w:val="single" w:sz="4" w:space="0" w:color="auto"/>
              <w:right w:val="single" w:sz="4" w:space="0" w:color="auto"/>
            </w:tcBorders>
          </w:tcPr>
          <w:p w14:paraId="4AECA15D" w14:textId="5DE8568B"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r w:rsidRPr="0045041E">
              <w:rPr>
                <w:sz w:val="20"/>
                <w:szCs w:val="20"/>
              </w:rPr>
              <w:t>835</w:t>
            </w:r>
          </w:p>
        </w:tc>
        <w:tc>
          <w:tcPr>
            <w:tcW w:w="321" w:type="pct"/>
            <w:tcBorders>
              <w:top w:val="nil"/>
              <w:left w:val="single" w:sz="4" w:space="0" w:color="auto"/>
              <w:bottom w:val="single" w:sz="4" w:space="0" w:color="auto"/>
              <w:right w:val="single" w:sz="4" w:space="0" w:color="auto"/>
            </w:tcBorders>
          </w:tcPr>
          <w:p w14:paraId="72F73756"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545" w:type="pct"/>
            <w:tcBorders>
              <w:top w:val="nil"/>
              <w:left w:val="single" w:sz="4" w:space="0" w:color="auto"/>
              <w:bottom w:val="single" w:sz="4" w:space="0" w:color="auto"/>
              <w:right w:val="single" w:sz="4" w:space="0" w:color="auto"/>
            </w:tcBorders>
          </w:tcPr>
          <w:p w14:paraId="1112D42F" w14:textId="77777777" w:rsidR="0045041E" w:rsidRPr="0045041E" w:rsidRDefault="0045041E" w:rsidP="00894E1C">
            <w:pPr>
              <w:tabs>
                <w:tab w:val="clear" w:pos="794"/>
                <w:tab w:val="left" w:pos="1134"/>
              </w:tabs>
              <w:spacing w:before="60" w:after="60" w:line="260" w:lineRule="exact"/>
              <w:jc w:val="center"/>
              <w:rPr>
                <w:rFonts w:eastAsia="Times New Roman"/>
                <w:sz w:val="20"/>
                <w:szCs w:val="20"/>
                <w:rtl/>
                <w:lang w:val="fr-FR" w:eastAsia="en-US" w:bidi="ar-EG"/>
              </w:rPr>
            </w:pPr>
          </w:p>
        </w:tc>
        <w:tc>
          <w:tcPr>
            <w:tcW w:w="338" w:type="pct"/>
            <w:tcBorders>
              <w:top w:val="nil"/>
              <w:left w:val="single" w:sz="4" w:space="0" w:color="auto"/>
              <w:bottom w:val="single" w:sz="4" w:space="0" w:color="auto"/>
              <w:right w:val="single" w:sz="4" w:space="0" w:color="auto"/>
            </w:tcBorders>
          </w:tcPr>
          <w:p w14:paraId="1A62BEF5" w14:textId="66048F07" w:rsidR="0045041E" w:rsidRPr="0045041E" w:rsidRDefault="0045041E" w:rsidP="00894E1C">
            <w:pPr>
              <w:tabs>
                <w:tab w:val="clear" w:pos="794"/>
                <w:tab w:val="left" w:pos="1134"/>
              </w:tabs>
              <w:spacing w:before="60" w:after="60" w:line="260" w:lineRule="exact"/>
              <w:jc w:val="center"/>
              <w:rPr>
                <w:rFonts w:eastAsia="Times New Roman"/>
                <w:b/>
                <w:bCs/>
                <w:sz w:val="20"/>
                <w:szCs w:val="20"/>
                <w:lang w:val="fr-FR" w:eastAsia="en-US" w:bidi="ar-EG"/>
              </w:rPr>
            </w:pPr>
            <w:r w:rsidRPr="0045041E">
              <w:rPr>
                <w:b/>
                <w:bCs/>
                <w:sz w:val="20"/>
                <w:szCs w:val="20"/>
              </w:rPr>
              <w:t>40</w:t>
            </w:r>
          </w:p>
        </w:tc>
        <w:tc>
          <w:tcPr>
            <w:tcW w:w="576" w:type="pct"/>
            <w:tcBorders>
              <w:top w:val="nil"/>
              <w:left w:val="single" w:sz="4" w:space="0" w:color="auto"/>
              <w:bottom w:val="single" w:sz="4" w:space="0" w:color="auto"/>
              <w:right w:val="single" w:sz="4" w:space="0" w:color="auto"/>
            </w:tcBorders>
          </w:tcPr>
          <w:p w14:paraId="5944731A" w14:textId="2C4D1E68" w:rsidR="0045041E" w:rsidRPr="0045041E" w:rsidRDefault="0045041E" w:rsidP="00894E1C">
            <w:pPr>
              <w:tabs>
                <w:tab w:val="clear" w:pos="794"/>
                <w:tab w:val="left" w:pos="1134"/>
              </w:tabs>
              <w:spacing w:before="60" w:after="60" w:line="260" w:lineRule="exact"/>
              <w:jc w:val="center"/>
              <w:rPr>
                <w:rFonts w:eastAsia="Times New Roman"/>
                <w:b/>
                <w:bCs/>
                <w:sz w:val="20"/>
                <w:szCs w:val="20"/>
                <w:lang w:val="fr-FR" w:eastAsia="en-US" w:bidi="ar-EG"/>
              </w:rPr>
            </w:pPr>
            <w:r w:rsidRPr="0045041E">
              <w:rPr>
                <w:sz w:val="20"/>
                <w:szCs w:val="20"/>
              </w:rPr>
              <w:t>1 334</w:t>
            </w:r>
          </w:p>
        </w:tc>
      </w:tr>
      <w:tr w:rsidR="0045041E" w:rsidRPr="00CC485D" w14:paraId="07CDBE81" w14:textId="77777777" w:rsidTr="005D4EB2">
        <w:trPr>
          <w:jc w:val="center"/>
        </w:trPr>
        <w:tc>
          <w:tcPr>
            <w:tcW w:w="630" w:type="pct"/>
            <w:tcBorders>
              <w:top w:val="single" w:sz="4" w:space="0" w:color="auto"/>
              <w:right w:val="single" w:sz="4" w:space="0" w:color="auto"/>
            </w:tcBorders>
            <w:shd w:val="clear" w:color="auto" w:fill="BDD7EE"/>
          </w:tcPr>
          <w:p w14:paraId="5A01269F" w14:textId="77777777" w:rsidR="0045041E" w:rsidRPr="00CC485D" w:rsidRDefault="0045041E" w:rsidP="00894E1C">
            <w:pPr>
              <w:tabs>
                <w:tab w:val="clear" w:pos="794"/>
                <w:tab w:val="left" w:pos="1134"/>
              </w:tabs>
              <w:spacing w:before="60" w:after="60" w:line="260" w:lineRule="exact"/>
              <w:ind w:left="-57"/>
              <w:jc w:val="left"/>
              <w:rPr>
                <w:rFonts w:eastAsia="Times New Roman"/>
                <w:b/>
                <w:bCs/>
                <w:sz w:val="20"/>
                <w:szCs w:val="20"/>
                <w:rtl/>
                <w:lang w:val="fr-FR" w:eastAsia="en-US" w:bidi="ar-EG"/>
              </w:rPr>
            </w:pPr>
            <w:r w:rsidRPr="00CC485D">
              <w:rPr>
                <w:rFonts w:eastAsia="Times New Roman" w:hint="cs"/>
                <w:b/>
                <w:bCs/>
                <w:sz w:val="20"/>
                <w:szCs w:val="20"/>
                <w:rtl/>
                <w:lang w:val="fr-FR" w:eastAsia="en-US" w:bidi="ar-EG"/>
              </w:rPr>
              <w:t>المجموع</w:t>
            </w:r>
          </w:p>
        </w:tc>
        <w:tc>
          <w:tcPr>
            <w:tcW w:w="344" w:type="pct"/>
            <w:tcBorders>
              <w:top w:val="single" w:sz="4" w:space="0" w:color="auto"/>
              <w:left w:val="single" w:sz="4" w:space="0" w:color="auto"/>
              <w:right w:val="single" w:sz="4" w:space="0" w:color="auto"/>
            </w:tcBorders>
            <w:shd w:val="clear" w:color="auto" w:fill="BDD7EE"/>
          </w:tcPr>
          <w:p w14:paraId="79337D19" w14:textId="45BE5D5A"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53</w:t>
            </w:r>
          </w:p>
        </w:tc>
        <w:tc>
          <w:tcPr>
            <w:tcW w:w="526" w:type="pct"/>
            <w:tcBorders>
              <w:top w:val="single" w:sz="4" w:space="0" w:color="auto"/>
              <w:left w:val="single" w:sz="4" w:space="0" w:color="auto"/>
              <w:right w:val="single" w:sz="4" w:space="0" w:color="auto"/>
            </w:tcBorders>
            <w:shd w:val="clear" w:color="auto" w:fill="BDD7EE"/>
          </w:tcPr>
          <w:p w14:paraId="47531208" w14:textId="0BC7A5C2"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2 361</w:t>
            </w:r>
          </w:p>
        </w:tc>
        <w:tc>
          <w:tcPr>
            <w:tcW w:w="322" w:type="pct"/>
            <w:tcBorders>
              <w:top w:val="single" w:sz="4" w:space="0" w:color="auto"/>
              <w:left w:val="single" w:sz="4" w:space="0" w:color="auto"/>
              <w:right w:val="single" w:sz="4" w:space="0" w:color="auto"/>
            </w:tcBorders>
            <w:shd w:val="clear" w:color="auto" w:fill="BDD7EE"/>
          </w:tcPr>
          <w:p w14:paraId="58E790C0" w14:textId="6A9552AD"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4</w:t>
            </w:r>
          </w:p>
        </w:tc>
        <w:tc>
          <w:tcPr>
            <w:tcW w:w="535" w:type="pct"/>
            <w:tcBorders>
              <w:top w:val="single" w:sz="4" w:space="0" w:color="auto"/>
              <w:left w:val="single" w:sz="4" w:space="0" w:color="auto"/>
              <w:right w:val="single" w:sz="4" w:space="0" w:color="auto"/>
            </w:tcBorders>
            <w:shd w:val="clear" w:color="auto" w:fill="BDD7EE"/>
          </w:tcPr>
          <w:p w14:paraId="46A8F968" w14:textId="55CCF192"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169</w:t>
            </w:r>
          </w:p>
        </w:tc>
        <w:tc>
          <w:tcPr>
            <w:tcW w:w="317" w:type="pct"/>
            <w:tcBorders>
              <w:top w:val="single" w:sz="4" w:space="0" w:color="auto"/>
              <w:left w:val="single" w:sz="4" w:space="0" w:color="auto"/>
              <w:right w:val="single" w:sz="4" w:space="0" w:color="auto"/>
            </w:tcBorders>
            <w:shd w:val="clear" w:color="auto" w:fill="BDD7EE"/>
          </w:tcPr>
          <w:p w14:paraId="5B74D496" w14:textId="1D1B27ED"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53</w:t>
            </w:r>
          </w:p>
        </w:tc>
        <w:tc>
          <w:tcPr>
            <w:tcW w:w="546" w:type="pct"/>
            <w:tcBorders>
              <w:top w:val="single" w:sz="4" w:space="0" w:color="auto"/>
              <w:left w:val="single" w:sz="4" w:space="0" w:color="auto"/>
              <w:right w:val="single" w:sz="4" w:space="0" w:color="auto"/>
            </w:tcBorders>
            <w:shd w:val="clear" w:color="auto" w:fill="BDD7EE"/>
          </w:tcPr>
          <w:p w14:paraId="2C0C551C" w14:textId="232130C0"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918</w:t>
            </w:r>
          </w:p>
        </w:tc>
        <w:tc>
          <w:tcPr>
            <w:tcW w:w="321" w:type="pct"/>
            <w:tcBorders>
              <w:top w:val="single" w:sz="4" w:space="0" w:color="auto"/>
              <w:left w:val="single" w:sz="4" w:space="0" w:color="auto"/>
              <w:right w:val="single" w:sz="4" w:space="0" w:color="auto"/>
            </w:tcBorders>
            <w:shd w:val="clear" w:color="auto" w:fill="BDD7EE"/>
          </w:tcPr>
          <w:p w14:paraId="7029EC1C" w14:textId="06EBA420"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0</w:t>
            </w:r>
          </w:p>
        </w:tc>
        <w:tc>
          <w:tcPr>
            <w:tcW w:w="545" w:type="pct"/>
            <w:tcBorders>
              <w:top w:val="single" w:sz="4" w:space="0" w:color="auto"/>
              <w:left w:val="single" w:sz="4" w:space="0" w:color="auto"/>
              <w:right w:val="single" w:sz="4" w:space="0" w:color="auto"/>
            </w:tcBorders>
            <w:shd w:val="clear" w:color="auto" w:fill="BDD7EE"/>
          </w:tcPr>
          <w:p w14:paraId="1353DF51" w14:textId="4C40DF69"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0</w:t>
            </w:r>
          </w:p>
        </w:tc>
        <w:tc>
          <w:tcPr>
            <w:tcW w:w="338" w:type="pct"/>
            <w:tcBorders>
              <w:top w:val="single" w:sz="4" w:space="0" w:color="auto"/>
              <w:left w:val="single" w:sz="4" w:space="0" w:color="auto"/>
              <w:right w:val="single" w:sz="4" w:space="0" w:color="auto"/>
            </w:tcBorders>
            <w:shd w:val="clear" w:color="auto" w:fill="BDD7EE"/>
          </w:tcPr>
          <w:p w14:paraId="13AAE4B2" w14:textId="57A0C914"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110</w:t>
            </w:r>
          </w:p>
        </w:tc>
        <w:tc>
          <w:tcPr>
            <w:tcW w:w="576" w:type="pct"/>
            <w:tcBorders>
              <w:top w:val="single" w:sz="4" w:space="0" w:color="auto"/>
              <w:left w:val="single" w:sz="4" w:space="0" w:color="auto"/>
            </w:tcBorders>
            <w:shd w:val="clear" w:color="auto" w:fill="BDD7EE"/>
          </w:tcPr>
          <w:p w14:paraId="1E1431F8" w14:textId="45DBDEC0" w:rsidR="0045041E" w:rsidRPr="0045041E" w:rsidRDefault="0045041E" w:rsidP="00894E1C">
            <w:pPr>
              <w:tabs>
                <w:tab w:val="clear" w:pos="794"/>
                <w:tab w:val="left" w:pos="1134"/>
              </w:tabs>
              <w:spacing w:before="60" w:after="60" w:line="260" w:lineRule="exact"/>
              <w:jc w:val="center"/>
              <w:rPr>
                <w:rFonts w:eastAsia="Times New Roman"/>
                <w:b/>
                <w:bCs/>
                <w:sz w:val="20"/>
                <w:szCs w:val="20"/>
                <w:rtl/>
                <w:lang w:val="fr-FR" w:eastAsia="en-US" w:bidi="ar-EG"/>
              </w:rPr>
            </w:pPr>
            <w:r w:rsidRPr="0045041E">
              <w:rPr>
                <w:b/>
                <w:bCs/>
                <w:sz w:val="20"/>
                <w:szCs w:val="20"/>
              </w:rPr>
              <w:t>3 448</w:t>
            </w:r>
          </w:p>
        </w:tc>
      </w:tr>
    </w:tbl>
    <w:p w14:paraId="7B12124F" w14:textId="5EE4E997" w:rsidR="00CC485D" w:rsidRPr="00433153" w:rsidRDefault="00CC485D" w:rsidP="00CC485D">
      <w:pPr>
        <w:spacing w:before="240"/>
        <w:rPr>
          <w:spacing w:val="-2"/>
          <w:rtl/>
          <w:lang w:bidi="ar-EG"/>
        </w:rPr>
      </w:pPr>
      <w:r w:rsidRPr="005D4EB2">
        <w:rPr>
          <w:spacing w:val="-2"/>
          <w:lang w:bidi="ar-SY"/>
        </w:rPr>
        <w:lastRenderedPageBreak/>
        <w:t>3.5</w:t>
      </w:r>
      <w:r w:rsidRPr="005D4EB2">
        <w:rPr>
          <w:rFonts w:hint="cs"/>
          <w:spacing w:val="-2"/>
          <w:rtl/>
          <w:lang w:bidi="ar-EG"/>
        </w:rPr>
        <w:tab/>
        <w:t xml:space="preserve">وجدير بالإشارة أن مجلس الاتحاد قرر في عام </w:t>
      </w:r>
      <w:r w:rsidRPr="00350D9C">
        <w:rPr>
          <w:spacing w:val="-2"/>
          <w:lang w:bidi="ar-EG"/>
        </w:rPr>
        <w:t>2018</w:t>
      </w:r>
      <w:r w:rsidRPr="005D4EB2">
        <w:rPr>
          <w:rFonts w:hint="cs"/>
          <w:spacing w:val="-2"/>
          <w:rtl/>
          <w:lang w:val="fr-CH" w:bidi="ar-EG"/>
        </w:rPr>
        <w:t xml:space="preserve"> تخصيص موارد لتمويل إقامة مشاريع لتنفيذ</w:t>
      </w:r>
      <w:r w:rsidRPr="005D4EB2">
        <w:rPr>
          <w:rFonts w:hint="cs"/>
          <w:spacing w:val="-2"/>
          <w:rtl/>
          <w:lang w:bidi="ar-EG"/>
        </w:rPr>
        <w:t xml:space="preserve"> المبادرات الإقليمية للمؤتمر العالمي لتنمية الاتصالات لعام </w:t>
      </w:r>
      <w:r w:rsidRPr="00350D9C">
        <w:rPr>
          <w:spacing w:val="-2"/>
          <w:lang w:bidi="ar-EG"/>
        </w:rPr>
        <w:t>2017</w:t>
      </w:r>
      <w:r w:rsidRPr="005D4EB2">
        <w:rPr>
          <w:rFonts w:hint="cs"/>
          <w:spacing w:val="-2"/>
          <w:rtl/>
          <w:lang w:val="fr-CH" w:bidi="ar-EG"/>
        </w:rPr>
        <w:t xml:space="preserve"> </w:t>
      </w:r>
      <w:r w:rsidRPr="005D4EB2">
        <w:rPr>
          <w:spacing w:val="-2"/>
          <w:lang w:val="es-ES" w:bidi="ar-EG"/>
        </w:rPr>
        <w:t>(WTDC-17)</w:t>
      </w:r>
      <w:r w:rsidRPr="005D4EB2">
        <w:rPr>
          <w:rFonts w:hint="cs"/>
          <w:spacing w:val="-2"/>
          <w:rtl/>
          <w:lang w:val="fr-CH" w:bidi="ar-EG"/>
        </w:rPr>
        <w:t>. وجرت الموافقة على تخصيص مبلغ مليوني فرنك سويسري للفترة</w:t>
      </w:r>
      <w:r w:rsidRPr="005D4EB2">
        <w:rPr>
          <w:rFonts w:hint="eastAsia"/>
          <w:spacing w:val="-2"/>
          <w:rtl/>
          <w:lang w:val="fr-CH" w:bidi="ar-EG"/>
        </w:rPr>
        <w:t> </w:t>
      </w:r>
      <w:r w:rsidRPr="005D4EB2">
        <w:rPr>
          <w:spacing w:val="-2"/>
          <w:lang w:val="es-ES" w:bidi="ar-EG"/>
        </w:rPr>
        <w:t>2019-2018</w:t>
      </w:r>
      <w:r w:rsidRPr="005D4EB2">
        <w:rPr>
          <w:rFonts w:hint="cs"/>
          <w:spacing w:val="-2"/>
          <w:rtl/>
          <w:lang w:bidi="ar-EG"/>
        </w:rPr>
        <w:t xml:space="preserve">، وأُدرج في الخطة المالية للفترة </w:t>
      </w:r>
      <w:r w:rsidRPr="005D4EB2">
        <w:rPr>
          <w:spacing w:val="-2"/>
          <w:lang w:val="es-ES" w:bidi="ar-EG"/>
        </w:rPr>
        <w:t>2023-2020</w:t>
      </w:r>
      <w:r w:rsidRPr="005D4EB2">
        <w:rPr>
          <w:rFonts w:hint="cs"/>
          <w:spacing w:val="-2"/>
          <w:rtl/>
          <w:lang w:bidi="ar-EG"/>
        </w:rPr>
        <w:t xml:space="preserve"> مبلغ آخر قدره </w:t>
      </w:r>
      <w:r w:rsidRPr="005D4EB2">
        <w:rPr>
          <w:spacing w:val="-2"/>
          <w:lang w:val="es-ES" w:bidi="ar-EG"/>
        </w:rPr>
        <w:t>3</w:t>
      </w:r>
      <w:r w:rsidRPr="005D4EB2">
        <w:rPr>
          <w:rFonts w:hint="cs"/>
          <w:spacing w:val="-2"/>
          <w:rtl/>
          <w:lang w:bidi="ar-EG"/>
        </w:rPr>
        <w:t xml:space="preserve"> ملايين فرنك سويسري للفترة</w:t>
      </w:r>
      <w:r w:rsidRPr="005D4EB2">
        <w:rPr>
          <w:rFonts w:hint="eastAsia"/>
          <w:spacing w:val="-2"/>
          <w:rtl/>
          <w:lang w:bidi="ar-EG"/>
        </w:rPr>
        <w:t> </w:t>
      </w:r>
      <w:r w:rsidRPr="005D4EB2">
        <w:rPr>
          <w:spacing w:val="-2"/>
          <w:lang w:val="es-ES" w:bidi="ar-EG"/>
        </w:rPr>
        <w:t>2021</w:t>
      </w:r>
      <w:r w:rsidRPr="005D4EB2">
        <w:rPr>
          <w:spacing w:val="-2"/>
          <w:lang w:val="es-ES" w:bidi="ar-EG"/>
        </w:rPr>
        <w:noBreakHyphen/>
        <w:t>2020</w:t>
      </w:r>
      <w:r w:rsidRPr="005D4EB2">
        <w:rPr>
          <w:rFonts w:hint="cs"/>
          <w:spacing w:val="-2"/>
          <w:rtl/>
          <w:lang w:val="es-ES" w:bidi="ar-EG"/>
        </w:rPr>
        <w:t xml:space="preserve">. وخُصص هذان </w:t>
      </w:r>
      <w:r w:rsidRPr="005D4EB2">
        <w:rPr>
          <w:rFonts w:hint="cs"/>
          <w:spacing w:val="-2"/>
          <w:rtl/>
          <w:lang w:bidi="ar-EG"/>
        </w:rPr>
        <w:t xml:space="preserve">المبلغان كتمويل أولي يُستخدم لجذب التمويل من الشركاء. </w:t>
      </w:r>
      <w:r w:rsidRPr="005D4EB2">
        <w:rPr>
          <w:rFonts w:hint="cs"/>
          <w:spacing w:val="-2"/>
          <w:rtl/>
          <w:lang w:bidi="ar"/>
        </w:rPr>
        <w:t>و</w:t>
      </w:r>
      <w:r w:rsidR="00BD7632" w:rsidRPr="005D4EB2">
        <w:rPr>
          <w:rFonts w:hint="cs"/>
          <w:spacing w:val="-2"/>
          <w:rtl/>
          <w:lang w:bidi="ar-EG"/>
        </w:rPr>
        <w:t xml:space="preserve">في نهاية عام </w:t>
      </w:r>
      <w:r w:rsidR="00BD7632" w:rsidRPr="005D4EB2">
        <w:rPr>
          <w:spacing w:val="-2"/>
          <w:lang w:bidi="ar-EG"/>
        </w:rPr>
        <w:t>2020</w:t>
      </w:r>
      <w:r w:rsidR="00BD7632" w:rsidRPr="005D4EB2">
        <w:rPr>
          <w:rFonts w:hint="cs"/>
          <w:spacing w:val="-2"/>
          <w:rtl/>
          <w:lang w:bidi="ar-EG"/>
        </w:rPr>
        <w:t xml:space="preserve">، </w:t>
      </w:r>
      <w:r w:rsidRPr="005D4EB2">
        <w:rPr>
          <w:rFonts w:hint="cs"/>
          <w:spacing w:val="-2"/>
          <w:rtl/>
          <w:lang w:bidi="ar"/>
        </w:rPr>
        <w:t>وُقع</w:t>
      </w:r>
      <w:r w:rsidR="00BD7632" w:rsidRPr="005D4EB2">
        <w:rPr>
          <w:rFonts w:hint="cs"/>
          <w:spacing w:val="-2"/>
          <w:rtl/>
          <w:lang w:bidi="ar"/>
        </w:rPr>
        <w:t xml:space="preserve"> ما مجموع</w:t>
      </w:r>
      <w:r w:rsidR="00987A9E">
        <w:rPr>
          <w:rFonts w:hint="cs"/>
          <w:spacing w:val="-2"/>
          <w:rtl/>
          <w:lang w:bidi="ar"/>
        </w:rPr>
        <w:t>ه</w:t>
      </w:r>
      <w:r w:rsidR="00BD7632" w:rsidRPr="005D4EB2">
        <w:rPr>
          <w:rFonts w:hint="cs"/>
          <w:spacing w:val="-2"/>
          <w:rtl/>
          <w:lang w:bidi="ar"/>
        </w:rPr>
        <w:t xml:space="preserve"> </w:t>
      </w:r>
      <w:r w:rsidR="00BD7632" w:rsidRPr="005D4EB2">
        <w:rPr>
          <w:spacing w:val="-2"/>
          <w:lang w:bidi="ar"/>
        </w:rPr>
        <w:t>25</w:t>
      </w:r>
      <w:r w:rsidRPr="005D4EB2">
        <w:rPr>
          <w:rFonts w:hint="cs"/>
          <w:spacing w:val="-2"/>
          <w:rtl/>
          <w:lang w:bidi="ar"/>
        </w:rPr>
        <w:t xml:space="preserve"> </w:t>
      </w:r>
      <w:r w:rsidR="00BD7632" w:rsidRPr="005D4EB2">
        <w:rPr>
          <w:rFonts w:hint="cs"/>
          <w:spacing w:val="-2"/>
          <w:rtl/>
          <w:lang w:bidi="ar-EG"/>
        </w:rPr>
        <w:t xml:space="preserve">مشروعاً </w:t>
      </w:r>
      <w:r w:rsidR="006B4FD3" w:rsidRPr="005D4EB2">
        <w:rPr>
          <w:rFonts w:hint="cs"/>
          <w:spacing w:val="-2"/>
          <w:rtl/>
          <w:lang w:bidi="ar"/>
        </w:rPr>
        <w:t>للنهوض</w:t>
      </w:r>
      <w:r w:rsidR="00BD7632" w:rsidRPr="005D4EB2">
        <w:rPr>
          <w:rFonts w:hint="cs"/>
          <w:spacing w:val="-2"/>
          <w:rtl/>
          <w:lang w:bidi="ar"/>
        </w:rPr>
        <w:t xml:space="preserve"> </w:t>
      </w:r>
      <w:r w:rsidR="006B4FD3" w:rsidRPr="005D4EB2">
        <w:rPr>
          <w:rFonts w:hint="cs"/>
          <w:spacing w:val="-2"/>
          <w:rtl/>
          <w:lang w:bidi="ar"/>
        </w:rPr>
        <w:t>ب</w:t>
      </w:r>
      <w:r w:rsidRPr="005D4EB2">
        <w:rPr>
          <w:rFonts w:hint="cs"/>
          <w:spacing w:val="-2"/>
          <w:rtl/>
          <w:lang w:bidi="ar"/>
        </w:rPr>
        <w:t>هذه المبادرات</w:t>
      </w:r>
      <w:r w:rsidR="006B4FD3" w:rsidRPr="005D4EB2">
        <w:rPr>
          <w:rFonts w:hint="cs"/>
          <w:spacing w:val="-2"/>
          <w:rtl/>
          <w:lang w:bidi="ar"/>
        </w:rPr>
        <w:t xml:space="preserve">، بلغت قيمتها الإجمالية </w:t>
      </w:r>
      <w:r w:rsidR="006B4FD3" w:rsidRPr="005D4EB2">
        <w:rPr>
          <w:spacing w:val="-2"/>
          <w:lang w:bidi="ar"/>
        </w:rPr>
        <w:t>14,6</w:t>
      </w:r>
      <w:r w:rsidR="006B4FD3" w:rsidRPr="005D4EB2">
        <w:rPr>
          <w:rFonts w:hint="cs"/>
          <w:spacing w:val="-2"/>
          <w:rtl/>
          <w:lang w:bidi="ar-EG"/>
        </w:rPr>
        <w:t xml:space="preserve"> </w:t>
      </w:r>
      <w:r w:rsidRPr="005D4EB2">
        <w:rPr>
          <w:rFonts w:hint="cs"/>
          <w:spacing w:val="-2"/>
          <w:rtl/>
          <w:lang w:bidi="ar"/>
        </w:rPr>
        <w:t xml:space="preserve">مليون فرنك سويسري </w:t>
      </w:r>
      <w:r w:rsidR="006B4FD3" w:rsidRPr="005D4EB2">
        <w:rPr>
          <w:rFonts w:hint="cs"/>
          <w:spacing w:val="-2"/>
          <w:rtl/>
          <w:lang w:bidi="ar"/>
        </w:rPr>
        <w:t xml:space="preserve">(شملت مساهمات عينية). وتشمل هذه المشاريع جميع مناطق الاتحاد، </w:t>
      </w:r>
      <w:r w:rsidR="006B4FD3" w:rsidRPr="005D4EB2">
        <w:rPr>
          <w:rFonts w:hint="cs"/>
          <w:spacing w:val="-2"/>
          <w:rtl/>
          <w:lang w:bidi="ar-EG"/>
        </w:rPr>
        <w:t>كما تتضم</w:t>
      </w:r>
      <w:r w:rsidR="006F55BE" w:rsidRPr="005D4EB2">
        <w:rPr>
          <w:rFonts w:hint="cs"/>
          <w:spacing w:val="-2"/>
          <w:rtl/>
          <w:lang w:bidi="ar-EG"/>
        </w:rPr>
        <w:t>ّ</w:t>
      </w:r>
      <w:r w:rsidR="006B4FD3" w:rsidRPr="005D4EB2">
        <w:rPr>
          <w:rFonts w:hint="cs"/>
          <w:spacing w:val="-2"/>
          <w:rtl/>
          <w:lang w:bidi="ar-EG"/>
        </w:rPr>
        <w:t>ن عدداً</w:t>
      </w:r>
      <w:r w:rsidR="006B4FD3" w:rsidRPr="005D4EB2">
        <w:rPr>
          <w:rFonts w:hint="cs"/>
          <w:spacing w:val="-2"/>
          <w:rtl/>
          <w:lang w:bidi="ar"/>
        </w:rPr>
        <w:t xml:space="preserve"> من المشاريع المنفذة في مناطق متعددة. و</w:t>
      </w:r>
      <w:r w:rsidR="004C093C" w:rsidRPr="005D4EB2">
        <w:rPr>
          <w:rFonts w:hint="cs"/>
          <w:spacing w:val="-2"/>
          <w:rtl/>
          <w:lang w:bidi="ar"/>
        </w:rPr>
        <w:t xml:space="preserve">قد </w:t>
      </w:r>
      <w:r w:rsidR="006B4FD3" w:rsidRPr="005D4EB2">
        <w:rPr>
          <w:rFonts w:hint="cs"/>
          <w:spacing w:val="-2"/>
          <w:rtl/>
          <w:lang w:bidi="ar"/>
        </w:rPr>
        <w:t xml:space="preserve">بلغت مساهمة الاتحاد في هذه المشاريع من الموارد التي خصصها المجلس لهذا الغرض </w:t>
      </w:r>
      <w:r w:rsidR="006B4FD3" w:rsidRPr="005D4EB2">
        <w:rPr>
          <w:spacing w:val="-2"/>
          <w:lang w:bidi="ar"/>
        </w:rPr>
        <w:t>3,5</w:t>
      </w:r>
      <w:r w:rsidR="006B4FD3" w:rsidRPr="005D4EB2">
        <w:rPr>
          <w:rFonts w:hint="cs"/>
          <w:spacing w:val="-2"/>
          <w:rtl/>
          <w:lang w:bidi="ar-EG"/>
        </w:rPr>
        <w:t xml:space="preserve"> ملايين فرنك سويسري</w:t>
      </w:r>
      <w:r w:rsidRPr="005D4EB2">
        <w:rPr>
          <w:rFonts w:hint="cs"/>
          <w:spacing w:val="-2"/>
          <w:rtl/>
          <w:lang w:bidi="ar"/>
        </w:rPr>
        <w:t xml:space="preserve">. وفي الوقت الحاضر، </w:t>
      </w:r>
      <w:r w:rsidR="004C093C" w:rsidRPr="005D4EB2">
        <w:rPr>
          <w:rFonts w:hint="cs"/>
          <w:spacing w:val="-2"/>
          <w:rtl/>
          <w:lang w:bidi="ar"/>
        </w:rPr>
        <w:t xml:space="preserve">تشهد </w:t>
      </w:r>
      <w:r w:rsidRPr="005D4EB2">
        <w:rPr>
          <w:rFonts w:hint="cs"/>
          <w:spacing w:val="-2"/>
          <w:rtl/>
          <w:lang w:bidi="ar"/>
        </w:rPr>
        <w:t>المشاريع مراحل مختلفة من التنفيذ. وعلاوةً</w:t>
      </w:r>
      <w:r w:rsidRPr="005D4EB2">
        <w:rPr>
          <w:rFonts w:hint="eastAsia"/>
          <w:spacing w:val="-2"/>
          <w:rtl/>
          <w:lang w:bidi="ar"/>
        </w:rPr>
        <w:t> </w:t>
      </w:r>
      <w:r w:rsidRPr="005D4EB2">
        <w:rPr>
          <w:rFonts w:hint="cs"/>
          <w:spacing w:val="-2"/>
          <w:rtl/>
          <w:lang w:bidi="ar"/>
        </w:rPr>
        <w:t xml:space="preserve">على ذلك، </w:t>
      </w:r>
      <w:r w:rsidR="003311CD" w:rsidRPr="005D4EB2">
        <w:rPr>
          <w:rFonts w:hint="cs"/>
          <w:spacing w:val="-2"/>
          <w:rtl/>
          <w:lang w:bidi="ar"/>
        </w:rPr>
        <w:t>ي</w:t>
      </w:r>
      <w:r w:rsidR="00FA0804" w:rsidRPr="005D4EB2">
        <w:rPr>
          <w:rFonts w:hint="cs"/>
          <w:spacing w:val="-2"/>
          <w:rtl/>
          <w:lang w:bidi="ar"/>
        </w:rPr>
        <w:t xml:space="preserve">وشك على الانتهاء </w:t>
      </w:r>
      <w:r w:rsidR="00427977" w:rsidRPr="005D4EB2">
        <w:rPr>
          <w:rFonts w:hint="cs"/>
          <w:spacing w:val="-2"/>
          <w:rtl/>
          <w:lang w:bidi="ar"/>
        </w:rPr>
        <w:t xml:space="preserve">حالياً </w:t>
      </w:r>
      <w:r w:rsidR="0027293C" w:rsidRPr="005D4EB2">
        <w:rPr>
          <w:rFonts w:hint="cs"/>
          <w:spacing w:val="-2"/>
          <w:rtl/>
          <w:lang w:bidi="ar"/>
        </w:rPr>
        <w:t xml:space="preserve">الاتفاق </w:t>
      </w:r>
      <w:r w:rsidR="00657C73" w:rsidRPr="005D4EB2">
        <w:rPr>
          <w:rFonts w:hint="cs"/>
          <w:spacing w:val="-2"/>
          <w:rtl/>
          <w:lang w:bidi="ar"/>
        </w:rPr>
        <w:t xml:space="preserve">مع الشركاء </w:t>
      </w:r>
      <w:r w:rsidR="00CF0DA8" w:rsidRPr="005D4EB2">
        <w:rPr>
          <w:rFonts w:hint="cs"/>
          <w:spacing w:val="-2"/>
          <w:rtl/>
          <w:lang w:bidi="ar-EG"/>
        </w:rPr>
        <w:t>ل</w:t>
      </w:r>
      <w:r w:rsidR="00FA0804" w:rsidRPr="005D4EB2">
        <w:rPr>
          <w:rFonts w:hint="cs"/>
          <w:spacing w:val="-2"/>
          <w:rtl/>
          <w:lang w:bidi="ar-EG"/>
        </w:rPr>
        <w:t xml:space="preserve">تنفيذ تسعة مشاريع جديدة، </w:t>
      </w:r>
      <w:r w:rsidRPr="005D4EB2">
        <w:rPr>
          <w:rFonts w:hint="cs"/>
          <w:spacing w:val="-2"/>
          <w:rtl/>
          <w:lang w:bidi="ar"/>
        </w:rPr>
        <w:t xml:space="preserve">ومن المتوقع </w:t>
      </w:r>
      <w:r w:rsidRPr="005D4EB2">
        <w:rPr>
          <w:spacing w:val="-2"/>
          <w:rtl/>
          <w:lang w:bidi="ar"/>
        </w:rPr>
        <w:t xml:space="preserve">التوقيع </w:t>
      </w:r>
      <w:r w:rsidRPr="005D4EB2">
        <w:rPr>
          <w:rFonts w:hint="cs"/>
          <w:spacing w:val="-2"/>
          <w:rtl/>
          <w:lang w:bidi="ar"/>
        </w:rPr>
        <w:t>عل</w:t>
      </w:r>
      <w:r w:rsidR="00946009" w:rsidRPr="005D4EB2">
        <w:rPr>
          <w:rFonts w:hint="cs"/>
          <w:spacing w:val="-2"/>
          <w:rtl/>
          <w:lang w:bidi="ar"/>
        </w:rPr>
        <w:t>ى هذه المشاريع</w:t>
      </w:r>
      <w:r w:rsidRPr="005D4EB2">
        <w:rPr>
          <w:rFonts w:hint="cs"/>
          <w:spacing w:val="-2"/>
          <w:rtl/>
          <w:lang w:bidi="ar"/>
        </w:rPr>
        <w:t xml:space="preserve"> </w:t>
      </w:r>
      <w:r w:rsidRPr="005D4EB2">
        <w:rPr>
          <w:spacing w:val="-2"/>
          <w:rtl/>
          <w:lang w:bidi="ar"/>
        </w:rPr>
        <w:t>في</w:t>
      </w:r>
      <w:r w:rsidRPr="005D4EB2">
        <w:rPr>
          <w:rFonts w:hint="eastAsia"/>
          <w:spacing w:val="-2"/>
          <w:rtl/>
          <w:lang w:bidi="ar"/>
        </w:rPr>
        <w:t> </w:t>
      </w:r>
      <w:r w:rsidRPr="005D4EB2">
        <w:rPr>
          <w:spacing w:val="-2"/>
          <w:rtl/>
          <w:lang w:bidi="ar"/>
        </w:rPr>
        <w:t>عام</w:t>
      </w:r>
      <w:r w:rsidRPr="005D4EB2">
        <w:rPr>
          <w:rFonts w:hint="eastAsia"/>
          <w:spacing w:val="-2"/>
          <w:rtl/>
          <w:lang w:bidi="ar"/>
        </w:rPr>
        <w:t> </w:t>
      </w:r>
      <w:r w:rsidR="006B4FD3" w:rsidRPr="005D4EB2">
        <w:rPr>
          <w:spacing w:val="-2"/>
          <w:lang w:bidi="ar"/>
        </w:rPr>
        <w:t>2021</w:t>
      </w:r>
      <w:r w:rsidRPr="005D4EB2">
        <w:rPr>
          <w:rFonts w:hint="cs"/>
          <w:spacing w:val="-2"/>
          <w:rtl/>
          <w:lang w:bidi="ar"/>
        </w:rPr>
        <w:t xml:space="preserve">. </w:t>
      </w:r>
      <w:r w:rsidRPr="005D4EB2">
        <w:rPr>
          <w:rFonts w:hint="cs"/>
          <w:spacing w:val="-2"/>
          <w:rtl/>
          <w:lang w:bidi="ar-EG"/>
        </w:rPr>
        <w:t>وتبذل مديرة مكتب تنمية الاتصالات قصارى جهدها لضمان جودة تنسيق هذه المبادرات مع البرامج وأعمال لجان الدراسات والقطاعين الآخرين تلافياً لتجزّؤ الأعمال وتحقيقاً لأقصى ما يمكن من تأثير ونتائج.</w:t>
      </w:r>
    </w:p>
    <w:p w14:paraId="7F554A6B" w14:textId="77777777" w:rsidR="00CC485D" w:rsidRPr="00CC485D" w:rsidRDefault="00CC485D" w:rsidP="00CC485D">
      <w:pPr>
        <w:rPr>
          <w:rtl/>
          <w:lang w:bidi="ar-EG"/>
        </w:rPr>
      </w:pPr>
      <w:r w:rsidRPr="00CC485D">
        <w:t>4.5</w:t>
      </w:r>
      <w:r w:rsidRPr="00CC485D">
        <w:rPr>
          <w:rtl/>
          <w:lang w:bidi="ar-EG"/>
        </w:rPr>
        <w:tab/>
      </w:r>
      <w:r w:rsidRPr="00CC485D">
        <w:rPr>
          <w:rFonts w:hint="cs"/>
          <w:rtl/>
          <w:lang w:bidi="ar-EG"/>
        </w:rPr>
        <w:t xml:space="preserve">وقد أسهمت المكاتب الإقليمية ومكاتب المناطق في تنفيذ خطة الاتحاد الاستراتيجية والخطط التشغيلية لقطاع تنمية الاتصالات. ويورد </w:t>
      </w:r>
      <w:r w:rsidRPr="00CC485D">
        <w:rPr>
          <w:rFonts w:hint="cs"/>
          <w:b/>
          <w:bCs/>
          <w:rtl/>
          <w:lang w:bidi="ar-EG"/>
        </w:rPr>
        <w:t xml:space="preserve">الملحق </w:t>
      </w:r>
      <w:r w:rsidRPr="00CC485D">
        <w:rPr>
          <w:b/>
          <w:bCs/>
          <w:lang w:val="es-ES" w:bidi="ar-EG"/>
        </w:rPr>
        <w:t>1</w:t>
      </w:r>
      <w:r w:rsidRPr="00CC485D">
        <w:rPr>
          <w:rFonts w:hint="cs"/>
          <w:b/>
          <w:bCs/>
          <w:rtl/>
          <w:lang w:bidi="ar-EG"/>
        </w:rPr>
        <w:t xml:space="preserve"> </w:t>
      </w:r>
      <w:r w:rsidRPr="00CC485D">
        <w:rPr>
          <w:rFonts w:hint="cs"/>
          <w:rtl/>
          <w:lang w:bidi="ar-EG"/>
        </w:rPr>
        <w:t>موجزاً للإنجازات المحقَّقة بحسب المناطق.</w:t>
      </w:r>
    </w:p>
    <w:p w14:paraId="0614F677" w14:textId="77777777" w:rsidR="00CC485D" w:rsidRPr="00CC485D" w:rsidRDefault="00CC485D" w:rsidP="00335781">
      <w:pPr>
        <w:pStyle w:val="Heading1"/>
        <w:rPr>
          <w:lang w:bidi="ar-SY"/>
        </w:rPr>
      </w:pPr>
      <w:r w:rsidRPr="00CC485D">
        <w:rPr>
          <w:lang w:bidi="ar-SY"/>
        </w:rPr>
        <w:t>6</w:t>
      </w:r>
      <w:r w:rsidRPr="00CC485D">
        <w:rPr>
          <w:lang w:bidi="ar-SY"/>
        </w:rPr>
        <w:tab/>
      </w:r>
      <w:r w:rsidRPr="00CC485D">
        <w:rPr>
          <w:rFonts w:hint="cs"/>
          <w:rtl/>
        </w:rPr>
        <w:t>المساهمة في أعمال القطاعين الآخرين والأمانة العامة</w:t>
      </w:r>
    </w:p>
    <w:p w14:paraId="6D3FF5FD" w14:textId="74D58BE9" w:rsidR="00CC485D" w:rsidRPr="00CC485D" w:rsidRDefault="00CC485D" w:rsidP="00CC485D">
      <w:pPr>
        <w:rPr>
          <w:rtl/>
          <w:lang w:bidi="ar-EG"/>
        </w:rPr>
      </w:pPr>
      <w:r w:rsidRPr="00CC485D">
        <w:t>1.6</w:t>
      </w:r>
      <w:r w:rsidRPr="00CC485D">
        <w:tab/>
      </w:r>
      <w:r w:rsidRPr="00CC485D">
        <w:rPr>
          <w:rFonts w:hint="cs"/>
          <w:rtl/>
        </w:rPr>
        <w:t xml:space="preserve">أسهمت المكاتب الإقليمية ومكاتب المناطق في </w:t>
      </w:r>
      <w:r w:rsidRPr="00CC485D">
        <w:rPr>
          <w:rFonts w:hint="cs"/>
          <w:rtl/>
          <w:lang w:bidi="ar-EG"/>
        </w:rPr>
        <w:t xml:space="preserve">تنفيذ خطة الاتحاد الاستراتيجية </w:t>
      </w:r>
      <w:r w:rsidR="004C093C">
        <w:rPr>
          <w:rFonts w:hint="cs"/>
          <w:rtl/>
          <w:lang w:bidi="ar-EG"/>
        </w:rPr>
        <w:t xml:space="preserve">فضلاً عن </w:t>
      </w:r>
      <w:r w:rsidRPr="00CC485D">
        <w:rPr>
          <w:rFonts w:hint="cs"/>
          <w:rtl/>
          <w:lang w:bidi="ar-EG"/>
        </w:rPr>
        <w:t xml:space="preserve">الخطط التشغيلية </w:t>
      </w:r>
      <w:r w:rsidRPr="00CC485D">
        <w:rPr>
          <w:rFonts w:hint="cs"/>
          <w:rtl/>
        </w:rPr>
        <w:t>لقطاع الاتصالات الراديوية</w:t>
      </w:r>
      <w:r w:rsidRPr="00CC485D">
        <w:rPr>
          <w:rFonts w:hint="eastAsia"/>
          <w:rtl/>
        </w:rPr>
        <w:t> </w:t>
      </w:r>
      <w:r w:rsidRPr="00CC485D">
        <w:rPr>
          <w:rFonts w:hint="cs"/>
          <w:rtl/>
        </w:rPr>
        <w:t xml:space="preserve">وقطاع تقييس الاتصالات والأمانة العامة على النحو المبين في </w:t>
      </w:r>
      <w:r w:rsidRPr="00CC485D">
        <w:rPr>
          <w:rFonts w:hint="cs"/>
          <w:b/>
          <w:bCs/>
          <w:rtl/>
        </w:rPr>
        <w:t xml:space="preserve">الملحق </w:t>
      </w:r>
      <w:r w:rsidRPr="00CC485D">
        <w:rPr>
          <w:b/>
          <w:bCs/>
          <w:lang w:val="es-ES"/>
        </w:rPr>
        <w:t>2</w:t>
      </w:r>
      <w:r w:rsidRPr="00CC485D">
        <w:rPr>
          <w:rFonts w:hint="cs"/>
          <w:rtl/>
          <w:lang w:bidi="ar-EG"/>
        </w:rPr>
        <w:t>.</w:t>
      </w:r>
    </w:p>
    <w:p w14:paraId="49CCE50B" w14:textId="77777777" w:rsidR="00CC485D" w:rsidRPr="00CC485D" w:rsidRDefault="00CC485D" w:rsidP="005D4EB2">
      <w:pPr>
        <w:pStyle w:val="Heading1"/>
        <w:rPr>
          <w:lang w:bidi="ar-SY"/>
        </w:rPr>
      </w:pPr>
      <w:r w:rsidRPr="00CC485D">
        <w:rPr>
          <w:lang w:bidi="ar-SY"/>
        </w:rPr>
        <w:t>7</w:t>
      </w:r>
      <w:r w:rsidRPr="00CC485D">
        <w:rPr>
          <w:lang w:bidi="ar-SY"/>
        </w:rPr>
        <w:tab/>
      </w:r>
      <w:r w:rsidRPr="00CC485D">
        <w:rPr>
          <w:rFonts w:hint="cs"/>
          <w:rtl/>
        </w:rPr>
        <w:t>الهيكل ومستوى التوظيف</w:t>
      </w:r>
    </w:p>
    <w:p w14:paraId="547BB3D5" w14:textId="36583A56" w:rsidR="00CC485D" w:rsidRPr="00CC485D" w:rsidRDefault="00CC485D" w:rsidP="005D4EB2">
      <w:pPr>
        <w:keepNext/>
        <w:keepLines/>
        <w:rPr>
          <w:lang w:val="fr-FR" w:bidi="ar-EG"/>
        </w:rPr>
      </w:pPr>
      <w:r w:rsidRPr="00CC485D">
        <w:rPr>
          <w:lang w:bidi="ar-SY"/>
        </w:rPr>
        <w:t>1.7</w:t>
      </w:r>
      <w:r w:rsidRPr="00CC485D">
        <w:rPr>
          <w:rFonts w:hint="cs"/>
          <w:rtl/>
        </w:rPr>
        <w:tab/>
        <w:t>يورد الملحقان</w:t>
      </w:r>
      <w:r w:rsidRPr="00CC485D">
        <w:rPr>
          <w:rFonts w:hint="cs"/>
          <w:rtl/>
          <w:lang w:bidi="ar-EG"/>
        </w:rPr>
        <w:t xml:space="preserve"> </w:t>
      </w:r>
      <w:r w:rsidRPr="00CC485D">
        <w:rPr>
          <w:lang w:val="es-ES" w:bidi="ar-EG"/>
        </w:rPr>
        <w:t>8</w:t>
      </w:r>
      <w:r w:rsidRPr="00CC485D">
        <w:rPr>
          <w:rFonts w:hint="cs"/>
          <w:rtl/>
        </w:rPr>
        <w:t xml:space="preserve"> و</w:t>
      </w:r>
      <w:r w:rsidRPr="00CC485D">
        <w:rPr>
          <w:lang w:bidi="ar-SY"/>
        </w:rPr>
        <w:t>9</w:t>
      </w:r>
      <w:r w:rsidRPr="00CC485D">
        <w:rPr>
          <w:rFonts w:hint="cs"/>
          <w:rtl/>
        </w:rPr>
        <w:t xml:space="preserve"> </w:t>
      </w:r>
      <w:hyperlink r:id="rId22" w:history="1">
        <w:r w:rsidRPr="00CC485D">
          <w:rPr>
            <w:rFonts w:hint="cs"/>
            <w:rtl/>
          </w:rPr>
          <w:t xml:space="preserve">للوثيقة </w:t>
        </w:r>
        <w:r w:rsidRPr="00CC485D">
          <w:rPr>
            <w:color w:val="0000FF"/>
            <w:u w:val="single"/>
            <w:lang w:bidi="ar-EG"/>
          </w:rPr>
          <w:t>C2</w:t>
        </w:r>
        <w:r w:rsidR="00657C73">
          <w:rPr>
            <w:color w:val="0000FF"/>
            <w:u w:val="single"/>
            <w:lang w:bidi="ar-EG"/>
          </w:rPr>
          <w:t>1</w:t>
        </w:r>
        <w:r w:rsidRPr="00CC485D">
          <w:rPr>
            <w:color w:val="0000FF"/>
            <w:u w:val="single"/>
            <w:lang w:bidi="ar-EG"/>
          </w:rPr>
          <w:t>/INF/</w:t>
        </w:r>
        <w:r w:rsidR="00657C73">
          <w:rPr>
            <w:color w:val="0000FF"/>
            <w:u w:val="single"/>
            <w:lang w:bidi="ar-EG"/>
          </w:rPr>
          <w:t>6</w:t>
        </w:r>
      </w:hyperlink>
      <w:r w:rsidRPr="00CC485D">
        <w:rPr>
          <w:rFonts w:hint="cs"/>
          <w:rtl/>
          <w:lang w:bidi="ar-EG"/>
        </w:rPr>
        <w:t xml:space="preserve"> </w:t>
      </w:r>
      <w:r w:rsidRPr="00CC485D">
        <w:rPr>
          <w:rFonts w:hint="cs"/>
          <w:rtl/>
        </w:rPr>
        <w:t xml:space="preserve">تحليل مستوى التوظيف بنهاية عام </w:t>
      </w:r>
      <w:r w:rsidRPr="00CC485D">
        <w:rPr>
          <w:lang w:val="es-ES"/>
        </w:rPr>
        <w:t>20</w:t>
      </w:r>
      <w:r w:rsidR="00657C73">
        <w:rPr>
          <w:lang w:val="es-ES"/>
        </w:rPr>
        <w:t>20</w:t>
      </w:r>
      <w:r w:rsidRPr="00CC485D">
        <w:rPr>
          <w:rFonts w:hint="cs"/>
          <w:rtl/>
        </w:rPr>
        <w:t xml:space="preserve"> في المكاتب الإقليمية ومكاتب المناطق </w:t>
      </w:r>
      <w:r w:rsidRPr="00CC485D">
        <w:rPr>
          <w:rFonts w:hint="cs"/>
          <w:rtl/>
          <w:lang w:bidi="ar-EG"/>
        </w:rPr>
        <w:t>ب</w:t>
      </w:r>
      <w:r w:rsidRPr="00CC485D">
        <w:rPr>
          <w:rFonts w:hint="cs"/>
          <w:rtl/>
        </w:rPr>
        <w:t>حسب الدرجة والمنطقة</w:t>
      </w:r>
      <w:r w:rsidRPr="00CC485D">
        <w:rPr>
          <w:rFonts w:hint="eastAsia"/>
          <w:rtl/>
        </w:rPr>
        <w:t> </w:t>
      </w:r>
      <w:r w:rsidRPr="00CC485D">
        <w:rPr>
          <w:rFonts w:hint="cs"/>
          <w:rtl/>
        </w:rPr>
        <w:t>والمكتب. ويراعي كل من الهياكل ومستوى التوظيف في مختلف المكاتب الإقليمية ومكاتب المناطق توصيات وحدة التفتيش المشتركة التابعة للأمم المتحدة بشأن أساليب تحسين الحضور الإقليمي للاتحاد، وكذلك بشأن ضرورة تحسين الاستجابة لتوقعات</w:t>
      </w:r>
      <w:r w:rsidRPr="00CC485D">
        <w:rPr>
          <w:rFonts w:hint="eastAsia"/>
          <w:rtl/>
        </w:rPr>
        <w:t> </w:t>
      </w:r>
      <w:r w:rsidRPr="00CC485D">
        <w:rPr>
          <w:rFonts w:hint="cs"/>
          <w:rtl/>
        </w:rPr>
        <w:t>الأعضاء.</w:t>
      </w:r>
      <w:r w:rsidRPr="00CC485D">
        <w:rPr>
          <w:rFonts w:hint="cs"/>
          <w:rtl/>
          <w:lang w:bidi="ar-EG"/>
        </w:rPr>
        <w:t xml:space="preserve"> </w:t>
      </w:r>
      <w:r w:rsidRPr="00CC485D">
        <w:rPr>
          <w:rFonts w:hint="cs"/>
          <w:rtl/>
        </w:rPr>
        <w:t>وبناءً على</w:t>
      </w:r>
      <w:r w:rsidRPr="00CC485D">
        <w:rPr>
          <w:rFonts w:hint="cs"/>
          <w:rtl/>
          <w:lang w:bidi="ar-EG"/>
        </w:rPr>
        <w:t xml:space="preserve"> موافقة المجلس في دورته لعام </w:t>
      </w:r>
      <w:r w:rsidRPr="00CC485D">
        <w:rPr>
          <w:lang w:val="es-ES" w:bidi="ar-EG"/>
        </w:rPr>
        <w:t>2018</w:t>
      </w:r>
      <w:r w:rsidRPr="00CC485D">
        <w:rPr>
          <w:rFonts w:hint="cs"/>
          <w:rtl/>
          <w:lang w:bidi="ar-EG"/>
        </w:rPr>
        <w:t xml:space="preserve"> على رفع درجة مكتب منطقة بلدان كومنولث الدول المستقلة إلى درجة مكتب إقليمي للاتحاد لمنطقة كومنولث الدول المستقلة، وإنشاء وظيفة مدير إقليمي من الفئة </w:t>
      </w:r>
      <w:r w:rsidRPr="00CC485D">
        <w:rPr>
          <w:lang w:val="es-ES" w:bidi="ar-EG"/>
        </w:rPr>
        <w:t>D</w:t>
      </w:r>
      <w:r w:rsidRPr="00CC485D">
        <w:rPr>
          <w:lang w:bidi="ar-EG"/>
        </w:rPr>
        <w:t>1</w:t>
      </w:r>
      <w:r w:rsidRPr="00CC485D">
        <w:rPr>
          <w:rFonts w:hint="cs"/>
          <w:rtl/>
          <w:lang w:bidi="ar-EG"/>
        </w:rPr>
        <w:t>، أُعلن عن هذه الوظيفة من الفئة</w:t>
      </w:r>
      <w:r w:rsidRPr="00CC485D">
        <w:rPr>
          <w:rFonts w:hint="eastAsia"/>
          <w:rtl/>
          <w:lang w:bidi="ar-EG"/>
        </w:rPr>
        <w:t> </w:t>
      </w:r>
      <w:r w:rsidRPr="00CC485D">
        <w:rPr>
          <w:lang w:val="es-ES" w:bidi="ar-EG"/>
        </w:rPr>
        <w:t>D</w:t>
      </w:r>
      <w:r w:rsidRPr="00CC485D">
        <w:rPr>
          <w:lang w:bidi="ar-EG"/>
        </w:rPr>
        <w:t>1</w:t>
      </w:r>
      <w:r w:rsidRPr="00CC485D">
        <w:rPr>
          <w:rFonts w:hint="cs"/>
          <w:rtl/>
          <w:lang w:bidi="ar-EG"/>
        </w:rPr>
        <w:t xml:space="preserve"> لأغراض التعيين التنافسي. و</w:t>
      </w:r>
      <w:r w:rsidRPr="00CC485D">
        <w:rPr>
          <w:rFonts w:hint="cs"/>
          <w:rtl/>
          <w:lang w:bidi="ar"/>
        </w:rPr>
        <w:t>تولت المديرة الإقليمية الجديدة مهامها في</w:t>
      </w:r>
      <w:r w:rsidRPr="00CC485D">
        <w:rPr>
          <w:rFonts w:hint="eastAsia"/>
          <w:rtl/>
          <w:lang w:bidi="ar"/>
        </w:rPr>
        <w:t> </w:t>
      </w:r>
      <w:r w:rsidRPr="00CC485D">
        <w:rPr>
          <w:rFonts w:hint="cs"/>
          <w:rtl/>
          <w:lang w:bidi="ar"/>
        </w:rPr>
        <w:t>فبراير</w:t>
      </w:r>
      <w:r w:rsidRPr="00CC485D">
        <w:rPr>
          <w:rFonts w:hint="eastAsia"/>
          <w:rtl/>
          <w:lang w:bidi="ar"/>
        </w:rPr>
        <w:t> </w:t>
      </w:r>
      <w:r w:rsidRPr="00CC485D">
        <w:rPr>
          <w:rFonts w:hint="cs"/>
          <w:rtl/>
          <w:lang w:bidi="ar"/>
        </w:rPr>
        <w:t>2020. وبالإضافة إلى ذلك، شهد منصب المدير الإقليمي لـ</w:t>
      </w:r>
      <w:r w:rsidRPr="00CC485D">
        <w:rPr>
          <w:rFonts w:hint="cs"/>
          <w:rtl/>
          <w:lang w:val="fr-FR" w:bidi="ar-EG"/>
        </w:rPr>
        <w:t xml:space="preserve">مكتب </w:t>
      </w:r>
      <w:r w:rsidRPr="00CC485D">
        <w:rPr>
          <w:rtl/>
          <w:lang w:val="fr-FR"/>
        </w:rPr>
        <w:t>آسيا والمحيط الهادئ</w:t>
      </w:r>
      <w:r w:rsidRPr="00CC485D">
        <w:rPr>
          <w:rFonts w:hint="cs"/>
          <w:rtl/>
          <w:lang w:bidi="ar"/>
        </w:rPr>
        <w:t xml:space="preserve"> شغوراً في نهاية سبتمبر 2019. وأُعلن عن الوظيفة. وعُيّنت مديرة جديدة وتولت مهامها في أبريل 2020. </w:t>
      </w:r>
      <w:r w:rsidR="007D2829">
        <w:rPr>
          <w:rFonts w:hint="cs"/>
          <w:rtl/>
          <w:lang w:bidi="ar"/>
        </w:rPr>
        <w:t xml:space="preserve">وانتهت أيضاً </w:t>
      </w:r>
      <w:r w:rsidR="00DE0E74">
        <w:rPr>
          <w:rFonts w:hint="cs"/>
          <w:rtl/>
          <w:lang w:bidi="ar-EG"/>
        </w:rPr>
        <w:t>عملية</w:t>
      </w:r>
      <w:r w:rsidR="007D2829">
        <w:rPr>
          <w:rFonts w:hint="cs"/>
          <w:rtl/>
          <w:lang w:bidi="ar"/>
        </w:rPr>
        <w:t xml:space="preserve"> </w:t>
      </w:r>
      <w:r w:rsidRPr="00CC485D">
        <w:rPr>
          <w:rFonts w:hint="cs"/>
          <w:rtl/>
          <w:lang w:bidi="ar"/>
        </w:rPr>
        <w:t xml:space="preserve">تعيين المدير الإقليمي </w:t>
      </w:r>
      <w:r w:rsidR="00DE0E74" w:rsidRPr="00E0329D">
        <w:rPr>
          <w:rtl/>
          <w:lang w:bidi="ar"/>
        </w:rPr>
        <w:t>لمكتب</w:t>
      </w:r>
      <w:r w:rsidR="00DE0E74">
        <w:rPr>
          <w:rFonts w:hint="cs"/>
          <w:rtl/>
          <w:lang w:bidi="ar"/>
        </w:rPr>
        <w:t xml:space="preserve"> </w:t>
      </w:r>
      <w:r w:rsidR="00161F65">
        <w:rPr>
          <w:rFonts w:hint="cs"/>
          <w:rtl/>
          <w:lang w:bidi="ar"/>
        </w:rPr>
        <w:t>ا</w:t>
      </w:r>
      <w:r w:rsidRPr="00CC485D">
        <w:rPr>
          <w:rFonts w:hint="cs"/>
          <w:rtl/>
          <w:lang w:bidi="ar"/>
        </w:rPr>
        <w:t>لدول العربية</w:t>
      </w:r>
      <w:r w:rsidR="007D2829">
        <w:rPr>
          <w:rFonts w:hint="cs"/>
          <w:rtl/>
          <w:lang w:bidi="ar"/>
        </w:rPr>
        <w:t xml:space="preserve"> وبدأ المدير الجديد </w:t>
      </w:r>
      <w:r w:rsidR="00B8761A">
        <w:rPr>
          <w:rFonts w:hint="cs"/>
          <w:rtl/>
          <w:lang w:bidi="ar"/>
        </w:rPr>
        <w:t xml:space="preserve">مباشرة </w:t>
      </w:r>
      <w:r w:rsidR="007D2829">
        <w:rPr>
          <w:rFonts w:hint="cs"/>
          <w:rtl/>
          <w:lang w:bidi="ar"/>
        </w:rPr>
        <w:t xml:space="preserve">مهامه في يونيو </w:t>
      </w:r>
      <w:r w:rsidR="007D2829">
        <w:rPr>
          <w:lang w:bidi="ar"/>
        </w:rPr>
        <w:t>2020</w:t>
      </w:r>
      <w:r w:rsidRPr="00CC485D">
        <w:rPr>
          <w:rFonts w:hint="cs"/>
          <w:rtl/>
          <w:lang w:bidi="ar"/>
        </w:rPr>
        <w:t>.</w:t>
      </w:r>
    </w:p>
    <w:p w14:paraId="28AECE3E" w14:textId="77777777" w:rsidR="00CC485D" w:rsidRPr="00CC485D" w:rsidRDefault="00CC485D" w:rsidP="00CC485D">
      <w:pPr>
        <w:rPr>
          <w:rtl/>
        </w:rPr>
      </w:pPr>
      <w:r w:rsidRPr="00350D9C">
        <w:rPr>
          <w:lang w:val="fr-FR" w:bidi="ar-SY"/>
        </w:rPr>
        <w:t>2.7</w:t>
      </w:r>
      <w:r w:rsidRPr="00CC485D">
        <w:rPr>
          <w:rFonts w:hint="cs"/>
          <w:rtl/>
        </w:rPr>
        <w:tab/>
        <w:t>و</w:t>
      </w:r>
      <w:r w:rsidRPr="00CC485D">
        <w:rPr>
          <w:rtl/>
        </w:rPr>
        <w:t xml:space="preserve">يستمر العمل على تعزيز قدرات المكاتب </w:t>
      </w:r>
      <w:r w:rsidRPr="00CC485D">
        <w:rPr>
          <w:rFonts w:hint="cs"/>
          <w:rtl/>
        </w:rPr>
        <w:t xml:space="preserve">الإقليمية ومكاتب المناطق </w:t>
      </w:r>
      <w:r w:rsidRPr="00CC485D">
        <w:rPr>
          <w:rtl/>
        </w:rPr>
        <w:t xml:space="preserve">في مجالات محددة من الخبرة المتخصصة </w:t>
      </w:r>
      <w:r w:rsidRPr="00CC485D">
        <w:rPr>
          <w:rFonts w:hint="cs"/>
          <w:rtl/>
        </w:rPr>
        <w:t xml:space="preserve">عن طريق </w:t>
      </w:r>
      <w:r w:rsidRPr="00CC485D">
        <w:rPr>
          <w:rtl/>
        </w:rPr>
        <w:t>تعيين خبراء تقنيين مساعدين وموظفي دعم في إطار المبادرات الإقليمية والمشاريع، بالاعتماد على شبكات الخبراء</w:t>
      </w:r>
      <w:r w:rsidRPr="00CC485D">
        <w:rPr>
          <w:rFonts w:hint="cs"/>
          <w:rtl/>
        </w:rPr>
        <w:t xml:space="preserve"> ذوي التخصصات العالية. </w:t>
      </w:r>
      <w:r w:rsidRPr="00CC485D">
        <w:rPr>
          <w:rFonts w:hint="cs"/>
          <w:rtl/>
          <w:lang w:bidi="ar-EG"/>
        </w:rPr>
        <w:t xml:space="preserve">وتُدرس حالياً مسألة تعيين موظفين مهنيين مبتدئين </w:t>
      </w:r>
      <w:r w:rsidRPr="00CC485D">
        <w:rPr>
          <w:lang w:val="es-ES" w:bidi="ar-EG"/>
        </w:rPr>
        <w:t>(JPO)</w:t>
      </w:r>
      <w:r w:rsidRPr="00CC485D">
        <w:rPr>
          <w:rFonts w:hint="cs"/>
          <w:rtl/>
          <w:lang w:bidi="ar-EG"/>
        </w:rPr>
        <w:t>.</w:t>
      </w:r>
    </w:p>
    <w:p w14:paraId="552AEE86" w14:textId="77777777" w:rsidR="00CC485D" w:rsidRPr="00CC485D" w:rsidRDefault="00CC485D" w:rsidP="00335781">
      <w:pPr>
        <w:pStyle w:val="Heading1"/>
        <w:rPr>
          <w:rtl/>
        </w:rPr>
      </w:pPr>
      <w:r w:rsidRPr="00CC485D">
        <w:rPr>
          <w:lang w:bidi="ar-SY"/>
        </w:rPr>
        <w:t>8</w:t>
      </w:r>
      <w:r w:rsidRPr="00CC485D">
        <w:rPr>
          <w:lang w:bidi="ar-SY"/>
        </w:rPr>
        <w:tab/>
      </w:r>
      <w:r w:rsidRPr="00CC485D">
        <w:rPr>
          <w:rFonts w:hint="cs"/>
          <w:rtl/>
        </w:rPr>
        <w:t>أنشطة الدعم الرامية إلى تمكين المكاتب الإقليمية ومكاتب المناطق</w:t>
      </w:r>
    </w:p>
    <w:p w14:paraId="6B0D67E3" w14:textId="2076B297" w:rsidR="00CC485D" w:rsidRPr="00CC485D" w:rsidRDefault="00CC485D" w:rsidP="00CC485D">
      <w:pPr>
        <w:rPr>
          <w:lang w:val="es-ES" w:bidi="ar-EG"/>
        </w:rPr>
      </w:pPr>
      <w:r w:rsidRPr="00CC485D">
        <w:rPr>
          <w:lang w:bidi="ar-EG"/>
        </w:rPr>
        <w:t>1.8</w:t>
      </w:r>
      <w:r w:rsidRPr="00CC485D">
        <w:rPr>
          <w:lang w:bidi="ar-EG"/>
        </w:rPr>
        <w:tab/>
      </w:r>
      <w:r w:rsidRPr="00CC485D">
        <w:rPr>
          <w:rFonts w:hint="cs"/>
          <w:rtl/>
          <w:lang w:bidi="ar-EG"/>
        </w:rPr>
        <w:t xml:space="preserve">يبين </w:t>
      </w:r>
      <w:r w:rsidRPr="00CC485D">
        <w:rPr>
          <w:rFonts w:hint="cs"/>
          <w:b/>
          <w:bCs/>
          <w:rtl/>
          <w:lang w:bidi="ar-EG"/>
        </w:rPr>
        <w:t xml:space="preserve">الملحق </w:t>
      </w:r>
      <w:r w:rsidRPr="00CC485D">
        <w:rPr>
          <w:b/>
          <w:bCs/>
          <w:lang w:val="es-ES" w:bidi="ar-EG"/>
        </w:rPr>
        <w:t>3</w:t>
      </w:r>
      <w:r w:rsidRPr="00CC485D">
        <w:rPr>
          <w:rFonts w:hint="cs"/>
          <w:rtl/>
          <w:lang w:bidi="ar-EG"/>
        </w:rPr>
        <w:t xml:space="preserve"> أنشطة الدعم التي نُفذت في عام </w:t>
      </w:r>
      <w:r w:rsidRPr="00CC485D">
        <w:rPr>
          <w:lang w:val="es-ES" w:bidi="ar-EG"/>
        </w:rPr>
        <w:t>20</w:t>
      </w:r>
      <w:r w:rsidR="000C0330">
        <w:rPr>
          <w:lang w:val="es-ES" w:bidi="ar-EG"/>
        </w:rPr>
        <w:t>20</w:t>
      </w:r>
      <w:r w:rsidRPr="00CC485D">
        <w:rPr>
          <w:rFonts w:hint="cs"/>
          <w:rtl/>
          <w:lang w:val="es-ES" w:bidi="ar-EG"/>
        </w:rPr>
        <w:t xml:space="preserve"> لتمكين المكاتب الإقليمية ومكاتب المناطق.</w:t>
      </w:r>
    </w:p>
    <w:p w14:paraId="7C576E2A" w14:textId="77777777" w:rsidR="00CC485D" w:rsidRPr="00CC485D" w:rsidRDefault="00CC485D" w:rsidP="00CC485D">
      <w:pPr>
        <w:rPr>
          <w:rtl/>
          <w:lang w:bidi="ar-EG"/>
        </w:rPr>
      </w:pPr>
      <w:r w:rsidRPr="00CC485D">
        <w:rPr>
          <w:rtl/>
          <w:lang w:bidi="ar-EG"/>
        </w:rPr>
        <w:br w:type="page"/>
      </w:r>
    </w:p>
    <w:p w14:paraId="412A4774" w14:textId="77777777" w:rsidR="00CC485D" w:rsidRPr="005C2F8F" w:rsidRDefault="00CC485D" w:rsidP="005C2F8F">
      <w:pPr>
        <w:pStyle w:val="Heading1"/>
        <w:spacing w:after="120"/>
        <w:jc w:val="center"/>
        <w:rPr>
          <w:b w:val="0"/>
          <w:bCs w:val="0"/>
          <w:rtl/>
          <w:lang w:bidi="ar-EG"/>
        </w:rPr>
      </w:pPr>
      <w:bookmarkStart w:id="1" w:name="_التذييل"/>
      <w:bookmarkEnd w:id="1"/>
      <w:r w:rsidRPr="005C2F8F">
        <w:rPr>
          <w:rFonts w:hint="cs"/>
          <w:b w:val="0"/>
          <w:bCs w:val="0"/>
          <w:rtl/>
          <w:lang w:bidi="ar-EG"/>
        </w:rPr>
        <w:lastRenderedPageBreak/>
        <w:t>التذييل</w:t>
      </w:r>
    </w:p>
    <w:p w14:paraId="0E041345" w14:textId="77777777" w:rsidR="00CC485D" w:rsidRPr="00CC485D" w:rsidRDefault="00CC485D" w:rsidP="00103DFE">
      <w:pPr>
        <w:pStyle w:val="DecNo"/>
        <w:rPr>
          <w:lang w:val="fr-CH"/>
        </w:rPr>
      </w:pPr>
      <w:r w:rsidRPr="00CC485D">
        <w:rPr>
          <w:rFonts w:hint="cs"/>
          <w:rtl/>
        </w:rPr>
        <w:t xml:space="preserve">المقـرر </w:t>
      </w:r>
      <w:r w:rsidRPr="00CC485D">
        <w:rPr>
          <w:lang w:val="fr-CH"/>
        </w:rPr>
        <w:t>616</w:t>
      </w:r>
    </w:p>
    <w:p w14:paraId="4D6407A5" w14:textId="77777777" w:rsidR="00CC485D" w:rsidRPr="00CC485D" w:rsidRDefault="00CC485D" w:rsidP="00CC485D">
      <w:pPr>
        <w:jc w:val="center"/>
        <w:rPr>
          <w:lang w:bidi="ar-EG"/>
        </w:rPr>
      </w:pPr>
      <w:r w:rsidRPr="00CC485D">
        <w:rPr>
          <w:rFonts w:hint="cs"/>
          <w:rtl/>
          <w:lang w:bidi="ar-EG"/>
        </w:rPr>
        <w:t>(اعتُمد في الجلسة العامة التاسعة)</w:t>
      </w:r>
    </w:p>
    <w:p w14:paraId="11862D05" w14:textId="77777777" w:rsidR="00CC485D" w:rsidRPr="00CC485D" w:rsidRDefault="00CC485D" w:rsidP="00103DFE">
      <w:pPr>
        <w:pStyle w:val="Dectitle"/>
        <w:rPr>
          <w:rtl/>
          <w:lang w:bidi="ar-EG"/>
        </w:rPr>
      </w:pPr>
      <w:r w:rsidRPr="00CC485D">
        <w:rPr>
          <w:rFonts w:hint="cs"/>
          <w:rtl/>
        </w:rPr>
        <w:t>الحضور الإقليمي</w:t>
      </w:r>
    </w:p>
    <w:p w14:paraId="6379D7C1" w14:textId="77777777" w:rsidR="00CC485D" w:rsidRPr="00CC485D" w:rsidRDefault="00CC485D" w:rsidP="00CC485D">
      <w:pPr>
        <w:keepNext/>
        <w:spacing w:before="360"/>
        <w:rPr>
          <w:rtl/>
          <w:lang w:bidi="ar-SY"/>
        </w:rPr>
      </w:pPr>
      <w:r w:rsidRPr="00CC485D">
        <w:rPr>
          <w:rtl/>
          <w:lang w:bidi="ar-SY"/>
        </w:rPr>
        <w:t>إن المجلس،</w:t>
      </w:r>
    </w:p>
    <w:p w14:paraId="5456F721" w14:textId="77777777" w:rsidR="00CC485D" w:rsidRPr="00CC485D" w:rsidRDefault="00CC485D" w:rsidP="00103DFE">
      <w:pPr>
        <w:pStyle w:val="Call"/>
        <w:rPr>
          <w:rtl/>
        </w:rPr>
      </w:pPr>
      <w:r w:rsidRPr="00CC485D">
        <w:rPr>
          <w:rtl/>
        </w:rPr>
        <w:t>إذ يضع في اعتباره</w:t>
      </w:r>
    </w:p>
    <w:p w14:paraId="27539C09" w14:textId="77777777" w:rsidR="00CC485D" w:rsidRPr="00CC485D" w:rsidRDefault="00CC485D" w:rsidP="00CC485D">
      <w:pPr>
        <w:rPr>
          <w:rtl/>
          <w:lang w:bidi="ar-EG"/>
        </w:rPr>
      </w:pPr>
      <w:r w:rsidRPr="00CC485D">
        <w:rPr>
          <w:rFonts w:hint="eastAsia"/>
          <w:i/>
          <w:iCs/>
          <w:rtl/>
        </w:rPr>
        <w:t> </w:t>
      </w:r>
      <w:proofErr w:type="gramStart"/>
      <w:r w:rsidRPr="00CC485D">
        <w:rPr>
          <w:rFonts w:hint="cs"/>
          <w:i/>
          <w:iCs/>
          <w:rtl/>
        </w:rPr>
        <w:t>أ</w:t>
      </w:r>
      <w:r w:rsidRPr="00CC485D">
        <w:rPr>
          <w:rFonts w:hint="eastAsia"/>
          <w:i/>
          <w:iCs/>
          <w:rtl/>
        </w:rPr>
        <w:t> </w:t>
      </w:r>
      <w:r w:rsidRPr="00CC485D">
        <w:rPr>
          <w:rFonts w:hint="cs"/>
          <w:i/>
          <w:iCs/>
          <w:rtl/>
        </w:rPr>
        <w:t>)</w:t>
      </w:r>
      <w:proofErr w:type="gramEnd"/>
      <w:r w:rsidRPr="00CC485D">
        <w:rPr>
          <w:rFonts w:hint="cs"/>
          <w:rtl/>
        </w:rPr>
        <w:tab/>
      </w:r>
      <w:bookmarkStart w:id="2" w:name="_Toc280260237"/>
      <w:bookmarkStart w:id="3" w:name="_Toc414526650"/>
      <w:bookmarkStart w:id="4" w:name="_Toc415560070"/>
      <w:bookmarkStart w:id="5" w:name="_Toc536090458"/>
      <w:r w:rsidRPr="00CC485D">
        <w:rPr>
          <w:rtl/>
          <w:lang w:bidi="ar-EG"/>
        </w:rPr>
        <w:t>القرار</w:t>
      </w:r>
      <w:r w:rsidRPr="00CC485D">
        <w:rPr>
          <w:rFonts w:hint="cs"/>
          <w:rtl/>
          <w:lang w:bidi="ar-EG"/>
        </w:rPr>
        <w:t> </w:t>
      </w:r>
      <w:r w:rsidRPr="00CC485D">
        <w:rPr>
          <w:lang w:val="en-GB"/>
        </w:rPr>
        <w:t>25</w:t>
      </w:r>
      <w:r w:rsidRPr="00CC485D">
        <w:rPr>
          <w:rtl/>
          <w:lang w:bidi="ar-EG"/>
        </w:rPr>
        <w:t xml:space="preserve"> </w:t>
      </w:r>
      <w:bookmarkEnd w:id="2"/>
      <w:r w:rsidRPr="00CC485D">
        <w:rPr>
          <w:rtl/>
          <w:lang w:bidi="ar-EG"/>
        </w:rPr>
        <w:t>(</w:t>
      </w:r>
      <w:r w:rsidRPr="00CC485D">
        <w:rPr>
          <w:rFonts w:hint="cs"/>
          <w:rtl/>
          <w:lang w:bidi="ar-EG"/>
        </w:rPr>
        <w:t>المراجَع</w:t>
      </w:r>
      <w:r w:rsidRPr="00CC485D">
        <w:rPr>
          <w:rtl/>
          <w:lang w:bidi="ar-EG"/>
        </w:rPr>
        <w:t xml:space="preserve"> في </w:t>
      </w:r>
      <w:r w:rsidRPr="00CC485D">
        <w:rPr>
          <w:rFonts w:hint="cs"/>
          <w:rtl/>
          <w:lang w:bidi="ar-EG"/>
        </w:rPr>
        <w:t>دبي،</w:t>
      </w:r>
      <w:r w:rsidRPr="00CC485D">
        <w:rPr>
          <w:rFonts w:hint="eastAsia"/>
          <w:rtl/>
          <w:lang w:bidi="ar-EG"/>
        </w:rPr>
        <w:t> </w:t>
      </w:r>
      <w:r w:rsidRPr="00CC485D">
        <w:rPr>
          <w:lang w:val="en-GB"/>
        </w:rPr>
        <w:t>2018</w:t>
      </w:r>
      <w:r w:rsidRPr="00CC485D">
        <w:rPr>
          <w:rtl/>
          <w:lang w:bidi="ar-EG"/>
        </w:rPr>
        <w:t>)</w:t>
      </w:r>
      <w:bookmarkEnd w:id="3"/>
      <w:bookmarkEnd w:id="4"/>
      <w:bookmarkEnd w:id="5"/>
      <w:r w:rsidRPr="00CC485D">
        <w:rPr>
          <w:rFonts w:hint="cs"/>
          <w:rtl/>
          <w:lang w:bidi="ar-EG"/>
        </w:rPr>
        <w:t xml:space="preserve"> لمؤتمر المندوبين المفوضين؛</w:t>
      </w:r>
    </w:p>
    <w:p w14:paraId="4D95C016" w14:textId="77777777" w:rsidR="00CC485D" w:rsidRPr="00CC485D" w:rsidRDefault="00CC485D" w:rsidP="00CC485D">
      <w:pPr>
        <w:rPr>
          <w:rtl/>
          <w:lang w:bidi="ar-EG"/>
        </w:rPr>
      </w:pPr>
      <w:r w:rsidRPr="00CC485D">
        <w:rPr>
          <w:rFonts w:hint="cs"/>
          <w:i/>
          <w:iCs/>
          <w:rtl/>
          <w:lang w:bidi="ar-EG"/>
        </w:rPr>
        <w:t>ب)</w:t>
      </w:r>
      <w:r w:rsidRPr="00CC485D">
        <w:rPr>
          <w:i/>
          <w:iCs/>
          <w:rtl/>
          <w:lang w:bidi="ar-EG"/>
        </w:rPr>
        <w:tab/>
      </w:r>
      <w:r w:rsidRPr="00CC485D">
        <w:rPr>
          <w:rFonts w:hint="cs"/>
          <w:rtl/>
          <w:lang w:bidi="ar-EG"/>
        </w:rPr>
        <w:t>تقارير المراجعين الخارجيين والمراجعين الداخليين واللجنة الاستشارية المستقلة للإدارة، المقدمة إلى دورة المجلس لعام</w:t>
      </w:r>
      <w:r w:rsidRPr="00CC485D">
        <w:rPr>
          <w:rFonts w:hint="eastAsia"/>
          <w:rtl/>
          <w:lang w:bidi="ar-EG"/>
        </w:rPr>
        <w:t> </w:t>
      </w:r>
      <w:r w:rsidRPr="00CC485D">
        <w:rPr>
          <w:lang w:bidi="ar-EG"/>
        </w:rPr>
        <w:t>2019</w:t>
      </w:r>
      <w:r w:rsidRPr="00CC485D">
        <w:rPr>
          <w:rFonts w:hint="cs"/>
          <w:rtl/>
          <w:lang w:bidi="ar-EG"/>
        </w:rPr>
        <w:t xml:space="preserve"> بشأن حالة الاحتيال في المكتب الإقليمي؛</w:t>
      </w:r>
    </w:p>
    <w:p w14:paraId="04F6FC63" w14:textId="33830A1B" w:rsidR="00CC485D" w:rsidRPr="00CC485D" w:rsidRDefault="00CC485D" w:rsidP="00CC485D">
      <w:pPr>
        <w:rPr>
          <w:spacing w:val="-6"/>
          <w:rtl/>
          <w:lang w:bidi="ar-EG"/>
        </w:rPr>
      </w:pPr>
      <w:r w:rsidRPr="00CC485D">
        <w:rPr>
          <w:rFonts w:hint="cs"/>
          <w:i/>
          <w:iCs/>
          <w:spacing w:val="-6"/>
          <w:rtl/>
          <w:lang w:bidi="ar-EG"/>
        </w:rPr>
        <w:t>ج)</w:t>
      </w:r>
      <w:r w:rsidRPr="00CC485D">
        <w:rPr>
          <w:i/>
          <w:iCs/>
          <w:spacing w:val="-6"/>
          <w:rtl/>
          <w:lang w:bidi="ar-EG"/>
        </w:rPr>
        <w:tab/>
      </w:r>
      <w:r w:rsidRPr="00CC485D">
        <w:rPr>
          <w:rFonts w:hint="cs"/>
          <w:spacing w:val="-6"/>
          <w:rtl/>
          <w:lang w:bidi="ar-EG"/>
        </w:rPr>
        <w:t>التقرير الوارد في</w:t>
      </w:r>
      <w:r w:rsidR="00F62B4C">
        <w:rPr>
          <w:rFonts w:hint="eastAsia"/>
          <w:spacing w:val="-6"/>
          <w:rtl/>
          <w:lang w:bidi="ar-EG"/>
        </w:rPr>
        <w:t> </w:t>
      </w:r>
      <w:hyperlink r:id="rId23" w:history="1">
        <w:r w:rsidRPr="00CC485D">
          <w:rPr>
            <w:rFonts w:hint="cs"/>
            <w:color w:val="0000FF"/>
            <w:spacing w:val="-6"/>
            <w:u w:val="single"/>
            <w:rtl/>
            <w:lang w:bidi="ar-EG"/>
          </w:rPr>
          <w:t>الوثيقة</w:t>
        </w:r>
        <w:r w:rsidRPr="00CC485D">
          <w:rPr>
            <w:rFonts w:hint="eastAsia"/>
            <w:color w:val="0000FF"/>
            <w:spacing w:val="-6"/>
            <w:u w:val="single"/>
            <w:rtl/>
            <w:lang w:bidi="ar-EG"/>
          </w:rPr>
          <w:t> </w:t>
        </w:r>
        <w:r w:rsidRPr="00CC485D">
          <w:rPr>
            <w:color w:val="0000FF"/>
            <w:spacing w:val="-6"/>
            <w:u w:val="single"/>
          </w:rPr>
          <w:t>C19/25 (Rev.2)</w:t>
        </w:r>
      </w:hyperlink>
      <w:r w:rsidRPr="00CC485D">
        <w:rPr>
          <w:rFonts w:hint="cs"/>
          <w:spacing w:val="-6"/>
          <w:rtl/>
          <w:lang w:bidi="ar-EG"/>
        </w:rPr>
        <w:t xml:space="preserve"> المتعلق بتنفيذ القرار </w:t>
      </w:r>
      <w:r w:rsidRPr="00CC485D">
        <w:rPr>
          <w:spacing w:val="-6"/>
          <w:lang w:bidi="ar-EG"/>
        </w:rPr>
        <w:t>25</w:t>
      </w:r>
      <w:r w:rsidRPr="00CC485D">
        <w:rPr>
          <w:rFonts w:hint="cs"/>
          <w:spacing w:val="-6"/>
          <w:rtl/>
          <w:lang w:bidi="ar-EG"/>
        </w:rPr>
        <w:t xml:space="preserve"> </w:t>
      </w:r>
      <w:r w:rsidRPr="00CC485D">
        <w:rPr>
          <w:spacing w:val="-6"/>
          <w:rtl/>
          <w:lang w:bidi="ar-EG"/>
        </w:rPr>
        <w:t>(</w:t>
      </w:r>
      <w:r w:rsidRPr="00CC485D">
        <w:rPr>
          <w:rFonts w:hint="cs"/>
          <w:spacing w:val="-6"/>
          <w:rtl/>
          <w:lang w:bidi="ar-EG"/>
        </w:rPr>
        <w:t>المراجَع</w:t>
      </w:r>
      <w:r w:rsidRPr="00CC485D">
        <w:rPr>
          <w:spacing w:val="-6"/>
          <w:rtl/>
          <w:lang w:bidi="ar-EG"/>
        </w:rPr>
        <w:t xml:space="preserve"> في </w:t>
      </w:r>
      <w:r w:rsidRPr="00CC485D">
        <w:rPr>
          <w:rFonts w:hint="cs"/>
          <w:spacing w:val="-6"/>
          <w:rtl/>
          <w:lang w:bidi="ar-EG"/>
        </w:rPr>
        <w:t>دبي،</w:t>
      </w:r>
      <w:r w:rsidRPr="00CC485D">
        <w:rPr>
          <w:rFonts w:hint="eastAsia"/>
          <w:spacing w:val="-6"/>
          <w:rtl/>
          <w:lang w:bidi="ar-EG"/>
        </w:rPr>
        <w:t> </w:t>
      </w:r>
      <w:r w:rsidRPr="00CC485D">
        <w:rPr>
          <w:spacing w:val="-6"/>
          <w:lang w:val="en-GB"/>
        </w:rPr>
        <w:t>2018</w:t>
      </w:r>
      <w:r w:rsidRPr="00CC485D">
        <w:rPr>
          <w:spacing w:val="-6"/>
          <w:rtl/>
          <w:lang w:bidi="ar-EG"/>
        </w:rPr>
        <w:t>)</w:t>
      </w:r>
      <w:r w:rsidRPr="00CC485D">
        <w:rPr>
          <w:rFonts w:hint="cs"/>
          <w:spacing w:val="-6"/>
          <w:rtl/>
          <w:lang w:bidi="ar-EG"/>
        </w:rPr>
        <w:t xml:space="preserve"> (بشأن </w:t>
      </w:r>
      <w:r w:rsidRPr="00CC485D">
        <w:rPr>
          <w:rFonts w:hint="cs"/>
          <w:spacing w:val="-6"/>
          <w:rtl/>
        </w:rPr>
        <w:t>تقوية الحضور الإقليم</w:t>
      </w:r>
      <w:r w:rsidRPr="00CC485D">
        <w:rPr>
          <w:rFonts w:hint="cs"/>
          <w:spacing w:val="-6"/>
          <w:rtl/>
          <w:lang w:bidi="ar-EG"/>
        </w:rPr>
        <w:t>ي)،</w:t>
      </w:r>
    </w:p>
    <w:p w14:paraId="123D2720" w14:textId="77777777" w:rsidR="00CC485D" w:rsidRPr="00CC485D" w:rsidRDefault="00CC485D" w:rsidP="00103DFE">
      <w:pPr>
        <w:pStyle w:val="Call"/>
        <w:rPr>
          <w:rtl/>
        </w:rPr>
      </w:pPr>
      <w:r w:rsidRPr="00CC485D">
        <w:rPr>
          <w:rFonts w:hint="cs"/>
          <w:rtl/>
          <w:lang w:bidi="ar-EG"/>
        </w:rPr>
        <w:t xml:space="preserve">وإذ </w:t>
      </w:r>
      <w:r w:rsidRPr="00CC485D">
        <w:rPr>
          <w:rtl/>
        </w:rPr>
        <w:t>يؤكد مجدداً</w:t>
      </w:r>
    </w:p>
    <w:p w14:paraId="4F12C333" w14:textId="77777777" w:rsidR="00CC485D" w:rsidRPr="00CC485D" w:rsidRDefault="00CC485D" w:rsidP="00CC485D">
      <w:pPr>
        <w:rPr>
          <w:rtl/>
        </w:rPr>
      </w:pPr>
      <w:r w:rsidRPr="00CC485D">
        <w:rPr>
          <w:rFonts w:hint="eastAsia"/>
          <w:i/>
          <w:iCs/>
          <w:rtl/>
        </w:rPr>
        <w:t> </w:t>
      </w:r>
      <w:proofErr w:type="gramStart"/>
      <w:r w:rsidRPr="00CC485D">
        <w:rPr>
          <w:i/>
          <w:iCs/>
          <w:rtl/>
        </w:rPr>
        <w:t>أ</w:t>
      </w:r>
      <w:r w:rsidRPr="00CC485D">
        <w:rPr>
          <w:rFonts w:hint="cs"/>
          <w:i/>
          <w:iCs/>
          <w:rtl/>
        </w:rPr>
        <w:t> </w:t>
      </w:r>
      <w:r w:rsidRPr="00CC485D">
        <w:rPr>
          <w:i/>
          <w:iCs/>
          <w:rtl/>
        </w:rPr>
        <w:t>)</w:t>
      </w:r>
      <w:proofErr w:type="gramEnd"/>
      <w:r w:rsidRPr="00CC485D">
        <w:rPr>
          <w:rtl/>
        </w:rPr>
        <w:tab/>
        <w:t xml:space="preserve">أهمية </w:t>
      </w:r>
      <w:r w:rsidRPr="00CC485D">
        <w:rPr>
          <w:rFonts w:hint="cs"/>
          <w:rtl/>
        </w:rPr>
        <w:t>الحضور</w:t>
      </w:r>
      <w:r w:rsidRPr="00CC485D">
        <w:rPr>
          <w:rtl/>
        </w:rPr>
        <w:t xml:space="preserve"> الإقليمي في </w:t>
      </w:r>
      <w:r w:rsidRPr="00CC485D">
        <w:rPr>
          <w:rFonts w:hint="cs"/>
          <w:rtl/>
        </w:rPr>
        <w:t>تنفيذ رسالة الاتحاد المتعلقة بالتنمية</w:t>
      </w:r>
      <w:r w:rsidRPr="00CC485D">
        <w:rPr>
          <w:rtl/>
        </w:rPr>
        <w:t>؛</w:t>
      </w:r>
    </w:p>
    <w:p w14:paraId="1DD76DCC" w14:textId="77777777" w:rsidR="00CC485D" w:rsidRPr="00CC485D" w:rsidRDefault="00CC485D" w:rsidP="00CC485D">
      <w:pPr>
        <w:rPr>
          <w:rtl/>
        </w:rPr>
      </w:pPr>
      <w:r w:rsidRPr="00CC485D">
        <w:rPr>
          <w:i/>
          <w:iCs/>
          <w:rtl/>
        </w:rPr>
        <w:t>ب)</w:t>
      </w:r>
      <w:r w:rsidRPr="00CC485D">
        <w:rPr>
          <w:i/>
          <w:iCs/>
        </w:rPr>
        <w:tab/>
      </w:r>
      <w:r w:rsidRPr="00CC485D">
        <w:rPr>
          <w:rtl/>
        </w:rPr>
        <w:t xml:space="preserve">ضرورة </w:t>
      </w:r>
      <w:r w:rsidRPr="00CC485D">
        <w:rPr>
          <w:rFonts w:hint="cs"/>
          <w:rtl/>
        </w:rPr>
        <w:t>تقوية الحضور</w:t>
      </w:r>
      <w:r w:rsidRPr="00CC485D">
        <w:rPr>
          <w:rtl/>
        </w:rPr>
        <w:t xml:space="preserve"> الإقليمي </w:t>
      </w:r>
      <w:r w:rsidRPr="00CC485D">
        <w:rPr>
          <w:rFonts w:hint="cs"/>
          <w:rtl/>
        </w:rPr>
        <w:t>ب</w:t>
      </w:r>
      <w:r w:rsidRPr="00CC485D">
        <w:rPr>
          <w:rtl/>
        </w:rPr>
        <w:t>تعزيز فائدته وفعالي</w:t>
      </w:r>
      <w:r w:rsidRPr="00CC485D">
        <w:rPr>
          <w:rFonts w:hint="cs"/>
          <w:rtl/>
        </w:rPr>
        <w:t>ة</w:t>
      </w:r>
      <w:r w:rsidRPr="00CC485D">
        <w:rPr>
          <w:rtl/>
        </w:rPr>
        <w:t xml:space="preserve"> </w:t>
      </w:r>
      <w:r w:rsidRPr="00CC485D">
        <w:rPr>
          <w:rFonts w:hint="cs"/>
          <w:rtl/>
        </w:rPr>
        <w:t>المكاتب الإقليمية</w:t>
      </w:r>
      <w:r w:rsidRPr="00CC485D">
        <w:rPr>
          <w:rtl/>
        </w:rPr>
        <w:t xml:space="preserve"> </w:t>
      </w:r>
      <w:r w:rsidRPr="00CC485D">
        <w:rPr>
          <w:rFonts w:hint="cs"/>
          <w:rtl/>
        </w:rPr>
        <w:t>لتشمل</w:t>
      </w:r>
      <w:r w:rsidRPr="00CC485D">
        <w:rPr>
          <w:rtl/>
        </w:rPr>
        <w:t xml:space="preserve"> جميع أنشطة الاتحاد،</w:t>
      </w:r>
    </w:p>
    <w:p w14:paraId="6C9BDEA8" w14:textId="77777777" w:rsidR="00CC485D" w:rsidRPr="00CC485D" w:rsidRDefault="00CC485D" w:rsidP="00103DFE">
      <w:pPr>
        <w:pStyle w:val="Call"/>
      </w:pPr>
      <w:r w:rsidRPr="00CC485D">
        <w:rPr>
          <w:rtl/>
        </w:rPr>
        <w:t>يقرر أن يكلف الأمين العام</w:t>
      </w:r>
    </w:p>
    <w:p w14:paraId="32B9D209" w14:textId="77777777" w:rsidR="00CC485D" w:rsidRPr="00CC485D" w:rsidRDefault="00CC485D" w:rsidP="00CC485D">
      <w:pPr>
        <w:rPr>
          <w:lang w:bidi="ar-EG"/>
        </w:rPr>
      </w:pPr>
      <w:r w:rsidRPr="00CC485D">
        <w:rPr>
          <w:rFonts w:hint="cs"/>
          <w:rtl/>
          <w:lang w:bidi="ar-EG"/>
        </w:rPr>
        <w:t xml:space="preserve">بتعيين مكتب استشاري خارجي مستقل للإدارة وتكليفه بإجراء تقييم واستعراض </w:t>
      </w:r>
      <w:proofErr w:type="spellStart"/>
      <w:r w:rsidRPr="00CC485D">
        <w:rPr>
          <w:rFonts w:hint="cs"/>
          <w:rtl/>
          <w:lang w:bidi="ar-EG"/>
        </w:rPr>
        <w:t>برنامجيين</w:t>
      </w:r>
      <w:proofErr w:type="spellEnd"/>
      <w:r w:rsidRPr="00CC485D">
        <w:rPr>
          <w:rFonts w:hint="cs"/>
          <w:rtl/>
          <w:lang w:bidi="ar-EG"/>
        </w:rPr>
        <w:t xml:space="preserve"> واستراتيجيين وماليين شاملين لبرنامج الحضور الإقليمي للاتحاد، وفقاً للاختصاصات المنصوص عليها في الملحق، مع مراعاة المساهمات المقدمة من أعضاء الاتحاد، وبتقديم تقرير مشفوع بتوصيات إلى المجلس في دورته لعام</w:t>
      </w:r>
      <w:r w:rsidRPr="00CC485D">
        <w:rPr>
          <w:rFonts w:hint="eastAsia"/>
          <w:rtl/>
          <w:lang w:bidi="ar-EG"/>
        </w:rPr>
        <w:t> </w:t>
      </w:r>
      <w:r w:rsidRPr="00CC485D">
        <w:rPr>
          <w:lang w:val="en-GB"/>
        </w:rPr>
        <w:t>2021</w:t>
      </w:r>
      <w:r w:rsidRPr="00CC485D">
        <w:rPr>
          <w:rFonts w:hint="cs"/>
          <w:rtl/>
          <w:lang w:bidi="ar-EG"/>
        </w:rPr>
        <w:t xml:space="preserve"> لاتخاذ الإجراء</w:t>
      </w:r>
      <w:r w:rsidRPr="00CC485D">
        <w:rPr>
          <w:rFonts w:hint="eastAsia"/>
          <w:rtl/>
          <w:lang w:bidi="ar-EG"/>
        </w:rPr>
        <w:t> </w:t>
      </w:r>
      <w:r w:rsidRPr="00CC485D">
        <w:rPr>
          <w:rFonts w:hint="cs"/>
          <w:rtl/>
          <w:lang w:bidi="ar-EG"/>
        </w:rPr>
        <w:t>المناسب،</w:t>
      </w:r>
    </w:p>
    <w:p w14:paraId="1DBB789E" w14:textId="77777777" w:rsidR="00CC485D" w:rsidRPr="00CC485D" w:rsidRDefault="00CC485D" w:rsidP="00103DFE">
      <w:pPr>
        <w:pStyle w:val="Call"/>
      </w:pPr>
      <w:r w:rsidRPr="00CC485D">
        <w:rPr>
          <w:rtl/>
        </w:rPr>
        <w:t>يقرر كذلك</w:t>
      </w:r>
    </w:p>
    <w:p w14:paraId="0E21645D" w14:textId="44EFDD09" w:rsidR="00822D9D" w:rsidRPr="00CC485D" w:rsidRDefault="00CC485D" w:rsidP="00822D9D">
      <w:pPr>
        <w:rPr>
          <w:rtl/>
          <w:lang w:bidi="ar-EG"/>
        </w:rPr>
      </w:pPr>
      <w:r w:rsidRPr="00CC485D">
        <w:rPr>
          <w:rFonts w:hint="cs"/>
          <w:rtl/>
          <w:lang w:bidi="ar-EG"/>
        </w:rPr>
        <w:t xml:space="preserve">ألاّ يتجاوز الاعتماد المخصص لدفع فاتورة المكتب الاستشاري الخارجي المستقل للإدارة مبلغ </w:t>
      </w:r>
      <w:r w:rsidRPr="00CC485D">
        <w:rPr>
          <w:lang w:bidi="ar-EG"/>
        </w:rPr>
        <w:t>500 000</w:t>
      </w:r>
      <w:r w:rsidRPr="00CC485D">
        <w:rPr>
          <w:rFonts w:hint="cs"/>
          <w:rtl/>
          <w:lang w:bidi="ar-EG"/>
        </w:rPr>
        <w:t xml:space="preserve"> فرنك</w:t>
      </w:r>
      <w:r w:rsidRPr="00CC485D">
        <w:rPr>
          <w:rFonts w:hint="eastAsia"/>
          <w:rtl/>
          <w:lang w:bidi="ar-EG"/>
        </w:rPr>
        <w:t> </w:t>
      </w:r>
      <w:r w:rsidRPr="00CC485D">
        <w:rPr>
          <w:rFonts w:hint="cs"/>
          <w:rtl/>
          <w:lang w:bidi="ar-EG"/>
        </w:rPr>
        <w:t>سويسري، وأن</w:t>
      </w:r>
      <w:r w:rsidR="00F62B4C">
        <w:rPr>
          <w:rFonts w:hint="eastAsia"/>
          <w:rtl/>
          <w:lang w:bidi="ar-EG"/>
        </w:rPr>
        <w:t> </w:t>
      </w:r>
      <w:r w:rsidRPr="00CC485D">
        <w:rPr>
          <w:rFonts w:hint="cs"/>
          <w:rtl/>
          <w:lang w:bidi="ar-EG"/>
        </w:rPr>
        <w:t xml:space="preserve">تموَّل نفقات تعيين المكتب الاستشاري من فائض تنفيذ ميزانية </w:t>
      </w:r>
      <w:r w:rsidRPr="00CC485D">
        <w:rPr>
          <w:lang w:bidi="ar-EG"/>
        </w:rPr>
        <w:t>2019</w:t>
      </w:r>
      <w:r w:rsidRPr="00CC485D">
        <w:rPr>
          <w:rFonts w:hint="cs"/>
          <w:rtl/>
          <w:lang w:bidi="ar-EG"/>
        </w:rPr>
        <w:t>.</w:t>
      </w:r>
    </w:p>
    <w:p w14:paraId="24CAA26C" w14:textId="2AA792F4" w:rsidR="00CC485D" w:rsidRPr="00CC485D" w:rsidRDefault="00CC485D" w:rsidP="00B73ADA">
      <w:pPr>
        <w:spacing w:before="1200"/>
        <w:rPr>
          <w:i/>
          <w:iCs/>
          <w:lang w:val="fr-CH" w:bidi="ar-EG"/>
        </w:rPr>
      </w:pPr>
      <w:r w:rsidRPr="00CC485D">
        <w:rPr>
          <w:rFonts w:hint="cs"/>
          <w:b/>
          <w:bCs/>
          <w:i/>
          <w:iCs/>
          <w:rtl/>
          <w:lang w:bidi="ar-EG"/>
        </w:rPr>
        <w:t>الملحقات</w:t>
      </w:r>
      <w:r w:rsidRPr="00CC485D">
        <w:rPr>
          <w:rFonts w:hint="cs"/>
          <w:i/>
          <w:iCs/>
          <w:rtl/>
          <w:lang w:bidi="ar-EG"/>
        </w:rPr>
        <w:t xml:space="preserve">: </w:t>
      </w:r>
      <w:r w:rsidRPr="00CC485D">
        <w:rPr>
          <w:i/>
          <w:iCs/>
          <w:lang w:val="fr-CH" w:bidi="ar-EG"/>
        </w:rPr>
        <w:t>1</w:t>
      </w:r>
    </w:p>
    <w:p w14:paraId="0CC5C0FC" w14:textId="77777777" w:rsidR="00CC485D" w:rsidRPr="00CC485D" w:rsidRDefault="00CC485D" w:rsidP="00CC485D">
      <w:pPr>
        <w:rPr>
          <w:rtl/>
          <w:lang w:bidi="ar-EG"/>
        </w:rPr>
      </w:pPr>
      <w:r w:rsidRPr="00CC485D">
        <w:rPr>
          <w:rtl/>
          <w:lang w:bidi="ar-EG"/>
        </w:rPr>
        <w:br w:type="page"/>
      </w:r>
    </w:p>
    <w:p w14:paraId="19893C6C" w14:textId="77777777" w:rsidR="00CC485D" w:rsidRPr="00CC485D" w:rsidRDefault="00CC485D" w:rsidP="00B73ADA">
      <w:pPr>
        <w:pStyle w:val="AnnexNo"/>
        <w:rPr>
          <w:rtl/>
        </w:rPr>
      </w:pPr>
      <w:r w:rsidRPr="00CC485D">
        <w:rPr>
          <w:rFonts w:hint="cs"/>
          <w:rtl/>
        </w:rPr>
        <w:lastRenderedPageBreak/>
        <w:t>الملحق</w:t>
      </w:r>
    </w:p>
    <w:p w14:paraId="40DFA98A" w14:textId="77777777" w:rsidR="00CC485D" w:rsidRPr="00CC485D" w:rsidRDefault="00CC485D" w:rsidP="00B73ADA">
      <w:pPr>
        <w:pStyle w:val="Annextitle"/>
        <w:rPr>
          <w:rtl/>
        </w:rPr>
      </w:pPr>
      <w:r w:rsidRPr="00CC485D">
        <w:rPr>
          <w:rFonts w:hint="cs"/>
          <w:rtl/>
        </w:rPr>
        <w:t xml:space="preserve">اختصاصات الخبير الاستشاري الخارجي المزمع تعيينه </w:t>
      </w:r>
      <w:r w:rsidRPr="00CC485D">
        <w:rPr>
          <w:rtl/>
        </w:rPr>
        <w:br/>
      </w:r>
      <w:r w:rsidRPr="00CC485D">
        <w:rPr>
          <w:rFonts w:hint="cs"/>
          <w:rtl/>
        </w:rPr>
        <w:t>لاستعراض</w:t>
      </w:r>
      <w:r w:rsidRPr="00CC485D">
        <w:rPr>
          <w:rFonts w:hint="cs"/>
          <w:rtl/>
          <w:lang w:bidi="ar-EG"/>
        </w:rPr>
        <w:t xml:space="preserve"> </w:t>
      </w:r>
      <w:r w:rsidRPr="00CC485D">
        <w:rPr>
          <w:rFonts w:hint="cs"/>
          <w:rtl/>
        </w:rPr>
        <w:t>الحضور الإقليمي للاتحاد</w:t>
      </w:r>
    </w:p>
    <w:p w14:paraId="5F77F6B6" w14:textId="77777777" w:rsidR="00CC485D" w:rsidRPr="00CC485D" w:rsidRDefault="00CC485D" w:rsidP="00B73ADA">
      <w:pPr>
        <w:pStyle w:val="Heading1"/>
        <w:rPr>
          <w:rtl/>
          <w:lang w:bidi="ar-EG"/>
        </w:rPr>
      </w:pPr>
      <w:r w:rsidRPr="00CC485D">
        <w:rPr>
          <w:lang w:bidi="ar-EG"/>
        </w:rPr>
        <w:t>1</w:t>
      </w:r>
      <w:r w:rsidRPr="00CC485D">
        <w:rPr>
          <w:rtl/>
          <w:lang w:bidi="ar-EG"/>
        </w:rPr>
        <w:tab/>
      </w:r>
      <w:r w:rsidRPr="00CC485D">
        <w:rPr>
          <w:rFonts w:hint="cs"/>
          <w:rtl/>
          <w:lang w:bidi="ar-EG"/>
        </w:rPr>
        <w:t>الغرض</w:t>
      </w:r>
    </w:p>
    <w:p w14:paraId="18408D52" w14:textId="77777777" w:rsidR="00CC485D" w:rsidRPr="00CC485D" w:rsidRDefault="00CC485D" w:rsidP="00CC485D">
      <w:pPr>
        <w:rPr>
          <w:rtl/>
        </w:rPr>
      </w:pPr>
      <w:r w:rsidRPr="00CC485D">
        <w:rPr>
          <w:rFonts w:hint="cs"/>
          <w:rtl/>
          <w:lang w:bidi="ar-EG"/>
        </w:rPr>
        <w:t>يعتزم الاتحاد إجراء استعراض لحضوره الإقليمي، وفقاً لمقتضيات وأحكام القرار</w:t>
      </w:r>
      <w:r w:rsidRPr="00CC485D">
        <w:rPr>
          <w:rFonts w:hint="eastAsia"/>
          <w:rtl/>
          <w:lang w:bidi="ar-EG"/>
        </w:rPr>
        <w:t> </w:t>
      </w:r>
      <w:r w:rsidRPr="00CC485D">
        <w:rPr>
          <w:lang w:val="es-ES" w:bidi="ar-EG"/>
        </w:rPr>
        <w:t>25</w:t>
      </w:r>
      <w:r w:rsidRPr="00CC485D">
        <w:rPr>
          <w:rFonts w:hint="cs"/>
          <w:rtl/>
          <w:lang w:bidi="ar-EG"/>
        </w:rPr>
        <w:t xml:space="preserve"> </w:t>
      </w:r>
      <w:r w:rsidRPr="00CC485D">
        <w:rPr>
          <w:rFonts w:hint="cs"/>
          <w:rtl/>
        </w:rPr>
        <w:t>(المراجَع في دبي،</w:t>
      </w:r>
      <w:r w:rsidRPr="00CC485D">
        <w:rPr>
          <w:rFonts w:hint="eastAsia"/>
          <w:rtl/>
        </w:rPr>
        <w:t> </w:t>
      </w:r>
      <w:r w:rsidRPr="00CC485D">
        <w:rPr>
          <w:lang w:bidi="ar-SY"/>
        </w:rPr>
        <w:t>2018</w:t>
      </w:r>
      <w:r w:rsidRPr="00CC485D">
        <w:rPr>
          <w:rFonts w:hint="cs"/>
          <w:rtl/>
        </w:rPr>
        <w:t>).</w:t>
      </w:r>
    </w:p>
    <w:p w14:paraId="7F7A3729" w14:textId="77777777" w:rsidR="00CC485D" w:rsidRPr="00CC485D" w:rsidRDefault="00CC485D" w:rsidP="00CC485D">
      <w:pPr>
        <w:rPr>
          <w:rtl/>
          <w:lang w:bidi="ar-EG"/>
        </w:rPr>
      </w:pPr>
      <w:r w:rsidRPr="00CC485D">
        <w:rPr>
          <w:rFonts w:hint="cs"/>
          <w:rtl/>
        </w:rPr>
        <w:t>ومن هذا المنظور، من المهم</w:t>
      </w:r>
      <w:r w:rsidRPr="00CC485D">
        <w:rPr>
          <w:rFonts w:hint="cs"/>
          <w:rtl/>
          <w:lang w:bidi="ar-EG"/>
        </w:rPr>
        <w:t xml:space="preserve"> تقييم ما</w:t>
      </w:r>
      <w:r w:rsidRPr="00CC485D">
        <w:rPr>
          <w:rFonts w:hint="eastAsia"/>
          <w:rtl/>
          <w:lang w:bidi="ar-EG"/>
        </w:rPr>
        <w:t> </w:t>
      </w:r>
      <w:r w:rsidRPr="00CC485D">
        <w:rPr>
          <w:rFonts w:hint="cs"/>
          <w:rtl/>
          <w:lang w:bidi="ar-EG"/>
        </w:rPr>
        <w:t>إذا كان تنظيم المكاتب الميدانية وعملها يُسهمان إسهاماً كبيراً في زيادة تقريب أنشطة الاتحاد المؤسسية إلى أعضائه.</w:t>
      </w:r>
    </w:p>
    <w:p w14:paraId="0EA31ED4" w14:textId="77777777" w:rsidR="00CC485D" w:rsidRPr="00CC485D" w:rsidRDefault="00CC485D" w:rsidP="00CC485D">
      <w:pPr>
        <w:rPr>
          <w:rtl/>
          <w:lang w:bidi="ar-EG"/>
        </w:rPr>
      </w:pPr>
      <w:r w:rsidRPr="00CC485D">
        <w:rPr>
          <w:rFonts w:hint="cs"/>
          <w:rtl/>
          <w:lang w:bidi="ar-EG"/>
        </w:rPr>
        <w:t>وغاية هذا الاستعراض وضع وتنفيذ خطة عمل تُتيح ما</w:t>
      </w:r>
      <w:r w:rsidRPr="00CC485D">
        <w:rPr>
          <w:rFonts w:hint="eastAsia"/>
          <w:rtl/>
          <w:lang w:bidi="ar-EG"/>
        </w:rPr>
        <w:t> </w:t>
      </w:r>
      <w:r w:rsidRPr="00CC485D">
        <w:rPr>
          <w:rFonts w:hint="cs"/>
          <w:rtl/>
          <w:lang w:bidi="ar-EG"/>
        </w:rPr>
        <w:t>يلي:</w:t>
      </w:r>
    </w:p>
    <w:p w14:paraId="22E2531B" w14:textId="77777777" w:rsidR="00CC485D" w:rsidRPr="00CC485D" w:rsidRDefault="00CC485D" w:rsidP="001D6F5B">
      <w:pPr>
        <w:pStyle w:val="enumlev1"/>
        <w:rPr>
          <w:rtl/>
        </w:rPr>
      </w:pPr>
      <w:r w:rsidRPr="00CC485D">
        <w:rPr>
          <w:rFonts w:hint="eastAsia"/>
          <w:rtl/>
        </w:rPr>
        <w:t> </w:t>
      </w:r>
      <w:proofErr w:type="gramStart"/>
      <w:r w:rsidRPr="00CC485D">
        <w:rPr>
          <w:rFonts w:hint="cs"/>
          <w:rtl/>
        </w:rPr>
        <w:t>أ</w:t>
      </w:r>
      <w:r w:rsidRPr="00CC485D">
        <w:rPr>
          <w:rFonts w:hint="eastAsia"/>
          <w:rtl/>
        </w:rPr>
        <w:t> </w:t>
      </w:r>
      <w:r w:rsidRPr="00CC485D">
        <w:rPr>
          <w:rFonts w:hint="cs"/>
          <w:rtl/>
        </w:rPr>
        <w:t>)</w:t>
      </w:r>
      <w:proofErr w:type="gramEnd"/>
      <w:r w:rsidRPr="00CC485D">
        <w:rPr>
          <w:rFonts w:hint="cs"/>
          <w:rtl/>
        </w:rPr>
        <w:tab/>
        <w:t>القدرة على قياس أداء المكاتب الإقليمية</w:t>
      </w:r>
      <w:r w:rsidRPr="00CC485D">
        <w:rPr>
          <w:rFonts w:hint="eastAsia"/>
          <w:rtl/>
        </w:rPr>
        <w:t> </w:t>
      </w:r>
      <w:r w:rsidRPr="00CC485D">
        <w:t>(RO)</w:t>
      </w:r>
      <w:r w:rsidRPr="00CC485D">
        <w:rPr>
          <w:rFonts w:hint="cs"/>
          <w:rtl/>
        </w:rPr>
        <w:t xml:space="preserve"> بموجب مجموعة القواعد الجديدة؛</w:t>
      </w:r>
    </w:p>
    <w:p w14:paraId="5F9AED1A" w14:textId="77777777" w:rsidR="00CC485D" w:rsidRPr="00CC485D" w:rsidRDefault="00CC485D" w:rsidP="001D6F5B">
      <w:pPr>
        <w:pStyle w:val="enumlev1"/>
      </w:pPr>
      <w:r w:rsidRPr="00CC485D">
        <w:rPr>
          <w:rFonts w:hint="cs"/>
          <w:rtl/>
        </w:rPr>
        <w:t>ب)</w:t>
      </w:r>
      <w:r w:rsidRPr="00CC485D">
        <w:rPr>
          <w:rFonts w:hint="cs"/>
          <w:rtl/>
        </w:rPr>
        <w:tab/>
        <w:t>إنشاء عملية فعّالة لإدارة المخاطر</w:t>
      </w:r>
      <w:r w:rsidRPr="00CC485D">
        <w:rPr>
          <w:rFonts w:hint="eastAsia"/>
          <w:rtl/>
        </w:rPr>
        <w:t> </w:t>
      </w:r>
      <w:r w:rsidRPr="00CC485D">
        <w:t>(ERM)</w:t>
      </w:r>
      <w:r w:rsidRPr="00CC485D">
        <w:rPr>
          <w:rFonts w:hint="cs"/>
          <w:rtl/>
        </w:rPr>
        <w:t>، بما</w:t>
      </w:r>
      <w:r w:rsidRPr="00CC485D">
        <w:rPr>
          <w:rFonts w:hint="eastAsia"/>
          <w:rtl/>
        </w:rPr>
        <w:t> </w:t>
      </w:r>
      <w:r w:rsidRPr="00CC485D">
        <w:rPr>
          <w:rFonts w:hint="cs"/>
          <w:rtl/>
        </w:rPr>
        <w:t>يشمل تقدير المخاطر</w:t>
      </w:r>
      <w:r w:rsidRPr="00CC485D">
        <w:rPr>
          <w:rFonts w:hint="eastAsia"/>
          <w:rtl/>
        </w:rPr>
        <w:t> </w:t>
      </w:r>
      <w:r w:rsidRPr="00CC485D">
        <w:t>(RA)</w:t>
      </w:r>
      <w:r w:rsidRPr="00CC485D">
        <w:rPr>
          <w:rFonts w:hint="cs"/>
          <w:rtl/>
        </w:rPr>
        <w:t xml:space="preserve"> المتصلة بالأنشطة المضطَلع بها على صعيد المكاتب</w:t>
      </w:r>
      <w:r w:rsidRPr="00CC485D">
        <w:rPr>
          <w:rFonts w:hint="eastAsia"/>
          <w:rtl/>
        </w:rPr>
        <w:t> </w:t>
      </w:r>
      <w:r w:rsidRPr="00CC485D">
        <w:rPr>
          <w:rFonts w:hint="cs"/>
          <w:rtl/>
        </w:rPr>
        <w:t>الإقليمية؛</w:t>
      </w:r>
    </w:p>
    <w:p w14:paraId="5586E46C" w14:textId="77777777" w:rsidR="00CC485D" w:rsidRPr="00CC485D" w:rsidRDefault="00CC485D" w:rsidP="001D6F5B">
      <w:pPr>
        <w:pStyle w:val="enumlev1"/>
        <w:rPr>
          <w:rtl/>
        </w:rPr>
      </w:pPr>
      <w:r w:rsidRPr="00CC485D">
        <w:rPr>
          <w:rFonts w:hint="cs"/>
          <w:rtl/>
        </w:rPr>
        <w:t>ج)</w:t>
      </w:r>
      <w:r w:rsidRPr="00CC485D">
        <w:rPr>
          <w:rFonts w:hint="cs"/>
          <w:rtl/>
        </w:rPr>
        <w:tab/>
        <w:t>استحداث أدوات لتيسير التنسيق الفعّال بين المقر والمكاتب الإقليمية؛</w:t>
      </w:r>
    </w:p>
    <w:p w14:paraId="32F5E53E" w14:textId="77777777" w:rsidR="00CC485D" w:rsidRPr="00CC485D" w:rsidRDefault="00CC485D" w:rsidP="001D6F5B">
      <w:pPr>
        <w:pStyle w:val="enumlev1"/>
        <w:rPr>
          <w:spacing w:val="-4"/>
          <w:rtl/>
          <w:lang w:bidi="ar-EG"/>
        </w:rPr>
      </w:pPr>
      <w:proofErr w:type="gramStart"/>
      <w:r w:rsidRPr="00CC485D">
        <w:rPr>
          <w:rFonts w:hint="cs"/>
          <w:rtl/>
        </w:rPr>
        <w:t>د</w:t>
      </w:r>
      <w:r w:rsidRPr="00CC485D">
        <w:rPr>
          <w:rFonts w:hint="eastAsia"/>
          <w:rtl/>
        </w:rPr>
        <w:t> </w:t>
      </w:r>
      <w:r w:rsidRPr="00CC485D">
        <w:rPr>
          <w:rFonts w:hint="cs"/>
          <w:rtl/>
        </w:rPr>
        <w:t>)</w:t>
      </w:r>
      <w:proofErr w:type="gramEnd"/>
      <w:r w:rsidRPr="00CC485D">
        <w:rPr>
          <w:rFonts w:hint="cs"/>
          <w:rtl/>
        </w:rPr>
        <w:tab/>
      </w:r>
      <w:r w:rsidRPr="00CC485D">
        <w:rPr>
          <w:rFonts w:hint="cs"/>
          <w:spacing w:val="-4"/>
          <w:rtl/>
        </w:rPr>
        <w:t>ضمان امتثال المكاتب الإقليمية للقواعد والإجراءات الصادرة عن المقر المتعلقة بالإدارة المالية والمشاريع والمشتريات</w:t>
      </w:r>
      <w:r w:rsidRPr="00CC485D">
        <w:rPr>
          <w:rFonts w:hint="cs"/>
          <w:spacing w:val="-4"/>
          <w:rtl/>
          <w:lang w:bidi="ar-EG"/>
        </w:rPr>
        <w:t>؛</w:t>
      </w:r>
    </w:p>
    <w:p w14:paraId="1E68457B" w14:textId="77777777" w:rsidR="00CC485D" w:rsidRPr="00CC485D" w:rsidRDefault="00CC485D" w:rsidP="001D6F5B">
      <w:pPr>
        <w:pStyle w:val="enumlev1"/>
        <w:rPr>
          <w:rtl/>
          <w:lang w:bidi="ar-EG"/>
        </w:rPr>
      </w:pPr>
      <w:proofErr w:type="gramStart"/>
      <w:r w:rsidRPr="00CC485D">
        <w:rPr>
          <w:rFonts w:ascii="Traditional Arabic" w:hAnsi="Traditional Arabic"/>
          <w:rtl/>
          <w:lang w:bidi="ar-EG"/>
        </w:rPr>
        <w:t>ﻫ</w:t>
      </w:r>
      <w:r w:rsidRPr="00CC485D">
        <w:rPr>
          <w:rFonts w:ascii="Traditional Arabic" w:hAnsi="Traditional Arabic" w:hint="cs"/>
          <w:rtl/>
          <w:lang w:bidi="ar-EG"/>
        </w:rPr>
        <w:t> )</w:t>
      </w:r>
      <w:proofErr w:type="gramEnd"/>
      <w:r w:rsidRPr="00CC485D">
        <w:rPr>
          <w:rFonts w:ascii="Traditional Arabic" w:hAnsi="Traditional Arabic" w:hint="cs"/>
          <w:rtl/>
          <w:lang w:bidi="ar-EG"/>
        </w:rPr>
        <w:tab/>
        <w:t>ضمان التنفيذ السليم لجميع توصيات المراجع الداخلي للحسابات والمراجع الخارجي للحسابات واللجنة الاستشارية المستقلة للإدارة</w:t>
      </w:r>
      <w:r w:rsidRPr="00CC485D">
        <w:rPr>
          <w:rFonts w:ascii="Traditional Arabic" w:hAnsi="Traditional Arabic" w:hint="eastAsia"/>
          <w:rtl/>
          <w:lang w:bidi="ar-EG"/>
        </w:rPr>
        <w:t> </w:t>
      </w:r>
      <w:r w:rsidRPr="00CC485D">
        <w:t>(IMAC)</w:t>
      </w:r>
      <w:r w:rsidRPr="00CC485D">
        <w:rPr>
          <w:rFonts w:hint="cs"/>
          <w:rtl/>
        </w:rPr>
        <w:t xml:space="preserve"> التابعة للاتحاد، خاصةً التوصيات المتعلقة بالافتقار إلى عمليات الرقابة الداخلية الذي تبين في</w:t>
      </w:r>
      <w:r w:rsidRPr="00CC485D">
        <w:rPr>
          <w:rFonts w:hint="eastAsia"/>
          <w:rtl/>
        </w:rPr>
        <w:t> </w:t>
      </w:r>
      <w:r w:rsidRPr="00CC485D">
        <w:rPr>
          <w:rFonts w:hint="cs"/>
          <w:rtl/>
        </w:rPr>
        <w:t>حالة الاحتيال التي وقعت مؤخراً.</w:t>
      </w:r>
    </w:p>
    <w:p w14:paraId="213E3DE0" w14:textId="77777777" w:rsidR="00CC485D" w:rsidRPr="00CC485D" w:rsidRDefault="00CC485D" w:rsidP="001D6F5B">
      <w:pPr>
        <w:pStyle w:val="enumlev1"/>
        <w:rPr>
          <w:rtl/>
        </w:rPr>
      </w:pPr>
      <w:r w:rsidRPr="00CC485D">
        <w:rPr>
          <w:rFonts w:hint="cs"/>
          <w:rtl/>
        </w:rPr>
        <w:t>وينبغي أن يأخذ الاستعراض في الاعتبار العناصر التالية:</w:t>
      </w:r>
    </w:p>
    <w:p w14:paraId="6BD88B12" w14:textId="77777777" w:rsidR="00CC485D" w:rsidRPr="00CC485D" w:rsidRDefault="00CC485D" w:rsidP="001D6F5B">
      <w:pPr>
        <w:pStyle w:val="enumlev1"/>
        <w:rPr>
          <w:rtl/>
        </w:rPr>
      </w:pPr>
      <w:r w:rsidRPr="00CC485D">
        <w:rPr>
          <w:rFonts w:hint="eastAsia"/>
          <w:rtl/>
          <w:lang w:bidi="ar-EG"/>
        </w:rPr>
        <w:t> </w:t>
      </w:r>
      <w:proofErr w:type="gramStart"/>
      <w:r w:rsidRPr="00CC485D">
        <w:rPr>
          <w:rtl/>
        </w:rPr>
        <w:t>أ</w:t>
      </w:r>
      <w:r w:rsidRPr="00CC485D">
        <w:rPr>
          <w:rFonts w:hint="cs"/>
          <w:rtl/>
        </w:rPr>
        <w:t> </w:t>
      </w:r>
      <w:r w:rsidRPr="00CC485D">
        <w:rPr>
          <w:rtl/>
        </w:rPr>
        <w:t>)</w:t>
      </w:r>
      <w:proofErr w:type="gramEnd"/>
      <w:r w:rsidRPr="00CC485D">
        <w:rPr>
          <w:rtl/>
        </w:rPr>
        <w:tab/>
        <w:t>مدى تطبيق أحكام القرار</w:t>
      </w:r>
      <w:r w:rsidRPr="00CC485D">
        <w:rPr>
          <w:rFonts w:hint="eastAsia"/>
          <w:rtl/>
        </w:rPr>
        <w:t> </w:t>
      </w:r>
      <w:r w:rsidRPr="00CC485D">
        <w:t>25</w:t>
      </w:r>
      <w:r w:rsidRPr="00CC485D">
        <w:rPr>
          <w:rtl/>
        </w:rPr>
        <w:t xml:space="preserve"> (</w:t>
      </w:r>
      <w:r w:rsidRPr="00CC485D">
        <w:rPr>
          <w:rFonts w:hint="cs"/>
          <w:rtl/>
        </w:rPr>
        <w:t>المراجَع</w:t>
      </w:r>
      <w:r w:rsidRPr="00CC485D">
        <w:rPr>
          <w:rtl/>
        </w:rPr>
        <w:t xml:space="preserve"> في دبي،</w:t>
      </w:r>
      <w:r w:rsidRPr="00CC485D">
        <w:rPr>
          <w:rFonts w:hint="cs"/>
          <w:rtl/>
        </w:rPr>
        <w:t> </w:t>
      </w:r>
      <w:r w:rsidRPr="00CC485D">
        <w:t>2018</w:t>
      </w:r>
      <w:r w:rsidRPr="00CC485D">
        <w:rPr>
          <w:rtl/>
        </w:rPr>
        <w:t>) من جانب مكتب تنمية الاتصالات والأمانة العامة والمكتبين الآخرين بالاتحاد حسب</w:t>
      </w:r>
      <w:r w:rsidRPr="00CC485D">
        <w:rPr>
          <w:rFonts w:hint="eastAsia"/>
          <w:rtl/>
        </w:rPr>
        <w:t> </w:t>
      </w:r>
      <w:r w:rsidRPr="00CC485D">
        <w:rPr>
          <w:rtl/>
        </w:rPr>
        <w:t>الاقتضاء؛</w:t>
      </w:r>
    </w:p>
    <w:p w14:paraId="6D5C236D" w14:textId="77777777" w:rsidR="00CC485D" w:rsidRPr="00CC485D" w:rsidRDefault="00CC485D" w:rsidP="001D6F5B">
      <w:pPr>
        <w:pStyle w:val="enumlev1"/>
        <w:rPr>
          <w:rtl/>
          <w:lang w:eastAsia="en-US"/>
        </w:rPr>
      </w:pPr>
      <w:r w:rsidRPr="00CC485D">
        <w:rPr>
          <w:rtl/>
        </w:rPr>
        <w:t>ب)</w:t>
      </w:r>
      <w:r w:rsidRPr="00CC485D">
        <w:rPr>
          <w:rtl/>
        </w:rPr>
        <w:tab/>
      </w:r>
      <w:r w:rsidRPr="00CC485D">
        <w:rPr>
          <w:rFonts w:hint="cs"/>
          <w:rtl/>
          <w:lang w:bidi="ar-EG"/>
        </w:rPr>
        <w:t xml:space="preserve">جميع توصيات المراجع الخارجي للحسابات والمراجع الداخلي للحسابات واللجنة الاستشارية المستقلة للإدارة </w:t>
      </w:r>
      <w:r w:rsidRPr="00CC485D">
        <w:rPr>
          <w:rFonts w:hint="cs"/>
          <w:rtl/>
        </w:rPr>
        <w:t>التي تقدم</w:t>
      </w:r>
      <w:r w:rsidRPr="00CC485D">
        <w:rPr>
          <w:rFonts w:hint="cs"/>
          <w:rtl/>
          <w:lang w:bidi="ar-EG"/>
        </w:rPr>
        <w:t xml:space="preserve"> المشورة بشأن الحاجة إلى تحسين الرقابة الإدارية والرقابة الداخلية تحسيناً جوهرياً في ضوء مواطن الضعف التي كشفت عنها حالة الاحتيال التي وقعت مؤخراً في أحد المكاتب الإقليمية؛ وخاصةً ضرورة إرساء ثقافة قوامها الشفافية والتعاون تفضي إلى تعزيز مسؤولية فرادى المديرين وفعالية المساءلة؛</w:t>
      </w:r>
    </w:p>
    <w:p w14:paraId="02C81067" w14:textId="77777777" w:rsidR="00CC485D" w:rsidRPr="00CC485D" w:rsidRDefault="00CC485D" w:rsidP="001D6F5B">
      <w:pPr>
        <w:pStyle w:val="enumlev1"/>
        <w:rPr>
          <w:spacing w:val="-4"/>
          <w:rtl/>
        </w:rPr>
      </w:pPr>
      <w:r w:rsidRPr="00CC485D">
        <w:rPr>
          <w:rtl/>
        </w:rPr>
        <w:t>ج)</w:t>
      </w:r>
      <w:r w:rsidRPr="00CC485D">
        <w:rPr>
          <w:rtl/>
        </w:rPr>
        <w:tab/>
      </w:r>
      <w:r w:rsidRPr="00CC485D">
        <w:rPr>
          <w:spacing w:val="-4"/>
          <w:rtl/>
        </w:rPr>
        <w:t>كيف يمكن للتدابير الرامية لتحقيق مزيد من اللامركزية أن تكفل كفاءة أكبر بتكلفة أقل، مع مراعاة المساءلة</w:t>
      </w:r>
      <w:r w:rsidRPr="00CC485D">
        <w:rPr>
          <w:rFonts w:hint="eastAsia"/>
          <w:spacing w:val="-4"/>
          <w:rtl/>
        </w:rPr>
        <w:t> </w:t>
      </w:r>
      <w:r w:rsidRPr="00CC485D">
        <w:rPr>
          <w:spacing w:val="-4"/>
          <w:rtl/>
        </w:rPr>
        <w:t>والشفافية؛</w:t>
      </w:r>
    </w:p>
    <w:p w14:paraId="5029E003" w14:textId="77777777" w:rsidR="00CC485D" w:rsidRPr="00CC485D" w:rsidRDefault="00CC485D" w:rsidP="001D6F5B">
      <w:pPr>
        <w:pStyle w:val="enumlev1"/>
        <w:rPr>
          <w:rtl/>
        </w:rPr>
      </w:pPr>
      <w:proofErr w:type="gramStart"/>
      <w:r w:rsidRPr="00CC485D">
        <w:rPr>
          <w:rtl/>
        </w:rPr>
        <w:t>د</w:t>
      </w:r>
      <w:r w:rsidRPr="00CC485D">
        <w:rPr>
          <w:rFonts w:hint="cs"/>
          <w:rtl/>
        </w:rPr>
        <w:t> </w:t>
      </w:r>
      <w:r w:rsidRPr="00CC485D">
        <w:rPr>
          <w:rtl/>
        </w:rPr>
        <w:t>)</w:t>
      </w:r>
      <w:proofErr w:type="gramEnd"/>
      <w:r w:rsidRPr="00CC485D">
        <w:rPr>
          <w:rtl/>
        </w:rPr>
        <w:tab/>
        <w:t>نتائج الاستقصاءات</w:t>
      </w:r>
      <w:r w:rsidRPr="00CC485D">
        <w:rPr>
          <w:rFonts w:hint="cs"/>
          <w:rtl/>
        </w:rPr>
        <w:t xml:space="preserve"> </w:t>
      </w:r>
      <w:r w:rsidRPr="00CC485D">
        <w:rPr>
          <w:rtl/>
        </w:rPr>
        <w:t>السابقة لقياس مستوى رضاء الدول الأعضاء وأعضاء القطاعات والمنظمات الإقليمية للاتصالات</w:t>
      </w:r>
      <w:r w:rsidRPr="00CC485D">
        <w:rPr>
          <w:rFonts w:hint="cs"/>
          <w:rtl/>
        </w:rPr>
        <w:t>/تكنولوجيا المعلومات والاتصالات</w:t>
      </w:r>
      <w:r w:rsidRPr="00CC485D">
        <w:rPr>
          <w:rtl/>
        </w:rPr>
        <w:t xml:space="preserve"> عن </w:t>
      </w:r>
      <w:r w:rsidRPr="00CC485D">
        <w:rPr>
          <w:rFonts w:hint="cs"/>
          <w:rtl/>
        </w:rPr>
        <w:t>الحضور</w:t>
      </w:r>
      <w:r w:rsidRPr="00CC485D">
        <w:rPr>
          <w:rtl/>
        </w:rPr>
        <w:t xml:space="preserve"> الإقليمي</w:t>
      </w:r>
      <w:r w:rsidRPr="00CC485D">
        <w:rPr>
          <w:rFonts w:hint="eastAsia"/>
          <w:rtl/>
        </w:rPr>
        <w:t> </w:t>
      </w:r>
      <w:r w:rsidRPr="00CC485D">
        <w:rPr>
          <w:rFonts w:hint="cs"/>
          <w:rtl/>
        </w:rPr>
        <w:t>للاتحاد</w:t>
      </w:r>
      <w:r w:rsidRPr="00CC485D">
        <w:rPr>
          <w:rtl/>
        </w:rPr>
        <w:t>؛</w:t>
      </w:r>
    </w:p>
    <w:p w14:paraId="7183AD74" w14:textId="77777777" w:rsidR="00CC485D" w:rsidRPr="00CC485D" w:rsidRDefault="00CC485D" w:rsidP="001D6F5B">
      <w:pPr>
        <w:pStyle w:val="enumlev1"/>
        <w:rPr>
          <w:rtl/>
        </w:rPr>
      </w:pPr>
      <w:proofErr w:type="gramStart"/>
      <w:r w:rsidRPr="00CC485D">
        <w:rPr>
          <w:rtl/>
        </w:rPr>
        <w:t>ﻫ</w:t>
      </w:r>
      <w:r w:rsidRPr="00CC485D">
        <w:rPr>
          <w:rFonts w:hint="cs"/>
          <w:rtl/>
        </w:rPr>
        <w:t> </w:t>
      </w:r>
      <w:r w:rsidRPr="00CC485D">
        <w:rPr>
          <w:rtl/>
        </w:rPr>
        <w:t>)</w:t>
      </w:r>
      <w:proofErr w:type="gramEnd"/>
      <w:r w:rsidRPr="00CC485D">
        <w:rPr>
          <w:rtl/>
        </w:rPr>
        <w:tab/>
      </w:r>
      <w:r w:rsidRPr="00CC485D">
        <w:rPr>
          <w:rFonts w:hint="cs"/>
          <w:rtl/>
        </w:rPr>
        <w:t>مساعدة البلدان النامية من أجل المشاركة في أنشطة الاتحاد؛</w:t>
      </w:r>
    </w:p>
    <w:p w14:paraId="63A22E3B" w14:textId="77777777" w:rsidR="00CC485D" w:rsidRPr="00CC485D" w:rsidRDefault="00CC485D" w:rsidP="001D6F5B">
      <w:pPr>
        <w:pStyle w:val="enumlev1"/>
        <w:rPr>
          <w:rtl/>
        </w:rPr>
      </w:pPr>
      <w:proofErr w:type="gramStart"/>
      <w:r w:rsidRPr="00CC485D">
        <w:rPr>
          <w:rFonts w:hint="cs"/>
          <w:rtl/>
        </w:rPr>
        <w:t>و</w:t>
      </w:r>
      <w:r w:rsidRPr="00CC485D">
        <w:rPr>
          <w:rFonts w:hint="eastAsia"/>
          <w:rtl/>
        </w:rPr>
        <w:t> </w:t>
      </w:r>
      <w:r w:rsidRPr="00CC485D">
        <w:rPr>
          <w:rFonts w:hint="cs"/>
          <w:rtl/>
        </w:rPr>
        <w:t>)</w:t>
      </w:r>
      <w:proofErr w:type="gramEnd"/>
      <w:r w:rsidRPr="00CC485D">
        <w:rPr>
          <w:rtl/>
        </w:rPr>
        <w:tab/>
        <w:t xml:space="preserve">مدى الازدواج المحتمل بين بعض وظائف المقر الرئيسي </w:t>
      </w:r>
      <w:r w:rsidRPr="00CC485D">
        <w:rPr>
          <w:rFonts w:hint="cs"/>
          <w:rtl/>
        </w:rPr>
        <w:t>للاتحاد</w:t>
      </w:r>
      <w:r w:rsidRPr="00CC485D">
        <w:rPr>
          <w:rtl/>
        </w:rPr>
        <w:t xml:space="preserve"> ومكاتبه</w:t>
      </w:r>
      <w:r w:rsidRPr="00CC485D">
        <w:rPr>
          <w:rFonts w:hint="eastAsia"/>
          <w:rtl/>
        </w:rPr>
        <w:t> </w:t>
      </w:r>
      <w:r w:rsidRPr="00CC485D">
        <w:rPr>
          <w:rtl/>
        </w:rPr>
        <w:t>الإقليمية؛</w:t>
      </w:r>
    </w:p>
    <w:p w14:paraId="5FD46745" w14:textId="77777777" w:rsidR="00CC485D" w:rsidRPr="00CC485D" w:rsidRDefault="00CC485D" w:rsidP="001D6F5B">
      <w:pPr>
        <w:pStyle w:val="enumlev1"/>
        <w:rPr>
          <w:rtl/>
        </w:rPr>
      </w:pPr>
      <w:proofErr w:type="gramStart"/>
      <w:r w:rsidRPr="00CC485D">
        <w:rPr>
          <w:rFonts w:hint="cs"/>
          <w:spacing w:val="-2"/>
          <w:rtl/>
        </w:rPr>
        <w:t>ز </w:t>
      </w:r>
      <w:r w:rsidRPr="00CC485D">
        <w:rPr>
          <w:spacing w:val="-2"/>
          <w:rtl/>
        </w:rPr>
        <w:t>)</w:t>
      </w:r>
      <w:proofErr w:type="gramEnd"/>
      <w:r w:rsidRPr="00CC485D">
        <w:rPr>
          <w:rtl/>
        </w:rPr>
        <w:tab/>
        <w:t>مدى تطبيق أحكام القرار</w:t>
      </w:r>
      <w:r w:rsidRPr="00CC485D">
        <w:rPr>
          <w:rFonts w:hint="cs"/>
          <w:rtl/>
        </w:rPr>
        <w:t> </w:t>
      </w:r>
      <w:r w:rsidRPr="00CC485D">
        <w:t>17</w:t>
      </w:r>
      <w:r w:rsidRPr="00CC485D">
        <w:rPr>
          <w:rtl/>
        </w:rPr>
        <w:t xml:space="preserve"> (المراجَع في بوينس</w:t>
      </w:r>
      <w:r w:rsidRPr="00CC485D">
        <w:rPr>
          <w:rFonts w:hint="cs"/>
          <w:rtl/>
        </w:rPr>
        <w:t> </w:t>
      </w:r>
      <w:r w:rsidRPr="00CC485D">
        <w:rPr>
          <w:rtl/>
        </w:rPr>
        <w:t>آيرس،</w:t>
      </w:r>
      <w:r w:rsidRPr="00CC485D">
        <w:rPr>
          <w:rFonts w:hint="cs"/>
          <w:rtl/>
        </w:rPr>
        <w:t> </w:t>
      </w:r>
      <w:r w:rsidRPr="00CC485D">
        <w:t>2017</w:t>
      </w:r>
      <w:r w:rsidRPr="00CC485D">
        <w:rPr>
          <w:rtl/>
        </w:rPr>
        <w:t>)</w:t>
      </w:r>
      <w:r w:rsidRPr="00CC485D">
        <w:rPr>
          <w:rFonts w:hint="cs"/>
          <w:rtl/>
        </w:rPr>
        <w:t xml:space="preserve"> </w:t>
      </w:r>
      <w:r w:rsidRPr="00CC485D">
        <w:rPr>
          <w:rtl/>
        </w:rPr>
        <w:t>للمؤتمر العالمي لتنمية الاتصالات</w:t>
      </w:r>
      <w:r w:rsidRPr="00CC485D">
        <w:rPr>
          <w:rFonts w:hint="cs"/>
          <w:rtl/>
        </w:rPr>
        <w:t>؛</w:t>
      </w:r>
    </w:p>
    <w:p w14:paraId="728ABA19" w14:textId="77777777" w:rsidR="00CC485D" w:rsidRPr="00CC485D" w:rsidRDefault="00CC485D" w:rsidP="001D6F5B">
      <w:pPr>
        <w:pStyle w:val="enumlev1"/>
        <w:rPr>
          <w:spacing w:val="-2"/>
        </w:rPr>
      </w:pPr>
      <w:r w:rsidRPr="00CC485D">
        <w:rPr>
          <w:rtl/>
        </w:rPr>
        <w:t>ح)</w:t>
      </w:r>
      <w:r w:rsidRPr="00CC485D">
        <w:rPr>
          <w:spacing w:val="-2"/>
          <w:rtl/>
        </w:rPr>
        <w:tab/>
      </w:r>
      <w:r w:rsidRPr="00CC485D">
        <w:rPr>
          <w:rtl/>
        </w:rPr>
        <w:t>مستوى الاستقلال في اتخاذ القرار الممنوح حالياً للمكاتب الإقليمية، وما إذا كان تمتعها بمزيد من الاستقلالية يمكن أن يعزز كفاءتها</w:t>
      </w:r>
      <w:r w:rsidRPr="00CC485D">
        <w:rPr>
          <w:rFonts w:hint="cs"/>
          <w:rtl/>
        </w:rPr>
        <w:t> </w:t>
      </w:r>
      <w:r w:rsidRPr="00CC485D">
        <w:rPr>
          <w:rtl/>
        </w:rPr>
        <w:t>وفعاليتها؛</w:t>
      </w:r>
    </w:p>
    <w:p w14:paraId="4F1250D6" w14:textId="77777777" w:rsidR="00CC485D" w:rsidRPr="00CC485D" w:rsidRDefault="00CC485D" w:rsidP="001D6F5B">
      <w:pPr>
        <w:pStyle w:val="enumlev1"/>
        <w:rPr>
          <w:rtl/>
        </w:rPr>
      </w:pPr>
      <w:r w:rsidRPr="00CC485D">
        <w:rPr>
          <w:rFonts w:hint="cs"/>
          <w:rtl/>
        </w:rPr>
        <w:t>ط</w:t>
      </w:r>
      <w:r w:rsidRPr="00CC485D">
        <w:rPr>
          <w:rtl/>
        </w:rPr>
        <w:t>)</w:t>
      </w:r>
      <w:r w:rsidRPr="00CC485D">
        <w:rPr>
          <w:rtl/>
        </w:rPr>
        <w:tab/>
        <w:t xml:space="preserve">فعالية التعاون والتنسيق بين المكاتب الإقليمية </w:t>
      </w:r>
      <w:r w:rsidRPr="00CC485D">
        <w:rPr>
          <w:rFonts w:hint="cs"/>
          <w:rtl/>
        </w:rPr>
        <w:t>للاتحاد</w:t>
      </w:r>
      <w:r w:rsidRPr="00CC485D">
        <w:rPr>
          <w:rtl/>
        </w:rPr>
        <w:t xml:space="preserve"> والمنظمات الإقليمية للاتصالات</w:t>
      </w:r>
      <w:r w:rsidRPr="00CC485D">
        <w:rPr>
          <w:rFonts w:hint="cs"/>
          <w:rtl/>
        </w:rPr>
        <w:t>/تكنولوجيا المعلومات والاتصالات</w:t>
      </w:r>
      <w:r w:rsidRPr="00CC485D">
        <w:rPr>
          <w:rtl/>
        </w:rPr>
        <w:t xml:space="preserve"> وغيرها من المنظمات الإنمائية والمالية الإقليمية</w:t>
      </w:r>
      <w:r w:rsidRPr="00CC485D">
        <w:rPr>
          <w:rFonts w:hint="cs"/>
          <w:rtl/>
        </w:rPr>
        <w:t xml:space="preserve"> والدولية</w:t>
      </w:r>
      <w:r w:rsidRPr="00CC485D">
        <w:rPr>
          <w:rtl/>
        </w:rPr>
        <w:t>؛</w:t>
      </w:r>
    </w:p>
    <w:p w14:paraId="0CB3F00C" w14:textId="77777777" w:rsidR="00CC485D" w:rsidRPr="00CC485D" w:rsidRDefault="00CC485D" w:rsidP="001D6F5B">
      <w:pPr>
        <w:pStyle w:val="enumlev1"/>
        <w:rPr>
          <w:rtl/>
        </w:rPr>
      </w:pPr>
      <w:r w:rsidRPr="00CC485D">
        <w:rPr>
          <w:rFonts w:hint="cs"/>
          <w:rtl/>
        </w:rPr>
        <w:t>ي)</w:t>
      </w:r>
      <w:r w:rsidRPr="00CC485D">
        <w:rPr>
          <w:rtl/>
        </w:rPr>
        <w:tab/>
        <w:t xml:space="preserve">كيف يمكن </w:t>
      </w:r>
      <w:r w:rsidRPr="00CC485D">
        <w:rPr>
          <w:rFonts w:hint="cs"/>
          <w:rtl/>
        </w:rPr>
        <w:t>للحضور</w:t>
      </w:r>
      <w:r w:rsidRPr="00CC485D">
        <w:rPr>
          <w:rtl/>
        </w:rPr>
        <w:t xml:space="preserve"> الإقليمي </w:t>
      </w:r>
      <w:r w:rsidRPr="00CC485D">
        <w:rPr>
          <w:rFonts w:hint="cs"/>
          <w:rtl/>
        </w:rPr>
        <w:t>وتنظيم</w:t>
      </w:r>
      <w:r w:rsidRPr="00CC485D">
        <w:rPr>
          <w:rtl/>
        </w:rPr>
        <w:t xml:space="preserve"> الأنشطة في </w:t>
      </w:r>
      <w:r w:rsidRPr="00CC485D">
        <w:rPr>
          <w:rFonts w:hint="cs"/>
          <w:rtl/>
        </w:rPr>
        <w:t>المناطق</w:t>
      </w:r>
      <w:r w:rsidRPr="00CC485D">
        <w:rPr>
          <w:rtl/>
        </w:rPr>
        <w:t xml:space="preserve"> أن يساهما في</w:t>
      </w:r>
      <w:r w:rsidRPr="00CC485D">
        <w:rPr>
          <w:rFonts w:hint="eastAsia"/>
          <w:rtl/>
        </w:rPr>
        <w:t> </w:t>
      </w:r>
      <w:r w:rsidRPr="00CC485D">
        <w:rPr>
          <w:rtl/>
        </w:rPr>
        <w:t>تعزيز المشاركة الفع</w:t>
      </w:r>
      <w:r w:rsidRPr="00CC485D">
        <w:rPr>
          <w:rFonts w:hint="cs"/>
          <w:rtl/>
        </w:rPr>
        <w:t>ّ</w:t>
      </w:r>
      <w:r w:rsidRPr="00CC485D">
        <w:rPr>
          <w:rtl/>
        </w:rPr>
        <w:t>الة لجميع البلدان في أعمال</w:t>
      </w:r>
      <w:r w:rsidRPr="00CC485D">
        <w:rPr>
          <w:rFonts w:hint="cs"/>
          <w:rtl/>
        </w:rPr>
        <w:t> الاتحاد</w:t>
      </w:r>
      <w:r w:rsidRPr="00CC485D">
        <w:rPr>
          <w:rtl/>
        </w:rPr>
        <w:t>؛</w:t>
      </w:r>
    </w:p>
    <w:p w14:paraId="6E0CA8B7" w14:textId="77777777" w:rsidR="00CC485D" w:rsidRPr="00CC485D" w:rsidRDefault="00CC485D" w:rsidP="001D6F5B">
      <w:pPr>
        <w:pStyle w:val="enumlev1"/>
        <w:rPr>
          <w:rtl/>
        </w:rPr>
      </w:pPr>
      <w:r w:rsidRPr="00CC485D">
        <w:rPr>
          <w:rFonts w:hint="cs"/>
          <w:rtl/>
        </w:rPr>
        <w:t>ك</w:t>
      </w:r>
      <w:r w:rsidRPr="00CC485D">
        <w:rPr>
          <w:rtl/>
        </w:rPr>
        <w:t>)</w:t>
      </w:r>
      <w:r w:rsidRPr="00CC485D">
        <w:rPr>
          <w:rtl/>
        </w:rPr>
        <w:tab/>
        <w:t>الموارد المتاحة حالياً للمكاتب الإقليمية من أجل الحد من الفجوة</w:t>
      </w:r>
      <w:r w:rsidRPr="00CC485D">
        <w:rPr>
          <w:rFonts w:hint="cs"/>
          <w:rtl/>
        </w:rPr>
        <w:t> </w:t>
      </w:r>
      <w:r w:rsidRPr="00CC485D">
        <w:rPr>
          <w:rtl/>
        </w:rPr>
        <w:t>الرقمية؛</w:t>
      </w:r>
    </w:p>
    <w:p w14:paraId="76B162B2" w14:textId="77777777" w:rsidR="00CC485D" w:rsidRPr="00CC485D" w:rsidRDefault="00CC485D" w:rsidP="001D6F5B">
      <w:pPr>
        <w:pStyle w:val="enumlev1"/>
        <w:rPr>
          <w:rtl/>
        </w:rPr>
      </w:pPr>
      <w:r w:rsidRPr="00CC485D">
        <w:rPr>
          <w:rFonts w:ascii="Traditional Arabic" w:hAnsi="Traditional Arabic"/>
          <w:rtl/>
        </w:rPr>
        <w:t>ل</w:t>
      </w:r>
      <w:r w:rsidRPr="00CC485D">
        <w:rPr>
          <w:rtl/>
        </w:rPr>
        <w:t>)</w:t>
      </w:r>
      <w:r w:rsidRPr="00CC485D">
        <w:rPr>
          <w:rtl/>
        </w:rPr>
        <w:tab/>
        <w:t xml:space="preserve">الهيكل </w:t>
      </w:r>
      <w:r w:rsidRPr="00CC485D">
        <w:rPr>
          <w:rFonts w:hint="cs"/>
          <w:rtl/>
        </w:rPr>
        <w:t>العام</w:t>
      </w:r>
      <w:r w:rsidRPr="00CC485D">
        <w:rPr>
          <w:rtl/>
        </w:rPr>
        <w:t xml:space="preserve"> الأمثل للحضور الإقليمي </w:t>
      </w:r>
      <w:r w:rsidRPr="00CC485D">
        <w:rPr>
          <w:rFonts w:hint="cs"/>
          <w:rtl/>
        </w:rPr>
        <w:t>للاتحاد</w:t>
      </w:r>
      <w:r w:rsidRPr="00CC485D">
        <w:rPr>
          <w:rtl/>
        </w:rPr>
        <w:t>، بما</w:t>
      </w:r>
      <w:r w:rsidRPr="00CC485D">
        <w:rPr>
          <w:rFonts w:hint="cs"/>
          <w:rtl/>
        </w:rPr>
        <w:t> </w:t>
      </w:r>
      <w:r w:rsidRPr="00CC485D">
        <w:rPr>
          <w:rtl/>
        </w:rPr>
        <w:t>في ذلك عدد المكاتب الإقليمية ومكاتب المناطق</w:t>
      </w:r>
      <w:r w:rsidRPr="00CC485D">
        <w:rPr>
          <w:rFonts w:hint="eastAsia"/>
          <w:rtl/>
        </w:rPr>
        <w:t> </w:t>
      </w:r>
      <w:r w:rsidRPr="00CC485D">
        <w:rPr>
          <w:rtl/>
        </w:rPr>
        <w:t>وموقعها.</w:t>
      </w:r>
    </w:p>
    <w:p w14:paraId="0E244E5D" w14:textId="77777777" w:rsidR="00CC485D" w:rsidRPr="00CC485D" w:rsidRDefault="00CC485D" w:rsidP="00B73ADA">
      <w:pPr>
        <w:pStyle w:val="Heading1"/>
        <w:rPr>
          <w:rtl/>
          <w:lang w:bidi="ar-EG"/>
        </w:rPr>
      </w:pPr>
      <w:r w:rsidRPr="00CC485D">
        <w:rPr>
          <w:lang w:bidi="ar-EG"/>
        </w:rPr>
        <w:lastRenderedPageBreak/>
        <w:t>2</w:t>
      </w:r>
      <w:r w:rsidRPr="00CC485D">
        <w:rPr>
          <w:rtl/>
          <w:lang w:bidi="ar-EG"/>
        </w:rPr>
        <w:tab/>
      </w:r>
      <w:r w:rsidRPr="00CC485D">
        <w:rPr>
          <w:rFonts w:hint="cs"/>
          <w:rtl/>
          <w:lang w:bidi="ar-EG"/>
        </w:rPr>
        <w:t>المتطلبات الوظيفية</w:t>
      </w:r>
    </w:p>
    <w:p w14:paraId="21DEF777" w14:textId="77777777" w:rsidR="00CC485D" w:rsidRPr="00CC485D" w:rsidRDefault="00CC485D" w:rsidP="00EA4753">
      <w:pPr>
        <w:pStyle w:val="enumlev1"/>
        <w:rPr>
          <w:rtl/>
        </w:rPr>
      </w:pPr>
      <w:r w:rsidRPr="00CC485D">
        <w:t>1</w:t>
      </w:r>
      <w:r w:rsidRPr="00CC485D">
        <w:tab/>
      </w:r>
      <w:r w:rsidRPr="00CC485D">
        <w:rPr>
          <w:rFonts w:hint="cs"/>
          <w:rtl/>
        </w:rPr>
        <w:t>تحليل الغرض من الحضور الإقليمي للاتحاد ودوره في الإسهام في تنفيذ خطة الاتحاد الاستراتيجية للفترة</w:t>
      </w:r>
      <w:r w:rsidRPr="00CC485D">
        <w:rPr>
          <w:rFonts w:hint="eastAsia"/>
          <w:rtl/>
        </w:rPr>
        <w:t> </w:t>
      </w:r>
      <w:r w:rsidRPr="00CC485D">
        <w:t>2023</w:t>
      </w:r>
      <w:r w:rsidRPr="00CC485D">
        <w:noBreakHyphen/>
      </w:r>
      <w:proofErr w:type="gramStart"/>
      <w:r w:rsidRPr="00CC485D">
        <w:t>2020</w:t>
      </w:r>
      <w:r w:rsidRPr="00CC485D">
        <w:rPr>
          <w:rFonts w:hint="cs"/>
          <w:rtl/>
        </w:rPr>
        <w:t>؛</w:t>
      </w:r>
      <w:proofErr w:type="gramEnd"/>
    </w:p>
    <w:p w14:paraId="01C8541F" w14:textId="77777777" w:rsidR="00CC485D" w:rsidRPr="00CC485D" w:rsidRDefault="00CC485D" w:rsidP="00EA4753">
      <w:pPr>
        <w:pStyle w:val="enumlev1"/>
        <w:rPr>
          <w:spacing w:val="-2"/>
          <w:rtl/>
        </w:rPr>
      </w:pPr>
      <w:r w:rsidRPr="00CC485D">
        <w:rPr>
          <w:spacing w:val="-2"/>
        </w:rPr>
        <w:t>2</w:t>
      </w:r>
      <w:r w:rsidRPr="00CC485D">
        <w:rPr>
          <w:spacing w:val="-2"/>
        </w:rPr>
        <w:tab/>
      </w:r>
      <w:r w:rsidRPr="00CC485D">
        <w:rPr>
          <w:rFonts w:hint="cs"/>
          <w:spacing w:val="-2"/>
          <w:rtl/>
        </w:rPr>
        <w:t xml:space="preserve">تحليل كيفية ملاءمة الحضور الإقليمي للاتحاد لغرض تنفيذ خطط العمل المنبثقة عن المؤتمر العالمي لتنمية </w:t>
      </w:r>
      <w:proofErr w:type="gramStart"/>
      <w:r w:rsidRPr="00CC485D">
        <w:rPr>
          <w:rFonts w:hint="cs"/>
          <w:spacing w:val="-2"/>
          <w:rtl/>
        </w:rPr>
        <w:t>الاتصالات؛</w:t>
      </w:r>
      <w:proofErr w:type="gramEnd"/>
    </w:p>
    <w:p w14:paraId="7D4FCC1A" w14:textId="77777777" w:rsidR="00CC485D" w:rsidRPr="00CC485D" w:rsidRDefault="00CC485D" w:rsidP="00EA4753">
      <w:pPr>
        <w:pStyle w:val="enumlev1"/>
        <w:rPr>
          <w:rtl/>
        </w:rPr>
      </w:pPr>
      <w:r w:rsidRPr="00CC485D">
        <w:t>3</w:t>
      </w:r>
      <w:r w:rsidRPr="00CC485D">
        <w:tab/>
      </w:r>
      <w:r w:rsidRPr="00CC485D">
        <w:rPr>
          <w:rFonts w:hint="cs"/>
          <w:rtl/>
        </w:rPr>
        <w:t>عملاً بالقرار</w:t>
      </w:r>
      <w:r w:rsidRPr="00CC485D">
        <w:rPr>
          <w:rFonts w:hint="eastAsia"/>
          <w:rtl/>
        </w:rPr>
        <w:t> </w:t>
      </w:r>
      <w:r w:rsidRPr="00CC485D">
        <w:t>25</w:t>
      </w:r>
      <w:r w:rsidRPr="00CC485D">
        <w:rPr>
          <w:rFonts w:hint="cs"/>
          <w:rtl/>
        </w:rPr>
        <w:t xml:space="preserve"> (المراجَع في دبي،</w:t>
      </w:r>
      <w:r w:rsidRPr="00CC485D">
        <w:rPr>
          <w:rFonts w:hint="eastAsia"/>
          <w:rtl/>
        </w:rPr>
        <w:t> </w:t>
      </w:r>
      <w:proofErr w:type="gramStart"/>
      <w:r w:rsidRPr="00CC485D">
        <w:t>2018</w:t>
      </w:r>
      <w:r w:rsidRPr="00CC485D">
        <w:rPr>
          <w:rFonts w:hint="cs"/>
          <w:rtl/>
        </w:rPr>
        <w:t>)،</w:t>
      </w:r>
      <w:proofErr w:type="gramEnd"/>
      <w:r w:rsidRPr="00CC485D">
        <w:rPr>
          <w:rFonts w:hint="cs"/>
          <w:rtl/>
        </w:rPr>
        <w:t xml:space="preserve"> تحليل كيفية تنفيذ الحضور الإقليمي للأنشطة الإقليمية للاتحاد ككل، بما</w:t>
      </w:r>
      <w:r w:rsidRPr="00CC485D">
        <w:rPr>
          <w:rFonts w:hint="eastAsia"/>
          <w:rtl/>
        </w:rPr>
        <w:t> </w:t>
      </w:r>
      <w:r w:rsidRPr="00CC485D">
        <w:rPr>
          <w:rFonts w:hint="cs"/>
          <w:rtl/>
        </w:rPr>
        <w:t>فيها أنشطة مكتب الاتصالات الراديوية ومكتب تقييس الاتصالات والأمانة العامة؛</w:t>
      </w:r>
    </w:p>
    <w:p w14:paraId="7955ED0B" w14:textId="77777777" w:rsidR="00CC485D" w:rsidRPr="00CC485D" w:rsidRDefault="00CC485D" w:rsidP="00EA4753">
      <w:pPr>
        <w:pStyle w:val="enumlev1"/>
        <w:rPr>
          <w:rtl/>
        </w:rPr>
      </w:pPr>
      <w:r w:rsidRPr="00CC485D">
        <w:t>4</w:t>
      </w:r>
      <w:r w:rsidRPr="00CC485D">
        <w:tab/>
      </w:r>
      <w:r w:rsidRPr="00CC485D">
        <w:rPr>
          <w:rFonts w:hint="cs"/>
          <w:rtl/>
        </w:rPr>
        <w:t xml:space="preserve">تحليل دور المكاتب الإقليمية/الحضور الإقليمي داخل منظومة الأمم المتحدة وفي النظام الإيكولوجي لصناعة الاتصالات/تكنولوجيا المعلومات والاتصالات، على الصعيدين الوطني </w:t>
      </w:r>
      <w:proofErr w:type="gramStart"/>
      <w:r w:rsidRPr="00CC485D">
        <w:rPr>
          <w:rFonts w:hint="cs"/>
          <w:rtl/>
        </w:rPr>
        <w:t>والإقليمي؛</w:t>
      </w:r>
      <w:proofErr w:type="gramEnd"/>
    </w:p>
    <w:p w14:paraId="7073A99E" w14:textId="77777777" w:rsidR="00CC485D" w:rsidRPr="00CC485D" w:rsidRDefault="00CC485D" w:rsidP="00EA4753">
      <w:pPr>
        <w:pStyle w:val="enumlev1"/>
        <w:rPr>
          <w:rtl/>
        </w:rPr>
      </w:pPr>
      <w:r w:rsidRPr="00CC485D">
        <w:t>5</w:t>
      </w:r>
      <w:r w:rsidRPr="00CC485D">
        <w:tab/>
      </w:r>
      <w:r w:rsidRPr="00CC485D">
        <w:rPr>
          <w:rFonts w:hint="cs"/>
          <w:rtl/>
        </w:rPr>
        <w:t>مساعدة فريق إدارة الاتحاد في تعريف (إعادة</w:t>
      </w:r>
      <w:r w:rsidRPr="00CC485D">
        <w:rPr>
          <w:rFonts w:hint="eastAsia"/>
          <w:rtl/>
        </w:rPr>
        <w:t> </w:t>
      </w:r>
      <w:r w:rsidRPr="00CC485D">
        <w:rPr>
          <w:rFonts w:hint="cs"/>
          <w:rtl/>
        </w:rPr>
        <w:t xml:space="preserve">تعريف) دور الحضور الإقليمي للاتحاد وهيكله </w:t>
      </w:r>
      <w:proofErr w:type="gramStart"/>
      <w:r w:rsidRPr="00CC485D">
        <w:rPr>
          <w:rFonts w:hint="cs"/>
          <w:rtl/>
        </w:rPr>
        <w:t>وأهدافه؛</w:t>
      </w:r>
      <w:proofErr w:type="gramEnd"/>
    </w:p>
    <w:p w14:paraId="203EFE86" w14:textId="77777777" w:rsidR="00CC485D" w:rsidRPr="00CC485D" w:rsidRDefault="00CC485D" w:rsidP="00EA4753">
      <w:pPr>
        <w:pStyle w:val="enumlev1"/>
        <w:rPr>
          <w:rtl/>
          <w:lang w:bidi="ar-EG"/>
        </w:rPr>
      </w:pPr>
      <w:r w:rsidRPr="00CC485D">
        <w:t>6</w:t>
      </w:r>
      <w:r w:rsidRPr="00CC485D">
        <w:tab/>
      </w:r>
      <w:r w:rsidRPr="00CC485D">
        <w:rPr>
          <w:rFonts w:hint="cs"/>
          <w:rtl/>
          <w:lang w:bidi="ar-EG"/>
        </w:rPr>
        <w:t xml:space="preserve">المساعدة في تحسين قياس أداء المكاتب الإقليمية (طبقاً للتوصيات ذات الصلة للمراجع الخارجي </w:t>
      </w:r>
      <w:proofErr w:type="gramStart"/>
      <w:r w:rsidRPr="00CC485D">
        <w:rPr>
          <w:rFonts w:hint="cs"/>
          <w:rtl/>
          <w:lang w:bidi="ar-EG"/>
        </w:rPr>
        <w:t>للحسابات)،</w:t>
      </w:r>
      <w:proofErr w:type="gramEnd"/>
      <w:r w:rsidRPr="00CC485D">
        <w:rPr>
          <w:rFonts w:hint="cs"/>
          <w:rtl/>
          <w:lang w:bidi="ar-EG"/>
        </w:rPr>
        <w:t xml:space="preserve"> وذلك</w:t>
      </w:r>
      <w:r w:rsidRPr="00CC485D">
        <w:rPr>
          <w:rFonts w:hint="eastAsia"/>
          <w:rtl/>
          <w:lang w:bidi="ar-EG"/>
        </w:rPr>
        <w:t> </w:t>
      </w:r>
      <w:r w:rsidRPr="00CC485D">
        <w:rPr>
          <w:rFonts w:hint="cs"/>
          <w:rtl/>
          <w:lang w:bidi="ar-EG"/>
        </w:rPr>
        <w:t>من خلال:</w:t>
      </w:r>
    </w:p>
    <w:p w14:paraId="2BB7125A" w14:textId="77777777" w:rsidR="00CC485D" w:rsidRPr="00CC485D" w:rsidRDefault="00CC485D" w:rsidP="009456B3">
      <w:pPr>
        <w:pStyle w:val="enumlev2"/>
        <w:rPr>
          <w:rtl/>
        </w:rPr>
      </w:pPr>
      <w:r w:rsidRPr="00CC485D">
        <w:rPr>
          <w:rFonts w:hint="eastAsia"/>
          <w:rtl/>
        </w:rPr>
        <w:t> </w:t>
      </w:r>
      <w:proofErr w:type="gramStart"/>
      <w:r w:rsidRPr="00CC485D">
        <w:rPr>
          <w:rFonts w:hint="cs"/>
          <w:rtl/>
        </w:rPr>
        <w:t>أ</w:t>
      </w:r>
      <w:r w:rsidRPr="00CC485D">
        <w:rPr>
          <w:rFonts w:hint="eastAsia"/>
          <w:rtl/>
        </w:rPr>
        <w:t> </w:t>
      </w:r>
      <w:r w:rsidRPr="00CC485D">
        <w:rPr>
          <w:rFonts w:hint="cs"/>
          <w:rtl/>
        </w:rPr>
        <w:t>)</w:t>
      </w:r>
      <w:proofErr w:type="gramEnd"/>
      <w:r w:rsidRPr="00CC485D">
        <w:rPr>
          <w:rFonts w:hint="cs"/>
          <w:rtl/>
        </w:rPr>
        <w:tab/>
        <w:t>تحديد أهداف محددة وقابلة للقياس لمكتب تنمية الاتصالات في المقر والمكاتب الإقليمية؛</w:t>
      </w:r>
    </w:p>
    <w:p w14:paraId="2947DEF6" w14:textId="53E9BF65" w:rsidR="00CC485D" w:rsidRPr="00CC485D" w:rsidRDefault="00CC485D" w:rsidP="009456B3">
      <w:pPr>
        <w:pStyle w:val="enumlev2"/>
        <w:rPr>
          <w:rtl/>
        </w:rPr>
      </w:pPr>
      <w:r w:rsidRPr="00CC485D">
        <w:rPr>
          <w:rFonts w:hint="cs"/>
          <w:rtl/>
        </w:rPr>
        <w:t>ب)</w:t>
      </w:r>
      <w:r w:rsidRPr="00CC485D">
        <w:rPr>
          <w:rFonts w:hint="cs"/>
          <w:rtl/>
        </w:rPr>
        <w:tab/>
        <w:t>إرساء عمليات رقابة رئيسية فعّالة ومؤشرات أداء رئيسية قوية تغطي كامل نطاق الأنشطة التي تؤدى محلياً، من المساعدة التقنية إلى الإدارة المالية والسفر في مهام رسمية واستقدام غير</w:t>
      </w:r>
      <w:r w:rsidRPr="00CC485D">
        <w:rPr>
          <w:rFonts w:hint="eastAsia"/>
          <w:rtl/>
        </w:rPr>
        <w:t> </w:t>
      </w:r>
      <w:r w:rsidRPr="00CC485D">
        <w:rPr>
          <w:rFonts w:hint="cs"/>
          <w:rtl/>
        </w:rPr>
        <w:t>الموظفين</w:t>
      </w:r>
      <w:r w:rsidR="00B32798">
        <w:rPr>
          <w:rFonts w:hint="cs"/>
          <w:rtl/>
        </w:rPr>
        <w:t>.</w:t>
      </w:r>
    </w:p>
    <w:p w14:paraId="45415C28" w14:textId="036C3A99" w:rsidR="00CC485D" w:rsidRPr="009863A1" w:rsidRDefault="00CC485D" w:rsidP="00EA4753">
      <w:pPr>
        <w:pStyle w:val="enumlev1"/>
        <w:rPr>
          <w:spacing w:val="2"/>
          <w:rtl/>
          <w:lang w:bidi="ar-EG"/>
        </w:rPr>
      </w:pPr>
      <w:r w:rsidRPr="009863A1">
        <w:rPr>
          <w:spacing w:val="2"/>
          <w:lang w:bidi="ar-EG"/>
        </w:rPr>
        <w:t>7</w:t>
      </w:r>
      <w:r w:rsidRPr="009863A1">
        <w:rPr>
          <w:spacing w:val="2"/>
          <w:lang w:bidi="ar-EG"/>
        </w:rPr>
        <w:tab/>
      </w:r>
      <w:r w:rsidRPr="009863A1">
        <w:rPr>
          <w:rFonts w:hint="cs"/>
          <w:spacing w:val="2"/>
          <w:rtl/>
        </w:rPr>
        <w:t>تحديد تدابير من أجل تحسين مستوى عمليات الرقابة الداخلية في المكاتب الإقليمية ومكاتب المناطق من أجل الحيلولة دون وقوع حالات أخرى من الاحتيال تشبه حالة الاحتيال التي تم اكتشافها، ومن أجل ضمان التنفيذ العاجل للتوصيات المعلّقة المقدمة من المراجع الداخلي والمراجع الخارجي للحسابات واللجنة الاستشارية المستقلة للإدارة</w:t>
      </w:r>
      <w:r w:rsidR="00B32798" w:rsidRPr="009863A1">
        <w:rPr>
          <w:rFonts w:hint="cs"/>
          <w:spacing w:val="2"/>
          <w:rtl/>
        </w:rPr>
        <w:t>.</w:t>
      </w:r>
    </w:p>
    <w:p w14:paraId="77794DBC" w14:textId="77777777" w:rsidR="00CC485D" w:rsidRPr="00CC485D" w:rsidRDefault="00CC485D" w:rsidP="00EA4753">
      <w:pPr>
        <w:pStyle w:val="enumlev1"/>
        <w:rPr>
          <w:rtl/>
          <w:lang w:bidi="ar-EG"/>
        </w:rPr>
      </w:pPr>
      <w:r w:rsidRPr="00CC485D">
        <w:rPr>
          <w:lang w:bidi="ar-EG"/>
        </w:rPr>
        <w:t>8</w:t>
      </w:r>
      <w:r w:rsidRPr="00CC485D">
        <w:rPr>
          <w:rtl/>
          <w:lang w:bidi="ar-EG"/>
        </w:rPr>
        <w:tab/>
      </w:r>
      <w:r w:rsidRPr="00CC485D">
        <w:rPr>
          <w:rFonts w:hint="cs"/>
          <w:rtl/>
        </w:rPr>
        <w:t>المساعدة في إعادة تحديد دور المديرين الإقليميين</w:t>
      </w:r>
      <w:r w:rsidRPr="00CC485D">
        <w:rPr>
          <w:rtl/>
        </w:rPr>
        <w:t xml:space="preserve"> كمشرفين على تنفيذ المشاريع والمبادرات </w:t>
      </w:r>
      <w:r w:rsidRPr="00CC485D">
        <w:rPr>
          <w:rFonts w:hint="cs"/>
          <w:rtl/>
        </w:rPr>
        <w:t>وكمديرين</w:t>
      </w:r>
      <w:r w:rsidRPr="00CC485D">
        <w:rPr>
          <w:rtl/>
        </w:rPr>
        <w:t xml:space="preserve"> للموارد المالية على المستوى</w:t>
      </w:r>
      <w:r w:rsidRPr="00CC485D">
        <w:rPr>
          <w:rFonts w:hint="cs"/>
          <w:rtl/>
        </w:rPr>
        <w:t> </w:t>
      </w:r>
      <w:proofErr w:type="gramStart"/>
      <w:r w:rsidRPr="00CC485D">
        <w:rPr>
          <w:rtl/>
        </w:rPr>
        <w:t>المحلي</w:t>
      </w:r>
      <w:r w:rsidRPr="00CC485D">
        <w:rPr>
          <w:rFonts w:hint="cs"/>
          <w:rtl/>
        </w:rPr>
        <w:t>؛</w:t>
      </w:r>
      <w:proofErr w:type="gramEnd"/>
    </w:p>
    <w:p w14:paraId="03A81206" w14:textId="77777777" w:rsidR="00CC485D" w:rsidRPr="00CC485D" w:rsidRDefault="00CC485D" w:rsidP="00EA4753">
      <w:pPr>
        <w:pStyle w:val="enumlev1"/>
        <w:rPr>
          <w:rtl/>
        </w:rPr>
      </w:pPr>
      <w:r w:rsidRPr="00CC485D">
        <w:t>9</w:t>
      </w:r>
      <w:r w:rsidRPr="00CC485D">
        <w:tab/>
      </w:r>
      <w:r w:rsidRPr="00CC485D">
        <w:rPr>
          <w:rFonts w:hint="cs"/>
          <w:rtl/>
        </w:rPr>
        <w:t xml:space="preserve">تقييم عمل الحضور الإقليمي للاتحاد مع مختلف الشركاء في النظام الإيكولوجي لتكنولوجيا المعلومات والاتصالات بهدف تيسير مناقشة المسائل </w:t>
      </w:r>
      <w:proofErr w:type="gramStart"/>
      <w:r w:rsidRPr="00CC485D">
        <w:rPr>
          <w:rFonts w:hint="cs"/>
          <w:rtl/>
        </w:rPr>
        <w:t>الإقليمية؛</w:t>
      </w:r>
      <w:proofErr w:type="gramEnd"/>
    </w:p>
    <w:p w14:paraId="61C812DF" w14:textId="77777777" w:rsidR="00CC485D" w:rsidRPr="00CC485D" w:rsidRDefault="00CC485D" w:rsidP="00EA4753">
      <w:pPr>
        <w:pStyle w:val="enumlev1"/>
        <w:rPr>
          <w:rtl/>
        </w:rPr>
      </w:pPr>
      <w:r w:rsidRPr="00CC485D">
        <w:t>10</w:t>
      </w:r>
      <w:r w:rsidRPr="00CC485D">
        <w:tab/>
      </w:r>
      <w:r w:rsidRPr="00CC485D">
        <w:rPr>
          <w:rFonts w:hint="cs"/>
          <w:rtl/>
        </w:rPr>
        <w:t>تقييم دور الحضور الإقليمي في تعزيز دور الاتحاد كوكالة تنفيذية تُعنى بتنفيذ المشاريع (وفقاً للقرار</w:t>
      </w:r>
      <w:r w:rsidRPr="00CC485D">
        <w:rPr>
          <w:rFonts w:hint="eastAsia"/>
          <w:rtl/>
        </w:rPr>
        <w:t> </w:t>
      </w:r>
      <w:r w:rsidRPr="00CC485D">
        <w:t>135</w:t>
      </w:r>
      <w:r w:rsidRPr="00CC485D">
        <w:rPr>
          <w:rFonts w:hint="cs"/>
          <w:rtl/>
        </w:rPr>
        <w:t xml:space="preserve"> لمؤتمر المندوبين المفوضين</w:t>
      </w:r>
      <w:r w:rsidRPr="00CC485D">
        <w:rPr>
          <w:rFonts w:hint="cs"/>
          <w:rtl/>
          <w:lang w:bidi="ar-EG"/>
        </w:rPr>
        <w:t xml:space="preserve"> </w:t>
      </w:r>
      <w:r w:rsidRPr="00CC485D">
        <w:rPr>
          <w:lang w:bidi="ar-EG"/>
        </w:rPr>
        <w:t>(PP)</w:t>
      </w:r>
      <w:r w:rsidRPr="00CC485D">
        <w:rPr>
          <w:rFonts w:hint="cs"/>
          <w:rtl/>
        </w:rPr>
        <w:t xml:space="preserve">، بشأن تقديم المساعدة التقنية وتنفيذ </w:t>
      </w:r>
      <w:proofErr w:type="gramStart"/>
      <w:r w:rsidRPr="00CC485D">
        <w:rPr>
          <w:rFonts w:hint="cs"/>
          <w:rtl/>
        </w:rPr>
        <w:t>المشاريع)؛</w:t>
      </w:r>
      <w:proofErr w:type="gramEnd"/>
    </w:p>
    <w:p w14:paraId="5388D2AC" w14:textId="7CC75CBB" w:rsidR="00CC485D" w:rsidRPr="00CC485D" w:rsidRDefault="00CC485D" w:rsidP="00EA4753">
      <w:pPr>
        <w:pStyle w:val="enumlev1"/>
        <w:rPr>
          <w:spacing w:val="-2"/>
          <w:rtl/>
          <w:lang w:bidi="ar-EG"/>
        </w:rPr>
      </w:pPr>
      <w:r w:rsidRPr="00CC485D">
        <w:rPr>
          <w:spacing w:val="-2"/>
        </w:rPr>
        <w:t>11</w:t>
      </w:r>
      <w:r w:rsidRPr="00CC485D">
        <w:rPr>
          <w:spacing w:val="-2"/>
        </w:rPr>
        <w:tab/>
      </w:r>
      <w:r w:rsidRPr="00CC485D">
        <w:rPr>
          <w:rFonts w:hint="cs"/>
          <w:spacing w:val="-2"/>
          <w:rtl/>
        </w:rPr>
        <w:t>استعراض الدعم المقدم من المكاتب الإقليمية في العمليات التحضيرية الإقليمية لمؤتمرات الاتحاد الرئيسية، بما</w:t>
      </w:r>
      <w:r w:rsidRPr="00CC485D">
        <w:rPr>
          <w:rFonts w:hint="eastAsia"/>
          <w:spacing w:val="-2"/>
          <w:rtl/>
        </w:rPr>
        <w:t> </w:t>
      </w:r>
      <w:r w:rsidRPr="00CC485D">
        <w:rPr>
          <w:rFonts w:hint="cs"/>
          <w:spacing w:val="-2"/>
          <w:rtl/>
        </w:rPr>
        <w:t>فيها مؤتمر المندوبين المفوضين والجمعية العالمية لتقييس الاتصالات والمؤتمر العالمي لتنمية الاتصالات والمؤتمر العالمي للاتصالات الراديوية، وكذلك الدعم المقدم من المكاتب الإقليمية في الأحداث العالمية الكبرى التي ينظمها الاتحاد في</w:t>
      </w:r>
      <w:r w:rsidR="00C55067">
        <w:rPr>
          <w:rFonts w:hint="eastAsia"/>
          <w:spacing w:val="-2"/>
          <w:rtl/>
        </w:rPr>
        <w:t> </w:t>
      </w:r>
      <w:r w:rsidRPr="00CC485D">
        <w:rPr>
          <w:rFonts w:hint="cs"/>
          <w:spacing w:val="-2"/>
          <w:rtl/>
        </w:rPr>
        <w:t xml:space="preserve">كل من المناطق </w:t>
      </w:r>
      <w:proofErr w:type="gramStart"/>
      <w:r w:rsidRPr="00CC485D">
        <w:rPr>
          <w:rFonts w:hint="cs"/>
          <w:spacing w:val="-2"/>
          <w:rtl/>
        </w:rPr>
        <w:t>المعنية؛</w:t>
      </w:r>
      <w:proofErr w:type="gramEnd"/>
    </w:p>
    <w:p w14:paraId="4306EC46" w14:textId="77777777" w:rsidR="00CC485D" w:rsidRPr="00CC485D" w:rsidRDefault="00CC485D" w:rsidP="00EA4753">
      <w:pPr>
        <w:pStyle w:val="enumlev1"/>
        <w:rPr>
          <w:rtl/>
        </w:rPr>
      </w:pPr>
      <w:r w:rsidRPr="00CC485D">
        <w:t>12</w:t>
      </w:r>
      <w:r w:rsidRPr="00CC485D">
        <w:tab/>
      </w:r>
      <w:r w:rsidRPr="00CC485D">
        <w:rPr>
          <w:rFonts w:hint="cs"/>
          <w:rtl/>
        </w:rPr>
        <w:t xml:space="preserve">استعراض دور المكاتب الإقليمية في دعم الأفرقة الإقليمية للجان الدراسات (وفقاً للقرارات ذات الصلة للجمعية العالمية لتقييس الاتصالات والمؤتمر العالمي لتنمية </w:t>
      </w:r>
      <w:proofErr w:type="gramStart"/>
      <w:r w:rsidRPr="00CC485D">
        <w:rPr>
          <w:rFonts w:hint="cs"/>
          <w:rtl/>
        </w:rPr>
        <w:t>الاتصالات)؛</w:t>
      </w:r>
      <w:proofErr w:type="gramEnd"/>
    </w:p>
    <w:p w14:paraId="7BA30075" w14:textId="77777777" w:rsidR="00CC485D" w:rsidRPr="00CC485D" w:rsidRDefault="00CC485D" w:rsidP="00EA4753">
      <w:pPr>
        <w:pStyle w:val="enumlev1"/>
        <w:rPr>
          <w:rtl/>
          <w:lang w:bidi="ar-EG"/>
        </w:rPr>
      </w:pPr>
      <w:r w:rsidRPr="00CC485D">
        <w:t>13</w:t>
      </w:r>
      <w:r w:rsidRPr="00CC485D">
        <w:tab/>
      </w:r>
      <w:r w:rsidRPr="00CC485D">
        <w:rPr>
          <w:rtl/>
        </w:rPr>
        <w:t>استعراض الإجراءات الإدارية الداخلية المتصلة بأعمال المكاتب الإقليمية، بغية تبسيطها وتحقيق شفافيتها وتعزيز كفاءة العمل</w:t>
      </w:r>
      <w:r w:rsidRPr="00CC485D">
        <w:rPr>
          <w:rFonts w:hint="cs"/>
          <w:rtl/>
        </w:rPr>
        <w:t xml:space="preserve"> (مع التركيز على إجراءات التنظيم المسبق والتنظيم </w:t>
      </w:r>
      <w:proofErr w:type="gramStart"/>
      <w:r w:rsidRPr="00CC485D">
        <w:rPr>
          <w:rFonts w:hint="cs"/>
          <w:rtl/>
        </w:rPr>
        <w:t>اللاحق)،</w:t>
      </w:r>
      <w:proofErr w:type="gramEnd"/>
      <w:r w:rsidRPr="00CC485D">
        <w:rPr>
          <w:rFonts w:hint="cs"/>
          <w:rtl/>
        </w:rPr>
        <w:t xml:space="preserve"> بما</w:t>
      </w:r>
      <w:r w:rsidRPr="00CC485D">
        <w:rPr>
          <w:rFonts w:hint="eastAsia"/>
          <w:rtl/>
        </w:rPr>
        <w:t> </w:t>
      </w:r>
      <w:r w:rsidRPr="00CC485D">
        <w:rPr>
          <w:rFonts w:hint="cs"/>
          <w:rtl/>
        </w:rPr>
        <w:t>يشمل ما</w:t>
      </w:r>
      <w:r w:rsidRPr="00CC485D">
        <w:rPr>
          <w:rFonts w:hint="eastAsia"/>
          <w:rtl/>
        </w:rPr>
        <w:t> </w:t>
      </w:r>
      <w:r w:rsidRPr="00CC485D">
        <w:rPr>
          <w:rFonts w:hint="cs"/>
          <w:rtl/>
        </w:rPr>
        <w:t>يلي:</w:t>
      </w:r>
    </w:p>
    <w:p w14:paraId="37559033" w14:textId="77777777" w:rsidR="00CC485D" w:rsidRPr="00CC485D" w:rsidRDefault="00CC485D" w:rsidP="009456B3">
      <w:pPr>
        <w:pStyle w:val="enumlev2"/>
        <w:rPr>
          <w:rtl/>
        </w:rPr>
      </w:pPr>
      <w:r w:rsidRPr="00CC485D">
        <w:rPr>
          <w:rFonts w:hint="eastAsia"/>
          <w:rtl/>
        </w:rPr>
        <w:t> </w:t>
      </w:r>
      <w:proofErr w:type="gramStart"/>
      <w:r w:rsidRPr="00CC485D">
        <w:rPr>
          <w:rFonts w:hint="cs"/>
          <w:rtl/>
        </w:rPr>
        <w:t>أ</w:t>
      </w:r>
      <w:r w:rsidRPr="00CC485D">
        <w:rPr>
          <w:rFonts w:hint="eastAsia"/>
          <w:rtl/>
        </w:rPr>
        <w:t> </w:t>
      </w:r>
      <w:r w:rsidRPr="00CC485D">
        <w:rPr>
          <w:rFonts w:hint="cs"/>
          <w:rtl/>
        </w:rPr>
        <w:t>)</w:t>
      </w:r>
      <w:proofErr w:type="gramEnd"/>
      <w:r w:rsidRPr="00CC485D">
        <w:rPr>
          <w:rFonts w:hint="cs"/>
          <w:rtl/>
        </w:rPr>
        <w:tab/>
        <w:t>تحليل طبيعة الاتصال الداخلي بين المكاتب الإقليمية/الحضور الإقليمي والمقر، ولا</w:t>
      </w:r>
      <w:r w:rsidRPr="00CC485D">
        <w:rPr>
          <w:rFonts w:hint="eastAsia"/>
          <w:rtl/>
        </w:rPr>
        <w:t> </w:t>
      </w:r>
      <w:r w:rsidRPr="00CC485D">
        <w:rPr>
          <w:rFonts w:hint="cs"/>
          <w:rtl/>
        </w:rPr>
        <w:t>سيما مكتب تنمية الاتصالات ومكتب تقييس الاتصالات ومكتب الاتصالات الراديوية والأمانة العامة؛</w:t>
      </w:r>
    </w:p>
    <w:p w14:paraId="6889CC91" w14:textId="77777777" w:rsidR="00CC485D" w:rsidRPr="00CC485D" w:rsidRDefault="00CC485D" w:rsidP="009456B3">
      <w:pPr>
        <w:pStyle w:val="enumlev2"/>
        <w:rPr>
          <w:lang w:bidi="ar-EG"/>
        </w:rPr>
      </w:pPr>
      <w:r w:rsidRPr="00CC485D">
        <w:rPr>
          <w:rFonts w:hint="cs"/>
          <w:rtl/>
        </w:rPr>
        <w:t>ب)</w:t>
      </w:r>
      <w:r w:rsidRPr="00CC485D">
        <w:rPr>
          <w:rFonts w:hint="cs"/>
          <w:rtl/>
        </w:rPr>
        <w:tab/>
        <w:t>تقييم آليات تعزيز الخبرة المتخصصة في المكاتب الإقليمية، بما</w:t>
      </w:r>
      <w:r w:rsidRPr="00CC485D">
        <w:rPr>
          <w:rFonts w:hint="eastAsia"/>
          <w:rtl/>
        </w:rPr>
        <w:t> </w:t>
      </w:r>
      <w:r w:rsidRPr="00CC485D">
        <w:rPr>
          <w:rFonts w:hint="cs"/>
          <w:rtl/>
        </w:rPr>
        <w:t>في</w:t>
      </w:r>
      <w:r w:rsidRPr="00CC485D">
        <w:rPr>
          <w:rFonts w:hint="eastAsia"/>
          <w:rtl/>
        </w:rPr>
        <w:t> </w:t>
      </w:r>
      <w:r w:rsidRPr="00CC485D">
        <w:rPr>
          <w:rFonts w:hint="cs"/>
          <w:rtl/>
        </w:rPr>
        <w:t>ذلك مدى إمكانية تطبيق سياسة التنقل الوظيفي في</w:t>
      </w:r>
      <w:r w:rsidRPr="00CC485D">
        <w:rPr>
          <w:rFonts w:hint="eastAsia"/>
          <w:rtl/>
        </w:rPr>
        <w:t> </w:t>
      </w:r>
      <w:r w:rsidRPr="00CC485D">
        <w:rPr>
          <w:rFonts w:hint="cs"/>
          <w:rtl/>
        </w:rPr>
        <w:t>الاتحاد؛</w:t>
      </w:r>
    </w:p>
    <w:p w14:paraId="0979C0EE" w14:textId="103541FB" w:rsidR="00CC485D" w:rsidRPr="00CC485D" w:rsidRDefault="00CC485D" w:rsidP="009456B3">
      <w:pPr>
        <w:pStyle w:val="enumlev2"/>
        <w:rPr>
          <w:rtl/>
        </w:rPr>
      </w:pPr>
      <w:r w:rsidRPr="00CC485D">
        <w:rPr>
          <w:rFonts w:hint="cs"/>
          <w:rtl/>
        </w:rPr>
        <w:t>ج)</w:t>
      </w:r>
      <w:r w:rsidRPr="00CC485D">
        <w:rPr>
          <w:rFonts w:hint="cs"/>
          <w:rtl/>
        </w:rPr>
        <w:tab/>
      </w:r>
      <w:r w:rsidRPr="00CC485D">
        <w:rPr>
          <w:rFonts w:hint="cs"/>
          <w:rtl/>
          <w:lang w:bidi="ar-EG"/>
        </w:rPr>
        <w:t>فحص الإدارة المالية في المكاتب الإقليمية ومكاتب المناطق وأنشطة المشتريات المنفذة فيها</w:t>
      </w:r>
      <w:r w:rsidR="00B32798">
        <w:rPr>
          <w:rFonts w:hint="cs"/>
          <w:rtl/>
          <w:lang w:bidi="ar-EG"/>
        </w:rPr>
        <w:t>.</w:t>
      </w:r>
    </w:p>
    <w:p w14:paraId="1EEB0D4E" w14:textId="77777777" w:rsidR="00CC485D" w:rsidRPr="005C1353" w:rsidRDefault="00CC485D" w:rsidP="00AC034A">
      <w:pPr>
        <w:pStyle w:val="enumlev1"/>
        <w:rPr>
          <w:spacing w:val="2"/>
          <w:rtl/>
        </w:rPr>
      </w:pPr>
      <w:r w:rsidRPr="005C1353">
        <w:rPr>
          <w:spacing w:val="2"/>
        </w:rPr>
        <w:t>14</w:t>
      </w:r>
      <w:r w:rsidRPr="005C1353">
        <w:rPr>
          <w:spacing w:val="2"/>
          <w:rtl/>
        </w:rPr>
        <w:tab/>
      </w:r>
      <w:r w:rsidRPr="005C1353">
        <w:rPr>
          <w:rFonts w:hint="cs"/>
          <w:spacing w:val="2"/>
          <w:rtl/>
        </w:rPr>
        <w:t>الاضطلاع بجميع الأنشطة اللازمة لإجراء استعراض الحضور الإقليمي والتشاور مع جميع أصحاب المصلحة، بما</w:t>
      </w:r>
      <w:r w:rsidRPr="005C1353">
        <w:rPr>
          <w:rFonts w:hint="eastAsia"/>
          <w:spacing w:val="2"/>
          <w:rtl/>
        </w:rPr>
        <w:t> </w:t>
      </w:r>
      <w:r w:rsidRPr="005C1353">
        <w:rPr>
          <w:rFonts w:hint="cs"/>
          <w:spacing w:val="2"/>
          <w:rtl/>
        </w:rPr>
        <w:t>يشمل ما</w:t>
      </w:r>
      <w:r w:rsidRPr="005C1353">
        <w:rPr>
          <w:rFonts w:hint="eastAsia"/>
          <w:spacing w:val="2"/>
          <w:rtl/>
        </w:rPr>
        <w:t> </w:t>
      </w:r>
      <w:r w:rsidRPr="005C1353">
        <w:rPr>
          <w:rFonts w:hint="cs"/>
          <w:spacing w:val="2"/>
          <w:rtl/>
        </w:rPr>
        <w:t>يلي:</w:t>
      </w:r>
    </w:p>
    <w:p w14:paraId="3A6A2E92" w14:textId="77777777" w:rsidR="00CC485D" w:rsidRPr="00CC485D" w:rsidRDefault="00CC485D" w:rsidP="00AC034A">
      <w:pPr>
        <w:pStyle w:val="enumlev2"/>
        <w:rPr>
          <w:rtl/>
        </w:rPr>
      </w:pPr>
      <w:r w:rsidRPr="00CC485D">
        <w:rPr>
          <w:rFonts w:hint="eastAsia"/>
          <w:rtl/>
        </w:rPr>
        <w:t> </w:t>
      </w:r>
      <w:proofErr w:type="gramStart"/>
      <w:r w:rsidRPr="00CC485D">
        <w:rPr>
          <w:rFonts w:hint="cs"/>
          <w:rtl/>
        </w:rPr>
        <w:t>أ</w:t>
      </w:r>
      <w:r w:rsidRPr="00CC485D">
        <w:rPr>
          <w:rFonts w:hint="eastAsia"/>
          <w:rtl/>
        </w:rPr>
        <w:t> </w:t>
      </w:r>
      <w:r w:rsidRPr="00CC485D">
        <w:rPr>
          <w:rFonts w:hint="cs"/>
          <w:rtl/>
        </w:rPr>
        <w:t>)</w:t>
      </w:r>
      <w:proofErr w:type="gramEnd"/>
      <w:r w:rsidRPr="00CC485D">
        <w:rPr>
          <w:rFonts w:hint="cs"/>
          <w:rtl/>
        </w:rPr>
        <w:tab/>
        <w:t>إعداد نماذج الاستبيانات/المبادئ التوجيهية لإجراء المقابلات؛</w:t>
      </w:r>
    </w:p>
    <w:p w14:paraId="16896A96" w14:textId="77777777" w:rsidR="00CC485D" w:rsidRPr="00CC485D" w:rsidRDefault="00CC485D" w:rsidP="00AC034A">
      <w:pPr>
        <w:pStyle w:val="enumlev2"/>
        <w:rPr>
          <w:rtl/>
        </w:rPr>
      </w:pPr>
      <w:r w:rsidRPr="00CC485D">
        <w:rPr>
          <w:rFonts w:hint="cs"/>
          <w:rtl/>
        </w:rPr>
        <w:t>ب)</w:t>
      </w:r>
      <w:r w:rsidRPr="00CC485D">
        <w:rPr>
          <w:rFonts w:hint="cs"/>
          <w:rtl/>
        </w:rPr>
        <w:tab/>
        <w:t>إعداد خطة الاتصال ومبادرة الاتصال في المنظمة نفسها؛</w:t>
      </w:r>
    </w:p>
    <w:p w14:paraId="30CAC446" w14:textId="77777777" w:rsidR="00CC485D" w:rsidRPr="00CC485D" w:rsidRDefault="00CC485D" w:rsidP="00AC034A">
      <w:pPr>
        <w:pStyle w:val="enumlev2"/>
        <w:rPr>
          <w:rtl/>
          <w:lang w:bidi="ar-EG"/>
        </w:rPr>
      </w:pPr>
      <w:r w:rsidRPr="00CC485D">
        <w:rPr>
          <w:rFonts w:hint="cs"/>
          <w:rtl/>
        </w:rPr>
        <w:lastRenderedPageBreak/>
        <w:t>ج)</w:t>
      </w:r>
      <w:r w:rsidRPr="00CC485D">
        <w:rPr>
          <w:rFonts w:hint="cs"/>
          <w:rtl/>
        </w:rPr>
        <w:tab/>
        <w:t xml:space="preserve">جمع البيانات وإجراء مقابلات والتشاور مع ممثلي جميع أصحاب المصلحة </w:t>
      </w:r>
      <w:r w:rsidRPr="00CC485D">
        <w:rPr>
          <w:rFonts w:hint="cs"/>
          <w:rtl/>
          <w:lang w:bidi="ar-EG"/>
        </w:rPr>
        <w:t>في</w:t>
      </w:r>
      <w:r w:rsidRPr="00CC485D">
        <w:rPr>
          <w:rFonts w:hint="cs"/>
          <w:rtl/>
        </w:rPr>
        <w:t xml:space="preserve"> الاتحاد، بمن فيهم ممثلو الدول الأعضاء وممثلو أعضاء قطاعات الاتحاد وممثلو موظفي الاتحاد؛</w:t>
      </w:r>
    </w:p>
    <w:p w14:paraId="6DD88BB7" w14:textId="77777777" w:rsidR="00CC485D" w:rsidRPr="00CC485D" w:rsidRDefault="00CC485D" w:rsidP="00AC034A">
      <w:pPr>
        <w:pStyle w:val="enumlev2"/>
        <w:rPr>
          <w:rtl/>
        </w:rPr>
      </w:pPr>
      <w:proofErr w:type="gramStart"/>
      <w:r w:rsidRPr="00CC485D">
        <w:rPr>
          <w:rFonts w:hint="cs"/>
          <w:rtl/>
        </w:rPr>
        <w:t>د</w:t>
      </w:r>
      <w:r w:rsidRPr="00CC485D">
        <w:rPr>
          <w:rFonts w:hint="eastAsia"/>
          <w:rtl/>
        </w:rPr>
        <w:t> </w:t>
      </w:r>
      <w:r w:rsidRPr="00CC485D">
        <w:rPr>
          <w:rFonts w:hint="cs"/>
          <w:rtl/>
        </w:rPr>
        <w:t>)</w:t>
      </w:r>
      <w:proofErr w:type="gramEnd"/>
      <w:r w:rsidRPr="00CC485D">
        <w:rPr>
          <w:rFonts w:hint="cs"/>
          <w:rtl/>
        </w:rPr>
        <w:tab/>
        <w:t>معالجة البيانات وتحليلها وإعداد التقارير؛</w:t>
      </w:r>
    </w:p>
    <w:p w14:paraId="2774E6F7" w14:textId="7D5C8699" w:rsidR="00CC485D" w:rsidRPr="00CC485D" w:rsidRDefault="00CC485D" w:rsidP="00AC034A">
      <w:pPr>
        <w:pStyle w:val="enumlev2"/>
        <w:rPr>
          <w:spacing w:val="-6"/>
          <w:lang w:bidi="ar-EG"/>
        </w:rPr>
      </w:pPr>
      <w:proofErr w:type="gramStart"/>
      <w:r w:rsidRPr="00CC485D">
        <w:rPr>
          <w:spacing w:val="-2"/>
          <w:rtl/>
        </w:rPr>
        <w:t>ﻫ</w:t>
      </w:r>
      <w:r w:rsidRPr="00CC485D">
        <w:rPr>
          <w:rFonts w:hint="eastAsia"/>
          <w:spacing w:val="-2"/>
          <w:rtl/>
        </w:rPr>
        <w:t> </w:t>
      </w:r>
      <w:r w:rsidRPr="00CC485D">
        <w:rPr>
          <w:rFonts w:hint="cs"/>
          <w:spacing w:val="-2"/>
          <w:rtl/>
        </w:rPr>
        <w:t>)</w:t>
      </w:r>
      <w:proofErr w:type="gramEnd"/>
      <w:r w:rsidRPr="00CC485D">
        <w:rPr>
          <w:rFonts w:hint="cs"/>
          <w:spacing w:val="-2"/>
          <w:rtl/>
        </w:rPr>
        <w:tab/>
      </w:r>
      <w:r w:rsidRPr="00CC485D">
        <w:rPr>
          <w:rFonts w:hint="cs"/>
          <w:spacing w:val="-6"/>
          <w:rtl/>
          <w:lang w:bidi="ar-EG"/>
        </w:rPr>
        <w:t>تقديم استنتاجات الدراسة واقتراح تدابير ملائمة من أجل ضمان استمرار فعالية وكفاءة الحضور الإقليمي</w:t>
      </w:r>
      <w:r w:rsidRPr="00CC485D">
        <w:rPr>
          <w:rFonts w:hint="eastAsia"/>
          <w:spacing w:val="-6"/>
          <w:rtl/>
          <w:lang w:bidi="ar-EG"/>
        </w:rPr>
        <w:t> </w:t>
      </w:r>
      <w:r w:rsidRPr="00CC485D">
        <w:rPr>
          <w:rFonts w:hint="cs"/>
          <w:spacing w:val="-6"/>
          <w:rtl/>
          <w:lang w:bidi="ar-EG"/>
        </w:rPr>
        <w:t>للاتحاد</w:t>
      </w:r>
      <w:r w:rsidR="00B32798">
        <w:rPr>
          <w:rFonts w:hint="cs"/>
          <w:spacing w:val="-6"/>
          <w:rtl/>
          <w:lang w:bidi="ar-EG"/>
        </w:rPr>
        <w:t>.</w:t>
      </w:r>
    </w:p>
    <w:p w14:paraId="4ACD5265" w14:textId="77777777" w:rsidR="00CC485D" w:rsidRPr="00CC485D" w:rsidRDefault="00CC485D" w:rsidP="00AC034A">
      <w:pPr>
        <w:pStyle w:val="enumlev1"/>
        <w:rPr>
          <w:rtl/>
        </w:rPr>
      </w:pPr>
      <w:r w:rsidRPr="00CC485D">
        <w:t>15</w:t>
      </w:r>
      <w:r w:rsidRPr="00CC485D">
        <w:tab/>
      </w:r>
      <w:r w:rsidRPr="00CC485D">
        <w:rPr>
          <w:rFonts w:hint="cs"/>
          <w:rtl/>
        </w:rPr>
        <w:t>اقتراح خطة عمل لتنفيذ التدابير المقترحة.</w:t>
      </w:r>
    </w:p>
    <w:p w14:paraId="41DEBD2A" w14:textId="77777777" w:rsidR="00CC485D" w:rsidRPr="00CC485D" w:rsidRDefault="00CC485D" w:rsidP="00B73ADA">
      <w:pPr>
        <w:pStyle w:val="Heading1"/>
        <w:rPr>
          <w:rtl/>
          <w:lang w:bidi="ar-EG"/>
        </w:rPr>
      </w:pPr>
      <w:r w:rsidRPr="00CC485D">
        <w:rPr>
          <w:lang w:bidi="ar-EG"/>
        </w:rPr>
        <w:t>3</w:t>
      </w:r>
      <w:r w:rsidRPr="00CC485D">
        <w:rPr>
          <w:rtl/>
          <w:lang w:bidi="ar-EG"/>
        </w:rPr>
        <w:tab/>
      </w:r>
      <w:r w:rsidRPr="00CC485D">
        <w:rPr>
          <w:rFonts w:hint="cs"/>
          <w:rtl/>
          <w:lang w:bidi="ar-EG"/>
        </w:rPr>
        <w:t>النواتج</w:t>
      </w:r>
    </w:p>
    <w:p w14:paraId="190BD13F" w14:textId="77777777" w:rsidR="00CC485D" w:rsidRPr="00CC485D" w:rsidRDefault="00CC485D" w:rsidP="00CC485D">
      <w:pPr>
        <w:rPr>
          <w:rtl/>
          <w:lang w:bidi="ar-EG"/>
        </w:rPr>
      </w:pPr>
      <w:r w:rsidRPr="00CC485D">
        <w:rPr>
          <w:rFonts w:hint="cs"/>
          <w:rtl/>
          <w:lang w:bidi="ar-EG"/>
        </w:rPr>
        <w:t>ينبغي أن يحقق المشروع النواتج التالية:</w:t>
      </w:r>
    </w:p>
    <w:p w14:paraId="75672152" w14:textId="77777777" w:rsidR="00CC485D" w:rsidRPr="00CC485D" w:rsidRDefault="00CC485D" w:rsidP="00B73ADA">
      <w:pPr>
        <w:pStyle w:val="enumlev1"/>
        <w:rPr>
          <w:rtl/>
          <w:lang w:bidi="ar-EG"/>
        </w:rPr>
      </w:pPr>
      <w:r w:rsidRPr="00CC485D">
        <w:t>1</w:t>
      </w:r>
      <w:r w:rsidRPr="00CC485D">
        <w:tab/>
      </w:r>
      <w:r w:rsidRPr="00CC485D">
        <w:rPr>
          <w:rFonts w:hint="cs"/>
          <w:rtl/>
        </w:rPr>
        <w:t>بيان لحالة الهيكل الحالي للمكاتب الإقليمية/الحضور الإقليمي، بما</w:t>
      </w:r>
      <w:r w:rsidRPr="00CC485D">
        <w:rPr>
          <w:rFonts w:hint="eastAsia"/>
          <w:rtl/>
        </w:rPr>
        <w:t> </w:t>
      </w:r>
      <w:r w:rsidRPr="00CC485D">
        <w:rPr>
          <w:rFonts w:hint="cs"/>
          <w:rtl/>
        </w:rPr>
        <w:t>في</w:t>
      </w:r>
      <w:r w:rsidRPr="00CC485D">
        <w:rPr>
          <w:rFonts w:hint="eastAsia"/>
          <w:rtl/>
        </w:rPr>
        <w:t> </w:t>
      </w:r>
      <w:r w:rsidRPr="00CC485D">
        <w:rPr>
          <w:rFonts w:hint="cs"/>
          <w:rtl/>
        </w:rPr>
        <w:t xml:space="preserve">ذلك الإجراءات ومؤشرات الأداء المستخدمة لإجراء تحليل للثغرات (يأخذ الموارد والمهارات والأدوات في </w:t>
      </w:r>
      <w:proofErr w:type="gramStart"/>
      <w:r w:rsidRPr="00CC485D">
        <w:rPr>
          <w:rFonts w:hint="cs"/>
          <w:rtl/>
        </w:rPr>
        <w:t>الاعتبار)؛</w:t>
      </w:r>
      <w:proofErr w:type="gramEnd"/>
    </w:p>
    <w:p w14:paraId="107632EA" w14:textId="77777777" w:rsidR="00CC485D" w:rsidRPr="00CC485D" w:rsidRDefault="00CC485D" w:rsidP="00B73ADA">
      <w:pPr>
        <w:pStyle w:val="enumlev1"/>
        <w:rPr>
          <w:rtl/>
        </w:rPr>
      </w:pPr>
      <w:r w:rsidRPr="00CC485D">
        <w:t>2</w:t>
      </w:r>
      <w:r w:rsidRPr="00CC485D">
        <w:tab/>
      </w:r>
      <w:r w:rsidRPr="00CC485D">
        <w:rPr>
          <w:rFonts w:hint="cs"/>
          <w:rtl/>
        </w:rPr>
        <w:t xml:space="preserve">تحديد المستوى القائم من مَعلمات كفاءة/أداء </w:t>
      </w:r>
      <w:proofErr w:type="gramStart"/>
      <w:r w:rsidRPr="00CC485D">
        <w:rPr>
          <w:rFonts w:hint="cs"/>
          <w:rtl/>
        </w:rPr>
        <w:t>المنظمة؛</w:t>
      </w:r>
      <w:proofErr w:type="gramEnd"/>
    </w:p>
    <w:p w14:paraId="218BF2AF" w14:textId="77777777" w:rsidR="00CC485D" w:rsidRPr="00CC485D" w:rsidRDefault="00CC485D" w:rsidP="00B73ADA">
      <w:pPr>
        <w:pStyle w:val="enumlev1"/>
        <w:rPr>
          <w:rtl/>
        </w:rPr>
      </w:pPr>
      <w:r w:rsidRPr="00CC485D">
        <w:t>3</w:t>
      </w:r>
      <w:r w:rsidRPr="00CC485D">
        <w:tab/>
      </w:r>
      <w:r w:rsidRPr="00CC485D">
        <w:rPr>
          <w:rFonts w:hint="cs"/>
          <w:rtl/>
        </w:rPr>
        <w:t>بيان لحالة الهيكل المرجو للمكاتب الإقليمية/الحضور الإقليمي، بما</w:t>
      </w:r>
      <w:r w:rsidRPr="00CC485D">
        <w:rPr>
          <w:rFonts w:hint="eastAsia"/>
          <w:rtl/>
        </w:rPr>
        <w:t> </w:t>
      </w:r>
      <w:r w:rsidRPr="00CC485D">
        <w:rPr>
          <w:rFonts w:hint="cs"/>
          <w:rtl/>
        </w:rPr>
        <w:t>في</w:t>
      </w:r>
      <w:r w:rsidRPr="00CC485D">
        <w:rPr>
          <w:rFonts w:hint="eastAsia"/>
          <w:rtl/>
        </w:rPr>
        <w:t> </w:t>
      </w:r>
      <w:r w:rsidRPr="00CC485D">
        <w:rPr>
          <w:rFonts w:hint="cs"/>
          <w:rtl/>
        </w:rPr>
        <w:t>ذلك</w:t>
      </w:r>
      <w:r w:rsidRPr="00CC485D">
        <w:rPr>
          <w:rFonts w:hint="cs"/>
          <w:rtl/>
          <w:lang w:bidi="ar-EG"/>
        </w:rPr>
        <w:t xml:space="preserve"> العدد الأمثل للمكاتب الإقليمية وموقعها</w:t>
      </w:r>
      <w:r w:rsidRPr="00CC485D">
        <w:rPr>
          <w:rFonts w:hint="cs"/>
          <w:rtl/>
        </w:rPr>
        <w:t xml:space="preserve"> والأهداف الإدارية التي تخدم التوجّه الاستراتيجي للمنظمة ومهارات الموظفين اللازمة </w:t>
      </w:r>
      <w:proofErr w:type="gramStart"/>
      <w:r w:rsidRPr="00CC485D">
        <w:rPr>
          <w:rFonts w:hint="cs"/>
          <w:rtl/>
        </w:rPr>
        <w:t>لتنفيذها؛</w:t>
      </w:r>
      <w:proofErr w:type="gramEnd"/>
    </w:p>
    <w:p w14:paraId="10E9D57B" w14:textId="77777777" w:rsidR="00CC485D" w:rsidRPr="00CC485D" w:rsidRDefault="00CC485D" w:rsidP="00B73ADA">
      <w:pPr>
        <w:pStyle w:val="enumlev1"/>
        <w:rPr>
          <w:rtl/>
        </w:rPr>
      </w:pPr>
      <w:r w:rsidRPr="00CC485D">
        <w:t>4</w:t>
      </w:r>
      <w:r w:rsidRPr="00CC485D">
        <w:tab/>
      </w:r>
      <w:r w:rsidRPr="00CC485D">
        <w:rPr>
          <w:rFonts w:hint="cs"/>
          <w:rtl/>
        </w:rPr>
        <w:t>أهداف إدارية لتحسين أداء المنظمة (بما</w:t>
      </w:r>
      <w:r w:rsidRPr="00CC485D">
        <w:rPr>
          <w:rFonts w:hint="eastAsia"/>
          <w:rtl/>
        </w:rPr>
        <w:t> </w:t>
      </w:r>
      <w:r w:rsidRPr="00CC485D">
        <w:rPr>
          <w:rFonts w:hint="cs"/>
          <w:rtl/>
        </w:rPr>
        <w:t>في</w:t>
      </w:r>
      <w:r w:rsidRPr="00CC485D">
        <w:rPr>
          <w:rFonts w:hint="eastAsia"/>
          <w:rtl/>
        </w:rPr>
        <w:t> </w:t>
      </w:r>
      <w:r w:rsidRPr="00CC485D">
        <w:rPr>
          <w:rFonts w:hint="cs"/>
          <w:rtl/>
        </w:rPr>
        <w:t xml:space="preserve">ذلك الموظفون/المهارات والعمليات والتكنولوجيا </w:t>
      </w:r>
      <w:proofErr w:type="gramStart"/>
      <w:r w:rsidRPr="00CC485D">
        <w:rPr>
          <w:rFonts w:hint="cs"/>
          <w:rtl/>
        </w:rPr>
        <w:t>والأدوات)؛</w:t>
      </w:r>
      <w:proofErr w:type="gramEnd"/>
    </w:p>
    <w:p w14:paraId="75AF821B" w14:textId="77777777" w:rsidR="00CC485D" w:rsidRPr="00CC485D" w:rsidRDefault="00CC485D" w:rsidP="00B73ADA">
      <w:pPr>
        <w:pStyle w:val="enumlev1"/>
        <w:rPr>
          <w:rtl/>
        </w:rPr>
      </w:pPr>
      <w:r w:rsidRPr="00CC485D">
        <w:t>5</w:t>
      </w:r>
      <w:r w:rsidRPr="00CC485D">
        <w:tab/>
      </w:r>
      <w:r w:rsidRPr="00CC485D">
        <w:rPr>
          <w:rFonts w:hint="cs"/>
          <w:rtl/>
        </w:rPr>
        <w:t xml:space="preserve">استحداث/توسيع نطاق نموذج الإدارة على أساس النتائج لخدمة الحضور الإقليمي/المكاتب </w:t>
      </w:r>
      <w:proofErr w:type="gramStart"/>
      <w:r w:rsidRPr="00CC485D">
        <w:rPr>
          <w:rFonts w:hint="cs"/>
          <w:rtl/>
        </w:rPr>
        <w:t>الإقليمية؛</w:t>
      </w:r>
      <w:proofErr w:type="gramEnd"/>
    </w:p>
    <w:p w14:paraId="691F4F60" w14:textId="77777777" w:rsidR="00CC485D" w:rsidRPr="00CC485D" w:rsidRDefault="00CC485D" w:rsidP="00B73ADA">
      <w:pPr>
        <w:pStyle w:val="enumlev1"/>
        <w:rPr>
          <w:rtl/>
          <w:lang w:bidi="ar-EG"/>
        </w:rPr>
      </w:pPr>
      <w:r w:rsidRPr="00CC485D">
        <w:t>6</w:t>
      </w:r>
      <w:r w:rsidRPr="00CC485D">
        <w:tab/>
      </w:r>
      <w:r w:rsidRPr="00CC485D">
        <w:rPr>
          <w:rFonts w:hint="cs"/>
          <w:rtl/>
        </w:rPr>
        <w:t>خطة عمل للتغيير، تتناول جميع التوصيات ذات</w:t>
      </w:r>
      <w:r w:rsidRPr="00CC485D">
        <w:rPr>
          <w:rFonts w:hint="eastAsia"/>
          <w:rtl/>
        </w:rPr>
        <w:t> </w:t>
      </w:r>
      <w:r w:rsidRPr="00CC485D">
        <w:rPr>
          <w:rFonts w:hint="cs"/>
          <w:rtl/>
        </w:rPr>
        <w:t>الصلة المقدمة من المراجع</w:t>
      </w:r>
      <w:r w:rsidRPr="00CC485D">
        <w:rPr>
          <w:rFonts w:hint="cs"/>
          <w:rtl/>
          <w:lang w:bidi="ar-EG"/>
        </w:rPr>
        <w:t xml:space="preserve"> الخارجي للحسابات</w:t>
      </w:r>
      <w:r w:rsidRPr="00CC485D">
        <w:rPr>
          <w:rFonts w:hint="cs"/>
          <w:rtl/>
        </w:rPr>
        <w:t xml:space="preserve"> والمراجع الداخلي للحسابات واللجنة الاستشارية المستقلة للإدارة.</w:t>
      </w:r>
    </w:p>
    <w:p w14:paraId="71350298" w14:textId="77777777" w:rsidR="00CC485D" w:rsidRPr="00CC485D" w:rsidRDefault="00CC485D" w:rsidP="00CC485D">
      <w:pPr>
        <w:spacing w:before="600"/>
        <w:jc w:val="center"/>
        <w:rPr>
          <w:rtl/>
          <w:lang w:bidi="ar-EG"/>
        </w:rPr>
      </w:pPr>
      <w:r w:rsidRPr="00CC485D">
        <w:rPr>
          <w:rFonts w:hint="cs"/>
          <w:rtl/>
          <w:lang w:bidi="ar-EG"/>
        </w:rPr>
        <w:t>ــــــــــــــــــــــــــــــــــــــــــــــــــــــــــــــــــــــــــــــــــــــــــــــــ</w:t>
      </w:r>
    </w:p>
    <w:sectPr w:rsidR="00CC485D" w:rsidRPr="00CC485D"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F8C5" w14:textId="77777777" w:rsidR="00814771" w:rsidRDefault="00814771" w:rsidP="006C3242">
      <w:pPr>
        <w:spacing w:before="0" w:line="240" w:lineRule="auto"/>
      </w:pPr>
      <w:r>
        <w:separator/>
      </w:r>
    </w:p>
  </w:endnote>
  <w:endnote w:type="continuationSeparator" w:id="0">
    <w:p w14:paraId="755D270D" w14:textId="77777777" w:rsidR="00814771" w:rsidRDefault="008147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4D57" w14:textId="06146298" w:rsidR="00CC485D" w:rsidRPr="0026373E" w:rsidRDefault="00CC485D" w:rsidP="00FE5872">
    <w:pPr>
      <w:pStyle w:val="Footer"/>
      <w:tabs>
        <w:tab w:val="clear" w:pos="4153"/>
        <w:tab w:val="clear" w:pos="8306"/>
        <w:tab w:val="center" w:pos="5103"/>
        <w:tab w:val="right" w:pos="9639"/>
      </w:tabs>
      <w:spacing w:before="120"/>
      <w:rPr>
        <w:sz w:val="16"/>
        <w:szCs w:val="16"/>
        <w:lang w:val="fr-FR"/>
      </w:rPr>
    </w:pPr>
    <w:r w:rsidRPr="00350D9C">
      <w:rPr>
        <w:color w:val="F2F2F2" w:themeColor="background1" w:themeShade="F2"/>
        <w:sz w:val="16"/>
        <w:szCs w:val="16"/>
        <w:lang w:val="fr-FR"/>
      </w:rPr>
      <w:fldChar w:fldCharType="begin"/>
    </w:r>
    <w:r w:rsidRPr="00350D9C">
      <w:rPr>
        <w:color w:val="F2F2F2" w:themeColor="background1" w:themeShade="F2"/>
        <w:sz w:val="16"/>
        <w:szCs w:val="16"/>
        <w:lang w:val="fr-FR"/>
      </w:rPr>
      <w:instrText xml:space="preserve"> FILENAME \p \* MERGEFORMAT </w:instrText>
    </w:r>
    <w:r w:rsidRPr="00350D9C">
      <w:rPr>
        <w:color w:val="F2F2F2" w:themeColor="background1" w:themeShade="F2"/>
        <w:sz w:val="16"/>
        <w:szCs w:val="16"/>
        <w:lang w:val="fr-FR"/>
      </w:rPr>
      <w:fldChar w:fldCharType="separate"/>
    </w:r>
    <w:r w:rsidR="00005F8F" w:rsidRPr="00350D9C">
      <w:rPr>
        <w:noProof/>
        <w:color w:val="F2F2F2" w:themeColor="background1" w:themeShade="F2"/>
        <w:sz w:val="16"/>
        <w:szCs w:val="16"/>
        <w:lang w:val="fr-FR"/>
      </w:rPr>
      <w:t>P:\ARA\SG\CONSEIL\C21\000\025A.docx</w:t>
    </w:r>
    <w:r w:rsidRPr="00350D9C">
      <w:rPr>
        <w:color w:val="F2F2F2" w:themeColor="background1" w:themeShade="F2"/>
        <w:sz w:val="16"/>
        <w:szCs w:val="16"/>
      </w:rPr>
      <w:fldChar w:fldCharType="end"/>
    </w:r>
    <w:r w:rsidRPr="00350D9C">
      <w:rPr>
        <w:color w:val="F2F2F2" w:themeColor="background1" w:themeShade="F2"/>
        <w:sz w:val="16"/>
        <w:szCs w:val="16"/>
        <w:lang w:val="fr-CH"/>
      </w:rPr>
      <w:t xml:space="preserve">  </w:t>
    </w:r>
    <w:r w:rsidRPr="00350D9C">
      <w:rPr>
        <w:color w:val="F2F2F2" w:themeColor="background1" w:themeShade="F2"/>
        <w:sz w:val="16"/>
        <w:szCs w:val="16"/>
        <w:lang w:val="fr-FR"/>
      </w:rPr>
      <w:t xml:space="preserve"> (</w:t>
    </w:r>
    <w:r w:rsidR="00441D77" w:rsidRPr="00350D9C">
      <w:rPr>
        <w:color w:val="F2F2F2" w:themeColor="background1" w:themeShade="F2"/>
        <w:sz w:val="16"/>
        <w:szCs w:val="16"/>
        <w:lang w:val="fr-FR"/>
      </w:rPr>
      <w:t>483218</w:t>
    </w:r>
    <w:r w:rsidRPr="00350D9C">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BD5D" w14:textId="77777777" w:rsidR="00CC485D" w:rsidRPr="005B1652" w:rsidRDefault="00CC485D"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BB09" w14:textId="77777777" w:rsidR="00814771" w:rsidRDefault="00814771" w:rsidP="006C3242">
      <w:pPr>
        <w:spacing w:before="0" w:line="240" w:lineRule="auto"/>
      </w:pPr>
      <w:r>
        <w:separator/>
      </w:r>
    </w:p>
  </w:footnote>
  <w:footnote w:type="continuationSeparator" w:id="0">
    <w:p w14:paraId="36F6601F" w14:textId="77777777" w:rsidR="00814771" w:rsidRDefault="00814771" w:rsidP="006C3242">
      <w:pPr>
        <w:spacing w:before="0" w:line="240" w:lineRule="auto"/>
      </w:pPr>
      <w:r>
        <w:continuationSeparator/>
      </w:r>
    </w:p>
  </w:footnote>
  <w:footnote w:id="1">
    <w:p w14:paraId="19B17091" w14:textId="6F07C1BD" w:rsidR="00CC485D" w:rsidRDefault="00CC485D" w:rsidP="00CC485D">
      <w:pPr>
        <w:pStyle w:val="Footnotetexte"/>
        <w:rPr>
          <w:rtl/>
          <w:lang w:bidi="ar-LB"/>
        </w:rPr>
      </w:pPr>
      <w:r>
        <w:rPr>
          <w:rStyle w:val="FootnoteReference"/>
        </w:rPr>
        <w:footnoteRef/>
      </w:r>
      <w:r>
        <w:rPr>
          <w:rFonts w:hint="cs"/>
          <w:rtl/>
          <w:lang w:bidi="ar-EG"/>
        </w:rPr>
        <w:t xml:space="preserve"> مستوى التنفيذ = الأرقام الفعلية للنفقات بعد إقفال حسابات عام </w:t>
      </w:r>
      <w:r>
        <w:rPr>
          <w:lang w:val="es-ES" w:bidi="ar-EG"/>
        </w:rPr>
        <w:t>20</w:t>
      </w:r>
      <w:r w:rsidR="009947D0">
        <w:rPr>
          <w:lang w:val="es-ES" w:bidi="ar-EG"/>
        </w:rPr>
        <w:t>20</w:t>
      </w:r>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286E" w14:textId="5B4C1041" w:rsidR="00CC485D" w:rsidRPr="00447F32" w:rsidRDefault="00350D9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CC485D" w:rsidRPr="00447F32">
          <w:rPr>
            <w:rFonts w:cs="Calibri"/>
            <w:sz w:val="20"/>
            <w:szCs w:val="20"/>
          </w:rPr>
          <w:fldChar w:fldCharType="begin"/>
        </w:r>
        <w:r w:rsidR="00CC485D" w:rsidRPr="00447F32">
          <w:rPr>
            <w:rFonts w:cs="Calibri"/>
            <w:sz w:val="20"/>
            <w:szCs w:val="20"/>
          </w:rPr>
          <w:instrText xml:space="preserve"> PAGE   \* MERGEFORMAT </w:instrText>
        </w:r>
        <w:r w:rsidR="00CC485D" w:rsidRPr="00447F32">
          <w:rPr>
            <w:rFonts w:cs="Calibri"/>
            <w:sz w:val="20"/>
            <w:szCs w:val="20"/>
          </w:rPr>
          <w:fldChar w:fldCharType="separate"/>
        </w:r>
        <w:r w:rsidR="00CC485D">
          <w:rPr>
            <w:rFonts w:cs="Calibri"/>
            <w:noProof/>
            <w:sz w:val="20"/>
            <w:szCs w:val="20"/>
          </w:rPr>
          <w:t>2</w:t>
        </w:r>
        <w:r w:rsidR="00CC485D" w:rsidRPr="00447F32">
          <w:rPr>
            <w:rFonts w:cs="Calibri"/>
            <w:noProof/>
            <w:sz w:val="20"/>
            <w:szCs w:val="20"/>
          </w:rPr>
          <w:fldChar w:fldCharType="end"/>
        </w:r>
        <w:r w:rsidR="00CC485D" w:rsidRPr="00447F32">
          <w:rPr>
            <w:rFonts w:cs="Calibri"/>
            <w:noProof/>
            <w:sz w:val="20"/>
            <w:szCs w:val="20"/>
          </w:rPr>
          <w:br/>
          <w:t>C</w:t>
        </w:r>
        <w:r w:rsidR="00CC485D">
          <w:rPr>
            <w:rFonts w:cs="Calibri"/>
            <w:noProof/>
            <w:sz w:val="20"/>
            <w:szCs w:val="20"/>
          </w:rPr>
          <w:t>21</w:t>
        </w:r>
        <w:r w:rsidR="00CC485D" w:rsidRPr="00447F32">
          <w:rPr>
            <w:rFonts w:cs="Calibri"/>
            <w:noProof/>
            <w:sz w:val="20"/>
            <w:szCs w:val="20"/>
          </w:rPr>
          <w:t>/</w:t>
        </w:r>
        <w:r w:rsidR="00441D77">
          <w:rPr>
            <w:rFonts w:cs="Calibri"/>
            <w:noProof/>
            <w:sz w:val="20"/>
            <w:szCs w:val="20"/>
          </w:rPr>
          <w:t>25</w:t>
        </w:r>
        <w:r w:rsidR="00CC485D"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5D"/>
    <w:rsid w:val="00005F8F"/>
    <w:rsid w:val="00032056"/>
    <w:rsid w:val="00071A48"/>
    <w:rsid w:val="0008326F"/>
    <w:rsid w:val="00090574"/>
    <w:rsid w:val="000A6932"/>
    <w:rsid w:val="000B6E2E"/>
    <w:rsid w:val="000C0330"/>
    <w:rsid w:val="000C1C0E"/>
    <w:rsid w:val="000C548A"/>
    <w:rsid w:val="000C6DB6"/>
    <w:rsid w:val="000D38FA"/>
    <w:rsid w:val="000E197A"/>
    <w:rsid w:val="00103DFE"/>
    <w:rsid w:val="00116DC7"/>
    <w:rsid w:val="0015650C"/>
    <w:rsid w:val="00161F65"/>
    <w:rsid w:val="001B6656"/>
    <w:rsid w:val="001C0169"/>
    <w:rsid w:val="001C5924"/>
    <w:rsid w:val="001D1D50"/>
    <w:rsid w:val="001D6745"/>
    <w:rsid w:val="001D6F5B"/>
    <w:rsid w:val="001E446E"/>
    <w:rsid w:val="002154EE"/>
    <w:rsid w:val="002276D2"/>
    <w:rsid w:val="0023283D"/>
    <w:rsid w:val="00247668"/>
    <w:rsid w:val="0026373E"/>
    <w:rsid w:val="00271C43"/>
    <w:rsid w:val="0027293C"/>
    <w:rsid w:val="00277365"/>
    <w:rsid w:val="00290728"/>
    <w:rsid w:val="002978F4"/>
    <w:rsid w:val="002B028D"/>
    <w:rsid w:val="002D365C"/>
    <w:rsid w:val="002E6541"/>
    <w:rsid w:val="002F71D8"/>
    <w:rsid w:val="003311CD"/>
    <w:rsid w:val="00334924"/>
    <w:rsid w:val="00335781"/>
    <w:rsid w:val="003377EB"/>
    <w:rsid w:val="003409BC"/>
    <w:rsid w:val="00350D9C"/>
    <w:rsid w:val="00353992"/>
    <w:rsid w:val="00357185"/>
    <w:rsid w:val="00361734"/>
    <w:rsid w:val="00382934"/>
    <w:rsid w:val="00383829"/>
    <w:rsid w:val="00396270"/>
    <w:rsid w:val="003B1001"/>
    <w:rsid w:val="003C6B4F"/>
    <w:rsid w:val="003C7CBC"/>
    <w:rsid w:val="003F4B29"/>
    <w:rsid w:val="0042686F"/>
    <w:rsid w:val="00427977"/>
    <w:rsid w:val="004317D8"/>
    <w:rsid w:val="00433153"/>
    <w:rsid w:val="00434183"/>
    <w:rsid w:val="00441D77"/>
    <w:rsid w:val="00443869"/>
    <w:rsid w:val="00447F32"/>
    <w:rsid w:val="00450128"/>
    <w:rsid w:val="0045041E"/>
    <w:rsid w:val="00495A3D"/>
    <w:rsid w:val="004A2C00"/>
    <w:rsid w:val="004A5406"/>
    <w:rsid w:val="004B3FDF"/>
    <w:rsid w:val="004C0324"/>
    <w:rsid w:val="004C093C"/>
    <w:rsid w:val="004E11DC"/>
    <w:rsid w:val="004F6ADC"/>
    <w:rsid w:val="00505AEA"/>
    <w:rsid w:val="00514E0B"/>
    <w:rsid w:val="005409AC"/>
    <w:rsid w:val="0055516A"/>
    <w:rsid w:val="00557915"/>
    <w:rsid w:val="005805EA"/>
    <w:rsid w:val="0058491B"/>
    <w:rsid w:val="00592EA5"/>
    <w:rsid w:val="005A0A3F"/>
    <w:rsid w:val="005A3170"/>
    <w:rsid w:val="005A42CA"/>
    <w:rsid w:val="005B1652"/>
    <w:rsid w:val="005C1353"/>
    <w:rsid w:val="005C17BD"/>
    <w:rsid w:val="005C2F8F"/>
    <w:rsid w:val="005D4EB2"/>
    <w:rsid w:val="005F0ADE"/>
    <w:rsid w:val="005F7595"/>
    <w:rsid w:val="00612C44"/>
    <w:rsid w:val="00614855"/>
    <w:rsid w:val="00625E39"/>
    <w:rsid w:val="00657C73"/>
    <w:rsid w:val="00677396"/>
    <w:rsid w:val="0069200F"/>
    <w:rsid w:val="006A19C5"/>
    <w:rsid w:val="006A65CB"/>
    <w:rsid w:val="006A793B"/>
    <w:rsid w:val="006B4FD3"/>
    <w:rsid w:val="006C3242"/>
    <w:rsid w:val="006C7CC0"/>
    <w:rsid w:val="006D273C"/>
    <w:rsid w:val="006D3D95"/>
    <w:rsid w:val="006E0F63"/>
    <w:rsid w:val="006F55BE"/>
    <w:rsid w:val="006F63F7"/>
    <w:rsid w:val="007025C7"/>
    <w:rsid w:val="0070490D"/>
    <w:rsid w:val="00706D7A"/>
    <w:rsid w:val="00722F0D"/>
    <w:rsid w:val="0074420E"/>
    <w:rsid w:val="00783E26"/>
    <w:rsid w:val="00790B73"/>
    <w:rsid w:val="007C3BC7"/>
    <w:rsid w:val="007C3BCD"/>
    <w:rsid w:val="007C436F"/>
    <w:rsid w:val="007D2829"/>
    <w:rsid w:val="007D4ACF"/>
    <w:rsid w:val="007E2061"/>
    <w:rsid w:val="007F0787"/>
    <w:rsid w:val="007F3577"/>
    <w:rsid w:val="008066C8"/>
    <w:rsid w:val="00810B7B"/>
    <w:rsid w:val="00814771"/>
    <w:rsid w:val="00822D9D"/>
    <w:rsid w:val="0082358A"/>
    <w:rsid w:val="008235CD"/>
    <w:rsid w:val="008247DE"/>
    <w:rsid w:val="00840B10"/>
    <w:rsid w:val="00847666"/>
    <w:rsid w:val="008513CB"/>
    <w:rsid w:val="0086522A"/>
    <w:rsid w:val="008710CD"/>
    <w:rsid w:val="00886486"/>
    <w:rsid w:val="00894E1C"/>
    <w:rsid w:val="008958B1"/>
    <w:rsid w:val="00896CEA"/>
    <w:rsid w:val="008A7F84"/>
    <w:rsid w:val="008D5FEF"/>
    <w:rsid w:val="0091702E"/>
    <w:rsid w:val="00923B0C"/>
    <w:rsid w:val="00926A85"/>
    <w:rsid w:val="009342A6"/>
    <w:rsid w:val="00934C3E"/>
    <w:rsid w:val="0094021C"/>
    <w:rsid w:val="009456B3"/>
    <w:rsid w:val="00946009"/>
    <w:rsid w:val="00952F86"/>
    <w:rsid w:val="00982B28"/>
    <w:rsid w:val="009863A1"/>
    <w:rsid w:val="0098652E"/>
    <w:rsid w:val="00987A9E"/>
    <w:rsid w:val="009947D0"/>
    <w:rsid w:val="009B338C"/>
    <w:rsid w:val="009D313F"/>
    <w:rsid w:val="009F610A"/>
    <w:rsid w:val="00A14AD9"/>
    <w:rsid w:val="00A37E5A"/>
    <w:rsid w:val="00A47A5A"/>
    <w:rsid w:val="00A6683B"/>
    <w:rsid w:val="00A763D7"/>
    <w:rsid w:val="00A97F94"/>
    <w:rsid w:val="00AB19AA"/>
    <w:rsid w:val="00AC034A"/>
    <w:rsid w:val="00B03099"/>
    <w:rsid w:val="00B05BC8"/>
    <w:rsid w:val="00B1349E"/>
    <w:rsid w:val="00B224D8"/>
    <w:rsid w:val="00B32798"/>
    <w:rsid w:val="00B47C07"/>
    <w:rsid w:val="00B64B47"/>
    <w:rsid w:val="00B73ADA"/>
    <w:rsid w:val="00B86967"/>
    <w:rsid w:val="00B8761A"/>
    <w:rsid w:val="00B97127"/>
    <w:rsid w:val="00BB7213"/>
    <w:rsid w:val="00BD7632"/>
    <w:rsid w:val="00C002DE"/>
    <w:rsid w:val="00C25963"/>
    <w:rsid w:val="00C462E9"/>
    <w:rsid w:val="00C53BF8"/>
    <w:rsid w:val="00C55067"/>
    <w:rsid w:val="00C566BA"/>
    <w:rsid w:val="00C66157"/>
    <w:rsid w:val="00C674FE"/>
    <w:rsid w:val="00C67501"/>
    <w:rsid w:val="00C67A87"/>
    <w:rsid w:val="00C75633"/>
    <w:rsid w:val="00C9356B"/>
    <w:rsid w:val="00C9606B"/>
    <w:rsid w:val="00CC0ED2"/>
    <w:rsid w:val="00CC1E66"/>
    <w:rsid w:val="00CC485D"/>
    <w:rsid w:val="00CE2EE1"/>
    <w:rsid w:val="00CE3349"/>
    <w:rsid w:val="00CE36E5"/>
    <w:rsid w:val="00CF0711"/>
    <w:rsid w:val="00CF0DA8"/>
    <w:rsid w:val="00CF27F5"/>
    <w:rsid w:val="00CF3FFD"/>
    <w:rsid w:val="00D10CCF"/>
    <w:rsid w:val="00D5130B"/>
    <w:rsid w:val="00D6260D"/>
    <w:rsid w:val="00D77D0F"/>
    <w:rsid w:val="00DA1CF0"/>
    <w:rsid w:val="00DA31CC"/>
    <w:rsid w:val="00DB18D2"/>
    <w:rsid w:val="00DC1E02"/>
    <w:rsid w:val="00DC24B4"/>
    <w:rsid w:val="00DC5FB0"/>
    <w:rsid w:val="00DE0E74"/>
    <w:rsid w:val="00DF16DC"/>
    <w:rsid w:val="00E0329D"/>
    <w:rsid w:val="00E10E49"/>
    <w:rsid w:val="00E2715D"/>
    <w:rsid w:val="00E45211"/>
    <w:rsid w:val="00E473C5"/>
    <w:rsid w:val="00E564CD"/>
    <w:rsid w:val="00E564F6"/>
    <w:rsid w:val="00E92863"/>
    <w:rsid w:val="00EA06B7"/>
    <w:rsid w:val="00EA4753"/>
    <w:rsid w:val="00EB796D"/>
    <w:rsid w:val="00F058DC"/>
    <w:rsid w:val="00F24FC4"/>
    <w:rsid w:val="00F2676C"/>
    <w:rsid w:val="00F27F58"/>
    <w:rsid w:val="00F62B4C"/>
    <w:rsid w:val="00F8236D"/>
    <w:rsid w:val="00F84366"/>
    <w:rsid w:val="00F85089"/>
    <w:rsid w:val="00F87130"/>
    <w:rsid w:val="00F974C5"/>
    <w:rsid w:val="00FA0804"/>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66AAE7"/>
  <w15:chartTrackingRefBased/>
  <w15:docId w15:val="{55439371-22B8-4C00-A8EC-797CFC9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C485D"/>
    <w:rPr>
      <w:color w:val="605E5C"/>
      <w:shd w:val="clear" w:color="auto" w:fill="E1DFDD"/>
    </w:rPr>
  </w:style>
  <w:style w:type="numbering" w:customStyle="1" w:styleId="NoList1">
    <w:name w:val="No List1"/>
    <w:next w:val="NoList"/>
    <w:uiPriority w:val="99"/>
    <w:semiHidden/>
    <w:unhideWhenUsed/>
    <w:rsid w:val="00CC485D"/>
  </w:style>
  <w:style w:type="table" w:customStyle="1" w:styleId="TableGrid1">
    <w:name w:val="Table Grid1"/>
    <w:basedOn w:val="TableNormal"/>
    <w:next w:val="TableGrid"/>
    <w:rsid w:val="00CC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0"/>
    <w:rsid w:val="00CC485D"/>
    <w:rPr>
      <w:rFonts w:ascii="Dubai" w:eastAsia="Times New Roman" w:hAnsi="Dubai" w:cs="Dubai"/>
      <w:b/>
      <w:bCs/>
      <w:lang w:val="en-GB" w:eastAsia="en-US"/>
    </w:rPr>
  </w:style>
  <w:style w:type="character" w:customStyle="1" w:styleId="NormalaftertitleChar">
    <w:name w:val="Normal after title Char"/>
    <w:basedOn w:val="DefaultParagraphFont"/>
    <w:link w:val="Normalaftertitle"/>
    <w:rsid w:val="00CC485D"/>
    <w:rPr>
      <w:rFonts w:ascii="Dubai" w:hAnsi="Dubai" w:cs="Dubai"/>
      <w:lang w:bidi="ar-SY"/>
    </w:rPr>
  </w:style>
  <w:style w:type="paragraph" w:customStyle="1" w:styleId="Tabletext">
    <w:name w:val="Table_text"/>
    <w:basedOn w:val="Normal"/>
    <w:link w:val="TabletextChar"/>
    <w:qFormat/>
    <w:rsid w:val="00CC485D"/>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TabletextChar">
    <w:name w:val="Table_text Char"/>
    <w:basedOn w:val="DefaultParagraphFont"/>
    <w:link w:val="Tabletext"/>
    <w:locked/>
    <w:rsid w:val="00CC485D"/>
    <w:rPr>
      <w:rFonts w:ascii="Calibri" w:eastAsia="Times New Roman" w:hAnsi="Calibri" w:cs="Traditional Arabic"/>
      <w:sz w:val="20"/>
      <w:szCs w:val="26"/>
      <w:lang w:val="fr-FR" w:eastAsia="en-US" w:bidi="ar-EG"/>
    </w:rPr>
  </w:style>
  <w:style w:type="character" w:customStyle="1" w:styleId="CallChar">
    <w:name w:val="Call Char"/>
    <w:basedOn w:val="DefaultParagraphFont"/>
    <w:link w:val="Call"/>
    <w:locked/>
    <w:rsid w:val="00CC485D"/>
    <w:rPr>
      <w:rFonts w:ascii="Dubai" w:hAnsi="Dubai" w:cs="Dubai"/>
      <w:i/>
      <w:iCs/>
    </w:rPr>
  </w:style>
  <w:style w:type="paragraph" w:styleId="HTMLPreformatted">
    <w:name w:val="HTML Preformatted"/>
    <w:basedOn w:val="Normal"/>
    <w:link w:val="HTMLPreformattedChar"/>
    <w:uiPriority w:val="99"/>
    <w:semiHidden/>
    <w:unhideWhenUsed/>
    <w:rsid w:val="00CC485D"/>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485D"/>
    <w:rPr>
      <w:rFonts w:ascii="Consolas" w:hAnsi="Consolas" w:cs="Dubai"/>
      <w:sz w:val="20"/>
      <w:szCs w:val="20"/>
    </w:rPr>
  </w:style>
  <w:style w:type="paragraph" w:styleId="BalloonText">
    <w:name w:val="Balloon Text"/>
    <w:basedOn w:val="Normal"/>
    <w:link w:val="BalloonTextChar"/>
    <w:uiPriority w:val="99"/>
    <w:semiHidden/>
    <w:unhideWhenUsed/>
    <w:rsid w:val="00CC48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5D"/>
    <w:rPr>
      <w:rFonts w:ascii="Segoe UI" w:hAnsi="Segoe UI" w:cs="Segoe UI"/>
      <w:sz w:val="18"/>
      <w:szCs w:val="18"/>
    </w:rPr>
  </w:style>
  <w:style w:type="character" w:styleId="FollowedHyperlink">
    <w:name w:val="FollowedHyperlink"/>
    <w:basedOn w:val="DefaultParagraphFont"/>
    <w:uiPriority w:val="99"/>
    <w:semiHidden/>
    <w:unhideWhenUsed/>
    <w:rsid w:val="00CC485D"/>
    <w:rPr>
      <w:color w:val="954F72" w:themeColor="followedHyperlink"/>
      <w:u w:val="single"/>
    </w:rPr>
  </w:style>
  <w:style w:type="character" w:styleId="CommentReference">
    <w:name w:val="annotation reference"/>
    <w:basedOn w:val="DefaultParagraphFont"/>
    <w:uiPriority w:val="99"/>
    <w:semiHidden/>
    <w:unhideWhenUsed/>
    <w:rsid w:val="004C0324"/>
    <w:rPr>
      <w:sz w:val="16"/>
      <w:szCs w:val="16"/>
    </w:rPr>
  </w:style>
  <w:style w:type="paragraph" w:styleId="CommentText">
    <w:name w:val="annotation text"/>
    <w:basedOn w:val="Normal"/>
    <w:link w:val="CommentTextChar"/>
    <w:uiPriority w:val="99"/>
    <w:unhideWhenUsed/>
    <w:rsid w:val="004C0324"/>
    <w:pPr>
      <w:spacing w:line="240" w:lineRule="auto"/>
    </w:pPr>
    <w:rPr>
      <w:sz w:val="20"/>
      <w:szCs w:val="20"/>
    </w:rPr>
  </w:style>
  <w:style w:type="character" w:customStyle="1" w:styleId="CommentTextChar">
    <w:name w:val="Comment Text Char"/>
    <w:basedOn w:val="DefaultParagraphFont"/>
    <w:link w:val="CommentText"/>
    <w:uiPriority w:val="99"/>
    <w:rsid w:val="004C032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4C0324"/>
    <w:rPr>
      <w:b/>
      <w:bCs/>
    </w:rPr>
  </w:style>
  <w:style w:type="character" w:customStyle="1" w:styleId="CommentSubjectChar">
    <w:name w:val="Comment Subject Char"/>
    <w:basedOn w:val="CommentTextChar"/>
    <w:link w:val="CommentSubject"/>
    <w:uiPriority w:val="99"/>
    <w:semiHidden/>
    <w:rsid w:val="004C0324"/>
    <w:rPr>
      <w:rFonts w:ascii="Dubai" w:hAnsi="Dubai" w:cs="Dubai"/>
      <w:b/>
      <w:bCs/>
      <w:sz w:val="20"/>
      <w:szCs w:val="20"/>
    </w:rPr>
  </w:style>
  <w:style w:type="paragraph" w:styleId="Revision">
    <w:name w:val="Revision"/>
    <w:hidden/>
    <w:uiPriority w:val="99"/>
    <w:semiHidden/>
    <w:rsid w:val="00E0329D"/>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4403">
      <w:bodyDiv w:val="1"/>
      <w:marLeft w:val="0"/>
      <w:marRight w:val="0"/>
      <w:marTop w:val="0"/>
      <w:marBottom w:val="0"/>
      <w:divBdr>
        <w:top w:val="none" w:sz="0" w:space="0" w:color="auto"/>
        <w:left w:val="none" w:sz="0" w:space="0" w:color="auto"/>
        <w:bottom w:val="none" w:sz="0" w:space="0" w:color="auto"/>
        <w:right w:val="none" w:sz="0" w:space="0" w:color="auto"/>
      </w:divBdr>
    </w:div>
    <w:div w:id="7395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9-CL-INF-0007/en" TargetMode="External"/><Relationship Id="rId18" Type="http://schemas.openxmlformats.org/officeDocument/2006/relationships/hyperlink" Target="https://www.itu.int/md/S17-CL-C-0025/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0-CL-C-0075/en" TargetMode="External"/><Relationship Id="rId7" Type="http://schemas.openxmlformats.org/officeDocument/2006/relationships/endnotes" Target="endnotes.xml"/><Relationship Id="rId12" Type="http://schemas.openxmlformats.org/officeDocument/2006/relationships/hyperlink" Target="http://www.itu.int/md/S17-CL-INF-0012/en" TargetMode="External"/><Relationship Id="rId17" Type="http://schemas.openxmlformats.org/officeDocument/2006/relationships/hyperlink" Target="http://www.itu.int/md/S17-CL-INF-001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1-CL-INF-0006/en" TargetMode="External"/><Relationship Id="rId20" Type="http://schemas.openxmlformats.org/officeDocument/2006/relationships/hyperlink" Target="https://www.itu.int/dms_ties/itu-s/md/20/cl/c/S20-CL-C-0074!!PD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25-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1-CL-INF-0006/en" TargetMode="External"/><Relationship Id="rId23" Type="http://schemas.openxmlformats.org/officeDocument/2006/relationships/hyperlink" Target="https://www.itu.int/md/S19-CL-C-0025/en" TargetMode="External"/><Relationship Id="rId28" Type="http://schemas.openxmlformats.org/officeDocument/2006/relationships/theme" Target="theme/theme1.xml"/><Relationship Id="rId10" Type="http://schemas.openxmlformats.org/officeDocument/2006/relationships/hyperlink" Target="https://www.itu.int/md/S20-CL-C-0025/en" TargetMode="External"/><Relationship Id="rId19" Type="http://schemas.openxmlformats.org/officeDocument/2006/relationships/hyperlink" Target="https://www.itu.int/md/S19-CL-C-0025/en" TargetMode="External"/><Relationship Id="rId4" Type="http://schemas.openxmlformats.org/officeDocument/2006/relationships/settings" Target="settings.xml"/><Relationship Id="rId9" Type="http://schemas.openxmlformats.org/officeDocument/2006/relationships/hyperlink" Target="https://www.itu.int/md/S21-CL-INF-0006/en" TargetMode="External"/><Relationship Id="rId14" Type="http://schemas.openxmlformats.org/officeDocument/2006/relationships/hyperlink" Target="https://www.itu.int/md/S20-CL-INF-0010/en" TargetMode="External"/><Relationship Id="rId22" Type="http://schemas.openxmlformats.org/officeDocument/2006/relationships/hyperlink" Target="https://www.itu.int/md/S21-CL-INF-0006/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3322</Words>
  <Characters>18940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Regional Presence</dc:title>
  <dc:subject>Council 2021, Virtual consultation of councillors</dc:subject>
  <dc:creator>Imad, RIZ</dc:creator>
  <cp:keywords>C2021, C21, VCC, C21-VCC-1</cp:keywords>
  <dc:description/>
  <cp:lastModifiedBy>Xue, Kun</cp:lastModifiedBy>
  <cp:revision>2</cp:revision>
  <dcterms:created xsi:type="dcterms:W3CDTF">2021-06-03T18:09:00Z</dcterms:created>
  <dcterms:modified xsi:type="dcterms:W3CDTF">2021-06-03T18:09:00Z</dcterms:modified>
</cp:coreProperties>
</file>