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0E6242" w14:paraId="3C0C6976" w14:textId="77777777">
        <w:trPr>
          <w:cantSplit/>
        </w:trPr>
        <w:tc>
          <w:tcPr>
            <w:tcW w:w="6912" w:type="dxa"/>
          </w:tcPr>
          <w:p w14:paraId="76FF82AA" w14:textId="77777777" w:rsidR="00093EEB" w:rsidRPr="000E6242" w:rsidRDefault="00093EEB" w:rsidP="00C2727F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0E6242">
              <w:rPr>
                <w:b/>
                <w:bCs/>
                <w:sz w:val="30"/>
                <w:szCs w:val="30"/>
              </w:rPr>
              <w:t>Consejo 20</w:t>
            </w:r>
            <w:r w:rsidR="007955DA" w:rsidRPr="000E6242">
              <w:rPr>
                <w:b/>
                <w:bCs/>
                <w:sz w:val="30"/>
                <w:szCs w:val="30"/>
              </w:rPr>
              <w:t>2</w:t>
            </w:r>
            <w:r w:rsidR="000007D1" w:rsidRPr="000E6242">
              <w:rPr>
                <w:b/>
                <w:bCs/>
                <w:sz w:val="30"/>
                <w:szCs w:val="30"/>
              </w:rPr>
              <w:t>1</w:t>
            </w:r>
            <w:r w:rsidRPr="000E6242">
              <w:rPr>
                <w:b/>
                <w:bCs/>
                <w:sz w:val="26"/>
                <w:szCs w:val="26"/>
              </w:rPr>
              <w:br/>
            </w:r>
            <w:bookmarkStart w:id="2" w:name="lt_pId446"/>
            <w:r w:rsidR="000007D1" w:rsidRPr="000E6242">
              <w:rPr>
                <w:b/>
                <w:bCs/>
                <w:sz w:val="26"/>
                <w:szCs w:val="26"/>
              </w:rPr>
              <w:t>Consulta virtual de los consejeros</w:t>
            </w:r>
            <w:bookmarkEnd w:id="2"/>
            <w:r w:rsidRPr="000E6242">
              <w:rPr>
                <w:b/>
                <w:bCs/>
                <w:sz w:val="26"/>
                <w:szCs w:val="26"/>
              </w:rPr>
              <w:t xml:space="preserve">, </w:t>
            </w:r>
            <w:r w:rsidR="000007D1" w:rsidRPr="000E6242">
              <w:rPr>
                <w:b/>
                <w:bCs/>
                <w:sz w:val="26"/>
                <w:szCs w:val="26"/>
              </w:rPr>
              <w:t>8</w:t>
            </w:r>
            <w:r w:rsidRPr="000E6242">
              <w:rPr>
                <w:b/>
                <w:bCs/>
                <w:sz w:val="26"/>
                <w:szCs w:val="26"/>
              </w:rPr>
              <w:t>-</w:t>
            </w:r>
            <w:r w:rsidR="007955DA" w:rsidRPr="000E6242">
              <w:rPr>
                <w:b/>
                <w:bCs/>
                <w:sz w:val="26"/>
                <w:szCs w:val="26"/>
              </w:rPr>
              <w:t>1</w:t>
            </w:r>
            <w:r w:rsidR="000007D1" w:rsidRPr="000E6242">
              <w:rPr>
                <w:b/>
                <w:bCs/>
                <w:sz w:val="26"/>
                <w:szCs w:val="26"/>
              </w:rPr>
              <w:t>8</w:t>
            </w:r>
            <w:r w:rsidRPr="000E6242">
              <w:rPr>
                <w:b/>
                <w:bCs/>
                <w:sz w:val="26"/>
                <w:szCs w:val="26"/>
              </w:rPr>
              <w:t xml:space="preserve"> de </w:t>
            </w:r>
            <w:r w:rsidR="00C2727F" w:rsidRPr="000E6242">
              <w:rPr>
                <w:b/>
                <w:bCs/>
                <w:sz w:val="26"/>
                <w:szCs w:val="26"/>
              </w:rPr>
              <w:t>junio</w:t>
            </w:r>
            <w:r w:rsidRPr="000E6242">
              <w:rPr>
                <w:b/>
                <w:bCs/>
                <w:sz w:val="26"/>
                <w:szCs w:val="26"/>
              </w:rPr>
              <w:t xml:space="preserve"> de 20</w:t>
            </w:r>
            <w:r w:rsidR="007955DA" w:rsidRPr="000E6242">
              <w:rPr>
                <w:b/>
                <w:bCs/>
                <w:sz w:val="26"/>
                <w:szCs w:val="26"/>
              </w:rPr>
              <w:t>2</w:t>
            </w:r>
            <w:r w:rsidR="000007D1" w:rsidRPr="000E624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14:paraId="4344A8CC" w14:textId="77777777" w:rsidR="00093EEB" w:rsidRPr="000E6242" w:rsidRDefault="007955DA" w:rsidP="007955DA">
            <w:pPr>
              <w:spacing w:before="0"/>
              <w:rPr>
                <w:szCs w:val="24"/>
              </w:rPr>
            </w:pPr>
            <w:bookmarkStart w:id="3" w:name="ditulogo"/>
            <w:bookmarkEnd w:id="3"/>
            <w:r w:rsidRPr="000E6242">
              <w:rPr>
                <w:noProof/>
                <w:lang w:eastAsia="zh-CN"/>
              </w:rPr>
              <w:drawing>
                <wp:inline distT="0" distB="0" distL="0" distR="0" wp14:anchorId="7BCC3C37" wp14:editId="652F0263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0E6242" w14:paraId="200114FA" w14:textId="77777777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14:paraId="4336950E" w14:textId="77777777" w:rsidR="00093EEB" w:rsidRPr="000E6242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E6242" w14:paraId="04472A12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648E7AF5" w14:textId="77777777" w:rsidR="00093EEB" w:rsidRPr="000E6242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490FF56D" w14:textId="77777777" w:rsidR="00093EEB" w:rsidRPr="000E6242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E6242" w14:paraId="1D620C8E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3925B55A" w14:textId="588F883B" w:rsidR="00093EEB" w:rsidRPr="000E6242" w:rsidRDefault="008703E6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4" w:name="dnum" w:colFirst="1" w:colLast="1"/>
            <w:bookmarkStart w:id="5" w:name="dmeeting" w:colFirst="0" w:colLast="0"/>
            <w:r w:rsidRPr="000E6242">
              <w:rPr>
                <w:rFonts w:cs="Times"/>
                <w:b/>
                <w:szCs w:val="24"/>
              </w:rPr>
              <w:t>Punto del orden del día: PL 2.08</w:t>
            </w:r>
          </w:p>
        </w:tc>
        <w:tc>
          <w:tcPr>
            <w:tcW w:w="3261" w:type="dxa"/>
          </w:tcPr>
          <w:p w14:paraId="76AB1C1A" w14:textId="7349E64F" w:rsidR="00093EEB" w:rsidRPr="000E6242" w:rsidRDefault="00093EEB" w:rsidP="00C2727F">
            <w:pPr>
              <w:spacing w:before="0"/>
              <w:rPr>
                <w:b/>
                <w:bCs/>
                <w:szCs w:val="24"/>
              </w:rPr>
            </w:pPr>
            <w:r w:rsidRPr="000E6242">
              <w:rPr>
                <w:b/>
                <w:bCs/>
                <w:szCs w:val="24"/>
              </w:rPr>
              <w:t>Documento C</w:t>
            </w:r>
            <w:r w:rsidR="007955DA" w:rsidRPr="000E6242">
              <w:rPr>
                <w:b/>
                <w:bCs/>
                <w:szCs w:val="24"/>
              </w:rPr>
              <w:t>2</w:t>
            </w:r>
            <w:r w:rsidR="000007D1" w:rsidRPr="000E6242">
              <w:rPr>
                <w:b/>
                <w:bCs/>
                <w:szCs w:val="24"/>
              </w:rPr>
              <w:t>1</w:t>
            </w:r>
            <w:r w:rsidRPr="000E6242">
              <w:rPr>
                <w:b/>
                <w:bCs/>
                <w:szCs w:val="24"/>
              </w:rPr>
              <w:t>/</w:t>
            </w:r>
            <w:r w:rsidR="008703E6" w:rsidRPr="000E6242">
              <w:rPr>
                <w:b/>
                <w:bCs/>
                <w:szCs w:val="24"/>
              </w:rPr>
              <w:t>24</w:t>
            </w:r>
            <w:r w:rsidRPr="000E6242">
              <w:rPr>
                <w:b/>
                <w:bCs/>
                <w:szCs w:val="24"/>
              </w:rPr>
              <w:t>-S</w:t>
            </w:r>
          </w:p>
        </w:tc>
      </w:tr>
      <w:tr w:rsidR="00093EEB" w:rsidRPr="000E6242" w14:paraId="68B45FF1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558867D8" w14:textId="77777777" w:rsidR="00093EEB" w:rsidRPr="000E6242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3261" w:type="dxa"/>
          </w:tcPr>
          <w:p w14:paraId="6D04B583" w14:textId="37BB7D0C" w:rsidR="00093EEB" w:rsidRPr="000E6242" w:rsidRDefault="008703E6" w:rsidP="00C2727F">
            <w:pPr>
              <w:spacing w:before="0"/>
              <w:rPr>
                <w:b/>
                <w:bCs/>
                <w:szCs w:val="24"/>
              </w:rPr>
            </w:pPr>
            <w:r w:rsidRPr="000E6242">
              <w:rPr>
                <w:b/>
                <w:bCs/>
                <w:szCs w:val="24"/>
              </w:rPr>
              <w:t>7 de abril</w:t>
            </w:r>
            <w:r w:rsidR="00093EEB" w:rsidRPr="000E6242">
              <w:rPr>
                <w:b/>
                <w:bCs/>
                <w:szCs w:val="24"/>
              </w:rPr>
              <w:t xml:space="preserve"> de 20</w:t>
            </w:r>
            <w:r w:rsidR="007955DA" w:rsidRPr="000E6242">
              <w:rPr>
                <w:b/>
                <w:bCs/>
                <w:szCs w:val="24"/>
              </w:rPr>
              <w:t>2</w:t>
            </w:r>
            <w:r w:rsidR="000007D1" w:rsidRPr="000E6242">
              <w:rPr>
                <w:b/>
                <w:bCs/>
                <w:szCs w:val="24"/>
              </w:rPr>
              <w:t>1</w:t>
            </w:r>
          </w:p>
        </w:tc>
      </w:tr>
      <w:tr w:rsidR="00093EEB" w:rsidRPr="000E6242" w14:paraId="312543C0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6AD19C68" w14:textId="77777777" w:rsidR="00093EEB" w:rsidRPr="000E6242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7" w:name="dorlang" w:colFirst="1" w:colLast="1"/>
            <w:bookmarkEnd w:id="6"/>
          </w:p>
        </w:tc>
        <w:tc>
          <w:tcPr>
            <w:tcW w:w="3261" w:type="dxa"/>
          </w:tcPr>
          <w:p w14:paraId="066A254A" w14:textId="77777777" w:rsidR="00093EEB" w:rsidRPr="000E6242" w:rsidRDefault="00093EEB" w:rsidP="00093EEB">
            <w:pPr>
              <w:spacing w:before="0"/>
              <w:rPr>
                <w:b/>
                <w:bCs/>
                <w:szCs w:val="24"/>
              </w:rPr>
            </w:pPr>
            <w:r w:rsidRPr="000E6242"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0E6242" w14:paraId="3D5567DD" w14:textId="77777777">
        <w:trPr>
          <w:cantSplit/>
        </w:trPr>
        <w:tc>
          <w:tcPr>
            <w:tcW w:w="10173" w:type="dxa"/>
            <w:gridSpan w:val="2"/>
          </w:tcPr>
          <w:p w14:paraId="7DA4FB9B" w14:textId="3090F3FC" w:rsidR="00093EEB" w:rsidRPr="000E6242" w:rsidRDefault="008703E6">
            <w:pPr>
              <w:pStyle w:val="Source"/>
            </w:pPr>
            <w:bookmarkStart w:id="8" w:name="dsource" w:colFirst="0" w:colLast="0"/>
            <w:bookmarkEnd w:id="1"/>
            <w:bookmarkEnd w:id="7"/>
            <w:r w:rsidRPr="000E6242">
              <w:t>Informe del Secretario General</w:t>
            </w:r>
          </w:p>
        </w:tc>
      </w:tr>
      <w:tr w:rsidR="00093EEB" w:rsidRPr="000E6242" w14:paraId="5A7CE201" w14:textId="77777777">
        <w:trPr>
          <w:cantSplit/>
        </w:trPr>
        <w:tc>
          <w:tcPr>
            <w:tcW w:w="10173" w:type="dxa"/>
            <w:gridSpan w:val="2"/>
          </w:tcPr>
          <w:p w14:paraId="107E5B2F" w14:textId="56DF4C57" w:rsidR="00093EEB" w:rsidRPr="000E6242" w:rsidRDefault="008703E6" w:rsidP="008703E6">
            <w:pPr>
              <w:pStyle w:val="Title1"/>
            </w:pPr>
            <w:bookmarkStart w:id="9" w:name="dtitle1" w:colFirst="0" w:colLast="0"/>
            <w:bookmarkEnd w:id="8"/>
            <w:r w:rsidRPr="000E6242">
              <w:t>PREPARATIVOS PARA LA ASAMBLEA MUNDIAL DE NORMALIZACIÓN</w:t>
            </w:r>
            <w:r w:rsidRPr="000E6242">
              <w:br/>
              <w:t>DE LAS TELECOMUNICACIONES (AMNT-20)</w:t>
            </w:r>
          </w:p>
        </w:tc>
      </w:tr>
      <w:bookmarkEnd w:id="9"/>
    </w:tbl>
    <w:p w14:paraId="03F72898" w14:textId="77777777" w:rsidR="00093EEB" w:rsidRPr="000E6242" w:rsidRDefault="00093EEB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093EEB" w:rsidRPr="000E6242" w14:paraId="5A7C2F26" w14:textId="77777777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CF5BC" w14:textId="77777777" w:rsidR="00093EEB" w:rsidRPr="000E6242" w:rsidRDefault="00093EEB">
            <w:pPr>
              <w:pStyle w:val="Headingb"/>
            </w:pPr>
            <w:r w:rsidRPr="000E6242">
              <w:t>Resumen</w:t>
            </w:r>
          </w:p>
          <w:p w14:paraId="26CBEEB6" w14:textId="1CE062CF" w:rsidR="00093EEB" w:rsidRPr="000E6242" w:rsidRDefault="008703E6" w:rsidP="008703E6">
            <w:r w:rsidRPr="000E6242">
              <w:t>El presente documento es un Informe sobre la situación de los preparativos de la Asamblea Mundial de Normalización de las Telecomunicaciones (AMNT-20) y el Simposio Mundial de Normalización (SMN-20).</w:t>
            </w:r>
          </w:p>
          <w:p w14:paraId="7891858B" w14:textId="77777777" w:rsidR="00093EEB" w:rsidRPr="000E6242" w:rsidRDefault="00093EEB">
            <w:pPr>
              <w:pStyle w:val="Headingb"/>
            </w:pPr>
            <w:r w:rsidRPr="000E6242">
              <w:t>Acción solicitada</w:t>
            </w:r>
          </w:p>
          <w:p w14:paraId="01BD2601" w14:textId="219772AE" w:rsidR="00093EEB" w:rsidRPr="000E6242" w:rsidRDefault="008703E6">
            <w:r w:rsidRPr="000E6242">
              <w:t xml:space="preserve">Se invita al Consejo a </w:t>
            </w:r>
            <w:r w:rsidRPr="000E6242">
              <w:rPr>
                <w:b/>
                <w:bCs/>
              </w:rPr>
              <w:t>tomar nota</w:t>
            </w:r>
            <w:r w:rsidRPr="000E6242">
              <w:t xml:space="preserve"> del presente informe.</w:t>
            </w:r>
          </w:p>
          <w:p w14:paraId="50679542" w14:textId="77777777" w:rsidR="00093EEB" w:rsidRPr="000E6242" w:rsidRDefault="00093EEB">
            <w:pPr>
              <w:pStyle w:val="Table"/>
              <w:keepNext w:val="0"/>
              <w:spacing w:before="0" w:after="0"/>
              <w:rPr>
                <w:caps w:val="0"/>
                <w:sz w:val="22"/>
                <w:lang w:val="es-ES_tradnl"/>
              </w:rPr>
            </w:pPr>
            <w:r w:rsidRPr="000E6242">
              <w:rPr>
                <w:caps w:val="0"/>
                <w:sz w:val="22"/>
                <w:lang w:val="es-ES_tradnl"/>
              </w:rPr>
              <w:t>____________</w:t>
            </w:r>
          </w:p>
          <w:p w14:paraId="30D5D4DB" w14:textId="77777777" w:rsidR="00093EEB" w:rsidRPr="000E6242" w:rsidRDefault="00093EEB">
            <w:pPr>
              <w:pStyle w:val="Headingb"/>
            </w:pPr>
            <w:r w:rsidRPr="000E6242">
              <w:t>Referencia</w:t>
            </w:r>
          </w:p>
          <w:bookmarkStart w:id="10" w:name="lt_pId017"/>
          <w:p w14:paraId="1F0D40D0" w14:textId="017F5E79" w:rsidR="00093EEB" w:rsidRPr="000E6242" w:rsidRDefault="008703E6" w:rsidP="00BD7AF5">
            <w:pPr>
              <w:spacing w:after="120"/>
              <w:rPr>
                <w:i/>
                <w:iCs/>
              </w:rPr>
            </w:pPr>
            <w:r w:rsidRPr="000E6242">
              <w:rPr>
                <w:i/>
                <w:iCs/>
              </w:rPr>
              <w:fldChar w:fldCharType="begin"/>
            </w:r>
            <w:r w:rsidRPr="000E6242">
              <w:rPr>
                <w:i/>
                <w:iCs/>
              </w:rPr>
              <w:instrText>HYPERLINK "https://www.itu.int/es/ITU-T/wtsa20"</w:instrText>
            </w:r>
            <w:r w:rsidRPr="000E6242">
              <w:rPr>
                <w:i/>
                <w:iCs/>
              </w:rPr>
              <w:fldChar w:fldCharType="separate"/>
            </w:r>
            <w:bookmarkEnd w:id="10"/>
            <w:r w:rsidRPr="000E6242">
              <w:rPr>
                <w:rStyle w:val="Hyperlink"/>
                <w:i/>
                <w:iCs/>
              </w:rPr>
              <w:t>https://www.itu.int/es/ITU-T/wtsa20</w:t>
            </w:r>
            <w:r w:rsidRPr="000E6242">
              <w:rPr>
                <w:i/>
                <w:iCs/>
              </w:rPr>
              <w:fldChar w:fldCharType="end"/>
            </w:r>
          </w:p>
        </w:tc>
      </w:tr>
    </w:tbl>
    <w:p w14:paraId="2FA61AF7" w14:textId="77777777" w:rsidR="008703E6" w:rsidRPr="000E6242" w:rsidRDefault="008703E6" w:rsidP="008703E6">
      <w:pPr>
        <w:pStyle w:val="Heading1"/>
      </w:pPr>
      <w:r w:rsidRPr="000E6242">
        <w:t>1</w:t>
      </w:r>
      <w:r w:rsidRPr="000E6242">
        <w:tab/>
      </w:r>
      <w:proofErr w:type="gramStart"/>
      <w:r w:rsidRPr="000E6242">
        <w:t>Fechas</w:t>
      </w:r>
      <w:proofErr w:type="gramEnd"/>
      <w:r w:rsidRPr="000E6242">
        <w:t xml:space="preserve"> y lugar de celebración</w:t>
      </w:r>
    </w:p>
    <w:p w14:paraId="12653BCB" w14:textId="5BBEC42F" w:rsidR="008703E6" w:rsidRPr="000E6242" w:rsidRDefault="008703E6" w:rsidP="008703E6">
      <w:r w:rsidRPr="000E6242">
        <w:t>1.1</w:t>
      </w:r>
      <w:r w:rsidRPr="000E6242">
        <w:tab/>
      </w:r>
      <w:bookmarkStart w:id="11" w:name="lt_pId020"/>
      <w:r w:rsidRPr="000E6242">
        <w:t xml:space="preserve">El </w:t>
      </w:r>
      <w:hyperlink r:id="rId8" w:history="1">
        <w:r w:rsidRPr="000E6242">
          <w:rPr>
            <w:rStyle w:val="Hyperlink"/>
          </w:rPr>
          <w:t>Acuerdo 608</w:t>
        </w:r>
      </w:hyperlink>
      <w:r w:rsidRPr="000E6242">
        <w:t xml:space="preserve"> del Consejo, adoptado inicialmente en la reunión de 2019 del Consejo, decidió la convocatoria de la próxima AMNT </w:t>
      </w:r>
      <w:bookmarkStart w:id="12" w:name="lt_pId018"/>
      <w:r w:rsidRPr="000E6242">
        <w:t>en Hyderabad (India) del 16 al 27 de noviembre de</w:t>
      </w:r>
      <w:r w:rsidR="009E4DA6" w:rsidRPr="000E6242">
        <w:t> </w:t>
      </w:r>
      <w:r w:rsidRPr="000E6242">
        <w:t>2020</w:t>
      </w:r>
      <w:bookmarkEnd w:id="11"/>
      <w:bookmarkEnd w:id="12"/>
      <w:r w:rsidRPr="000E6242">
        <w:t>.</w:t>
      </w:r>
    </w:p>
    <w:p w14:paraId="50B387DA" w14:textId="77777777" w:rsidR="008703E6" w:rsidRPr="000E6242" w:rsidRDefault="008703E6" w:rsidP="008703E6">
      <w:r w:rsidRPr="000E6242">
        <w:t>1.2</w:t>
      </w:r>
      <w:r w:rsidRPr="000E6242">
        <w:tab/>
        <w:t>En la primera consulta virtual de los consejeros en junio de 2020, el Acuerdo 608 del Consejo se modificó y aprobó por correspondencia a fin de reprogramar la próxima AMNT en Hyderabad (India) del 23 de febrero al 5 de marzo de 2021, a condición de que se hubieran restablecido las condiciones normales de trabajo y de viaje en la India y en otros Estados Miembros.</w:t>
      </w:r>
    </w:p>
    <w:p w14:paraId="126F9D60" w14:textId="248A9E41" w:rsidR="008703E6" w:rsidRPr="000E6242" w:rsidRDefault="008703E6" w:rsidP="008703E6">
      <w:r w:rsidRPr="000E6242">
        <w:t>1.3</w:t>
      </w:r>
      <w:r w:rsidRPr="000E6242">
        <w:tab/>
        <w:t xml:space="preserve">En la segunda consulta virtual de los consejeros en noviembre de 2020, el Acuerdo 608 del Consejo se modificó una vez más y aprobó por correspondencia a fin de reprogramar la próxima AMNT en Hyderabad (India) del 1 al </w:t>
      </w:r>
      <w:r w:rsidR="00E16C97" w:rsidRPr="000E6242">
        <w:t>9</w:t>
      </w:r>
      <w:r w:rsidRPr="000E6242">
        <w:t xml:space="preserve"> de marzo de 2022, a condición de que se hubieran restablecido las condiciones normales de trabajo y de viaje en la India y en otros Estados Miembros.</w:t>
      </w:r>
    </w:p>
    <w:p w14:paraId="5EF523EB" w14:textId="77777777" w:rsidR="008703E6" w:rsidRPr="000E6242" w:rsidRDefault="008703E6" w:rsidP="00E16C97">
      <w:r w:rsidRPr="000E6242">
        <w:t>1.4</w:t>
      </w:r>
      <w:r w:rsidRPr="000E6242">
        <w:tab/>
      </w:r>
      <w:bookmarkStart w:id="13" w:name="lt_pId022"/>
      <w:r w:rsidRPr="000E6242">
        <w:t xml:space="preserve">Tras la fructífera consulta efectuada entre los Estados Miembros de la UIT, por medio de la Carta Circular </w:t>
      </w:r>
      <w:proofErr w:type="spellStart"/>
      <w:r w:rsidRPr="000E6242">
        <w:t>Nº</w:t>
      </w:r>
      <w:bookmarkStart w:id="14" w:name="lt_pId023"/>
      <w:bookmarkEnd w:id="13"/>
      <w:proofErr w:type="spellEnd"/>
      <w:r w:rsidRPr="000E6242">
        <w:t xml:space="preserve"> </w:t>
      </w:r>
      <w:hyperlink r:id="rId9" w:history="1">
        <w:r w:rsidRPr="000E6242">
          <w:rPr>
            <w:rStyle w:val="Hyperlink"/>
          </w:rPr>
          <w:t>20/51</w:t>
        </w:r>
      </w:hyperlink>
      <w:r w:rsidRPr="000E6242">
        <w:t xml:space="preserve"> de 22 de diciembre de 2020, la </w:t>
      </w:r>
      <w:hyperlink r:id="rId10" w:history="1">
        <w:r w:rsidRPr="000E6242">
          <w:rPr>
            <w:rStyle w:val="Hyperlink"/>
            <w:rFonts w:asciiTheme="minorHAnsi" w:hAnsiTheme="minorHAnsi" w:cstheme="minorHAnsi"/>
            <w:szCs w:val="24"/>
          </w:rPr>
          <w:t>CL-21/3</w:t>
        </w:r>
      </w:hyperlink>
      <w:r w:rsidRPr="000E6242">
        <w:t xml:space="preserve"> de 3 de febrero de 2021 anunció la </w:t>
      </w:r>
      <w:r w:rsidRPr="000E6242">
        <w:lastRenderedPageBreak/>
        <w:t>aprobación de la mayoría necesaria de los Estados Miembros de la UIT (106 respuestas positivas, 1 respuesta negativa y 1 abstención) de conformidad con el número 42 del Convenio de la UI</w:t>
      </w:r>
      <w:bookmarkStart w:id="15" w:name="lt_pId025"/>
      <w:bookmarkEnd w:id="14"/>
      <w:r w:rsidRPr="000E6242">
        <w:t>T.</w:t>
      </w:r>
      <w:bookmarkEnd w:id="15"/>
    </w:p>
    <w:p w14:paraId="7D6FE97A" w14:textId="77777777" w:rsidR="008703E6" w:rsidRPr="000E6242" w:rsidRDefault="008703E6" w:rsidP="00E16C97">
      <w:r w:rsidRPr="000E6242">
        <w:t>1.5</w:t>
      </w:r>
      <w:r w:rsidRPr="000E6242">
        <w:tab/>
        <w:t xml:space="preserve">Como resultado, la próxima </w:t>
      </w:r>
      <w:r w:rsidRPr="000E6242">
        <w:rPr>
          <w:b/>
        </w:rPr>
        <w:t>AMNT</w:t>
      </w:r>
      <w:r w:rsidRPr="000E6242">
        <w:t xml:space="preserve"> ha sido reprogramada en </w:t>
      </w:r>
      <w:r w:rsidRPr="000E6242">
        <w:rPr>
          <w:b/>
        </w:rPr>
        <w:t>Hyderabad (India)</w:t>
      </w:r>
      <w:r w:rsidRPr="000E6242">
        <w:t xml:space="preserve"> del </w:t>
      </w:r>
      <w:r w:rsidRPr="000E6242">
        <w:rPr>
          <w:b/>
        </w:rPr>
        <w:t>1 al 9 de marzo de 2022</w:t>
      </w:r>
      <w:r w:rsidRPr="000E6242">
        <w:t xml:space="preserve">, precedida por el Simposio Mundial de Normalización </w:t>
      </w:r>
      <w:r w:rsidRPr="000E6242">
        <w:rPr>
          <w:b/>
        </w:rPr>
        <w:t>(SMN) el día 28 de febrero de 2022</w:t>
      </w:r>
      <w:r w:rsidRPr="000E6242">
        <w:t>, y a condición de que se restablezcan las condiciones normales de trabajo y de viaje en la India y en otros Estados Miembros.</w:t>
      </w:r>
    </w:p>
    <w:p w14:paraId="495CD7DE" w14:textId="77777777" w:rsidR="008703E6" w:rsidRPr="000E6242" w:rsidRDefault="008703E6" w:rsidP="008703E6">
      <w:pPr>
        <w:pStyle w:val="Heading1"/>
      </w:pPr>
      <w:r w:rsidRPr="000E6242">
        <w:t>2</w:t>
      </w:r>
      <w:r w:rsidRPr="000E6242">
        <w:tab/>
      </w:r>
      <w:proofErr w:type="gramStart"/>
      <w:r w:rsidRPr="000E6242">
        <w:t>Cartas</w:t>
      </w:r>
      <w:proofErr w:type="gramEnd"/>
      <w:r w:rsidRPr="000E6242">
        <w:t xml:space="preserve"> de invitación</w:t>
      </w:r>
    </w:p>
    <w:p w14:paraId="09D244E1" w14:textId="77777777" w:rsidR="008703E6" w:rsidRPr="000E6242" w:rsidRDefault="008703E6" w:rsidP="008703E6">
      <w:r w:rsidRPr="000E6242">
        <w:t>2.1</w:t>
      </w:r>
      <w:r w:rsidRPr="000E6242">
        <w:tab/>
      </w:r>
      <w:bookmarkStart w:id="16" w:name="lt_pId031"/>
      <w:r w:rsidRPr="000E6242">
        <w:t>Se han remitido cartas de invitación a la AMNT-20 y el SMN-20 a</w:t>
      </w:r>
      <w:bookmarkEnd w:id="16"/>
      <w:r w:rsidRPr="000E6242">
        <w:t>:</w:t>
      </w:r>
    </w:p>
    <w:p w14:paraId="62A92E6C" w14:textId="75C4CBCA" w:rsidR="008703E6" w:rsidRPr="000E6242" w:rsidRDefault="00E16C97" w:rsidP="00E16C97">
      <w:pPr>
        <w:pStyle w:val="enumlev1"/>
      </w:pPr>
      <w:r w:rsidRPr="000E6242">
        <w:t>–</w:t>
      </w:r>
      <w:r w:rsidRPr="000E6242">
        <w:tab/>
      </w:r>
      <w:hyperlink r:id="rId11" w:history="1">
        <w:r w:rsidR="008703E6" w:rsidRPr="000E6242">
          <w:rPr>
            <w:color w:val="0000FF"/>
            <w:u w:val="single"/>
          </w:rPr>
          <w:t>Las Administraciones de los Estados Miembros de la Unión</w:t>
        </w:r>
      </w:hyperlink>
    </w:p>
    <w:p w14:paraId="0F66D867" w14:textId="72991DFB" w:rsidR="008703E6" w:rsidRPr="000E6242" w:rsidRDefault="00E16C97" w:rsidP="00E16C97">
      <w:pPr>
        <w:pStyle w:val="enumlev1"/>
      </w:pPr>
      <w:r w:rsidRPr="000E6242">
        <w:t>–</w:t>
      </w:r>
      <w:r w:rsidRPr="000E6242">
        <w:tab/>
      </w:r>
      <w:hyperlink r:id="rId12" w:history="1">
        <w:r w:rsidR="008703E6" w:rsidRPr="000E6242">
          <w:rPr>
            <w:color w:val="0000FF"/>
            <w:u w:val="single"/>
          </w:rPr>
          <w:t>Los Miembros de Sector del UIT-T</w:t>
        </w:r>
      </w:hyperlink>
    </w:p>
    <w:p w14:paraId="7788A1DC" w14:textId="17903AF8" w:rsidR="008703E6" w:rsidRPr="000E6242" w:rsidRDefault="00E16C97" w:rsidP="00E16C97">
      <w:pPr>
        <w:pStyle w:val="enumlev1"/>
      </w:pPr>
      <w:r w:rsidRPr="000E6242">
        <w:t>–</w:t>
      </w:r>
      <w:r w:rsidRPr="000E6242">
        <w:tab/>
      </w:r>
      <w:hyperlink r:id="rId13" w:history="1">
        <w:r w:rsidR="008703E6" w:rsidRPr="000E6242">
          <w:rPr>
            <w:color w:val="0000FF"/>
            <w:u w:val="single"/>
          </w:rPr>
          <w:t>Las Instituciones Académicas de la UIT</w:t>
        </w:r>
      </w:hyperlink>
    </w:p>
    <w:p w14:paraId="4FB668D6" w14:textId="79071614" w:rsidR="008703E6" w:rsidRPr="000E6242" w:rsidRDefault="00E16C97" w:rsidP="00E16C97">
      <w:pPr>
        <w:pStyle w:val="enumlev1"/>
      </w:pPr>
      <w:r w:rsidRPr="000E6242">
        <w:t>–</w:t>
      </w:r>
      <w:r w:rsidRPr="000E6242">
        <w:tab/>
      </w:r>
      <w:hyperlink r:id="rId14" w:history="1">
        <w:r w:rsidR="008703E6" w:rsidRPr="000E6242">
          <w:rPr>
            <w:color w:val="0000FF"/>
            <w:u w:val="single"/>
          </w:rPr>
          <w:t>Las Naciones Unidas, los organismos especializados de las Naciones Unidas y el Organismo Internacional de Energía Atómica, organizaciones regionales de telecomunicaciones, organizaciones intergubernamentales que explotan sistemas de satélite y otras organizaciones regionales o internacionales</w:t>
        </w:r>
      </w:hyperlink>
    </w:p>
    <w:p w14:paraId="23E0B395" w14:textId="3F084075" w:rsidR="008703E6" w:rsidRPr="000E6242" w:rsidRDefault="00E16C97" w:rsidP="00E16C97">
      <w:pPr>
        <w:pStyle w:val="enumlev1"/>
      </w:pPr>
      <w:r w:rsidRPr="000E6242">
        <w:t>–</w:t>
      </w:r>
      <w:r w:rsidRPr="000E6242">
        <w:tab/>
      </w:r>
      <w:hyperlink r:id="rId15" w:history="1">
        <w:r w:rsidR="008703E6" w:rsidRPr="000E6242">
          <w:rPr>
            <w:color w:val="0000FF"/>
            <w:u w:val="single"/>
          </w:rPr>
          <w:t>El Estado de Palestina</w:t>
        </w:r>
      </w:hyperlink>
    </w:p>
    <w:p w14:paraId="7E562CCC" w14:textId="77777777" w:rsidR="008703E6" w:rsidRPr="000E6242" w:rsidRDefault="008703E6" w:rsidP="008703E6">
      <w:pPr>
        <w:pStyle w:val="Heading1"/>
      </w:pPr>
      <w:r w:rsidRPr="000E6242">
        <w:t>3</w:t>
      </w:r>
      <w:r w:rsidRPr="000E6242">
        <w:tab/>
      </w:r>
      <w:bookmarkStart w:id="17" w:name="lt_pId042"/>
      <w:proofErr w:type="gramStart"/>
      <w:r w:rsidRPr="000E6242">
        <w:t>Candidatos</w:t>
      </w:r>
      <w:proofErr w:type="gramEnd"/>
      <w:r w:rsidRPr="000E6242">
        <w:t xml:space="preserve"> para las Presidencias de las Comisiones de Estudio del UIT</w:t>
      </w:r>
      <w:r w:rsidRPr="000E6242">
        <w:noBreakHyphen/>
        <w:t>T, del GANT</w:t>
      </w:r>
      <w:bookmarkEnd w:id="17"/>
      <w:r w:rsidRPr="000E6242">
        <w:t xml:space="preserve"> y del CNV</w:t>
      </w:r>
    </w:p>
    <w:p w14:paraId="4B018DDD" w14:textId="005582D9" w:rsidR="008703E6" w:rsidRPr="000E6242" w:rsidRDefault="008703E6" w:rsidP="008703E6">
      <w:r w:rsidRPr="000E6242">
        <w:t>3.1</w:t>
      </w:r>
      <w:r w:rsidRPr="000E6242">
        <w:tab/>
      </w:r>
      <w:bookmarkStart w:id="18" w:name="lt_pId045"/>
      <w:r w:rsidRPr="000E6242">
        <w:t xml:space="preserve">En el </w:t>
      </w:r>
      <w:hyperlink r:id="rId16" w:history="1">
        <w:r w:rsidRPr="000E6242">
          <w:rPr>
            <w:rStyle w:val="Hyperlink"/>
          </w:rPr>
          <w:t>Corrigéndum 2 de la Circular 202 de la TSB</w:t>
        </w:r>
      </w:hyperlink>
      <w:r w:rsidRPr="000E6242">
        <w:t xml:space="preserve"> (4 de febrero de 2021) se solicitaban candidaturas para los cargos de presidentes y vicepresidentes de las Comisiones de Estudio del UIT-T, del Grupo Asesor de Normalización de las Telecomunicaciones (GANT) y del Comité para la Normalización del Vocabulario (CNV) para 2022-2024. Se alienta a los Estados Miembros, a los Miembros de Sector del UIT-T y a las Comisiones de Estudio correspondientes y al GANT a que ayuden a la AMNT a nombrar a los presidentes y vicepresidentes de las Comisiones de Estudio del UIT-T, del Grupo Asesor de Normalización de las Telecomunicaciones (GANT) y del Comité para la Normalización del Vocabulario (CNV) indicando candidatos adecuados. Las candidaturas recibidas hasta el momento están publicadas en el </w:t>
      </w:r>
      <w:hyperlink r:id="rId17" w:history="1">
        <w:r w:rsidRPr="000E6242">
          <w:rPr>
            <w:rStyle w:val="Hyperlink"/>
          </w:rPr>
          <w:t>sitio web de la AMNT-20</w:t>
        </w:r>
      </w:hyperlink>
      <w:r w:rsidRPr="000E6242">
        <w:t>.</w:t>
      </w:r>
      <w:bookmarkEnd w:id="18"/>
      <w:r w:rsidRPr="000E6242">
        <w:t xml:space="preserve"> El </w:t>
      </w:r>
      <w:proofErr w:type="gramStart"/>
      <w:r w:rsidRPr="000E6242">
        <w:t>Director</w:t>
      </w:r>
      <w:proofErr w:type="gramEnd"/>
      <w:r w:rsidRPr="000E6242">
        <w:t xml:space="preserve"> de la TSB agradecería recibir las propuestas a partir del </w:t>
      </w:r>
      <w:r w:rsidRPr="000E6242">
        <w:rPr>
          <w:b/>
        </w:rPr>
        <w:t>30 de noviembre de 2021</w:t>
      </w:r>
      <w:r w:rsidRPr="000E6242">
        <w:t>, pero no después del 14 de febrero de 2022.</w:t>
      </w:r>
    </w:p>
    <w:p w14:paraId="15AC2597" w14:textId="77777777" w:rsidR="008703E6" w:rsidRPr="000E6242" w:rsidRDefault="008703E6" w:rsidP="008703E6">
      <w:pPr>
        <w:pStyle w:val="Heading1"/>
      </w:pPr>
      <w:r w:rsidRPr="000E6242">
        <w:t>4</w:t>
      </w:r>
      <w:r w:rsidRPr="000E6242">
        <w:tab/>
      </w:r>
      <w:proofErr w:type="gramStart"/>
      <w:r w:rsidRPr="000E6242">
        <w:t>Reuniones</w:t>
      </w:r>
      <w:proofErr w:type="gramEnd"/>
      <w:r w:rsidRPr="000E6242">
        <w:t xml:space="preserve"> Preparatorias Regionales</w:t>
      </w:r>
    </w:p>
    <w:p w14:paraId="082ABE37" w14:textId="77777777" w:rsidR="008703E6" w:rsidRPr="000E6242" w:rsidRDefault="008703E6" w:rsidP="008703E6">
      <w:r w:rsidRPr="000E6242">
        <w:t>4.1</w:t>
      </w:r>
      <w:r w:rsidRPr="000E6242">
        <w:tab/>
      </w:r>
      <w:bookmarkStart w:id="19" w:name="lt_pId054"/>
      <w:r w:rsidRPr="000E6242">
        <w:t>Las organizaciones regionales de telecomunicaciones han organizado u organizarán Reuniones Preparatorias Regionales, en coordinación con la TSB.</w:t>
      </w:r>
      <w:bookmarkEnd w:id="19"/>
      <w:r w:rsidRPr="000E6242">
        <w:t xml:space="preserve"> En el </w:t>
      </w:r>
      <w:hyperlink r:id="rId18" w:history="1">
        <w:r w:rsidRPr="000E6242">
          <w:rPr>
            <w:rStyle w:val="Hyperlink"/>
          </w:rPr>
          <w:t>sitio web de la AMNT-20</w:t>
        </w:r>
      </w:hyperlink>
      <w:r w:rsidRPr="000E6242">
        <w:t xml:space="preserve"> figura un calendario de las reuniones preparatorias programadas debidamente actualizado.</w:t>
      </w:r>
    </w:p>
    <w:p w14:paraId="6AD00BD6" w14:textId="32ED81CD" w:rsidR="008703E6" w:rsidRPr="000E6242" w:rsidRDefault="008703E6" w:rsidP="008703E6">
      <w:r w:rsidRPr="000E6242">
        <w:t>4.2</w:t>
      </w:r>
      <w:r w:rsidRPr="000E6242">
        <w:tab/>
        <w:t xml:space="preserve">La </w:t>
      </w:r>
      <w:hyperlink r:id="rId19" w:history="1">
        <w:r w:rsidRPr="000E6242">
          <w:rPr>
            <w:rStyle w:val="Hyperlink"/>
          </w:rPr>
          <w:t>primera reunión interregional (RIR)</w:t>
        </w:r>
      </w:hyperlink>
      <w:r w:rsidRPr="000E6242">
        <w:t xml:space="preserve"> se celebró de manera virtual el 18 de septiembre de</w:t>
      </w:r>
      <w:r w:rsidR="005B4DAA" w:rsidRPr="000E6242">
        <w:t> </w:t>
      </w:r>
      <w:r w:rsidRPr="000E6242">
        <w:t>2020</w:t>
      </w:r>
      <w:r w:rsidR="005B4DAA" w:rsidRPr="000E6242">
        <w:t>, inmediatamente a continuación de la 6ª reunión del GANT</w:t>
      </w:r>
      <w:r w:rsidRPr="000E6242">
        <w:t>.</w:t>
      </w:r>
    </w:p>
    <w:p w14:paraId="4A62F200" w14:textId="653E2DBE" w:rsidR="008703E6" w:rsidRPr="000E6242" w:rsidRDefault="008703E6" w:rsidP="008703E6">
      <w:r w:rsidRPr="000E6242">
        <w:t>4.3</w:t>
      </w:r>
      <w:r w:rsidRPr="000E6242">
        <w:tab/>
        <w:t xml:space="preserve">La </w:t>
      </w:r>
      <w:hyperlink r:id="rId20" w:history="1">
        <w:r w:rsidRPr="000E6242">
          <w:rPr>
            <w:rStyle w:val="Hyperlink"/>
          </w:rPr>
          <w:t>segunda RIR</w:t>
        </w:r>
      </w:hyperlink>
      <w:r w:rsidRPr="000E6242">
        <w:t xml:space="preserve"> se celebró el 8 de enero de 2021 a continuación de la 7ª reunión del GANT.</w:t>
      </w:r>
    </w:p>
    <w:p w14:paraId="50EABB26" w14:textId="530C7A08" w:rsidR="008703E6" w:rsidRPr="000E6242" w:rsidRDefault="008703E6" w:rsidP="008703E6">
      <w:r w:rsidRPr="000E6242">
        <w:lastRenderedPageBreak/>
        <w:t>4.4</w:t>
      </w:r>
      <w:r w:rsidRPr="000E6242">
        <w:tab/>
        <w:t>Est</w:t>
      </w:r>
      <w:r w:rsidR="000E6242" w:rsidRPr="000E6242">
        <w:t>á</w:t>
      </w:r>
      <w:r w:rsidRPr="000E6242">
        <w:t xml:space="preserve"> prevista una tercera RIR el 21 de octubre de 2021 a continuación de la 8ª reunión del</w:t>
      </w:r>
      <w:r w:rsidR="000E6242">
        <w:t> </w:t>
      </w:r>
      <w:r w:rsidRPr="000E6242">
        <w:t>GANT.</w:t>
      </w:r>
    </w:p>
    <w:p w14:paraId="581A6FC7" w14:textId="3F9B92DB" w:rsidR="008703E6" w:rsidRPr="000E6242" w:rsidRDefault="008703E6" w:rsidP="008703E6">
      <w:r w:rsidRPr="000E6242">
        <w:t>4.5</w:t>
      </w:r>
      <w:r w:rsidRPr="000E6242">
        <w:tab/>
        <w:t xml:space="preserve">Puede encontrarse más información sobre la coordinación interregional en la </w:t>
      </w:r>
      <w:hyperlink r:id="rId21" w:history="1">
        <w:r w:rsidRPr="000E6242">
          <w:rPr>
            <w:rStyle w:val="Hyperlink"/>
          </w:rPr>
          <w:t>página web</w:t>
        </w:r>
      </w:hyperlink>
      <w:r w:rsidRPr="000E6242">
        <w:t xml:space="preserve"> de la AMNT-20.</w:t>
      </w:r>
    </w:p>
    <w:p w14:paraId="093F105F" w14:textId="77777777" w:rsidR="008703E6" w:rsidRPr="000E6242" w:rsidRDefault="008703E6" w:rsidP="008703E6">
      <w:pPr>
        <w:pStyle w:val="Heading1"/>
      </w:pPr>
      <w:r w:rsidRPr="000E6242">
        <w:t>5</w:t>
      </w:r>
      <w:r w:rsidRPr="000E6242">
        <w:tab/>
      </w:r>
      <w:proofErr w:type="gramStart"/>
      <w:r w:rsidRPr="000E6242">
        <w:t>Preparativos</w:t>
      </w:r>
      <w:proofErr w:type="gramEnd"/>
      <w:r w:rsidRPr="000E6242">
        <w:t xml:space="preserve"> del Grupo Asesor de Normalización de las Telecomunicaciones (GANT) y de las Comisiones de Estudio del UIT-T para la AMNT</w:t>
      </w:r>
    </w:p>
    <w:p w14:paraId="5363AF47" w14:textId="4E5DAD01" w:rsidR="008703E6" w:rsidRPr="000E6242" w:rsidRDefault="008703E6" w:rsidP="008703E6">
      <w:r w:rsidRPr="000E6242">
        <w:t>5.1</w:t>
      </w:r>
      <w:r w:rsidRPr="000E6242">
        <w:tab/>
        <w:t xml:space="preserve">La segunda consulta virtual de los consejeros de noviembre de 2020 tomó nota en el Documento </w:t>
      </w:r>
      <w:hyperlink r:id="rId22" w:history="1">
        <w:r w:rsidRPr="000E6242">
          <w:rPr>
            <w:rStyle w:val="Hyperlink"/>
          </w:rPr>
          <w:t>VC2\12</w:t>
        </w:r>
      </w:hyperlink>
      <w:r w:rsidRPr="000E6242">
        <w:t xml:space="preserve"> de que:</w:t>
      </w:r>
    </w:p>
    <w:p w14:paraId="32481B6C" w14:textId="77777777" w:rsidR="008703E6" w:rsidRPr="000E6242" w:rsidRDefault="008703E6" w:rsidP="00E16C97">
      <w:pPr>
        <w:pStyle w:val="enumlev1"/>
      </w:pPr>
      <w:r w:rsidRPr="000E6242">
        <w:t>•</w:t>
      </w:r>
      <w:r w:rsidRPr="000E6242">
        <w:tab/>
        <w:t>el GANT celebrará tres reuniones antes de la AMNT para dar continuidad a los trabajos del UIT-T y preparar la AMNT;</w:t>
      </w:r>
    </w:p>
    <w:p w14:paraId="1350D5E7" w14:textId="77777777" w:rsidR="008703E6" w:rsidRPr="000E6242" w:rsidRDefault="008703E6" w:rsidP="00E16C97">
      <w:pPr>
        <w:pStyle w:val="enumlev1"/>
      </w:pPr>
      <w:r w:rsidRPr="000E6242">
        <w:t>•</w:t>
      </w:r>
      <w:r w:rsidRPr="000E6242">
        <w:tab/>
        <w:t>antes de cada reunión del GANT, se celebrará una reunión interregional para seguir desarrollando el consenso entre las regiones;</w:t>
      </w:r>
    </w:p>
    <w:p w14:paraId="1F2AC654" w14:textId="77777777" w:rsidR="008703E6" w:rsidRPr="000E6242" w:rsidRDefault="008703E6" w:rsidP="00E16C97">
      <w:pPr>
        <w:pStyle w:val="enumlev1"/>
      </w:pPr>
      <w:r w:rsidRPr="000E6242">
        <w:t>•</w:t>
      </w:r>
      <w:r w:rsidRPr="000E6242">
        <w:tab/>
        <w:t>la TSB reconsiderará el calendario de reuniones de las Comisiones de Estudio del UIT-T para 2021;</w:t>
      </w:r>
    </w:p>
    <w:p w14:paraId="47073BF6" w14:textId="77777777" w:rsidR="008703E6" w:rsidRPr="000E6242" w:rsidRDefault="008703E6" w:rsidP="00E16C97">
      <w:pPr>
        <w:pStyle w:val="enumlev1"/>
      </w:pPr>
      <w:r w:rsidRPr="000E6242">
        <w:t>•</w:t>
      </w:r>
      <w:r w:rsidRPr="000E6242">
        <w:tab/>
        <w:t>el GANT se celebrará en formato virtual y adoptará decisiones por consenso.</w:t>
      </w:r>
    </w:p>
    <w:p w14:paraId="7B943616" w14:textId="523FA31F" w:rsidR="008703E6" w:rsidRPr="000E6242" w:rsidRDefault="008703E6" w:rsidP="008703E6">
      <w:r w:rsidRPr="000E6242">
        <w:t>5.2</w:t>
      </w:r>
      <w:r w:rsidRPr="000E6242">
        <w:tab/>
        <w:t xml:space="preserve">A fecha de diciembre de 2020, todas las </w:t>
      </w:r>
      <w:hyperlink r:id="rId23" w:history="1">
        <w:r w:rsidRPr="000E6242">
          <w:rPr>
            <w:rStyle w:val="Hyperlink"/>
          </w:rPr>
          <w:t>Comisiones de Estudio del UIT-T</w:t>
        </w:r>
      </w:hyperlink>
      <w:r w:rsidRPr="000E6242">
        <w:t xml:space="preserve"> han preparado las Partes 1 y 2 de sus Informes a la AMNT.</w:t>
      </w:r>
    </w:p>
    <w:p w14:paraId="7FEBF581" w14:textId="1C6DE399" w:rsidR="008703E6" w:rsidRPr="000E6242" w:rsidRDefault="008703E6" w:rsidP="008703E6">
      <w:r w:rsidRPr="000E6242">
        <w:t>5.3</w:t>
      </w:r>
      <w:r w:rsidRPr="000E6242">
        <w:tab/>
        <w:t xml:space="preserve">El </w:t>
      </w:r>
      <w:hyperlink r:id="rId24" w:history="1">
        <w:r w:rsidRPr="000E6242">
          <w:rPr>
            <w:rStyle w:val="Hyperlink"/>
          </w:rPr>
          <w:t>GANT</w:t>
        </w:r>
      </w:hyperlink>
      <w:r w:rsidRPr="000E6242">
        <w:t xml:space="preserve"> celebró una reunión virtual del 11 al 18 de enero de 2021 cuyo orden del día </w:t>
      </w:r>
      <w:proofErr w:type="gramStart"/>
      <w:r w:rsidRPr="000E6242">
        <w:t>se centró principalmente en</w:t>
      </w:r>
      <w:proofErr w:type="gramEnd"/>
      <w:r w:rsidRPr="000E6242">
        <w:t xml:space="preserve"> el plan de continuidad del UIT-T en el documento </w:t>
      </w:r>
      <w:hyperlink r:id="rId25" w:history="1">
        <w:r w:rsidRPr="000E6242">
          <w:rPr>
            <w:rStyle w:val="Hyperlink"/>
          </w:rPr>
          <w:t>VC2/3</w:t>
        </w:r>
      </w:hyperlink>
      <w:r w:rsidRPr="000E6242">
        <w:t>.</w:t>
      </w:r>
    </w:p>
    <w:p w14:paraId="1A365E76" w14:textId="400F4FFC" w:rsidR="008703E6" w:rsidRPr="000E6242" w:rsidRDefault="008703E6" w:rsidP="008703E6">
      <w:r w:rsidRPr="000E6242">
        <w:t>5.4</w:t>
      </w:r>
      <w:r w:rsidRPr="000E6242">
        <w:tab/>
        <w:t xml:space="preserve">El GANT refrendó el conjunto de Cuestiones relativo a todas las Comisiones de Estudio del UIT-T que figuran en los </w:t>
      </w:r>
      <w:hyperlink r:id="rId26" w:history="1">
        <w:r w:rsidRPr="000E6242">
          <w:rPr>
            <w:rStyle w:val="Hyperlink"/>
          </w:rPr>
          <w:t>Informes 12 a 22 del GANT</w:t>
        </w:r>
      </w:hyperlink>
      <w:r w:rsidRPr="000E6242">
        <w:t xml:space="preserve">. Las Cuestiones entraron en vigor el 18 de enero de 2021, hasta el final del período de estudios como se anunció en la </w:t>
      </w:r>
      <w:hyperlink r:id="rId27" w:history="1">
        <w:r w:rsidRPr="000E6242">
          <w:rPr>
            <w:rStyle w:val="Hyperlink"/>
          </w:rPr>
          <w:t>Circular 295 de la TSB</w:t>
        </w:r>
      </w:hyperlink>
      <w:r w:rsidRPr="000E6242">
        <w:t>.</w:t>
      </w:r>
    </w:p>
    <w:p w14:paraId="32D28D70" w14:textId="1C6C2EF4" w:rsidR="008703E6" w:rsidRPr="000E6242" w:rsidRDefault="008703E6" w:rsidP="008703E6">
      <w:r w:rsidRPr="000E6242">
        <w:t>5.5</w:t>
      </w:r>
      <w:r w:rsidRPr="000E6242">
        <w:tab/>
        <w:t xml:space="preserve">La TSB consultó a los </w:t>
      </w:r>
      <w:proofErr w:type="gramStart"/>
      <w:r w:rsidRPr="000E6242">
        <w:t>Presidentes</w:t>
      </w:r>
      <w:proofErr w:type="gramEnd"/>
      <w:r w:rsidRPr="000E6242">
        <w:t xml:space="preserve"> de las Comisiones de Estudio y ajustó el </w:t>
      </w:r>
      <w:hyperlink r:id="rId28" w:history="1">
        <w:r w:rsidRPr="000E6242">
          <w:rPr>
            <w:rStyle w:val="Hyperlink"/>
          </w:rPr>
          <w:t>calendario de reuniones del UIT-T para 2021</w:t>
        </w:r>
      </w:hyperlink>
      <w:r w:rsidRPr="000E6242">
        <w:t>.</w:t>
      </w:r>
    </w:p>
    <w:p w14:paraId="5288E0D8" w14:textId="1BC3BC1B" w:rsidR="008703E6" w:rsidRPr="000E6242" w:rsidRDefault="008703E6" w:rsidP="008703E6">
      <w:bookmarkStart w:id="20" w:name="_Hlk69997229"/>
      <w:r w:rsidRPr="000E6242">
        <w:t>5.6</w:t>
      </w:r>
      <w:r w:rsidRPr="000E6242">
        <w:tab/>
        <w:t xml:space="preserve">El GANT planificó una serie de </w:t>
      </w:r>
      <w:hyperlink r:id="rId29" w:history="1">
        <w:r w:rsidRPr="000E6242">
          <w:rPr>
            <w:rStyle w:val="Hyperlink"/>
          </w:rPr>
          <w:t>reuniones de Grupos de Relator</w:t>
        </w:r>
      </w:hyperlink>
      <w:r w:rsidRPr="000E6242">
        <w:t xml:space="preserve"> para adelantar los preparativos para la AMNT y el GANT </w:t>
      </w:r>
      <w:r w:rsidR="007F40B0">
        <w:t xml:space="preserve">que </w:t>
      </w:r>
      <w:r w:rsidRPr="000E6242">
        <w:t>celebrará su próxima reunión del 25 al 29 de octubre de</w:t>
      </w:r>
      <w:r w:rsidR="007F40B0">
        <w:t> </w:t>
      </w:r>
      <w:r w:rsidRPr="000E6242">
        <w:t>2021.</w:t>
      </w:r>
    </w:p>
    <w:bookmarkEnd w:id="20"/>
    <w:p w14:paraId="6826B288" w14:textId="77777777" w:rsidR="008703E6" w:rsidRPr="000E6242" w:rsidRDefault="008703E6" w:rsidP="008703E6">
      <w:pPr>
        <w:pStyle w:val="Heading1"/>
        <w:keepNext w:val="0"/>
        <w:keepLines w:val="0"/>
        <w:widowControl w:val="0"/>
      </w:pPr>
      <w:r w:rsidRPr="000E6242">
        <w:t>6</w:t>
      </w:r>
      <w:r w:rsidRPr="000E6242">
        <w:tab/>
      </w:r>
      <w:proofErr w:type="gramStart"/>
      <w:r w:rsidRPr="000E6242">
        <w:t>Plazo</w:t>
      </w:r>
      <w:proofErr w:type="gramEnd"/>
      <w:r w:rsidRPr="000E6242">
        <w:t xml:space="preserve"> de presentación de propuestas a la AMNT-20</w:t>
      </w:r>
    </w:p>
    <w:p w14:paraId="2F9BF31C" w14:textId="77777777" w:rsidR="008703E6" w:rsidRPr="000E6242" w:rsidRDefault="008703E6" w:rsidP="008703E6">
      <w:r w:rsidRPr="000E6242">
        <w:t>6.1</w:t>
      </w:r>
      <w:r w:rsidRPr="000E6242">
        <w:tab/>
      </w:r>
      <w:bookmarkStart w:id="21" w:name="lt_pId118"/>
      <w:r w:rsidRPr="000E6242">
        <w:t xml:space="preserve">Se invita a las delegaciones a presentar contribuciones a la AMNT-20 cuatro semanas antes de la apertura de la Asamblea (lunes 31 de enero de 2022), observándose que, según lo decidido en la Resolución 165 de la PP-18, existe un plazo de presentación estricto de 21 días naturales </w:t>
      </w:r>
      <w:r w:rsidRPr="000E6242">
        <w:lastRenderedPageBreak/>
        <w:t>antes de la apertura de la AMNT-20 (lunes 7 de febrero de 2022 a las 23.59 horas, hora de Ginebra)</w:t>
      </w:r>
      <w:bookmarkEnd w:id="21"/>
      <w:r w:rsidRPr="000E6242">
        <w:rPr>
          <w:rFonts w:eastAsia="SimSun"/>
          <w:szCs w:val="24"/>
          <w:vertAlign w:val="superscript"/>
        </w:rPr>
        <w:t xml:space="preserve"> </w:t>
      </w:r>
      <w:r w:rsidRPr="000E6242">
        <w:rPr>
          <w:rStyle w:val="FootnoteReference"/>
          <w:rFonts w:eastAsia="SimSun"/>
          <w:sz w:val="24"/>
          <w:szCs w:val="24"/>
          <w:vertAlign w:val="superscript"/>
        </w:rPr>
        <w:footnoteReference w:id="1"/>
      </w:r>
      <w:r w:rsidRPr="000E6242">
        <w:rPr>
          <w:rFonts w:eastAsia="SimSun"/>
          <w:szCs w:val="24"/>
          <w:vertAlign w:val="superscript"/>
        </w:rPr>
        <w:t xml:space="preserve">, </w:t>
      </w:r>
      <w:r w:rsidRPr="000E6242">
        <w:rPr>
          <w:rStyle w:val="FootnoteReference"/>
          <w:rFonts w:eastAsia="SimSun"/>
          <w:sz w:val="24"/>
          <w:szCs w:val="24"/>
          <w:vertAlign w:val="superscript"/>
        </w:rPr>
        <w:footnoteReference w:id="2"/>
      </w:r>
      <w:r w:rsidRPr="000E6242">
        <w:rPr>
          <w:szCs w:val="24"/>
        </w:rPr>
        <w:t>.</w:t>
      </w:r>
    </w:p>
    <w:p w14:paraId="0CCA3BA3" w14:textId="77777777" w:rsidR="008703E6" w:rsidRPr="000E6242" w:rsidRDefault="008703E6" w:rsidP="008703E6">
      <w:pPr>
        <w:pStyle w:val="Heading1"/>
        <w:keepNext w:val="0"/>
        <w:keepLines w:val="0"/>
      </w:pPr>
      <w:r w:rsidRPr="000E6242">
        <w:t>7</w:t>
      </w:r>
      <w:r w:rsidRPr="000E6242">
        <w:tab/>
      </w:r>
      <w:proofErr w:type="gramStart"/>
      <w:r w:rsidRPr="000E6242">
        <w:t>Becas</w:t>
      </w:r>
      <w:proofErr w:type="gramEnd"/>
    </w:p>
    <w:p w14:paraId="455E941D" w14:textId="77777777" w:rsidR="008703E6" w:rsidRPr="000E6242" w:rsidRDefault="008703E6" w:rsidP="008703E6">
      <w:pPr>
        <w:rPr>
          <w:rtl/>
          <w:cs/>
        </w:rPr>
      </w:pPr>
      <w:r w:rsidRPr="000E6242">
        <w:t>6.1</w:t>
      </w:r>
      <w:r w:rsidRPr="000E6242">
        <w:tab/>
      </w:r>
      <w:bookmarkStart w:id="22" w:name="lt_pId127"/>
      <w:r w:rsidRPr="000E6242">
        <w:t>Podrán concederse becas a los Estados Miembros con derecho a ellas para la AMNT</w:t>
      </w:r>
      <w:r w:rsidRPr="000E6242">
        <w:noBreakHyphen/>
        <w:t>20 en función del presupuesto disponible para facilitar la participación de países en desarrollo.</w:t>
      </w:r>
      <w:bookmarkEnd w:id="22"/>
      <w:r w:rsidRPr="000E6242">
        <w:t xml:space="preserve"> La solicitud debe ser autorizada por la Administración competente del Estado Miembro de la </w:t>
      </w:r>
      <w:r w:rsidRPr="000E6242">
        <w:rPr>
          <w:cs/>
        </w:rPr>
        <w:t>‎</w:t>
      </w:r>
      <w:r w:rsidRPr="000E6242">
        <w:t>UIT</w:t>
      </w:r>
      <w:r w:rsidRPr="000E6242">
        <w:rPr>
          <w:cs/>
        </w:rPr>
        <w:t>‎</w:t>
      </w:r>
      <w:r w:rsidRPr="000E6242">
        <w:rPr>
          <w:rtl/>
          <w:cs/>
        </w:rPr>
        <w:t>.</w:t>
      </w:r>
    </w:p>
    <w:p w14:paraId="5864E357" w14:textId="77777777" w:rsidR="008703E6" w:rsidRPr="000E6242" w:rsidRDefault="008703E6" w:rsidP="008703E6">
      <w:pPr>
        <w:pStyle w:val="Heading1"/>
        <w:keepNext w:val="0"/>
        <w:keepLines w:val="0"/>
      </w:pPr>
      <w:r w:rsidRPr="000E6242">
        <w:t>8.</w:t>
      </w:r>
      <w:r w:rsidRPr="000E6242">
        <w:tab/>
        <w:t>Avance de los preparativos con el país anfitrión, la India</w:t>
      </w:r>
    </w:p>
    <w:p w14:paraId="31727366" w14:textId="54CA03A5" w:rsidR="008703E6" w:rsidRPr="000E6242" w:rsidRDefault="008703E6" w:rsidP="008703E6">
      <w:r w:rsidRPr="000E6242">
        <w:t>8.1</w:t>
      </w:r>
      <w:r w:rsidRPr="000E6242">
        <w:tab/>
        <w:t>El país anfitrión, la India, y la Secretaría siguen teniendo conversaciones regulares sobre:</w:t>
      </w:r>
    </w:p>
    <w:p w14:paraId="0EC1CE06" w14:textId="77777777" w:rsidR="008703E6" w:rsidRPr="000E6242" w:rsidRDefault="008703E6" w:rsidP="00E16C97">
      <w:pPr>
        <w:ind w:left="567"/>
      </w:pPr>
      <w:r w:rsidRPr="000E6242">
        <w:t xml:space="preserve">8.1.1 Identificación de un candidato a </w:t>
      </w:r>
      <w:proofErr w:type="gramStart"/>
      <w:r w:rsidRPr="000E6242">
        <w:t>Presidente</w:t>
      </w:r>
      <w:proofErr w:type="gramEnd"/>
      <w:r w:rsidRPr="000E6242">
        <w:t xml:space="preserve"> de la AMNT.</w:t>
      </w:r>
    </w:p>
    <w:p w14:paraId="3C0977F9" w14:textId="77777777" w:rsidR="008703E6" w:rsidRPr="000E6242" w:rsidRDefault="008703E6" w:rsidP="00E16C97">
      <w:pPr>
        <w:ind w:left="567"/>
      </w:pPr>
      <w:r w:rsidRPr="000E6242">
        <w:t>8.1.2 Finalización de los logos de la AMNT y la SMN.</w:t>
      </w:r>
    </w:p>
    <w:p w14:paraId="524C6359" w14:textId="64FAA0D0" w:rsidR="008703E6" w:rsidRPr="000E6242" w:rsidRDefault="008703E6" w:rsidP="00E16C97">
      <w:pPr>
        <w:ind w:left="567"/>
      </w:pPr>
      <w:r w:rsidRPr="000E6242">
        <w:t xml:space="preserve">8.1.3 </w:t>
      </w:r>
      <w:r w:rsidRPr="000E6242">
        <w:tab/>
        <w:t>Finalización del acuerdo de país anfitrión.</w:t>
      </w:r>
    </w:p>
    <w:p w14:paraId="578C29A4" w14:textId="7DF83D86" w:rsidR="008703E6" w:rsidRPr="000E6242" w:rsidRDefault="008703E6" w:rsidP="00E16C97">
      <w:pPr>
        <w:ind w:left="567"/>
      </w:pPr>
      <w:r w:rsidRPr="000E6242">
        <w:t>8.1.4 Elaboración de un plan de contingencia para la AMNT en el caso de que no fuera posible el restablecimiento de las condiciones normales de trabajo y de viaje en la India y en otros Estados Miembros en marzo de 2022.</w:t>
      </w:r>
    </w:p>
    <w:p w14:paraId="37267064" w14:textId="10B1268B" w:rsidR="008703E6" w:rsidRPr="000E6242" w:rsidRDefault="00FA5E2B" w:rsidP="008703E6">
      <w:pPr>
        <w:pStyle w:val="Heading1"/>
        <w:keepNext w:val="0"/>
        <w:keepLines w:val="0"/>
        <w:widowControl w:val="0"/>
      </w:pPr>
      <w:r>
        <w:t>9</w:t>
      </w:r>
      <w:r w:rsidR="008703E6" w:rsidRPr="000E6242">
        <w:tab/>
      </w:r>
      <w:proofErr w:type="gramStart"/>
      <w:r w:rsidR="008703E6" w:rsidRPr="000E6242">
        <w:t>Sitio</w:t>
      </w:r>
      <w:proofErr w:type="gramEnd"/>
      <w:r w:rsidR="008703E6" w:rsidRPr="000E6242">
        <w:t xml:space="preserve"> web desde la AMNT</w:t>
      </w:r>
    </w:p>
    <w:p w14:paraId="77204FE6" w14:textId="7858CB62" w:rsidR="00FA5E2B" w:rsidRDefault="008703E6" w:rsidP="00BD7AF5">
      <w:pPr>
        <w:widowControl w:val="0"/>
      </w:pPr>
      <w:bookmarkStart w:id="23" w:name="lt_pId131"/>
      <w:r w:rsidRPr="000E6242">
        <w:t xml:space="preserve">En el sitio web de la AMNT-20 </w:t>
      </w:r>
      <w:hyperlink r:id="rId30" w:history="1">
        <w:r w:rsidRPr="000E6242">
          <w:rPr>
            <w:rStyle w:val="Hyperlink"/>
            <w:rFonts w:asciiTheme="minorHAnsi" w:hAnsiTheme="minorHAnsi" w:cstheme="minorHAnsi"/>
            <w:szCs w:val="24"/>
          </w:rPr>
          <w:t>http://www.itu.int/es/ITU-T/wtsa20</w:t>
        </w:r>
      </w:hyperlink>
      <w:r w:rsidRPr="000E6242">
        <w:t xml:space="preserve"> figura toda la información arriba indicada.</w:t>
      </w:r>
      <w:bookmarkEnd w:id="23"/>
    </w:p>
    <w:p w14:paraId="2DA62D9B" w14:textId="77777777" w:rsidR="00FA5E2B" w:rsidRDefault="00FA5E2B" w:rsidP="00BD7AF5">
      <w:pPr>
        <w:spacing w:before="840"/>
        <w:jc w:val="center"/>
      </w:pPr>
      <w:r>
        <w:t>______________</w:t>
      </w:r>
    </w:p>
    <w:sectPr w:rsidR="00FA5E2B" w:rsidSect="006710F6">
      <w:headerReference w:type="default" r:id="rId31"/>
      <w:footerReference w:type="default" r:id="rId32"/>
      <w:footerReference w:type="first" r:id="rId3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469AE" w14:textId="77777777" w:rsidR="0000489D" w:rsidRDefault="0000489D">
      <w:r>
        <w:separator/>
      </w:r>
    </w:p>
  </w:endnote>
  <w:endnote w:type="continuationSeparator" w:id="0">
    <w:p w14:paraId="61E125EE" w14:textId="77777777" w:rsidR="0000489D" w:rsidRDefault="0000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BF68" w14:textId="2F1F2C1A" w:rsidR="00760F1C" w:rsidRPr="00BD7AF5" w:rsidRDefault="00BD7AF5" w:rsidP="00E16C97">
    <w:pPr>
      <w:pStyle w:val="Footer"/>
      <w:rPr>
        <w:color w:val="D9D9D9" w:themeColor="background1" w:themeShade="D9"/>
      </w:rPr>
    </w:pPr>
    <w:r w:rsidRPr="00BD7AF5">
      <w:rPr>
        <w:color w:val="D9D9D9" w:themeColor="background1" w:themeShade="D9"/>
      </w:rPr>
      <w:fldChar w:fldCharType="begin"/>
    </w:r>
    <w:r w:rsidRPr="00BD7AF5">
      <w:rPr>
        <w:color w:val="D9D9D9" w:themeColor="background1" w:themeShade="D9"/>
      </w:rPr>
      <w:instrText xml:space="preserve"> FILENAME \p  \* MERGEFORMAT </w:instrText>
    </w:r>
    <w:r w:rsidRPr="00BD7AF5">
      <w:rPr>
        <w:color w:val="D9D9D9" w:themeColor="background1" w:themeShade="D9"/>
      </w:rPr>
      <w:fldChar w:fldCharType="separate"/>
    </w:r>
    <w:r w:rsidR="00E16C97" w:rsidRPr="00BD7AF5">
      <w:rPr>
        <w:color w:val="D9D9D9" w:themeColor="background1" w:themeShade="D9"/>
      </w:rPr>
      <w:t>P:\ESP\SG\CONSEIL\C21\000\024S.docx</w:t>
    </w:r>
    <w:r w:rsidRPr="00BD7AF5">
      <w:rPr>
        <w:color w:val="D9D9D9" w:themeColor="background1" w:themeShade="D9"/>
      </w:rPr>
      <w:fldChar w:fldCharType="end"/>
    </w:r>
    <w:r w:rsidR="00E16C97" w:rsidRPr="00BD7AF5">
      <w:rPr>
        <w:color w:val="D9D9D9" w:themeColor="background1" w:themeShade="D9"/>
      </w:rPr>
      <w:t xml:space="preserve"> (483217)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B766" w14:textId="77777777"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1A05" w14:textId="77777777" w:rsidR="0000489D" w:rsidRDefault="0000489D">
      <w:r>
        <w:t>____________________</w:t>
      </w:r>
    </w:p>
  </w:footnote>
  <w:footnote w:type="continuationSeparator" w:id="0">
    <w:p w14:paraId="402959E5" w14:textId="77777777" w:rsidR="0000489D" w:rsidRDefault="0000489D">
      <w:r>
        <w:continuationSeparator/>
      </w:r>
    </w:p>
  </w:footnote>
  <w:footnote w:id="1">
    <w:p w14:paraId="77F728A6" w14:textId="77777777" w:rsidR="008703E6" w:rsidRPr="00110D31" w:rsidRDefault="008703E6" w:rsidP="008703E6">
      <w:pPr>
        <w:pStyle w:val="FootnoteText"/>
        <w:rPr>
          <w:sz w:val="20"/>
          <w:szCs w:val="22"/>
          <w:lang w:val="es-ES"/>
        </w:rPr>
      </w:pPr>
      <w:r>
        <w:rPr>
          <w:rStyle w:val="FootnoteReference"/>
        </w:rPr>
        <w:footnoteRef/>
      </w:r>
      <w:r>
        <w:tab/>
      </w:r>
      <w:r w:rsidRPr="00110D31">
        <w:rPr>
          <w:rFonts w:asciiTheme="minorHAnsi" w:hAnsiTheme="minorHAnsi"/>
          <w:sz w:val="20"/>
          <w:szCs w:val="22"/>
          <w:lang w:val="es-ES"/>
        </w:rPr>
        <w:t xml:space="preserve">Resolución 165 (Rev. Dubái, 2018) de la Conferencia de Plenipotenciarios, "Plazos de presentación de propuestas y procedimientos para la inscripción de participantes en las conferencias y asambleas de la Unión" "resuelve, </w:t>
      </w:r>
      <w:r w:rsidRPr="00110D31">
        <w:rPr>
          <w:rFonts w:asciiTheme="minorHAnsi" w:hAnsiTheme="minorHAnsi"/>
          <w:sz w:val="20"/>
          <w:szCs w:val="22"/>
          <w:u w:val="single"/>
          <w:lang w:val="es-ES"/>
        </w:rPr>
        <w:t>con excepción de los plazos mencionados en los reconociendo a) y b) anterior, establecer para la presentación de todas las contribuciones un plazo fijo máximo de veintiún días naturales antes de la apertura de las conferencias y asambleas de la Unión</w:t>
      </w:r>
      <w:r w:rsidRPr="00110D31">
        <w:rPr>
          <w:rFonts w:asciiTheme="minorHAnsi" w:hAnsiTheme="minorHAnsi"/>
          <w:sz w:val="20"/>
          <w:szCs w:val="22"/>
          <w:lang w:val="es-ES"/>
        </w:rPr>
        <w:t>, con inclusión de las conferencias de plenipotenciarios, a fin de garantizar la traducción a tiempo y el examen detallado de las mismas por las delegaciones". (Subrayado añadido).</w:t>
      </w:r>
    </w:p>
  </w:footnote>
  <w:footnote w:id="2">
    <w:p w14:paraId="5FDF60B6" w14:textId="77777777" w:rsidR="008703E6" w:rsidRPr="00110D31" w:rsidRDefault="008703E6" w:rsidP="008703E6">
      <w:pPr>
        <w:pStyle w:val="FootnoteText"/>
        <w:rPr>
          <w:sz w:val="20"/>
          <w:szCs w:val="22"/>
        </w:rPr>
      </w:pPr>
      <w:r w:rsidRPr="00110D31">
        <w:rPr>
          <w:rStyle w:val="FootnoteReference"/>
          <w:sz w:val="20"/>
          <w:szCs w:val="22"/>
        </w:rPr>
        <w:footnoteRef/>
      </w:r>
      <w:r w:rsidRPr="00110D31">
        <w:rPr>
          <w:sz w:val="20"/>
          <w:szCs w:val="22"/>
        </w:rPr>
        <w:tab/>
      </w:r>
      <w:r w:rsidRPr="00110D31">
        <w:rPr>
          <w:rFonts w:asciiTheme="minorHAnsi" w:hAnsiTheme="minorHAnsi"/>
          <w:sz w:val="20"/>
          <w:szCs w:val="22"/>
          <w:lang w:val="es-ES"/>
        </w:rPr>
        <w:t xml:space="preserve">En la Resolución 1 (Rev. </w:t>
      </w:r>
      <w:proofErr w:type="spellStart"/>
      <w:r w:rsidRPr="00110D31">
        <w:rPr>
          <w:rFonts w:asciiTheme="minorHAnsi" w:hAnsiTheme="minorHAnsi"/>
          <w:sz w:val="20"/>
          <w:szCs w:val="22"/>
          <w:lang w:val="es-ES"/>
        </w:rPr>
        <w:t>Hammamet</w:t>
      </w:r>
      <w:proofErr w:type="spellEnd"/>
      <w:r w:rsidRPr="00110D31">
        <w:rPr>
          <w:rFonts w:asciiTheme="minorHAnsi" w:hAnsiTheme="minorHAnsi"/>
          <w:sz w:val="20"/>
          <w:szCs w:val="22"/>
          <w:lang w:val="es-ES"/>
        </w:rPr>
        <w:t xml:space="preserve">, 2016) de la AMNT-16 se afirma: "6.1 Las contribuciones deberían </w:t>
      </w:r>
      <w:r w:rsidRPr="00110D31">
        <w:rPr>
          <w:rFonts w:asciiTheme="minorHAnsi" w:hAnsiTheme="minorHAnsi"/>
          <w:sz w:val="20"/>
          <w:szCs w:val="22"/>
          <w:u w:val="single"/>
          <w:lang w:val="es-ES"/>
        </w:rPr>
        <w:t>presentarse a más tardar un mes antes de la apertura de la Asamblea</w:t>
      </w:r>
      <w:r w:rsidRPr="00110D31">
        <w:rPr>
          <w:rFonts w:asciiTheme="minorHAnsi" w:hAnsiTheme="minorHAnsi"/>
          <w:sz w:val="20"/>
          <w:szCs w:val="22"/>
          <w:lang w:val="es-ES"/>
        </w:rPr>
        <w:t xml:space="preserve"> y, en cualquier caso, el plazo para la presentación de todas las contribuciones a la AMNT </w:t>
      </w:r>
      <w:r w:rsidRPr="00110D31">
        <w:rPr>
          <w:rFonts w:asciiTheme="minorHAnsi" w:hAnsiTheme="minorHAnsi"/>
          <w:sz w:val="20"/>
          <w:szCs w:val="22"/>
          <w:u w:val="single"/>
          <w:lang w:val="es-ES"/>
        </w:rPr>
        <w:t>no será inferior a 14 días naturales antes de la apertura de la Asamblea</w:t>
      </w:r>
      <w:r w:rsidRPr="00110D31">
        <w:rPr>
          <w:rFonts w:asciiTheme="minorHAnsi" w:hAnsiTheme="minorHAnsi"/>
          <w:sz w:val="20"/>
          <w:szCs w:val="22"/>
          <w:lang w:val="es-ES"/>
        </w:rPr>
        <w:t>, para que se puedan traducir a tiempo y los delegados puedan examinarlas con detenimiento. La TSB publicará inmediatamente todas las contribuciones a la AMNT en su idioma o idiomas originales en el sitio web de la AMNT, incluso antes de que se hayan traducido a los demás idiomas oficiales de la Unión". (Subrayado añadido).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B8F3" w14:textId="77777777"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C2727F">
      <w:rPr>
        <w:noProof/>
      </w:rPr>
      <w:t>2</w:t>
    </w:r>
    <w:r>
      <w:rPr>
        <w:noProof/>
      </w:rPr>
      <w:fldChar w:fldCharType="end"/>
    </w:r>
  </w:p>
  <w:p w14:paraId="68442927" w14:textId="5B36E176" w:rsidR="00760F1C" w:rsidRDefault="00760F1C" w:rsidP="00C2727F">
    <w:pPr>
      <w:pStyle w:val="Header"/>
    </w:pPr>
    <w:r>
      <w:t>C</w:t>
    </w:r>
    <w:r w:rsidR="007955DA">
      <w:t>2</w:t>
    </w:r>
    <w:r w:rsidR="000007D1">
      <w:t>1</w:t>
    </w:r>
    <w:r>
      <w:t>/</w:t>
    </w:r>
    <w:r w:rsidR="00E16C97">
      <w:t>24</w:t>
    </w:r>
    <w:r>
      <w:t>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752"/>
    <w:multiLevelType w:val="hybridMultilevel"/>
    <w:tmpl w:val="AD344218"/>
    <w:lvl w:ilvl="0" w:tplc="DAE2B19C">
      <w:start w:val="1"/>
      <w:numFmt w:val="bullet"/>
      <w:lvlText w:val="–"/>
      <w:lvlJc w:val="left"/>
      <w:pPr>
        <w:ind w:left="11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9D"/>
    <w:rsid w:val="000007D1"/>
    <w:rsid w:val="0000489D"/>
    <w:rsid w:val="00093EEB"/>
    <w:rsid w:val="000B0D00"/>
    <w:rsid w:val="000B7C15"/>
    <w:rsid w:val="000C505C"/>
    <w:rsid w:val="000D1D0F"/>
    <w:rsid w:val="000E6242"/>
    <w:rsid w:val="000F5290"/>
    <w:rsid w:val="0010165C"/>
    <w:rsid w:val="00146BFB"/>
    <w:rsid w:val="001F14A2"/>
    <w:rsid w:val="002801AA"/>
    <w:rsid w:val="002C4676"/>
    <w:rsid w:val="002C70B0"/>
    <w:rsid w:val="002F3CC4"/>
    <w:rsid w:val="00513630"/>
    <w:rsid w:val="00560125"/>
    <w:rsid w:val="00585553"/>
    <w:rsid w:val="005B34D9"/>
    <w:rsid w:val="005B4DAA"/>
    <w:rsid w:val="005D0CCF"/>
    <w:rsid w:val="005F3BCB"/>
    <w:rsid w:val="005F410F"/>
    <w:rsid w:val="0060149A"/>
    <w:rsid w:val="00601924"/>
    <w:rsid w:val="006447EA"/>
    <w:rsid w:val="0064731F"/>
    <w:rsid w:val="00664572"/>
    <w:rsid w:val="006710F6"/>
    <w:rsid w:val="006C1B56"/>
    <w:rsid w:val="006D4761"/>
    <w:rsid w:val="00726872"/>
    <w:rsid w:val="00760F1C"/>
    <w:rsid w:val="007657F0"/>
    <w:rsid w:val="0077252D"/>
    <w:rsid w:val="007955DA"/>
    <w:rsid w:val="007E5DD3"/>
    <w:rsid w:val="007F350B"/>
    <w:rsid w:val="007F40B0"/>
    <w:rsid w:val="00820BE4"/>
    <w:rsid w:val="008451E8"/>
    <w:rsid w:val="008703E6"/>
    <w:rsid w:val="00913B9C"/>
    <w:rsid w:val="00956E77"/>
    <w:rsid w:val="009E4DA6"/>
    <w:rsid w:val="009F4811"/>
    <w:rsid w:val="00AA390C"/>
    <w:rsid w:val="00B0200A"/>
    <w:rsid w:val="00B574DB"/>
    <w:rsid w:val="00B826C2"/>
    <w:rsid w:val="00B8298E"/>
    <w:rsid w:val="00BD0723"/>
    <w:rsid w:val="00BD2518"/>
    <w:rsid w:val="00BD7AF5"/>
    <w:rsid w:val="00BF1D1C"/>
    <w:rsid w:val="00C20C59"/>
    <w:rsid w:val="00C2727F"/>
    <w:rsid w:val="00C55B1F"/>
    <w:rsid w:val="00CF1A67"/>
    <w:rsid w:val="00D2750E"/>
    <w:rsid w:val="00D62446"/>
    <w:rsid w:val="00DA4EA2"/>
    <w:rsid w:val="00DC3D3E"/>
    <w:rsid w:val="00DE2C90"/>
    <w:rsid w:val="00DE3B24"/>
    <w:rsid w:val="00E06947"/>
    <w:rsid w:val="00E16C97"/>
    <w:rsid w:val="00E3592D"/>
    <w:rsid w:val="00E92DE8"/>
    <w:rsid w:val="00EB1212"/>
    <w:rsid w:val="00ED65AB"/>
    <w:rsid w:val="00F05E20"/>
    <w:rsid w:val="00F12850"/>
    <w:rsid w:val="00F33BF4"/>
    <w:rsid w:val="00F7105E"/>
    <w:rsid w:val="00F75F57"/>
    <w:rsid w:val="00F82FEE"/>
    <w:rsid w:val="00FA5E2B"/>
    <w:rsid w:val="00FD57D3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681B0B"/>
  <w15:docId w15:val="{E19D477B-0028-44B2-A889-211F5EAE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uiPriority w:val="99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1-DM-CIR-01003/es" TargetMode="External"/><Relationship Id="rId18" Type="http://schemas.openxmlformats.org/officeDocument/2006/relationships/hyperlink" Target="https://www.itu.int/en/ITU-T/wtsa20/prepmeet/Pages/default.aspx" TargetMode="External"/><Relationship Id="rId26" Type="http://schemas.openxmlformats.org/officeDocument/2006/relationships/hyperlink" Target="https://www.itu.int/md/T17-TSAG-R/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tu.int/es/ITU-T/wtsa20/irc/Pages/default.aspx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S21-DM-CIR-01002/es" TargetMode="External"/><Relationship Id="rId17" Type="http://schemas.openxmlformats.org/officeDocument/2006/relationships/hyperlink" Target="https://www.itu.int/es/ITU-T/wtsa20/candidates/Pages/ms.aspx" TargetMode="External"/><Relationship Id="rId25" Type="http://schemas.openxmlformats.org/officeDocument/2006/relationships/hyperlink" Target="https://www.itu.int/md/S20-CLVC2-C-0003/es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itu.int/md/T17-TSB-CIR-0202/es" TargetMode="External"/><Relationship Id="rId20" Type="http://schemas.openxmlformats.org/officeDocument/2006/relationships/hyperlink" Target="https://www.itu.int/es/ITU-T/wtsa20/irc/Pages/default.aspx" TargetMode="External"/><Relationship Id="rId29" Type="http://schemas.openxmlformats.org/officeDocument/2006/relationships/hyperlink" Target="https://www.itu.int/net/ITU-T/lists/rgm.aspx?Group=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1-SG-CIR-0006/es" TargetMode="External"/><Relationship Id="rId24" Type="http://schemas.openxmlformats.org/officeDocument/2006/relationships/hyperlink" Target="https://www.itu.int/es/ITU-T/tsag/2017-2020/Pages/default.aspx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1-DM-CIR-01001/es" TargetMode="External"/><Relationship Id="rId23" Type="http://schemas.openxmlformats.org/officeDocument/2006/relationships/hyperlink" Target="https://www.itu.int/es/ITU-T/studygroups/2017-2020/Pages/default.aspx" TargetMode="External"/><Relationship Id="rId28" Type="http://schemas.openxmlformats.org/officeDocument/2006/relationships/hyperlink" Target="https://www.itu.int/md/T17-TSAG-210111-TD-GEN-0938/es" TargetMode="External"/><Relationship Id="rId10" Type="http://schemas.openxmlformats.org/officeDocument/2006/relationships/hyperlink" Target="https://www.itu.int/md/S21-SG-CIR-0003/es" TargetMode="External"/><Relationship Id="rId19" Type="http://schemas.openxmlformats.org/officeDocument/2006/relationships/hyperlink" Target="https://www.itu.int/es/ITU-T/wtsa20/irc/Pages/default.aspx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dms_pub/itu-s/md/20/sg/cir/S20-SG-CIR-0051!!PDF-S.pdf" TargetMode="External"/><Relationship Id="rId14" Type="http://schemas.openxmlformats.org/officeDocument/2006/relationships/hyperlink" Target="https://www.itu.int/md/S21-DM-CIR-01004/es" TargetMode="External"/><Relationship Id="rId22" Type="http://schemas.openxmlformats.org/officeDocument/2006/relationships/hyperlink" Target="https://www.itu.int/md/S20-CLVC2-C-0012/es" TargetMode="External"/><Relationship Id="rId27" Type="http://schemas.openxmlformats.org/officeDocument/2006/relationships/hyperlink" Target="https://www.itu.int/md/T17-TSB-CIR-0295/es" TargetMode="External"/><Relationship Id="rId30" Type="http://schemas.openxmlformats.org/officeDocument/2006/relationships/hyperlink" Target="http://www.itu.int/es/ITU-T/wtsa2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itu.int/md/S19-CL-C-0125/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mat\AppData\Roaming\Microsoft\Templates\POOL%20S%20-%20ITU\PS_C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PS_C21.dotx</Template>
  <TotalTime>1</TotalTime>
  <Pages>4</Pages>
  <Words>1285</Words>
  <Characters>7962</Characters>
  <Application>Microsoft Office Word</Application>
  <DocSecurity>4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9229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Preparativos para la Asamblea Mundial de Normalización de las Telecomunicaciones (AMNT-20)</dc:title>
  <dc:subject>Council 2021, Virtual consultation of councillors</dc:subject>
  <dc:creator>Spanish</dc:creator>
  <cp:keywords>C2021, C21, VCC, C21-VCC-1</cp:keywords>
  <dc:description/>
  <cp:lastModifiedBy>Brouard, Ricarda</cp:lastModifiedBy>
  <cp:revision>2</cp:revision>
  <cp:lastPrinted>2006-03-24T09:51:00Z</cp:lastPrinted>
  <dcterms:created xsi:type="dcterms:W3CDTF">2021-04-27T08:36:00Z</dcterms:created>
  <dcterms:modified xsi:type="dcterms:W3CDTF">2021-04-27T08:36:00Z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