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C21B99" w14:paraId="0C840BE6" w14:textId="77777777">
        <w:trPr>
          <w:cantSplit/>
        </w:trPr>
        <w:tc>
          <w:tcPr>
            <w:tcW w:w="6912" w:type="dxa"/>
          </w:tcPr>
          <w:p w14:paraId="75F0D88B" w14:textId="77777777" w:rsidR="00520F36" w:rsidRPr="00C21B99" w:rsidRDefault="00520F36" w:rsidP="00277080">
            <w:pPr>
              <w:spacing w:before="360"/>
            </w:pPr>
            <w:bookmarkStart w:id="0" w:name="dc06"/>
            <w:bookmarkEnd w:id="0"/>
            <w:r w:rsidRPr="00C21B99">
              <w:rPr>
                <w:b/>
                <w:bCs/>
                <w:sz w:val="30"/>
                <w:szCs w:val="30"/>
              </w:rPr>
              <w:t>Conseil 20</w:t>
            </w:r>
            <w:r w:rsidR="009C353C" w:rsidRPr="00C21B99">
              <w:rPr>
                <w:b/>
                <w:bCs/>
                <w:sz w:val="30"/>
                <w:szCs w:val="30"/>
              </w:rPr>
              <w:t>2</w:t>
            </w:r>
            <w:r w:rsidR="004D1D50" w:rsidRPr="00C21B99">
              <w:rPr>
                <w:b/>
                <w:bCs/>
                <w:sz w:val="30"/>
                <w:szCs w:val="30"/>
              </w:rPr>
              <w:t>1</w:t>
            </w:r>
            <w:r w:rsidRPr="00C21B99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C21B99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C21B99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C21B99">
              <w:rPr>
                <w:b/>
                <w:bCs/>
                <w:sz w:val="28"/>
                <w:szCs w:val="28"/>
              </w:rPr>
              <w:t>8</w:t>
            </w:r>
            <w:r w:rsidRPr="00C21B99">
              <w:rPr>
                <w:b/>
                <w:bCs/>
                <w:sz w:val="28"/>
                <w:szCs w:val="28"/>
              </w:rPr>
              <w:t>-</w:t>
            </w:r>
            <w:r w:rsidR="009C353C" w:rsidRPr="00C21B99">
              <w:rPr>
                <w:b/>
                <w:bCs/>
                <w:sz w:val="28"/>
                <w:szCs w:val="28"/>
              </w:rPr>
              <w:t>1</w:t>
            </w:r>
            <w:r w:rsidR="004D1D50" w:rsidRPr="00C21B99">
              <w:rPr>
                <w:b/>
                <w:bCs/>
                <w:sz w:val="28"/>
                <w:szCs w:val="28"/>
              </w:rPr>
              <w:t>8</w:t>
            </w:r>
            <w:r w:rsidR="00106B19" w:rsidRPr="00C21B99">
              <w:rPr>
                <w:b/>
                <w:bCs/>
                <w:sz w:val="28"/>
                <w:szCs w:val="28"/>
              </w:rPr>
              <w:t xml:space="preserve"> juin</w:t>
            </w:r>
            <w:r w:rsidRPr="00C21B99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C21B99">
              <w:rPr>
                <w:b/>
                <w:bCs/>
                <w:sz w:val="28"/>
                <w:szCs w:val="28"/>
              </w:rPr>
              <w:t>2</w:t>
            </w:r>
            <w:r w:rsidR="004D1D50" w:rsidRPr="00C21B9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3B04641" w14:textId="77777777" w:rsidR="00520F36" w:rsidRPr="00C21B99" w:rsidRDefault="009C353C" w:rsidP="00277080">
            <w:pPr>
              <w:spacing w:before="0"/>
            </w:pPr>
            <w:bookmarkStart w:id="1" w:name="ditulogo"/>
            <w:bookmarkEnd w:id="1"/>
            <w:r w:rsidRPr="00C21B99">
              <w:rPr>
                <w:noProof/>
                <w:lang w:val="en-US"/>
              </w:rPr>
              <w:drawing>
                <wp:inline distT="0" distB="0" distL="0" distR="0" wp14:anchorId="0E474059" wp14:editId="5E7C42F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C21B99" w14:paraId="4342E84E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0C939B1" w14:textId="77777777" w:rsidR="00520F36" w:rsidRPr="00C21B99" w:rsidRDefault="00520F36" w:rsidP="00277080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2B70B8E" w14:textId="77777777" w:rsidR="00520F36" w:rsidRPr="00C21B99" w:rsidRDefault="00520F36" w:rsidP="00277080">
            <w:pPr>
              <w:spacing w:before="0"/>
              <w:rPr>
                <w:b/>
                <w:bCs/>
              </w:rPr>
            </w:pPr>
          </w:p>
        </w:tc>
      </w:tr>
      <w:tr w:rsidR="00520F36" w:rsidRPr="00C21B99" w14:paraId="4AD4D63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8D6C822" w14:textId="77777777" w:rsidR="00520F36" w:rsidRPr="00C21B99" w:rsidRDefault="00520F36" w:rsidP="0027708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2C8C25A" w14:textId="77777777" w:rsidR="00520F36" w:rsidRPr="00C21B99" w:rsidRDefault="00520F36" w:rsidP="00277080">
            <w:pPr>
              <w:spacing w:before="0"/>
              <w:rPr>
                <w:b/>
                <w:bCs/>
              </w:rPr>
            </w:pPr>
          </w:p>
        </w:tc>
      </w:tr>
      <w:tr w:rsidR="00520F36" w:rsidRPr="00C21B99" w14:paraId="56D325AF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22B5F9C" w14:textId="768FB7CA" w:rsidR="00520F36" w:rsidRPr="00C21B99" w:rsidRDefault="00230407" w:rsidP="0027708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C21B99">
              <w:rPr>
                <w:rFonts w:cs="Times"/>
                <w:b/>
                <w:bCs/>
                <w:szCs w:val="24"/>
              </w:rPr>
              <w:t>Point de l</w:t>
            </w:r>
            <w:r w:rsidR="00C21B99" w:rsidRPr="00C21B99">
              <w:rPr>
                <w:rFonts w:cs="Times"/>
                <w:b/>
                <w:bCs/>
                <w:szCs w:val="24"/>
              </w:rPr>
              <w:t>'</w:t>
            </w:r>
            <w:r w:rsidRPr="00C21B99">
              <w:rPr>
                <w:rFonts w:cs="Times"/>
                <w:b/>
                <w:bCs/>
                <w:szCs w:val="24"/>
              </w:rPr>
              <w:t xml:space="preserve">ordre du </w:t>
            </w:r>
            <w:proofErr w:type="gramStart"/>
            <w:r w:rsidRPr="00C21B99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C21B99">
              <w:rPr>
                <w:rFonts w:cs="Times"/>
                <w:b/>
                <w:bCs/>
                <w:szCs w:val="24"/>
              </w:rPr>
              <w:t xml:space="preserve"> PL 2.08</w:t>
            </w:r>
          </w:p>
        </w:tc>
        <w:tc>
          <w:tcPr>
            <w:tcW w:w="3261" w:type="dxa"/>
          </w:tcPr>
          <w:p w14:paraId="34FFDD22" w14:textId="57D4BD11" w:rsidR="00520F36" w:rsidRPr="00C21B99" w:rsidRDefault="00520F36" w:rsidP="00277080">
            <w:pPr>
              <w:spacing w:before="0"/>
              <w:rPr>
                <w:b/>
                <w:bCs/>
              </w:rPr>
            </w:pPr>
            <w:r w:rsidRPr="00C21B99">
              <w:rPr>
                <w:b/>
                <w:bCs/>
              </w:rPr>
              <w:t>Document C</w:t>
            </w:r>
            <w:r w:rsidR="009C353C" w:rsidRPr="00C21B99">
              <w:rPr>
                <w:b/>
                <w:bCs/>
              </w:rPr>
              <w:t>2</w:t>
            </w:r>
            <w:r w:rsidR="004D1D50" w:rsidRPr="00C21B99">
              <w:rPr>
                <w:b/>
                <w:bCs/>
              </w:rPr>
              <w:t>1</w:t>
            </w:r>
            <w:r w:rsidRPr="00C21B99">
              <w:rPr>
                <w:b/>
                <w:bCs/>
              </w:rPr>
              <w:t>/</w:t>
            </w:r>
            <w:r w:rsidR="00230407" w:rsidRPr="00C21B99">
              <w:rPr>
                <w:b/>
                <w:bCs/>
              </w:rPr>
              <w:t>24</w:t>
            </w:r>
            <w:r w:rsidRPr="00C21B99">
              <w:rPr>
                <w:b/>
                <w:bCs/>
              </w:rPr>
              <w:t>-F</w:t>
            </w:r>
          </w:p>
        </w:tc>
      </w:tr>
      <w:tr w:rsidR="00520F36" w:rsidRPr="00C21B99" w14:paraId="7160C183" w14:textId="77777777">
        <w:trPr>
          <w:cantSplit/>
          <w:trHeight w:val="20"/>
        </w:trPr>
        <w:tc>
          <w:tcPr>
            <w:tcW w:w="6912" w:type="dxa"/>
            <w:vMerge/>
          </w:tcPr>
          <w:p w14:paraId="7D599D96" w14:textId="77777777" w:rsidR="00520F36" w:rsidRPr="00C21B99" w:rsidRDefault="00520F36" w:rsidP="00277080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1FF7CB9" w14:textId="57054CA5" w:rsidR="00520F36" w:rsidRPr="00C21B99" w:rsidRDefault="00230407" w:rsidP="00277080">
            <w:pPr>
              <w:spacing w:before="0"/>
              <w:rPr>
                <w:b/>
                <w:bCs/>
              </w:rPr>
            </w:pPr>
            <w:r w:rsidRPr="00C21B99">
              <w:rPr>
                <w:b/>
                <w:bCs/>
              </w:rPr>
              <w:t>7 avril</w:t>
            </w:r>
            <w:r w:rsidR="00520F36" w:rsidRPr="00C21B99">
              <w:rPr>
                <w:b/>
                <w:bCs/>
              </w:rPr>
              <w:t xml:space="preserve"> 20</w:t>
            </w:r>
            <w:r w:rsidR="009C353C" w:rsidRPr="00C21B99">
              <w:rPr>
                <w:b/>
                <w:bCs/>
              </w:rPr>
              <w:t>2</w:t>
            </w:r>
            <w:r w:rsidR="0097363B" w:rsidRPr="00C21B99">
              <w:rPr>
                <w:b/>
                <w:bCs/>
              </w:rPr>
              <w:t>1</w:t>
            </w:r>
          </w:p>
        </w:tc>
      </w:tr>
      <w:tr w:rsidR="00520F36" w:rsidRPr="00C21B99" w14:paraId="0B9F1DDF" w14:textId="77777777">
        <w:trPr>
          <w:cantSplit/>
          <w:trHeight w:val="20"/>
        </w:trPr>
        <w:tc>
          <w:tcPr>
            <w:tcW w:w="6912" w:type="dxa"/>
            <w:vMerge/>
          </w:tcPr>
          <w:p w14:paraId="27ECA59E" w14:textId="77777777" w:rsidR="00520F36" w:rsidRPr="00C21B99" w:rsidRDefault="00520F36" w:rsidP="00277080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C9A6EF2" w14:textId="77777777" w:rsidR="00520F36" w:rsidRPr="00C21B99" w:rsidRDefault="00520F36" w:rsidP="00277080">
            <w:pPr>
              <w:spacing w:before="0"/>
              <w:rPr>
                <w:b/>
                <w:bCs/>
              </w:rPr>
            </w:pPr>
            <w:proofErr w:type="gramStart"/>
            <w:r w:rsidRPr="00C21B99">
              <w:rPr>
                <w:b/>
                <w:bCs/>
              </w:rPr>
              <w:t>Original:</w:t>
            </w:r>
            <w:proofErr w:type="gramEnd"/>
            <w:r w:rsidRPr="00C21B99">
              <w:rPr>
                <w:b/>
                <w:bCs/>
              </w:rPr>
              <w:t xml:space="preserve"> anglais</w:t>
            </w:r>
          </w:p>
        </w:tc>
      </w:tr>
      <w:tr w:rsidR="00520F36" w:rsidRPr="00C21B99" w14:paraId="107163A7" w14:textId="77777777">
        <w:trPr>
          <w:cantSplit/>
        </w:trPr>
        <w:tc>
          <w:tcPr>
            <w:tcW w:w="10173" w:type="dxa"/>
            <w:gridSpan w:val="2"/>
          </w:tcPr>
          <w:p w14:paraId="7249B353" w14:textId="20B8C566" w:rsidR="00520F36" w:rsidRPr="00C21B99" w:rsidRDefault="00230407" w:rsidP="00277080">
            <w:pPr>
              <w:pStyle w:val="Source"/>
            </w:pPr>
            <w:bookmarkStart w:id="6" w:name="dsource" w:colFirst="0" w:colLast="0"/>
            <w:bookmarkEnd w:id="5"/>
            <w:r w:rsidRPr="00C21B99">
              <w:t>Rapport du Secrétaire général</w:t>
            </w:r>
          </w:p>
        </w:tc>
      </w:tr>
      <w:tr w:rsidR="00520F36" w:rsidRPr="00C21B99" w14:paraId="0D97A915" w14:textId="77777777">
        <w:trPr>
          <w:cantSplit/>
        </w:trPr>
        <w:tc>
          <w:tcPr>
            <w:tcW w:w="10173" w:type="dxa"/>
            <w:gridSpan w:val="2"/>
          </w:tcPr>
          <w:p w14:paraId="6908B1BE" w14:textId="76CE0F63" w:rsidR="00520F36" w:rsidRPr="00C21B99" w:rsidRDefault="00901559" w:rsidP="00277080">
            <w:pPr>
              <w:pStyle w:val="Title1"/>
            </w:pPr>
            <w:bookmarkStart w:id="7" w:name="_Hlk53584952"/>
            <w:bookmarkStart w:id="8" w:name="dtitle1" w:colFirst="0" w:colLast="0"/>
            <w:bookmarkEnd w:id="6"/>
            <w:r w:rsidRPr="00C21B99">
              <w:t>Travaux prÉparatoires en vue de l</w:t>
            </w:r>
            <w:r w:rsidR="00C21B99" w:rsidRPr="00C21B99">
              <w:t>'</w:t>
            </w:r>
            <w:r w:rsidRPr="00C21B99">
              <w:t>assemblÉ</w:t>
            </w:r>
            <w:r w:rsidR="00230407" w:rsidRPr="00C21B99">
              <w:t>e m</w:t>
            </w:r>
            <w:r w:rsidRPr="00C21B99">
              <w:t>ondiale de normalisation des tÉlÉ</w:t>
            </w:r>
            <w:r w:rsidR="00230407" w:rsidRPr="00C21B99">
              <w:t>communications (AMNT-20)</w:t>
            </w:r>
            <w:bookmarkEnd w:id="7"/>
          </w:p>
        </w:tc>
      </w:tr>
      <w:bookmarkEnd w:id="8"/>
    </w:tbl>
    <w:p w14:paraId="0E3E430E" w14:textId="77777777" w:rsidR="00520F36" w:rsidRPr="00C21B99" w:rsidRDefault="00520F36" w:rsidP="00277080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C21B99" w14:paraId="06BCD14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F1AF3" w14:textId="77777777" w:rsidR="00520F36" w:rsidRPr="00C21B99" w:rsidRDefault="00520F36" w:rsidP="00277080">
            <w:pPr>
              <w:pStyle w:val="Headingb"/>
            </w:pPr>
            <w:r w:rsidRPr="00C21B99">
              <w:t>Résumé</w:t>
            </w:r>
          </w:p>
          <w:p w14:paraId="43D98BDB" w14:textId="3AF6A951" w:rsidR="00520F36" w:rsidRPr="00C21B99" w:rsidRDefault="00230407" w:rsidP="00277080">
            <w:r w:rsidRPr="00C21B99">
              <w:t>Le présent document rend compte de l</w:t>
            </w:r>
            <w:r w:rsidR="00C21B99" w:rsidRPr="00C21B99">
              <w:t>'</w:t>
            </w:r>
            <w:r w:rsidRPr="00C21B99">
              <w:t>état d</w:t>
            </w:r>
            <w:r w:rsidR="00C21B99" w:rsidRPr="00C21B99">
              <w:t>'</w:t>
            </w:r>
            <w:r w:rsidRPr="00C21B99">
              <w:t>avancement des travaux préparatoires en vue de l</w:t>
            </w:r>
            <w:r w:rsidR="00C21B99" w:rsidRPr="00C21B99">
              <w:t>'</w:t>
            </w:r>
            <w:r w:rsidRPr="00C21B99">
              <w:t>Assemblée mondiale de normalisation des télécommunications (AMNT-20) et du Colloque mondial sur la normalisation (GSS</w:t>
            </w:r>
            <w:r w:rsidRPr="00C21B99">
              <w:noBreakHyphen/>
              <w:t>20).</w:t>
            </w:r>
          </w:p>
          <w:p w14:paraId="0BD73783" w14:textId="77777777" w:rsidR="00520F36" w:rsidRPr="00C21B99" w:rsidRDefault="00520F36" w:rsidP="00277080">
            <w:pPr>
              <w:pStyle w:val="Headingb"/>
            </w:pPr>
            <w:proofErr w:type="gramStart"/>
            <w:r w:rsidRPr="00C21B99">
              <w:t>Suite à</w:t>
            </w:r>
            <w:proofErr w:type="gramEnd"/>
            <w:r w:rsidRPr="00C21B99">
              <w:t xml:space="preserve"> donner</w:t>
            </w:r>
          </w:p>
          <w:p w14:paraId="5A796618" w14:textId="5A886FF5" w:rsidR="00520F36" w:rsidRPr="00C21B99" w:rsidRDefault="00230407" w:rsidP="00277080">
            <w:r w:rsidRPr="00C21B99">
              <w:rPr>
                <w:bCs/>
              </w:rPr>
              <w:t xml:space="preserve">Le Conseil est invité à </w:t>
            </w:r>
            <w:r w:rsidRPr="00C21B99">
              <w:rPr>
                <w:b/>
              </w:rPr>
              <w:t>prendre note</w:t>
            </w:r>
            <w:r w:rsidRPr="00C21B99">
              <w:rPr>
                <w:bCs/>
              </w:rPr>
              <w:t xml:space="preserve"> du rapport.</w:t>
            </w:r>
          </w:p>
          <w:p w14:paraId="7E4E87D3" w14:textId="77777777" w:rsidR="00520F36" w:rsidRPr="00C21B99" w:rsidRDefault="00520F36" w:rsidP="0027708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C21B99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25BD9314" w14:textId="77777777" w:rsidR="00520F36" w:rsidRPr="00C21B99" w:rsidRDefault="00520F36" w:rsidP="00277080">
            <w:pPr>
              <w:pStyle w:val="Headingb"/>
            </w:pPr>
            <w:r w:rsidRPr="00C21B99">
              <w:t>Références</w:t>
            </w:r>
          </w:p>
          <w:p w14:paraId="0BEFB9F0" w14:textId="40869172" w:rsidR="00520F36" w:rsidRPr="00C21B99" w:rsidRDefault="00C21B99" w:rsidP="00277080">
            <w:pPr>
              <w:spacing w:after="120"/>
              <w:rPr>
                <w:i/>
                <w:iCs/>
              </w:rPr>
            </w:pPr>
            <w:hyperlink r:id="rId7" w:history="1">
              <w:r w:rsidR="00230407" w:rsidRPr="00C21B99">
                <w:rPr>
                  <w:rStyle w:val="Hyperlink"/>
                  <w:i/>
                  <w:iCs/>
                </w:rPr>
                <w:t>https://www.itu.int/en/ITU-T/wtsa20</w:t>
              </w:r>
            </w:hyperlink>
          </w:p>
        </w:tc>
      </w:tr>
    </w:tbl>
    <w:p w14:paraId="4A3BE7B2" w14:textId="77777777" w:rsidR="00230407" w:rsidRPr="00C21B99" w:rsidRDefault="00230407" w:rsidP="00277080">
      <w:pPr>
        <w:pStyle w:val="Heading1"/>
      </w:pPr>
      <w:r w:rsidRPr="00C21B99">
        <w:t>1</w:t>
      </w:r>
      <w:r w:rsidRPr="00C21B99">
        <w:tab/>
        <w:t>Lieu et dates</w:t>
      </w:r>
    </w:p>
    <w:p w14:paraId="7734631D" w14:textId="18D47E0F" w:rsidR="00230407" w:rsidRPr="00C21B99" w:rsidRDefault="00230407" w:rsidP="00466F3B">
      <w:r w:rsidRPr="00C21B99">
        <w:t>1.1</w:t>
      </w:r>
      <w:r w:rsidRPr="00C21B99">
        <w:tab/>
      </w:r>
      <w:r w:rsidR="004122E2" w:rsidRPr="00C21B99">
        <w:t>Aux termes de la</w:t>
      </w:r>
      <w:r w:rsidRPr="00C21B99">
        <w:t xml:space="preserve"> </w:t>
      </w:r>
      <w:hyperlink r:id="rId8" w:history="1">
        <w:r w:rsidR="004122E2" w:rsidRPr="00C21B99">
          <w:rPr>
            <w:rStyle w:val="Hyperlink"/>
          </w:rPr>
          <w:t xml:space="preserve">Décision </w:t>
        </w:r>
        <w:r w:rsidRPr="00C21B99">
          <w:rPr>
            <w:rStyle w:val="Hyperlink"/>
          </w:rPr>
          <w:t>608</w:t>
        </w:r>
      </w:hyperlink>
      <w:r w:rsidRPr="00C21B99">
        <w:t xml:space="preserve"> </w:t>
      </w:r>
      <w:r w:rsidR="004122E2" w:rsidRPr="00C21B99">
        <w:t xml:space="preserve">du Conseil, adoptée initialement </w:t>
      </w:r>
      <w:r w:rsidR="0011120A" w:rsidRPr="00C21B99">
        <w:t>par le Conseil lors de sa s</w:t>
      </w:r>
      <w:r w:rsidR="004122E2" w:rsidRPr="00C21B99">
        <w:t xml:space="preserve">ession de 2019, il </w:t>
      </w:r>
      <w:r w:rsidR="00EB6383" w:rsidRPr="00C21B99">
        <w:t xml:space="preserve">avait été </w:t>
      </w:r>
      <w:r w:rsidR="004122E2" w:rsidRPr="00C21B99">
        <w:t xml:space="preserve">convenu </w:t>
      </w:r>
      <w:r w:rsidR="00EB6383" w:rsidRPr="00C21B99">
        <w:t>au départ</w:t>
      </w:r>
      <w:r w:rsidR="004122E2" w:rsidRPr="00C21B99">
        <w:t xml:space="preserve"> que la prochaine AMNT se </w:t>
      </w:r>
      <w:r w:rsidR="00EB6383" w:rsidRPr="00C21B99">
        <w:t xml:space="preserve">tiendrait </w:t>
      </w:r>
      <w:r w:rsidR="00ED4543">
        <w:t>du 16 au </w:t>
      </w:r>
      <w:r w:rsidR="004122E2" w:rsidRPr="00C21B99">
        <w:t>27</w:t>
      </w:r>
      <w:r w:rsidR="00466F3B" w:rsidRPr="00C21B99">
        <w:t> </w:t>
      </w:r>
      <w:r w:rsidR="004122E2" w:rsidRPr="00C21B99">
        <w:t>novembre </w:t>
      </w:r>
      <w:r w:rsidRPr="00C21B99">
        <w:t>2020</w:t>
      </w:r>
      <w:r w:rsidR="00EB6383" w:rsidRPr="00C21B99">
        <w:t xml:space="preserve"> à Hyderabad (Inde)</w:t>
      </w:r>
    </w:p>
    <w:p w14:paraId="13A11060" w14:textId="2509294F" w:rsidR="00230407" w:rsidRPr="00C21B99" w:rsidRDefault="00230407" w:rsidP="00466F3B">
      <w:r w:rsidRPr="00C21B99">
        <w:t>1.2</w:t>
      </w:r>
      <w:r w:rsidRPr="00C21B99">
        <w:tab/>
      </w:r>
      <w:r w:rsidR="00610F23" w:rsidRPr="00C21B99">
        <w:t>Lors</w:t>
      </w:r>
      <w:r w:rsidRPr="00C21B99">
        <w:t xml:space="preserve"> de la première consultation virtuelle des Conseillers</w:t>
      </w:r>
      <w:r w:rsidR="0056757F" w:rsidRPr="00C21B99">
        <w:t xml:space="preserve"> en juin 2020</w:t>
      </w:r>
      <w:r w:rsidRPr="00C21B99">
        <w:t>, la Décision 608 du Conseil a été modifiée</w:t>
      </w:r>
      <w:r w:rsidR="00EB6383" w:rsidRPr="00C21B99">
        <w:t xml:space="preserve"> </w:t>
      </w:r>
      <w:r w:rsidRPr="00C21B99">
        <w:t>et approuvée par correspondance, en vue de reporter la prochaine AMNT pour qu</w:t>
      </w:r>
      <w:r w:rsidR="00C21B99" w:rsidRPr="00C21B99">
        <w:t>'</w:t>
      </w:r>
      <w:r w:rsidRPr="00C21B99">
        <w:t xml:space="preserve">elle se tienne </w:t>
      </w:r>
      <w:r w:rsidR="00EB6383" w:rsidRPr="00C21B99">
        <w:t xml:space="preserve">du 23 février au 5 mars 2021 </w:t>
      </w:r>
      <w:r w:rsidRPr="00C21B99">
        <w:t xml:space="preserve">à Hyderabad </w:t>
      </w:r>
      <w:r w:rsidR="00EB6383" w:rsidRPr="00C21B99">
        <w:t>(</w:t>
      </w:r>
      <w:r w:rsidRPr="00C21B99">
        <w:t>Inde</w:t>
      </w:r>
      <w:r w:rsidR="00EB6383" w:rsidRPr="00C21B99">
        <w:t>)</w:t>
      </w:r>
      <w:r w:rsidRPr="00C21B99">
        <w:t>, sous réserve du rétablissement de conditions de travail et de voyage normales en Inde et dans les autres États Membres.</w:t>
      </w:r>
    </w:p>
    <w:p w14:paraId="5C34C266" w14:textId="21318B14" w:rsidR="00230407" w:rsidRPr="00C21B99" w:rsidRDefault="00230407" w:rsidP="00466F3B">
      <w:r w:rsidRPr="00C21B99">
        <w:t>1.3</w:t>
      </w:r>
      <w:r w:rsidRPr="00C21B99">
        <w:tab/>
      </w:r>
      <w:bookmarkStart w:id="9" w:name="_Hlk68154650"/>
      <w:r w:rsidR="00610F23" w:rsidRPr="00C21B99">
        <w:t>Lors</w:t>
      </w:r>
      <w:r w:rsidR="0056757F" w:rsidRPr="00C21B99">
        <w:t xml:space="preserve"> de la seconde consultation virtuelle des Conseillers en novembre</w:t>
      </w:r>
      <w:r w:rsidRPr="00C21B99">
        <w:t xml:space="preserve"> 2020</w:t>
      </w:r>
      <w:bookmarkEnd w:id="9"/>
      <w:r w:rsidRPr="00C21B99">
        <w:t xml:space="preserve">, </w:t>
      </w:r>
      <w:r w:rsidR="0056757F" w:rsidRPr="00C21B99">
        <w:t>la Dé</w:t>
      </w:r>
      <w:r w:rsidRPr="00C21B99">
        <w:t xml:space="preserve">cision 608 </w:t>
      </w:r>
      <w:r w:rsidR="0056757F" w:rsidRPr="00C21B99">
        <w:t xml:space="preserve">du Conseil a </w:t>
      </w:r>
      <w:r w:rsidR="00C70F28" w:rsidRPr="00C21B99">
        <w:t>de nouveau</w:t>
      </w:r>
      <w:r w:rsidR="0056757F" w:rsidRPr="00C21B99">
        <w:t xml:space="preserve"> été modifiée</w:t>
      </w:r>
      <w:r w:rsidR="00C70F28" w:rsidRPr="00C21B99">
        <w:t xml:space="preserve"> </w:t>
      </w:r>
      <w:r w:rsidR="0056757F" w:rsidRPr="00C21B99">
        <w:t>et approuvée par correspondance, en vue de reporter la prochaine AMNT pour qu</w:t>
      </w:r>
      <w:r w:rsidR="00C21B99" w:rsidRPr="00C21B99">
        <w:t>'</w:t>
      </w:r>
      <w:r w:rsidR="0056757F" w:rsidRPr="00C21B99">
        <w:t xml:space="preserve">elle se tienne du </w:t>
      </w:r>
      <w:r w:rsidR="005B3E9C" w:rsidRPr="00C21B99">
        <w:t>1er</w:t>
      </w:r>
      <w:r w:rsidR="0056757F" w:rsidRPr="00C21B99">
        <w:t xml:space="preserve"> au </w:t>
      </w:r>
      <w:r w:rsidR="00277080">
        <w:t>9</w:t>
      </w:r>
      <w:r w:rsidR="0056757F" w:rsidRPr="00C21B99">
        <w:t xml:space="preserve"> mars 2022</w:t>
      </w:r>
      <w:r w:rsidR="00ED4543">
        <w:t xml:space="preserve"> à Hyderabad (Inde)</w:t>
      </w:r>
      <w:r w:rsidR="0056757F" w:rsidRPr="00C21B99">
        <w:t>, sous réserve du rétablissement de conditions de travail et de voyage normales en Inde et dans les autres États Membres</w:t>
      </w:r>
      <w:r w:rsidRPr="00C21B99">
        <w:t>.</w:t>
      </w:r>
    </w:p>
    <w:p w14:paraId="2FCB4C5E" w14:textId="36A6BBB2" w:rsidR="00230407" w:rsidRPr="00C21B99" w:rsidRDefault="00230407" w:rsidP="00277080">
      <w:r w:rsidRPr="00C21B99">
        <w:lastRenderedPageBreak/>
        <w:t>1.4</w:t>
      </w:r>
      <w:r w:rsidRPr="00C21B99">
        <w:tab/>
        <w:t>À l</w:t>
      </w:r>
      <w:r w:rsidR="00C21B99" w:rsidRPr="00C21B99">
        <w:t>'</w:t>
      </w:r>
      <w:r w:rsidRPr="00C21B99">
        <w:t>issue d</w:t>
      </w:r>
      <w:r w:rsidR="00C21B99" w:rsidRPr="00C21B99">
        <w:t>'</w:t>
      </w:r>
      <w:r w:rsidRPr="00C21B99">
        <w:t>une consultation fructueuse des États Membres de l</w:t>
      </w:r>
      <w:r w:rsidR="00C21B99" w:rsidRPr="00C21B99">
        <w:t>'</w:t>
      </w:r>
      <w:r w:rsidRPr="00C21B99">
        <w:t xml:space="preserve">UIT, menée aux termes de la Lettre circulaire N° </w:t>
      </w:r>
      <w:hyperlink r:id="rId9" w:history="1">
        <w:r w:rsidR="002A170D" w:rsidRPr="00C21B99">
          <w:rPr>
            <w:rStyle w:val="Hyperlink"/>
          </w:rPr>
          <w:t>20/51</w:t>
        </w:r>
      </w:hyperlink>
      <w:r w:rsidRPr="00C21B99">
        <w:t xml:space="preserve"> du </w:t>
      </w:r>
      <w:r w:rsidR="002A170D" w:rsidRPr="00C21B99">
        <w:t>22 décembre </w:t>
      </w:r>
      <w:r w:rsidRPr="00C21B99">
        <w:t xml:space="preserve">2020, </w:t>
      </w:r>
      <w:r w:rsidR="002A170D" w:rsidRPr="00C21B99">
        <w:t>il a été annoncé dans la Lettre circulaire N°</w:t>
      </w:r>
      <w:hyperlink r:id="rId10" w:history="1">
        <w:r w:rsidR="002A170D" w:rsidRPr="00C21B99">
          <w:rPr>
            <w:rStyle w:val="Hyperlink"/>
          </w:rPr>
          <w:t> 21/3</w:t>
        </w:r>
      </w:hyperlink>
      <w:r w:rsidR="002A170D" w:rsidRPr="00C21B99">
        <w:t xml:space="preserve"> du 3 février 2021 que </w:t>
      </w:r>
      <w:r w:rsidRPr="00C21B99">
        <w:t>l</w:t>
      </w:r>
      <w:r w:rsidR="00C21B99" w:rsidRPr="00C21B99">
        <w:t>'</w:t>
      </w:r>
      <w:r w:rsidRPr="00C21B99">
        <w:t>accord de la majorité requise des États Me</w:t>
      </w:r>
      <w:r w:rsidR="002A170D" w:rsidRPr="00C21B99">
        <w:t>mbres de l</w:t>
      </w:r>
      <w:r w:rsidR="00C21B99" w:rsidRPr="00C21B99">
        <w:t>'</w:t>
      </w:r>
      <w:r w:rsidR="002A170D" w:rsidRPr="00C21B99">
        <w:t>UIT a</w:t>
      </w:r>
      <w:r w:rsidR="00A26085" w:rsidRPr="00C21B99">
        <w:t>vait</w:t>
      </w:r>
      <w:r w:rsidR="002A170D" w:rsidRPr="00C21B99">
        <w:t xml:space="preserve"> été obtenu (106</w:t>
      </w:r>
      <w:r w:rsidRPr="00C21B99">
        <w:t xml:space="preserve"> réponses positives, </w:t>
      </w:r>
      <w:r w:rsidR="002A170D" w:rsidRPr="00C21B99">
        <w:t>1 réponse négative, 1 abstention</w:t>
      </w:r>
      <w:r w:rsidRPr="00C21B99">
        <w:t>), conformément au numéro 42 de la Convention de l</w:t>
      </w:r>
      <w:r w:rsidR="00C21B99" w:rsidRPr="00C21B99">
        <w:t>'</w:t>
      </w:r>
      <w:r w:rsidRPr="00C21B99">
        <w:t>UIT.</w:t>
      </w:r>
    </w:p>
    <w:p w14:paraId="6AE51E06" w14:textId="264B2775" w:rsidR="00230407" w:rsidRPr="00C21B99" w:rsidRDefault="00230407" w:rsidP="00774696">
      <w:r w:rsidRPr="00C21B99">
        <w:t>1.5</w:t>
      </w:r>
      <w:r w:rsidRPr="00C21B99">
        <w:tab/>
      </w:r>
      <w:r w:rsidR="00901559" w:rsidRPr="00C21B99">
        <w:t>En conséquence</w:t>
      </w:r>
      <w:r w:rsidR="001662EC" w:rsidRPr="00C21B99">
        <w:t>, l</w:t>
      </w:r>
      <w:r w:rsidRPr="00C21B99">
        <w:t xml:space="preserve">a prochaine </w:t>
      </w:r>
      <w:r w:rsidRPr="00C21B99">
        <w:rPr>
          <w:b/>
        </w:rPr>
        <w:t>AMNT</w:t>
      </w:r>
      <w:r w:rsidRPr="00C21B99">
        <w:t xml:space="preserve"> </w:t>
      </w:r>
      <w:r w:rsidR="00C70F28" w:rsidRPr="00C21B99">
        <w:rPr>
          <w:color w:val="000000"/>
        </w:rPr>
        <w:t>devrait se tenir</w:t>
      </w:r>
      <w:r w:rsidR="00C70F28" w:rsidRPr="00C21B99" w:rsidDel="00C70F28">
        <w:t xml:space="preserve"> </w:t>
      </w:r>
      <w:r w:rsidR="001662EC" w:rsidRPr="00C21B99">
        <w:t xml:space="preserve">à </w:t>
      </w:r>
      <w:r w:rsidR="001662EC" w:rsidRPr="00C21B99">
        <w:rPr>
          <w:b/>
        </w:rPr>
        <w:t xml:space="preserve">Hyderabad </w:t>
      </w:r>
      <w:r w:rsidR="00C70F28" w:rsidRPr="00C21B99">
        <w:rPr>
          <w:b/>
        </w:rPr>
        <w:t>(</w:t>
      </w:r>
      <w:r w:rsidR="001662EC" w:rsidRPr="00C21B99">
        <w:rPr>
          <w:b/>
        </w:rPr>
        <w:t>Inde</w:t>
      </w:r>
      <w:r w:rsidR="00C70F28" w:rsidRPr="00C21B99">
        <w:rPr>
          <w:b/>
        </w:rPr>
        <w:t>)</w:t>
      </w:r>
      <w:r w:rsidRPr="00C21B99">
        <w:t xml:space="preserve"> du </w:t>
      </w:r>
      <w:r w:rsidR="00ED4543">
        <w:rPr>
          <w:b/>
        </w:rPr>
        <w:t>1er au 9 mars </w:t>
      </w:r>
      <w:r w:rsidRPr="00C21B99">
        <w:rPr>
          <w:b/>
        </w:rPr>
        <w:t>2022</w:t>
      </w:r>
      <w:r w:rsidRPr="00C21B99">
        <w:t xml:space="preserve">, </w:t>
      </w:r>
      <w:r w:rsidR="00C70F28" w:rsidRPr="00C21B99">
        <w:rPr>
          <w:color w:val="000000"/>
        </w:rPr>
        <w:t xml:space="preserve">précédée du </w:t>
      </w:r>
      <w:r w:rsidRPr="00C21B99">
        <w:t xml:space="preserve">Colloque mondial sur la normalisation </w:t>
      </w:r>
      <w:r w:rsidR="001662EC" w:rsidRPr="00C21B99">
        <w:rPr>
          <w:b/>
        </w:rPr>
        <w:t>(GSS)</w:t>
      </w:r>
      <w:r w:rsidR="00774696" w:rsidRPr="00C21B99">
        <w:t xml:space="preserve"> </w:t>
      </w:r>
      <w:r w:rsidRPr="00C21B99">
        <w:t xml:space="preserve">le </w:t>
      </w:r>
      <w:r w:rsidRPr="00C21B99">
        <w:rPr>
          <w:b/>
        </w:rPr>
        <w:t>28 février 2022</w:t>
      </w:r>
      <w:r w:rsidR="00C70F28" w:rsidRPr="00C21B99">
        <w:t xml:space="preserve"> </w:t>
      </w:r>
      <w:r w:rsidRPr="00C21B99">
        <w:t>et sous réserve du rétablissement de conditions de travail et de voyage normales en Inde et dans les autres États Membres.</w:t>
      </w:r>
    </w:p>
    <w:p w14:paraId="253D7D4E" w14:textId="59F642F3" w:rsidR="00230407" w:rsidRPr="00C21B99" w:rsidRDefault="00230407" w:rsidP="00277080">
      <w:pPr>
        <w:pStyle w:val="Heading1"/>
      </w:pPr>
      <w:r w:rsidRPr="00C21B99">
        <w:t>2</w:t>
      </w:r>
      <w:r w:rsidRPr="00C21B99">
        <w:tab/>
        <w:t>Lettres d</w:t>
      </w:r>
      <w:r w:rsidR="00C21B99" w:rsidRPr="00C21B99">
        <w:t>'</w:t>
      </w:r>
      <w:r w:rsidRPr="00C21B99">
        <w:t>invitation</w:t>
      </w:r>
    </w:p>
    <w:p w14:paraId="42FCD3EE" w14:textId="34F11157" w:rsidR="00230407" w:rsidRPr="00C21B99" w:rsidRDefault="00230407" w:rsidP="00277080">
      <w:pPr>
        <w:rPr>
          <w:b/>
        </w:rPr>
      </w:pPr>
      <w:r w:rsidRPr="00C21B99">
        <w:t>2.1</w:t>
      </w:r>
      <w:r w:rsidRPr="00C21B99">
        <w:tab/>
        <w:t>Des lettres d</w:t>
      </w:r>
      <w:r w:rsidR="00C21B99" w:rsidRPr="00C21B99">
        <w:t>'</w:t>
      </w:r>
      <w:r w:rsidRPr="00C21B99">
        <w:t>invitation pour l</w:t>
      </w:r>
      <w:r w:rsidR="00C21B99" w:rsidRPr="00C21B99">
        <w:t>'</w:t>
      </w:r>
      <w:r w:rsidRPr="00C21B99">
        <w:t xml:space="preserve">AMNT-20 et le GSS-20 ont été </w:t>
      </w:r>
      <w:proofErr w:type="gramStart"/>
      <w:r w:rsidRPr="00C21B99">
        <w:t>envoyées:</w:t>
      </w:r>
      <w:proofErr w:type="gramEnd"/>
    </w:p>
    <w:p w14:paraId="785B2CF2" w14:textId="051EED30" w:rsidR="00230407" w:rsidRPr="00C21B99" w:rsidRDefault="00230407" w:rsidP="00277080">
      <w:pPr>
        <w:pStyle w:val="enumlev1"/>
      </w:pPr>
      <w:r w:rsidRPr="00C21B99">
        <w:t>–</w:t>
      </w:r>
      <w:r w:rsidRPr="00C21B99">
        <w:tab/>
      </w:r>
      <w:hyperlink r:id="rId11" w:history="1">
        <w:r w:rsidRPr="00C21B99">
          <w:rPr>
            <w:rStyle w:val="Hyperlink"/>
          </w:rPr>
          <w:t>aux Administrations des États Membres de 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Union</w:t>
        </w:r>
      </w:hyperlink>
      <w:r w:rsidRPr="00C21B99">
        <w:t>;</w:t>
      </w:r>
    </w:p>
    <w:p w14:paraId="5CD837CC" w14:textId="1282CBAF" w:rsidR="00230407" w:rsidRPr="00C21B99" w:rsidRDefault="00230407" w:rsidP="00277080">
      <w:pPr>
        <w:pStyle w:val="enumlev1"/>
      </w:pPr>
      <w:r w:rsidRPr="00C21B99">
        <w:t>–</w:t>
      </w:r>
      <w:r w:rsidRPr="00C21B99">
        <w:tab/>
      </w:r>
      <w:hyperlink r:id="rId12" w:history="1">
        <w:r w:rsidRPr="00C21B99">
          <w:rPr>
            <w:rStyle w:val="Hyperlink"/>
          </w:rPr>
          <w:t>aux Membres du Secteur de 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UIT-T</w:t>
        </w:r>
      </w:hyperlink>
      <w:r w:rsidRPr="00C21B99">
        <w:t>;</w:t>
      </w:r>
    </w:p>
    <w:p w14:paraId="6DE17EEC" w14:textId="4CE0012C" w:rsidR="00230407" w:rsidRPr="00C21B99" w:rsidRDefault="00230407" w:rsidP="00277080">
      <w:pPr>
        <w:pStyle w:val="enumlev1"/>
      </w:pPr>
      <w:r w:rsidRPr="00C21B99">
        <w:t>–</w:t>
      </w:r>
      <w:r w:rsidRPr="00C21B99">
        <w:tab/>
      </w:r>
      <w:hyperlink r:id="rId13" w:history="1">
        <w:r w:rsidRPr="00C21B99">
          <w:rPr>
            <w:rStyle w:val="Hyperlink"/>
          </w:rPr>
          <w:t>aux établissements universitaires participant aux travaux de 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UIT</w:t>
        </w:r>
      </w:hyperlink>
      <w:r w:rsidRPr="00C21B99">
        <w:t>;</w:t>
      </w:r>
    </w:p>
    <w:p w14:paraId="7ECF2090" w14:textId="5A6403EA" w:rsidR="00230407" w:rsidRPr="00C21B99" w:rsidRDefault="00230407" w:rsidP="00277080">
      <w:pPr>
        <w:pStyle w:val="enumlev1"/>
      </w:pPr>
      <w:r w:rsidRPr="00C21B99">
        <w:t>–</w:t>
      </w:r>
      <w:r w:rsidRPr="00C21B99">
        <w:tab/>
      </w:r>
      <w:hyperlink r:id="rId14" w:history="1">
        <w:r w:rsidR="00774696" w:rsidRPr="00C21B99">
          <w:rPr>
            <w:rStyle w:val="Hyperlink"/>
          </w:rPr>
          <w:t>à l</w:t>
        </w:r>
        <w:r w:rsidR="00C21B99" w:rsidRPr="00C21B99">
          <w:rPr>
            <w:rStyle w:val="Hyperlink"/>
          </w:rPr>
          <w:t>'</w:t>
        </w:r>
        <w:r w:rsidR="00774696" w:rsidRPr="00C21B99">
          <w:rPr>
            <w:rStyle w:val="Hyperlink"/>
          </w:rPr>
          <w:t xml:space="preserve">Organisation des Nations </w:t>
        </w:r>
        <w:proofErr w:type="gramStart"/>
        <w:r w:rsidR="00774696" w:rsidRPr="00C21B99">
          <w:rPr>
            <w:rStyle w:val="Hyperlink"/>
          </w:rPr>
          <w:t>Unies;</w:t>
        </w:r>
        <w:proofErr w:type="gramEnd"/>
        <w:r w:rsidR="00774696" w:rsidRPr="00C21B99">
          <w:rPr>
            <w:rStyle w:val="Hyperlink"/>
          </w:rPr>
          <w:t xml:space="preserve"> aux </w:t>
        </w:r>
        <w:r w:rsidRPr="00C21B99">
          <w:rPr>
            <w:rStyle w:val="Hyperlink"/>
          </w:rPr>
          <w:t>institutions spécialisées des Nations Unies; à 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Agence internationale de 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énergie atomique (AIEA); aux organisations régionales de télécommunication; aux organisations intergouvernementales exploitant des systèmes à satellites; à d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autres organisations régionales ou internationales</w:t>
        </w:r>
        <w:r w:rsidRPr="00C21B99">
          <w:t>;</w:t>
        </w:r>
      </w:hyperlink>
    </w:p>
    <w:p w14:paraId="6B2125D4" w14:textId="24FA68E7" w:rsidR="00230407" w:rsidRPr="00C21B99" w:rsidRDefault="00230407" w:rsidP="00277080">
      <w:pPr>
        <w:pStyle w:val="enumlev1"/>
      </w:pPr>
      <w:r w:rsidRPr="00C21B99">
        <w:t>–</w:t>
      </w:r>
      <w:r w:rsidRPr="00C21B99">
        <w:tab/>
      </w:r>
      <w:hyperlink r:id="rId15" w:history="1">
        <w:r w:rsidRPr="00C21B99">
          <w:rPr>
            <w:rStyle w:val="Hyperlink"/>
          </w:rPr>
          <w:t>à 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État de Palestine</w:t>
        </w:r>
      </w:hyperlink>
      <w:r w:rsidRPr="00C21B99">
        <w:t>.</w:t>
      </w:r>
    </w:p>
    <w:p w14:paraId="71B5170C" w14:textId="0FA2CAA1" w:rsidR="00230407" w:rsidRPr="00C21B99" w:rsidRDefault="00230407" w:rsidP="00774696">
      <w:pPr>
        <w:pStyle w:val="Heading1"/>
      </w:pPr>
      <w:r w:rsidRPr="00C21B99">
        <w:rPr>
          <w:bCs/>
        </w:rPr>
        <w:t>3</w:t>
      </w:r>
      <w:r w:rsidRPr="00C21B99">
        <w:rPr>
          <w:bCs/>
        </w:rPr>
        <w:tab/>
      </w:r>
      <w:r w:rsidRPr="00C21B99">
        <w:t xml:space="preserve">Candidats aux fonctions de </w:t>
      </w:r>
      <w:r w:rsidR="00C70F28" w:rsidRPr="00C21B99">
        <w:t xml:space="preserve">Président </w:t>
      </w:r>
      <w:r w:rsidRPr="00C21B99">
        <w:t>et Vice</w:t>
      </w:r>
      <w:r w:rsidRPr="00C21B99">
        <w:noBreakHyphen/>
      </w:r>
      <w:r w:rsidR="00C70F28" w:rsidRPr="00C21B99">
        <w:t xml:space="preserve">Président </w:t>
      </w:r>
      <w:r w:rsidRPr="00C21B99">
        <w:t xml:space="preserve">des </w:t>
      </w:r>
      <w:r w:rsidR="00C13ECE">
        <w:t>c</w:t>
      </w:r>
      <w:r w:rsidR="00C70F28" w:rsidRPr="00C21B99">
        <w:t xml:space="preserve">ommissions </w:t>
      </w:r>
      <w:r w:rsidRPr="00C21B99">
        <w:t>d</w:t>
      </w:r>
      <w:r w:rsidR="00C21B99" w:rsidRPr="00C21B99">
        <w:t>'</w:t>
      </w:r>
      <w:r w:rsidRPr="00C21B99">
        <w:t>études de l</w:t>
      </w:r>
      <w:r w:rsidR="00C21B99" w:rsidRPr="00C21B99">
        <w:t>'</w:t>
      </w:r>
      <w:r w:rsidRPr="00C21B99">
        <w:t>UIT</w:t>
      </w:r>
      <w:r w:rsidRPr="00C21B99">
        <w:noBreakHyphen/>
        <w:t xml:space="preserve">T, du GCNT et du </w:t>
      </w:r>
      <w:r w:rsidR="00C70F28" w:rsidRPr="00C21B99">
        <w:rPr>
          <w:color w:val="000000"/>
        </w:rPr>
        <w:t>SCV)</w:t>
      </w:r>
    </w:p>
    <w:p w14:paraId="4B4209E4" w14:textId="37373B72" w:rsidR="00230407" w:rsidRPr="00C21B99" w:rsidRDefault="00230407" w:rsidP="00774696">
      <w:r w:rsidRPr="00C21B99">
        <w:t>3.1</w:t>
      </w:r>
      <w:r w:rsidRPr="00C21B99">
        <w:tab/>
        <w:t xml:space="preserve">Un appel à candidatures pour les fonctions de </w:t>
      </w:r>
      <w:r w:rsidR="00C70F28" w:rsidRPr="00C21B99">
        <w:t xml:space="preserve">Président </w:t>
      </w:r>
      <w:r w:rsidRPr="00C21B99">
        <w:t xml:space="preserve">et Vice-Président des </w:t>
      </w:r>
      <w:r w:rsidR="00C70F28" w:rsidRPr="00C21B99">
        <w:t xml:space="preserve">commissions </w:t>
      </w:r>
      <w:r w:rsidRPr="00C21B99">
        <w:t>d</w:t>
      </w:r>
      <w:r w:rsidR="00C21B99" w:rsidRPr="00C21B99">
        <w:t>'</w:t>
      </w:r>
      <w:r w:rsidRPr="00C21B99">
        <w:t>études de l</w:t>
      </w:r>
      <w:r w:rsidR="00C21B99" w:rsidRPr="00C21B99">
        <w:t>'</w:t>
      </w:r>
      <w:r w:rsidRPr="00C21B99">
        <w:t>UIT-T, du Groupe consultatif de la normalisation des</w:t>
      </w:r>
      <w:r w:rsidR="00C70F28" w:rsidRPr="00C21B99">
        <w:t xml:space="preserve"> </w:t>
      </w:r>
      <w:r w:rsidRPr="00C21B99">
        <w:t>télécommunications (GCNT) et du Comité de normalisation pour le vocabulaire (</w:t>
      </w:r>
      <w:r w:rsidR="00C70F28" w:rsidRPr="00C21B99">
        <w:t>SCV</w:t>
      </w:r>
      <w:r w:rsidRPr="00C21B99">
        <w:t xml:space="preserve">) pour </w:t>
      </w:r>
      <w:r w:rsidR="00C70F28" w:rsidRPr="00C21B99">
        <w:t xml:space="preserve">la période </w:t>
      </w:r>
      <w:r w:rsidRPr="00C21B99">
        <w:t>2022</w:t>
      </w:r>
      <w:r w:rsidRPr="00C21B99">
        <w:noBreakHyphen/>
        <w:t xml:space="preserve">2024 a été envoyé dans le </w:t>
      </w:r>
      <w:hyperlink r:id="rId16" w:history="1">
        <w:proofErr w:type="spellStart"/>
        <w:r w:rsidRPr="00C21B99">
          <w:rPr>
            <w:rStyle w:val="Hyperlink"/>
          </w:rPr>
          <w:t>Corrigendum</w:t>
        </w:r>
        <w:proofErr w:type="spellEnd"/>
        <w:r w:rsidRPr="00C21B99">
          <w:rPr>
            <w:rStyle w:val="Hyperlink"/>
          </w:rPr>
          <w:t xml:space="preserve"> 2 à la Circulaire TSB 202</w:t>
        </w:r>
      </w:hyperlink>
      <w:r w:rsidRPr="00C21B99">
        <w:t xml:space="preserve"> (4 février 2021). Les États Membres, les Membres du Secteur de l</w:t>
      </w:r>
      <w:r w:rsidR="00C21B99" w:rsidRPr="00C21B99">
        <w:t>'</w:t>
      </w:r>
      <w:r w:rsidRPr="00C21B99">
        <w:t>UIT</w:t>
      </w:r>
      <w:r w:rsidRPr="00C21B99">
        <w:noBreakHyphen/>
        <w:t>T, les commissions d</w:t>
      </w:r>
      <w:r w:rsidR="00C21B99" w:rsidRPr="00C21B99">
        <w:t>'</w:t>
      </w:r>
      <w:r w:rsidRPr="00C21B99">
        <w:t xml:space="preserve">études concernées et le GCNT sont invités à </w:t>
      </w:r>
      <w:r w:rsidR="006F0A78" w:rsidRPr="00C21B99">
        <w:t>présenter</w:t>
      </w:r>
      <w:r w:rsidR="00C70F28" w:rsidRPr="00C21B99">
        <w:t xml:space="preserve"> des</w:t>
      </w:r>
      <w:r w:rsidRPr="00C21B99">
        <w:t xml:space="preserve"> candidats qualifiés, afin d</w:t>
      </w:r>
      <w:r w:rsidR="00C21B99" w:rsidRPr="00C21B99">
        <w:t>'</w:t>
      </w:r>
      <w:r w:rsidRPr="00C21B99">
        <w:t>aider l</w:t>
      </w:r>
      <w:r w:rsidR="00C21B99" w:rsidRPr="00C21B99">
        <w:t>'</w:t>
      </w:r>
      <w:r w:rsidRPr="00C21B99">
        <w:t>AMNT à désigner les présidents et</w:t>
      </w:r>
      <w:r w:rsidR="00C70F28" w:rsidRPr="00C21B99">
        <w:t xml:space="preserve"> </w:t>
      </w:r>
      <w:r w:rsidRPr="00C21B99">
        <w:t>vice</w:t>
      </w:r>
      <w:r w:rsidRPr="00C21B99">
        <w:noBreakHyphen/>
        <w:t xml:space="preserve">présidents des </w:t>
      </w:r>
      <w:r w:rsidR="00C70F28" w:rsidRPr="00C21B99">
        <w:t xml:space="preserve">commissions </w:t>
      </w:r>
      <w:r w:rsidRPr="00C21B99">
        <w:t>d</w:t>
      </w:r>
      <w:r w:rsidR="00C21B99" w:rsidRPr="00C21B99">
        <w:t>'</w:t>
      </w:r>
      <w:r w:rsidRPr="00C21B99">
        <w:t>études de l</w:t>
      </w:r>
      <w:r w:rsidR="00C21B99" w:rsidRPr="00C21B99">
        <w:t>'</w:t>
      </w:r>
      <w:r w:rsidRPr="00C21B99">
        <w:t xml:space="preserve">UIT-T, du GCNT et du </w:t>
      </w:r>
      <w:r w:rsidR="00C70F28" w:rsidRPr="00C21B99">
        <w:t>SCV</w:t>
      </w:r>
      <w:r w:rsidRPr="00C21B99">
        <w:t xml:space="preserve">. Les candidatures reçues à ce jour sont publiées sur le </w:t>
      </w:r>
      <w:hyperlink r:id="rId17" w:history="1">
        <w:r w:rsidRPr="00C21B99">
          <w:rPr>
            <w:rStyle w:val="Hyperlink"/>
          </w:rPr>
          <w:t>site web de 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AMNT-20</w:t>
        </w:r>
        <w:r w:rsidRPr="00C21B99">
          <w:t>.</w:t>
        </w:r>
      </w:hyperlink>
      <w:r w:rsidRPr="00C21B99">
        <w:t xml:space="preserve"> </w:t>
      </w:r>
      <w:r w:rsidR="00BF016D" w:rsidRPr="00C21B99">
        <w:t>Le Directeur du TSB</w:t>
      </w:r>
      <w:r w:rsidRPr="00C21B99">
        <w:t xml:space="preserve"> </w:t>
      </w:r>
      <w:r w:rsidR="006F0A78" w:rsidRPr="00C21B99">
        <w:rPr>
          <w:color w:val="000000"/>
        </w:rPr>
        <w:t>vous serait extrêmement reconnaissant de bien vouloir lui faire parvenir</w:t>
      </w:r>
      <w:r w:rsidR="00154A56" w:rsidRPr="00C21B99">
        <w:t xml:space="preserve"> les noms des candidats d</w:t>
      </w:r>
      <w:r w:rsidR="00C21B99" w:rsidRPr="00C21B99">
        <w:t>'</w:t>
      </w:r>
      <w:r w:rsidR="00154A56" w:rsidRPr="00C21B99">
        <w:t>ici au</w:t>
      </w:r>
      <w:r w:rsidRPr="00C21B99">
        <w:t xml:space="preserve"> </w:t>
      </w:r>
      <w:r w:rsidRPr="00C21B99">
        <w:rPr>
          <w:b/>
          <w:bCs/>
        </w:rPr>
        <w:t xml:space="preserve">30 </w:t>
      </w:r>
      <w:r w:rsidR="00BF016D" w:rsidRPr="00C21B99">
        <w:rPr>
          <w:b/>
          <w:bCs/>
        </w:rPr>
        <w:t>novembre</w:t>
      </w:r>
      <w:r w:rsidRPr="00C21B99">
        <w:rPr>
          <w:b/>
          <w:bCs/>
        </w:rPr>
        <w:t xml:space="preserve"> 2021</w:t>
      </w:r>
      <w:r w:rsidRPr="00C21B99">
        <w:t xml:space="preserve">, </w:t>
      </w:r>
      <w:r w:rsidR="00154A56" w:rsidRPr="00C21B99">
        <w:t>et au plus tard le</w:t>
      </w:r>
      <w:r w:rsidRPr="00C21B99">
        <w:t xml:space="preserve"> 14 </w:t>
      </w:r>
      <w:r w:rsidR="00BF016D" w:rsidRPr="00C21B99">
        <w:t>février</w:t>
      </w:r>
      <w:r w:rsidRPr="00C21B99">
        <w:t xml:space="preserve"> 2022.</w:t>
      </w:r>
    </w:p>
    <w:p w14:paraId="3F824446" w14:textId="77777777" w:rsidR="00230407" w:rsidRPr="00C21B99" w:rsidRDefault="00230407" w:rsidP="00277080">
      <w:pPr>
        <w:pStyle w:val="Heading1"/>
      </w:pPr>
      <w:r w:rsidRPr="00C21B99">
        <w:t>4</w:t>
      </w:r>
      <w:r w:rsidRPr="00C21B99">
        <w:tab/>
        <w:t>Réunions préparatoires régionales</w:t>
      </w:r>
    </w:p>
    <w:p w14:paraId="0382001C" w14:textId="0B4301F6" w:rsidR="00230407" w:rsidRPr="00C21B99" w:rsidRDefault="00230407" w:rsidP="00FF7866">
      <w:r w:rsidRPr="00C21B99">
        <w:t>4.1</w:t>
      </w:r>
      <w:r w:rsidRPr="00C21B99">
        <w:tab/>
        <w:t>Des réunions préparatoires régionales ont été ou seront organisées par les organisations régionales de télécommunication en coordination avec le TSB.</w:t>
      </w:r>
      <w:r w:rsidRPr="00C21B99">
        <w:rPr>
          <w:rFonts w:asciiTheme="minorHAnsi" w:hAnsiTheme="minorHAnsi"/>
          <w:szCs w:val="24"/>
        </w:rPr>
        <w:t xml:space="preserve"> Les dernières mises à jour du</w:t>
      </w:r>
      <w:r w:rsidRPr="00C21B99">
        <w:rPr>
          <w:color w:val="000000"/>
        </w:rPr>
        <w:t xml:space="preserve"> calendrier de toutes les réunions préparatoires prévues sont </w:t>
      </w:r>
      <w:r w:rsidR="006F0A78" w:rsidRPr="00C21B99">
        <w:rPr>
          <w:color w:val="000000"/>
        </w:rPr>
        <w:t>également</w:t>
      </w:r>
      <w:r w:rsidRPr="00C21B99">
        <w:rPr>
          <w:color w:val="000000"/>
        </w:rPr>
        <w:t xml:space="preserve"> accessibles sur le </w:t>
      </w:r>
      <w:hyperlink r:id="rId18" w:history="1">
        <w:r w:rsidRPr="00C21B99">
          <w:rPr>
            <w:rStyle w:val="Hyperlink"/>
          </w:rPr>
          <w:t>site web de l</w:t>
        </w:r>
        <w:r w:rsidR="00C21B99" w:rsidRPr="00C21B99">
          <w:rPr>
            <w:rStyle w:val="Hyperlink"/>
          </w:rPr>
          <w:t>'</w:t>
        </w:r>
        <w:r w:rsidRPr="00C21B99">
          <w:rPr>
            <w:rStyle w:val="Hyperlink"/>
          </w:rPr>
          <w:t>AMNT-20</w:t>
        </w:r>
      </w:hyperlink>
      <w:r w:rsidRPr="00C21B99">
        <w:rPr>
          <w:color w:val="000000"/>
        </w:rPr>
        <w:t>.</w:t>
      </w:r>
    </w:p>
    <w:p w14:paraId="2D4ADB02" w14:textId="2E6C0303" w:rsidR="00230407" w:rsidRPr="00C21B99" w:rsidRDefault="00230407" w:rsidP="00277080">
      <w:r w:rsidRPr="00C21B99">
        <w:t>4.2</w:t>
      </w:r>
      <w:r w:rsidRPr="00C21B99">
        <w:tab/>
        <w:t xml:space="preserve">La </w:t>
      </w:r>
      <w:hyperlink r:id="rId19" w:history="1">
        <w:r w:rsidRPr="00E75B8B">
          <w:rPr>
            <w:rStyle w:val="Hyperlink"/>
          </w:rPr>
          <w:t>première réunion interrégionale</w:t>
        </w:r>
        <w:r w:rsidR="006F0A78" w:rsidRPr="00E75B8B">
          <w:rPr>
            <w:rStyle w:val="Hyperlink"/>
          </w:rPr>
          <w:t xml:space="preserve"> (IRM)</w:t>
        </w:r>
      </w:hyperlink>
      <w:r w:rsidRPr="00C21B99">
        <w:t xml:space="preserve"> a eu lieu le 18 septembre 2020, de manière virtuelle, juste avant la 6ème réunion du GCNT.</w:t>
      </w:r>
    </w:p>
    <w:p w14:paraId="778AEB0C" w14:textId="6640FAE5" w:rsidR="00230407" w:rsidRPr="00C21B99" w:rsidRDefault="00230407" w:rsidP="00277080">
      <w:r w:rsidRPr="00C21B99">
        <w:lastRenderedPageBreak/>
        <w:t>4.3</w:t>
      </w:r>
      <w:r w:rsidRPr="00C21B99">
        <w:tab/>
      </w:r>
      <w:r w:rsidR="00154A56" w:rsidRPr="00C21B99">
        <w:t>La</w:t>
      </w:r>
      <w:r w:rsidRPr="00C21B99">
        <w:t xml:space="preserve"> </w:t>
      </w:r>
      <w:hyperlink r:id="rId20" w:history="1">
        <w:r w:rsidRPr="00C21B99">
          <w:rPr>
            <w:rStyle w:val="Hyperlink"/>
          </w:rPr>
          <w:t>deuxième réunion interrégionale</w:t>
        </w:r>
      </w:hyperlink>
      <w:r w:rsidRPr="00C21B99">
        <w:t xml:space="preserve"> </w:t>
      </w:r>
      <w:r w:rsidR="00154A56" w:rsidRPr="00C21B99">
        <w:t>s</w:t>
      </w:r>
      <w:r w:rsidR="00C21B99" w:rsidRPr="00C21B99">
        <w:t>'</w:t>
      </w:r>
      <w:r w:rsidR="00154A56" w:rsidRPr="00C21B99">
        <w:t>est tenue</w:t>
      </w:r>
      <w:r w:rsidRPr="00C21B99">
        <w:t xml:space="preserve"> le</w:t>
      </w:r>
      <w:r w:rsidR="00E75B8B">
        <w:t xml:space="preserve"> 8 janvier 2021, juste avant la </w:t>
      </w:r>
      <w:r w:rsidRPr="00C21B99">
        <w:t>7ème réunion du GCNT.</w:t>
      </w:r>
    </w:p>
    <w:p w14:paraId="6EFC05DF" w14:textId="1F469466" w:rsidR="00A71469" w:rsidRPr="00C21B99" w:rsidRDefault="00A71469" w:rsidP="00277080">
      <w:pPr>
        <w:shd w:val="clear" w:color="auto" w:fill="FFFFFF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</w:pPr>
      <w:r w:rsidRPr="00C21B99">
        <w:t>4.4</w:t>
      </w:r>
      <w:r w:rsidRPr="00C21B99">
        <w:tab/>
      </w:r>
      <w:r w:rsidR="00154A56" w:rsidRPr="00C21B99">
        <w:t xml:space="preserve">Une troisième réunion interrégionale est prévue le </w:t>
      </w:r>
      <w:r w:rsidR="00E75B8B">
        <w:t>21 octobre 2021, juste avant la </w:t>
      </w:r>
      <w:r w:rsidR="00154A56" w:rsidRPr="00C21B99">
        <w:t>8ème</w:t>
      </w:r>
      <w:r w:rsidR="00FF7866" w:rsidRPr="00C21B99">
        <w:t> </w:t>
      </w:r>
      <w:r w:rsidR="00154A56" w:rsidRPr="00C21B99">
        <w:t>réunion du GCNT</w:t>
      </w:r>
      <w:r w:rsidRPr="00C21B99">
        <w:t>.</w:t>
      </w:r>
    </w:p>
    <w:p w14:paraId="60735B0B" w14:textId="1A16E313" w:rsidR="00230407" w:rsidRPr="00C21B99" w:rsidRDefault="00230407" w:rsidP="00FF7866">
      <w:pPr>
        <w:rPr>
          <w:rFonts w:asciiTheme="minorHAnsi" w:hAnsiTheme="minorHAnsi" w:cstheme="minorHAnsi"/>
          <w:color w:val="000000"/>
          <w:szCs w:val="24"/>
        </w:rPr>
      </w:pPr>
      <w:r w:rsidRPr="00C21B99">
        <w:t>4.</w:t>
      </w:r>
      <w:r w:rsidR="00A71469" w:rsidRPr="00C21B99">
        <w:t>5</w:t>
      </w:r>
      <w:r w:rsidRPr="00C21B99">
        <w:tab/>
      </w:r>
      <w:r w:rsidR="006F0A78" w:rsidRPr="00C21B99">
        <w:t xml:space="preserve">Des </w:t>
      </w:r>
      <w:r w:rsidRPr="00C21B99">
        <w:t xml:space="preserve">informations sur la coordination interrégionale sont disponibles sur la </w:t>
      </w:r>
      <w:hyperlink r:id="rId21" w:history="1">
        <w:r w:rsidRPr="00C21B99">
          <w:rPr>
            <w:rStyle w:val="Hyperlink"/>
          </w:rPr>
          <w:t>page web</w:t>
        </w:r>
      </w:hyperlink>
      <w:r w:rsidRPr="00C21B99">
        <w:t xml:space="preserve"> de l</w:t>
      </w:r>
      <w:r w:rsidR="00C21B99" w:rsidRPr="00C21B99">
        <w:t>'</w:t>
      </w:r>
      <w:r w:rsidRPr="00C21B99">
        <w:t>AMNT-20.</w:t>
      </w:r>
    </w:p>
    <w:p w14:paraId="44789F65" w14:textId="527CD900" w:rsidR="00230407" w:rsidRPr="00C21B99" w:rsidRDefault="00230407" w:rsidP="00277080">
      <w:pPr>
        <w:pStyle w:val="Heading1"/>
      </w:pPr>
      <w:r w:rsidRPr="00C21B99">
        <w:t>5</w:t>
      </w:r>
      <w:r w:rsidRPr="00C21B99">
        <w:tab/>
        <w:t xml:space="preserve">Travaux préparatoires du Groupe consultatif de la normalisation des télécommunications (GCNT) et des </w:t>
      </w:r>
      <w:r w:rsidR="006F0A78" w:rsidRPr="00C21B99">
        <w:t xml:space="preserve">commissions </w:t>
      </w:r>
      <w:r w:rsidRPr="00C21B99">
        <w:t>d</w:t>
      </w:r>
      <w:r w:rsidR="00C21B99" w:rsidRPr="00C21B99">
        <w:t>'</w:t>
      </w:r>
      <w:r w:rsidRPr="00C21B99">
        <w:t>études de l</w:t>
      </w:r>
      <w:r w:rsidR="00C21B99" w:rsidRPr="00C21B99">
        <w:t>'</w:t>
      </w:r>
      <w:r w:rsidRPr="00C21B99">
        <w:t>UIT-T en vue de</w:t>
      </w:r>
      <w:r w:rsidR="00FF7866" w:rsidRPr="00C21B99">
        <w:t> </w:t>
      </w:r>
      <w:r w:rsidRPr="00C21B99">
        <w:t>l</w:t>
      </w:r>
      <w:r w:rsidR="00C21B99" w:rsidRPr="00C21B99">
        <w:t>'</w:t>
      </w:r>
      <w:r w:rsidRPr="00C21B99">
        <w:t>AMNT</w:t>
      </w:r>
    </w:p>
    <w:p w14:paraId="6CD162DA" w14:textId="5E7C94A6" w:rsidR="00A71469" w:rsidRPr="00C21B99" w:rsidRDefault="00A71469" w:rsidP="00FF7866">
      <w:r w:rsidRPr="00C21B99">
        <w:t>5.1</w:t>
      </w:r>
      <w:r w:rsidRPr="00C21B99">
        <w:tab/>
      </w:r>
      <w:r w:rsidR="006F0A78" w:rsidRPr="00C21B99">
        <w:t>L</w:t>
      </w:r>
      <w:r w:rsidR="00F82E32" w:rsidRPr="00C21B99">
        <w:t>ors de la</w:t>
      </w:r>
      <w:r w:rsidR="00154A56" w:rsidRPr="00C21B99">
        <w:t xml:space="preserve"> seconde consult</w:t>
      </w:r>
      <w:r w:rsidR="00F82E32" w:rsidRPr="00C21B99">
        <w:t>ation virtuelle des Conseillers</w:t>
      </w:r>
      <w:r w:rsidR="004E3188" w:rsidRPr="00C21B99">
        <w:t xml:space="preserve"> </w:t>
      </w:r>
      <w:r w:rsidR="006F0A78" w:rsidRPr="00C21B99">
        <w:t xml:space="preserve">tenue en </w:t>
      </w:r>
      <w:r w:rsidR="00F82E32" w:rsidRPr="00C21B99">
        <w:t>novembre 2020</w:t>
      </w:r>
      <w:r w:rsidR="006F0A78" w:rsidRPr="00C21B99">
        <w:t>, il a été pris note de ce qui suit</w:t>
      </w:r>
      <w:r w:rsidR="00F82E32" w:rsidRPr="00C21B99">
        <w:t xml:space="preserve"> (</w:t>
      </w:r>
      <w:hyperlink r:id="rId22" w:history="1">
        <w:r w:rsidRPr="00C21B99">
          <w:rPr>
            <w:rStyle w:val="Hyperlink"/>
          </w:rPr>
          <w:t>Document VC-2</w:t>
        </w:r>
        <w:r w:rsidR="00377F1C">
          <w:rPr>
            <w:rStyle w:val="Hyperlink"/>
          </w:rPr>
          <w:t>/</w:t>
        </w:r>
        <w:r w:rsidRPr="00C21B99">
          <w:rPr>
            <w:rStyle w:val="Hyperlink"/>
          </w:rPr>
          <w:t>12</w:t>
        </w:r>
      </w:hyperlink>
      <w:proofErr w:type="gramStart"/>
      <w:r w:rsidR="00F82E32" w:rsidRPr="00C21B99">
        <w:t>):</w:t>
      </w:r>
      <w:proofErr w:type="gramEnd"/>
    </w:p>
    <w:p w14:paraId="5C0DE0AD" w14:textId="2A59F28F" w:rsidR="00A71469" w:rsidRPr="00C21B99" w:rsidRDefault="00A71469" w:rsidP="00277080">
      <w:pPr>
        <w:pStyle w:val="enumlev1"/>
      </w:pPr>
      <w:r w:rsidRPr="00C21B99">
        <w:t>•</w:t>
      </w:r>
      <w:r w:rsidRPr="00C21B99">
        <w:tab/>
        <w:t>Le GCNT tiendra trois réunions avant l</w:t>
      </w:r>
      <w:r w:rsidR="00C21B99" w:rsidRPr="00C21B99">
        <w:t>'</w:t>
      </w:r>
      <w:r w:rsidRPr="00C21B99">
        <w:t>AMNT pour garantir la continuité des travaux de l</w:t>
      </w:r>
      <w:r w:rsidR="00C21B99" w:rsidRPr="00C21B99">
        <w:t>'</w:t>
      </w:r>
      <w:r w:rsidRPr="00C21B99">
        <w:t>UIT</w:t>
      </w:r>
      <w:r w:rsidRPr="00C21B99">
        <w:noBreakHyphen/>
        <w:t>T et préparer l</w:t>
      </w:r>
      <w:r w:rsidR="00C21B99" w:rsidRPr="00C21B99">
        <w:t>'</w:t>
      </w:r>
      <w:r w:rsidRPr="00C21B99">
        <w:t>AMNT.</w:t>
      </w:r>
    </w:p>
    <w:p w14:paraId="1B71403D" w14:textId="42BCCC34" w:rsidR="00A71469" w:rsidRPr="00C21B99" w:rsidRDefault="00A71469" w:rsidP="00277080">
      <w:pPr>
        <w:pStyle w:val="enumlev1"/>
      </w:pPr>
      <w:r w:rsidRPr="00C21B99">
        <w:t>•</w:t>
      </w:r>
      <w:r w:rsidRPr="00C21B99">
        <w:tab/>
        <w:t>Une réunion interrégionale sera organisée avant chaque réunion du GCNT, afin de poursuivre la recherche d</w:t>
      </w:r>
      <w:r w:rsidR="00C21B99" w:rsidRPr="00C21B99">
        <w:t>'</w:t>
      </w:r>
      <w:r w:rsidRPr="00C21B99">
        <w:t>un consensus entre les régions.</w:t>
      </w:r>
    </w:p>
    <w:p w14:paraId="62BA3382" w14:textId="5E5AEDE8" w:rsidR="00A71469" w:rsidRPr="00C21B99" w:rsidRDefault="00A71469" w:rsidP="00FF7866">
      <w:pPr>
        <w:pStyle w:val="enumlev1"/>
      </w:pPr>
      <w:r w:rsidRPr="00C21B99">
        <w:t>•</w:t>
      </w:r>
      <w:r w:rsidRPr="00C21B99">
        <w:tab/>
        <w:t xml:space="preserve">Le TSB réexaminera le calendrier des réunions des </w:t>
      </w:r>
      <w:r w:rsidR="006F0A78" w:rsidRPr="00C21B99">
        <w:t xml:space="preserve">commissions </w:t>
      </w:r>
      <w:r w:rsidRPr="00C21B99">
        <w:t>d</w:t>
      </w:r>
      <w:r w:rsidR="00C21B99" w:rsidRPr="00C21B99">
        <w:t>'</w:t>
      </w:r>
      <w:r w:rsidRPr="00C21B99">
        <w:t>études de l</w:t>
      </w:r>
      <w:r w:rsidR="00C21B99" w:rsidRPr="00C21B99">
        <w:t>'</w:t>
      </w:r>
      <w:r w:rsidRPr="00C21B99">
        <w:t>UIT-T en 2021.</w:t>
      </w:r>
    </w:p>
    <w:p w14:paraId="25F913B5" w14:textId="1C56E9C8" w:rsidR="00A71469" w:rsidRPr="00C21B99" w:rsidRDefault="00A71469" w:rsidP="00277080">
      <w:pPr>
        <w:pStyle w:val="enumlev1"/>
      </w:pPr>
      <w:r w:rsidRPr="00C21B99">
        <w:t>•</w:t>
      </w:r>
      <w:r w:rsidRPr="00C21B99">
        <w:tab/>
        <w:t>Le GCNT se tiendra de manière virtuelle et prendra ses décisions par consensus.</w:t>
      </w:r>
    </w:p>
    <w:p w14:paraId="6287BCD5" w14:textId="6771E376" w:rsidR="00230407" w:rsidRPr="00C21B99" w:rsidRDefault="00230407" w:rsidP="00FF7866">
      <w:r w:rsidRPr="00C21B99">
        <w:rPr>
          <w:rFonts w:asciiTheme="minorHAnsi" w:hAnsiTheme="minorHAnsi"/>
        </w:rPr>
        <w:t>5.</w:t>
      </w:r>
      <w:r w:rsidR="00A71469" w:rsidRPr="00C21B99">
        <w:rPr>
          <w:rFonts w:asciiTheme="minorHAnsi" w:hAnsiTheme="minorHAnsi"/>
        </w:rPr>
        <w:t>2</w:t>
      </w:r>
      <w:r w:rsidRPr="00C21B99">
        <w:rPr>
          <w:rFonts w:asciiTheme="minorHAnsi" w:hAnsiTheme="minorHAnsi"/>
          <w:b/>
          <w:bCs/>
        </w:rPr>
        <w:tab/>
      </w:r>
      <w:r w:rsidRPr="00C21B99">
        <w:t xml:space="preserve">Toutes les </w:t>
      </w:r>
      <w:hyperlink r:id="rId23" w:history="1">
        <w:r w:rsidR="006F0A78" w:rsidRPr="00C21B99">
          <w:rPr>
            <w:rStyle w:val="Hyperlink"/>
          </w:rPr>
          <w:t>commissions d</w:t>
        </w:r>
        <w:r w:rsidR="00C21B99" w:rsidRPr="00C21B99">
          <w:rPr>
            <w:rStyle w:val="Hyperlink"/>
          </w:rPr>
          <w:t>'</w:t>
        </w:r>
        <w:r w:rsidR="006F0A78" w:rsidRPr="00C21B99">
          <w:rPr>
            <w:rStyle w:val="Hyperlink"/>
          </w:rPr>
          <w:t>études de l</w:t>
        </w:r>
        <w:r w:rsidR="00C21B99" w:rsidRPr="00C21B99">
          <w:rPr>
            <w:rStyle w:val="Hyperlink"/>
          </w:rPr>
          <w:t>'</w:t>
        </w:r>
        <w:r w:rsidR="006F0A78" w:rsidRPr="00C21B99">
          <w:rPr>
            <w:rStyle w:val="Hyperlink"/>
          </w:rPr>
          <w:t>UIT-T</w:t>
        </w:r>
      </w:hyperlink>
      <w:r w:rsidRPr="00C21B99">
        <w:t xml:space="preserve"> </w:t>
      </w:r>
      <w:r w:rsidR="00B03EC6" w:rsidRPr="00C21B99">
        <w:t>avaient</w:t>
      </w:r>
      <w:r w:rsidRPr="00C21B99">
        <w:t xml:space="preserve"> rédigé les Parties 1</w:t>
      </w:r>
      <w:r w:rsidR="00B03EC6" w:rsidRPr="00C21B99">
        <w:t xml:space="preserve"> et 2 de leur rapport à l</w:t>
      </w:r>
      <w:r w:rsidR="00C21B99" w:rsidRPr="00C21B99">
        <w:t>'</w:t>
      </w:r>
      <w:r w:rsidR="00B03EC6" w:rsidRPr="00C21B99">
        <w:t xml:space="preserve">AMNT en </w:t>
      </w:r>
      <w:r w:rsidRPr="00C21B99">
        <w:t>décembre 2020.</w:t>
      </w:r>
    </w:p>
    <w:p w14:paraId="0C641ABD" w14:textId="162CE170" w:rsidR="00230407" w:rsidRPr="00C21B99" w:rsidRDefault="00230407" w:rsidP="00FF7866">
      <w:pPr>
        <w:spacing w:after="120"/>
      </w:pPr>
      <w:r w:rsidRPr="00C21B99">
        <w:rPr>
          <w:rFonts w:asciiTheme="minorHAnsi" w:hAnsiTheme="minorHAnsi"/>
        </w:rPr>
        <w:t>5.</w:t>
      </w:r>
      <w:r w:rsidR="00A71469" w:rsidRPr="00C21B99">
        <w:rPr>
          <w:rFonts w:asciiTheme="minorHAnsi" w:hAnsiTheme="minorHAnsi"/>
        </w:rPr>
        <w:t>3</w:t>
      </w:r>
      <w:r w:rsidRPr="00C21B99">
        <w:rPr>
          <w:rFonts w:asciiTheme="minorHAnsi" w:hAnsiTheme="minorHAnsi"/>
          <w:b/>
          <w:bCs/>
        </w:rPr>
        <w:tab/>
      </w:r>
      <w:r w:rsidRPr="00C21B99">
        <w:rPr>
          <w:rFonts w:asciiTheme="minorHAnsi" w:hAnsiTheme="minorHAnsi"/>
          <w:bCs/>
        </w:rPr>
        <w:t>Le</w:t>
      </w:r>
      <w:r w:rsidRPr="00C21B99">
        <w:rPr>
          <w:rFonts w:asciiTheme="minorHAnsi" w:hAnsiTheme="minorHAnsi"/>
        </w:rPr>
        <w:t xml:space="preserve"> </w:t>
      </w:r>
      <w:hyperlink r:id="rId24" w:history="1">
        <w:r w:rsidRPr="00C21B99">
          <w:rPr>
            <w:rStyle w:val="Hyperlink"/>
          </w:rPr>
          <w:t>GCNT</w:t>
        </w:r>
      </w:hyperlink>
      <w:r w:rsidRPr="00C21B99">
        <w:t xml:space="preserve"> a tenu une réunion virtuelle du </w:t>
      </w:r>
      <w:r w:rsidR="00A71469" w:rsidRPr="00C21B99">
        <w:t>11 au 18 janvier 2021</w:t>
      </w:r>
      <w:r w:rsidRPr="00C21B99">
        <w:t xml:space="preserve">, consacrée en grande partie à </w:t>
      </w:r>
      <w:r w:rsidR="006F0A78" w:rsidRPr="00C21B99">
        <w:t>l</w:t>
      </w:r>
      <w:r w:rsidR="00C21B99" w:rsidRPr="00C21B99">
        <w:t>'</w:t>
      </w:r>
      <w:r w:rsidR="006F0A78" w:rsidRPr="00C21B99">
        <w:t>élaboration</w:t>
      </w:r>
      <w:r w:rsidRPr="00C21B99">
        <w:t xml:space="preserve"> </w:t>
      </w:r>
      <w:r w:rsidR="000816FC" w:rsidRPr="00C21B99">
        <w:t>du plan pour la continuité des travaux de l</w:t>
      </w:r>
      <w:r w:rsidR="00C21B99" w:rsidRPr="00C21B99">
        <w:t>'</w:t>
      </w:r>
      <w:r w:rsidR="000816FC" w:rsidRPr="00C21B99">
        <w:t>UIT-T (D</w:t>
      </w:r>
      <w:r w:rsidR="00A71469" w:rsidRPr="00C21B99">
        <w:t xml:space="preserve">ocument </w:t>
      </w:r>
      <w:hyperlink r:id="rId25" w:history="1">
        <w:r w:rsidR="00A71469" w:rsidRPr="00C21B99">
          <w:rPr>
            <w:rStyle w:val="Hyperlink"/>
          </w:rPr>
          <w:t>VC2/3</w:t>
        </w:r>
      </w:hyperlink>
      <w:r w:rsidR="000816FC" w:rsidRPr="00C21B99">
        <w:t>).</w:t>
      </w:r>
    </w:p>
    <w:p w14:paraId="5866F60A" w14:textId="58A55308" w:rsidR="00A71469" w:rsidRPr="00C21B99" w:rsidRDefault="00A71469" w:rsidP="00FF7866">
      <w:pPr>
        <w:spacing w:after="120"/>
      </w:pPr>
      <w:r w:rsidRPr="00C21B99">
        <w:t>5.4</w:t>
      </w:r>
      <w:r w:rsidRPr="00C21B99">
        <w:tab/>
      </w:r>
      <w:r w:rsidR="000816FC" w:rsidRPr="00C21B99">
        <w:t>Le GCNT</w:t>
      </w:r>
      <w:r w:rsidRPr="00C21B99">
        <w:t xml:space="preserve"> </w:t>
      </w:r>
      <w:r w:rsidR="000816FC" w:rsidRPr="00C21B99">
        <w:t>a approuvé l</w:t>
      </w:r>
      <w:r w:rsidR="00C21B99" w:rsidRPr="00C21B99">
        <w:t>'</w:t>
      </w:r>
      <w:r w:rsidR="000816FC" w:rsidRPr="00C21B99">
        <w:t>ensemble</w:t>
      </w:r>
      <w:r w:rsidR="00A0119B" w:rsidRPr="00C21B99">
        <w:t xml:space="preserve"> des Questions </w:t>
      </w:r>
      <w:r w:rsidR="006F0A78" w:rsidRPr="00C21B99">
        <w:t xml:space="preserve">confiées à </w:t>
      </w:r>
      <w:r w:rsidR="00A0119B" w:rsidRPr="00C21B99">
        <w:t xml:space="preserve">toutes les </w:t>
      </w:r>
      <w:r w:rsidR="006F0A78" w:rsidRPr="00C21B99">
        <w:t xml:space="preserve">commissions </w:t>
      </w:r>
      <w:r w:rsidR="000816FC" w:rsidRPr="00C21B99">
        <w:t>d</w:t>
      </w:r>
      <w:r w:rsidR="00C21B99" w:rsidRPr="00C21B99">
        <w:t>'</w:t>
      </w:r>
      <w:r w:rsidR="000816FC" w:rsidRPr="00C21B99">
        <w:t>études de l</w:t>
      </w:r>
      <w:r w:rsidR="00C21B99" w:rsidRPr="00C21B99">
        <w:t>'</w:t>
      </w:r>
      <w:r w:rsidR="000816FC" w:rsidRPr="00C21B99">
        <w:t xml:space="preserve">UIT-T, telles </w:t>
      </w:r>
      <w:r w:rsidR="00B37E80" w:rsidRPr="00C21B99">
        <w:t>que publiées</w:t>
      </w:r>
      <w:r w:rsidR="000816FC" w:rsidRPr="00C21B99">
        <w:t xml:space="preserve"> dans les </w:t>
      </w:r>
      <w:hyperlink r:id="rId26" w:history="1">
        <w:r w:rsidR="000816FC" w:rsidRPr="00C21B99">
          <w:rPr>
            <w:rStyle w:val="Hyperlink"/>
          </w:rPr>
          <w:t>Rapports TSAG-R12 à TSAG-R22</w:t>
        </w:r>
      </w:hyperlink>
      <w:r w:rsidRPr="00C21B99">
        <w:t>. Ces Questions sont entrée</w:t>
      </w:r>
      <w:r w:rsidR="00573511" w:rsidRPr="00C21B99">
        <w:t>s en vigueur le 18 janvier 2021</w:t>
      </w:r>
      <w:r w:rsidRPr="00C21B99">
        <w:t xml:space="preserve"> pour le reste de la période d</w:t>
      </w:r>
      <w:r w:rsidR="00C21B99" w:rsidRPr="00C21B99">
        <w:t>'</w:t>
      </w:r>
      <w:r w:rsidRPr="00C21B99">
        <w:t>études</w:t>
      </w:r>
      <w:r w:rsidR="00573511" w:rsidRPr="00C21B99">
        <w:t xml:space="preserve">, comme annoncé dans la </w:t>
      </w:r>
      <w:hyperlink r:id="rId27" w:history="1">
        <w:r w:rsidR="00573511" w:rsidRPr="00C21B99">
          <w:rPr>
            <w:rStyle w:val="Hyperlink"/>
          </w:rPr>
          <w:t>Circulaire TSB 295</w:t>
        </w:r>
      </w:hyperlink>
      <w:r w:rsidRPr="00C21B99">
        <w:t>.</w:t>
      </w:r>
    </w:p>
    <w:p w14:paraId="00F9B77A" w14:textId="63A6E875" w:rsidR="00A71469" w:rsidRPr="00C21B99" w:rsidRDefault="00A71469" w:rsidP="00377F1C">
      <w:pPr>
        <w:spacing w:after="120"/>
      </w:pPr>
      <w:r w:rsidRPr="00C21B99">
        <w:t>5.5</w:t>
      </w:r>
      <w:r w:rsidRPr="00C21B99">
        <w:tab/>
      </w:r>
      <w:r w:rsidR="000816FC" w:rsidRPr="00C21B99">
        <w:t xml:space="preserve">Le </w:t>
      </w:r>
      <w:r w:rsidRPr="00C21B99">
        <w:t xml:space="preserve">TSB </w:t>
      </w:r>
      <w:r w:rsidR="000816FC" w:rsidRPr="00C21B99">
        <w:t>a consulté les présidents des commissions d</w:t>
      </w:r>
      <w:r w:rsidR="00C21B99" w:rsidRPr="00C21B99">
        <w:t>'</w:t>
      </w:r>
      <w:r w:rsidR="000816FC" w:rsidRPr="00C21B99">
        <w:t>études</w:t>
      </w:r>
      <w:r w:rsidRPr="00C21B99">
        <w:t xml:space="preserve"> </w:t>
      </w:r>
      <w:r w:rsidR="000816FC" w:rsidRPr="00C21B99">
        <w:t>et modifié le</w:t>
      </w:r>
      <w:r w:rsidRPr="00C21B99">
        <w:t xml:space="preserve"> </w:t>
      </w:r>
      <w:hyperlink r:id="rId28" w:history="1">
        <w:r w:rsidR="001D15FF" w:rsidRPr="00C21B99">
          <w:rPr>
            <w:rStyle w:val="Hyperlink"/>
          </w:rPr>
          <w:t>calendrier</w:t>
        </w:r>
        <w:r w:rsidR="0005230D" w:rsidRPr="00C21B99">
          <w:rPr>
            <w:rStyle w:val="Hyperlink"/>
          </w:rPr>
          <w:t xml:space="preserve"> </w:t>
        </w:r>
        <w:r w:rsidR="001D15FF" w:rsidRPr="00C21B99">
          <w:rPr>
            <w:rStyle w:val="Hyperlink"/>
          </w:rPr>
          <w:t>des réunions de l</w:t>
        </w:r>
        <w:r w:rsidR="00C21B99" w:rsidRPr="00C21B99">
          <w:rPr>
            <w:rStyle w:val="Hyperlink"/>
          </w:rPr>
          <w:t>'</w:t>
        </w:r>
        <w:r w:rsidR="001D15FF" w:rsidRPr="00C21B99">
          <w:rPr>
            <w:rStyle w:val="Hyperlink"/>
          </w:rPr>
          <w:t>UIT-T</w:t>
        </w:r>
        <w:r w:rsidR="00B37E80" w:rsidRPr="00C21B99">
          <w:rPr>
            <w:rStyle w:val="Hyperlink"/>
          </w:rPr>
          <w:t xml:space="preserve"> pour 2021</w:t>
        </w:r>
      </w:hyperlink>
      <w:r w:rsidRPr="00C21B99">
        <w:t xml:space="preserve">. </w:t>
      </w:r>
    </w:p>
    <w:p w14:paraId="77627297" w14:textId="0D922477" w:rsidR="00230407" w:rsidRPr="00C21B99" w:rsidRDefault="00A71469" w:rsidP="0005230D">
      <w:r w:rsidRPr="00C21B99">
        <w:t>5.6</w:t>
      </w:r>
      <w:r w:rsidRPr="00C21B99">
        <w:tab/>
      </w:r>
      <w:r w:rsidR="00875B7C" w:rsidRPr="00C21B99">
        <w:t xml:space="preserve">Le GCNT a </w:t>
      </w:r>
      <w:r w:rsidR="00B37E80" w:rsidRPr="00C21B99">
        <w:t>prévu d</w:t>
      </w:r>
      <w:r w:rsidR="00C21B99" w:rsidRPr="00C21B99">
        <w:t>'</w:t>
      </w:r>
      <w:r w:rsidR="00B37E80" w:rsidRPr="00C21B99">
        <w:t xml:space="preserve">organiser </w:t>
      </w:r>
      <w:r w:rsidR="00875B7C" w:rsidRPr="00C21B99">
        <w:t>une</w:t>
      </w:r>
      <w:r w:rsidRPr="00C21B99">
        <w:t xml:space="preserve"> </w:t>
      </w:r>
      <w:r w:rsidR="00875B7C" w:rsidRPr="00C21B99">
        <w:t xml:space="preserve">série de </w:t>
      </w:r>
      <w:hyperlink r:id="rId29" w:history="1">
        <w:r w:rsidR="00875B7C" w:rsidRPr="00C21B99">
          <w:rPr>
            <w:rStyle w:val="Hyperlink"/>
          </w:rPr>
          <w:t>réunions des Groupes du Rapporteur</w:t>
        </w:r>
      </w:hyperlink>
      <w:r w:rsidRPr="00C21B99">
        <w:t xml:space="preserve"> </w:t>
      </w:r>
      <w:r w:rsidR="00875B7C" w:rsidRPr="00C21B99">
        <w:t>pour faire avancer les travaux préparatoires en vue de l</w:t>
      </w:r>
      <w:r w:rsidR="00C21B99" w:rsidRPr="00C21B99">
        <w:t>'</w:t>
      </w:r>
      <w:r w:rsidR="00875B7C" w:rsidRPr="00C21B99">
        <w:t>AMNT et le GCNT tiendra sa prochaine réunion du 25 au 29 octobre</w:t>
      </w:r>
      <w:r w:rsidRPr="00C21B99">
        <w:t xml:space="preserve"> 2021.</w:t>
      </w:r>
    </w:p>
    <w:p w14:paraId="35991B72" w14:textId="6867FEE7" w:rsidR="00230407" w:rsidRPr="00C21B99" w:rsidRDefault="00230407" w:rsidP="00277080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 w:rsidRPr="00C21B99">
        <w:t>6</w:t>
      </w:r>
      <w:r w:rsidRPr="00C21B99">
        <w:tab/>
        <w:t>Date limite de soumission des propositions à l</w:t>
      </w:r>
      <w:r w:rsidR="00C21B99" w:rsidRPr="00C21B99">
        <w:t>'</w:t>
      </w:r>
      <w:r w:rsidRPr="00C21B99">
        <w:t>AMNT-20</w:t>
      </w:r>
    </w:p>
    <w:p w14:paraId="4DBEBD47" w14:textId="4F8A7C6A" w:rsidR="00230407" w:rsidRPr="00C21B99" w:rsidRDefault="00230407" w:rsidP="002770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</w:pPr>
      <w:r w:rsidRPr="00C21B99">
        <w:t>6.1</w:t>
      </w:r>
      <w:r w:rsidRPr="00C21B99">
        <w:tab/>
        <w:t>Les délégations sont invitées à soumettre leurs contributions à l</w:t>
      </w:r>
      <w:r w:rsidR="00C21B99" w:rsidRPr="00C21B99">
        <w:t>'</w:t>
      </w:r>
      <w:r w:rsidRPr="00C21B99">
        <w:t>AMNT-20 quatre semaines avant l</w:t>
      </w:r>
      <w:r w:rsidR="00C21B99" w:rsidRPr="00C21B99">
        <w:t>'</w:t>
      </w:r>
      <w:r w:rsidRPr="00C21B99">
        <w:t>ouverture de l</w:t>
      </w:r>
      <w:r w:rsidR="00C21B99" w:rsidRPr="00C21B99">
        <w:t>'</w:t>
      </w:r>
      <w:r w:rsidRPr="00C21B99">
        <w:t xml:space="preserve">AMNT-20 (lundi </w:t>
      </w:r>
      <w:r w:rsidR="00A71469" w:rsidRPr="00C21B99">
        <w:t>31</w:t>
      </w:r>
      <w:r w:rsidRPr="00C21B99">
        <w:t xml:space="preserve"> janvier 202</w:t>
      </w:r>
      <w:r w:rsidR="00A71469" w:rsidRPr="00C21B99">
        <w:t>2</w:t>
      </w:r>
      <w:r w:rsidRPr="00C21B99">
        <w:t>) sachant que, ainsi qu</w:t>
      </w:r>
      <w:r w:rsidR="00C21B99" w:rsidRPr="00C21B99">
        <w:t>'</w:t>
      </w:r>
      <w:r w:rsidRPr="00C21B99">
        <w:t xml:space="preserve">en a décidé la PP-18 en vertu de sa Résolution 165, il existe un délai fixe pour la présentation des contributions </w:t>
      </w:r>
      <w:r w:rsidRPr="00C21B99">
        <w:lastRenderedPageBreak/>
        <w:t>de</w:t>
      </w:r>
      <w:r w:rsidR="00377F1C">
        <w:t> </w:t>
      </w:r>
      <w:r w:rsidRPr="00C21B99">
        <w:t>21 jours calendaires avant l</w:t>
      </w:r>
      <w:r w:rsidR="00C21B99" w:rsidRPr="00C21B99">
        <w:t>'</w:t>
      </w:r>
      <w:r w:rsidRPr="00C21B99">
        <w:t>ouverture de l</w:t>
      </w:r>
      <w:r w:rsidR="00C21B99" w:rsidRPr="00C21B99">
        <w:t>'</w:t>
      </w:r>
      <w:r w:rsidRPr="00C21B99">
        <w:t>AMNT-20</w:t>
      </w:r>
      <w:r w:rsidRPr="00C21B99">
        <w:rPr>
          <w:rFonts w:eastAsia="SimSun"/>
          <w:szCs w:val="24"/>
        </w:rPr>
        <w:t xml:space="preserve"> (lundi </w:t>
      </w:r>
      <w:r w:rsidR="00A71469" w:rsidRPr="00C21B99">
        <w:rPr>
          <w:rFonts w:eastAsia="SimSun"/>
          <w:szCs w:val="24"/>
        </w:rPr>
        <w:t>7</w:t>
      </w:r>
      <w:r w:rsidRPr="00C21B99">
        <w:rPr>
          <w:rFonts w:eastAsia="SimSun"/>
          <w:szCs w:val="24"/>
        </w:rPr>
        <w:t xml:space="preserve"> février 202</w:t>
      </w:r>
      <w:r w:rsidR="00A71469" w:rsidRPr="00C21B99">
        <w:rPr>
          <w:rFonts w:eastAsia="SimSun"/>
          <w:szCs w:val="24"/>
        </w:rPr>
        <w:t>2</w:t>
      </w:r>
      <w:r w:rsidRPr="00C21B99">
        <w:rPr>
          <w:rFonts w:eastAsia="SimSun"/>
          <w:szCs w:val="24"/>
        </w:rPr>
        <w:t xml:space="preserve"> à 23 h 59, heure de Genève)</w:t>
      </w:r>
      <w:r w:rsidRPr="00C21B99">
        <w:rPr>
          <w:rStyle w:val="FootnoteReference"/>
          <w:rFonts w:eastAsia="SimSun"/>
          <w:szCs w:val="24"/>
        </w:rPr>
        <w:footnoteReference w:id="1"/>
      </w:r>
      <w:r w:rsidRPr="00C21B99">
        <w:rPr>
          <w:rFonts w:eastAsia="SimSun"/>
          <w:szCs w:val="24"/>
          <w:vertAlign w:val="superscript"/>
        </w:rPr>
        <w:t xml:space="preserve">, </w:t>
      </w:r>
      <w:r w:rsidRPr="00C21B99">
        <w:rPr>
          <w:rStyle w:val="FootnoteReference"/>
          <w:rFonts w:eastAsia="SimSun"/>
          <w:szCs w:val="24"/>
        </w:rPr>
        <w:footnoteReference w:id="2"/>
      </w:r>
      <w:r w:rsidRPr="00C21B99">
        <w:rPr>
          <w:rFonts w:eastAsia="SimSun"/>
          <w:szCs w:val="24"/>
        </w:rPr>
        <w:t>.</w:t>
      </w:r>
    </w:p>
    <w:p w14:paraId="297036F8" w14:textId="77777777" w:rsidR="00230407" w:rsidRPr="00C21B99" w:rsidRDefault="00230407" w:rsidP="00277080">
      <w:pPr>
        <w:pStyle w:val="Heading1"/>
      </w:pPr>
      <w:r w:rsidRPr="00C21B99">
        <w:t>7</w:t>
      </w:r>
      <w:r w:rsidRPr="00C21B99">
        <w:tab/>
        <w:t>Bourses</w:t>
      </w:r>
    </w:p>
    <w:p w14:paraId="50F98A54" w14:textId="3459DA97" w:rsidR="00230407" w:rsidRPr="00C21B99" w:rsidRDefault="00230407" w:rsidP="00277080">
      <w:r w:rsidRPr="00C21B99">
        <w:t>7.1</w:t>
      </w:r>
      <w:r w:rsidRPr="00C21B99">
        <w:tab/>
        <w:t>Pour chaque État Membre répondant aux conditions requises, des bourses pourront être accordées pour l</w:t>
      </w:r>
      <w:r w:rsidR="00C21B99" w:rsidRPr="00C21B99">
        <w:t>'</w:t>
      </w:r>
      <w:r w:rsidRPr="00C21B99">
        <w:t>AMNT-20, en fonction des ressources financières disponibles, afin de faciliter la participation des pays en développement. La demande de bourse doit être agréée par l</w:t>
      </w:r>
      <w:r w:rsidR="00C21B99" w:rsidRPr="00C21B99">
        <w:t>'</w:t>
      </w:r>
      <w:r w:rsidRPr="00C21B99">
        <w:t>Administration concernée de l</w:t>
      </w:r>
      <w:r w:rsidR="00C21B99" w:rsidRPr="00C21B99">
        <w:t>'</w:t>
      </w:r>
      <w:r w:rsidRPr="00C21B99">
        <w:t>État Membre de l</w:t>
      </w:r>
      <w:r w:rsidR="00C21B99" w:rsidRPr="00C21B99">
        <w:t>'</w:t>
      </w:r>
      <w:r w:rsidRPr="00C21B99">
        <w:t>UIT.</w:t>
      </w:r>
    </w:p>
    <w:p w14:paraId="58F39188" w14:textId="52F276D6" w:rsidR="00A71469" w:rsidRPr="00C21B99" w:rsidRDefault="00A71469" w:rsidP="00277080">
      <w:pPr>
        <w:pStyle w:val="Heading1"/>
      </w:pPr>
      <w:r w:rsidRPr="00C21B99">
        <w:t>8</w:t>
      </w:r>
      <w:r w:rsidRPr="00C21B99">
        <w:tab/>
      </w:r>
      <w:r w:rsidR="000F64E3" w:rsidRPr="00C21B99">
        <w:t>État d</w:t>
      </w:r>
      <w:r w:rsidR="00C21B99" w:rsidRPr="00C21B99">
        <w:t>'</w:t>
      </w:r>
      <w:r w:rsidR="000F64E3" w:rsidRPr="00C21B99">
        <w:t xml:space="preserve">avancement des travaux préparatoires avec </w:t>
      </w:r>
      <w:r w:rsidR="001433B2" w:rsidRPr="00C21B99">
        <w:t>le pays hôte (Inde)</w:t>
      </w:r>
    </w:p>
    <w:p w14:paraId="1322E3AD" w14:textId="0B9F2A30" w:rsidR="00A71469" w:rsidRPr="00C21B99" w:rsidRDefault="00A71469" w:rsidP="0005230D">
      <w:r w:rsidRPr="00C21B99">
        <w:t>8.1</w:t>
      </w:r>
      <w:r w:rsidRPr="00C21B99">
        <w:tab/>
      </w:r>
      <w:r w:rsidR="00663A2D" w:rsidRPr="00C21B99">
        <w:t>L</w:t>
      </w:r>
      <w:r w:rsidR="00C21B99" w:rsidRPr="00C21B99">
        <w:t>'</w:t>
      </w:r>
      <w:r w:rsidR="00663A2D" w:rsidRPr="00C21B99">
        <w:t xml:space="preserve">Inde, </w:t>
      </w:r>
      <w:r w:rsidR="00B37E80" w:rsidRPr="00C21B99">
        <w:t xml:space="preserve">en sa qualité de </w:t>
      </w:r>
      <w:r w:rsidR="00663A2D" w:rsidRPr="00C21B99">
        <w:t>pays hôte,</w:t>
      </w:r>
      <w:r w:rsidR="001433B2" w:rsidRPr="00C21B99">
        <w:t xml:space="preserve"> et le secrétariat continuent </w:t>
      </w:r>
      <w:r w:rsidR="00195B13" w:rsidRPr="00C21B99">
        <w:t>de s</w:t>
      </w:r>
      <w:r w:rsidR="00C21B99" w:rsidRPr="00C21B99">
        <w:t>'</w:t>
      </w:r>
      <w:r w:rsidR="00195B13" w:rsidRPr="00C21B99">
        <w:t xml:space="preserve">entretenir </w:t>
      </w:r>
      <w:r w:rsidR="00B37E80" w:rsidRPr="00C21B99">
        <w:t xml:space="preserve">à intervalles réguliers </w:t>
      </w:r>
      <w:r w:rsidR="00573511" w:rsidRPr="00C21B99">
        <w:t xml:space="preserve">sur </w:t>
      </w:r>
      <w:r w:rsidR="00B37E80" w:rsidRPr="00C21B99">
        <w:t xml:space="preserve">les questions </w:t>
      </w:r>
      <w:proofErr w:type="gramStart"/>
      <w:r w:rsidR="00B37E80" w:rsidRPr="00C21B99">
        <w:t>suivantes</w:t>
      </w:r>
      <w:r w:rsidRPr="00C21B99">
        <w:t>:</w:t>
      </w:r>
      <w:proofErr w:type="gramEnd"/>
    </w:p>
    <w:p w14:paraId="3C853273" w14:textId="66ABFF50" w:rsidR="00A71469" w:rsidRPr="00C21B99" w:rsidRDefault="00A71469" w:rsidP="0005230D">
      <w:pPr>
        <w:ind w:left="567"/>
      </w:pPr>
      <w:r w:rsidRPr="00C21B99">
        <w:t>8.1.1</w:t>
      </w:r>
      <w:r w:rsidRPr="00C21B99">
        <w:tab/>
      </w:r>
      <w:r w:rsidR="001433B2" w:rsidRPr="00C21B99">
        <w:t>Identification d</w:t>
      </w:r>
      <w:r w:rsidR="00C21B99" w:rsidRPr="00C21B99">
        <w:t>'</w:t>
      </w:r>
      <w:r w:rsidR="001433B2" w:rsidRPr="00C21B99">
        <w:t>un candidat</w:t>
      </w:r>
      <w:r w:rsidR="00C11C71" w:rsidRPr="00C21B99">
        <w:t xml:space="preserve"> </w:t>
      </w:r>
      <w:r w:rsidR="00C11C71" w:rsidRPr="00C21B99">
        <w:rPr>
          <w:color w:val="000000"/>
        </w:rPr>
        <w:t>aux fonctions de président</w:t>
      </w:r>
      <w:r w:rsidR="001433B2" w:rsidRPr="00C21B99">
        <w:t xml:space="preserve"> de l</w:t>
      </w:r>
      <w:r w:rsidR="00C21B99" w:rsidRPr="00C21B99">
        <w:t>'</w:t>
      </w:r>
      <w:r w:rsidR="001433B2" w:rsidRPr="00C21B99">
        <w:t>AMNT</w:t>
      </w:r>
    </w:p>
    <w:p w14:paraId="5CED2E02" w14:textId="7C6FA2C7" w:rsidR="00A71469" w:rsidRPr="00C21B99" w:rsidRDefault="001433B2" w:rsidP="0005230D">
      <w:pPr>
        <w:ind w:left="567"/>
      </w:pPr>
      <w:r w:rsidRPr="00C21B99">
        <w:t>8.1.2</w:t>
      </w:r>
      <w:r w:rsidRPr="00C21B99">
        <w:tab/>
      </w:r>
      <w:r w:rsidR="0005230D" w:rsidRPr="00C21B99">
        <w:t>M</w:t>
      </w:r>
      <w:r w:rsidR="00B37E80" w:rsidRPr="00C21B99">
        <w:t>ise au point définitive</w:t>
      </w:r>
      <w:r w:rsidR="00A71469" w:rsidRPr="00C21B99">
        <w:t xml:space="preserve"> </w:t>
      </w:r>
      <w:r w:rsidRPr="00C21B99">
        <w:t>des logos de l</w:t>
      </w:r>
      <w:r w:rsidR="00C21B99" w:rsidRPr="00C21B99">
        <w:t>'</w:t>
      </w:r>
      <w:r w:rsidRPr="00C21B99">
        <w:t>AMNT et du GSS</w:t>
      </w:r>
    </w:p>
    <w:p w14:paraId="120AE077" w14:textId="4E237806" w:rsidR="00A71469" w:rsidRPr="00C21B99" w:rsidRDefault="00A71469" w:rsidP="0005230D">
      <w:pPr>
        <w:ind w:left="567"/>
      </w:pPr>
      <w:r w:rsidRPr="00C21B99">
        <w:t>8.1.3</w:t>
      </w:r>
      <w:r w:rsidRPr="00C21B99">
        <w:tab/>
      </w:r>
      <w:r w:rsidR="0005230D" w:rsidRPr="00C21B99">
        <w:t>É</w:t>
      </w:r>
      <w:r w:rsidR="00C11C71" w:rsidRPr="00C21B99">
        <w:t>tablissement sous sa forme définitive</w:t>
      </w:r>
      <w:r w:rsidR="00C11C71" w:rsidRPr="00C21B99" w:rsidDel="00C11C71">
        <w:t xml:space="preserve"> </w:t>
      </w:r>
      <w:r w:rsidR="001433B2" w:rsidRPr="00C21B99">
        <w:t>de l</w:t>
      </w:r>
      <w:r w:rsidR="00C21B99" w:rsidRPr="00C21B99">
        <w:t>'</w:t>
      </w:r>
      <w:r w:rsidR="001433B2" w:rsidRPr="00C21B99">
        <w:t>accord de pays hôte</w:t>
      </w:r>
      <w:r w:rsidRPr="00C21B99">
        <w:t>.</w:t>
      </w:r>
    </w:p>
    <w:p w14:paraId="5B0359FC" w14:textId="39BAD126" w:rsidR="00A71469" w:rsidRPr="00C21B99" w:rsidRDefault="00A71469" w:rsidP="00277080">
      <w:pPr>
        <w:ind w:left="567"/>
      </w:pPr>
      <w:r w:rsidRPr="00C21B99">
        <w:t>8.1.4</w:t>
      </w:r>
      <w:r w:rsidRPr="00C21B99">
        <w:tab/>
      </w:r>
      <w:r w:rsidR="00603302" w:rsidRPr="00C21B99">
        <w:t>Élaboration d</w:t>
      </w:r>
      <w:r w:rsidR="00C21B99" w:rsidRPr="00C21B99">
        <w:t>'</w:t>
      </w:r>
      <w:r w:rsidR="001433B2" w:rsidRPr="00C21B99">
        <w:t>un plan d</w:t>
      </w:r>
      <w:r w:rsidR="00C21B99" w:rsidRPr="00C21B99">
        <w:t>'</w:t>
      </w:r>
      <w:r w:rsidR="001433B2" w:rsidRPr="00C21B99">
        <w:t>urgence pour l</w:t>
      </w:r>
      <w:r w:rsidR="00C21B99" w:rsidRPr="00C21B99">
        <w:t>'</w:t>
      </w:r>
      <w:r w:rsidR="001433B2" w:rsidRPr="00C21B99">
        <w:t>AMNT</w:t>
      </w:r>
      <w:r w:rsidR="0005230D" w:rsidRPr="00C21B99">
        <w:t>,</w:t>
      </w:r>
      <w:r w:rsidRPr="00C21B99">
        <w:t xml:space="preserve"> </w:t>
      </w:r>
      <w:r w:rsidR="001433B2" w:rsidRPr="00C21B99">
        <w:t xml:space="preserve">au cas où il serait impossible de </w:t>
      </w:r>
      <w:r w:rsidR="00573511" w:rsidRPr="00C21B99">
        <w:t>rétablir</w:t>
      </w:r>
      <w:r w:rsidR="001433B2" w:rsidRPr="00C21B99">
        <w:t xml:space="preserve"> des conditions de travail et de voyage normales en Inde et dans les autres États Membres en mars</w:t>
      </w:r>
      <w:r w:rsidRPr="00C21B99">
        <w:t xml:space="preserve"> 2022.</w:t>
      </w:r>
    </w:p>
    <w:p w14:paraId="103CA83D" w14:textId="62454F2E" w:rsidR="00230407" w:rsidRPr="00C21B99" w:rsidRDefault="00A71469" w:rsidP="00277080">
      <w:pPr>
        <w:pStyle w:val="Heading1"/>
      </w:pPr>
      <w:r w:rsidRPr="00C21B99">
        <w:t>9</w:t>
      </w:r>
      <w:r w:rsidR="00230407" w:rsidRPr="00C21B99">
        <w:tab/>
        <w:t>Site web de l</w:t>
      </w:r>
      <w:r w:rsidR="00C21B99" w:rsidRPr="00C21B99">
        <w:t>'</w:t>
      </w:r>
      <w:r w:rsidR="00230407" w:rsidRPr="00C21B99">
        <w:t>AMNT</w:t>
      </w:r>
    </w:p>
    <w:p w14:paraId="020ED8F9" w14:textId="0C661CFB" w:rsidR="00230407" w:rsidRPr="00C21B99" w:rsidRDefault="00230407" w:rsidP="00277080">
      <w:r w:rsidRPr="00C21B99">
        <w:t>On trouvera tous les renseignements ci-dessus sur le site web de l</w:t>
      </w:r>
      <w:r w:rsidR="00C21B99" w:rsidRPr="00C21B99">
        <w:t>'</w:t>
      </w:r>
      <w:r w:rsidRPr="00C21B99">
        <w:t xml:space="preserve">AMNT-20, à </w:t>
      </w:r>
      <w:proofErr w:type="gramStart"/>
      <w:r w:rsidRPr="00C21B99">
        <w:t>l</w:t>
      </w:r>
      <w:r w:rsidR="00C21B99" w:rsidRPr="00C21B99">
        <w:t>'</w:t>
      </w:r>
      <w:r w:rsidRPr="00C21B99">
        <w:t>adresse:</w:t>
      </w:r>
      <w:proofErr w:type="gramEnd"/>
      <w:r w:rsidRPr="00C21B99">
        <w:t xml:space="preserve"> </w:t>
      </w:r>
      <w:hyperlink r:id="rId30" w:history="1">
        <w:r w:rsidRPr="00C21B99">
          <w:rPr>
            <w:rStyle w:val="Hyperlink"/>
          </w:rPr>
          <w:t>https://www.itu.int/en/ITU-T/wtsa20</w:t>
        </w:r>
      </w:hyperlink>
      <w:r w:rsidRPr="00C21B99">
        <w:t>.</w:t>
      </w:r>
    </w:p>
    <w:p w14:paraId="0EA66D66" w14:textId="498EE096" w:rsidR="00230407" w:rsidRPr="00C21B99" w:rsidRDefault="00A71469" w:rsidP="00277080">
      <w:pPr>
        <w:spacing w:before="360"/>
        <w:jc w:val="center"/>
      </w:pPr>
      <w:r w:rsidRPr="00C21B99">
        <w:t>______________</w:t>
      </w:r>
    </w:p>
    <w:sectPr w:rsidR="00230407" w:rsidRPr="00C21B99" w:rsidSect="005C3890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1F7A" w14:textId="77777777" w:rsidR="00230407" w:rsidRDefault="00230407">
      <w:r>
        <w:separator/>
      </w:r>
    </w:p>
  </w:endnote>
  <w:endnote w:type="continuationSeparator" w:id="0">
    <w:p w14:paraId="37B3920C" w14:textId="77777777" w:rsidR="00230407" w:rsidRDefault="002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97F" w14:textId="335A9DAF" w:rsidR="00732045" w:rsidRDefault="0027708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96E7B">
      <w:t>P:\FRA\SG\CONSEIL\C21\000\024F.docx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14.04.21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96E7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DEE1" w14:textId="61096915" w:rsidR="00732045" w:rsidRPr="00277080" w:rsidRDefault="00B96E7B" w:rsidP="004472C3">
    <w:pPr>
      <w:pStyle w:val="Footer"/>
      <w:rPr>
        <w:color w:val="D9D9D9" w:themeColor="background1" w:themeShade="D9"/>
      </w:rPr>
    </w:pPr>
    <w:r w:rsidRPr="00277080">
      <w:rPr>
        <w:color w:val="D9D9D9" w:themeColor="background1" w:themeShade="D9"/>
      </w:rPr>
      <w:fldChar w:fldCharType="begin"/>
    </w:r>
    <w:r w:rsidRPr="00277080">
      <w:rPr>
        <w:color w:val="D9D9D9" w:themeColor="background1" w:themeShade="D9"/>
      </w:rPr>
      <w:instrText xml:space="preserve"> FILENAME \p  \* MERGEFORMAT </w:instrText>
    </w:r>
    <w:r w:rsidRPr="00277080">
      <w:rPr>
        <w:color w:val="D9D9D9" w:themeColor="background1" w:themeShade="D9"/>
      </w:rPr>
      <w:fldChar w:fldCharType="separate"/>
    </w:r>
    <w:r w:rsidRPr="00277080">
      <w:rPr>
        <w:color w:val="D9D9D9" w:themeColor="background1" w:themeShade="D9"/>
      </w:rPr>
      <w:t>P:\FRA\SG\CONSEIL\C21\000\024F.docx</w:t>
    </w:r>
    <w:r w:rsidRPr="00277080">
      <w:rPr>
        <w:color w:val="D9D9D9" w:themeColor="background1" w:themeShade="D9"/>
      </w:rPr>
      <w:fldChar w:fldCharType="end"/>
    </w:r>
    <w:r w:rsidR="004472C3" w:rsidRPr="00277080">
      <w:rPr>
        <w:color w:val="D9D9D9" w:themeColor="background1" w:themeShade="D9"/>
      </w:rPr>
      <w:t xml:space="preserve"> </w:t>
    </w:r>
    <w:r w:rsidR="00A71469" w:rsidRPr="00277080">
      <w:rPr>
        <w:color w:val="D9D9D9" w:themeColor="background1" w:themeShade="D9"/>
      </w:rPr>
      <w:t>(483217)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461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AF5A" w14:textId="77777777" w:rsidR="00230407" w:rsidRDefault="00230407">
      <w:r>
        <w:t>____________________</w:t>
      </w:r>
    </w:p>
  </w:footnote>
  <w:footnote w:type="continuationSeparator" w:id="0">
    <w:p w14:paraId="73B24B1D" w14:textId="77777777" w:rsidR="00230407" w:rsidRDefault="00230407">
      <w:r>
        <w:continuationSeparator/>
      </w:r>
    </w:p>
  </w:footnote>
  <w:footnote w:id="1">
    <w:p w14:paraId="27E06003" w14:textId="09AA6C77" w:rsidR="00230407" w:rsidRPr="006E1EA0" w:rsidRDefault="00230407" w:rsidP="00230407">
      <w:pPr>
        <w:pStyle w:val="FootnoteText"/>
        <w:rPr>
          <w:sz w:val="20"/>
        </w:rPr>
      </w:pPr>
      <w:r w:rsidRPr="006E1EA0">
        <w:rPr>
          <w:rStyle w:val="FootnoteReference"/>
        </w:rPr>
        <w:footnoteRef/>
      </w:r>
      <w:r w:rsidRPr="006E1EA0">
        <w:tab/>
      </w:r>
      <w:r w:rsidRPr="00277080">
        <w:rPr>
          <w:sz w:val="20"/>
        </w:rPr>
        <w:t>Dans sa Résolution 165 (Rév. Dubaï, 2018), intitulée "Délais de présentation des propositions et procédures d</w:t>
      </w:r>
      <w:r w:rsidR="00C21B99" w:rsidRPr="00277080">
        <w:rPr>
          <w:sz w:val="20"/>
        </w:rPr>
        <w:t>'</w:t>
      </w:r>
      <w:r w:rsidRPr="00277080">
        <w:rPr>
          <w:sz w:val="20"/>
        </w:rPr>
        <w:t>inscription des participants aux conférences et assemblées de l</w:t>
      </w:r>
      <w:r w:rsidR="00C21B99" w:rsidRPr="00277080">
        <w:rPr>
          <w:sz w:val="20"/>
        </w:rPr>
        <w:t>'</w:t>
      </w:r>
      <w:r w:rsidRPr="00277080">
        <w:rPr>
          <w:sz w:val="20"/>
        </w:rPr>
        <w:t xml:space="preserve">Union", la Conférence de plénipotentiaires </w:t>
      </w:r>
      <w:r w:rsidR="001A5AD6" w:rsidRPr="00277080">
        <w:rPr>
          <w:sz w:val="20"/>
        </w:rPr>
        <w:t xml:space="preserve">"a décidé </w:t>
      </w:r>
      <w:r w:rsidRPr="00277080">
        <w:rPr>
          <w:sz w:val="20"/>
        </w:rPr>
        <w:t>d</w:t>
      </w:r>
      <w:r w:rsidR="00C21B99" w:rsidRPr="00277080">
        <w:rPr>
          <w:sz w:val="20"/>
        </w:rPr>
        <w:t>'</w:t>
      </w:r>
      <w:r w:rsidRPr="00277080">
        <w:rPr>
          <w:sz w:val="20"/>
          <w:u w:val="single"/>
        </w:rPr>
        <w:t xml:space="preserve">établir un délai fixe pour la présentation de toutes les contributions, exception faite des délais indiqués aux points </w:t>
      </w:r>
      <w:r w:rsidRPr="00277080">
        <w:rPr>
          <w:i/>
          <w:iCs/>
          <w:sz w:val="20"/>
          <w:u w:val="single"/>
        </w:rPr>
        <w:t>a)</w:t>
      </w:r>
      <w:r w:rsidRPr="00277080">
        <w:rPr>
          <w:sz w:val="20"/>
          <w:u w:val="single"/>
        </w:rPr>
        <w:t xml:space="preserve"> et </w:t>
      </w:r>
      <w:r w:rsidRPr="00277080">
        <w:rPr>
          <w:i/>
          <w:iCs/>
          <w:sz w:val="20"/>
          <w:u w:val="single"/>
        </w:rPr>
        <w:t>b)</w:t>
      </w:r>
      <w:r w:rsidRPr="00277080">
        <w:rPr>
          <w:sz w:val="20"/>
          <w:u w:val="single"/>
        </w:rPr>
        <w:t xml:space="preserve"> du </w:t>
      </w:r>
      <w:r w:rsidRPr="00277080">
        <w:rPr>
          <w:i/>
          <w:iCs/>
          <w:sz w:val="20"/>
          <w:u w:val="single"/>
        </w:rPr>
        <w:t>reconnaissant</w:t>
      </w:r>
      <w:r w:rsidRPr="00277080">
        <w:rPr>
          <w:sz w:val="20"/>
          <w:u w:val="single"/>
        </w:rPr>
        <w:t xml:space="preserve"> ci</w:t>
      </w:r>
      <w:r w:rsidRPr="00277080">
        <w:rPr>
          <w:sz w:val="20"/>
          <w:u w:val="single"/>
        </w:rPr>
        <w:noBreakHyphen/>
        <w:t>dessus, d</w:t>
      </w:r>
      <w:r w:rsidR="00C21B99" w:rsidRPr="00277080">
        <w:rPr>
          <w:sz w:val="20"/>
          <w:u w:val="single"/>
        </w:rPr>
        <w:t>'</w:t>
      </w:r>
      <w:r w:rsidRPr="00277080">
        <w:rPr>
          <w:sz w:val="20"/>
          <w:u w:val="single"/>
        </w:rPr>
        <w:t>au plus tard 21 jours calendaires avant l</w:t>
      </w:r>
      <w:r w:rsidR="00C21B99" w:rsidRPr="00277080">
        <w:rPr>
          <w:sz w:val="20"/>
          <w:u w:val="single"/>
        </w:rPr>
        <w:t>'</w:t>
      </w:r>
      <w:r w:rsidRPr="00277080">
        <w:rPr>
          <w:sz w:val="20"/>
          <w:u w:val="single"/>
        </w:rPr>
        <w:t>ouverture des conférences et assemblées</w:t>
      </w:r>
      <w:r w:rsidRPr="00277080">
        <w:rPr>
          <w:sz w:val="20"/>
        </w:rPr>
        <w:t xml:space="preserve"> de l</w:t>
      </w:r>
      <w:r w:rsidR="00C21B99" w:rsidRPr="00277080">
        <w:rPr>
          <w:sz w:val="20"/>
        </w:rPr>
        <w:t>'</w:t>
      </w:r>
      <w:r w:rsidRPr="00277080">
        <w:rPr>
          <w:sz w:val="20"/>
        </w:rPr>
        <w:t xml:space="preserve">Union, y compris des Conférences de plénipotentiaires, afin de pouvoir assurer leur traduction dans les délais voulus et leur examen </w:t>
      </w:r>
      <w:r w:rsidR="001A5AD6" w:rsidRPr="00277080">
        <w:rPr>
          <w:sz w:val="20"/>
        </w:rPr>
        <w:t xml:space="preserve">approfondi par les délégations". </w:t>
      </w:r>
      <w:r w:rsidRPr="00277080">
        <w:rPr>
          <w:sz w:val="20"/>
        </w:rPr>
        <w:t>(</w:t>
      </w:r>
      <w:r w:rsidR="001A5AD6" w:rsidRPr="00277080">
        <w:rPr>
          <w:sz w:val="20"/>
        </w:rPr>
        <w:t>S</w:t>
      </w:r>
      <w:r w:rsidRPr="00277080">
        <w:rPr>
          <w:sz w:val="20"/>
        </w:rPr>
        <w:t>oulignement ajouté).</w:t>
      </w:r>
    </w:p>
  </w:footnote>
  <w:footnote w:id="2">
    <w:p w14:paraId="65D02702" w14:textId="0DE90EB2" w:rsidR="00230407" w:rsidRPr="00FB6459" w:rsidRDefault="00230407" w:rsidP="00230407">
      <w:pPr>
        <w:pStyle w:val="FootnoteText"/>
        <w:rPr>
          <w:lang w:val="fr-CH"/>
        </w:rPr>
      </w:pPr>
      <w:r w:rsidRPr="006E1EA0">
        <w:rPr>
          <w:rStyle w:val="FootnoteReference"/>
        </w:rPr>
        <w:footnoteRef/>
      </w:r>
      <w:r w:rsidRPr="006E1EA0">
        <w:tab/>
      </w:r>
      <w:r w:rsidRPr="00277080">
        <w:rPr>
          <w:sz w:val="20"/>
        </w:rPr>
        <w:t>En</w:t>
      </w:r>
      <w:r w:rsidR="001A5AD6" w:rsidRPr="00277080">
        <w:rPr>
          <w:sz w:val="20"/>
        </w:rPr>
        <w:t xml:space="preserve"> vertu de la Résolution 1 (Rév.</w:t>
      </w:r>
      <w:r w:rsidR="00277080">
        <w:rPr>
          <w:sz w:val="20"/>
        </w:rPr>
        <w:t> </w:t>
      </w:r>
      <w:r w:rsidRPr="00277080">
        <w:rPr>
          <w:sz w:val="20"/>
        </w:rPr>
        <w:t>Hammamet, 2016) de l</w:t>
      </w:r>
      <w:r w:rsidR="00C21B99" w:rsidRPr="00277080">
        <w:rPr>
          <w:sz w:val="20"/>
        </w:rPr>
        <w:t>'</w:t>
      </w:r>
      <w:r w:rsidRPr="00277080">
        <w:rPr>
          <w:sz w:val="20"/>
        </w:rPr>
        <w:t>AMNT-</w:t>
      </w:r>
      <w:proofErr w:type="gramStart"/>
      <w:r w:rsidRPr="00277080">
        <w:rPr>
          <w:sz w:val="20"/>
        </w:rPr>
        <w:t>16:</w:t>
      </w:r>
      <w:proofErr w:type="gramEnd"/>
      <w:r w:rsidRPr="00277080">
        <w:rPr>
          <w:sz w:val="20"/>
        </w:rPr>
        <w:t xml:space="preserve"> "6.1 Les contributions </w:t>
      </w:r>
      <w:r w:rsidRPr="00277080">
        <w:rPr>
          <w:sz w:val="20"/>
          <w:u w:val="single"/>
        </w:rPr>
        <w:t>devraient être soumises au plus tard un mois avant l</w:t>
      </w:r>
      <w:r w:rsidR="00C21B99" w:rsidRPr="00277080">
        <w:rPr>
          <w:sz w:val="20"/>
          <w:u w:val="single"/>
        </w:rPr>
        <w:t>'</w:t>
      </w:r>
      <w:r w:rsidRPr="00277080">
        <w:rPr>
          <w:sz w:val="20"/>
          <w:u w:val="single"/>
        </w:rPr>
        <w:t>ouverture de l</w:t>
      </w:r>
      <w:r w:rsidR="00C21B99" w:rsidRPr="00277080">
        <w:rPr>
          <w:sz w:val="20"/>
          <w:u w:val="single"/>
        </w:rPr>
        <w:t>'</w:t>
      </w:r>
      <w:r w:rsidRPr="00277080">
        <w:rPr>
          <w:sz w:val="20"/>
          <w:u w:val="single"/>
        </w:rPr>
        <w:t>AMNT</w:t>
      </w:r>
      <w:r w:rsidRPr="00277080">
        <w:rPr>
          <w:sz w:val="20"/>
        </w:rPr>
        <w:t xml:space="preserve"> et en tout état de cause, toutes les contributions à l</w:t>
      </w:r>
      <w:r w:rsidR="00C21B99" w:rsidRPr="00277080">
        <w:rPr>
          <w:sz w:val="20"/>
        </w:rPr>
        <w:t>'</w:t>
      </w:r>
      <w:r w:rsidRPr="00277080">
        <w:rPr>
          <w:sz w:val="20"/>
        </w:rPr>
        <w:t>intention de l</w:t>
      </w:r>
      <w:r w:rsidR="00C21B99" w:rsidRPr="00277080">
        <w:rPr>
          <w:sz w:val="20"/>
        </w:rPr>
        <w:t>'</w:t>
      </w:r>
      <w:r w:rsidRPr="00277080">
        <w:rPr>
          <w:sz w:val="20"/>
        </w:rPr>
        <w:t xml:space="preserve">AMNT </w:t>
      </w:r>
      <w:r w:rsidRPr="00277080">
        <w:rPr>
          <w:sz w:val="20"/>
          <w:u w:val="single"/>
        </w:rPr>
        <w:t>devraient être soumises au plus tard 14 jours calendaires avant l</w:t>
      </w:r>
      <w:r w:rsidR="00C21B99" w:rsidRPr="00277080">
        <w:rPr>
          <w:sz w:val="20"/>
          <w:u w:val="single"/>
        </w:rPr>
        <w:t>'</w:t>
      </w:r>
      <w:r w:rsidRPr="00277080">
        <w:rPr>
          <w:sz w:val="20"/>
          <w:u w:val="single"/>
        </w:rPr>
        <w:t>ouverture de l</w:t>
      </w:r>
      <w:r w:rsidR="00C21B99" w:rsidRPr="00277080">
        <w:rPr>
          <w:sz w:val="20"/>
          <w:u w:val="single"/>
        </w:rPr>
        <w:t>'</w:t>
      </w:r>
      <w:r w:rsidRPr="00277080">
        <w:rPr>
          <w:sz w:val="20"/>
          <w:u w:val="single"/>
        </w:rPr>
        <w:t>AMNT</w:t>
      </w:r>
      <w:r w:rsidRPr="00277080">
        <w:rPr>
          <w:sz w:val="20"/>
        </w:rPr>
        <w:t>, afin que les contributions puissent être traduites dans les délais voulus et être examinées de manière approfondie par les délégations. Le TSB publie immédiatement toutes les contributions soumises à l</w:t>
      </w:r>
      <w:r w:rsidR="00C21B99" w:rsidRPr="00277080">
        <w:rPr>
          <w:sz w:val="20"/>
        </w:rPr>
        <w:t>'</w:t>
      </w:r>
      <w:r w:rsidRPr="00277080">
        <w:rPr>
          <w:sz w:val="20"/>
        </w:rPr>
        <w:t>AMNT dans leur langue d</w:t>
      </w:r>
      <w:r w:rsidR="00C21B99" w:rsidRPr="00277080">
        <w:rPr>
          <w:sz w:val="20"/>
        </w:rPr>
        <w:t>'</w:t>
      </w:r>
      <w:r w:rsidRPr="00277080">
        <w:rPr>
          <w:sz w:val="20"/>
        </w:rPr>
        <w:t>origine sur le site web de l</w:t>
      </w:r>
      <w:r w:rsidR="00C21B99" w:rsidRPr="00277080">
        <w:rPr>
          <w:sz w:val="20"/>
        </w:rPr>
        <w:t>'</w:t>
      </w:r>
      <w:r w:rsidRPr="00277080">
        <w:rPr>
          <w:sz w:val="20"/>
        </w:rPr>
        <w:t>AMNT, avant même qu</w:t>
      </w:r>
      <w:r w:rsidR="00C21B99" w:rsidRPr="00277080">
        <w:rPr>
          <w:sz w:val="20"/>
        </w:rPr>
        <w:t>'</w:t>
      </w:r>
      <w:r w:rsidRPr="00277080">
        <w:rPr>
          <w:sz w:val="20"/>
        </w:rPr>
        <w:t>elles aient été traduites dans les autres langues officielles de l</w:t>
      </w:r>
      <w:r w:rsidR="00C21B99" w:rsidRPr="00277080">
        <w:rPr>
          <w:sz w:val="20"/>
        </w:rPr>
        <w:t>'</w:t>
      </w:r>
      <w:r w:rsidRPr="00277080">
        <w:rPr>
          <w:sz w:val="20"/>
        </w:rPr>
        <w:t>Union". (Soulignement ajouté).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1554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47926C9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A90D" w14:textId="1CD92AC6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96E7B">
      <w:rPr>
        <w:noProof/>
      </w:rPr>
      <w:t>4</w:t>
    </w:r>
    <w:r>
      <w:rPr>
        <w:noProof/>
      </w:rPr>
      <w:fldChar w:fldCharType="end"/>
    </w:r>
  </w:p>
  <w:p w14:paraId="335C445F" w14:textId="0AB23663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A71469">
      <w:t>24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6B8ED06-284E-492F-869B-B9F29F49FF0A}"/>
    <w:docVar w:name="dgnword-eventsink" w:val="2983379342704"/>
  </w:docVars>
  <w:rsids>
    <w:rsidRoot w:val="00230407"/>
    <w:rsid w:val="00000DC3"/>
    <w:rsid w:val="00020930"/>
    <w:rsid w:val="0005230D"/>
    <w:rsid w:val="000816FC"/>
    <w:rsid w:val="000D0D0A"/>
    <w:rsid w:val="000F64E3"/>
    <w:rsid w:val="00103163"/>
    <w:rsid w:val="00106B19"/>
    <w:rsid w:val="0011120A"/>
    <w:rsid w:val="00115D93"/>
    <w:rsid w:val="001247A8"/>
    <w:rsid w:val="001378C0"/>
    <w:rsid w:val="001433B2"/>
    <w:rsid w:val="00154A56"/>
    <w:rsid w:val="001662EC"/>
    <w:rsid w:val="0018694A"/>
    <w:rsid w:val="00195B13"/>
    <w:rsid w:val="001A3287"/>
    <w:rsid w:val="001A5AD6"/>
    <w:rsid w:val="001A6508"/>
    <w:rsid w:val="001D15FF"/>
    <w:rsid w:val="001D4C31"/>
    <w:rsid w:val="001E4D21"/>
    <w:rsid w:val="00207CD1"/>
    <w:rsid w:val="00230407"/>
    <w:rsid w:val="002477A2"/>
    <w:rsid w:val="00263A51"/>
    <w:rsid w:val="00267E02"/>
    <w:rsid w:val="00277080"/>
    <w:rsid w:val="00296458"/>
    <w:rsid w:val="002A170D"/>
    <w:rsid w:val="002A5D44"/>
    <w:rsid w:val="002E0BC4"/>
    <w:rsid w:val="002F1B76"/>
    <w:rsid w:val="0033568E"/>
    <w:rsid w:val="00355FF5"/>
    <w:rsid w:val="00361350"/>
    <w:rsid w:val="00377F1C"/>
    <w:rsid w:val="003C3FAE"/>
    <w:rsid w:val="004038CB"/>
    <w:rsid w:val="0040546F"/>
    <w:rsid w:val="004122E2"/>
    <w:rsid w:val="0042404A"/>
    <w:rsid w:val="00444455"/>
    <w:rsid w:val="0044618F"/>
    <w:rsid w:val="004472C3"/>
    <w:rsid w:val="00466F3B"/>
    <w:rsid w:val="0046769A"/>
    <w:rsid w:val="00475FB3"/>
    <w:rsid w:val="004C37A9"/>
    <w:rsid w:val="004D1D50"/>
    <w:rsid w:val="004E3188"/>
    <w:rsid w:val="004F259E"/>
    <w:rsid w:val="00511F1D"/>
    <w:rsid w:val="00520F36"/>
    <w:rsid w:val="00540615"/>
    <w:rsid w:val="00540A6D"/>
    <w:rsid w:val="0056757F"/>
    <w:rsid w:val="00571A16"/>
    <w:rsid w:val="00571EEA"/>
    <w:rsid w:val="00573511"/>
    <w:rsid w:val="00575417"/>
    <w:rsid w:val="005768E1"/>
    <w:rsid w:val="005B1938"/>
    <w:rsid w:val="005B3E9C"/>
    <w:rsid w:val="005C3890"/>
    <w:rsid w:val="005F7BFE"/>
    <w:rsid w:val="00600017"/>
    <w:rsid w:val="00603302"/>
    <w:rsid w:val="00610F23"/>
    <w:rsid w:val="006235CA"/>
    <w:rsid w:val="00663A2D"/>
    <w:rsid w:val="006643AB"/>
    <w:rsid w:val="006F0A78"/>
    <w:rsid w:val="007210CD"/>
    <w:rsid w:val="00732045"/>
    <w:rsid w:val="007369DB"/>
    <w:rsid w:val="00774696"/>
    <w:rsid w:val="00776241"/>
    <w:rsid w:val="007956C2"/>
    <w:rsid w:val="007A187E"/>
    <w:rsid w:val="007C72C2"/>
    <w:rsid w:val="007D4436"/>
    <w:rsid w:val="007F257A"/>
    <w:rsid w:val="007F3665"/>
    <w:rsid w:val="00800037"/>
    <w:rsid w:val="00861D73"/>
    <w:rsid w:val="00875B7C"/>
    <w:rsid w:val="00897553"/>
    <w:rsid w:val="008A4E87"/>
    <w:rsid w:val="008D76E6"/>
    <w:rsid w:val="00901559"/>
    <w:rsid w:val="0092392D"/>
    <w:rsid w:val="0093234A"/>
    <w:rsid w:val="0097363B"/>
    <w:rsid w:val="009C307F"/>
    <w:rsid w:val="009C353C"/>
    <w:rsid w:val="00A0119B"/>
    <w:rsid w:val="00A2113E"/>
    <w:rsid w:val="00A23A51"/>
    <w:rsid w:val="00A24607"/>
    <w:rsid w:val="00A25CD3"/>
    <w:rsid w:val="00A26085"/>
    <w:rsid w:val="00A709FE"/>
    <w:rsid w:val="00A71469"/>
    <w:rsid w:val="00A82160"/>
    <w:rsid w:val="00A82767"/>
    <w:rsid w:val="00AA332F"/>
    <w:rsid w:val="00AA7BBB"/>
    <w:rsid w:val="00AB64A8"/>
    <w:rsid w:val="00AC0266"/>
    <w:rsid w:val="00AD24EC"/>
    <w:rsid w:val="00B03EC6"/>
    <w:rsid w:val="00B309F9"/>
    <w:rsid w:val="00B32B60"/>
    <w:rsid w:val="00B37E80"/>
    <w:rsid w:val="00B61619"/>
    <w:rsid w:val="00B96E7B"/>
    <w:rsid w:val="00BB4545"/>
    <w:rsid w:val="00BD5873"/>
    <w:rsid w:val="00BF016D"/>
    <w:rsid w:val="00C04BE3"/>
    <w:rsid w:val="00C11C71"/>
    <w:rsid w:val="00C13ECE"/>
    <w:rsid w:val="00C21B99"/>
    <w:rsid w:val="00C25D29"/>
    <w:rsid w:val="00C27A7C"/>
    <w:rsid w:val="00C70F28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08B1"/>
    <w:rsid w:val="00E25AD0"/>
    <w:rsid w:val="00E75B8B"/>
    <w:rsid w:val="00EB6350"/>
    <w:rsid w:val="00EB6383"/>
    <w:rsid w:val="00ED4543"/>
    <w:rsid w:val="00F15B57"/>
    <w:rsid w:val="00F427DB"/>
    <w:rsid w:val="00F82E32"/>
    <w:rsid w:val="00FA5EB1"/>
    <w:rsid w:val="00FA7439"/>
    <w:rsid w:val="00FC4EC0"/>
    <w:rsid w:val="00FF0181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5D532F"/>
  <w15:docId w15:val="{FB80D73A-0B7C-43CD-BEEA-E37741D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04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1469"/>
    <w:pPr>
      <w:ind w:left="720"/>
      <w:contextualSpacing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DM-CIR-01003/en" TargetMode="External"/><Relationship Id="rId18" Type="http://schemas.openxmlformats.org/officeDocument/2006/relationships/hyperlink" Target="https://www.itu.int/en/ITU-T/wtsa20/prepmeet/Pages/default.aspx" TargetMode="External"/><Relationship Id="rId26" Type="http://schemas.openxmlformats.org/officeDocument/2006/relationships/hyperlink" Target="https://www.itu.int/md/T17-TSAG-R/fr" TargetMode="External"/><Relationship Id="rId21" Type="http://schemas.openxmlformats.org/officeDocument/2006/relationships/hyperlink" Target="https://www.itu.int/fr/ITU-T/wtsa20/irc/Pages/default.aspx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itu.int/fr/ITU-T/wtsa20/Pages/default.aspx" TargetMode="External"/><Relationship Id="rId12" Type="http://schemas.openxmlformats.org/officeDocument/2006/relationships/hyperlink" Target="https://www.itu.int/md/S21-DM-CIR-01002/en" TargetMode="External"/><Relationship Id="rId17" Type="http://schemas.openxmlformats.org/officeDocument/2006/relationships/hyperlink" Target="https://www.itu.int/fr/ITU-T/wtsa20/candidates/Pages/ms.aspx" TargetMode="External"/><Relationship Id="rId25" Type="http://schemas.openxmlformats.org/officeDocument/2006/relationships/hyperlink" Target="https://www.itu.int/md/S20-CLVC2-C-0003/en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tu.int/md/T17-TSB-CIR-0202/en" TargetMode="External"/><Relationship Id="rId20" Type="http://schemas.openxmlformats.org/officeDocument/2006/relationships/hyperlink" Target="https://www.itu.int/fr/ITU-T/wtsa20/irc/Pages/default.aspx" TargetMode="External"/><Relationship Id="rId29" Type="http://schemas.openxmlformats.org/officeDocument/2006/relationships/hyperlink" Target="https://www.itu.int/net/ITU-T/lists/rgm.aspx?Group=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1-SG-CIR-0006/en" TargetMode="External"/><Relationship Id="rId24" Type="http://schemas.openxmlformats.org/officeDocument/2006/relationships/hyperlink" Target="https://www.itu.int/fr/ITU-T/tsag/2017-2020/Pages/default.aspx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1-DM-CIR-01001/en" TargetMode="External"/><Relationship Id="rId23" Type="http://schemas.openxmlformats.org/officeDocument/2006/relationships/hyperlink" Target="https://www.itu.int/fr/ITU-T/studygroups/2017-2020/Pages/default.aspx" TargetMode="External"/><Relationship Id="rId28" Type="http://schemas.openxmlformats.org/officeDocument/2006/relationships/hyperlink" Target="https://www.itu.int/md/T17-TSAG-210111-TD-GEN-0938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dms_pub/itu-s/md/21/sg/cir/S21-SG-CIR-0003!!PDF-F.pdf" TargetMode="External"/><Relationship Id="rId19" Type="http://schemas.openxmlformats.org/officeDocument/2006/relationships/hyperlink" Target="https://www.itu.int/fr/ITU-T/wtsa20/irc/Pages/default.aspx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dms_pub/itu-s/md/20/sg/cir/S20-SG-CIR-0051!!PDF-F.pdf" TargetMode="External"/><Relationship Id="rId14" Type="http://schemas.openxmlformats.org/officeDocument/2006/relationships/hyperlink" Target="https://www.itu.int/md/S21-DM-CIR-01004/en" TargetMode="External"/><Relationship Id="rId22" Type="http://schemas.openxmlformats.org/officeDocument/2006/relationships/hyperlink" Target="https://www.itu.int/md/S20-CLVC2-C-0012/en" TargetMode="External"/><Relationship Id="rId27" Type="http://schemas.openxmlformats.org/officeDocument/2006/relationships/hyperlink" Target="https://www.itu.int/md/T17-TSB-CIR-0295/en" TargetMode="External"/><Relationship Id="rId30" Type="http://schemas.openxmlformats.org/officeDocument/2006/relationships/hyperlink" Target="https://www.itu.int/fr/ITU-T/wtsa20/Pages/default.aspx" TargetMode="External"/><Relationship Id="rId35" Type="http://schemas.openxmlformats.org/officeDocument/2006/relationships/footer" Target="footer3.xml"/><Relationship Id="rId8" Type="http://schemas.openxmlformats.org/officeDocument/2006/relationships/hyperlink" Target="https://www.itu.int/md/S19-CL-C-0125/en" TargetMode="External"/><Relationship Id="rId3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4</Pages>
  <Words>1250</Words>
  <Characters>8346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9577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Travaux préparatoires en vue de l'Assemblée Mondiale de Normalisation des Télécommunications (AMNT-20)</dc:title>
  <dc:subject>Council 2021, Virtual consultation of councillors</dc:subject>
  <dc:creator>Chanavat, Emilie</dc:creator>
  <cp:keywords>C2021, C21, VCC, C21-VCC-1</cp:keywords>
  <dc:description/>
  <cp:lastModifiedBy>Brouard, Ricarda</cp:lastModifiedBy>
  <cp:revision>2</cp:revision>
  <cp:lastPrinted>2000-07-18T08:55:00Z</cp:lastPrinted>
  <dcterms:created xsi:type="dcterms:W3CDTF">2021-04-27T08:32:00Z</dcterms:created>
  <dcterms:modified xsi:type="dcterms:W3CDTF">2021-04-27T08:32:00Z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