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A93F2D" w14:paraId="07096B7B" w14:textId="77777777">
        <w:trPr>
          <w:cantSplit/>
        </w:trPr>
        <w:tc>
          <w:tcPr>
            <w:tcW w:w="6912" w:type="dxa"/>
          </w:tcPr>
          <w:p w14:paraId="333A6A22" w14:textId="77777777" w:rsidR="00093EEB" w:rsidRPr="00A93F2D" w:rsidRDefault="00093EEB" w:rsidP="00C2727F">
            <w:pPr>
              <w:spacing w:before="360"/>
              <w:rPr>
                <w:szCs w:val="24"/>
              </w:rPr>
            </w:pPr>
            <w:bookmarkStart w:id="0" w:name="dc06"/>
            <w:bookmarkStart w:id="1" w:name="dbluepink" w:colFirst="0" w:colLast="0"/>
            <w:bookmarkEnd w:id="0"/>
            <w:r w:rsidRPr="00A93F2D">
              <w:rPr>
                <w:b/>
                <w:bCs/>
                <w:sz w:val="30"/>
                <w:szCs w:val="30"/>
              </w:rPr>
              <w:t>Consejo 20</w:t>
            </w:r>
            <w:r w:rsidR="007955DA" w:rsidRPr="00A93F2D">
              <w:rPr>
                <w:b/>
                <w:bCs/>
                <w:sz w:val="30"/>
                <w:szCs w:val="30"/>
              </w:rPr>
              <w:t>2</w:t>
            </w:r>
            <w:r w:rsidR="000007D1" w:rsidRPr="00A93F2D">
              <w:rPr>
                <w:b/>
                <w:bCs/>
                <w:sz w:val="30"/>
                <w:szCs w:val="30"/>
              </w:rPr>
              <w:t>1</w:t>
            </w:r>
            <w:r w:rsidRPr="00A93F2D">
              <w:rPr>
                <w:b/>
                <w:bCs/>
                <w:sz w:val="26"/>
                <w:szCs w:val="26"/>
              </w:rPr>
              <w:br/>
            </w:r>
            <w:bookmarkStart w:id="2" w:name="lt_pId446"/>
            <w:r w:rsidR="000007D1" w:rsidRPr="00A93F2D">
              <w:rPr>
                <w:b/>
                <w:bCs/>
                <w:sz w:val="28"/>
                <w:szCs w:val="28"/>
              </w:rPr>
              <w:t>Consulta virtual de los consejeros</w:t>
            </w:r>
            <w:bookmarkEnd w:id="2"/>
            <w:r w:rsidRPr="00A93F2D">
              <w:rPr>
                <w:b/>
                <w:bCs/>
                <w:sz w:val="28"/>
                <w:szCs w:val="28"/>
              </w:rPr>
              <w:t xml:space="preserve">, </w:t>
            </w:r>
            <w:r w:rsidR="000007D1" w:rsidRPr="00A93F2D">
              <w:rPr>
                <w:b/>
                <w:bCs/>
                <w:sz w:val="28"/>
                <w:szCs w:val="28"/>
              </w:rPr>
              <w:t>8</w:t>
            </w:r>
            <w:r w:rsidRPr="00A93F2D">
              <w:rPr>
                <w:b/>
                <w:bCs/>
                <w:sz w:val="28"/>
                <w:szCs w:val="28"/>
              </w:rPr>
              <w:t>-</w:t>
            </w:r>
            <w:r w:rsidR="007955DA" w:rsidRPr="00A93F2D">
              <w:rPr>
                <w:b/>
                <w:bCs/>
                <w:sz w:val="28"/>
                <w:szCs w:val="28"/>
              </w:rPr>
              <w:t>1</w:t>
            </w:r>
            <w:r w:rsidR="000007D1" w:rsidRPr="00A93F2D">
              <w:rPr>
                <w:b/>
                <w:bCs/>
                <w:sz w:val="28"/>
                <w:szCs w:val="28"/>
              </w:rPr>
              <w:t>8</w:t>
            </w:r>
            <w:r w:rsidRPr="00A93F2D">
              <w:rPr>
                <w:b/>
                <w:bCs/>
                <w:sz w:val="28"/>
                <w:szCs w:val="28"/>
              </w:rPr>
              <w:t xml:space="preserve"> de </w:t>
            </w:r>
            <w:r w:rsidR="00C2727F" w:rsidRPr="00A93F2D">
              <w:rPr>
                <w:b/>
                <w:bCs/>
                <w:sz w:val="28"/>
                <w:szCs w:val="28"/>
              </w:rPr>
              <w:t>junio</w:t>
            </w:r>
            <w:r w:rsidRPr="00A93F2D">
              <w:rPr>
                <w:b/>
                <w:bCs/>
                <w:sz w:val="28"/>
                <w:szCs w:val="28"/>
              </w:rPr>
              <w:t xml:space="preserve"> de 20</w:t>
            </w:r>
            <w:r w:rsidR="007955DA" w:rsidRPr="00A93F2D">
              <w:rPr>
                <w:b/>
                <w:bCs/>
                <w:sz w:val="28"/>
                <w:szCs w:val="28"/>
              </w:rPr>
              <w:t>2</w:t>
            </w:r>
            <w:r w:rsidR="000007D1" w:rsidRPr="00A93F2D">
              <w:rPr>
                <w:b/>
                <w:bCs/>
                <w:sz w:val="28"/>
                <w:szCs w:val="28"/>
              </w:rPr>
              <w:t>1</w:t>
            </w:r>
          </w:p>
        </w:tc>
        <w:tc>
          <w:tcPr>
            <w:tcW w:w="3261" w:type="dxa"/>
          </w:tcPr>
          <w:p w14:paraId="630662CE" w14:textId="77777777" w:rsidR="00093EEB" w:rsidRPr="00A93F2D" w:rsidRDefault="007955DA" w:rsidP="007955DA">
            <w:pPr>
              <w:spacing w:before="0"/>
              <w:rPr>
                <w:szCs w:val="24"/>
              </w:rPr>
            </w:pPr>
            <w:bookmarkStart w:id="3" w:name="ditulogo"/>
            <w:bookmarkEnd w:id="3"/>
            <w:r w:rsidRPr="00A93F2D">
              <w:rPr>
                <w:noProof/>
                <w:lang w:eastAsia="zh-CN"/>
              </w:rPr>
              <w:drawing>
                <wp:inline distT="0" distB="0" distL="0" distR="0" wp14:anchorId="6B1FE8B0" wp14:editId="422E8D9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A93F2D" w14:paraId="634E1983" w14:textId="77777777">
        <w:trPr>
          <w:cantSplit/>
          <w:trHeight w:val="20"/>
        </w:trPr>
        <w:tc>
          <w:tcPr>
            <w:tcW w:w="10173" w:type="dxa"/>
            <w:gridSpan w:val="2"/>
            <w:tcBorders>
              <w:bottom w:val="single" w:sz="12" w:space="0" w:color="auto"/>
            </w:tcBorders>
          </w:tcPr>
          <w:p w14:paraId="0F6CFDB7" w14:textId="77777777" w:rsidR="00093EEB" w:rsidRPr="00A93F2D" w:rsidRDefault="00093EEB">
            <w:pPr>
              <w:spacing w:before="0"/>
              <w:rPr>
                <w:b/>
                <w:bCs/>
                <w:szCs w:val="24"/>
              </w:rPr>
            </w:pPr>
          </w:p>
        </w:tc>
      </w:tr>
      <w:tr w:rsidR="00093EEB" w:rsidRPr="00A93F2D" w14:paraId="74830D32" w14:textId="77777777">
        <w:trPr>
          <w:cantSplit/>
          <w:trHeight w:val="20"/>
        </w:trPr>
        <w:tc>
          <w:tcPr>
            <w:tcW w:w="6912" w:type="dxa"/>
            <w:tcBorders>
              <w:top w:val="single" w:sz="12" w:space="0" w:color="auto"/>
            </w:tcBorders>
          </w:tcPr>
          <w:p w14:paraId="4635B418" w14:textId="77777777" w:rsidR="00093EEB" w:rsidRPr="00A93F2D"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154AE014" w14:textId="77777777" w:rsidR="00093EEB" w:rsidRPr="00A93F2D" w:rsidRDefault="00093EEB">
            <w:pPr>
              <w:spacing w:before="0"/>
              <w:rPr>
                <w:b/>
                <w:bCs/>
                <w:szCs w:val="24"/>
              </w:rPr>
            </w:pPr>
          </w:p>
        </w:tc>
      </w:tr>
      <w:tr w:rsidR="00093EEB" w:rsidRPr="00A93F2D" w14:paraId="69EBDA4E" w14:textId="77777777">
        <w:trPr>
          <w:cantSplit/>
          <w:trHeight w:val="20"/>
        </w:trPr>
        <w:tc>
          <w:tcPr>
            <w:tcW w:w="6912" w:type="dxa"/>
            <w:shd w:val="clear" w:color="auto" w:fill="auto"/>
          </w:tcPr>
          <w:p w14:paraId="629E1E43" w14:textId="77777777" w:rsidR="00093EEB" w:rsidRPr="00A93F2D" w:rsidRDefault="00093EEB">
            <w:pPr>
              <w:tabs>
                <w:tab w:val="clear" w:pos="2268"/>
                <w:tab w:val="left" w:pos="1560"/>
                <w:tab w:val="left" w:pos="2269"/>
                <w:tab w:val="left" w:pos="3544"/>
                <w:tab w:val="left" w:pos="3969"/>
              </w:tabs>
              <w:spacing w:before="0" w:line="240" w:lineRule="atLeast"/>
              <w:rPr>
                <w:rFonts w:cs="Times"/>
                <w:b/>
                <w:szCs w:val="24"/>
              </w:rPr>
            </w:pPr>
            <w:bookmarkStart w:id="4" w:name="dnum" w:colFirst="1" w:colLast="1"/>
            <w:bookmarkStart w:id="5" w:name="dmeeting" w:colFirst="0" w:colLast="0"/>
          </w:p>
        </w:tc>
        <w:tc>
          <w:tcPr>
            <w:tcW w:w="3261" w:type="dxa"/>
          </w:tcPr>
          <w:p w14:paraId="66FBEE24" w14:textId="22F62F47" w:rsidR="00093EEB" w:rsidRPr="00A93F2D" w:rsidRDefault="00093EEB" w:rsidP="00C2727F">
            <w:pPr>
              <w:spacing w:before="0"/>
              <w:rPr>
                <w:b/>
                <w:bCs/>
                <w:szCs w:val="24"/>
              </w:rPr>
            </w:pPr>
            <w:r w:rsidRPr="00A93F2D">
              <w:rPr>
                <w:b/>
                <w:bCs/>
                <w:szCs w:val="24"/>
              </w:rPr>
              <w:t>Documento C</w:t>
            </w:r>
            <w:r w:rsidR="007955DA" w:rsidRPr="00A93F2D">
              <w:rPr>
                <w:b/>
                <w:bCs/>
                <w:szCs w:val="24"/>
              </w:rPr>
              <w:t>2</w:t>
            </w:r>
            <w:r w:rsidR="000007D1" w:rsidRPr="00A93F2D">
              <w:rPr>
                <w:b/>
                <w:bCs/>
                <w:szCs w:val="24"/>
              </w:rPr>
              <w:t>1</w:t>
            </w:r>
            <w:r w:rsidRPr="00A93F2D">
              <w:rPr>
                <w:b/>
                <w:bCs/>
                <w:szCs w:val="24"/>
              </w:rPr>
              <w:t>/</w:t>
            </w:r>
            <w:r w:rsidR="00B21223" w:rsidRPr="00A93F2D">
              <w:rPr>
                <w:b/>
                <w:bCs/>
                <w:szCs w:val="24"/>
              </w:rPr>
              <w:t>22</w:t>
            </w:r>
            <w:r w:rsidRPr="00A93F2D">
              <w:rPr>
                <w:b/>
                <w:bCs/>
                <w:szCs w:val="24"/>
              </w:rPr>
              <w:t>-S</w:t>
            </w:r>
          </w:p>
        </w:tc>
      </w:tr>
      <w:tr w:rsidR="00093EEB" w:rsidRPr="00A93F2D" w14:paraId="1C90B15F" w14:textId="77777777">
        <w:trPr>
          <w:cantSplit/>
          <w:trHeight w:val="20"/>
        </w:trPr>
        <w:tc>
          <w:tcPr>
            <w:tcW w:w="6912" w:type="dxa"/>
            <w:shd w:val="clear" w:color="auto" w:fill="auto"/>
          </w:tcPr>
          <w:p w14:paraId="1822CC83" w14:textId="77777777" w:rsidR="00093EEB" w:rsidRPr="00A93F2D" w:rsidRDefault="00093EEB">
            <w:pPr>
              <w:shd w:val="solid" w:color="FFFFFF" w:fill="FFFFFF"/>
              <w:spacing w:before="0"/>
              <w:rPr>
                <w:smallCaps/>
                <w:szCs w:val="24"/>
              </w:rPr>
            </w:pPr>
            <w:bookmarkStart w:id="6" w:name="ddate" w:colFirst="1" w:colLast="1"/>
            <w:bookmarkEnd w:id="4"/>
            <w:bookmarkEnd w:id="5"/>
          </w:p>
        </w:tc>
        <w:tc>
          <w:tcPr>
            <w:tcW w:w="3261" w:type="dxa"/>
          </w:tcPr>
          <w:p w14:paraId="0A0C7FD4" w14:textId="3E250BE2" w:rsidR="00093EEB" w:rsidRPr="00A93F2D" w:rsidRDefault="00B21223" w:rsidP="00C2727F">
            <w:pPr>
              <w:spacing w:before="0"/>
              <w:rPr>
                <w:b/>
                <w:bCs/>
                <w:szCs w:val="24"/>
              </w:rPr>
            </w:pPr>
            <w:r w:rsidRPr="00A93F2D">
              <w:rPr>
                <w:b/>
                <w:bCs/>
                <w:szCs w:val="24"/>
              </w:rPr>
              <w:t>12 de mayo de 2021</w:t>
            </w:r>
          </w:p>
        </w:tc>
      </w:tr>
      <w:tr w:rsidR="00093EEB" w:rsidRPr="00A93F2D" w14:paraId="32603058" w14:textId="77777777">
        <w:trPr>
          <w:cantSplit/>
          <w:trHeight w:val="20"/>
        </w:trPr>
        <w:tc>
          <w:tcPr>
            <w:tcW w:w="6912" w:type="dxa"/>
            <w:shd w:val="clear" w:color="auto" w:fill="auto"/>
          </w:tcPr>
          <w:p w14:paraId="75F15CAE" w14:textId="77777777" w:rsidR="00093EEB" w:rsidRPr="00A93F2D" w:rsidRDefault="00093EEB">
            <w:pPr>
              <w:shd w:val="solid" w:color="FFFFFF" w:fill="FFFFFF"/>
              <w:spacing w:before="0"/>
              <w:rPr>
                <w:smallCaps/>
                <w:szCs w:val="24"/>
              </w:rPr>
            </w:pPr>
            <w:bookmarkStart w:id="7" w:name="dorlang" w:colFirst="1" w:colLast="1"/>
            <w:bookmarkEnd w:id="6"/>
          </w:p>
        </w:tc>
        <w:tc>
          <w:tcPr>
            <w:tcW w:w="3261" w:type="dxa"/>
          </w:tcPr>
          <w:p w14:paraId="477D70E1" w14:textId="77777777" w:rsidR="00093EEB" w:rsidRPr="00A93F2D" w:rsidRDefault="00093EEB" w:rsidP="00093EEB">
            <w:pPr>
              <w:spacing w:before="0"/>
              <w:rPr>
                <w:b/>
                <w:bCs/>
                <w:szCs w:val="24"/>
              </w:rPr>
            </w:pPr>
            <w:r w:rsidRPr="00A93F2D">
              <w:rPr>
                <w:b/>
                <w:bCs/>
                <w:szCs w:val="24"/>
              </w:rPr>
              <w:t>Original: inglés</w:t>
            </w:r>
          </w:p>
        </w:tc>
      </w:tr>
      <w:tr w:rsidR="00093EEB" w:rsidRPr="00A93F2D" w14:paraId="31FB2B3A" w14:textId="77777777">
        <w:trPr>
          <w:cantSplit/>
        </w:trPr>
        <w:tc>
          <w:tcPr>
            <w:tcW w:w="10173" w:type="dxa"/>
            <w:gridSpan w:val="2"/>
          </w:tcPr>
          <w:p w14:paraId="2F2B7A2F" w14:textId="0CE11AD0" w:rsidR="00093EEB" w:rsidRPr="00A93F2D" w:rsidRDefault="00B21223">
            <w:pPr>
              <w:pStyle w:val="Source"/>
            </w:pPr>
            <w:bookmarkStart w:id="8" w:name="dsource" w:colFirst="0" w:colLast="0"/>
            <w:bookmarkEnd w:id="1"/>
            <w:bookmarkEnd w:id="7"/>
            <w:r w:rsidRPr="00A93F2D">
              <w:t>Informe del Secretario General</w:t>
            </w:r>
          </w:p>
        </w:tc>
      </w:tr>
      <w:tr w:rsidR="00093EEB" w:rsidRPr="00A93F2D" w14:paraId="634AE5A8" w14:textId="77777777">
        <w:trPr>
          <w:cantSplit/>
        </w:trPr>
        <w:tc>
          <w:tcPr>
            <w:tcW w:w="10173" w:type="dxa"/>
            <w:gridSpan w:val="2"/>
          </w:tcPr>
          <w:p w14:paraId="0BB614DC" w14:textId="32731D4D" w:rsidR="00093EEB" w:rsidRPr="00A93F2D" w:rsidRDefault="00B21223">
            <w:pPr>
              <w:pStyle w:val="Title1"/>
            </w:pPr>
            <w:bookmarkStart w:id="9" w:name="dtitle1" w:colFirst="0" w:colLast="0"/>
            <w:bookmarkStart w:id="10" w:name="_Hlk73637105"/>
            <w:bookmarkEnd w:id="8"/>
            <w:r w:rsidRPr="00A93F2D">
              <w:t xml:space="preserve">décimo INFORME ANUAL DEL COMITÉ ASESOR INDEPENDIENTE </w:t>
            </w:r>
            <w:r w:rsidR="00F87B53" w:rsidRPr="00A93F2D">
              <w:br/>
            </w:r>
            <w:r w:rsidRPr="00A93F2D">
              <w:t>SOBRE LA GESTIÓN (CAIG)</w:t>
            </w:r>
            <w:bookmarkEnd w:id="10"/>
          </w:p>
        </w:tc>
      </w:tr>
    </w:tbl>
    <w:bookmarkEnd w:id="9"/>
    <w:p w14:paraId="7031268E" w14:textId="20F44D3E" w:rsidR="00B21223" w:rsidRPr="00A93F2D" w:rsidRDefault="00B21223" w:rsidP="00F87B53">
      <w:pPr>
        <w:pStyle w:val="Normalaftertitle"/>
        <w:spacing w:before="720"/>
      </w:pPr>
      <w:r w:rsidRPr="00A93F2D">
        <w:t xml:space="preserve">Tengo el honor de transmitir a los Estados Miembros del Consejo un Informe del Presidente del </w:t>
      </w:r>
      <w:r w:rsidRPr="00A93F2D">
        <w:rPr>
          <w:cs/>
        </w:rPr>
        <w:t>‎</w:t>
      </w:r>
      <w:r w:rsidRPr="00A93F2D">
        <w:t>Comité Asesor Independiente sobre la Gestión (CAIG).</w:t>
      </w:r>
    </w:p>
    <w:p w14:paraId="28A0FCEA" w14:textId="77777777" w:rsidR="00B21223" w:rsidRPr="00A93F2D" w:rsidRDefault="00B21223" w:rsidP="00F87B53">
      <w:pPr>
        <w:tabs>
          <w:tab w:val="clear" w:pos="567"/>
          <w:tab w:val="clear" w:pos="1134"/>
          <w:tab w:val="clear" w:pos="1701"/>
          <w:tab w:val="clear" w:pos="2268"/>
          <w:tab w:val="clear" w:pos="2835"/>
          <w:tab w:val="center" w:pos="7371"/>
        </w:tabs>
        <w:spacing w:before="840"/>
      </w:pPr>
      <w:r w:rsidRPr="00A93F2D">
        <w:tab/>
        <w:t>Houlin ZHAO</w:t>
      </w:r>
      <w:r w:rsidRPr="00A93F2D">
        <w:br/>
      </w:r>
      <w:r w:rsidRPr="00A93F2D">
        <w:tab/>
        <w:t>Secretario General</w:t>
      </w:r>
    </w:p>
    <w:p w14:paraId="4B593E8A" w14:textId="14906050" w:rsidR="00B21223" w:rsidRPr="00A93F2D" w:rsidRDefault="00B21223">
      <w:r w:rsidRPr="00A93F2D">
        <w:br w:type="page"/>
      </w:r>
    </w:p>
    <w:p w14:paraId="480E7746" w14:textId="0D38988B" w:rsidR="00B21223" w:rsidRPr="00A93F2D" w:rsidRDefault="00B21223" w:rsidP="00F87B53">
      <w:pPr>
        <w:pStyle w:val="Title1"/>
        <w:spacing w:after="360"/>
      </w:pPr>
      <w:r w:rsidRPr="00A93F2D">
        <w:lastRenderedPageBreak/>
        <w:t xml:space="preserve">décimo INFORME ANUAL DEL COMITÉ ASESOR INDEPENDIENTE </w:t>
      </w:r>
      <w:r w:rsidR="00F87B53" w:rsidRPr="00A93F2D">
        <w:br/>
      </w:r>
      <w:r w:rsidRPr="00A93F2D">
        <w:t>SOBRE LA GESTIÓN (CAIG)</w:t>
      </w: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A93F2D" w14:paraId="5E1A1ADF"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39C10C2D" w14:textId="77777777" w:rsidR="00093EEB" w:rsidRPr="00A93F2D" w:rsidRDefault="00093EEB">
            <w:pPr>
              <w:pStyle w:val="Headingb"/>
            </w:pPr>
            <w:r w:rsidRPr="00A93F2D">
              <w:t>Resumen</w:t>
            </w:r>
          </w:p>
          <w:p w14:paraId="023C7C6C" w14:textId="45B6F6CA" w:rsidR="00B21223" w:rsidRPr="00A93F2D" w:rsidRDefault="00B21223" w:rsidP="00B21223">
            <w:r w:rsidRPr="00A93F2D">
              <w:t>Este décimo Informe anual del Comité Asesor ‎Independiente sobre la Gestión (CAIG) al Consejo de la UIT contiene ‎conclusiones y recomendaciones que se someten a la consideración del Consejo con ‎arreglo al mandato del CAIG.</w:t>
            </w:r>
          </w:p>
          <w:p w14:paraId="3DFCDE3C" w14:textId="61276318" w:rsidR="00093EEB" w:rsidRPr="00A93F2D" w:rsidRDefault="00B21223" w:rsidP="00B21223">
            <w:r w:rsidRPr="00A93F2D">
              <w:t xml:space="preserve">Como no se pudo examinar el Informe del Auditor Externo a tiempo para la 29ª reunión virtual del CAIG (3-5 de mayo de 2021), la observaciones y opiniones del CAIG sobre el Informe del Auditor Externo relativo a los Estados Financieros de 2020 se presentarán como </w:t>
            </w:r>
            <w:proofErr w:type="spellStart"/>
            <w:r w:rsidR="00F87B53" w:rsidRPr="00A93F2D">
              <w:t>addéndum</w:t>
            </w:r>
            <w:proofErr w:type="spellEnd"/>
            <w:r w:rsidR="00F87B53" w:rsidRPr="00A93F2D">
              <w:t xml:space="preserve"> </w:t>
            </w:r>
            <w:r w:rsidRPr="00A93F2D">
              <w:t>a este Informe.</w:t>
            </w:r>
          </w:p>
          <w:p w14:paraId="28E66D01" w14:textId="77777777" w:rsidR="00093EEB" w:rsidRPr="00A93F2D" w:rsidRDefault="00093EEB">
            <w:pPr>
              <w:pStyle w:val="Headingb"/>
            </w:pPr>
            <w:r w:rsidRPr="00A93F2D">
              <w:t>Acción solicitada</w:t>
            </w:r>
          </w:p>
          <w:p w14:paraId="2AF08499" w14:textId="7C2AF163" w:rsidR="00093EEB" w:rsidRPr="00A93F2D" w:rsidRDefault="00B21223">
            <w:r w:rsidRPr="00A93F2D">
              <w:t xml:space="preserve">Se invita al Consejo a que </w:t>
            </w:r>
            <w:r w:rsidRPr="00A93F2D">
              <w:rPr>
                <w:b/>
                <w:bCs/>
              </w:rPr>
              <w:t>apruebe</w:t>
            </w:r>
            <w:r w:rsidRPr="00A93F2D">
              <w:t xml:space="preserve"> el Informe del CAIG y sus recomendaciones, que habrá de aplicar la Secretaría.</w:t>
            </w:r>
          </w:p>
          <w:p w14:paraId="681BB520" w14:textId="77777777" w:rsidR="00093EEB" w:rsidRPr="00A93F2D" w:rsidRDefault="00093EEB">
            <w:pPr>
              <w:pStyle w:val="Table"/>
              <w:keepNext w:val="0"/>
              <w:spacing w:before="0" w:after="0"/>
              <w:rPr>
                <w:caps w:val="0"/>
                <w:sz w:val="22"/>
                <w:lang w:val="es-ES_tradnl"/>
              </w:rPr>
            </w:pPr>
            <w:r w:rsidRPr="00A93F2D">
              <w:rPr>
                <w:caps w:val="0"/>
                <w:sz w:val="22"/>
                <w:lang w:val="es-ES_tradnl"/>
              </w:rPr>
              <w:t>____________</w:t>
            </w:r>
          </w:p>
          <w:p w14:paraId="0A007AC6" w14:textId="167B4E7D" w:rsidR="00093EEB" w:rsidRPr="00A93F2D" w:rsidRDefault="00093EEB">
            <w:pPr>
              <w:pStyle w:val="Headingb"/>
            </w:pPr>
            <w:r w:rsidRPr="00A93F2D">
              <w:t>Referencia</w:t>
            </w:r>
            <w:r w:rsidR="00B21223" w:rsidRPr="00A93F2D">
              <w:t>s</w:t>
            </w:r>
          </w:p>
          <w:p w14:paraId="7E1DF3AC" w14:textId="132C6F04" w:rsidR="00093EEB" w:rsidRPr="00A93F2D" w:rsidRDefault="0099407D" w:rsidP="004840F5">
            <w:pPr>
              <w:spacing w:after="120"/>
              <w:rPr>
                <w:i/>
                <w:iCs/>
              </w:rPr>
            </w:pPr>
            <w:hyperlink r:id="rId8" w:history="1">
              <w:r w:rsidR="00B21223" w:rsidRPr="00A93F2D">
                <w:rPr>
                  <w:rStyle w:val="Hyperlink"/>
                  <w:i/>
                  <w:iCs/>
                </w:rPr>
                <w:t>Resolución 162</w:t>
              </w:r>
            </w:hyperlink>
            <w:r w:rsidR="00B21223" w:rsidRPr="00A93F2D">
              <w:rPr>
                <w:i/>
                <w:iCs/>
              </w:rPr>
              <w:t xml:space="preserve"> (Rev. </w:t>
            </w:r>
            <w:proofErr w:type="spellStart"/>
            <w:r w:rsidR="00B21223" w:rsidRPr="00A93F2D">
              <w:rPr>
                <w:i/>
                <w:iCs/>
              </w:rPr>
              <w:t>Busán</w:t>
            </w:r>
            <w:proofErr w:type="spellEnd"/>
            <w:r w:rsidR="00B21223" w:rsidRPr="00A93F2D">
              <w:rPr>
                <w:i/>
                <w:iCs/>
              </w:rPr>
              <w:t xml:space="preserve">, 2014); </w:t>
            </w:r>
            <w:r w:rsidR="00F87B53" w:rsidRPr="00A93F2D">
              <w:rPr>
                <w:i/>
                <w:iCs/>
              </w:rPr>
              <w:br/>
            </w:r>
            <w:hyperlink r:id="rId9" w:history="1">
              <w:r w:rsidR="00B21223" w:rsidRPr="00A93F2D">
                <w:rPr>
                  <w:rStyle w:val="Hyperlink"/>
                  <w:i/>
                  <w:iCs/>
                </w:rPr>
                <w:t>Acuerdo 615</w:t>
              </w:r>
            </w:hyperlink>
            <w:r w:rsidR="00B21223" w:rsidRPr="00A93F2D">
              <w:rPr>
                <w:i/>
                <w:iCs/>
              </w:rPr>
              <w:t xml:space="preserve"> del Consejo;</w:t>
            </w:r>
            <w:r w:rsidR="00B21223" w:rsidRPr="00A93F2D">
              <w:rPr>
                <w:i/>
                <w:iCs/>
              </w:rPr>
              <w:br/>
              <w:t>Informes anuales del CAIG:</w:t>
            </w:r>
            <w:r w:rsidR="00F87B53" w:rsidRPr="00A93F2D">
              <w:rPr>
                <w:i/>
                <w:iCs/>
              </w:rPr>
              <w:br/>
            </w:r>
            <w:hyperlink r:id="rId10" w:history="1">
              <w:r w:rsidR="00B21223" w:rsidRPr="00A93F2D">
                <w:rPr>
                  <w:rStyle w:val="Hyperlink"/>
                  <w:i/>
                  <w:iCs/>
                </w:rPr>
                <w:t>C12/44</w:t>
              </w:r>
            </w:hyperlink>
            <w:r w:rsidR="00B21223" w:rsidRPr="00A93F2D">
              <w:rPr>
                <w:i/>
                <w:iCs/>
              </w:rPr>
              <w:t xml:space="preserve"> (Primer informe anual del CAIG al Consejo);</w:t>
            </w:r>
            <w:r w:rsidR="00B21223" w:rsidRPr="00A93F2D">
              <w:rPr>
                <w:i/>
                <w:iCs/>
              </w:rPr>
              <w:br/>
            </w:r>
            <w:hyperlink r:id="rId11" w:history="1">
              <w:r w:rsidR="00B21223" w:rsidRPr="00A93F2D">
                <w:rPr>
                  <w:rStyle w:val="Hyperlink"/>
                  <w:i/>
                  <w:iCs/>
                </w:rPr>
                <w:t>C13/65 + Corr.</w:t>
              </w:r>
            </w:hyperlink>
            <w:hyperlink r:id="rId12" w:history="1">
              <w:r w:rsidR="00B21223" w:rsidRPr="00A93F2D">
                <w:rPr>
                  <w:rStyle w:val="Hyperlink"/>
                  <w:i/>
                  <w:iCs/>
                </w:rPr>
                <w:t>1</w:t>
              </w:r>
            </w:hyperlink>
            <w:r w:rsidR="00B21223" w:rsidRPr="00A93F2D">
              <w:rPr>
                <w:i/>
                <w:iCs/>
              </w:rPr>
              <w:t xml:space="preserve"> (Segundo informe anual del CAIG al Consejo);</w:t>
            </w:r>
            <w:r w:rsidR="00B21223" w:rsidRPr="00A93F2D">
              <w:rPr>
                <w:i/>
                <w:iCs/>
              </w:rPr>
              <w:br/>
            </w:r>
            <w:hyperlink r:id="rId13" w:history="1">
              <w:r w:rsidR="00B21223" w:rsidRPr="00A93F2D">
                <w:rPr>
                  <w:rStyle w:val="Hyperlink"/>
                  <w:i/>
                  <w:iCs/>
                </w:rPr>
                <w:t>C14/22 + Add.1</w:t>
              </w:r>
            </w:hyperlink>
            <w:r w:rsidR="00B21223" w:rsidRPr="00A93F2D">
              <w:rPr>
                <w:i/>
                <w:iCs/>
              </w:rPr>
              <w:t xml:space="preserve"> (Tercer informe anual del CAIG al Consejo);</w:t>
            </w:r>
            <w:r w:rsidR="00B21223" w:rsidRPr="00A93F2D">
              <w:rPr>
                <w:i/>
                <w:iCs/>
              </w:rPr>
              <w:br/>
            </w:r>
            <w:hyperlink r:id="rId14" w:history="1">
              <w:r w:rsidR="00B21223" w:rsidRPr="00A93F2D">
                <w:rPr>
                  <w:rStyle w:val="Hyperlink"/>
                  <w:i/>
                  <w:iCs/>
                </w:rPr>
                <w:t>C15/22 + Add.1-2</w:t>
              </w:r>
            </w:hyperlink>
            <w:r w:rsidR="00B21223" w:rsidRPr="00A93F2D">
              <w:rPr>
                <w:i/>
                <w:iCs/>
              </w:rPr>
              <w:t xml:space="preserve"> (Cuarto informe anual del CAIG al Consejo);</w:t>
            </w:r>
            <w:r w:rsidR="00B21223" w:rsidRPr="00A93F2D">
              <w:rPr>
                <w:i/>
                <w:iCs/>
              </w:rPr>
              <w:br/>
            </w:r>
            <w:hyperlink r:id="rId15" w:history="1">
              <w:r w:rsidR="00B21223" w:rsidRPr="00A93F2D">
                <w:rPr>
                  <w:rStyle w:val="Hyperlink"/>
                  <w:i/>
                  <w:iCs/>
                </w:rPr>
                <w:t>C16/22 + Add.1</w:t>
              </w:r>
            </w:hyperlink>
            <w:r w:rsidR="00B21223" w:rsidRPr="00A93F2D">
              <w:rPr>
                <w:i/>
                <w:iCs/>
              </w:rPr>
              <w:t xml:space="preserve"> (Quinto informe anual del CAIG al Consejo);</w:t>
            </w:r>
            <w:r w:rsidR="00B21223" w:rsidRPr="00A93F2D">
              <w:rPr>
                <w:i/>
                <w:iCs/>
              </w:rPr>
              <w:br/>
            </w:r>
            <w:hyperlink r:id="rId16" w:history="1">
              <w:r w:rsidR="00B21223" w:rsidRPr="00A93F2D">
                <w:rPr>
                  <w:rStyle w:val="Hyperlink"/>
                  <w:i/>
                  <w:iCs/>
                </w:rPr>
                <w:t>C17/22</w:t>
              </w:r>
            </w:hyperlink>
            <w:r w:rsidR="00B21223" w:rsidRPr="00A93F2D">
              <w:rPr>
                <w:i/>
                <w:iCs/>
              </w:rPr>
              <w:t xml:space="preserve"> (Sexto informe anual del CAIG al Consejo);</w:t>
            </w:r>
            <w:r w:rsidR="00B21223" w:rsidRPr="00A93F2D">
              <w:rPr>
                <w:i/>
                <w:iCs/>
              </w:rPr>
              <w:br/>
            </w:r>
            <w:hyperlink r:id="rId17" w:history="1">
              <w:r w:rsidR="00B21223" w:rsidRPr="00A93F2D">
                <w:rPr>
                  <w:rStyle w:val="Hyperlink"/>
                  <w:i/>
                  <w:iCs/>
                </w:rPr>
                <w:t>C18/22 + Add.1</w:t>
              </w:r>
            </w:hyperlink>
            <w:r w:rsidR="00B21223" w:rsidRPr="00A93F2D">
              <w:rPr>
                <w:i/>
                <w:iCs/>
              </w:rPr>
              <w:t xml:space="preserve"> (Séptimo informe anual del CAIG al Consejo);</w:t>
            </w:r>
            <w:r w:rsidR="004840F5" w:rsidRPr="00A93F2D">
              <w:rPr>
                <w:i/>
                <w:iCs/>
              </w:rPr>
              <w:br/>
            </w:r>
            <w:hyperlink r:id="rId18" w:history="1">
              <w:r w:rsidR="00B21223" w:rsidRPr="00A93F2D">
                <w:rPr>
                  <w:rStyle w:val="Hyperlink"/>
                  <w:i/>
                  <w:iCs/>
                </w:rPr>
                <w:t>C19/22</w:t>
              </w:r>
            </w:hyperlink>
            <w:r w:rsidR="00B21223" w:rsidRPr="00A93F2D">
              <w:rPr>
                <w:i/>
                <w:iCs/>
              </w:rPr>
              <w:t xml:space="preserve"> (Octavo informe anual del CAIG al Consejo);</w:t>
            </w:r>
            <w:r w:rsidR="004840F5" w:rsidRPr="00A93F2D">
              <w:rPr>
                <w:i/>
                <w:iCs/>
              </w:rPr>
              <w:br/>
            </w:r>
            <w:hyperlink r:id="rId19" w:history="1">
              <w:r w:rsidR="00B21223" w:rsidRPr="00A93F2D">
                <w:rPr>
                  <w:rStyle w:val="Hyperlink1"/>
                  <w:lang w:val="es-ES_tradnl"/>
                </w:rPr>
                <w:t>C20/22 Rev.1</w:t>
              </w:r>
            </w:hyperlink>
            <w:r w:rsidR="00B21223" w:rsidRPr="00A93F2D">
              <w:rPr>
                <w:rStyle w:val="Ohne"/>
                <w:i/>
                <w:iCs/>
              </w:rPr>
              <w:t xml:space="preserve"> (Noveno informe anual del CAIG al Consejo).</w:t>
            </w:r>
          </w:p>
        </w:tc>
      </w:tr>
    </w:tbl>
    <w:p w14:paraId="6FA81DE7" w14:textId="36B81FE3" w:rsidR="00B21223" w:rsidRPr="00A93F2D" w:rsidRDefault="00B21223" w:rsidP="00B21223">
      <w:pPr>
        <w:pStyle w:val="Heading1"/>
      </w:pPr>
      <w:r w:rsidRPr="00A93F2D">
        <w:t>1</w:t>
      </w:r>
      <w:r w:rsidRPr="00A93F2D">
        <w:tab/>
      </w:r>
      <w:r w:rsidR="004840F5" w:rsidRPr="00A93F2D">
        <w:t>Introducción</w:t>
      </w:r>
    </w:p>
    <w:p w14:paraId="1F900EFF" w14:textId="77777777" w:rsidR="00B21223" w:rsidRPr="00A93F2D" w:rsidRDefault="00B21223" w:rsidP="00B21223">
      <w:r w:rsidRPr="00A93F2D">
        <w:t>1.1</w:t>
      </w:r>
      <w:r w:rsidRPr="00A93F2D">
        <w:tab/>
        <w:t xml:space="preserve">El CAIG ejerce funciones de asesoría especializada independiente </w:t>
      </w:r>
      <w:r w:rsidRPr="00A93F2D">
        <w:rPr>
          <w:cs/>
        </w:rPr>
        <w:t>‎</w:t>
      </w:r>
      <w:r w:rsidRPr="00A93F2D">
        <w:t xml:space="preserve">para ayudar al Consejo y al Secretario General en el ejercicio de sus responsabilidades de gobernanza en materia de elaboración de informes financieros, sistemas de control interno, gestión de riesgos y procesos de gobernanza, así como de otros asuntos relacionados con la auditoría de acuerdo con el mandato del CAIG. El CAIG contribuye de esta manera a mejorar la transparencia, la rendición de cuentas y la buena gobernanza. Aunque no realiza tareas de auditoría ni duplica ninguna función de responsabilidad o </w:t>
      </w:r>
      <w:r w:rsidRPr="00A93F2D">
        <w:rPr>
          <w:cs/>
        </w:rPr>
        <w:t>‎</w:t>
      </w:r>
      <w:r w:rsidRPr="00A93F2D">
        <w:t xml:space="preserve">de auditoría, interna o externa, el CAIG vela por la utilización óptima de los recursos asignados a </w:t>
      </w:r>
      <w:r w:rsidRPr="00A93F2D">
        <w:rPr>
          <w:cs/>
        </w:rPr>
        <w:t>‎</w:t>
      </w:r>
      <w:r w:rsidRPr="00A93F2D">
        <w:t>las auditorías y a otras actividades, conforme al marco general de la UIT en materia de garantías.</w:t>
      </w:r>
    </w:p>
    <w:p w14:paraId="749C0BA6" w14:textId="681B4895" w:rsidR="00B21223" w:rsidRPr="00A93F2D" w:rsidRDefault="004840F5" w:rsidP="00B21223">
      <w:pPr>
        <w:pStyle w:val="Heading1"/>
      </w:pPr>
      <w:r w:rsidRPr="00A93F2D">
        <w:lastRenderedPageBreak/>
        <w:t>2</w:t>
      </w:r>
      <w:r w:rsidRPr="00A93F2D">
        <w:tab/>
        <w:t>Miembros y actividades del CAIG</w:t>
      </w:r>
    </w:p>
    <w:p w14:paraId="2177D64B" w14:textId="77777777" w:rsidR="00B21223" w:rsidRPr="00A93F2D" w:rsidRDefault="00B21223" w:rsidP="00B21223">
      <w:r w:rsidRPr="00A93F2D">
        <w:t>2.1</w:t>
      </w:r>
      <w:r w:rsidRPr="00A93F2D">
        <w:tab/>
        <w:t>Actualmente, el CAIG lo integran los miembros siguientes:</w:t>
      </w:r>
    </w:p>
    <w:p w14:paraId="0D64BFCF" w14:textId="77777777" w:rsidR="00B21223" w:rsidRPr="00A93F2D" w:rsidRDefault="00B21223" w:rsidP="00B21223">
      <w:pPr>
        <w:pStyle w:val="enumlev1"/>
      </w:pPr>
      <w:r w:rsidRPr="00A93F2D">
        <w:t>–</w:t>
      </w:r>
      <w:r w:rsidRPr="00A93F2D">
        <w:tab/>
        <w:t xml:space="preserve">Sr. </w:t>
      </w:r>
      <w:bookmarkStart w:id="11" w:name="_Hlk42530984"/>
      <w:proofErr w:type="spellStart"/>
      <w:r w:rsidRPr="00A93F2D">
        <w:t>Kamlesh</w:t>
      </w:r>
      <w:proofErr w:type="spellEnd"/>
      <w:r w:rsidRPr="00A93F2D">
        <w:t xml:space="preserve"> </w:t>
      </w:r>
      <w:proofErr w:type="spellStart"/>
      <w:r w:rsidRPr="00A93F2D">
        <w:t>Vikamsey</w:t>
      </w:r>
      <w:proofErr w:type="spellEnd"/>
      <w:r w:rsidRPr="00A93F2D">
        <w:t xml:space="preserve"> </w:t>
      </w:r>
      <w:bookmarkEnd w:id="11"/>
      <w:r w:rsidRPr="00A93F2D">
        <w:t>(Presidente)</w:t>
      </w:r>
    </w:p>
    <w:p w14:paraId="6D1F2364" w14:textId="77777777" w:rsidR="00B21223" w:rsidRPr="00A93F2D" w:rsidRDefault="00B21223" w:rsidP="00B21223">
      <w:pPr>
        <w:pStyle w:val="enumlev1"/>
      </w:pPr>
      <w:r w:rsidRPr="00A93F2D">
        <w:t>–</w:t>
      </w:r>
      <w:r w:rsidRPr="00A93F2D">
        <w:tab/>
        <w:t xml:space="preserve">Sra. Sarah </w:t>
      </w:r>
      <w:proofErr w:type="spellStart"/>
      <w:r w:rsidRPr="00A93F2D">
        <w:t>Hammer</w:t>
      </w:r>
      <w:proofErr w:type="spellEnd"/>
    </w:p>
    <w:p w14:paraId="5E9DA033" w14:textId="77777777" w:rsidR="00B21223" w:rsidRPr="00A93F2D" w:rsidRDefault="00B21223" w:rsidP="00B21223">
      <w:pPr>
        <w:pStyle w:val="enumlev1"/>
      </w:pPr>
      <w:r w:rsidRPr="00A93F2D">
        <w:t>–</w:t>
      </w:r>
      <w:r w:rsidRPr="00A93F2D">
        <w:tab/>
        <w:t xml:space="preserve">Sr. Alexander </w:t>
      </w:r>
      <w:proofErr w:type="spellStart"/>
      <w:r w:rsidRPr="00A93F2D">
        <w:t>Narukavnikov</w:t>
      </w:r>
      <w:proofErr w:type="spellEnd"/>
    </w:p>
    <w:p w14:paraId="60179B84" w14:textId="77777777" w:rsidR="00B21223" w:rsidRPr="00A93F2D" w:rsidRDefault="00B21223" w:rsidP="00B21223">
      <w:pPr>
        <w:pStyle w:val="enumlev1"/>
      </w:pPr>
      <w:r w:rsidRPr="00A93F2D">
        <w:t>–</w:t>
      </w:r>
      <w:r w:rsidRPr="00A93F2D">
        <w:tab/>
        <w:t xml:space="preserve">Sr. Honore </w:t>
      </w:r>
      <w:proofErr w:type="spellStart"/>
      <w:r w:rsidRPr="00A93F2D">
        <w:t>Ndoko</w:t>
      </w:r>
      <w:proofErr w:type="spellEnd"/>
    </w:p>
    <w:p w14:paraId="04B612BD" w14:textId="77777777" w:rsidR="00B21223" w:rsidRPr="00A93F2D" w:rsidRDefault="00B21223" w:rsidP="00B21223">
      <w:pPr>
        <w:pStyle w:val="enumlev1"/>
      </w:pPr>
      <w:r w:rsidRPr="00A93F2D">
        <w:t>–</w:t>
      </w:r>
      <w:r w:rsidRPr="00A93F2D">
        <w:tab/>
        <w:t>Sr. Henrique Schneider</w:t>
      </w:r>
    </w:p>
    <w:p w14:paraId="57F992D5" w14:textId="115D1442" w:rsidR="00B21223" w:rsidRPr="00A93F2D" w:rsidRDefault="00B21223" w:rsidP="00B21223">
      <w:r w:rsidRPr="00A93F2D">
        <w:t>2.2</w:t>
      </w:r>
      <w:r w:rsidRPr="00A93F2D">
        <w:tab/>
        <w:t xml:space="preserve">El último </w:t>
      </w:r>
      <w:r w:rsidR="004840F5" w:rsidRPr="00A93F2D">
        <w:t xml:space="preserve">Informe </w:t>
      </w:r>
      <w:r w:rsidRPr="00A93F2D">
        <w:t>anual del CAIG al Consejo se presentó en la 2ª reunión virtual de los consejeros (noviembre de 2020). Debido a las restricciones que han sufrido los viajes, como consecuencia de la pandemia de COVID-19, las reuniones del Comité para 2021 se celebrarán virtualmente, el 15-17 de marzo de 2021 y el 3-5 de mayo de 2021.</w:t>
      </w:r>
    </w:p>
    <w:p w14:paraId="1C82DBBC" w14:textId="3F940715" w:rsidR="00B21223" w:rsidRPr="00A93F2D" w:rsidRDefault="00B21223" w:rsidP="00B21223">
      <w:r w:rsidRPr="00A93F2D">
        <w:t>2.3</w:t>
      </w:r>
      <w:r w:rsidRPr="00A93F2D">
        <w:tab/>
        <w:t xml:space="preserve">Desde su último </w:t>
      </w:r>
      <w:r w:rsidR="00B54BFB" w:rsidRPr="00A93F2D">
        <w:t xml:space="preserve">Informe </w:t>
      </w:r>
      <w:r w:rsidRPr="00A93F2D">
        <w:t xml:space="preserve">anual, el Comité se ha reunido con diversas personas pertenecientes a todos los ámbitos de su responsabilidad, a saber, la auditoría interna, la gestión de riesgos, el control interno, la evaluación, la ética, los estados financieros y la elaboración de informes financieros y la </w:t>
      </w:r>
      <w:r w:rsidR="00B54BFB" w:rsidRPr="00A93F2D">
        <w:t>auditoría externa</w:t>
      </w:r>
      <w:r w:rsidRPr="00A93F2D">
        <w:t>.</w:t>
      </w:r>
    </w:p>
    <w:p w14:paraId="6334736B" w14:textId="77777777" w:rsidR="00B21223" w:rsidRPr="00A93F2D" w:rsidRDefault="00B21223" w:rsidP="00B21223">
      <w:r w:rsidRPr="00A93F2D">
        <w:t>2.4</w:t>
      </w:r>
      <w:r w:rsidRPr="00A93F2D">
        <w:tab/>
        <w:t>En el curso de sus reuniones, el CAIG sostuvo debates sobre cuestiones de fondo con el Secretario General y el Vicesecretario General, la Directora de la Oficina de Desarrollo de las Telecomunicaciones, el Departamento de Gestión de Recursos Financieros, el Auditor Interno, el Auditor Externo, el Asesor Jurídico, el Oficial de Ética, el Departamento de Planificación Estratégica y Relaciones con los Miembros, el Departamento de Gestión de los Recursos Humanos, la División del Proyecto del Edificio, y otros representantes de la administración, según las necesidades.</w:t>
      </w:r>
    </w:p>
    <w:p w14:paraId="6E3CAB95" w14:textId="542E1FEA" w:rsidR="00B21223" w:rsidRPr="00A93F2D" w:rsidRDefault="00B21223" w:rsidP="00B21223">
      <w:r w:rsidRPr="00A93F2D">
        <w:t>2.5</w:t>
      </w:r>
      <w:r w:rsidRPr="00A93F2D">
        <w:tab/>
        <w:t xml:space="preserve">Todos los </w:t>
      </w:r>
      <w:r w:rsidRPr="00A93F2D">
        <w:rPr>
          <w:cs/>
        </w:rPr>
        <w:t>‎</w:t>
      </w:r>
      <w:r w:rsidRPr="00A93F2D">
        <w:t xml:space="preserve">informes de las reuniones del Comité y sus informes anuales, así como otros documentos </w:t>
      </w:r>
      <w:r w:rsidRPr="00A93F2D">
        <w:rPr>
          <w:cs/>
        </w:rPr>
        <w:t>‎</w:t>
      </w:r>
      <w:r w:rsidRPr="00A93F2D">
        <w:t xml:space="preserve">clave, pueden consultarse en la zona dedicada al CAIG en el </w:t>
      </w:r>
      <w:hyperlink r:id="rId20" w:history="1">
        <w:r w:rsidRPr="00A93F2D">
          <w:rPr>
            <w:rStyle w:val="Hyperlink"/>
          </w:rPr>
          <w:t>sitio web público de la UIT</w:t>
        </w:r>
      </w:hyperlink>
      <w:r w:rsidRPr="00A93F2D">
        <w:t xml:space="preserve">, también accesible a través de la página web del </w:t>
      </w:r>
      <w:hyperlink r:id="rId21" w:history="1">
        <w:r w:rsidRPr="00A93F2D">
          <w:rPr>
            <w:rStyle w:val="Hyperlink"/>
          </w:rPr>
          <w:t>Consejo de la UIT</w:t>
        </w:r>
      </w:hyperlink>
      <w:r w:rsidRPr="00A93F2D">
        <w:t>.</w:t>
      </w:r>
    </w:p>
    <w:p w14:paraId="288F598F" w14:textId="14569186" w:rsidR="00B21223" w:rsidRPr="00A93F2D" w:rsidRDefault="00B21223" w:rsidP="00B21223">
      <w:r w:rsidRPr="00A93F2D">
        <w:t>2.6</w:t>
      </w:r>
      <w:r w:rsidRPr="00A93F2D">
        <w:tab/>
        <w:t>Ha sido necesario reducir la duración de las reuniones virtuales del CAIG para dar cabida a todos los miembros que desean participar a escala mundial. En consecuencia, se asignará tiempo adicional durante la próxima reunión presencial</w:t>
      </w:r>
      <w:r w:rsidR="00B54BFB" w:rsidRPr="00A93F2D">
        <w:t>,</w:t>
      </w:r>
      <w:r w:rsidRPr="00A93F2D">
        <w:t xml:space="preserve"> cuando la situación de la pandemia lo permita, con el fin de garantizar el seguimiento pormenorizado de los temas encomendados al CAIG.</w:t>
      </w:r>
    </w:p>
    <w:p w14:paraId="1E6B821E" w14:textId="77777777" w:rsidR="00B21223" w:rsidRPr="00A93F2D" w:rsidRDefault="00B21223" w:rsidP="00B21223">
      <w:r w:rsidRPr="00A93F2D">
        <w:t>2.7</w:t>
      </w:r>
      <w:r w:rsidRPr="00A93F2D">
        <w:tab/>
        <w:t>Los miembros del CAIG elogiaron la fructífera colaboración global de la dirección de la UIT con el Comité, su capacidad de respuesta y sensibilidad a las cuestiones del CAIG, y su actitud proactiva a la hora de solicitar el asesoramiento del Comité en diversos ámbitos de su competencia y experiencia técnica. En las secciones pertinentes del presente informe se incluyen observaciones y recomendaciones específicas sobre las diversas esferas de responsabilidad del CAIG.</w:t>
      </w:r>
    </w:p>
    <w:p w14:paraId="1D6B7119" w14:textId="57AA17DD" w:rsidR="00B21223" w:rsidRPr="00A93F2D" w:rsidRDefault="00EB1E9E" w:rsidP="00EB1E9E">
      <w:pPr>
        <w:pStyle w:val="Headingb"/>
        <w:tabs>
          <w:tab w:val="clear" w:pos="567"/>
          <w:tab w:val="left" w:pos="0"/>
        </w:tabs>
        <w:ind w:left="0" w:firstLine="0"/>
      </w:pPr>
      <w:r w:rsidRPr="00A93F2D">
        <w:t>Participación en la 5ª reunión anual de los Comités de supervisión del sistema de las Naciones Unidas</w:t>
      </w:r>
    </w:p>
    <w:p w14:paraId="3DDE8866" w14:textId="140E8F83" w:rsidR="00B21223" w:rsidRPr="00A93F2D" w:rsidRDefault="00B21223" w:rsidP="00B21223">
      <w:r w:rsidRPr="00A93F2D">
        <w:t>2.8</w:t>
      </w:r>
      <w:r w:rsidRPr="00A93F2D">
        <w:tab/>
        <w:t xml:space="preserve">La 5ª </w:t>
      </w:r>
      <w:r w:rsidR="00EB1E9E" w:rsidRPr="00A93F2D">
        <w:t xml:space="preserve">reunión anual </w:t>
      </w:r>
      <w:r w:rsidRPr="00A93F2D">
        <w:t xml:space="preserve">de los Comités de </w:t>
      </w:r>
      <w:r w:rsidR="00EB1E9E" w:rsidRPr="00A93F2D">
        <w:t xml:space="preserve">supervisión </w:t>
      </w:r>
      <w:r w:rsidRPr="00A93F2D">
        <w:t xml:space="preserve">del sistema de las Naciones Unidas se celebró virtualmente el 8-9 de diciembre de </w:t>
      </w:r>
      <w:r w:rsidR="00EB1E9E" w:rsidRPr="00A93F2D">
        <w:t>2020</w:t>
      </w:r>
      <w:r w:rsidRPr="00A93F2D">
        <w:t xml:space="preserve">. Ostentó la representación de CAIG el Sr. Honoré </w:t>
      </w:r>
      <w:proofErr w:type="spellStart"/>
      <w:r w:rsidRPr="00A93F2D">
        <w:t>Ndoko</w:t>
      </w:r>
      <w:proofErr w:type="spellEnd"/>
      <w:r w:rsidRPr="00A93F2D">
        <w:t>. El CAIG consideró, entre otras, las siguientes medidas de seguimiento:</w:t>
      </w:r>
    </w:p>
    <w:p w14:paraId="1D23935D" w14:textId="18A2A11F" w:rsidR="00B21223" w:rsidRPr="00A93F2D" w:rsidRDefault="00EB1E9E" w:rsidP="00EB1E9E">
      <w:pPr>
        <w:pStyle w:val="enumlev1"/>
        <w:keepNext/>
        <w:keepLines/>
      </w:pPr>
      <w:r w:rsidRPr="00A93F2D">
        <w:lastRenderedPageBreak/>
        <w:t>–</w:t>
      </w:r>
      <w:r w:rsidR="00B21223" w:rsidRPr="00A93F2D">
        <w:tab/>
        <w:t>Ante el vertiginoso ritmo que ha alcanzado la digitalización, acelerado por la situación provocada por la pandemia de COVID-19, el CAIG se plantea estudiar los aspectos de la gestión del riesgo, especialmente en el ámbito de la ciberseguridad y sobre la forma de abordar los riesgos de ciberseguridad en la UIT.</w:t>
      </w:r>
    </w:p>
    <w:p w14:paraId="78D9163F" w14:textId="49846B0E" w:rsidR="00B21223" w:rsidRPr="00A93F2D" w:rsidRDefault="00EB1E9E" w:rsidP="00EB1E9E">
      <w:pPr>
        <w:pStyle w:val="enumlev1"/>
        <w:keepNext/>
        <w:keepLines/>
      </w:pPr>
      <w:r w:rsidRPr="00A93F2D">
        <w:t>–</w:t>
      </w:r>
      <w:r w:rsidR="00B21223" w:rsidRPr="00A93F2D">
        <w:tab/>
        <w:t>Para destacar la importancia de la armonización y el progreso hacia el cumplimiento de la Agenda 2030 y los ODS, el CAIG incluiría también este tema en el programa del Comité, con el fin de que se examine la contribución de la UIT y se formulen recomendaciones al respecto.</w:t>
      </w:r>
    </w:p>
    <w:p w14:paraId="3B376952" w14:textId="20552484" w:rsidR="00B21223" w:rsidRPr="00A93F2D" w:rsidRDefault="00EB1E9E" w:rsidP="00EB1E9E">
      <w:pPr>
        <w:pStyle w:val="enumlev1"/>
        <w:keepNext/>
        <w:keepLines/>
      </w:pPr>
      <w:r w:rsidRPr="00A93F2D">
        <w:t>–</w:t>
      </w:r>
      <w:r w:rsidR="00B21223" w:rsidRPr="00A93F2D">
        <w:tab/>
        <w:t>En lo que se refiere a la evaluación y apreciación de los trabajos del Comité, el CAIG alcanzó un acuerdo sobre la elaboración de un cuestionario de evaluación, y consideró la posibilidad de someterlos a un examen por homólogos y a la apreciación del Comité de otro organismo de las Naciones Unidas. Ya se ha realizado la autoevaluación y las conclusiones clave y los elementos más importantes de éste se presentan en la sección siguiente.</w:t>
      </w:r>
    </w:p>
    <w:p w14:paraId="57D04122" w14:textId="6B219A58" w:rsidR="00B21223" w:rsidRPr="00A93F2D" w:rsidRDefault="00B21223" w:rsidP="00B21223">
      <w:r w:rsidRPr="00A93F2D">
        <w:t>2.9</w:t>
      </w:r>
      <w:r w:rsidRPr="00A93F2D">
        <w:tab/>
        <w:t xml:space="preserve">El CAIG reconoce la importancia de la plataforma para los Presidentes de los Comités de </w:t>
      </w:r>
      <w:r w:rsidR="00EB1E9E" w:rsidRPr="00A93F2D">
        <w:t xml:space="preserve">supervisión </w:t>
      </w:r>
      <w:r w:rsidRPr="00A93F2D">
        <w:t>del sistema de las Naciones Unidas y agradece que se sostenga un diálogo tan constructivo en las reuniones.</w:t>
      </w:r>
    </w:p>
    <w:p w14:paraId="4F9A1338" w14:textId="195BD645" w:rsidR="00B21223" w:rsidRPr="00A93F2D" w:rsidRDefault="00EB1E9E" w:rsidP="00EB1E9E">
      <w:pPr>
        <w:pStyle w:val="Headingb"/>
      </w:pPr>
      <w:r w:rsidRPr="00A93F2D">
        <w:t>La autoevaluación del CAIG</w:t>
      </w:r>
    </w:p>
    <w:p w14:paraId="0467201D" w14:textId="7E79889C" w:rsidR="00B21223" w:rsidRPr="00A93F2D" w:rsidRDefault="00B21223" w:rsidP="00B21223">
      <w:r w:rsidRPr="00A93F2D">
        <w:t>2.10</w:t>
      </w:r>
      <w:r w:rsidRPr="00A93F2D">
        <w:tab/>
        <w:t xml:space="preserve">El Comité realizó un cuestionario de autoevaluación en el que se contempla un amplio número de temas, con arreglo a las buenas prácticas debatidas en la 5ª </w:t>
      </w:r>
      <w:r w:rsidR="00EB1E9E" w:rsidRPr="00A93F2D">
        <w:t xml:space="preserve">reunión anual </w:t>
      </w:r>
      <w:r w:rsidRPr="00A93F2D">
        <w:t xml:space="preserve">de los Comités de </w:t>
      </w:r>
      <w:r w:rsidR="00EB1E9E" w:rsidRPr="00A93F2D">
        <w:t xml:space="preserve">supervisión </w:t>
      </w:r>
      <w:r w:rsidRPr="00A93F2D">
        <w:t xml:space="preserve">del sistema de las Naciones Unidas y la correspondiente </w:t>
      </w:r>
      <w:r w:rsidR="00EB1E9E" w:rsidRPr="00A93F2D">
        <w:t xml:space="preserve">recomendación </w:t>
      </w:r>
      <w:r w:rsidRPr="00A93F2D">
        <w:t>de la DCI.</w:t>
      </w:r>
    </w:p>
    <w:p w14:paraId="0347B54E" w14:textId="77777777" w:rsidR="00B21223" w:rsidRPr="00A93F2D" w:rsidRDefault="00B21223" w:rsidP="00B21223">
      <w:r w:rsidRPr="00A93F2D">
        <w:t>2.11</w:t>
      </w:r>
      <w:r w:rsidRPr="00A93F2D">
        <w:tab/>
        <w:t>Los miembros del Comité están satisfechos de que en conjunto tengan la gama de aptitudes y acreditaciones profesionales necesarias para poder efectuar el control interno y garantizar que la Secretaría General, los Funcionarios de Elección, la Secretaría y el Consejo reciban el adecuado asesoramiento independiente en materia de gobernanza, gestión del riesgo, controles internos, auditoría e integridad.</w:t>
      </w:r>
    </w:p>
    <w:p w14:paraId="710330B9" w14:textId="5900D328" w:rsidR="00B21223" w:rsidRPr="00A93F2D" w:rsidRDefault="00B21223" w:rsidP="00B21223">
      <w:r w:rsidRPr="00A93F2D">
        <w:t>2.12</w:t>
      </w:r>
      <w:r w:rsidRPr="00A93F2D">
        <w:tab/>
        <w:t>Entre las conclusiones clave en materia de esferas susceptibles de mejora, figuran las siguientes</w:t>
      </w:r>
      <w:r w:rsidR="00EB1E9E" w:rsidRPr="00A93F2D">
        <w:t>:</w:t>
      </w:r>
    </w:p>
    <w:p w14:paraId="22711CAD" w14:textId="2D856426" w:rsidR="00B21223" w:rsidRPr="00A93F2D" w:rsidRDefault="00EB1E9E" w:rsidP="00EB1E9E">
      <w:pPr>
        <w:pStyle w:val="enumlev1"/>
        <w:keepNext/>
        <w:keepLines/>
      </w:pPr>
      <w:r w:rsidRPr="00A93F2D">
        <w:t>–</w:t>
      </w:r>
      <w:r w:rsidR="00B21223" w:rsidRPr="00A93F2D">
        <w:tab/>
        <w:t>Reforzar el proceso de declaración de posibles conflictos de intereses por parte de los miembros del CAIG, no solo anualmente mediante la cumplimentación y firma del oportuno formulario, sino también al comienzo de cada una de las reuniones del CAIG</w:t>
      </w:r>
      <w:r w:rsidRPr="00A93F2D">
        <w:t>.</w:t>
      </w:r>
    </w:p>
    <w:p w14:paraId="6865DFCD" w14:textId="0527D939" w:rsidR="00B21223" w:rsidRPr="00A93F2D" w:rsidRDefault="00EB1E9E" w:rsidP="00EB1E9E">
      <w:pPr>
        <w:pStyle w:val="enumlev1"/>
        <w:keepNext/>
        <w:keepLines/>
      </w:pPr>
      <w:r w:rsidRPr="00A93F2D">
        <w:t>–</w:t>
      </w:r>
      <w:r w:rsidR="00B21223" w:rsidRPr="00A93F2D">
        <w:tab/>
        <w:t>Notificar al CAIG la puesta en marcha de un nuevo proceso de investigación oficial de fraude, e informarle de la conclusión, los resultados y las medidas de seguimiento de las investigaciones (respetando el marco jurídico de la organización y las exigencias de información del CAIG para poder ejercer sus responsabilidades)</w:t>
      </w:r>
      <w:r w:rsidRPr="00A93F2D">
        <w:t>.</w:t>
      </w:r>
    </w:p>
    <w:p w14:paraId="2747BC34" w14:textId="774DA692" w:rsidR="00B21223" w:rsidRPr="00A93F2D" w:rsidRDefault="00EB1E9E" w:rsidP="00EB1E9E">
      <w:pPr>
        <w:pStyle w:val="enumlev1"/>
        <w:keepNext/>
        <w:keepLines/>
      </w:pPr>
      <w:r w:rsidRPr="00A93F2D">
        <w:t>–</w:t>
      </w:r>
      <w:r w:rsidR="00B21223" w:rsidRPr="00A93F2D">
        <w:tab/>
        <w:t>Debatir a fondo temas específicos con los Jefes de Departamento o los Jefes de División/Servicio, anualmente.</w:t>
      </w:r>
    </w:p>
    <w:p w14:paraId="0DB585F2" w14:textId="4E380318" w:rsidR="00B21223" w:rsidRPr="00A93F2D" w:rsidRDefault="00EB1E9E" w:rsidP="00EB1E9E">
      <w:pPr>
        <w:pStyle w:val="Headingb"/>
      </w:pPr>
      <w:r w:rsidRPr="00A93F2D">
        <w:t>Propuesta de modificación del mandato del CAIG</w:t>
      </w:r>
    </w:p>
    <w:p w14:paraId="40ED0585" w14:textId="64AE884C" w:rsidR="00B21223" w:rsidRPr="00A93F2D" w:rsidRDefault="00B21223" w:rsidP="00B21223">
      <w:r w:rsidRPr="00A93F2D">
        <w:t>2.13</w:t>
      </w:r>
      <w:r w:rsidRPr="00A93F2D">
        <w:tab/>
        <w:t>El Comité acometió la elaboración de la propuesta de modificación del mandato del CAIG, de conformidad con las disposiciones del párrafo 6 de su mandato (Anexo a la Resolución 162 (Rev.</w:t>
      </w:r>
      <w:r w:rsidR="00EB1E9E" w:rsidRPr="00A93F2D">
        <w:t> </w:t>
      </w:r>
      <w:proofErr w:type="spellStart"/>
      <w:r w:rsidRPr="00A93F2D">
        <w:t>Busán</w:t>
      </w:r>
      <w:proofErr w:type="spellEnd"/>
      <w:r w:rsidRPr="00A93F2D">
        <w:t xml:space="preserve">, 2014)). Esta propuesta la entregará el CAIG tras su próxima reunión, con objeto de que se presente con la antelación suficiente a la Reunión del Consejo 2022 para su aprobación y </w:t>
      </w:r>
      <w:r w:rsidRPr="00A93F2D">
        <w:lastRenderedPageBreak/>
        <w:t>posterior consideración por parte de los Estados Miembros en la Conferencia de Plenipotenciarios de la UIT de 2022.</w:t>
      </w:r>
    </w:p>
    <w:p w14:paraId="5FF99482" w14:textId="77777777" w:rsidR="00B21223" w:rsidRPr="00A93F2D" w:rsidRDefault="00B21223" w:rsidP="00B21223">
      <w:r w:rsidRPr="00A93F2D">
        <w:t>2.14</w:t>
      </w:r>
      <w:r w:rsidRPr="00A93F2D">
        <w:tab/>
        <w:t>Para este examen, el CAIG ha comparado su mandato con las referencias comparativas de la DCI y las prácticas óptimas de otros comités de auditoría y supervisión del sistema de las Naciones Unidas. Se están examinando las conclusiones de los siguientes Informes de la DCI relativos a la misión y responsabilidades de los comités de auditoría y supervisión:</w:t>
      </w:r>
    </w:p>
    <w:p w14:paraId="04C32D3A" w14:textId="65DB5913" w:rsidR="00B21223" w:rsidRPr="00A93F2D" w:rsidRDefault="00EB1E9E" w:rsidP="00EB1E9E">
      <w:pPr>
        <w:pStyle w:val="enumlev1"/>
      </w:pPr>
      <w:r w:rsidRPr="00A93F2D">
        <w:t>–</w:t>
      </w:r>
      <w:r w:rsidR="00B21223" w:rsidRPr="00A93F2D">
        <w:tab/>
        <w:t>Examen de los comités de auditoría y supervisión en el sistema de las Naciones Unidas (</w:t>
      </w:r>
      <w:hyperlink r:id="rId22" w:history="1">
        <w:r w:rsidR="00B21223" w:rsidRPr="00A93F2D">
          <w:rPr>
            <w:rStyle w:val="Hyperlink"/>
          </w:rPr>
          <w:t>JIU/REP/2019/6</w:t>
        </w:r>
      </w:hyperlink>
      <w:r w:rsidR="00B21223" w:rsidRPr="00A93F2D">
        <w:t>), con recomendaciones específicas sobre el mandato de los Comités, para su consideración por parte de los órganos legislativos</w:t>
      </w:r>
      <w:r w:rsidRPr="00A93F2D">
        <w:t>.</w:t>
      </w:r>
    </w:p>
    <w:p w14:paraId="4EAAB00F" w14:textId="5BA049A2" w:rsidR="00B21223" w:rsidRPr="00A93F2D" w:rsidRDefault="00EB1E9E" w:rsidP="00EB1E9E">
      <w:pPr>
        <w:pStyle w:val="enumlev1"/>
      </w:pPr>
      <w:r w:rsidRPr="00A93F2D">
        <w:t>–</w:t>
      </w:r>
      <w:r w:rsidR="00B21223" w:rsidRPr="00A93F2D">
        <w:tab/>
        <w:t>Examen del estado de la función de investigación en el sistema de las Naciones Unidas (</w:t>
      </w:r>
      <w:hyperlink r:id="rId23" w:history="1">
        <w:r w:rsidR="00B21223" w:rsidRPr="00A93F2D">
          <w:rPr>
            <w:rStyle w:val="Hyperlink"/>
          </w:rPr>
          <w:t>JIU/REP/2020/1</w:t>
        </w:r>
      </w:hyperlink>
      <w:r w:rsidR="00B21223" w:rsidRPr="00A93F2D">
        <w:t>, en particular la Recomendación N.º 6 relativa a la misión de los Comités de Auditoría y Supervisión con respecto a la función de investigación).</w:t>
      </w:r>
    </w:p>
    <w:p w14:paraId="45C5477A" w14:textId="3A0DC8B2" w:rsidR="00B21223" w:rsidRPr="00A93F2D" w:rsidRDefault="00EB1E9E" w:rsidP="00EB1E9E">
      <w:pPr>
        <w:pStyle w:val="Headingb"/>
      </w:pPr>
      <w:r w:rsidRPr="00A93F2D">
        <w:t xml:space="preserve">Situación de las recomendaciones del </w:t>
      </w:r>
      <w:r w:rsidR="00B21223" w:rsidRPr="00A93F2D">
        <w:t>CAIG</w:t>
      </w:r>
    </w:p>
    <w:p w14:paraId="3C53EAD6" w14:textId="77777777" w:rsidR="00B21223" w:rsidRPr="00A93F2D" w:rsidRDefault="00B21223" w:rsidP="00B21223">
      <w:r w:rsidRPr="00A93F2D">
        <w:t>2.15</w:t>
      </w:r>
      <w:r w:rsidRPr="00A93F2D">
        <w:tab/>
        <w:t>De conformidad con la práctica habitual, y para asistir al Consejo sobre el seguimiento de las medidas adoptadas en respuesta a las recomendaciones del CAIG, este último examinó el estado de ejecución de sus anteriores recomendaciones, de lo que se da cuenta en el Anexo 1.</w:t>
      </w:r>
    </w:p>
    <w:p w14:paraId="7A64F392" w14:textId="3588C687" w:rsidR="00B21223" w:rsidRPr="00A93F2D" w:rsidRDefault="00B21223" w:rsidP="00B21223">
      <w:r w:rsidRPr="00A93F2D">
        <w:t>2.16</w:t>
      </w:r>
      <w:r w:rsidRPr="00A93F2D">
        <w:tab/>
        <w:t xml:space="preserve">Hasta la fecha se ha aplicado el 85% de las recomendaciones del CAIG, mientras que 9 de ellas (~15%) están en curso de aplicación en la </w:t>
      </w:r>
      <w:r w:rsidR="00EB1E9E" w:rsidRPr="00A93F2D">
        <w:t>Secretaría</w:t>
      </w:r>
      <w:r w:rsidRPr="00A93F2D">
        <w:t>.</w:t>
      </w:r>
    </w:p>
    <w:p w14:paraId="13A62F45" w14:textId="592E861F" w:rsidR="00B21223" w:rsidRPr="00A93F2D" w:rsidRDefault="00A806E0" w:rsidP="00B21223">
      <w:pPr>
        <w:pStyle w:val="Heading1"/>
      </w:pPr>
      <w:r w:rsidRPr="00A93F2D">
        <w:t>3</w:t>
      </w:r>
      <w:r w:rsidRPr="00A93F2D">
        <w:tab/>
        <w:t>Liderazgo mundial y misión de la UIT en el mundo posterior a la COVID-19</w:t>
      </w:r>
    </w:p>
    <w:p w14:paraId="69701779" w14:textId="77777777" w:rsidR="00B21223" w:rsidRPr="00A93F2D" w:rsidRDefault="00B21223" w:rsidP="00B21223">
      <w:r w:rsidRPr="00A93F2D">
        <w:t>3.1</w:t>
      </w:r>
      <w:r w:rsidRPr="00A93F2D">
        <w:tab/>
        <w:t>El Comité agradeció la información recibida acerca de las repercusiones de la actual pandemia de COVID</w:t>
      </w:r>
      <w:r w:rsidRPr="00A93F2D">
        <w:noBreakHyphen/>
        <w:t>19 en el funcionamiento y las actividades de la UIT, que se recoge en un sucinto análisis preliminar donde se exponen los hechos constatados, se subrayan las experiencias adquiridas y se destacan aspectos clave que conviene considerar en el futuro.</w:t>
      </w:r>
    </w:p>
    <w:p w14:paraId="0C4159A6" w14:textId="3B8783D2" w:rsidR="00B21223" w:rsidRPr="00A93F2D" w:rsidRDefault="00B21223" w:rsidP="00B21223">
      <w:r w:rsidRPr="00A93F2D">
        <w:t>3.2</w:t>
      </w:r>
      <w:r w:rsidRPr="00A93F2D">
        <w:tab/>
        <w:t xml:space="preserve">La pandemia ha sacado a la luz la dura realidad de la brecha digital en el mundo. Como éste ya es consciente de la magnitud de la brecha digital, es de vital importancia que todos los seres humanos del planeta tenga acceso a Internet, lo que supone que el mandato de la UIT, internacionalmente reconocido, de </w:t>
      </w:r>
      <w:r w:rsidR="00A806E0" w:rsidRPr="00A93F2D">
        <w:t>"</w:t>
      </w:r>
      <w:r w:rsidRPr="00A93F2D">
        <w:t>reducir la brecha digital</w:t>
      </w:r>
      <w:r w:rsidR="00A806E0" w:rsidRPr="00A93F2D">
        <w:t>"</w:t>
      </w:r>
      <w:r w:rsidRPr="00A93F2D">
        <w:t xml:space="preserve"> haya alcanzado una pertinencia y una vigencia sin precedentes. La UIT ha liderado las iniciativas de divulgación de la narrativa de lo que hay que hacer para reducir la brecha digital. El CAIG agradece la misión de la UIT en este mundo cada vez más digital en el que vivimos y le aconseja que continúe buscando el modo de aumentar la conectividad en todo el mundo, potenciando la misión de la Unión como Campeona de la digitalización.</w:t>
      </w:r>
    </w:p>
    <w:p w14:paraId="4218DCDE" w14:textId="27A61F66" w:rsidR="00B21223" w:rsidRPr="00A93F2D" w:rsidRDefault="00A806E0" w:rsidP="00B21223">
      <w:pPr>
        <w:pStyle w:val="Heading1"/>
      </w:pPr>
      <w:r w:rsidRPr="00A93F2D">
        <w:t>4</w:t>
      </w:r>
      <w:r w:rsidRPr="00A93F2D">
        <w:tab/>
        <w:t>La gestión financiera</w:t>
      </w:r>
    </w:p>
    <w:p w14:paraId="4EDE06E4" w14:textId="06778E61" w:rsidR="00B21223" w:rsidRPr="00A93F2D" w:rsidRDefault="00B21223" w:rsidP="00B21223">
      <w:r w:rsidRPr="00A93F2D">
        <w:t>4.1</w:t>
      </w:r>
      <w:r w:rsidRPr="00A93F2D">
        <w:tab/>
        <w:t xml:space="preserve">El CAIG siguió supervisando las cuestiones financieras y debatiendo las novedades al respecto con el Departamento de Gestión de Recursos Financieros. Desde su último </w:t>
      </w:r>
      <w:r w:rsidR="00A806E0" w:rsidRPr="00A93F2D">
        <w:t xml:space="preserve">Informe </w:t>
      </w:r>
      <w:r w:rsidRPr="00A93F2D">
        <w:t>al Consejo, el Comité ha sido informado, en particular, de la elaboración del proyecto de Presupuesto para 2022-2023, de la evolución de los debates relativos a la financiación del pasivo del seguro médico después de la separación del servicio (ASHI) a escala de las Naciones Unidas, y de los riesgos financieros relacionados con la situación creada por la pandemia de COVID-19.</w:t>
      </w:r>
    </w:p>
    <w:p w14:paraId="36BB354A" w14:textId="77777777" w:rsidR="00B21223" w:rsidRPr="00A93F2D" w:rsidRDefault="00B21223" w:rsidP="00B21223">
      <w:r w:rsidRPr="00A93F2D">
        <w:lastRenderedPageBreak/>
        <w:t>4.2</w:t>
      </w:r>
      <w:r w:rsidRPr="00A93F2D">
        <w:tab/>
        <w:t>En particular, el Comité solicitó información acerca de la situación del flujo de caja de la organización, así como de las repercusiones financieras de la pandemia a más largo plazo, y destacó los riesgos asociados a la situación actual, en particular para la liquidez, así como del proceso de devolución de los equipos entregados al personal para que pudieran trabajar a distancia. Debe observarse, no obstante, que en estos momentos la dirección confirma que casi el 96% de las contribuciones adeudadas se cobraron en 2020, tendencia que se ha confirmado en 2021. Esto acalla la inquietud por el riesgo de liquidez a corto plazo.</w:t>
      </w:r>
    </w:p>
    <w:p w14:paraId="46F83744" w14:textId="77777777" w:rsidR="00B21223" w:rsidRPr="00A93F2D" w:rsidRDefault="00B21223" w:rsidP="00B21223">
      <w:r w:rsidRPr="00A93F2D">
        <w:t>4.3</w:t>
      </w:r>
      <w:r w:rsidRPr="00A93F2D">
        <w:tab/>
        <w:t>En lo tocante al tema del ASHI, el CAIG tomó nota del acuerdo de la dirección para incluir ciertas consignaciones en el presupuesto, a partir de 2022, destinadas al plan de financiación de las nuevas contrataciones.</w:t>
      </w:r>
    </w:p>
    <w:p w14:paraId="3B6D0E4F" w14:textId="77777777" w:rsidR="00B21223" w:rsidRPr="00A93F2D" w:rsidRDefault="00B21223" w:rsidP="00B21223">
      <w:r w:rsidRPr="00A93F2D">
        <w:t>4.4</w:t>
      </w:r>
      <w:r w:rsidRPr="00A93F2D">
        <w:tab/>
        <w:t>El CAIG seguirá colaborando en estos temas con el Departamento de Gestión de Recursos Financieros.</w:t>
      </w:r>
    </w:p>
    <w:p w14:paraId="61CAC809" w14:textId="668A861B" w:rsidR="00B21223" w:rsidRPr="00A93F2D" w:rsidRDefault="00A806E0" w:rsidP="00B21223">
      <w:pPr>
        <w:pStyle w:val="Heading1"/>
      </w:pPr>
      <w:r w:rsidRPr="00A93F2D">
        <w:t>5</w:t>
      </w:r>
      <w:r w:rsidRPr="00A93F2D">
        <w:tab/>
        <w:t xml:space="preserve">Auditoría </w:t>
      </w:r>
      <w:r w:rsidR="00113A8E" w:rsidRPr="00A93F2D">
        <w:t>Externa</w:t>
      </w:r>
    </w:p>
    <w:p w14:paraId="3B68EB38" w14:textId="0C572343" w:rsidR="00B21223" w:rsidRPr="00A93F2D" w:rsidRDefault="00B21223" w:rsidP="00B21223">
      <w:r w:rsidRPr="00A93F2D">
        <w:t>5.1</w:t>
      </w:r>
      <w:r w:rsidRPr="00A93F2D">
        <w:tab/>
        <w:t>El CAIG siguió reuniéndose periódicamente con el Auditor Externo (</w:t>
      </w:r>
      <w:r w:rsidRPr="00A93F2D">
        <w:rPr>
          <w:i/>
          <w:iCs/>
        </w:rPr>
        <w:t xml:space="preserve">Corte </w:t>
      </w:r>
      <w:proofErr w:type="spellStart"/>
      <w:r w:rsidRPr="00A93F2D">
        <w:rPr>
          <w:i/>
          <w:iCs/>
        </w:rPr>
        <w:t>dei</w:t>
      </w:r>
      <w:proofErr w:type="spellEnd"/>
      <w:r w:rsidRPr="00A93F2D">
        <w:rPr>
          <w:i/>
          <w:iCs/>
        </w:rPr>
        <w:t xml:space="preserve"> Conti</w:t>
      </w:r>
      <w:r w:rsidRPr="00A93F2D">
        <w:t>, Tribunal de Cuentas de Italia), tanto en sesiones privadas a puerta cerrada, como en otras en las que también participó la dirección de la UIT. En estas sesiones se debatieron a fondo con el Auditor diversos puntos y temas.</w:t>
      </w:r>
    </w:p>
    <w:p w14:paraId="4314970A" w14:textId="4360D822" w:rsidR="00B21223" w:rsidRPr="00A93F2D" w:rsidRDefault="00B21223" w:rsidP="00B21223">
      <w:r w:rsidRPr="00A93F2D">
        <w:t>5.2</w:t>
      </w:r>
      <w:r w:rsidRPr="00A93F2D">
        <w:tab/>
        <w:t xml:space="preserve">En particular, el CAIG debatió con la Corte </w:t>
      </w:r>
      <w:proofErr w:type="spellStart"/>
      <w:r w:rsidRPr="00A93F2D">
        <w:t>dei</w:t>
      </w:r>
      <w:proofErr w:type="spellEnd"/>
      <w:r w:rsidRPr="00A93F2D">
        <w:t xml:space="preserve"> Conti el seguimiento del caso de fraude detectado en una oficina regional en 2018, las medidas de seguimiento adoptadas por la Secretaría, así como los progresos registrados en la subsanación de las deficiencias que dieron lugar al dictamen de auditoría con reservas del Auditor Externo sobre los estados financieros de 2018 y 2019.</w:t>
      </w:r>
    </w:p>
    <w:p w14:paraId="07F3305B" w14:textId="77777777" w:rsidR="00B21223" w:rsidRPr="00A93F2D" w:rsidRDefault="00B21223" w:rsidP="00B21223">
      <w:r w:rsidRPr="00A93F2D">
        <w:t>5.3</w:t>
      </w:r>
      <w:r w:rsidRPr="00A93F2D">
        <w:tab/>
        <w:t xml:space="preserve">En las sesiones a puerta cerrada, el CAIG recibió, entre otras, la confirmación de su independencia por parte de la Corte </w:t>
      </w:r>
      <w:proofErr w:type="spellStart"/>
      <w:r w:rsidRPr="00A93F2D">
        <w:t>dei</w:t>
      </w:r>
      <w:proofErr w:type="spellEnd"/>
      <w:r w:rsidRPr="00A93F2D">
        <w:t xml:space="preserve"> Conti. La solicitud formaba parte de la propia diligencia debida del Comité.</w:t>
      </w:r>
    </w:p>
    <w:p w14:paraId="1792BEBF" w14:textId="03DD913C" w:rsidR="00B21223" w:rsidRPr="00A93F2D" w:rsidRDefault="00B21223" w:rsidP="00B21223">
      <w:r w:rsidRPr="00A93F2D">
        <w:t>5.4</w:t>
      </w:r>
      <w:r w:rsidRPr="00A93F2D">
        <w:tab/>
        <w:t>El CAIG tuvo la oportunidad de examinar el calendario y los temas/ámbitos del programa de trabajo del plan de auditoría propuesto para 2021, y espera recibir el Informe del Auditor Externo sobre los Estados Financieros del ejercicio 2020, lo antes posible.</w:t>
      </w:r>
    </w:p>
    <w:p w14:paraId="35418ED0" w14:textId="14449B5C" w:rsidR="00B21223" w:rsidRPr="00A93F2D" w:rsidRDefault="009C5C18" w:rsidP="00B21223">
      <w:pPr>
        <w:pStyle w:val="Heading1"/>
      </w:pPr>
      <w:r w:rsidRPr="00A93F2D">
        <w:t>6</w:t>
      </w:r>
      <w:r w:rsidRPr="00A93F2D">
        <w:tab/>
        <w:t>Auditoría Interna</w:t>
      </w:r>
    </w:p>
    <w:p w14:paraId="2F108F44" w14:textId="46BD9EF7" w:rsidR="00B21223" w:rsidRPr="00A93F2D" w:rsidRDefault="00B21223" w:rsidP="00B21223">
      <w:r w:rsidRPr="00A93F2D">
        <w:t>6.1</w:t>
      </w:r>
      <w:r w:rsidRPr="00A93F2D">
        <w:tab/>
        <w:t xml:space="preserve">El CAIG siguió asesorando y colaborando con la función de </w:t>
      </w:r>
      <w:r w:rsidR="009C5C18" w:rsidRPr="00A93F2D">
        <w:t>Auditoría Interna</w:t>
      </w:r>
      <w:r w:rsidRPr="00A93F2D">
        <w:t>.</w:t>
      </w:r>
    </w:p>
    <w:p w14:paraId="2954E50B" w14:textId="33594CA1" w:rsidR="00B21223" w:rsidRPr="00A93F2D" w:rsidRDefault="00B21223" w:rsidP="00B21223">
      <w:r w:rsidRPr="00A93F2D">
        <w:t>6.2</w:t>
      </w:r>
      <w:r w:rsidRPr="00A93F2D">
        <w:tab/>
        <w:t xml:space="preserve">El Comité recibió información periódica del Jefe de la Unidad de </w:t>
      </w:r>
      <w:r w:rsidR="009C5C18" w:rsidRPr="00A93F2D">
        <w:t xml:space="preserve">Auditoría </w:t>
      </w:r>
      <w:r w:rsidRPr="00A93F2D">
        <w:t xml:space="preserve">Interna sobre la situación de los trabajos de la </w:t>
      </w:r>
      <w:r w:rsidR="009C5C18" w:rsidRPr="00A93F2D">
        <w:t>Auditoría Interna</w:t>
      </w:r>
      <w:r w:rsidRPr="00A93F2D">
        <w:t xml:space="preserve">, el Plan de </w:t>
      </w:r>
      <w:r w:rsidR="009C5C18" w:rsidRPr="00A93F2D">
        <w:t xml:space="preserve">Auditoría </w:t>
      </w:r>
      <w:r w:rsidRPr="00A93F2D">
        <w:t>Interna para 2021 y el ejercicio de Auditoría Forense llevado a cabo por PWC.</w:t>
      </w:r>
    </w:p>
    <w:p w14:paraId="38E39975" w14:textId="7D2FF1B9" w:rsidR="00B21223" w:rsidRPr="00A93F2D" w:rsidRDefault="00B21223" w:rsidP="00B21223">
      <w:r w:rsidRPr="00A93F2D">
        <w:t>6.3</w:t>
      </w:r>
      <w:r w:rsidRPr="00A93F2D">
        <w:tab/>
        <w:t>El CAIG ya había recomendado al Consejo, en su Informe Anual de 2020, el refuerzo sustancial de la Unidad de Auditoría Interna en cuanto a recursos, cobertura y adecuación de los procesos.</w:t>
      </w:r>
    </w:p>
    <w:p w14:paraId="0E82FBC4" w14:textId="2E2C867B" w:rsidR="00B21223" w:rsidRPr="00A93F2D" w:rsidRDefault="00B21223" w:rsidP="009C5C18">
      <w:pPr>
        <w:keepNext/>
        <w:keepLines/>
      </w:pPr>
      <w:r w:rsidRPr="00A93F2D">
        <w:lastRenderedPageBreak/>
        <w:t>6.4</w:t>
      </w:r>
      <w:r w:rsidRPr="00A93F2D">
        <w:tab/>
        <w:t xml:space="preserve">Por ello, el Comité valora positivamente el refuerzo de los recursos de la Unidad de Auditoría Interna con la creación de un puesto de Auditor </w:t>
      </w:r>
      <w:r w:rsidR="009C5C18" w:rsidRPr="00A93F2D">
        <w:t xml:space="preserve">Interno </w:t>
      </w:r>
      <w:r w:rsidRPr="00A93F2D">
        <w:t>principal en sustitución del puesto del auxiliar de Auditoría jubilado. El CAIG espera que este puesto se ocupe en breve, para poder dedicar más atención a la labor de auditoría directa. Por consiguiente, el Comité seguirá supervisando el progreso de la aplicación de su recomendación sobre esta cuestión.</w:t>
      </w:r>
    </w:p>
    <w:p w14:paraId="52015502" w14:textId="04AB5DAC" w:rsidR="00B21223" w:rsidRPr="00A93F2D" w:rsidRDefault="00B21223" w:rsidP="00B21223">
      <w:r w:rsidRPr="00A93F2D">
        <w:t>6.5</w:t>
      </w:r>
      <w:r w:rsidRPr="00A93F2D">
        <w:tab/>
        <w:t>El CAIG se interesó además por el proceso seguido en la elaboración del Plan de Auditoría. El</w:t>
      </w:r>
      <w:r w:rsidR="009C5C18" w:rsidRPr="00A93F2D">
        <w:t> </w:t>
      </w:r>
      <w:r w:rsidRPr="00A93F2D">
        <w:t>Comité aconsejó que, para elaborar el Plan de Auditoría, se siga adoptando un planteamiento de auditoría basado en el riesgo, que conlleva la evaluación de los riesgos en el universo de la auditoría interna, garantizando la cobertura de auditoría de los ámbitos de riesgo clave durante un período de tiempo (por ejemplo, de 3 a 5 años). El CAIG sugiere que los trabajos de conformidad y asesoramiento se basen en la evaluación del riesgo y en necesidades de supervisión específicas, y que los trabajos de auditoría directa sigan siendo el objetivo principal en la determinación y ejecución del programa de trabajo.</w:t>
      </w:r>
    </w:p>
    <w:p w14:paraId="18272085" w14:textId="3BDD26F6" w:rsidR="00B21223" w:rsidRPr="00A93F2D" w:rsidRDefault="00B21223" w:rsidP="00B21223">
      <w:r w:rsidRPr="00A93F2D">
        <w:t>6.6</w:t>
      </w:r>
      <w:r w:rsidRPr="00A93F2D">
        <w:tab/>
        <w:t xml:space="preserve">En su 8º Informe Anual a la reunión de 2019 del Consejo, el CAIG destacó que la </w:t>
      </w:r>
      <w:r w:rsidR="009C5C18" w:rsidRPr="00A93F2D">
        <w:t xml:space="preserve">Secretaría </w:t>
      </w:r>
      <w:r w:rsidRPr="00A93F2D">
        <w:t xml:space="preserve">había denegado la solicitud de una copia del informe de investigación completo y de todos los documentos pertinentes al caso de fraude detectado una oficina regional, que hubieran permitido al CAIG cumplir sus responsabilidades con arreglo a la Resolución 162 (Rev. </w:t>
      </w:r>
      <w:proofErr w:type="spellStart"/>
      <w:r w:rsidRPr="00A93F2D">
        <w:t>Busán</w:t>
      </w:r>
      <w:proofErr w:type="spellEnd"/>
      <w:r w:rsidRPr="00A93F2D">
        <w:t>, 2014), de asesorar al Consejo acerca de la eficacia de los sistemas de control interno de la UIT. Finalmente, el CAIG recibió una versión expurgada de dicho informe de investigación, unos 14 meses después de haberse detectado el fraude.</w:t>
      </w:r>
    </w:p>
    <w:p w14:paraId="30174C49" w14:textId="5DD1274A" w:rsidR="00B21223" w:rsidRPr="00A93F2D" w:rsidRDefault="00B21223" w:rsidP="00B21223">
      <w:r w:rsidRPr="00A93F2D">
        <w:t>6.7</w:t>
      </w:r>
      <w:r w:rsidRPr="00A93F2D">
        <w:tab/>
        <w:t>El Comité agradece las medidas adoptadas por la secretaría para mejorar el proceso de entrega de información a tiempo, lo que permitirá al CAIG cumplir sus responsabilidades, respetando el marco jurídico de la UIT.</w:t>
      </w:r>
    </w:p>
    <w:p w14:paraId="1FA0FCF5" w14:textId="0BDA35CC" w:rsidR="00B21223" w:rsidRPr="00A93F2D" w:rsidRDefault="00E80F85" w:rsidP="00B21223">
      <w:pPr>
        <w:pStyle w:val="Heading1"/>
      </w:pPr>
      <w:r w:rsidRPr="00A93F2D">
        <w:t>7</w:t>
      </w:r>
      <w:r w:rsidRPr="00A93F2D">
        <w:tab/>
        <w:t>Medidas de seguimiento del caso de fraude en una oficina regional/Grupo de trabajo encargado de los controles internos</w:t>
      </w:r>
    </w:p>
    <w:p w14:paraId="7E14F8F3" w14:textId="6F088F0C" w:rsidR="00B21223" w:rsidRPr="00A93F2D" w:rsidRDefault="00B21223" w:rsidP="00B21223">
      <w:r w:rsidRPr="00A93F2D">
        <w:t>7.1</w:t>
      </w:r>
      <w:r w:rsidRPr="00A93F2D">
        <w:tab/>
        <w:t xml:space="preserve">El Comité continuó recibiendo informes detallados del Presidente del Grupo de </w:t>
      </w:r>
      <w:r w:rsidR="00E80F85" w:rsidRPr="00A93F2D">
        <w:t xml:space="preserve">trabajo </w:t>
      </w:r>
      <w:r w:rsidRPr="00A93F2D">
        <w:t xml:space="preserve">encargado de los </w:t>
      </w:r>
      <w:r w:rsidR="00E80F85" w:rsidRPr="00A93F2D">
        <w:t>controles internos</w:t>
      </w:r>
      <w:r w:rsidRPr="00A93F2D">
        <w:t>, de la Directora de la BDT, y del equipo de alta dirección que compone dicho Grupo, sobre todas las medidas de seguimiento del caso de fraude detectado en una oficina regional.</w:t>
      </w:r>
    </w:p>
    <w:p w14:paraId="059F7A17" w14:textId="4B3C27D6" w:rsidR="00B21223" w:rsidRPr="00A93F2D" w:rsidRDefault="00B21223" w:rsidP="00B21223">
      <w:r w:rsidRPr="00A93F2D">
        <w:t>7.2</w:t>
      </w:r>
      <w:r w:rsidRPr="00A93F2D">
        <w:tab/>
        <w:t xml:space="preserve">El CAIG reiteró su agradecimiento al Grupo por el plan presentado, por la importante movilización de recursos de las distintas entidades de la </w:t>
      </w:r>
      <w:r w:rsidR="00E80F85" w:rsidRPr="00A93F2D">
        <w:t xml:space="preserve">Secretaría </w:t>
      </w:r>
      <w:r w:rsidRPr="00A93F2D">
        <w:t>en apoyo de la ingente cantidad de trabajo, y por el acierto de las medidas adoptadas.</w:t>
      </w:r>
    </w:p>
    <w:p w14:paraId="521B88EA" w14:textId="59B3366F" w:rsidR="00B21223" w:rsidRPr="00A93F2D" w:rsidRDefault="00B21223" w:rsidP="00B21223">
      <w:r w:rsidRPr="00A93F2D">
        <w:t>7.3</w:t>
      </w:r>
      <w:r w:rsidRPr="00A93F2D">
        <w:tab/>
        <w:t>El Comité manifestó su agrado por el notable progreso de la reforma de los controles internos en toda la organización, su implantación en la Oficina de Desarrollo de las Telecomunicaciones y en el ámbito regional, y su implementación en toda la organización: desde el refuerzo de los procedimientos de control interno de la BDT (mayor control de las becas, planes de viaje, control de los trabajos de los consultores, refuerzo de los procedimientos de viaje, aumento de la supervisión a nivel de proyecto y constitución de la Junta de Proyectos de la BDT, para la gestión de los activos de los proyectos), hasta la depuración de los procedimientos financieros y de adquisición (nuevos trámites de adquisición para los pedidos inferiores a 20 000</w:t>
      </w:r>
      <w:r w:rsidR="00E80F85" w:rsidRPr="00A93F2D">
        <w:t> </w:t>
      </w:r>
      <w:r w:rsidRPr="00A93F2D">
        <w:t xml:space="preserve">CHF, manual de adquisiciones, supervisión de los importes acumulados de los pedidos por proveedor, mayor control de la caja menor, gestión de las cuentas bancarias y del efectivo en las Oficinas Regionales/Zonales de la UIT), y establecimiento de medidas en materia de gobernanza, </w:t>
      </w:r>
      <w:r w:rsidRPr="00A93F2D">
        <w:lastRenderedPageBreak/>
        <w:t>ética y detección del fraude (Política contra el fraude, la corrupción y otras prácticas prohibidas, Directrices de investigación, Disposiciones relativas al debido proceso en caso de fraude en los acuerdos de proyectos, Inspección de los proyectos de las Oficinas Regionales, refuerzo de las políticas de patrocinio, orden de servicio de protección de los denunciantes, mayor transparencia financiera, y política de movilidad del personal).</w:t>
      </w:r>
    </w:p>
    <w:p w14:paraId="05605A91" w14:textId="3159B64B" w:rsidR="00B21223" w:rsidRPr="00A93F2D" w:rsidRDefault="00B21223" w:rsidP="00B21223">
      <w:r w:rsidRPr="00A93F2D">
        <w:t>7.4</w:t>
      </w:r>
      <w:r w:rsidRPr="00A93F2D">
        <w:tab/>
        <w:t>El CAIG elogia la implicación de la alta dirección en todo el proceso y observa las mejoras resultantes de los trabajos realizados y los controles implementados.</w:t>
      </w:r>
    </w:p>
    <w:p w14:paraId="5C7F332F" w14:textId="01A1A593" w:rsidR="00B21223" w:rsidRPr="00A93F2D" w:rsidRDefault="00B21223" w:rsidP="00B21223">
      <w:r w:rsidRPr="00A93F2D">
        <w:t>7.5</w:t>
      </w:r>
      <w:r w:rsidRPr="00A93F2D">
        <w:tab/>
        <w:t>El CAIG observa que los resultados de este trabajo suponen un paso importante hacia el cierre del caso y la subsanación de las deficiencias previamente identificadas, y anima a la dirección a completar con rapidez la ejecución de las pocas medidas correctivas pendientes y en curso.</w:t>
      </w:r>
    </w:p>
    <w:p w14:paraId="7A57A6B8" w14:textId="77D7B423" w:rsidR="00B21223" w:rsidRPr="00A93F2D" w:rsidRDefault="00E80F85" w:rsidP="00B21223">
      <w:pPr>
        <w:pStyle w:val="Heading1"/>
      </w:pPr>
      <w:r w:rsidRPr="00A93F2D">
        <w:t>8</w:t>
      </w:r>
      <w:r w:rsidRPr="00A93F2D">
        <w:tab/>
        <w:t>Seguimiento de la revisión de la presencia regional</w:t>
      </w:r>
    </w:p>
    <w:p w14:paraId="0FA3E7DE" w14:textId="6143D079" w:rsidR="00B21223" w:rsidRPr="00A93F2D" w:rsidRDefault="00B21223" w:rsidP="00B21223">
      <w:r w:rsidRPr="00A93F2D">
        <w:t>8.1</w:t>
      </w:r>
      <w:r w:rsidRPr="00A93F2D">
        <w:tab/>
        <w:t xml:space="preserve">El CAIG participó en sesiones informativas de amplio alcance organizadas por la Directora de la BDT y su Director Adjunto sobre las recomendaciones formuladas por PWC en el marco del Examen de la </w:t>
      </w:r>
      <w:r w:rsidR="00F1093C" w:rsidRPr="00A93F2D">
        <w:t xml:space="preserve">presencia regional </w:t>
      </w:r>
      <w:r w:rsidRPr="00A93F2D">
        <w:t>de la UIT.</w:t>
      </w:r>
    </w:p>
    <w:p w14:paraId="1E02EF6A" w14:textId="291D39EC" w:rsidR="00B21223" w:rsidRPr="00A93F2D" w:rsidRDefault="00B21223" w:rsidP="00B21223">
      <w:r w:rsidRPr="00A93F2D">
        <w:t>8.2</w:t>
      </w:r>
      <w:r w:rsidRPr="00A93F2D">
        <w:tab/>
        <w:t xml:space="preserve">El Comité agradece la decisión de crear el Grupo </w:t>
      </w:r>
      <w:r w:rsidR="00F1093C" w:rsidRPr="00A93F2D">
        <w:t xml:space="preserve">ad hoc </w:t>
      </w:r>
      <w:r w:rsidRPr="00A93F2D">
        <w:t xml:space="preserve">del GTC-RHF para que se ocupe del importante tema de la </w:t>
      </w:r>
      <w:r w:rsidR="00F1093C" w:rsidRPr="00A93F2D">
        <w:t xml:space="preserve">presencia regional </w:t>
      </w:r>
      <w:r w:rsidRPr="00A93F2D">
        <w:t xml:space="preserve">de la UIT. El CAIG examinó el mandato del Grupo </w:t>
      </w:r>
      <w:r w:rsidR="00F1093C" w:rsidRPr="00A93F2D">
        <w:t xml:space="preserve">ad hoc </w:t>
      </w:r>
      <w:r w:rsidRPr="00A93F2D">
        <w:t>y analizó los trabajos del Grupo.</w:t>
      </w:r>
    </w:p>
    <w:p w14:paraId="71A77F16" w14:textId="507EBCC9" w:rsidR="00B21223" w:rsidRPr="00A93F2D" w:rsidRDefault="00B21223" w:rsidP="00B21223">
      <w:r w:rsidRPr="00A93F2D">
        <w:t>8.3</w:t>
      </w:r>
      <w:r w:rsidRPr="00A93F2D">
        <w:tab/>
        <w:t xml:space="preserve">El CAIG hubiera preferido que el </w:t>
      </w:r>
      <w:r w:rsidR="00F1093C" w:rsidRPr="00A93F2D">
        <w:t xml:space="preserve">Informe </w:t>
      </w:r>
      <w:r w:rsidRPr="00A93F2D">
        <w:t>de PWC se hubiera centrado más en un planteamiento estratégico y en ofrecer respuestas conceptuales a las preguntas sobre la misión, la eficacia y la eficiencia de la presencia regional de la UIT.</w:t>
      </w:r>
    </w:p>
    <w:p w14:paraId="41C35711" w14:textId="19B15B11" w:rsidR="00B21223" w:rsidRPr="00A93F2D" w:rsidRDefault="00B21223" w:rsidP="00B21223">
      <w:r w:rsidRPr="00A93F2D">
        <w:t>8.4</w:t>
      </w:r>
      <w:r w:rsidRPr="00A93F2D">
        <w:tab/>
        <w:t>El Comité agradeció el planteamiento de la dirección y el establecimiento de un mecanismo interno para responder con rapidez a recomendaciones específicas, que apoyan y refuerzan el programa de reforma de la UIT.</w:t>
      </w:r>
    </w:p>
    <w:p w14:paraId="7DF00C8D" w14:textId="04750E47" w:rsidR="00B21223" w:rsidRPr="00A93F2D" w:rsidRDefault="00B21223" w:rsidP="00B21223">
      <w:r w:rsidRPr="00A93F2D">
        <w:t>8.5</w:t>
      </w:r>
      <w:r w:rsidRPr="00A93F2D">
        <w:tab/>
        <w:t xml:space="preserve">El CAIG agradece pues que el Grupo </w:t>
      </w:r>
      <w:r w:rsidR="00F1093C" w:rsidRPr="00A93F2D">
        <w:t xml:space="preserve">ad hoc </w:t>
      </w:r>
      <w:r w:rsidRPr="00A93F2D">
        <w:t xml:space="preserve">del GTC-RHF estudie principalmente los problemas estratégicos de la presencia regional de la UIT para mejorar el cumplimiento del mandato de la UIT en todo el mundo. Dada la importancia del tema, el CAIG anima al Grupo </w:t>
      </w:r>
      <w:r w:rsidR="00F1093C" w:rsidRPr="00A93F2D">
        <w:t xml:space="preserve">ad hoc </w:t>
      </w:r>
      <w:r w:rsidRPr="00A93F2D">
        <w:t>a adoptar decisiones ambiciosas, a pesar de las repercusiones financieras que puedan tener.</w:t>
      </w:r>
    </w:p>
    <w:p w14:paraId="7D1E7435" w14:textId="0098E425" w:rsidR="00B21223" w:rsidRPr="00A93F2D" w:rsidRDefault="00B21223" w:rsidP="00B21223">
      <w:r w:rsidRPr="00A93F2D">
        <w:t>8.6</w:t>
      </w:r>
      <w:r w:rsidRPr="00A93F2D">
        <w:tab/>
        <w:t>Por ello, el CAIG desea invitar al Consejo a que se comprometa con el proceso y examine este tema no sólo desde una perspectiva financiera y del costo, sino también con un planteamiento estratégico, a fin de adoptar los oportunos acuerdos pendientes que proporcionen una orientación estratégica a la Secretaría y faciliten la implementación eficaz de las recomendaciones que mejorarán y modernizarán la presencia regional de la UIT.</w:t>
      </w:r>
    </w:p>
    <w:p w14:paraId="145D002E" w14:textId="50D18243" w:rsidR="00B21223" w:rsidRPr="00A93F2D" w:rsidRDefault="00F1093C" w:rsidP="00B21223">
      <w:pPr>
        <w:pStyle w:val="Heading1"/>
      </w:pPr>
      <w:r w:rsidRPr="00A93F2D">
        <w:t>9</w:t>
      </w:r>
      <w:r w:rsidRPr="00A93F2D">
        <w:tab/>
        <w:t>El proyecto de construcción de la Sede de la UIT</w:t>
      </w:r>
    </w:p>
    <w:p w14:paraId="4EDC9FFB" w14:textId="77777777" w:rsidR="00B21223" w:rsidRPr="00A93F2D" w:rsidRDefault="00B21223" w:rsidP="00B21223">
      <w:r w:rsidRPr="00A93F2D">
        <w:t>9.1</w:t>
      </w:r>
      <w:r w:rsidRPr="00A93F2D">
        <w:tab/>
        <w:t>El CAIG siguió recibiendo periódicamente información del Jefe de la División de Gestión de Instalaciones y del Proyecto del Edificio sobre el avance y la evolución del proyecto de construcción de la Sede de la UIT.</w:t>
      </w:r>
    </w:p>
    <w:p w14:paraId="00F22DAA" w14:textId="0D4A9092" w:rsidR="00B21223" w:rsidRPr="00A93F2D" w:rsidRDefault="00B21223" w:rsidP="00B21223">
      <w:r w:rsidRPr="00A93F2D">
        <w:t>9.2</w:t>
      </w:r>
      <w:r w:rsidRPr="00A93F2D">
        <w:tab/>
        <w:t>El CAIG se complace en constatar el control del que ha sido objeto la ejecución de este proyecto hasta el momento, y que se ha completado el paquete de financiación.</w:t>
      </w:r>
    </w:p>
    <w:p w14:paraId="65CE7F30" w14:textId="77777777" w:rsidR="00B21223" w:rsidRPr="00A93F2D" w:rsidRDefault="00B21223" w:rsidP="00B21223">
      <w:r w:rsidRPr="00A93F2D">
        <w:lastRenderedPageBreak/>
        <w:t>9.3</w:t>
      </w:r>
      <w:r w:rsidRPr="00A93F2D">
        <w:tab/>
        <w:t>El CAIG seguirá supervisando el progreso de este proyecto, por su importancia y los elevados riesgos que conlleva.</w:t>
      </w:r>
    </w:p>
    <w:p w14:paraId="3DF249A1" w14:textId="4B27F1EF" w:rsidR="00B21223" w:rsidRPr="00A93F2D" w:rsidRDefault="000E7E45" w:rsidP="00B21223">
      <w:pPr>
        <w:pStyle w:val="Heading1"/>
      </w:pPr>
      <w:r w:rsidRPr="00A93F2D">
        <w:t>10</w:t>
      </w:r>
      <w:r w:rsidRPr="00A93F2D">
        <w:tab/>
        <w:t>La iniciativa de la transformación digital</w:t>
      </w:r>
    </w:p>
    <w:p w14:paraId="12FF67BA" w14:textId="4C525318" w:rsidR="00B21223" w:rsidRPr="00A93F2D" w:rsidRDefault="00B21223" w:rsidP="00B21223">
      <w:r w:rsidRPr="00A93F2D">
        <w:t>10.1</w:t>
      </w:r>
      <w:r w:rsidRPr="00A93F2D">
        <w:tab/>
        <w:t xml:space="preserve">El Comité recibió una amplia información del Vicesecretario </w:t>
      </w:r>
      <w:r w:rsidR="000E7E45" w:rsidRPr="00A93F2D">
        <w:t xml:space="preserve">General </w:t>
      </w:r>
      <w:r w:rsidRPr="00A93F2D">
        <w:t xml:space="preserve">sobre la Iniciativa de </w:t>
      </w:r>
      <w:r w:rsidR="000E7E45" w:rsidRPr="00A93F2D">
        <w:t>transformación digital</w:t>
      </w:r>
      <w:r w:rsidRPr="00A93F2D">
        <w:t xml:space="preserve">, que se estableció como un proyecto general para ejecutarlo con arreglo a un planteamiento por fases según prioridades de </w:t>
      </w:r>
      <w:r w:rsidR="000E7E45" w:rsidRPr="00A93F2D">
        <w:t>"</w:t>
      </w:r>
      <w:r w:rsidRPr="00A93F2D">
        <w:t>lo que hay que transformar</w:t>
      </w:r>
      <w:r w:rsidR="000E7E45" w:rsidRPr="00A93F2D">
        <w:t>"</w:t>
      </w:r>
      <w:r w:rsidRPr="00A93F2D">
        <w:t xml:space="preserve"> para determinar posteriormente </w:t>
      </w:r>
      <w:r w:rsidR="000E7E45" w:rsidRPr="00A93F2D">
        <w:t>"</w:t>
      </w:r>
      <w:r w:rsidRPr="00A93F2D">
        <w:t>cómo transformarlo</w:t>
      </w:r>
      <w:r w:rsidR="000E7E45" w:rsidRPr="00A93F2D">
        <w:t>"</w:t>
      </w:r>
      <w:r w:rsidRPr="00A93F2D">
        <w:t>.</w:t>
      </w:r>
    </w:p>
    <w:p w14:paraId="6B3B13EC" w14:textId="7D29EC11" w:rsidR="00B21223" w:rsidRPr="00A93F2D" w:rsidRDefault="00B21223" w:rsidP="00B21223">
      <w:r w:rsidRPr="00A93F2D">
        <w:t>10.2</w:t>
      </w:r>
      <w:r w:rsidRPr="00A93F2D">
        <w:tab/>
        <w:t>El CAIG también manifestó su firme apoyo al reconocimiento de la necesidad de que la UIT sea quien lidere este ámbito en el marco del sistema de las Naciones Unidas. El Comité observó que la transformación digital debe ser un proceso continuo y obedecer a un planteamiento constante de la UIT, y destacó la importancia de que implique a toda la organización.</w:t>
      </w:r>
    </w:p>
    <w:p w14:paraId="54783E44" w14:textId="42B38CB6" w:rsidR="00B21223" w:rsidRPr="00A93F2D" w:rsidRDefault="00B21223" w:rsidP="00CC6F26">
      <w:pPr>
        <w:spacing w:after="240"/>
      </w:pPr>
      <w:r w:rsidRPr="00A93F2D">
        <w:t>10.3</w:t>
      </w:r>
      <w:r w:rsidRPr="00A93F2D">
        <w:tab/>
        <w:t>El Comité subrayó cómo está contribuyendo la transformación digital al concepto de "Una UIT", y aconsejó que se asignen recursos específicos a esta iniciativa.</w:t>
      </w:r>
    </w:p>
    <w:tbl>
      <w:tblPr>
        <w:tblStyle w:val="TableGrid"/>
        <w:tblW w:w="0" w:type="auto"/>
        <w:tblLook w:val="04A0" w:firstRow="1" w:lastRow="0" w:firstColumn="1" w:lastColumn="0" w:noHBand="0" w:noVBand="1"/>
      </w:tblPr>
      <w:tblGrid>
        <w:gridCol w:w="9629"/>
      </w:tblGrid>
      <w:tr w:rsidR="00CC6F26" w:rsidRPr="00A93F2D" w14:paraId="3DF53FDF" w14:textId="77777777" w:rsidTr="00266F41">
        <w:tc>
          <w:tcPr>
            <w:tcW w:w="9629" w:type="dxa"/>
          </w:tcPr>
          <w:p w14:paraId="0197F742" w14:textId="69C891CA" w:rsidR="00CC6F26" w:rsidRPr="00A93F2D" w:rsidRDefault="00CC6F26" w:rsidP="00CC6F26">
            <w:pPr>
              <w:spacing w:after="120"/>
            </w:pPr>
            <w:r w:rsidRPr="00A93F2D">
              <w:rPr>
                <w:b/>
                <w:bCs/>
              </w:rPr>
              <w:t>Recomendación 1 (2021)</w:t>
            </w:r>
            <w:r w:rsidRPr="00A93F2D">
              <w:t>: El CAIG recomienda que la UIT lleve adelante la iniciativa de transformación digital y alienta a la UIT a movilizar recursos para el éxito de su esfuerzo por convertirse en un líder en este ámbito del sistema de las Naciones Unidas, y a servir de ejemplo para otros organismos.</w:t>
            </w:r>
          </w:p>
        </w:tc>
      </w:tr>
    </w:tbl>
    <w:p w14:paraId="3B370606" w14:textId="210D2849" w:rsidR="00B21223" w:rsidRPr="00A93F2D" w:rsidRDefault="00D51E4C" w:rsidP="00B21223">
      <w:pPr>
        <w:pStyle w:val="Heading1"/>
      </w:pPr>
      <w:r w:rsidRPr="00A93F2D">
        <w:t>11</w:t>
      </w:r>
      <w:r w:rsidRPr="00A93F2D">
        <w:tab/>
        <w:t>La Oficina de Ética</w:t>
      </w:r>
    </w:p>
    <w:p w14:paraId="48EEE733" w14:textId="77D77BCC" w:rsidR="00B21223" w:rsidRPr="00A93F2D" w:rsidRDefault="00B21223" w:rsidP="00B21223">
      <w:r w:rsidRPr="00A93F2D">
        <w:t>1</w:t>
      </w:r>
      <w:r w:rsidR="00D51E4C" w:rsidRPr="00A93F2D">
        <w:t>1</w:t>
      </w:r>
      <w:r w:rsidRPr="00A93F2D">
        <w:t>.1</w:t>
      </w:r>
      <w:r w:rsidRPr="00A93F2D">
        <w:tab/>
        <w:t>El CAIG siguió colaborando con el Oficial de Ética, recibiendo periódicamente información de éste, y debatiendo las novedades y el progreso de los trabajos. Entre los temas tratados figuran la gestión de las declaraciones de situación financiera de todo el personal, la misión de la Oficina de Ética en materia de examen preliminar de las denuncias de conducta impropia, el planteamiento de fortalecimiento de los marcos y de agilización del proceso de presentación de informes, las actividades de formación en curso y la nueva política de denuncia de irregularidades.</w:t>
      </w:r>
    </w:p>
    <w:p w14:paraId="10287343" w14:textId="614D31C6" w:rsidR="00B21223" w:rsidRPr="00A93F2D" w:rsidRDefault="00B21223" w:rsidP="00B21223">
      <w:r w:rsidRPr="00A93F2D">
        <w:t>1</w:t>
      </w:r>
      <w:r w:rsidR="00D51E4C" w:rsidRPr="00A93F2D">
        <w:t>1</w:t>
      </w:r>
      <w:r w:rsidRPr="00A93F2D">
        <w:t>.2</w:t>
      </w:r>
      <w:r w:rsidRPr="00A93F2D">
        <w:tab/>
        <w:t>El Comité agradeció a la Oficina sus trabajos y ofreció su asesoramiento sobre la carga de trabajo que conlleva la tramitación de las declaraciones de situación financiera.</w:t>
      </w:r>
    </w:p>
    <w:p w14:paraId="7ADA7BBF" w14:textId="71BEE066" w:rsidR="00B21223" w:rsidRPr="00A93F2D" w:rsidRDefault="00B21223" w:rsidP="00B21223">
      <w:r w:rsidRPr="00A93F2D">
        <w:t>1</w:t>
      </w:r>
      <w:r w:rsidR="00D51E4C" w:rsidRPr="00A93F2D">
        <w:t>1</w:t>
      </w:r>
      <w:r w:rsidRPr="00A93F2D">
        <w:t>.3</w:t>
      </w:r>
      <w:r w:rsidRPr="00A93F2D">
        <w:tab/>
        <w:t>El CAIG planteó una serie de preguntas sobre la misión de la Oficina de Ética en cuanto al examen preliminar de las denuncias presentadas, en términos de recursos disponibles para el trabajo normal de ética, y las actividades de supervisión y seguimiento.</w:t>
      </w:r>
    </w:p>
    <w:p w14:paraId="2ACA473F" w14:textId="400A99E6" w:rsidR="00B21223" w:rsidRPr="00A93F2D" w:rsidRDefault="00B21223" w:rsidP="00B21223">
      <w:r w:rsidRPr="00A93F2D">
        <w:t>1</w:t>
      </w:r>
      <w:r w:rsidR="00D51E4C" w:rsidRPr="00A93F2D">
        <w:t>1</w:t>
      </w:r>
      <w:r w:rsidRPr="00A93F2D">
        <w:t>.4</w:t>
      </w:r>
      <w:r w:rsidRPr="00A93F2D">
        <w:tab/>
        <w:t>El Comité reitera la importancia de la función de Ética y espera que los recursos proporcionados sigan siendo adecuados para apoyar el programa de trabajo de la oficina de Ética en toda su extensión.</w:t>
      </w:r>
    </w:p>
    <w:p w14:paraId="2D1C1547" w14:textId="3A3D0896" w:rsidR="00B21223" w:rsidRPr="00A93F2D" w:rsidRDefault="00D51E4C" w:rsidP="00B21223">
      <w:pPr>
        <w:pStyle w:val="Heading1"/>
      </w:pPr>
      <w:r w:rsidRPr="00A93F2D">
        <w:t>12</w:t>
      </w:r>
      <w:r w:rsidRPr="00A93F2D">
        <w:tab/>
        <w:t>La función de investigación</w:t>
      </w:r>
    </w:p>
    <w:p w14:paraId="29691305" w14:textId="786B1B7E" w:rsidR="00B21223" w:rsidRPr="00A93F2D" w:rsidRDefault="00B21223" w:rsidP="00B21223">
      <w:r w:rsidRPr="00A93F2D">
        <w:t>12.1</w:t>
      </w:r>
      <w:r w:rsidRPr="00A93F2D">
        <w:tab/>
        <w:t>En su 9º Informe Anual al Consejo 2020, el Comité señaló como cuestión prioritaria la necesidad de contar con un recurso dedicado a la investigación. El CAIG agradece la creación de este puesto y espera que se ocupe lo antes posible y desempeñe todas las funciones que le competen.</w:t>
      </w:r>
    </w:p>
    <w:p w14:paraId="3F0B7292" w14:textId="264E782A" w:rsidR="00B21223" w:rsidRPr="00A93F2D" w:rsidRDefault="00D51E4C" w:rsidP="00B21223">
      <w:pPr>
        <w:pStyle w:val="Heading1"/>
      </w:pPr>
      <w:r w:rsidRPr="00A93F2D">
        <w:lastRenderedPageBreak/>
        <w:t>13</w:t>
      </w:r>
      <w:r w:rsidRPr="00A93F2D">
        <w:tab/>
        <w:t>La gestión del riesgo y el tablero de control del cumplimiento de la UIT</w:t>
      </w:r>
    </w:p>
    <w:p w14:paraId="35371704" w14:textId="77777777" w:rsidR="00B21223" w:rsidRPr="00A93F2D" w:rsidRDefault="00B21223" w:rsidP="00B21223">
      <w:r w:rsidRPr="00A93F2D">
        <w:t>13.1</w:t>
      </w:r>
      <w:r w:rsidRPr="00A93F2D">
        <w:tab/>
        <w:t>El CAIG continuó siguiendo de cerca la evolución de los acuerdos de gestión del riesgo de la UIT y la aplicación del plan de acción para reforzarlos.</w:t>
      </w:r>
    </w:p>
    <w:p w14:paraId="1D7AD556" w14:textId="10F09404" w:rsidR="00B21223" w:rsidRPr="00A93F2D" w:rsidRDefault="00B21223" w:rsidP="00B21223">
      <w:r w:rsidRPr="00A93F2D">
        <w:t>13.2</w:t>
      </w:r>
      <w:r w:rsidRPr="00A93F2D">
        <w:tab/>
        <w:t>El Comité agradeció los avances y la conclusión del plan de acción, y destacó la necesidad de que el registro de riesgos y los tableros de control de riesgos sean utilizados por una masa crítica dentro de la organización, que se supervisen activamente y que no se conviertan en una herramienta estática.</w:t>
      </w:r>
    </w:p>
    <w:p w14:paraId="0C5718C4" w14:textId="264A717D" w:rsidR="00B21223" w:rsidRPr="00A93F2D" w:rsidRDefault="00B21223" w:rsidP="00B21223">
      <w:r w:rsidRPr="00A93F2D">
        <w:t>13.3</w:t>
      </w:r>
      <w:r w:rsidRPr="00A93F2D">
        <w:tab/>
        <w:t xml:space="preserve">El Comité también tomó nota del desarrollo del </w:t>
      </w:r>
      <w:r w:rsidR="00D51E4C" w:rsidRPr="00A93F2D">
        <w:t xml:space="preserve">tablero </w:t>
      </w:r>
      <w:r w:rsidRPr="00A93F2D">
        <w:t xml:space="preserve">de </w:t>
      </w:r>
      <w:r w:rsidR="00D51E4C" w:rsidRPr="00A93F2D">
        <w:t xml:space="preserve">control </w:t>
      </w:r>
      <w:r w:rsidRPr="00A93F2D">
        <w:t xml:space="preserve">del </w:t>
      </w:r>
      <w:r w:rsidR="00D51E4C" w:rsidRPr="00A93F2D">
        <w:t xml:space="preserve">cumplimiento </w:t>
      </w:r>
      <w:r w:rsidRPr="00A93F2D">
        <w:t>de la UIT. El CAIG agradeció el desarrollo de esta herramienta y destacó la importancia de que todos los directivos la asuman como propia y la acepten para convertirla en una herramienta práctica. El</w:t>
      </w:r>
      <w:r w:rsidR="00D51E4C" w:rsidRPr="00A93F2D">
        <w:t> </w:t>
      </w:r>
      <w:r w:rsidRPr="00A93F2D">
        <w:t>Comité propuso que se evalúe esta herramienta en el plazo de un año.</w:t>
      </w:r>
    </w:p>
    <w:p w14:paraId="1C944E21" w14:textId="75E36509" w:rsidR="00B21223" w:rsidRPr="00A93F2D" w:rsidRDefault="00D51E4C" w:rsidP="00B21223">
      <w:pPr>
        <w:pStyle w:val="Heading1"/>
      </w:pPr>
      <w:r w:rsidRPr="00A93F2D">
        <w:t>14</w:t>
      </w:r>
      <w:r w:rsidRPr="00A93F2D">
        <w:tab/>
        <w:t>Ejecución del proyecto por la Oficina de Desarrollo de las Telecomunicaciones</w:t>
      </w:r>
    </w:p>
    <w:p w14:paraId="0085FB9E" w14:textId="687D3440" w:rsidR="00B21223" w:rsidRPr="00A93F2D" w:rsidRDefault="00B21223" w:rsidP="00B21223">
      <w:r w:rsidRPr="00A93F2D">
        <w:t>14.1</w:t>
      </w:r>
      <w:r w:rsidRPr="00A93F2D">
        <w:tab/>
        <w:t>El CAIG recibió una información detallada y completa sobre el fortalecimiento de las prácticas de gestión de proyectos en el Sector de Desarrollo, en particular con la constitución de la Junta de Gestión de Proyectos, el refuerzo de las competencias de gestión de proyectos y la mejora de los mecanismos de control y supervisión. El Comité tuvo la oportunidad de debatir también algunos de los retos pendientes relacionados con la evaluación, el cierre de los proyectos y la aplicación de nuevas directrices de adquisición.</w:t>
      </w:r>
    </w:p>
    <w:p w14:paraId="2F1295A5" w14:textId="23CF730B" w:rsidR="00B21223" w:rsidRPr="00A93F2D" w:rsidRDefault="00B21223" w:rsidP="00B21223">
      <w:r w:rsidRPr="00A93F2D">
        <w:t>14.2</w:t>
      </w:r>
      <w:r w:rsidRPr="00A93F2D">
        <w:tab/>
        <w:t>El Comité agradeció la labor realizada por la secretaría y ofreció su asesoramiento para la resolución de algunos problemas. En particular, el CAIG propuso que, en el caso de los proyectos de mayor envergadura, se considere la posibilidad de introducir procesos de garantía a nivel de la ejecución local, con el fin de introducir controles y balances adicionales e informar de la calidad y el costo del proyecto. Asimismo, el Comité destacó la necesidad de establecer una estrategia de evaluación de amplio alcance, que también debería convertirse en una iniciativa de toda la organización, y que permitiría a ésta aprender de la experiencia pasada y tranquilizar a los donantes sobre la repercusión de los proyectos financiados. Estos compromisos podrían incorporarse y formar parte de las dotaciones financieras de los proyectos.</w:t>
      </w:r>
    </w:p>
    <w:p w14:paraId="7703AC16" w14:textId="7C52F974" w:rsidR="00B21223" w:rsidRPr="00A93F2D" w:rsidRDefault="00D51E4C" w:rsidP="00B21223">
      <w:pPr>
        <w:pStyle w:val="Heading1"/>
      </w:pPr>
      <w:r w:rsidRPr="00A93F2D">
        <w:t>15</w:t>
      </w:r>
      <w:r w:rsidRPr="00A93F2D">
        <w:tab/>
        <w:t>La función de evaluación</w:t>
      </w:r>
    </w:p>
    <w:p w14:paraId="62EDC8D4" w14:textId="4B6CB102" w:rsidR="00B21223" w:rsidRPr="00A93F2D" w:rsidRDefault="00B21223" w:rsidP="00B21223">
      <w:r w:rsidRPr="00A93F2D">
        <w:t>15.1</w:t>
      </w:r>
      <w:r w:rsidRPr="00A93F2D">
        <w:tab/>
        <w:t>El Comité examinó los acontecimientos desarrollados y el proyecto de políticas y directrices de evaluación elaborado en 2017, los progresos registrados y la situación actual de la evaluación en la organización.</w:t>
      </w:r>
    </w:p>
    <w:p w14:paraId="573E66C6" w14:textId="18FA0A60" w:rsidR="00B21223" w:rsidRPr="00A93F2D" w:rsidRDefault="00B21223" w:rsidP="00B21223">
      <w:r w:rsidRPr="00A93F2D">
        <w:t>15.2</w:t>
      </w:r>
      <w:r w:rsidRPr="00A93F2D">
        <w:tab/>
        <w:t>El CAIG, como se ha señalado en la sección anterior, desea reiterar la importancia de la evaluación y la necesidad de que la organización le otorgue un mayor protagonismo, profundizando en la cultura de la evaluación en toda la organización, con el ejemplo de la alta dirección, y haciendo que la evaluación forme parte gradualmente de todas las iniciativas y proyectos importantes.</w:t>
      </w:r>
    </w:p>
    <w:p w14:paraId="0FF99A24" w14:textId="5099497B" w:rsidR="00B21223" w:rsidRPr="00A93F2D" w:rsidRDefault="00D51E4C" w:rsidP="00B21223">
      <w:pPr>
        <w:pStyle w:val="Heading1"/>
      </w:pPr>
      <w:r w:rsidRPr="00A93F2D">
        <w:lastRenderedPageBreak/>
        <w:t>16</w:t>
      </w:r>
      <w:r w:rsidRPr="00A93F2D">
        <w:tab/>
        <w:t>Funcionar como una sola UIT</w:t>
      </w:r>
    </w:p>
    <w:p w14:paraId="759B133E" w14:textId="75DB03B0" w:rsidR="00B21223" w:rsidRPr="00A93F2D" w:rsidRDefault="00B21223" w:rsidP="00B21223">
      <w:r w:rsidRPr="00A93F2D">
        <w:t>16.1</w:t>
      </w:r>
      <w:r w:rsidRPr="00A93F2D">
        <w:tab/>
        <w:t>Como se señaló en su 9º Informe Anual al Consejo 2020, el CAIG continuará dando seguimiento al concepto de "Una UIT", con el fin de asesorar sobre la mejora de los procesos de gestión en este sentido.</w:t>
      </w:r>
    </w:p>
    <w:p w14:paraId="593E2C41" w14:textId="093A346E" w:rsidR="00B21223" w:rsidRPr="00A93F2D" w:rsidRDefault="00B21223" w:rsidP="00B21223">
      <w:r w:rsidRPr="00A93F2D">
        <w:t>16.2</w:t>
      </w:r>
      <w:r w:rsidRPr="00A93F2D">
        <w:tab/>
        <w:t>En general, el Comité ha tomado nota y ha agradecido las iniciativas que abarcan a toda la organización y contribuyen a este concepto.</w:t>
      </w:r>
    </w:p>
    <w:p w14:paraId="4134A7D5" w14:textId="09187344" w:rsidR="00B21223" w:rsidRPr="00A93F2D" w:rsidRDefault="00D51E4C" w:rsidP="00B21223">
      <w:pPr>
        <w:pStyle w:val="Heading1"/>
      </w:pPr>
      <w:r w:rsidRPr="00A93F2D">
        <w:t>17</w:t>
      </w:r>
      <w:r w:rsidRPr="00A93F2D">
        <w:tab/>
        <w:t>Reuniones con la dirección/otros asuntos</w:t>
      </w:r>
    </w:p>
    <w:p w14:paraId="1C1777A3" w14:textId="5E0CF758" w:rsidR="00B21223" w:rsidRPr="00A93F2D" w:rsidRDefault="00B21223" w:rsidP="00B21223">
      <w:r w:rsidRPr="00A93F2D">
        <w:t>17.1</w:t>
      </w:r>
      <w:r w:rsidRPr="00A93F2D">
        <w:tab/>
        <w:t>De conformidad con su práctica habitual, el CAIG continuó reuniéndose con el Secretario General de la UIT para darle cuenta de las deliberaciones y observaciones que se formulan en las reuniones del Comité, especialmente en las esferas de mayor interés para la dirección. El CAIG tomó nota de las conversaciones abiertas y fructíferas que mantuvo con el Secretario General y agradece sobremanera su participación, compromiso y sensibilidad a los problemas planteados por el Comité.</w:t>
      </w:r>
    </w:p>
    <w:p w14:paraId="4B557936" w14:textId="58EF46F8" w:rsidR="00B21223" w:rsidRPr="00A93F2D" w:rsidRDefault="00B21223" w:rsidP="00B21223">
      <w:r w:rsidRPr="00A93F2D">
        <w:t>17.2</w:t>
      </w:r>
      <w:r w:rsidRPr="00A93F2D">
        <w:tab/>
        <w:t>Los miembros del CAIG desean agradecer al Vicesecretario General, a los Directores de las Oficinas y a los funcionarios de la UIT su apoyo, cooperación y actitud positiva para la eficacia del funcionamiento del ‎Comité. En particular, el Comité agradece la encomiable ayuda de la secretaría materializada en los servicios de teleconferencia y vídeo prestados así como el apoyo recibido para organizar sus reuniones virtuales durante la pandemia de COVID-19.</w:t>
      </w:r>
    </w:p>
    <w:p w14:paraId="2917F405" w14:textId="639B53EB" w:rsidR="00B21223" w:rsidRPr="00A93F2D" w:rsidRDefault="00B21223" w:rsidP="00B21223">
      <w:r w:rsidRPr="00A93F2D">
        <w:t>17.3</w:t>
      </w:r>
      <w:r w:rsidRPr="00A93F2D">
        <w:tab/>
        <w:t>El Comité también desea manifestar su agradecimiento a los Estados Miembros y al Consejo por confiar a los miembros del CAIG estas importantes responsabilidades.</w:t>
      </w:r>
    </w:p>
    <w:p w14:paraId="16F930C5" w14:textId="7DE97D73" w:rsidR="00B21223" w:rsidRPr="00A93F2D" w:rsidRDefault="00B21223" w:rsidP="00D51E4C">
      <w:r w:rsidRPr="00A93F2D">
        <w:t>17.4</w:t>
      </w:r>
      <w:r w:rsidRPr="00A93F2D">
        <w:tab/>
        <w:t xml:space="preserve">Los nombres de los miembros del CAIG, sus responsabilidades, su mandato y sus informes están disponibles en el apartado dedicado al CAIG de ‎la página web pública de la UIT: </w:t>
      </w:r>
      <w:hyperlink r:id="rId24" w:history="1">
        <w:r w:rsidRPr="00A93F2D">
          <w:rPr>
            <w:rStyle w:val="Hyperlink"/>
          </w:rPr>
          <w:t>http://www.itu.int/imac</w:t>
        </w:r>
      </w:hyperlink>
      <w:r w:rsidR="00D51E4C" w:rsidRPr="00113A8E">
        <w:t>.</w:t>
      </w:r>
    </w:p>
    <w:p w14:paraId="0522DF86" w14:textId="77777777" w:rsidR="00B21223" w:rsidRPr="00A93F2D" w:rsidRDefault="00B21223" w:rsidP="00B21223">
      <w:pPr>
        <w:pStyle w:val="Normalnumbered"/>
        <w:rPr>
          <w:lang w:val="es-ES_tradnl"/>
        </w:rPr>
      </w:pPr>
    </w:p>
    <w:p w14:paraId="7B68CD14" w14:textId="77777777" w:rsidR="00B21223" w:rsidRPr="00A93F2D" w:rsidRDefault="00B21223" w:rsidP="000B0D00">
      <w:pPr>
        <w:sectPr w:rsidR="00B21223" w:rsidRPr="00A93F2D" w:rsidSect="006710F6">
          <w:headerReference w:type="default" r:id="rId25"/>
          <w:footerReference w:type="default" r:id="rId26"/>
          <w:footerReference w:type="first" r:id="rId27"/>
          <w:pgSz w:w="11907" w:h="16834"/>
          <w:pgMar w:top="1418" w:right="1134" w:bottom="1418" w:left="1134" w:header="720" w:footer="720" w:gutter="0"/>
          <w:paperSrc w:first="15" w:other="15"/>
          <w:cols w:space="720"/>
          <w:titlePg/>
        </w:sectPr>
      </w:pPr>
    </w:p>
    <w:p w14:paraId="29682E56" w14:textId="7082E9B5" w:rsidR="00D51E4C" w:rsidRPr="00A93F2D" w:rsidRDefault="00D51E4C" w:rsidP="00D51E4C">
      <w:pPr>
        <w:spacing w:after="120"/>
        <w:jc w:val="center"/>
        <w:rPr>
          <w:b/>
          <w:sz w:val="28"/>
        </w:rPr>
      </w:pPr>
      <w:r w:rsidRPr="00A93F2D">
        <w:rPr>
          <w:b/>
          <w:sz w:val="28"/>
        </w:rPr>
        <w:lastRenderedPageBreak/>
        <w:t>Anexo 1: Estadísticas de aplicación de las recomendaciones del CAIG</w:t>
      </w:r>
    </w:p>
    <w:p w14:paraId="667544D3" w14:textId="7018B8D5" w:rsidR="00EA6C58" w:rsidRPr="00A93F2D" w:rsidRDefault="00EA6C58" w:rsidP="00EA6C58">
      <w:pPr>
        <w:pStyle w:val="Figure"/>
        <w:rPr>
          <w:highlight w:val="yellow"/>
        </w:rPr>
      </w:pPr>
      <w:r w:rsidRPr="00A93F2D">
        <w:rPr>
          <w:noProof/>
        </w:rPr>
        <w:drawing>
          <wp:inline distT="0" distB="0" distL="0" distR="0" wp14:anchorId="7F77A981" wp14:editId="25CA2574">
            <wp:extent cx="9180000" cy="5158800"/>
            <wp:effectExtent l="0" t="0" r="254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9180000" cy="5158800"/>
                    </a:xfrm>
                    <a:prstGeom prst="rect">
                      <a:avLst/>
                    </a:prstGeom>
                  </pic:spPr>
                </pic:pic>
              </a:graphicData>
            </a:graphic>
          </wp:inline>
        </w:drawing>
      </w:r>
    </w:p>
    <w:p w14:paraId="567D2283" w14:textId="3C8C7209" w:rsidR="00EA6C58" w:rsidRPr="00A93F2D" w:rsidRDefault="00EA6C58" w:rsidP="00B21223">
      <w:r w:rsidRPr="00A93F2D">
        <w:br w:type="page"/>
      </w:r>
    </w:p>
    <w:p w14:paraId="1E550623" w14:textId="2006A60B" w:rsidR="00B21223" w:rsidRPr="00A93F2D" w:rsidRDefault="00FF7112" w:rsidP="00FF7112">
      <w:pPr>
        <w:pStyle w:val="Headingb"/>
        <w:spacing w:after="240"/>
      </w:pPr>
      <w:r w:rsidRPr="00A93F2D">
        <w:lastRenderedPageBreak/>
        <w:t xml:space="preserve">Situación de las Recomendaciones del </w:t>
      </w:r>
      <w:r w:rsidR="00B21223" w:rsidRPr="00A93F2D">
        <w:t xml:space="preserve">CAIG </w:t>
      </w:r>
      <w:r w:rsidRPr="00A93F2D">
        <w:t>pendientes</w:t>
      </w:r>
    </w:p>
    <w:tbl>
      <w:tblPr>
        <w:tblW w:w="14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8"/>
        <w:gridCol w:w="3402"/>
        <w:gridCol w:w="1296"/>
        <w:gridCol w:w="7062"/>
        <w:gridCol w:w="880"/>
        <w:gridCol w:w="1277"/>
      </w:tblGrid>
      <w:tr w:rsidR="00BF08BB" w:rsidRPr="00A93F2D" w14:paraId="47303B7C" w14:textId="77777777" w:rsidTr="00BF08BB">
        <w:trPr>
          <w:trHeight w:val="265"/>
          <w:tblHeader/>
          <w:jc w:val="center"/>
        </w:trPr>
        <w:tc>
          <w:tcPr>
            <w:tcW w:w="988" w:type="dxa"/>
            <w:shd w:val="clear" w:color="auto" w:fill="FFFFFF"/>
            <w:noWrap/>
            <w:tcMar>
              <w:top w:w="0" w:type="dxa"/>
              <w:left w:w="108" w:type="dxa"/>
              <w:bottom w:w="0" w:type="dxa"/>
              <w:right w:w="108" w:type="dxa"/>
            </w:tcMar>
            <w:vAlign w:val="center"/>
            <w:hideMark/>
          </w:tcPr>
          <w:p w14:paraId="4F09B5D9" w14:textId="312422BD" w:rsidR="00B21223" w:rsidRPr="00A93F2D" w:rsidRDefault="00B21223" w:rsidP="00FF7112">
            <w:pPr>
              <w:pStyle w:val="Tablehead"/>
            </w:pPr>
            <w:bookmarkStart w:id="12" w:name="_Hlk72670802"/>
            <w:r w:rsidRPr="00A93F2D">
              <w:t>ID de la</w:t>
            </w:r>
            <w:r w:rsidR="00BF08BB" w:rsidRPr="00A93F2D">
              <w:t> </w:t>
            </w:r>
            <w:r w:rsidRPr="00A93F2D">
              <w:t>Rec.</w:t>
            </w:r>
          </w:p>
        </w:tc>
        <w:tc>
          <w:tcPr>
            <w:tcW w:w="3402" w:type="dxa"/>
            <w:shd w:val="clear" w:color="auto" w:fill="FFFFFF"/>
            <w:noWrap/>
            <w:tcMar>
              <w:top w:w="0" w:type="dxa"/>
              <w:left w:w="108" w:type="dxa"/>
              <w:bottom w:w="0" w:type="dxa"/>
              <w:right w:w="108" w:type="dxa"/>
            </w:tcMar>
            <w:vAlign w:val="center"/>
            <w:hideMark/>
          </w:tcPr>
          <w:p w14:paraId="42923806" w14:textId="77777777" w:rsidR="00B21223" w:rsidRPr="00A93F2D" w:rsidRDefault="00B21223" w:rsidP="00FF7112">
            <w:pPr>
              <w:pStyle w:val="Tablehead"/>
            </w:pPr>
            <w:r w:rsidRPr="00A93F2D">
              <w:t>Recomendación</w:t>
            </w:r>
          </w:p>
        </w:tc>
        <w:tc>
          <w:tcPr>
            <w:tcW w:w="870" w:type="dxa"/>
            <w:shd w:val="clear" w:color="auto" w:fill="FFFFFF"/>
            <w:noWrap/>
            <w:tcMar>
              <w:top w:w="0" w:type="dxa"/>
              <w:left w:w="108" w:type="dxa"/>
              <w:bottom w:w="0" w:type="dxa"/>
              <w:right w:w="108" w:type="dxa"/>
            </w:tcMar>
            <w:vAlign w:val="center"/>
            <w:hideMark/>
          </w:tcPr>
          <w:p w14:paraId="7E7C111F" w14:textId="77777777" w:rsidR="00B21223" w:rsidRPr="00A93F2D" w:rsidRDefault="00B21223" w:rsidP="00FF7112">
            <w:pPr>
              <w:pStyle w:val="Tablehead"/>
            </w:pPr>
            <w:r w:rsidRPr="00A93F2D">
              <w:t>Situación</w:t>
            </w:r>
          </w:p>
        </w:tc>
        <w:tc>
          <w:tcPr>
            <w:tcW w:w="7062" w:type="dxa"/>
            <w:shd w:val="clear" w:color="auto" w:fill="FFFFFF"/>
            <w:noWrap/>
            <w:tcMar>
              <w:top w:w="0" w:type="dxa"/>
              <w:left w:w="108" w:type="dxa"/>
              <w:bottom w:w="0" w:type="dxa"/>
              <w:right w:w="108" w:type="dxa"/>
            </w:tcMar>
            <w:vAlign w:val="center"/>
            <w:hideMark/>
          </w:tcPr>
          <w:p w14:paraId="78A9D562" w14:textId="77777777" w:rsidR="00B21223" w:rsidRPr="00A93F2D" w:rsidRDefault="00B21223" w:rsidP="00FF7112">
            <w:pPr>
              <w:pStyle w:val="Tablehead"/>
            </w:pPr>
            <w:r w:rsidRPr="00A93F2D">
              <w:t>Medidas adoptadas por la dirección</w:t>
            </w:r>
          </w:p>
        </w:tc>
        <w:tc>
          <w:tcPr>
            <w:tcW w:w="880" w:type="dxa"/>
            <w:shd w:val="clear" w:color="auto" w:fill="FFFFFF"/>
            <w:noWrap/>
            <w:tcMar>
              <w:top w:w="0" w:type="dxa"/>
              <w:left w:w="108" w:type="dxa"/>
              <w:bottom w:w="0" w:type="dxa"/>
              <w:right w:w="108" w:type="dxa"/>
            </w:tcMar>
            <w:vAlign w:val="center"/>
            <w:hideMark/>
          </w:tcPr>
          <w:p w14:paraId="266C0C03" w14:textId="77777777" w:rsidR="00B21223" w:rsidRPr="00A93F2D" w:rsidRDefault="00B21223" w:rsidP="00FF7112">
            <w:pPr>
              <w:pStyle w:val="Tablehead"/>
            </w:pPr>
            <w:proofErr w:type="spellStart"/>
            <w:r w:rsidRPr="00A93F2D">
              <w:t>Dep</w:t>
            </w:r>
            <w:proofErr w:type="spellEnd"/>
            <w:r w:rsidRPr="00A93F2D">
              <w:t>.</w:t>
            </w:r>
          </w:p>
        </w:tc>
        <w:tc>
          <w:tcPr>
            <w:tcW w:w="1277" w:type="dxa"/>
            <w:shd w:val="clear" w:color="auto" w:fill="FFFFFF"/>
            <w:noWrap/>
            <w:tcMar>
              <w:top w:w="0" w:type="dxa"/>
              <w:left w:w="108" w:type="dxa"/>
              <w:bottom w:w="0" w:type="dxa"/>
              <w:right w:w="108" w:type="dxa"/>
            </w:tcMar>
            <w:vAlign w:val="center"/>
            <w:hideMark/>
          </w:tcPr>
          <w:p w14:paraId="1A1588DD" w14:textId="77777777" w:rsidR="00B21223" w:rsidRPr="00A93F2D" w:rsidRDefault="00B21223" w:rsidP="00FF7112">
            <w:pPr>
              <w:pStyle w:val="Tablehead"/>
            </w:pPr>
            <w:r w:rsidRPr="00A93F2D">
              <w:t>Fecha Rec.</w:t>
            </w:r>
          </w:p>
        </w:tc>
      </w:tr>
      <w:tr w:rsidR="00BF08BB" w:rsidRPr="00A93F2D" w14:paraId="4A2D7490" w14:textId="77777777" w:rsidTr="00BF08BB">
        <w:trPr>
          <w:trHeight w:val="1431"/>
          <w:jc w:val="center"/>
        </w:trPr>
        <w:tc>
          <w:tcPr>
            <w:tcW w:w="988" w:type="dxa"/>
            <w:shd w:val="clear" w:color="auto" w:fill="D9E2F3"/>
            <w:noWrap/>
            <w:tcMar>
              <w:top w:w="0" w:type="dxa"/>
              <w:left w:w="108" w:type="dxa"/>
              <w:bottom w:w="0" w:type="dxa"/>
              <w:right w:w="108" w:type="dxa"/>
            </w:tcMar>
            <w:hideMark/>
          </w:tcPr>
          <w:p w14:paraId="2066DC8A" w14:textId="77777777" w:rsidR="00B21223" w:rsidRPr="00A93F2D" w:rsidRDefault="00B21223" w:rsidP="00FF7112">
            <w:pPr>
              <w:pStyle w:val="Tabletext"/>
              <w:rPr>
                <w:b/>
                <w:bCs/>
              </w:rPr>
            </w:pPr>
            <w:r w:rsidRPr="00A93F2D">
              <w:rPr>
                <w:b/>
                <w:bCs/>
              </w:rPr>
              <w:t>CAIG 2013/6</w:t>
            </w:r>
          </w:p>
        </w:tc>
        <w:tc>
          <w:tcPr>
            <w:tcW w:w="3402" w:type="dxa"/>
            <w:shd w:val="clear" w:color="auto" w:fill="D9E2F3"/>
            <w:tcMar>
              <w:top w:w="0" w:type="dxa"/>
              <w:left w:w="108" w:type="dxa"/>
              <w:bottom w:w="0" w:type="dxa"/>
              <w:right w:w="108" w:type="dxa"/>
            </w:tcMar>
            <w:hideMark/>
          </w:tcPr>
          <w:p w14:paraId="25276177" w14:textId="77777777" w:rsidR="00B21223" w:rsidRPr="00A93F2D" w:rsidRDefault="00B21223" w:rsidP="00FF7112">
            <w:pPr>
              <w:pStyle w:val="Tabletext"/>
            </w:pPr>
            <w:r w:rsidRPr="00A93F2D">
              <w:t>El CAIG recomienda que la UIT contemple la posibilidad de imponer y hacer respetar un plazo claro y evidente para la negociación y la firma de acuerdos del país anfitrión para sus Oficinas Regionales y Zonales, vencido el cual habrían de contemplarse medidas de otro tipo.</w:t>
            </w:r>
          </w:p>
        </w:tc>
        <w:tc>
          <w:tcPr>
            <w:tcW w:w="870" w:type="dxa"/>
            <w:shd w:val="clear" w:color="auto" w:fill="FBE4D5"/>
            <w:noWrap/>
            <w:tcMar>
              <w:top w:w="0" w:type="dxa"/>
              <w:left w:w="108" w:type="dxa"/>
              <w:bottom w:w="0" w:type="dxa"/>
              <w:right w:w="108" w:type="dxa"/>
            </w:tcMar>
            <w:hideMark/>
          </w:tcPr>
          <w:p w14:paraId="72D2E912" w14:textId="77777777" w:rsidR="00B21223" w:rsidRPr="00A93F2D" w:rsidRDefault="00B21223" w:rsidP="00FF7112">
            <w:pPr>
              <w:pStyle w:val="Tabletext"/>
            </w:pPr>
            <w:r w:rsidRPr="00A93F2D">
              <w:t>En preparación</w:t>
            </w:r>
          </w:p>
        </w:tc>
        <w:tc>
          <w:tcPr>
            <w:tcW w:w="7062" w:type="dxa"/>
            <w:shd w:val="clear" w:color="auto" w:fill="D9E2F3"/>
            <w:tcMar>
              <w:top w:w="0" w:type="dxa"/>
              <w:left w:w="108" w:type="dxa"/>
              <w:bottom w:w="0" w:type="dxa"/>
              <w:right w:w="108" w:type="dxa"/>
            </w:tcMar>
            <w:hideMark/>
          </w:tcPr>
          <w:p w14:paraId="20444563" w14:textId="77777777" w:rsidR="00B21223" w:rsidRPr="00A93F2D" w:rsidRDefault="00B21223" w:rsidP="00FF7112">
            <w:pPr>
              <w:pStyle w:val="Tabletext"/>
            </w:pPr>
            <w:r w:rsidRPr="00A93F2D">
              <w:t>En abril de 2017, tras ocho años de negociaciones, se firmó un acuerdo oficial con el país anfitrión de la Oficina Zonal de Indonesia (para la que se carecía de un acuerdo oficial). También cabe la posibilidad de que la revisión del Acuerdo de país anfitrión actualmente en vigor para la Oficina Regional de Bangkok finalice en breve. La última medida de seguimiento adoptada consistió en el envío de una carta de la Directora de la BDT a las autoridades tailandesas. Por último, se observa que las negociaciones encaminadas a la conclusión de un Acuerdo de país anfitrión para la Oficina Zonal de Chile siguen en curso.</w:t>
            </w:r>
          </w:p>
        </w:tc>
        <w:tc>
          <w:tcPr>
            <w:tcW w:w="880" w:type="dxa"/>
            <w:shd w:val="clear" w:color="auto" w:fill="D9E2F3"/>
            <w:noWrap/>
            <w:tcMar>
              <w:top w:w="0" w:type="dxa"/>
              <w:left w:w="108" w:type="dxa"/>
              <w:bottom w:w="0" w:type="dxa"/>
              <w:right w:w="108" w:type="dxa"/>
            </w:tcMar>
            <w:hideMark/>
          </w:tcPr>
          <w:p w14:paraId="7626A587" w14:textId="77777777" w:rsidR="00B21223" w:rsidRPr="00A93F2D" w:rsidRDefault="00B21223" w:rsidP="00FF7112">
            <w:pPr>
              <w:pStyle w:val="Tabletext"/>
            </w:pPr>
            <w:r w:rsidRPr="00A93F2D">
              <w:t>BDT</w:t>
            </w:r>
          </w:p>
        </w:tc>
        <w:tc>
          <w:tcPr>
            <w:tcW w:w="1277" w:type="dxa"/>
            <w:shd w:val="clear" w:color="auto" w:fill="D9E2F3"/>
            <w:noWrap/>
            <w:tcMar>
              <w:top w:w="0" w:type="dxa"/>
              <w:left w:w="108" w:type="dxa"/>
              <w:bottom w:w="0" w:type="dxa"/>
              <w:right w:w="108" w:type="dxa"/>
            </w:tcMar>
            <w:hideMark/>
          </w:tcPr>
          <w:p w14:paraId="43A91F95" w14:textId="0485D588" w:rsidR="00B21223" w:rsidRPr="00A93F2D" w:rsidRDefault="00B21223" w:rsidP="00FF7112">
            <w:pPr>
              <w:pStyle w:val="Tabletext"/>
            </w:pPr>
            <w:r w:rsidRPr="00A93F2D">
              <w:t>Jun</w:t>
            </w:r>
            <w:r w:rsidR="00FF7112" w:rsidRPr="00A93F2D">
              <w:t xml:space="preserve">io </w:t>
            </w:r>
            <w:r w:rsidRPr="00A93F2D">
              <w:t>2013</w:t>
            </w:r>
          </w:p>
        </w:tc>
      </w:tr>
      <w:tr w:rsidR="00BF08BB" w:rsidRPr="00A93F2D" w14:paraId="67401496" w14:textId="77777777" w:rsidTr="00BF08BB">
        <w:trPr>
          <w:trHeight w:val="2084"/>
          <w:jc w:val="center"/>
        </w:trPr>
        <w:tc>
          <w:tcPr>
            <w:tcW w:w="988" w:type="dxa"/>
            <w:shd w:val="clear" w:color="auto" w:fill="auto"/>
            <w:noWrap/>
            <w:tcMar>
              <w:top w:w="0" w:type="dxa"/>
              <w:left w:w="108" w:type="dxa"/>
              <w:bottom w:w="0" w:type="dxa"/>
              <w:right w:w="108" w:type="dxa"/>
            </w:tcMar>
            <w:hideMark/>
          </w:tcPr>
          <w:p w14:paraId="4CDDA58F" w14:textId="77777777" w:rsidR="00B21223" w:rsidRPr="00A93F2D" w:rsidRDefault="00B21223" w:rsidP="00FF7112">
            <w:pPr>
              <w:pStyle w:val="Tabletext"/>
              <w:rPr>
                <w:b/>
                <w:bCs/>
              </w:rPr>
            </w:pPr>
            <w:r w:rsidRPr="00A93F2D">
              <w:rPr>
                <w:b/>
                <w:bCs/>
              </w:rPr>
              <w:t>CAIG 2016/4</w:t>
            </w:r>
          </w:p>
        </w:tc>
        <w:tc>
          <w:tcPr>
            <w:tcW w:w="3402" w:type="dxa"/>
            <w:shd w:val="clear" w:color="auto" w:fill="auto"/>
            <w:tcMar>
              <w:top w:w="0" w:type="dxa"/>
              <w:left w:w="108" w:type="dxa"/>
              <w:bottom w:w="0" w:type="dxa"/>
              <w:right w:w="108" w:type="dxa"/>
            </w:tcMar>
            <w:hideMark/>
          </w:tcPr>
          <w:p w14:paraId="6E253258" w14:textId="77777777" w:rsidR="00B21223" w:rsidRPr="00A93F2D" w:rsidRDefault="00B21223" w:rsidP="00FF7112">
            <w:pPr>
              <w:pStyle w:val="Tabletext"/>
            </w:pPr>
            <w:r w:rsidRPr="00A93F2D">
              <w:t>El CAIG recomienda que la Dirección de la UIT siga los debates del Grupo de Trabajo de las Naciones Unidas sobre los problemas del ASHI y establezca un plan de financiación de sus futuras obligaciones.</w:t>
            </w:r>
          </w:p>
        </w:tc>
        <w:tc>
          <w:tcPr>
            <w:tcW w:w="870" w:type="dxa"/>
            <w:shd w:val="clear" w:color="auto" w:fill="FBE5D5"/>
            <w:noWrap/>
            <w:tcMar>
              <w:top w:w="0" w:type="dxa"/>
              <w:left w:w="108" w:type="dxa"/>
              <w:bottom w:w="0" w:type="dxa"/>
              <w:right w:w="108" w:type="dxa"/>
            </w:tcMar>
            <w:hideMark/>
          </w:tcPr>
          <w:p w14:paraId="24093A2E" w14:textId="77777777" w:rsidR="00B21223" w:rsidRPr="00A93F2D" w:rsidRDefault="00B21223" w:rsidP="00FF7112">
            <w:pPr>
              <w:pStyle w:val="Tabletext"/>
            </w:pPr>
            <w:r w:rsidRPr="00A93F2D">
              <w:t>En preparación</w:t>
            </w:r>
          </w:p>
        </w:tc>
        <w:tc>
          <w:tcPr>
            <w:tcW w:w="7062" w:type="dxa"/>
            <w:shd w:val="clear" w:color="auto" w:fill="auto"/>
            <w:tcMar>
              <w:top w:w="0" w:type="dxa"/>
              <w:left w:w="108" w:type="dxa"/>
              <w:bottom w:w="0" w:type="dxa"/>
              <w:right w:w="108" w:type="dxa"/>
            </w:tcMar>
            <w:hideMark/>
          </w:tcPr>
          <w:p w14:paraId="1109B2E2" w14:textId="77777777" w:rsidR="00B21223" w:rsidRPr="00A93F2D" w:rsidRDefault="00B21223" w:rsidP="00FF7112">
            <w:pPr>
              <w:pStyle w:val="Tabletext"/>
            </w:pPr>
            <w:r w:rsidRPr="00A93F2D">
              <w:t>La UIT formó parte del Grupo de Trabajo de las Naciones Unidas sobre el ASHI. Esta asunto se ha completado y se ha dado cuenta de ello al Secretario General de las Naciones Unidas. Todas las observaciones formuladas por los miembros del CANG durante el examen del proyecto de informe se han recogido en el informe final en la medida de lo posible.</w:t>
            </w:r>
          </w:p>
          <w:p w14:paraId="3C20361C" w14:textId="77777777" w:rsidR="00B21223" w:rsidRPr="00A93F2D" w:rsidRDefault="00B21223" w:rsidP="00FF7112">
            <w:pPr>
              <w:pStyle w:val="Tabletext"/>
            </w:pPr>
            <w:r w:rsidRPr="00A93F2D">
              <w:t>Este informe no se ha presentado en la Asamblea de las Naciones Unidas como se preveía en un principio. Para sustituir al Grupo de Trabajo de las Naciones Unidas sobre el ASHI, se está debatiendo la creación de un nuevo grupo sobre un seguro de salud de las Naciones Unidas, pero hasta la fecha no se ha adoptado ninguna decisión al respecto. La UIT sigue pendiente de los debates en el Grupo Especial de las Naciones Unidas sobre las NICSP y mantendrá informado al CAIG sobre las novedades que puedan producirse.</w:t>
            </w:r>
          </w:p>
          <w:p w14:paraId="3AC897E1" w14:textId="5081B5A2" w:rsidR="00B21223" w:rsidRPr="00A93F2D" w:rsidRDefault="00B21223" w:rsidP="00FF7112">
            <w:pPr>
              <w:pStyle w:val="Tabletext"/>
            </w:pPr>
            <w:r w:rsidRPr="00A93F2D">
              <w:t>Hay que señalar en este contexto que el fondo del ASHI se creó el 1 de enero de 2014 y que, a 31 de diciembre de 2020, su saldo es de 13</w:t>
            </w:r>
            <w:r w:rsidR="00113A8E">
              <w:t> </w:t>
            </w:r>
            <w:r w:rsidRPr="00A93F2D">
              <w:t>millones</w:t>
            </w:r>
            <w:r w:rsidR="00113A8E">
              <w:t> </w:t>
            </w:r>
            <w:r w:rsidRPr="00A93F2D">
              <w:t>CHF.</w:t>
            </w:r>
          </w:p>
        </w:tc>
        <w:tc>
          <w:tcPr>
            <w:tcW w:w="880" w:type="dxa"/>
            <w:shd w:val="clear" w:color="auto" w:fill="auto"/>
            <w:noWrap/>
            <w:tcMar>
              <w:top w:w="0" w:type="dxa"/>
              <w:left w:w="108" w:type="dxa"/>
              <w:bottom w:w="0" w:type="dxa"/>
              <w:right w:w="108" w:type="dxa"/>
            </w:tcMar>
            <w:hideMark/>
          </w:tcPr>
          <w:p w14:paraId="3C77660F" w14:textId="77777777" w:rsidR="00B21223" w:rsidRPr="00A93F2D" w:rsidRDefault="00B21223" w:rsidP="00FF7112">
            <w:pPr>
              <w:pStyle w:val="Tabletext"/>
            </w:pPr>
            <w:r w:rsidRPr="00A93F2D">
              <w:t>FRMD</w:t>
            </w:r>
          </w:p>
        </w:tc>
        <w:tc>
          <w:tcPr>
            <w:tcW w:w="1277" w:type="dxa"/>
            <w:shd w:val="clear" w:color="auto" w:fill="auto"/>
            <w:noWrap/>
            <w:tcMar>
              <w:top w:w="0" w:type="dxa"/>
              <w:left w:w="108" w:type="dxa"/>
              <w:bottom w:w="0" w:type="dxa"/>
              <w:right w:w="108" w:type="dxa"/>
            </w:tcMar>
            <w:hideMark/>
          </w:tcPr>
          <w:p w14:paraId="4B9326B0" w14:textId="226E4805" w:rsidR="00B21223" w:rsidRPr="00A93F2D" w:rsidRDefault="00B21223" w:rsidP="00FF7112">
            <w:pPr>
              <w:pStyle w:val="Tabletext"/>
            </w:pPr>
            <w:r w:rsidRPr="00A93F2D">
              <w:t>Jun</w:t>
            </w:r>
            <w:r w:rsidR="00FF7112" w:rsidRPr="00A93F2D">
              <w:t xml:space="preserve">io </w:t>
            </w:r>
            <w:r w:rsidRPr="00A93F2D">
              <w:t>2016</w:t>
            </w:r>
          </w:p>
        </w:tc>
      </w:tr>
      <w:tr w:rsidR="00BF08BB" w:rsidRPr="00A93F2D" w14:paraId="0A9EDE4B" w14:textId="77777777" w:rsidTr="00BF08BB">
        <w:trPr>
          <w:trHeight w:val="2280"/>
          <w:jc w:val="center"/>
        </w:trPr>
        <w:tc>
          <w:tcPr>
            <w:tcW w:w="988" w:type="dxa"/>
            <w:shd w:val="clear" w:color="auto" w:fill="DAE3F3"/>
            <w:noWrap/>
            <w:tcMar>
              <w:top w:w="0" w:type="dxa"/>
              <w:left w:w="108" w:type="dxa"/>
              <w:bottom w:w="0" w:type="dxa"/>
              <w:right w:w="108" w:type="dxa"/>
            </w:tcMar>
            <w:hideMark/>
          </w:tcPr>
          <w:p w14:paraId="2062B8DA" w14:textId="77777777" w:rsidR="00B21223" w:rsidRPr="00A93F2D" w:rsidRDefault="00B21223" w:rsidP="00FF7112">
            <w:pPr>
              <w:pStyle w:val="Tabletext"/>
              <w:rPr>
                <w:b/>
                <w:bCs/>
              </w:rPr>
            </w:pPr>
            <w:r w:rsidRPr="00A93F2D">
              <w:rPr>
                <w:b/>
                <w:bCs/>
              </w:rPr>
              <w:lastRenderedPageBreak/>
              <w:t>CAIG 2016/13</w:t>
            </w:r>
          </w:p>
        </w:tc>
        <w:tc>
          <w:tcPr>
            <w:tcW w:w="3402" w:type="dxa"/>
            <w:shd w:val="clear" w:color="auto" w:fill="DAE3F3"/>
            <w:tcMar>
              <w:top w:w="0" w:type="dxa"/>
              <w:left w:w="108" w:type="dxa"/>
              <w:bottom w:w="0" w:type="dxa"/>
              <w:right w:w="108" w:type="dxa"/>
            </w:tcMar>
            <w:hideMark/>
          </w:tcPr>
          <w:p w14:paraId="065A4E6D" w14:textId="601FC585" w:rsidR="00B21223" w:rsidRPr="00A93F2D" w:rsidRDefault="00B21223" w:rsidP="00FF7112">
            <w:pPr>
              <w:pStyle w:val="Tabletext"/>
            </w:pPr>
            <w:r w:rsidRPr="00A93F2D">
              <w:t>El CAIG recomienda que la UIT considere los beneficios de buscar el apoyo de un experto profesional independiente en el proceso de valoración a nivel de mercado y de la negociación en la venta de la Torre de la</w:t>
            </w:r>
            <w:r w:rsidR="00BF08BB" w:rsidRPr="00A93F2D">
              <w:t> </w:t>
            </w:r>
            <w:r w:rsidRPr="00A93F2D">
              <w:t>UIT.</w:t>
            </w:r>
          </w:p>
          <w:p w14:paraId="517F6D29" w14:textId="77777777" w:rsidR="00B21223" w:rsidRPr="00A93F2D" w:rsidRDefault="00B21223" w:rsidP="00FF7112">
            <w:pPr>
              <w:pStyle w:val="Tabletext"/>
            </w:pPr>
            <w:r w:rsidRPr="00A93F2D">
              <w:t>El Comité recomienda la incorporación de conocimiento en la gestión de proyectos y riesgos tanto internos como externos, dedicados para la ejecución de este proyecto.</w:t>
            </w:r>
          </w:p>
        </w:tc>
        <w:tc>
          <w:tcPr>
            <w:tcW w:w="870" w:type="dxa"/>
            <w:shd w:val="clear" w:color="auto" w:fill="FBE5D5"/>
            <w:noWrap/>
            <w:tcMar>
              <w:top w:w="0" w:type="dxa"/>
              <w:left w:w="108" w:type="dxa"/>
              <w:bottom w:w="0" w:type="dxa"/>
              <w:right w:w="108" w:type="dxa"/>
            </w:tcMar>
            <w:hideMark/>
          </w:tcPr>
          <w:p w14:paraId="208B9543" w14:textId="77777777" w:rsidR="00B21223" w:rsidRPr="00A93F2D" w:rsidRDefault="00B21223" w:rsidP="00FF7112">
            <w:pPr>
              <w:pStyle w:val="Tabletext"/>
            </w:pPr>
            <w:r w:rsidRPr="00A93F2D">
              <w:t>En preparación</w:t>
            </w:r>
          </w:p>
        </w:tc>
        <w:tc>
          <w:tcPr>
            <w:tcW w:w="7062" w:type="dxa"/>
            <w:shd w:val="clear" w:color="auto" w:fill="DAE3F3"/>
            <w:tcMar>
              <w:top w:w="0" w:type="dxa"/>
              <w:left w:w="108" w:type="dxa"/>
              <w:bottom w:w="0" w:type="dxa"/>
              <w:right w:w="108" w:type="dxa"/>
            </w:tcMar>
            <w:hideMark/>
          </w:tcPr>
          <w:p w14:paraId="25E9FD3D" w14:textId="77777777" w:rsidR="00B21223" w:rsidRPr="00A93F2D" w:rsidRDefault="00B21223" w:rsidP="00FF7112">
            <w:pPr>
              <w:pStyle w:val="Tabletext"/>
            </w:pPr>
            <w:r w:rsidRPr="00A93F2D">
              <w:t>A tenor del Acuerdo 588 de Consejo 2016, encarga 11: la valoración de mercado de la Torre para su venta se efectuará cuando Suiza haya respondido a la solicitud por parte de la UIT del segundo tramo del préstamo y antes de la posible enajenación de la Torre, equilibrando la disponibilidad más temprana de dicha información de valoración y su coherencia con las condiciones dinámicas del mercado. La valoración la realizará un experto externo independiente bajo la dirección de la UIT. Las peticiones de posibles adquirentes y la enajenación de la Torre se gestionarán asimismo con el asesoramiento de un experto externo independiente.</w:t>
            </w:r>
          </w:p>
          <w:p w14:paraId="1CA4D518" w14:textId="6E29672D" w:rsidR="00B21223" w:rsidRPr="00A93F2D" w:rsidRDefault="00B21223" w:rsidP="00FF7112">
            <w:pPr>
              <w:pStyle w:val="Tabletext"/>
            </w:pPr>
            <w:r w:rsidRPr="00A93F2D">
              <w:t>La contratación de un equipo dedicado al proyecto ha finalizado y está en marcha (se ha elaborado y mantenido un registro de riesgos, con la implicación de recursos tanto internos como externos).</w:t>
            </w:r>
          </w:p>
        </w:tc>
        <w:tc>
          <w:tcPr>
            <w:tcW w:w="880" w:type="dxa"/>
            <w:shd w:val="clear" w:color="auto" w:fill="DAE3F3"/>
            <w:noWrap/>
            <w:tcMar>
              <w:top w:w="0" w:type="dxa"/>
              <w:left w:w="108" w:type="dxa"/>
              <w:bottom w:w="0" w:type="dxa"/>
              <w:right w:w="108" w:type="dxa"/>
            </w:tcMar>
            <w:hideMark/>
          </w:tcPr>
          <w:p w14:paraId="7A8FBB94" w14:textId="77777777" w:rsidR="00B21223" w:rsidRPr="00A93F2D" w:rsidRDefault="00B21223" w:rsidP="00FF7112">
            <w:pPr>
              <w:pStyle w:val="Tabletext"/>
            </w:pPr>
            <w:r w:rsidRPr="00A93F2D">
              <w:t>FMBP</w:t>
            </w:r>
          </w:p>
        </w:tc>
        <w:tc>
          <w:tcPr>
            <w:tcW w:w="1277" w:type="dxa"/>
            <w:shd w:val="clear" w:color="auto" w:fill="DAE3F3"/>
            <w:noWrap/>
            <w:tcMar>
              <w:top w:w="0" w:type="dxa"/>
              <w:left w:w="108" w:type="dxa"/>
              <w:bottom w:w="0" w:type="dxa"/>
              <w:right w:w="108" w:type="dxa"/>
            </w:tcMar>
            <w:hideMark/>
          </w:tcPr>
          <w:p w14:paraId="771C1001" w14:textId="13858568" w:rsidR="00B21223" w:rsidRPr="00A93F2D" w:rsidRDefault="00B21223" w:rsidP="00FF7112">
            <w:pPr>
              <w:pStyle w:val="Tabletext"/>
            </w:pPr>
            <w:r w:rsidRPr="00A93F2D">
              <w:t>Jun</w:t>
            </w:r>
            <w:r w:rsidR="00FF7112" w:rsidRPr="00A93F2D">
              <w:t xml:space="preserve">io </w:t>
            </w:r>
            <w:r w:rsidRPr="00A93F2D">
              <w:t>2016</w:t>
            </w:r>
          </w:p>
        </w:tc>
      </w:tr>
      <w:tr w:rsidR="00BF08BB" w:rsidRPr="00A93F2D" w14:paraId="38D01B7E" w14:textId="77777777" w:rsidTr="00BF08BB">
        <w:trPr>
          <w:trHeight w:val="339"/>
          <w:jc w:val="center"/>
        </w:trPr>
        <w:tc>
          <w:tcPr>
            <w:tcW w:w="988" w:type="dxa"/>
            <w:noWrap/>
            <w:tcMar>
              <w:top w:w="0" w:type="dxa"/>
              <w:left w:w="108" w:type="dxa"/>
              <w:bottom w:w="0" w:type="dxa"/>
              <w:right w:w="108" w:type="dxa"/>
            </w:tcMar>
            <w:hideMark/>
          </w:tcPr>
          <w:p w14:paraId="0BC29454" w14:textId="77777777" w:rsidR="00B21223" w:rsidRPr="00A93F2D" w:rsidRDefault="00B21223" w:rsidP="00FF7112">
            <w:pPr>
              <w:pStyle w:val="Tabletext"/>
              <w:rPr>
                <w:b/>
                <w:bCs/>
              </w:rPr>
            </w:pPr>
            <w:r w:rsidRPr="00A93F2D">
              <w:rPr>
                <w:b/>
                <w:bCs/>
              </w:rPr>
              <w:t>CAIG 2017/7</w:t>
            </w:r>
          </w:p>
        </w:tc>
        <w:tc>
          <w:tcPr>
            <w:tcW w:w="3402" w:type="dxa"/>
            <w:tcMar>
              <w:top w:w="0" w:type="dxa"/>
              <w:left w:w="108" w:type="dxa"/>
              <w:bottom w:w="0" w:type="dxa"/>
              <w:right w:w="108" w:type="dxa"/>
            </w:tcMar>
            <w:hideMark/>
          </w:tcPr>
          <w:p w14:paraId="42C10D04" w14:textId="77777777" w:rsidR="00B21223" w:rsidRPr="00A93F2D" w:rsidRDefault="00B21223" w:rsidP="00FF7112">
            <w:pPr>
              <w:pStyle w:val="Tabletext"/>
            </w:pPr>
            <w:r w:rsidRPr="00A93F2D">
              <w:t>El CAIG recomienda que la UIT considere la conveniencia de contratar a un auditor con conocimientos especializados en este ámbito y, a su debido tiempo, realizar una auditoría independiente de la cuenta creada para la construcción del edificio.</w:t>
            </w:r>
          </w:p>
        </w:tc>
        <w:tc>
          <w:tcPr>
            <w:tcW w:w="870" w:type="dxa"/>
            <w:shd w:val="clear" w:color="auto" w:fill="FBE5D5"/>
            <w:noWrap/>
            <w:tcMar>
              <w:top w:w="0" w:type="dxa"/>
              <w:left w:w="108" w:type="dxa"/>
              <w:bottom w:w="0" w:type="dxa"/>
              <w:right w:w="108" w:type="dxa"/>
            </w:tcMar>
            <w:hideMark/>
          </w:tcPr>
          <w:p w14:paraId="031D3CA1" w14:textId="77777777" w:rsidR="00B21223" w:rsidRPr="00A93F2D" w:rsidRDefault="00B21223" w:rsidP="00FF7112">
            <w:pPr>
              <w:pStyle w:val="Tabletext"/>
            </w:pPr>
            <w:r w:rsidRPr="00A93F2D">
              <w:t>En preparación</w:t>
            </w:r>
          </w:p>
        </w:tc>
        <w:tc>
          <w:tcPr>
            <w:tcW w:w="7062" w:type="dxa"/>
            <w:tcMar>
              <w:top w:w="0" w:type="dxa"/>
              <w:left w:w="108" w:type="dxa"/>
              <w:bottom w:w="0" w:type="dxa"/>
              <w:right w:w="108" w:type="dxa"/>
            </w:tcMar>
            <w:hideMark/>
          </w:tcPr>
          <w:p w14:paraId="13ABAEBA" w14:textId="7AEB1E94" w:rsidR="00B21223" w:rsidRPr="00A93F2D" w:rsidRDefault="00B21223" w:rsidP="00FF7112">
            <w:pPr>
              <w:pStyle w:val="Tabletext"/>
            </w:pPr>
            <w:r w:rsidRPr="00A93F2D">
              <w:t>La configuración de la gestión del proyecto prevé un mecanismo de supervisión global, que incluya a los Estados Miembros y las funciones internas de la UIT. Para ello, se ha creado una nueva división denominada "División del Proyecto del Edificio Nuevo" en la Oficina del Secretario General y bajo la supervisión del Vicesecretario General.</w:t>
            </w:r>
          </w:p>
          <w:p w14:paraId="3C5ADEEE" w14:textId="77777777" w:rsidR="00B21223" w:rsidRPr="00A93F2D" w:rsidRDefault="00B21223" w:rsidP="00FF7112">
            <w:pPr>
              <w:pStyle w:val="Tabletext"/>
            </w:pPr>
            <w:r w:rsidRPr="00A93F2D">
              <w:t>El equipo especializado del proyecto está dirigido por el Asesor Superior de Construcción (P5), que supervisa a un equipo compuesto de un Coordinador de A+E (Arquitectura e Ingeniería) (P3) con experiencia en construcción y técnica y un asistente administrativo (G6). El oficial de adquisiciones (P4), recientemente contratado externamente y con experiencia específica en el ámbito de adquisiciones de los proyectos de construcción, se dedica al proyecto pero trabaja bajo la supervisión del jefe de adquisiciones. La División del Proyecto de Construcción del Nuevo Edificio es efectiva desde el 1 de abril de 2019.</w:t>
            </w:r>
          </w:p>
          <w:p w14:paraId="05271446" w14:textId="77777777" w:rsidR="00B21223" w:rsidRPr="00A93F2D" w:rsidRDefault="00B21223" w:rsidP="00FF7112">
            <w:pPr>
              <w:pStyle w:val="Tabletext"/>
            </w:pPr>
            <w:r w:rsidRPr="00A93F2D">
              <w:t>El Auditor Externo se centrará en la auditoría financiera de la cuenta establecida, mientras que el proyecto se ha incluido en la lista de elementos que los auditores externos considerarán en su plan de auditoría este año.</w:t>
            </w:r>
          </w:p>
        </w:tc>
        <w:tc>
          <w:tcPr>
            <w:tcW w:w="880" w:type="dxa"/>
            <w:noWrap/>
            <w:tcMar>
              <w:top w:w="0" w:type="dxa"/>
              <w:left w:w="108" w:type="dxa"/>
              <w:bottom w:w="0" w:type="dxa"/>
              <w:right w:w="108" w:type="dxa"/>
            </w:tcMar>
            <w:hideMark/>
          </w:tcPr>
          <w:p w14:paraId="474183AB" w14:textId="77777777" w:rsidR="00B21223" w:rsidRPr="00A93F2D" w:rsidRDefault="00B21223" w:rsidP="00FF7112">
            <w:pPr>
              <w:pStyle w:val="Tabletext"/>
            </w:pPr>
            <w:r w:rsidRPr="00A93F2D">
              <w:t>IAU</w:t>
            </w:r>
          </w:p>
        </w:tc>
        <w:tc>
          <w:tcPr>
            <w:tcW w:w="1277" w:type="dxa"/>
            <w:noWrap/>
            <w:tcMar>
              <w:top w:w="0" w:type="dxa"/>
              <w:left w:w="108" w:type="dxa"/>
              <w:bottom w:w="0" w:type="dxa"/>
              <w:right w:w="108" w:type="dxa"/>
            </w:tcMar>
            <w:hideMark/>
          </w:tcPr>
          <w:p w14:paraId="3765007A" w14:textId="219F64CF" w:rsidR="00B21223" w:rsidRPr="00A93F2D" w:rsidRDefault="00B21223" w:rsidP="00FF7112">
            <w:pPr>
              <w:pStyle w:val="Tabletext"/>
            </w:pPr>
            <w:r w:rsidRPr="00A93F2D">
              <w:t>Jun</w:t>
            </w:r>
            <w:r w:rsidR="00FF7112" w:rsidRPr="00A93F2D">
              <w:t xml:space="preserve">io </w:t>
            </w:r>
            <w:r w:rsidRPr="00A93F2D">
              <w:t>2017</w:t>
            </w:r>
          </w:p>
        </w:tc>
      </w:tr>
      <w:tr w:rsidR="00BF08BB" w:rsidRPr="00A93F2D" w14:paraId="2FFF36D0" w14:textId="77777777" w:rsidTr="00BF08BB">
        <w:trPr>
          <w:trHeight w:val="2451"/>
          <w:jc w:val="center"/>
        </w:trPr>
        <w:tc>
          <w:tcPr>
            <w:tcW w:w="988" w:type="dxa"/>
            <w:shd w:val="clear" w:color="auto" w:fill="D9E2F3"/>
            <w:noWrap/>
            <w:tcMar>
              <w:top w:w="0" w:type="dxa"/>
              <w:left w:w="108" w:type="dxa"/>
              <w:bottom w:w="0" w:type="dxa"/>
              <w:right w:w="108" w:type="dxa"/>
            </w:tcMar>
            <w:hideMark/>
          </w:tcPr>
          <w:p w14:paraId="22BB7C14" w14:textId="77777777" w:rsidR="00B21223" w:rsidRPr="00A93F2D" w:rsidRDefault="00B21223" w:rsidP="00FF7112">
            <w:pPr>
              <w:pStyle w:val="Tabletext"/>
              <w:rPr>
                <w:b/>
                <w:bCs/>
              </w:rPr>
            </w:pPr>
            <w:r w:rsidRPr="00A93F2D">
              <w:rPr>
                <w:b/>
                <w:bCs/>
              </w:rPr>
              <w:lastRenderedPageBreak/>
              <w:t>CAIG 2018/2</w:t>
            </w:r>
          </w:p>
        </w:tc>
        <w:tc>
          <w:tcPr>
            <w:tcW w:w="3402" w:type="dxa"/>
            <w:shd w:val="clear" w:color="auto" w:fill="D9E2F3"/>
            <w:tcMar>
              <w:top w:w="0" w:type="dxa"/>
              <w:left w:w="108" w:type="dxa"/>
              <w:bottom w:w="0" w:type="dxa"/>
              <w:right w:w="108" w:type="dxa"/>
            </w:tcMar>
            <w:hideMark/>
          </w:tcPr>
          <w:p w14:paraId="0D93D3CD" w14:textId="77777777" w:rsidR="00B21223" w:rsidRPr="00A93F2D" w:rsidRDefault="00B21223" w:rsidP="00FF7112">
            <w:pPr>
              <w:pStyle w:val="Tabletext"/>
            </w:pPr>
            <w:r w:rsidRPr="00A93F2D">
              <w:t>El CAIG recomienda que la UIT siga armonizando el modelo operacional, la estrategia de las personas y las esferas prioritarias con la visión estratégica de la Unión. Eso hará que la UIT sea una organización preparada para cumplir sus propósitos ante la rápida digitalización y el avance de la sociedad de la información. El CAIG sigue mostrando su disponibilidad a asesorar.</w:t>
            </w:r>
          </w:p>
        </w:tc>
        <w:tc>
          <w:tcPr>
            <w:tcW w:w="870" w:type="dxa"/>
            <w:shd w:val="clear" w:color="auto" w:fill="FBE4D5"/>
            <w:noWrap/>
            <w:tcMar>
              <w:top w:w="0" w:type="dxa"/>
              <w:left w:w="108" w:type="dxa"/>
              <w:bottom w:w="0" w:type="dxa"/>
              <w:right w:w="108" w:type="dxa"/>
            </w:tcMar>
            <w:hideMark/>
          </w:tcPr>
          <w:p w14:paraId="7B310C5A" w14:textId="77777777" w:rsidR="00B21223" w:rsidRPr="00A93F2D" w:rsidRDefault="00B21223" w:rsidP="00FF7112">
            <w:pPr>
              <w:pStyle w:val="Tabletext"/>
            </w:pPr>
            <w:r w:rsidRPr="00A93F2D">
              <w:t>En preparación</w:t>
            </w:r>
          </w:p>
        </w:tc>
        <w:tc>
          <w:tcPr>
            <w:tcW w:w="7062" w:type="dxa"/>
            <w:shd w:val="clear" w:color="auto" w:fill="D9E2F3"/>
            <w:tcMar>
              <w:top w:w="0" w:type="dxa"/>
              <w:left w:w="108" w:type="dxa"/>
              <w:bottom w:w="0" w:type="dxa"/>
              <w:right w:w="108" w:type="dxa"/>
            </w:tcMar>
            <w:hideMark/>
          </w:tcPr>
          <w:p w14:paraId="23B3D155" w14:textId="77777777" w:rsidR="00B21223" w:rsidRPr="00A93F2D" w:rsidRDefault="00B21223" w:rsidP="00FF7112">
            <w:pPr>
              <w:pStyle w:val="Tabletext"/>
            </w:pPr>
            <w:r w:rsidRPr="00A93F2D">
              <w:t>El HRMD ha elaborado y está aplicando la Estrategia relativa al personal de la UIT 2020-2023 y el Plan Estratégico de Recursos Humanos.</w:t>
            </w:r>
          </w:p>
          <w:p w14:paraId="44726E70" w14:textId="45682D72" w:rsidR="00B21223" w:rsidRPr="00A93F2D" w:rsidRDefault="00B21223" w:rsidP="00FF7112">
            <w:pPr>
              <w:pStyle w:val="Tabletext"/>
            </w:pPr>
            <w:r w:rsidRPr="00A93F2D">
              <w:t>En el contexto del CANG, el documento JIU/REP/2019/4 y la perturbadora situación posterior a la COVID, el programa de diagnóstico cultural y de carencias en materia de competencias de la UIT y el programa de evaluación cultural del liderazgo tienen por objeto reforzar la capacidad de la Unión, para conseguir que la UIT siga liderando el ecosistema de las TIC. En ambos programas se contemplan la capacidad interna (directivos y personal de la UIT) y la capacidad externa (la forma en que los miembros y el personal de la UIT se relacionan con los interesados externos y los Miembros).</w:t>
            </w:r>
          </w:p>
          <w:p w14:paraId="7503A03E" w14:textId="77777777" w:rsidR="00B21223" w:rsidRPr="00A93F2D" w:rsidRDefault="00B21223" w:rsidP="00FF7112">
            <w:pPr>
              <w:pStyle w:val="Tabletext"/>
            </w:pPr>
            <w:r w:rsidRPr="00A93F2D">
              <w:t>El Diagnóstico Cultural y de Carencias de Competencias de la UIT y la Evaluación Cultural del Liderazgo de la UIT se han diseñado e implementado sobre la base de un enfoque consultivo e inclusivo en toda la UIT.</w:t>
            </w:r>
          </w:p>
          <w:p w14:paraId="27275765" w14:textId="77777777" w:rsidR="00B21223" w:rsidRPr="00A93F2D" w:rsidRDefault="00B21223" w:rsidP="00FF7112">
            <w:pPr>
              <w:pStyle w:val="Tabletext"/>
            </w:pPr>
            <w:r w:rsidRPr="00A93F2D">
              <w:t>El Plan de Acción y las Recomendaciones de los proyectos serán considerados por la dirección a principios de mayo de 2021.</w:t>
            </w:r>
          </w:p>
        </w:tc>
        <w:tc>
          <w:tcPr>
            <w:tcW w:w="880" w:type="dxa"/>
            <w:shd w:val="clear" w:color="auto" w:fill="D9E2F3"/>
            <w:noWrap/>
            <w:tcMar>
              <w:top w:w="0" w:type="dxa"/>
              <w:left w:w="108" w:type="dxa"/>
              <w:bottom w:w="0" w:type="dxa"/>
              <w:right w:w="108" w:type="dxa"/>
            </w:tcMar>
            <w:hideMark/>
          </w:tcPr>
          <w:p w14:paraId="2B5094AF" w14:textId="77777777" w:rsidR="00B21223" w:rsidRPr="00A93F2D" w:rsidRDefault="00B21223" w:rsidP="00FF7112">
            <w:pPr>
              <w:pStyle w:val="Tabletext"/>
            </w:pPr>
            <w:r w:rsidRPr="00A93F2D">
              <w:t>SPM</w:t>
            </w:r>
          </w:p>
        </w:tc>
        <w:tc>
          <w:tcPr>
            <w:tcW w:w="1277" w:type="dxa"/>
            <w:shd w:val="clear" w:color="auto" w:fill="D9E2F3"/>
            <w:noWrap/>
            <w:tcMar>
              <w:top w:w="0" w:type="dxa"/>
              <w:left w:w="108" w:type="dxa"/>
              <w:bottom w:w="0" w:type="dxa"/>
              <w:right w:w="108" w:type="dxa"/>
            </w:tcMar>
            <w:hideMark/>
          </w:tcPr>
          <w:p w14:paraId="4D64D2FE" w14:textId="4EE2BE04" w:rsidR="00B21223" w:rsidRPr="00A93F2D" w:rsidRDefault="00B21223" w:rsidP="00FF7112">
            <w:pPr>
              <w:pStyle w:val="Tabletext"/>
            </w:pPr>
            <w:r w:rsidRPr="00A93F2D">
              <w:t>Jun</w:t>
            </w:r>
            <w:r w:rsidR="00FF7112" w:rsidRPr="00A93F2D">
              <w:t xml:space="preserve">io </w:t>
            </w:r>
            <w:r w:rsidRPr="00A93F2D">
              <w:t>2018</w:t>
            </w:r>
          </w:p>
        </w:tc>
      </w:tr>
      <w:tr w:rsidR="00BF08BB" w:rsidRPr="00A93F2D" w14:paraId="53498F62" w14:textId="77777777" w:rsidTr="00BF08BB">
        <w:trPr>
          <w:trHeight w:val="2132"/>
          <w:jc w:val="center"/>
        </w:trPr>
        <w:tc>
          <w:tcPr>
            <w:tcW w:w="988" w:type="dxa"/>
            <w:noWrap/>
            <w:tcMar>
              <w:top w:w="0" w:type="dxa"/>
              <w:left w:w="108" w:type="dxa"/>
              <w:bottom w:w="0" w:type="dxa"/>
              <w:right w:w="108" w:type="dxa"/>
            </w:tcMar>
            <w:hideMark/>
          </w:tcPr>
          <w:p w14:paraId="6CE6898D" w14:textId="77777777" w:rsidR="00B21223" w:rsidRPr="00A93F2D" w:rsidRDefault="00B21223" w:rsidP="00FF7112">
            <w:pPr>
              <w:pStyle w:val="Tabletext"/>
              <w:rPr>
                <w:b/>
                <w:bCs/>
              </w:rPr>
            </w:pPr>
            <w:r w:rsidRPr="00A93F2D">
              <w:rPr>
                <w:b/>
                <w:bCs/>
              </w:rPr>
              <w:t>CAIG 2019/1</w:t>
            </w:r>
          </w:p>
        </w:tc>
        <w:tc>
          <w:tcPr>
            <w:tcW w:w="3402" w:type="dxa"/>
            <w:tcMar>
              <w:top w:w="0" w:type="dxa"/>
              <w:left w:w="108" w:type="dxa"/>
              <w:bottom w:w="0" w:type="dxa"/>
              <w:right w:w="108" w:type="dxa"/>
            </w:tcMar>
            <w:hideMark/>
          </w:tcPr>
          <w:p w14:paraId="6337C4B5" w14:textId="77777777" w:rsidR="00B21223" w:rsidRPr="00A93F2D" w:rsidRDefault="00B21223" w:rsidP="00FF7112">
            <w:pPr>
              <w:pStyle w:val="Tabletext"/>
            </w:pPr>
            <w:r w:rsidRPr="00A93F2D">
              <w:t>Para reducir el riesgo de fraude, irregularidad y pérdida de reputación de la organización, el CAIG recomienda que la UIT mejore sus disposiciones con mecanismos de control inteligentes a fin de ejercer eficazmente la supervisión e imponer la rendición de cuentas cuando la Dirección se sustrae al adecuado control y supervisión. Este punto ha de ser una prioridad.</w:t>
            </w:r>
          </w:p>
        </w:tc>
        <w:tc>
          <w:tcPr>
            <w:tcW w:w="870" w:type="dxa"/>
            <w:shd w:val="clear" w:color="auto" w:fill="FBE4D5"/>
            <w:noWrap/>
            <w:tcMar>
              <w:top w:w="0" w:type="dxa"/>
              <w:left w:w="108" w:type="dxa"/>
              <w:bottom w:w="0" w:type="dxa"/>
              <w:right w:w="108" w:type="dxa"/>
            </w:tcMar>
            <w:hideMark/>
          </w:tcPr>
          <w:p w14:paraId="6D822F8A" w14:textId="77777777" w:rsidR="00B21223" w:rsidRPr="00A93F2D" w:rsidRDefault="00B21223" w:rsidP="00FF7112">
            <w:pPr>
              <w:pStyle w:val="Tabletext"/>
            </w:pPr>
            <w:r w:rsidRPr="00A93F2D">
              <w:t>En preparación</w:t>
            </w:r>
          </w:p>
        </w:tc>
        <w:tc>
          <w:tcPr>
            <w:tcW w:w="7062" w:type="dxa"/>
            <w:tcMar>
              <w:top w:w="0" w:type="dxa"/>
              <w:left w:w="108" w:type="dxa"/>
              <w:bottom w:w="0" w:type="dxa"/>
              <w:right w:w="108" w:type="dxa"/>
            </w:tcMar>
            <w:hideMark/>
          </w:tcPr>
          <w:p w14:paraId="3666AE87" w14:textId="77777777" w:rsidR="00B21223" w:rsidRPr="00A93F2D" w:rsidRDefault="00B21223" w:rsidP="00FF7112">
            <w:pPr>
              <w:pStyle w:val="Tabletext"/>
            </w:pPr>
            <w:r w:rsidRPr="00A93F2D">
              <w:t>La Directora de la BDT convocó un Grupo de Trabajo de altos directivos para revisar y reforzar los controles internos en materia de gobernanza, ética/detección del fraude y procedimientos clave. En 2019 y 2020 se implementaron numerosas medidas de control, directrices y políticas. Entre las medidas que se llevarán a término en 2021 se encuentran: el nuevo sistema de contratación electrónica y los correspondientes procedimientos; la integración de las funciones clave en el SAP; la formación en materia de declaración de intereses y denuncia de irregularidades; y la revisión del marco de rendición de cuentas.</w:t>
            </w:r>
          </w:p>
        </w:tc>
        <w:tc>
          <w:tcPr>
            <w:tcW w:w="880" w:type="dxa"/>
            <w:noWrap/>
            <w:tcMar>
              <w:top w:w="0" w:type="dxa"/>
              <w:left w:w="108" w:type="dxa"/>
              <w:bottom w:w="0" w:type="dxa"/>
              <w:right w:w="108" w:type="dxa"/>
            </w:tcMar>
            <w:hideMark/>
          </w:tcPr>
          <w:p w14:paraId="1C425261" w14:textId="77777777" w:rsidR="00B21223" w:rsidRPr="00A93F2D" w:rsidRDefault="00B21223" w:rsidP="00FF7112">
            <w:pPr>
              <w:pStyle w:val="Tabletext"/>
            </w:pPr>
            <w:r w:rsidRPr="00A93F2D">
              <w:t>BDT</w:t>
            </w:r>
          </w:p>
        </w:tc>
        <w:tc>
          <w:tcPr>
            <w:tcW w:w="1277" w:type="dxa"/>
            <w:noWrap/>
            <w:tcMar>
              <w:top w:w="0" w:type="dxa"/>
              <w:left w:w="108" w:type="dxa"/>
              <w:bottom w:w="0" w:type="dxa"/>
              <w:right w:w="108" w:type="dxa"/>
            </w:tcMar>
            <w:hideMark/>
          </w:tcPr>
          <w:p w14:paraId="375F04D7" w14:textId="79BEFD9F" w:rsidR="00B21223" w:rsidRPr="00A93F2D" w:rsidRDefault="00B21223" w:rsidP="00FF7112">
            <w:pPr>
              <w:pStyle w:val="Tabletext"/>
            </w:pPr>
            <w:r w:rsidRPr="00A93F2D">
              <w:t>Jun</w:t>
            </w:r>
            <w:r w:rsidR="00BF08BB" w:rsidRPr="00A93F2D">
              <w:t xml:space="preserve">io </w:t>
            </w:r>
            <w:r w:rsidRPr="00A93F2D">
              <w:t>2019</w:t>
            </w:r>
          </w:p>
        </w:tc>
      </w:tr>
      <w:tr w:rsidR="00BF08BB" w:rsidRPr="00A93F2D" w14:paraId="129D94FA" w14:textId="77777777" w:rsidTr="00BF08BB">
        <w:trPr>
          <w:trHeight w:val="1425"/>
          <w:jc w:val="center"/>
        </w:trPr>
        <w:tc>
          <w:tcPr>
            <w:tcW w:w="988" w:type="dxa"/>
            <w:shd w:val="clear" w:color="auto" w:fill="D9E2F3"/>
            <w:noWrap/>
            <w:tcMar>
              <w:top w:w="0" w:type="dxa"/>
              <w:left w:w="108" w:type="dxa"/>
              <w:bottom w:w="0" w:type="dxa"/>
              <w:right w:w="108" w:type="dxa"/>
            </w:tcMar>
            <w:hideMark/>
          </w:tcPr>
          <w:p w14:paraId="480E964A" w14:textId="77777777" w:rsidR="00B21223" w:rsidRPr="00A93F2D" w:rsidRDefault="00B21223" w:rsidP="00FF7112">
            <w:pPr>
              <w:pStyle w:val="Tabletext"/>
              <w:rPr>
                <w:b/>
                <w:bCs/>
              </w:rPr>
            </w:pPr>
            <w:r w:rsidRPr="00A93F2D">
              <w:rPr>
                <w:b/>
                <w:bCs/>
              </w:rPr>
              <w:lastRenderedPageBreak/>
              <w:t>CAIG 2019/4</w:t>
            </w:r>
          </w:p>
        </w:tc>
        <w:tc>
          <w:tcPr>
            <w:tcW w:w="3402" w:type="dxa"/>
            <w:shd w:val="clear" w:color="auto" w:fill="D9E2F3"/>
            <w:tcMar>
              <w:top w:w="0" w:type="dxa"/>
              <w:left w:w="108" w:type="dxa"/>
              <w:bottom w:w="0" w:type="dxa"/>
              <w:right w:w="108" w:type="dxa"/>
            </w:tcMar>
            <w:hideMark/>
          </w:tcPr>
          <w:p w14:paraId="72A8801A" w14:textId="77777777" w:rsidR="00B21223" w:rsidRPr="00A93F2D" w:rsidRDefault="00B21223" w:rsidP="00FF7112">
            <w:pPr>
              <w:pStyle w:val="Tabletext"/>
            </w:pPr>
            <w:r w:rsidRPr="00A93F2D">
              <w:t>El CAIG recomienda que la UIT cumpla rigurosamente todos los requisitos de sus directrices en materia de compras y observe todas las directrices arquitectónicas obligatorias en relación con todos los elementos del proyecto financiados con donaciones o patrocinios.</w:t>
            </w:r>
          </w:p>
        </w:tc>
        <w:tc>
          <w:tcPr>
            <w:tcW w:w="870" w:type="dxa"/>
            <w:shd w:val="clear" w:color="auto" w:fill="FBE4D5"/>
            <w:noWrap/>
            <w:tcMar>
              <w:top w:w="0" w:type="dxa"/>
              <w:left w:w="108" w:type="dxa"/>
              <w:bottom w:w="0" w:type="dxa"/>
              <w:right w:w="108" w:type="dxa"/>
            </w:tcMar>
            <w:hideMark/>
          </w:tcPr>
          <w:p w14:paraId="454762E0" w14:textId="77777777" w:rsidR="00B21223" w:rsidRPr="00A93F2D" w:rsidRDefault="00B21223" w:rsidP="00FF7112">
            <w:pPr>
              <w:pStyle w:val="Tabletext"/>
            </w:pPr>
            <w:r w:rsidRPr="00A93F2D">
              <w:t>En preparación</w:t>
            </w:r>
          </w:p>
        </w:tc>
        <w:tc>
          <w:tcPr>
            <w:tcW w:w="7062" w:type="dxa"/>
            <w:shd w:val="clear" w:color="auto" w:fill="D9E2F3"/>
            <w:tcMar>
              <w:top w:w="0" w:type="dxa"/>
              <w:left w:w="108" w:type="dxa"/>
              <w:bottom w:w="0" w:type="dxa"/>
              <w:right w:w="108" w:type="dxa"/>
            </w:tcMar>
            <w:hideMark/>
          </w:tcPr>
          <w:p w14:paraId="5EA907E9" w14:textId="77777777" w:rsidR="00B21223" w:rsidRPr="00A93F2D" w:rsidRDefault="00B21223" w:rsidP="00FF7112">
            <w:pPr>
              <w:pStyle w:val="Tabletext"/>
            </w:pPr>
            <w:r w:rsidRPr="00A93F2D">
              <w:t>A tenor del Acuerdo 619 del Consejo 2019, encarga al Secretario General 10: que siga observando las normas más estrictas en materia de ética y adquisiciones en todos los procedimientos de licitación organizados a lo largo de todo el proyecto. El proceso de adquisición para el establecimiento del contrato general de construcción (</w:t>
            </w:r>
            <w:proofErr w:type="spellStart"/>
            <w:r w:rsidRPr="00A93F2D">
              <w:t>Contrat</w:t>
            </w:r>
            <w:proofErr w:type="spellEnd"/>
            <w:r w:rsidRPr="00A93F2D">
              <w:t xml:space="preserve"> </w:t>
            </w:r>
            <w:proofErr w:type="spellStart"/>
            <w:r w:rsidRPr="00A93F2D">
              <w:t>d'entreprise</w:t>
            </w:r>
            <w:proofErr w:type="spellEnd"/>
            <w:r w:rsidRPr="00A93F2D">
              <w:t xml:space="preserve"> general) se llevará a cabo en sintonía con las instrucciones del Manual de Adquisiciones y el Reglamento Financiero y las Reglas Financieras de la UIT.</w:t>
            </w:r>
          </w:p>
        </w:tc>
        <w:tc>
          <w:tcPr>
            <w:tcW w:w="880" w:type="dxa"/>
            <w:shd w:val="clear" w:color="auto" w:fill="D9E2F3"/>
            <w:noWrap/>
            <w:tcMar>
              <w:top w:w="0" w:type="dxa"/>
              <w:left w:w="108" w:type="dxa"/>
              <w:bottom w:w="0" w:type="dxa"/>
              <w:right w:w="108" w:type="dxa"/>
            </w:tcMar>
            <w:hideMark/>
          </w:tcPr>
          <w:p w14:paraId="15A15C00" w14:textId="77777777" w:rsidR="00B21223" w:rsidRPr="00A93F2D" w:rsidRDefault="00B21223" w:rsidP="00FF7112">
            <w:pPr>
              <w:pStyle w:val="Tabletext"/>
            </w:pPr>
            <w:r w:rsidRPr="00A93F2D">
              <w:t>FRMD</w:t>
            </w:r>
          </w:p>
        </w:tc>
        <w:tc>
          <w:tcPr>
            <w:tcW w:w="1277" w:type="dxa"/>
            <w:shd w:val="clear" w:color="auto" w:fill="D9E2F3"/>
            <w:noWrap/>
            <w:tcMar>
              <w:top w:w="0" w:type="dxa"/>
              <w:left w:w="108" w:type="dxa"/>
              <w:bottom w:w="0" w:type="dxa"/>
              <w:right w:w="108" w:type="dxa"/>
            </w:tcMar>
            <w:hideMark/>
          </w:tcPr>
          <w:p w14:paraId="6A53241E" w14:textId="12594790" w:rsidR="00B21223" w:rsidRPr="00A93F2D" w:rsidRDefault="00B21223" w:rsidP="00FF7112">
            <w:pPr>
              <w:pStyle w:val="Tabletext"/>
            </w:pPr>
            <w:r w:rsidRPr="00A93F2D">
              <w:t>Jun</w:t>
            </w:r>
            <w:r w:rsidR="00BF08BB" w:rsidRPr="00A93F2D">
              <w:t xml:space="preserve">io </w:t>
            </w:r>
            <w:r w:rsidRPr="00A93F2D">
              <w:t>2019</w:t>
            </w:r>
          </w:p>
        </w:tc>
      </w:tr>
      <w:tr w:rsidR="00BF08BB" w:rsidRPr="00A93F2D" w14:paraId="0CCA27C5" w14:textId="77777777" w:rsidTr="00BF08BB">
        <w:trPr>
          <w:trHeight w:val="1140"/>
          <w:jc w:val="center"/>
        </w:trPr>
        <w:tc>
          <w:tcPr>
            <w:tcW w:w="988" w:type="dxa"/>
            <w:noWrap/>
            <w:tcMar>
              <w:top w:w="0" w:type="dxa"/>
              <w:left w:w="108" w:type="dxa"/>
              <w:bottom w:w="0" w:type="dxa"/>
              <w:right w:w="108" w:type="dxa"/>
            </w:tcMar>
            <w:hideMark/>
          </w:tcPr>
          <w:p w14:paraId="4268FAE2" w14:textId="77777777" w:rsidR="00B21223" w:rsidRPr="00A93F2D" w:rsidRDefault="00B21223" w:rsidP="00BF08BB">
            <w:pPr>
              <w:pStyle w:val="Tabletext"/>
              <w:spacing w:before="40" w:after="40"/>
              <w:rPr>
                <w:b/>
                <w:bCs/>
              </w:rPr>
            </w:pPr>
            <w:r w:rsidRPr="00A93F2D">
              <w:rPr>
                <w:b/>
                <w:bCs/>
              </w:rPr>
              <w:t>CAIG 2020/1</w:t>
            </w:r>
          </w:p>
        </w:tc>
        <w:tc>
          <w:tcPr>
            <w:tcW w:w="3402" w:type="dxa"/>
            <w:tcMar>
              <w:top w:w="0" w:type="dxa"/>
              <w:left w:w="108" w:type="dxa"/>
              <w:bottom w:w="0" w:type="dxa"/>
              <w:right w:w="108" w:type="dxa"/>
            </w:tcMar>
            <w:hideMark/>
          </w:tcPr>
          <w:p w14:paraId="506D958E" w14:textId="77777777" w:rsidR="00B21223" w:rsidRPr="00A93F2D" w:rsidRDefault="00B21223" w:rsidP="00BF08BB">
            <w:pPr>
              <w:pStyle w:val="Tabletext"/>
              <w:spacing w:before="40" w:after="40"/>
            </w:pPr>
            <w:r w:rsidRPr="00A93F2D">
              <w:t>En toda organización, la Auditoría Interna es la tercera línea de defensa que ofrece garantías en lo que atañe a sus procesos de gestión de riesgos y control interno. El CAIG recomienda reforzar considerablemente los recursos, la cobertura y la idoneidad de los procesos de la Unidad de Auditoría Interna.</w:t>
            </w:r>
          </w:p>
        </w:tc>
        <w:tc>
          <w:tcPr>
            <w:tcW w:w="870" w:type="dxa"/>
            <w:shd w:val="clear" w:color="auto" w:fill="FBE4D5"/>
            <w:noWrap/>
            <w:tcMar>
              <w:top w:w="0" w:type="dxa"/>
              <w:left w:w="108" w:type="dxa"/>
              <w:bottom w:w="0" w:type="dxa"/>
              <w:right w:w="108" w:type="dxa"/>
            </w:tcMar>
            <w:hideMark/>
          </w:tcPr>
          <w:p w14:paraId="170F402E" w14:textId="77777777" w:rsidR="00B21223" w:rsidRPr="00A93F2D" w:rsidRDefault="00B21223" w:rsidP="00BF08BB">
            <w:pPr>
              <w:pStyle w:val="Tabletext"/>
              <w:spacing w:before="40" w:after="40"/>
            </w:pPr>
            <w:r w:rsidRPr="00A93F2D">
              <w:t>En preparación</w:t>
            </w:r>
          </w:p>
        </w:tc>
        <w:tc>
          <w:tcPr>
            <w:tcW w:w="7062" w:type="dxa"/>
            <w:tcMar>
              <w:top w:w="0" w:type="dxa"/>
              <w:left w:w="108" w:type="dxa"/>
              <w:bottom w:w="0" w:type="dxa"/>
              <w:right w:w="108" w:type="dxa"/>
            </w:tcMar>
            <w:hideMark/>
          </w:tcPr>
          <w:p w14:paraId="3F1DE526" w14:textId="77777777" w:rsidR="00B21223" w:rsidRPr="00A93F2D" w:rsidRDefault="00B21223" w:rsidP="00BF08BB">
            <w:pPr>
              <w:pStyle w:val="Tabletext"/>
              <w:spacing w:before="40" w:after="40"/>
            </w:pPr>
            <w:r w:rsidRPr="00A93F2D">
              <w:t>Aviso de vacante publicado el 15 de febrero de 2021, proceso de selección en curso a lo largo del segundo y tercer trimestre de 2021 según los procedimientos de contratación del HRMD.</w:t>
            </w:r>
          </w:p>
        </w:tc>
        <w:tc>
          <w:tcPr>
            <w:tcW w:w="880" w:type="dxa"/>
            <w:noWrap/>
            <w:tcMar>
              <w:top w:w="0" w:type="dxa"/>
              <w:left w:w="108" w:type="dxa"/>
              <w:bottom w:w="0" w:type="dxa"/>
              <w:right w:w="108" w:type="dxa"/>
            </w:tcMar>
            <w:hideMark/>
          </w:tcPr>
          <w:p w14:paraId="78ECC4BC" w14:textId="77777777" w:rsidR="00B21223" w:rsidRPr="00A93F2D" w:rsidRDefault="00B21223" w:rsidP="00BF08BB">
            <w:pPr>
              <w:pStyle w:val="Tabletext"/>
              <w:spacing w:before="40" w:after="40"/>
            </w:pPr>
            <w:r w:rsidRPr="00A93F2D">
              <w:t>IAU</w:t>
            </w:r>
          </w:p>
        </w:tc>
        <w:tc>
          <w:tcPr>
            <w:tcW w:w="1277" w:type="dxa"/>
            <w:noWrap/>
            <w:tcMar>
              <w:top w:w="0" w:type="dxa"/>
              <w:left w:w="108" w:type="dxa"/>
              <w:bottom w:w="0" w:type="dxa"/>
              <w:right w:w="108" w:type="dxa"/>
            </w:tcMar>
            <w:hideMark/>
          </w:tcPr>
          <w:p w14:paraId="2E4449A6" w14:textId="4127E2E0" w:rsidR="00B21223" w:rsidRPr="00A93F2D" w:rsidRDefault="00B21223" w:rsidP="00BF08BB">
            <w:pPr>
              <w:pStyle w:val="Tabletext"/>
              <w:spacing w:before="40" w:after="40"/>
            </w:pPr>
            <w:r w:rsidRPr="00A93F2D">
              <w:t>Dic</w:t>
            </w:r>
            <w:r w:rsidR="00BF08BB" w:rsidRPr="00A93F2D">
              <w:t xml:space="preserve">iembre </w:t>
            </w:r>
            <w:r w:rsidRPr="00A93F2D">
              <w:t>2020</w:t>
            </w:r>
          </w:p>
        </w:tc>
      </w:tr>
      <w:tr w:rsidR="00BF08BB" w:rsidRPr="00A93F2D" w14:paraId="5469066F" w14:textId="77777777" w:rsidTr="00BF08BB">
        <w:trPr>
          <w:trHeight w:val="187"/>
          <w:jc w:val="center"/>
        </w:trPr>
        <w:tc>
          <w:tcPr>
            <w:tcW w:w="988" w:type="dxa"/>
            <w:shd w:val="clear" w:color="auto" w:fill="D9E2F3"/>
            <w:noWrap/>
            <w:tcMar>
              <w:top w:w="0" w:type="dxa"/>
              <w:left w:w="108" w:type="dxa"/>
              <w:bottom w:w="0" w:type="dxa"/>
              <w:right w:w="108" w:type="dxa"/>
            </w:tcMar>
            <w:hideMark/>
          </w:tcPr>
          <w:p w14:paraId="42646877" w14:textId="77777777" w:rsidR="00B21223" w:rsidRPr="00A93F2D" w:rsidRDefault="00B21223" w:rsidP="00BF08BB">
            <w:pPr>
              <w:pStyle w:val="Tabletext"/>
              <w:keepNext/>
              <w:keepLines/>
              <w:spacing w:before="40" w:after="40"/>
              <w:rPr>
                <w:b/>
                <w:bCs/>
              </w:rPr>
            </w:pPr>
            <w:r w:rsidRPr="00A93F2D">
              <w:rPr>
                <w:b/>
                <w:bCs/>
              </w:rPr>
              <w:lastRenderedPageBreak/>
              <w:t>CAIG 2020/2</w:t>
            </w:r>
          </w:p>
        </w:tc>
        <w:tc>
          <w:tcPr>
            <w:tcW w:w="3402" w:type="dxa"/>
            <w:shd w:val="clear" w:color="auto" w:fill="D9E2F3"/>
            <w:tcMar>
              <w:top w:w="0" w:type="dxa"/>
              <w:left w:w="108" w:type="dxa"/>
              <w:bottom w:w="0" w:type="dxa"/>
              <w:right w:w="108" w:type="dxa"/>
            </w:tcMar>
            <w:hideMark/>
          </w:tcPr>
          <w:p w14:paraId="2108640A" w14:textId="77777777" w:rsidR="00B21223" w:rsidRPr="00A93F2D" w:rsidRDefault="00B21223" w:rsidP="00BF08BB">
            <w:pPr>
              <w:pStyle w:val="Tabletext"/>
              <w:keepNext/>
              <w:keepLines/>
              <w:spacing w:before="40" w:after="40"/>
            </w:pPr>
            <w:r w:rsidRPr="00A93F2D">
              <w:t>El CAIG recomienda que la dirección examine el proceso en curso a fin de reforzar el sistema de planificación de los recursos institucionales del HRMD y efectúe un examen al respecto con carácter prioritario que incluya la solución más adecuada.</w:t>
            </w:r>
          </w:p>
        </w:tc>
        <w:tc>
          <w:tcPr>
            <w:tcW w:w="870" w:type="dxa"/>
            <w:shd w:val="clear" w:color="auto" w:fill="FBE4D5"/>
            <w:noWrap/>
            <w:tcMar>
              <w:top w:w="0" w:type="dxa"/>
              <w:left w:w="108" w:type="dxa"/>
              <w:bottom w:w="0" w:type="dxa"/>
              <w:right w:w="108" w:type="dxa"/>
            </w:tcMar>
            <w:hideMark/>
          </w:tcPr>
          <w:p w14:paraId="59F2A00F" w14:textId="77777777" w:rsidR="00B21223" w:rsidRPr="00A93F2D" w:rsidRDefault="00B21223" w:rsidP="00BF08BB">
            <w:pPr>
              <w:pStyle w:val="Tabletext"/>
              <w:keepNext/>
              <w:keepLines/>
              <w:spacing w:before="40" w:after="40"/>
            </w:pPr>
            <w:r w:rsidRPr="00A93F2D">
              <w:t>En preparación</w:t>
            </w:r>
          </w:p>
        </w:tc>
        <w:tc>
          <w:tcPr>
            <w:tcW w:w="7062" w:type="dxa"/>
            <w:shd w:val="clear" w:color="auto" w:fill="D9E2F3"/>
            <w:tcMar>
              <w:top w:w="0" w:type="dxa"/>
              <w:left w:w="108" w:type="dxa"/>
              <w:bottom w:w="0" w:type="dxa"/>
              <w:right w:w="108" w:type="dxa"/>
            </w:tcMar>
            <w:hideMark/>
          </w:tcPr>
          <w:p w14:paraId="4BF343C7" w14:textId="77777777" w:rsidR="00B21223" w:rsidRPr="00A93F2D" w:rsidRDefault="00B21223" w:rsidP="00BF08BB">
            <w:pPr>
              <w:pStyle w:val="Tabletext"/>
              <w:keepNext/>
              <w:keepLines/>
              <w:spacing w:before="40" w:after="40"/>
            </w:pPr>
            <w:r w:rsidRPr="00A93F2D">
              <w:t>La UIT apoya las recomendaciones sobre el fortalecimiento de la integración de los procesos institucionales existentes en el sistema ERP para reducir el procesamiento manual e introducir más automatización, con el objetivo de simplificar, reducir el tiempo de procesamiento y disminuir los riesgos. Se han corregido todos los errores (después de los cambios de la CAPI y las nuevas normas). Los últimos se aplicarán para la nómina de abril de 2021. Se han instalado nuevas funcionalidades: nuevos informes de la UNSMIS, generación automática de cartas de nombramiento y prolongación de contrato, y módulos de HRMD de asignación de becas de estudio. Antes de junio de 2021, debería instalarse el módulo de contabilización de las becas de estudios. La instalación de las nuevas funcionalidades identificadas sigue con la implementación de la identificación universal del CCPPNU, una nueva versión de los informes anuales del CCPPNU. Se han puesto en marcha nuevos proyectos prioritarios que no figuraban en la lista de 2020 (cuyo plazo de ejecución finaliza en 2021): Nuevo sistema de gestión de contrataciones de la UIT, Nuevo sistema de gestión del aprendizaje en la UIT, y migración del sistema de gestión de expertos de la BDT al ERP SAP.</w:t>
            </w:r>
          </w:p>
        </w:tc>
        <w:tc>
          <w:tcPr>
            <w:tcW w:w="880" w:type="dxa"/>
            <w:shd w:val="clear" w:color="auto" w:fill="D9E2F3"/>
            <w:noWrap/>
            <w:tcMar>
              <w:top w:w="0" w:type="dxa"/>
              <w:left w:w="108" w:type="dxa"/>
              <w:bottom w:w="0" w:type="dxa"/>
              <w:right w:w="108" w:type="dxa"/>
            </w:tcMar>
            <w:hideMark/>
          </w:tcPr>
          <w:p w14:paraId="4E7C0B73" w14:textId="77777777" w:rsidR="00B21223" w:rsidRPr="00A93F2D" w:rsidRDefault="00B21223" w:rsidP="00BF08BB">
            <w:pPr>
              <w:pStyle w:val="Tabletext"/>
              <w:keepNext/>
              <w:keepLines/>
              <w:spacing w:before="40" w:after="40"/>
            </w:pPr>
            <w:r w:rsidRPr="00A93F2D">
              <w:t>HRMD</w:t>
            </w:r>
          </w:p>
        </w:tc>
        <w:tc>
          <w:tcPr>
            <w:tcW w:w="1277" w:type="dxa"/>
            <w:shd w:val="clear" w:color="auto" w:fill="D9E2F3"/>
            <w:noWrap/>
            <w:tcMar>
              <w:top w:w="0" w:type="dxa"/>
              <w:left w:w="108" w:type="dxa"/>
              <w:bottom w:w="0" w:type="dxa"/>
              <w:right w:w="108" w:type="dxa"/>
            </w:tcMar>
            <w:hideMark/>
          </w:tcPr>
          <w:p w14:paraId="07D012AC" w14:textId="7F126FD0" w:rsidR="00B21223" w:rsidRPr="00A93F2D" w:rsidRDefault="00BF08BB" w:rsidP="00BF08BB">
            <w:pPr>
              <w:pStyle w:val="Tabletext"/>
              <w:keepNext/>
              <w:keepLines/>
              <w:spacing w:before="40" w:after="40"/>
            </w:pPr>
            <w:r w:rsidRPr="00A93F2D">
              <w:t>Diciembre 2020</w:t>
            </w:r>
          </w:p>
        </w:tc>
      </w:tr>
      <w:bookmarkEnd w:id="12"/>
    </w:tbl>
    <w:p w14:paraId="47520E39" w14:textId="77777777" w:rsidR="00BF08BB" w:rsidRPr="00A93F2D" w:rsidRDefault="00BF08BB" w:rsidP="00411C49">
      <w:pPr>
        <w:pStyle w:val="Reasons"/>
      </w:pPr>
    </w:p>
    <w:p w14:paraId="31F888DC" w14:textId="77777777" w:rsidR="00BF08BB" w:rsidRPr="00A93F2D" w:rsidRDefault="00BF08BB">
      <w:pPr>
        <w:jc w:val="center"/>
      </w:pPr>
      <w:r w:rsidRPr="00A93F2D">
        <w:t>______________</w:t>
      </w:r>
    </w:p>
    <w:sectPr w:rsidR="00BF08BB" w:rsidRPr="00A93F2D" w:rsidSect="00B21223">
      <w:headerReference w:type="first" r:id="rId29"/>
      <w:footerReference w:type="first" r:id="rId30"/>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73FFE" w14:textId="77777777" w:rsidR="00266F41" w:rsidRDefault="00266F41">
      <w:r>
        <w:separator/>
      </w:r>
    </w:p>
  </w:endnote>
  <w:endnote w:type="continuationSeparator" w:id="0">
    <w:p w14:paraId="565ECB8E" w14:textId="77777777" w:rsidR="00266F41" w:rsidRDefault="00266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36FE3" w14:textId="08A14BCF" w:rsidR="00266F41" w:rsidRPr="0099407D" w:rsidRDefault="0099407D">
    <w:pPr>
      <w:pStyle w:val="Footer"/>
      <w:rPr>
        <w:lang w:val="fr-CH"/>
      </w:rPr>
    </w:pPr>
    <w:r w:rsidRPr="0099407D">
      <w:rPr>
        <w:color w:val="F2F2F2" w:themeColor="background1" w:themeShade="F2"/>
      </w:rPr>
      <w:fldChar w:fldCharType="begin"/>
    </w:r>
    <w:r w:rsidRPr="0099407D">
      <w:rPr>
        <w:color w:val="F2F2F2" w:themeColor="background1" w:themeShade="F2"/>
      </w:rPr>
      <w:instrText xml:space="preserve"> FILENAME \p \* MERGEFORMAT </w:instrText>
    </w:r>
    <w:r w:rsidRPr="0099407D">
      <w:rPr>
        <w:color w:val="F2F2F2" w:themeColor="background1" w:themeShade="F2"/>
      </w:rPr>
      <w:fldChar w:fldCharType="separate"/>
    </w:r>
    <w:r w:rsidR="00113A8E" w:rsidRPr="0099407D">
      <w:rPr>
        <w:color w:val="F2F2F2" w:themeColor="background1" w:themeShade="F2"/>
        <w:lang w:val="fr-CH"/>
      </w:rPr>
      <w:t>P</w:t>
    </w:r>
    <w:r w:rsidR="00113A8E" w:rsidRPr="0099407D">
      <w:rPr>
        <w:color w:val="F2F2F2" w:themeColor="background1" w:themeShade="F2"/>
      </w:rPr>
      <w:t>:\ESP\SG\CONSEIL\C21\000\022S.docx</w:t>
    </w:r>
    <w:r w:rsidRPr="0099407D">
      <w:rPr>
        <w:color w:val="F2F2F2" w:themeColor="background1" w:themeShade="F2"/>
      </w:rPr>
      <w:fldChar w:fldCharType="end"/>
    </w:r>
    <w:r w:rsidR="00266F41" w:rsidRPr="0099407D">
      <w:rPr>
        <w:color w:val="F2F2F2" w:themeColor="background1" w:themeShade="F2"/>
        <w:lang w:val="fr-CH"/>
      </w:rPr>
      <w:t xml:space="preserve"> (483215)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72ABE" w14:textId="77777777" w:rsidR="00266F41" w:rsidRDefault="00266F41">
    <w:pPr>
      <w:spacing w:after="120"/>
      <w:jc w:val="center"/>
    </w:pPr>
    <w:r>
      <w:t xml:space="preserve">• </w:t>
    </w:r>
    <w:hyperlink r:id="rId1" w:history="1">
      <w:r>
        <w:rPr>
          <w:rStyle w:val="Hyperlink"/>
        </w:rPr>
        <w:t>http://www.itu.int/council</w:t>
      </w:r>
    </w:hyperlink>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CA7A6" w14:textId="4641C632" w:rsidR="00266F41" w:rsidRPr="0099407D" w:rsidRDefault="0099407D" w:rsidP="00B21223">
    <w:pPr>
      <w:pStyle w:val="Footer"/>
      <w:rPr>
        <w:lang w:val="fr-CH"/>
      </w:rPr>
    </w:pPr>
    <w:r w:rsidRPr="0099407D">
      <w:rPr>
        <w:color w:val="F2F2F2" w:themeColor="background1" w:themeShade="F2"/>
      </w:rPr>
      <w:fldChar w:fldCharType="begin"/>
    </w:r>
    <w:r w:rsidRPr="0099407D">
      <w:rPr>
        <w:color w:val="F2F2F2" w:themeColor="background1" w:themeShade="F2"/>
      </w:rPr>
      <w:instrText xml:space="preserve"> FILENAME \p \* MERGEFORMAT </w:instrText>
    </w:r>
    <w:r w:rsidRPr="0099407D">
      <w:rPr>
        <w:color w:val="F2F2F2" w:themeColor="background1" w:themeShade="F2"/>
      </w:rPr>
      <w:fldChar w:fldCharType="separate"/>
    </w:r>
    <w:r w:rsidR="00113A8E" w:rsidRPr="0099407D">
      <w:rPr>
        <w:color w:val="F2F2F2" w:themeColor="background1" w:themeShade="F2"/>
        <w:lang w:val="fr-CH"/>
      </w:rPr>
      <w:t>P</w:t>
    </w:r>
    <w:r w:rsidR="00113A8E" w:rsidRPr="0099407D">
      <w:rPr>
        <w:color w:val="F2F2F2" w:themeColor="background1" w:themeShade="F2"/>
      </w:rPr>
      <w:t>:\ESP\SG\CONSEIL\C21\000\022S.docx</w:t>
    </w:r>
    <w:r w:rsidRPr="0099407D">
      <w:rPr>
        <w:color w:val="F2F2F2" w:themeColor="background1" w:themeShade="F2"/>
      </w:rPr>
      <w:fldChar w:fldCharType="end"/>
    </w:r>
    <w:r w:rsidR="00266F41" w:rsidRPr="0099407D">
      <w:rPr>
        <w:color w:val="F2F2F2" w:themeColor="background1" w:themeShade="F2"/>
        <w:lang w:val="fr-CH"/>
      </w:rPr>
      <w:t xml:space="preserve"> (483215)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997B7" w14:textId="77777777" w:rsidR="00266F41" w:rsidRDefault="00266F41">
      <w:r>
        <w:t>____________________</w:t>
      </w:r>
    </w:p>
  </w:footnote>
  <w:footnote w:type="continuationSeparator" w:id="0">
    <w:p w14:paraId="3D748FAB" w14:textId="77777777" w:rsidR="00266F41" w:rsidRDefault="00266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B25E7" w14:textId="77777777" w:rsidR="00266F41" w:rsidRDefault="00266F41" w:rsidP="007657F0">
    <w:pPr>
      <w:pStyle w:val="Header"/>
    </w:pPr>
    <w:r>
      <w:fldChar w:fldCharType="begin"/>
    </w:r>
    <w:r>
      <w:instrText>PAGE</w:instrText>
    </w:r>
    <w:r>
      <w:fldChar w:fldCharType="separate"/>
    </w:r>
    <w:r>
      <w:rPr>
        <w:noProof/>
      </w:rPr>
      <w:t>2</w:t>
    </w:r>
    <w:r>
      <w:rPr>
        <w:noProof/>
      </w:rPr>
      <w:fldChar w:fldCharType="end"/>
    </w:r>
  </w:p>
  <w:p w14:paraId="1A09F340" w14:textId="59E554A2" w:rsidR="00266F41" w:rsidRDefault="00266F41" w:rsidP="00B21223">
    <w:pPr>
      <w:pStyle w:val="Header"/>
      <w:spacing w:after="120"/>
    </w:pPr>
    <w:r>
      <w:t>C21/22-S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E53EF" w14:textId="77777777" w:rsidR="00266F41" w:rsidRDefault="00266F41" w:rsidP="00B21223">
    <w:pPr>
      <w:pStyle w:val="Header"/>
    </w:pPr>
    <w:r>
      <w:fldChar w:fldCharType="begin"/>
    </w:r>
    <w:r>
      <w:instrText>PAGE</w:instrText>
    </w:r>
    <w:r>
      <w:fldChar w:fldCharType="separate"/>
    </w:r>
    <w:r>
      <w:t>12</w:t>
    </w:r>
    <w:r>
      <w:rPr>
        <w:noProof/>
      </w:rPr>
      <w:fldChar w:fldCharType="end"/>
    </w:r>
  </w:p>
  <w:p w14:paraId="6D5305A9" w14:textId="455E769E" w:rsidR="00266F41" w:rsidRDefault="00266F41" w:rsidP="00B21223">
    <w:pPr>
      <w:pStyle w:val="Header"/>
      <w:spacing w:after="120"/>
    </w:pPr>
    <w:r>
      <w:t>C21/22-S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ED63B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5008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3C0C8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623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B1C61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46E2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E873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A090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248A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23A355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934"/>
    <w:rsid w:val="000007D1"/>
    <w:rsid w:val="00093EEB"/>
    <w:rsid w:val="000B0D00"/>
    <w:rsid w:val="000B7C15"/>
    <w:rsid w:val="000D1D0F"/>
    <w:rsid w:val="000E7E45"/>
    <w:rsid w:val="000F5290"/>
    <w:rsid w:val="0010165C"/>
    <w:rsid w:val="00113A8E"/>
    <w:rsid w:val="00146BFB"/>
    <w:rsid w:val="00170EFF"/>
    <w:rsid w:val="00196A80"/>
    <w:rsid w:val="001F14A2"/>
    <w:rsid w:val="00243934"/>
    <w:rsid w:val="00266F41"/>
    <w:rsid w:val="002801AA"/>
    <w:rsid w:val="002C4676"/>
    <w:rsid w:val="002C70B0"/>
    <w:rsid w:val="002F3CC4"/>
    <w:rsid w:val="004840F5"/>
    <w:rsid w:val="00513630"/>
    <w:rsid w:val="00560125"/>
    <w:rsid w:val="00585553"/>
    <w:rsid w:val="005B34D9"/>
    <w:rsid w:val="005D0CCF"/>
    <w:rsid w:val="005F3BCB"/>
    <w:rsid w:val="005F410F"/>
    <w:rsid w:val="0060149A"/>
    <w:rsid w:val="00601924"/>
    <w:rsid w:val="006447EA"/>
    <w:rsid w:val="0064731F"/>
    <w:rsid w:val="00664572"/>
    <w:rsid w:val="006710F6"/>
    <w:rsid w:val="006C1B56"/>
    <w:rsid w:val="006D4761"/>
    <w:rsid w:val="00726872"/>
    <w:rsid w:val="00760F1C"/>
    <w:rsid w:val="007657F0"/>
    <w:rsid w:val="0077252D"/>
    <w:rsid w:val="007955DA"/>
    <w:rsid w:val="007E5DD3"/>
    <w:rsid w:val="007F350B"/>
    <w:rsid w:val="00820BE4"/>
    <w:rsid w:val="008451E8"/>
    <w:rsid w:val="00913B9C"/>
    <w:rsid w:val="00956E77"/>
    <w:rsid w:val="0099407D"/>
    <w:rsid w:val="009C5C18"/>
    <w:rsid w:val="009F4811"/>
    <w:rsid w:val="00A806E0"/>
    <w:rsid w:val="00A93F2D"/>
    <w:rsid w:val="00AA390C"/>
    <w:rsid w:val="00B0200A"/>
    <w:rsid w:val="00B21223"/>
    <w:rsid w:val="00B54BFB"/>
    <w:rsid w:val="00B574DB"/>
    <w:rsid w:val="00B826C2"/>
    <w:rsid w:val="00B8298E"/>
    <w:rsid w:val="00BD0723"/>
    <w:rsid w:val="00BD2518"/>
    <w:rsid w:val="00BF08BB"/>
    <w:rsid w:val="00BF1D1C"/>
    <w:rsid w:val="00C20C59"/>
    <w:rsid w:val="00C2727F"/>
    <w:rsid w:val="00C55B1F"/>
    <w:rsid w:val="00CC6F26"/>
    <w:rsid w:val="00CF1A67"/>
    <w:rsid w:val="00D2750E"/>
    <w:rsid w:val="00D51E4C"/>
    <w:rsid w:val="00D62446"/>
    <w:rsid w:val="00DA4EA2"/>
    <w:rsid w:val="00DC3D3E"/>
    <w:rsid w:val="00DE2C90"/>
    <w:rsid w:val="00DE3B24"/>
    <w:rsid w:val="00E06947"/>
    <w:rsid w:val="00E3592D"/>
    <w:rsid w:val="00E80F85"/>
    <w:rsid w:val="00E92DE8"/>
    <w:rsid w:val="00EA6C58"/>
    <w:rsid w:val="00EB1212"/>
    <w:rsid w:val="00EB1E9E"/>
    <w:rsid w:val="00ED65AB"/>
    <w:rsid w:val="00F1093C"/>
    <w:rsid w:val="00F12850"/>
    <w:rsid w:val="00F33BF4"/>
    <w:rsid w:val="00F7105E"/>
    <w:rsid w:val="00F75F57"/>
    <w:rsid w:val="00F82FEE"/>
    <w:rsid w:val="00F87B53"/>
    <w:rsid w:val="00FD57D3"/>
    <w:rsid w:val="00FF11BD"/>
    <w:rsid w:val="00FF711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E98220"/>
  <w15:docId w15:val="{03BD6EC6-B856-4D0B-A508-E9BF0F797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Ohne">
    <w:name w:val="Ohne"/>
    <w:rsid w:val="00B21223"/>
  </w:style>
  <w:style w:type="character" w:customStyle="1" w:styleId="Hyperlink1">
    <w:name w:val="Hyperlink.1"/>
    <w:basedOn w:val="Ohne"/>
    <w:rsid w:val="00B21223"/>
    <w:rPr>
      <w:rFonts w:ascii="Calibri" w:eastAsia="Calibri" w:hAnsi="Calibri" w:cs="Calibri"/>
      <w:i/>
      <w:iCs/>
      <w:color w:val="0000FF"/>
      <w:u w:val="single" w:color="0000FF"/>
      <w:lang w:val="en-US"/>
    </w:rPr>
  </w:style>
  <w:style w:type="paragraph" w:customStyle="1" w:styleId="Normalnumbered">
    <w:name w:val="Normal (numbered)"/>
    <w:rsid w:val="00B21223"/>
    <w:pPr>
      <w:pBdr>
        <w:top w:val="nil"/>
        <w:left w:val="nil"/>
        <w:bottom w:val="nil"/>
        <w:right w:val="nil"/>
        <w:between w:val="nil"/>
        <w:bar w:val="nil"/>
      </w:pBdr>
      <w:spacing w:before="180" w:after="120"/>
      <w:jc w:val="both"/>
    </w:pPr>
    <w:rPr>
      <w:rFonts w:ascii="Calibri" w:eastAsia="Calibri" w:hAnsi="Calibri" w:cs="Calibri"/>
      <w:color w:val="000000"/>
      <w:sz w:val="24"/>
      <w:szCs w:val="24"/>
      <w:u w:color="000000"/>
      <w:bdr w:val="nil"/>
    </w:rPr>
  </w:style>
  <w:style w:type="character" w:customStyle="1" w:styleId="Heading1Char">
    <w:name w:val="Heading 1 Char"/>
    <w:basedOn w:val="DefaultParagraphFont"/>
    <w:link w:val="Heading1"/>
    <w:rsid w:val="00B21223"/>
    <w:rPr>
      <w:rFonts w:ascii="Calibri" w:hAnsi="Calibri"/>
      <w:b/>
      <w:sz w:val="28"/>
      <w:lang w:val="es-ES_tradnl" w:eastAsia="en-US"/>
    </w:rPr>
  </w:style>
  <w:style w:type="character" w:styleId="UnresolvedMention">
    <w:name w:val="Unresolved Mention"/>
    <w:basedOn w:val="DefaultParagraphFont"/>
    <w:uiPriority w:val="99"/>
    <w:semiHidden/>
    <w:unhideWhenUsed/>
    <w:rsid w:val="00B54BFB"/>
    <w:rPr>
      <w:color w:val="605E5C"/>
      <w:shd w:val="clear" w:color="auto" w:fill="E1DFDD"/>
    </w:rPr>
  </w:style>
  <w:style w:type="table" w:styleId="TableGrid">
    <w:name w:val="Table Grid"/>
    <w:basedOn w:val="TableNormal"/>
    <w:rsid w:val="00CC6F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13A8E"/>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RES-162-s.pdf" TargetMode="External"/><Relationship Id="rId13" Type="http://schemas.openxmlformats.org/officeDocument/2006/relationships/hyperlink" Target="https://www.itu.int/md/S14-CL-C-0022/es" TargetMode="External"/><Relationship Id="rId18" Type="http://schemas.openxmlformats.org/officeDocument/2006/relationships/hyperlink" Target="https://www.itu.int/md/S19-CL-C-0022/es"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itu.int/es/council/2018/Pages/default.aspx" TargetMode="External"/><Relationship Id="rId7" Type="http://schemas.openxmlformats.org/officeDocument/2006/relationships/image" Target="media/image1.jpeg"/><Relationship Id="rId12" Type="http://schemas.openxmlformats.org/officeDocument/2006/relationships/hyperlink" Target="http://www.itu.int/md/S13-CL-C-0065/en" TargetMode="External"/><Relationship Id="rId17" Type="http://schemas.openxmlformats.org/officeDocument/2006/relationships/hyperlink" Target="https://www.itu.int/md/S18-CL-C-0022/es"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itu.int/md/S17-CL-C-0022/es" TargetMode="External"/><Relationship Id="rId20" Type="http://schemas.openxmlformats.org/officeDocument/2006/relationships/hyperlink" Target="https://www.itu.int/en/council/Pages/imac.aspx"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13-CL-C-0065/es" TargetMode="External"/><Relationship Id="rId24" Type="http://schemas.openxmlformats.org/officeDocument/2006/relationships/hyperlink" Target="http://www.itu.int/imac"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tu.int/md/S16-CL-C-0022/es" TargetMode="External"/><Relationship Id="rId23" Type="http://schemas.openxmlformats.org/officeDocument/2006/relationships/hyperlink" Target="https://www.unjiu.org/sites/www.unjiu.org/files/jiu_rep_2020_1_spanish.pdf" TargetMode="External"/><Relationship Id="rId28" Type="http://schemas.openxmlformats.org/officeDocument/2006/relationships/image" Target="media/image2.png"/><Relationship Id="rId10" Type="http://schemas.openxmlformats.org/officeDocument/2006/relationships/hyperlink" Target="https://www.itu.int/md/S12-CL-C-0044/es" TargetMode="External"/><Relationship Id="rId19" Type="http://schemas.openxmlformats.org/officeDocument/2006/relationships/hyperlink" Target="https://www.itu.int/md/S20-CL-C-0022/en"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tu.int/md/S19-CL-C-0132/es" TargetMode="External"/><Relationship Id="rId14" Type="http://schemas.openxmlformats.org/officeDocument/2006/relationships/hyperlink" Target="https://www.itu.int/md/S15-CL-C-0022/es" TargetMode="External"/><Relationship Id="rId22" Type="http://schemas.openxmlformats.org/officeDocument/2006/relationships/hyperlink" Target="https://www.unjiu.org/sites/www.unjiu.org/files/jiu_rep_2019_6_spanish.pdf" TargetMode="External"/><Relationship Id="rId27" Type="http://schemas.openxmlformats.org/officeDocument/2006/relationships/footer" Target="footer2.xm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PS_C21.dotx</Template>
  <TotalTime>0</TotalTime>
  <Pages>17</Pages>
  <Words>6434</Words>
  <Characters>34186</Characters>
  <Application>Microsoft Office Word</Application>
  <DocSecurity>4</DocSecurity>
  <Lines>284</Lines>
  <Paragraphs>81</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40539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Décimo informe anual del Comité Asesor Independiente sobre la Gestión (CAIG)</dc:title>
  <dc:subject>Council 2021, Virtual consultation of councillors</dc:subject>
  <dc:creator>Saez Grau, Ricardo</dc:creator>
  <cp:keywords>C2021, C21, VCC, C21-VCC-1</cp:keywords>
  <dc:description/>
  <cp:lastModifiedBy>Xue, Kun</cp:lastModifiedBy>
  <cp:revision>2</cp:revision>
  <cp:lastPrinted>2006-03-24T09:51:00Z</cp:lastPrinted>
  <dcterms:created xsi:type="dcterms:W3CDTF">2021-06-03T16:26:00Z</dcterms:created>
  <dcterms:modified xsi:type="dcterms:W3CDTF">2021-06-03T16:26:00Z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